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795C62" w14:textId="77777777" w:rsidR="00E23337" w:rsidRPr="00A9231D" w:rsidRDefault="00E23337" w:rsidP="00E23337">
      <w:pPr>
        <w:pStyle w:val="Glava"/>
        <w:tabs>
          <w:tab w:val="clear" w:pos="4536"/>
          <w:tab w:val="clear" w:pos="9072"/>
          <w:tab w:val="left" w:pos="5112"/>
          <w:tab w:val="left" w:pos="8641"/>
        </w:tabs>
        <w:spacing w:before="340" w:line="240" w:lineRule="exact"/>
        <w:ind w:left="-765"/>
        <w:rPr>
          <w:rFonts w:cs="Arial"/>
        </w:rPr>
      </w:pPr>
      <w:r w:rsidRPr="00CE234E">
        <w:rPr>
          <w:noProof/>
        </w:rPr>
        <w:drawing>
          <wp:inline distT="0" distB="0" distL="0" distR="0" wp14:anchorId="709106CA" wp14:editId="06BE6D4C">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0D9FC1D" w14:textId="77777777" w:rsidR="00E23337" w:rsidRPr="00A9231D" w:rsidRDefault="00E23337" w:rsidP="00E23337">
      <w:pPr>
        <w:pStyle w:val="Glava"/>
        <w:tabs>
          <w:tab w:val="clear" w:pos="4536"/>
          <w:tab w:val="clear" w:pos="9072"/>
          <w:tab w:val="left" w:pos="5114"/>
          <w:tab w:val="left" w:pos="8641"/>
        </w:tabs>
        <w:spacing w:before="120" w:line="240" w:lineRule="exact"/>
        <w:rPr>
          <w:rFonts w:cs="Arial"/>
        </w:rPr>
      </w:pPr>
      <w:r w:rsidRPr="00A9231D">
        <w:rPr>
          <w:rFonts w:cs="Arial"/>
        </w:rPr>
        <w:t xml:space="preserve">Gregorčičeva </w:t>
      </w:r>
      <w:r>
        <w:rPr>
          <w:rFonts w:cs="Arial"/>
        </w:rPr>
        <w:t xml:space="preserve">ulica </w:t>
      </w:r>
      <w:r w:rsidRPr="00A9231D">
        <w:rPr>
          <w:rFonts w:cs="Arial"/>
        </w:rPr>
        <w:t>20–25, 100</w:t>
      </w:r>
      <w:r>
        <w:rPr>
          <w:rFonts w:cs="Arial"/>
        </w:rPr>
        <w:t>0</w:t>
      </w:r>
      <w:r w:rsidRPr="00A9231D">
        <w:rPr>
          <w:rFonts w:cs="Arial"/>
        </w:rPr>
        <w:t xml:space="preserve"> Ljubljana</w:t>
      </w:r>
      <w:r w:rsidRPr="00A9231D">
        <w:rPr>
          <w:rFonts w:cs="Arial"/>
        </w:rPr>
        <w:tab/>
        <w:t>T: +386 1 478 1000</w:t>
      </w:r>
    </w:p>
    <w:p w14:paraId="65A99636" w14:textId="77777777" w:rsidR="00E23337" w:rsidRPr="00A9231D" w:rsidRDefault="00E23337" w:rsidP="00E23337">
      <w:pPr>
        <w:pStyle w:val="Glava"/>
        <w:tabs>
          <w:tab w:val="clear" w:pos="4536"/>
          <w:tab w:val="clear" w:pos="9072"/>
          <w:tab w:val="left" w:pos="5114"/>
          <w:tab w:val="left" w:pos="8641"/>
        </w:tabs>
        <w:spacing w:line="240" w:lineRule="exact"/>
        <w:rPr>
          <w:rFonts w:cs="Arial"/>
        </w:rPr>
      </w:pPr>
      <w:r w:rsidRPr="00A9231D">
        <w:rPr>
          <w:rFonts w:cs="Arial"/>
        </w:rPr>
        <w:tab/>
        <w:t>F: +386 1 478 1607</w:t>
      </w:r>
    </w:p>
    <w:p w14:paraId="35F47FDE" w14:textId="77777777" w:rsidR="00E23337" w:rsidRPr="00A9231D" w:rsidRDefault="00E23337" w:rsidP="00E23337">
      <w:pPr>
        <w:pStyle w:val="Glava"/>
        <w:tabs>
          <w:tab w:val="clear" w:pos="4536"/>
          <w:tab w:val="clear" w:pos="9072"/>
          <w:tab w:val="left" w:pos="5114"/>
          <w:tab w:val="left" w:pos="8641"/>
        </w:tabs>
        <w:spacing w:line="240" w:lineRule="exact"/>
        <w:rPr>
          <w:rFonts w:cs="Arial"/>
        </w:rPr>
      </w:pPr>
      <w:r w:rsidRPr="00A9231D">
        <w:rPr>
          <w:rFonts w:cs="Arial"/>
        </w:rPr>
        <w:tab/>
        <w:t>E: gp.gs@gov.si</w:t>
      </w:r>
    </w:p>
    <w:p w14:paraId="7FDA30DA" w14:textId="77777777" w:rsidR="00E23337" w:rsidRPr="00A9231D" w:rsidRDefault="00E23337" w:rsidP="00E23337">
      <w:pPr>
        <w:pStyle w:val="Glava"/>
        <w:tabs>
          <w:tab w:val="clear" w:pos="4536"/>
          <w:tab w:val="clear" w:pos="9072"/>
          <w:tab w:val="left" w:pos="5114"/>
          <w:tab w:val="left" w:pos="8641"/>
        </w:tabs>
        <w:spacing w:line="240" w:lineRule="exact"/>
        <w:rPr>
          <w:rFonts w:cs="Arial"/>
        </w:rPr>
      </w:pPr>
      <w:r w:rsidRPr="00A9231D">
        <w:rPr>
          <w:rFonts w:cs="Arial"/>
        </w:rPr>
        <w:tab/>
        <w:t>http://www.vlada.si/</w:t>
      </w:r>
    </w:p>
    <w:p w14:paraId="38B903D7" w14:textId="77777777" w:rsidR="00597B2B" w:rsidRPr="00215B2F" w:rsidRDefault="00597B2B" w:rsidP="0010347E">
      <w:pPr>
        <w:shd w:val="clear" w:color="auto" w:fill="FFFFFF" w:themeFill="background1"/>
        <w:spacing w:after="0" w:line="240" w:lineRule="auto"/>
        <w:jc w:val="right"/>
        <w:rPr>
          <w:rFonts w:ascii="Arial" w:hAnsi="Arial" w:cs="Arial"/>
          <w:sz w:val="20"/>
          <w:szCs w:val="20"/>
        </w:rPr>
      </w:pPr>
    </w:p>
    <w:p w14:paraId="22E40271" w14:textId="77777777" w:rsidR="00D21C51" w:rsidRPr="00215B2F" w:rsidRDefault="00D21C51" w:rsidP="0010347E">
      <w:pPr>
        <w:shd w:val="clear" w:color="auto" w:fill="FFFFFF" w:themeFill="background1"/>
        <w:spacing w:after="0" w:line="240" w:lineRule="auto"/>
        <w:jc w:val="right"/>
        <w:rPr>
          <w:rFonts w:ascii="Arial" w:hAnsi="Arial" w:cs="Arial"/>
          <w:sz w:val="20"/>
          <w:szCs w:val="20"/>
        </w:rPr>
      </w:pPr>
    </w:p>
    <w:p w14:paraId="5B438344" w14:textId="425A3FA4" w:rsidR="0010347E" w:rsidRPr="00597B2B" w:rsidRDefault="0010347E" w:rsidP="0010347E">
      <w:pPr>
        <w:shd w:val="clear" w:color="auto" w:fill="FFFFFF" w:themeFill="background1"/>
        <w:spacing w:after="0" w:line="240" w:lineRule="auto"/>
        <w:jc w:val="right"/>
        <w:rPr>
          <w:rFonts w:ascii="Arial" w:hAnsi="Arial" w:cs="Arial"/>
          <w:b/>
          <w:sz w:val="20"/>
          <w:szCs w:val="20"/>
        </w:rPr>
      </w:pPr>
      <w:r w:rsidRPr="00597B2B">
        <w:rPr>
          <w:rFonts w:ascii="Arial" w:hAnsi="Arial" w:cs="Arial"/>
          <w:b/>
          <w:sz w:val="20"/>
          <w:szCs w:val="20"/>
        </w:rPr>
        <w:t>PREDLOG</w:t>
      </w:r>
    </w:p>
    <w:p w14:paraId="480FBE8A" w14:textId="7E9E5E8F" w:rsidR="0010347E" w:rsidRPr="00597B2B" w:rsidRDefault="00597B2B" w:rsidP="0010347E">
      <w:pPr>
        <w:shd w:val="clear" w:color="auto" w:fill="FFFFFF" w:themeFill="background1"/>
        <w:suppressAutoHyphens/>
        <w:spacing w:after="0" w:line="240" w:lineRule="auto"/>
        <w:jc w:val="right"/>
        <w:rPr>
          <w:rFonts w:ascii="Arial" w:hAnsi="Arial" w:cs="Arial"/>
          <w:b/>
          <w:sz w:val="20"/>
          <w:szCs w:val="20"/>
        </w:rPr>
      </w:pPr>
      <w:r w:rsidRPr="00597B2B">
        <w:rPr>
          <w:rFonts w:ascii="Arial" w:hAnsi="Arial" w:cs="Arial"/>
          <w:b/>
          <w:sz w:val="20"/>
          <w:szCs w:val="20"/>
        </w:rPr>
        <w:t>EVA 2025-1611-0061</w:t>
      </w:r>
    </w:p>
    <w:p w14:paraId="1C9E88EA" w14:textId="08F74151" w:rsidR="00597B2B" w:rsidRPr="00597B2B" w:rsidRDefault="00597B2B" w:rsidP="0010347E">
      <w:pPr>
        <w:shd w:val="clear" w:color="auto" w:fill="FFFFFF" w:themeFill="background1"/>
        <w:suppressAutoHyphens/>
        <w:spacing w:after="0" w:line="240" w:lineRule="auto"/>
        <w:jc w:val="right"/>
        <w:rPr>
          <w:rFonts w:ascii="Arial" w:hAnsi="Arial" w:cs="Arial"/>
          <w:b/>
          <w:sz w:val="20"/>
          <w:szCs w:val="20"/>
        </w:rPr>
      </w:pPr>
      <w:r w:rsidRPr="00597B2B">
        <w:rPr>
          <w:rFonts w:ascii="Arial" w:hAnsi="Arial" w:cs="Arial"/>
          <w:b/>
          <w:sz w:val="20"/>
          <w:szCs w:val="20"/>
        </w:rPr>
        <w:t>NUJNI POSTOPEK</w:t>
      </w:r>
    </w:p>
    <w:p w14:paraId="1F0D911F" w14:textId="77777777" w:rsidR="0010347E" w:rsidRPr="00215B2F" w:rsidRDefault="0010347E" w:rsidP="0010347E">
      <w:pPr>
        <w:shd w:val="clear" w:color="auto" w:fill="FFFFFF" w:themeFill="background1"/>
        <w:suppressAutoHyphens/>
        <w:spacing w:after="0" w:line="240" w:lineRule="auto"/>
        <w:jc w:val="both"/>
        <w:rPr>
          <w:rFonts w:ascii="Arial" w:hAnsi="Arial" w:cs="Arial"/>
          <w:b/>
          <w:sz w:val="20"/>
          <w:szCs w:val="20"/>
        </w:rPr>
      </w:pPr>
    </w:p>
    <w:p w14:paraId="668515B2" w14:textId="77777777" w:rsidR="0010347E" w:rsidRPr="00215B2F" w:rsidRDefault="0010347E" w:rsidP="0010347E">
      <w:pPr>
        <w:shd w:val="clear" w:color="auto" w:fill="FFFFFF" w:themeFill="background1"/>
        <w:suppressAutoHyphens/>
        <w:spacing w:after="0" w:line="240" w:lineRule="auto"/>
        <w:jc w:val="center"/>
        <w:rPr>
          <w:rFonts w:ascii="Arial" w:hAnsi="Arial" w:cs="Arial"/>
          <w:b/>
          <w:sz w:val="20"/>
          <w:szCs w:val="20"/>
        </w:rPr>
      </w:pPr>
      <w:r w:rsidRPr="00215B2F">
        <w:rPr>
          <w:rFonts w:ascii="Arial" w:hAnsi="Arial" w:cs="Arial"/>
          <w:b/>
          <w:sz w:val="20"/>
          <w:szCs w:val="20"/>
        </w:rPr>
        <w:t>ZAKON O BANČNIŠTVU</w:t>
      </w:r>
    </w:p>
    <w:p w14:paraId="1A9E39CA" w14:textId="65062427" w:rsidR="0010347E" w:rsidRPr="00215B2F" w:rsidRDefault="0010347E" w:rsidP="0010347E">
      <w:pPr>
        <w:shd w:val="clear" w:color="auto" w:fill="FFFFFF" w:themeFill="background1"/>
        <w:suppressAutoHyphens/>
        <w:spacing w:after="0" w:line="240" w:lineRule="auto"/>
        <w:jc w:val="both"/>
        <w:rPr>
          <w:rFonts w:ascii="Arial" w:hAnsi="Arial" w:cs="Arial"/>
          <w:b/>
          <w:sz w:val="20"/>
          <w:szCs w:val="20"/>
        </w:rPr>
      </w:pPr>
    </w:p>
    <w:p w14:paraId="431BB1FB" w14:textId="77777777" w:rsidR="0010347E" w:rsidRPr="00215B2F" w:rsidRDefault="0010347E" w:rsidP="0010347E">
      <w:pPr>
        <w:shd w:val="clear" w:color="auto" w:fill="FFFFFF" w:themeFill="background1"/>
        <w:suppressAutoHyphens/>
        <w:spacing w:after="0" w:line="240" w:lineRule="auto"/>
        <w:jc w:val="both"/>
        <w:rPr>
          <w:rFonts w:ascii="Arial" w:hAnsi="Arial" w:cs="Arial"/>
          <w:b/>
          <w:sz w:val="20"/>
          <w:szCs w:val="20"/>
        </w:rPr>
      </w:pPr>
    </w:p>
    <w:p w14:paraId="1887BB7C" w14:textId="77777777" w:rsidR="0010347E" w:rsidRPr="00215B2F" w:rsidRDefault="0010347E" w:rsidP="0010347E">
      <w:pPr>
        <w:shd w:val="clear" w:color="auto" w:fill="FFFFFF" w:themeFill="background1"/>
        <w:spacing w:after="0" w:line="240" w:lineRule="auto"/>
        <w:rPr>
          <w:rFonts w:ascii="Arial" w:hAnsi="Arial" w:cs="Arial"/>
          <w:b/>
          <w:bCs/>
          <w:sz w:val="20"/>
          <w:szCs w:val="20"/>
        </w:rPr>
      </w:pPr>
      <w:r w:rsidRPr="00215B2F">
        <w:rPr>
          <w:rFonts w:ascii="Arial" w:hAnsi="Arial" w:cs="Arial"/>
          <w:b/>
          <w:bCs/>
          <w:sz w:val="20"/>
          <w:szCs w:val="20"/>
        </w:rPr>
        <w:t>I. UVOD</w:t>
      </w:r>
    </w:p>
    <w:p w14:paraId="2A303A99"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1744BC0D" w14:textId="77777777" w:rsidR="0010347E" w:rsidRPr="00215B2F" w:rsidRDefault="0010347E" w:rsidP="003D4DE0">
      <w:pPr>
        <w:numPr>
          <w:ilvl w:val="0"/>
          <w:numId w:val="342"/>
        </w:num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OCENA STANJA IN RAZLOGI ZA SPREJEM PREDLOGA ZAKONA</w:t>
      </w:r>
    </w:p>
    <w:p w14:paraId="42EF089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729D987"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1.1. Slovenski pravni okvir in splošno o ureditvi</w:t>
      </w:r>
    </w:p>
    <w:p w14:paraId="4B8B0B3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03A7B3A" w14:textId="6A59CE61" w:rsidR="0010347E" w:rsidRPr="00215B2F" w:rsidRDefault="0010347E" w:rsidP="0010347E">
      <w:pPr>
        <w:shd w:val="clear" w:color="auto" w:fill="FFFFFF" w:themeFill="background1"/>
        <w:spacing w:after="0" w:line="240" w:lineRule="auto"/>
        <w:jc w:val="both"/>
        <w:rPr>
          <w:rFonts w:ascii="Arial" w:hAnsi="Arial" w:cs="Arial"/>
          <w:bCs/>
          <w:sz w:val="20"/>
          <w:szCs w:val="20"/>
        </w:rPr>
      </w:pPr>
      <w:r w:rsidRPr="00215B2F">
        <w:rPr>
          <w:rFonts w:ascii="Arial" w:hAnsi="Arial" w:cs="Arial"/>
          <w:sz w:val="20"/>
          <w:szCs w:val="20"/>
        </w:rPr>
        <w:t xml:space="preserve">V Republiki Sloveniji ureja področje bančništva </w:t>
      </w:r>
      <w:r w:rsidRPr="00215B2F">
        <w:rPr>
          <w:rFonts w:ascii="Arial" w:hAnsi="Arial" w:cs="Arial"/>
          <w:bCs/>
          <w:sz w:val="20"/>
          <w:szCs w:val="20"/>
        </w:rPr>
        <w:t>Zakon o bančništvu (Uradni list RS, št. 92/21, 123/21 – ZBNIP, 2/25 – odl. US in 17/25; v nadaljnjem besedilu: ZBan-3)</w:t>
      </w:r>
      <w:r w:rsidRPr="00215B2F">
        <w:rPr>
          <w:rFonts w:ascii="Arial" w:hAnsi="Arial" w:cs="Arial"/>
          <w:sz w:val="20"/>
          <w:szCs w:val="20"/>
        </w:rPr>
        <w:t xml:space="preserve">, ki je v </w:t>
      </w:r>
      <w:r w:rsidR="00B005EA" w:rsidRPr="00215B2F">
        <w:rPr>
          <w:rFonts w:ascii="Arial" w:hAnsi="Arial" w:cs="Arial"/>
          <w:sz w:val="20"/>
          <w:szCs w:val="20"/>
        </w:rPr>
        <w:t>pravni red Republike Slovenije</w:t>
      </w:r>
      <w:r w:rsidRPr="00215B2F">
        <w:rPr>
          <w:rFonts w:ascii="Arial" w:hAnsi="Arial" w:cs="Arial"/>
          <w:sz w:val="20"/>
          <w:szCs w:val="20"/>
        </w:rPr>
        <w:t xml:space="preserve"> prenesel naslednjih sedem direktiv: </w:t>
      </w:r>
    </w:p>
    <w:p w14:paraId="4E961AA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F89C73E" w14:textId="77777777" w:rsidR="0010347E" w:rsidRPr="00215B2F" w:rsidRDefault="0010347E" w:rsidP="003D4DE0">
      <w:pPr>
        <w:pStyle w:val="Odstavekseznama"/>
        <w:numPr>
          <w:ilvl w:val="0"/>
          <w:numId w:val="338"/>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Direktivo 2013/36/EU Evropskega parlamenta in Sveta z dne 26. junija 2013 o dostopu do dejavnosti kreditnih institucij in bonitetnem nadzoru kreditnih institucij, spremembi Direktive 2002/87/ES in razveljavitvi direktiv 2006/48/ES in 2006/49/ES (UL L št. 176 z dne 27. 6. 2013, str. 338), zadnjič spremenjeno z Delegirano uredbo Komisije (EU) 2024/857 z dne 1. decembra 2023 o dopolnitvi Direktive 2013/36/EU Evropskega parlamenta in Sveta v zvezi z regulativnimi tehničnimi standardi, ki določajo standardizirano metodologijo in poenostavljeno standardizirano metodologijo za oceno tveganj, izhajajočih iz morebitnih sprememb obrestnih mer, ki vplivajo na ekonomsko vrednost lastniškega kapitala in neto prihodke od obresti pri dejavnostih iz netrgovalne knjige institucije (UL L št. 2024/857 z dne 24. 4. 2024), (v nadaljnjem besedilu: Direktiva 2013/36/EU);</w:t>
      </w:r>
    </w:p>
    <w:p w14:paraId="13AD8D69" w14:textId="652D7689" w:rsidR="0010347E" w:rsidRPr="00215B2F" w:rsidRDefault="0010347E" w:rsidP="003D4DE0">
      <w:pPr>
        <w:pStyle w:val="Odstavekseznama"/>
        <w:numPr>
          <w:ilvl w:val="0"/>
          <w:numId w:val="338"/>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Direktivo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zadnjič spremenjeno z Direktivo (EU) 2024/1174 Evropskega parlamenta in Sveta z dne 11. aprila 2024 o spremembi Direktive 2014/59/EU in Uredbe (EU) št. 806/2014 glede določenih vidikov minimalne zahteve glede kapitala in kvalificiranih obveznosti (UL L št. 2024/1174 z </w:t>
      </w:r>
      <w:r w:rsidR="00B005EA" w:rsidRPr="00215B2F">
        <w:rPr>
          <w:rFonts w:ascii="Arial" w:hAnsi="Arial" w:cs="Arial"/>
          <w:sz w:val="20"/>
          <w:szCs w:val="20"/>
        </w:rPr>
        <w:t xml:space="preserve">dne </w:t>
      </w:r>
      <w:r w:rsidRPr="00215B2F">
        <w:rPr>
          <w:rFonts w:ascii="Arial" w:hAnsi="Arial" w:cs="Arial"/>
          <w:sz w:val="20"/>
          <w:szCs w:val="20"/>
        </w:rPr>
        <w:t>22. 4. 2024);</w:t>
      </w:r>
    </w:p>
    <w:p w14:paraId="0416C09A" w14:textId="77777777" w:rsidR="0010347E" w:rsidRPr="00215B2F" w:rsidRDefault="0010347E" w:rsidP="003D4DE0">
      <w:pPr>
        <w:pStyle w:val="Odstavekseznama"/>
        <w:numPr>
          <w:ilvl w:val="0"/>
          <w:numId w:val="338"/>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Direktivo Sveta 86/635/EGS z dne 8. decembra 1986 o letnih računovodskih izkazih in konsolidiranih letnih računovodskih izkazih bank in drugih finančnih institucij (UL L št. 372 z dne 31. 12. 1986, str. 1), zadnjič spremenjeno z Direktivo 2006/46/ES Evropskega parlamenta in Sveta z dne 14. junija 2006 o spremembi direktiv Sveta 78/660/EGS o letnih računovodskih izkazih posameznih vrst družb, 83/349/EGS o konsolidiranih računovodskih izkazih, 86/635/EGS o letnih računovodskih izkazih in konsolidiranih računovodskih izkazih bank in drugih finančnih institucij ter 91/674/EGS o letnih računovodskih izkazih in konsolidiranih računovodskih izkazih zavarovalnic (UL L št. 224 z dne 16. 8. 2006, str. 1);</w:t>
      </w:r>
    </w:p>
    <w:p w14:paraId="77E7840C" w14:textId="77777777" w:rsidR="0010347E" w:rsidRPr="00215B2F" w:rsidRDefault="0010347E" w:rsidP="003D4DE0">
      <w:pPr>
        <w:pStyle w:val="Odstavekseznama"/>
        <w:numPr>
          <w:ilvl w:val="0"/>
          <w:numId w:val="338"/>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Direktivo Sveta 89/117/EGS z dne 13. februarja 1989 o obveznosti podružnic, ustanovljenih v državi članici, ki pripadajo kreditnim in finančnim institucijam, s sedežem zunaj te države članice, glede objave letnih računovodskih izkazov (UL L št. 44 z dne 16. 2. 1989, str. 40);</w:t>
      </w:r>
    </w:p>
    <w:p w14:paraId="07C1B1BB" w14:textId="2171FBFA" w:rsidR="0010347E" w:rsidRPr="00215B2F" w:rsidRDefault="0010347E" w:rsidP="003D4DE0">
      <w:pPr>
        <w:pStyle w:val="Odstavekseznama"/>
        <w:numPr>
          <w:ilvl w:val="0"/>
          <w:numId w:val="338"/>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Direktivo (EU) 2015/849 Evropskega parlamenta in Sveta z dne 20. maja 2015 o preprečevanju uporabe finančnega sistema za pranje denarja ali financiranje terorizma, spremembi Uredbe (EU) št. 648/2012 Evropskega parlamenta in Sveta ter razveljavitvi Direktive 2005/60/ES Evropskega parlamenta in Sveta in Direktive Komisije 2006/70/ES (UL L št. 141 z dne 5. 6. 2015, str. 73), zadnjič spremenjeno z Direktivo (EU) 2024/1640 Evropskega parlamenta in Sveta z dne 31. maja 2024 o mehanizmih, ki jih morajo vzpostaviti države članice za preprečevanje uporabe finančnega sistema </w:t>
      </w:r>
      <w:r w:rsidRPr="00215B2F">
        <w:rPr>
          <w:rFonts w:ascii="Arial" w:hAnsi="Arial" w:cs="Arial"/>
          <w:sz w:val="20"/>
          <w:szCs w:val="20"/>
        </w:rPr>
        <w:lastRenderedPageBreak/>
        <w:t>za pranje denarja ali financiranje terorizma, spremembi Direktive (EU) 2019/1937 ter spremembi in razveljavitvi Direktive (EU) 2015/849 (UL L št. 2024/1640 z dne 19. 6. 2024)</w:t>
      </w:r>
      <w:r w:rsidR="00B65EA4" w:rsidRPr="00215B2F">
        <w:rPr>
          <w:rFonts w:ascii="Arial" w:hAnsi="Arial" w:cs="Arial"/>
          <w:sz w:val="20"/>
          <w:szCs w:val="20"/>
        </w:rPr>
        <w:t>;</w:t>
      </w:r>
      <w:r w:rsidR="00092B13" w:rsidRPr="00215B2F">
        <w:rPr>
          <w:rFonts w:ascii="Arial" w:hAnsi="Arial" w:cs="Arial"/>
          <w:sz w:val="20"/>
          <w:szCs w:val="20"/>
        </w:rPr>
        <w:t xml:space="preserve"> (v nadaljnjem besedilu: Direktiva 2015/849/EU)</w:t>
      </w:r>
      <w:r w:rsidRPr="00215B2F">
        <w:rPr>
          <w:rFonts w:ascii="Arial" w:hAnsi="Arial" w:cs="Arial"/>
          <w:sz w:val="20"/>
          <w:szCs w:val="20"/>
        </w:rPr>
        <w:t>;</w:t>
      </w:r>
    </w:p>
    <w:p w14:paraId="2CCBFFAB" w14:textId="77777777" w:rsidR="0010347E" w:rsidRPr="00215B2F" w:rsidRDefault="0010347E" w:rsidP="003D4DE0">
      <w:pPr>
        <w:pStyle w:val="Odstavekseznama"/>
        <w:numPr>
          <w:ilvl w:val="0"/>
          <w:numId w:val="338"/>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Direktivo (EU) 2019/878 Evropskega parlamenta in Sveta z dne 20. maja 2019 o spremembi Direktive 2013/36/EU v zvezi z izvzetimi subjekti, finančnimi holdingi, mešanimi finančnimi holdingi, prejemki, nadzorniškimi ukrepi in pooblastili ter ukrepi za ohranitev kapitala (UL L št. 150 z dne 7. 6. 2019, str. 253), zadnjič spremenjeno z Direktivo (EU) 2021/338 Evropskega parlamenta in Sveta z dne 16. februarja 2021 o spremembi Direktive 2014/65/EU glede zahtev po informacijah, upravljanja produktov in omejitev pozicij ter direktiv 2013/36/EU in (EU) 2019/878 glede njune uporabe za investicijska podjetja, za podporo okrevanju po krizi zaradi COVID-19 (UL L št. 68 z dne 26. 2. 2021, str. 14);</w:t>
      </w:r>
    </w:p>
    <w:p w14:paraId="291C0775" w14:textId="5292DA3A" w:rsidR="0010347E" w:rsidRPr="00215B2F" w:rsidRDefault="0010347E" w:rsidP="003D4DE0">
      <w:pPr>
        <w:pStyle w:val="Odstavekseznama"/>
        <w:numPr>
          <w:ilvl w:val="0"/>
          <w:numId w:val="338"/>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Direktivo (EU) 2019/2034 Evropskega parlamenta in Sveta z dne 27. novembra 2019 o bonitetnem nadzoru investicijskih podjetij ter o spremembi direktiv 2002/87/ES, 2009/65/ES, 2011/61/EU, 2013/36/EU, 2014/59/EU in 2014/65/EU (UL L št. 314 z dne 5. 12. 2019, str. 64), zadnjič spremenjeno z Direktivo (EU) 2023/2864 Evropskega parlamenta in Sveta z dne 13. decembra 2023 o spremembi nekaterih direktiv glede vzpostavitve in delovanja evropske enotne točke dostopa (UL L št. 2023/2864 z dne 20. 12. 2023);</w:t>
      </w:r>
    </w:p>
    <w:p w14:paraId="3356E028" w14:textId="66CAB2DE" w:rsidR="0010347E" w:rsidRPr="00215B2F" w:rsidRDefault="0010347E" w:rsidP="003D4DE0">
      <w:pPr>
        <w:pStyle w:val="Odstavekseznama"/>
        <w:numPr>
          <w:ilvl w:val="0"/>
          <w:numId w:val="338"/>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Direktivo (EU) 2023/2864 Evropskega parlamenta in Sveta o spremembi nekaterih direktiv glede vzpostavitve in delovanja evropske enotne točke dostopa (UL L št. 2023/2864 z dne 20. 12. 2023).</w:t>
      </w:r>
    </w:p>
    <w:p w14:paraId="26E23167" w14:textId="77777777" w:rsidR="0010347E" w:rsidRPr="00215B2F" w:rsidRDefault="0010347E" w:rsidP="0010347E">
      <w:pPr>
        <w:shd w:val="clear" w:color="auto" w:fill="FFFFFF" w:themeFill="background1"/>
        <w:spacing w:after="0" w:line="240" w:lineRule="auto"/>
        <w:contextualSpacing/>
        <w:jc w:val="both"/>
        <w:rPr>
          <w:rFonts w:ascii="Arial" w:hAnsi="Arial" w:cs="Arial"/>
          <w:sz w:val="20"/>
          <w:szCs w:val="20"/>
        </w:rPr>
      </w:pPr>
    </w:p>
    <w:p w14:paraId="4E8E1236" w14:textId="77777777" w:rsidR="0010347E" w:rsidRPr="00215B2F" w:rsidRDefault="0010347E" w:rsidP="0010347E">
      <w:pPr>
        <w:shd w:val="clear" w:color="auto" w:fill="FFFFFF" w:themeFill="background1"/>
        <w:spacing w:after="0" w:line="240" w:lineRule="auto"/>
        <w:contextualSpacing/>
        <w:jc w:val="both"/>
        <w:rPr>
          <w:rFonts w:ascii="Arial" w:hAnsi="Arial" w:cs="Arial"/>
          <w:sz w:val="20"/>
          <w:szCs w:val="20"/>
        </w:rPr>
      </w:pPr>
      <w:r w:rsidRPr="00215B2F">
        <w:rPr>
          <w:rFonts w:ascii="Arial" w:hAnsi="Arial" w:cs="Arial"/>
          <w:sz w:val="20"/>
          <w:szCs w:val="20"/>
        </w:rPr>
        <w:t>Z ZBan-3 se ureja tudi delno izvajanje Uredbe (EU) 2023/1114 Evropskega parlamenta in Sveta z dne 31. maja 2023 o trgih kriptosredstev in spremembi uredb (EU) št. 1093/2010 in (EU) št. 1095/2010 ter direktiv 2013/36/EU in (EU) 2019/1937 (UL L št. 150 z dne 9. 6. 2023, str. 40), zadnjič spremenjene z Delegirano uredbo Komisije (EU) 2024/1507 z dne 22. februarja 2024 o dopolnitvi Uredbe (EU) 2023/1114 Evropskega parlamenta in Sveta z določitvijo meril in dejavnikov, ki jih morajo Evropski organ za vrednostne papirje in trge, Evropski bančni organ in pristojni organi upoštevati v zvezi s svojimi pristojnostmi za poseganje (UL L št. 2024/1507 z dne 30. 5. 2024), (v nadaljnjem besedilu: Uredba 2023/1114/EU).</w:t>
      </w:r>
    </w:p>
    <w:p w14:paraId="3B5D7AA2" w14:textId="77777777" w:rsidR="0010347E" w:rsidRPr="00215B2F" w:rsidRDefault="0010347E" w:rsidP="0010347E">
      <w:pPr>
        <w:pStyle w:val="odstavek1"/>
        <w:shd w:val="clear" w:color="auto" w:fill="FFFFFF" w:themeFill="background1"/>
        <w:spacing w:before="0"/>
        <w:ind w:firstLine="0"/>
        <w:rPr>
          <w:bCs/>
          <w:sz w:val="20"/>
          <w:szCs w:val="20"/>
        </w:rPr>
      </w:pPr>
    </w:p>
    <w:p w14:paraId="0C366A9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Zakon o bančništvu (Uradni list RS, št. 92/21) je bil sprejet 27. 5. 2021 in je začel veljati 23. 6. 2021. Njegov osnovni cilj je bila nadgraditev predhodnega Zakona o bančništvu (</w:t>
      </w:r>
      <w:r w:rsidRPr="00215B2F">
        <w:rPr>
          <w:rFonts w:ascii="Arial" w:hAnsi="Arial" w:cs="Arial"/>
          <w:sz w:val="20"/>
          <w:szCs w:val="20"/>
          <w:shd w:val="clear" w:color="auto" w:fill="FFFFFF"/>
        </w:rPr>
        <w:t>Uradni list RS, št. </w:t>
      </w:r>
      <w:hyperlink r:id="rId13" w:tgtFrame="_blank" w:tooltip="Zakon o bančništvu (ZBan-2)" w:history="1">
        <w:r w:rsidRPr="00215B2F">
          <w:rPr>
            <w:rStyle w:val="Hiperpovezava"/>
            <w:rFonts w:ascii="Arial" w:hAnsi="Arial" w:cs="Arial"/>
            <w:b w:val="0"/>
            <w:bCs/>
            <w:color w:val="auto"/>
            <w:sz w:val="20"/>
            <w:szCs w:val="20"/>
            <w:u w:val="none"/>
            <w:shd w:val="clear" w:color="auto" w:fill="FFFFFF"/>
          </w:rPr>
          <w:t>25/15</w:t>
        </w:r>
      </w:hyperlink>
      <w:r w:rsidRPr="00215B2F">
        <w:rPr>
          <w:rFonts w:ascii="Arial" w:hAnsi="Arial" w:cs="Arial"/>
          <w:sz w:val="20"/>
          <w:szCs w:val="20"/>
          <w:shd w:val="clear" w:color="auto" w:fill="FFFFFF"/>
        </w:rPr>
        <w:t>, </w:t>
      </w:r>
      <w:hyperlink r:id="rId14" w:tgtFrame="_blank" w:tooltip="Zakon o reševanju in prisilnem prenehanju bank" w:history="1">
        <w:r w:rsidRPr="00215B2F">
          <w:rPr>
            <w:rStyle w:val="Hiperpovezava"/>
            <w:rFonts w:ascii="Arial" w:hAnsi="Arial" w:cs="Arial"/>
            <w:b w:val="0"/>
            <w:bCs/>
            <w:color w:val="auto"/>
            <w:sz w:val="20"/>
            <w:szCs w:val="20"/>
            <w:u w:val="none"/>
            <w:shd w:val="clear" w:color="auto" w:fill="FFFFFF"/>
          </w:rPr>
          <w:t>44/16</w:t>
        </w:r>
      </w:hyperlink>
      <w:r w:rsidRPr="00215B2F">
        <w:rPr>
          <w:rFonts w:ascii="Arial" w:hAnsi="Arial" w:cs="Arial"/>
          <w:sz w:val="20"/>
          <w:szCs w:val="20"/>
          <w:shd w:val="clear" w:color="auto" w:fill="FFFFFF"/>
        </w:rPr>
        <w:t> – ZRPPB, </w:t>
      </w:r>
      <w:hyperlink r:id="rId15" w:tgtFrame="_blank" w:tooltip="Zakon o centralnem kreditnem registru" w:history="1">
        <w:r w:rsidRPr="00215B2F">
          <w:rPr>
            <w:rStyle w:val="Hiperpovezava"/>
            <w:rFonts w:ascii="Arial" w:hAnsi="Arial" w:cs="Arial"/>
            <w:b w:val="0"/>
            <w:bCs/>
            <w:color w:val="auto"/>
            <w:sz w:val="20"/>
            <w:szCs w:val="20"/>
            <w:u w:val="none"/>
            <w:shd w:val="clear" w:color="auto" w:fill="FFFFFF"/>
          </w:rPr>
          <w:t>77/16</w:t>
        </w:r>
      </w:hyperlink>
      <w:r w:rsidRPr="00215B2F">
        <w:rPr>
          <w:rFonts w:ascii="Arial" w:hAnsi="Arial" w:cs="Arial"/>
          <w:sz w:val="20"/>
          <w:szCs w:val="20"/>
          <w:shd w:val="clear" w:color="auto" w:fill="FFFFFF"/>
        </w:rPr>
        <w:t> – ZCKR, </w:t>
      </w:r>
      <w:hyperlink r:id="rId16" w:tgtFrame="_blank" w:tooltip="Zakon o spremembah in dopolnitvah Zakona o bančništvu" w:history="1">
        <w:r w:rsidRPr="00215B2F">
          <w:rPr>
            <w:rStyle w:val="Hiperpovezava"/>
            <w:rFonts w:ascii="Arial" w:hAnsi="Arial" w:cs="Arial"/>
            <w:b w:val="0"/>
            <w:bCs/>
            <w:color w:val="auto"/>
            <w:sz w:val="20"/>
            <w:szCs w:val="20"/>
            <w:u w:val="none"/>
            <w:shd w:val="clear" w:color="auto" w:fill="FFFFFF"/>
          </w:rPr>
          <w:t>41/17</w:t>
        </w:r>
      </w:hyperlink>
      <w:r w:rsidRPr="00215B2F">
        <w:rPr>
          <w:rFonts w:ascii="Arial" w:hAnsi="Arial" w:cs="Arial"/>
          <w:sz w:val="20"/>
          <w:szCs w:val="20"/>
          <w:shd w:val="clear" w:color="auto" w:fill="FFFFFF"/>
        </w:rPr>
        <w:t>, </w:t>
      </w:r>
      <w:hyperlink r:id="rId17" w:tgtFrame="_blank" w:tooltip="Zakon o trgu finančnih instrumentov" w:history="1">
        <w:r w:rsidRPr="00215B2F">
          <w:rPr>
            <w:rStyle w:val="Hiperpovezava"/>
            <w:rFonts w:ascii="Arial" w:hAnsi="Arial" w:cs="Arial"/>
            <w:b w:val="0"/>
            <w:bCs/>
            <w:color w:val="auto"/>
            <w:sz w:val="20"/>
            <w:szCs w:val="20"/>
            <w:u w:val="none"/>
            <w:shd w:val="clear" w:color="auto" w:fill="FFFFFF"/>
          </w:rPr>
          <w:t>77/18</w:t>
        </w:r>
      </w:hyperlink>
      <w:r w:rsidRPr="00215B2F">
        <w:rPr>
          <w:rFonts w:ascii="Arial" w:hAnsi="Arial" w:cs="Arial"/>
          <w:sz w:val="20"/>
          <w:szCs w:val="20"/>
          <w:shd w:val="clear" w:color="auto" w:fill="FFFFFF"/>
        </w:rPr>
        <w:t> – ZTFI-1, </w:t>
      </w:r>
      <w:hyperlink r:id="rId18" w:tgtFrame="_blank" w:tooltip="Zakon o izvajanju Uredbe (EU) o določitvi splošnega okvira za listinjenje in o vzpostavitvi posebnega okvira za enostavno, pregledno in standardizirano listinjenje" w:history="1">
        <w:r w:rsidRPr="00215B2F">
          <w:rPr>
            <w:rStyle w:val="Hiperpovezava"/>
            <w:rFonts w:ascii="Arial" w:hAnsi="Arial" w:cs="Arial"/>
            <w:b w:val="0"/>
            <w:bCs/>
            <w:color w:val="auto"/>
            <w:sz w:val="20"/>
            <w:szCs w:val="20"/>
            <w:u w:val="none"/>
            <w:shd w:val="clear" w:color="auto" w:fill="FFFFFF"/>
          </w:rPr>
          <w:t>22/1</w:t>
        </w:r>
        <w:r w:rsidRPr="00215B2F">
          <w:rPr>
            <w:rStyle w:val="Hiperpovezava"/>
            <w:rFonts w:ascii="Arial" w:hAnsi="Arial" w:cs="Arial"/>
            <w:b w:val="0"/>
            <w:color w:val="auto"/>
            <w:sz w:val="20"/>
            <w:szCs w:val="20"/>
            <w:u w:val="none"/>
            <w:shd w:val="clear" w:color="auto" w:fill="FFFFFF"/>
          </w:rPr>
          <w:t>9</w:t>
        </w:r>
      </w:hyperlink>
      <w:r w:rsidRPr="00215B2F">
        <w:rPr>
          <w:rFonts w:ascii="Arial" w:hAnsi="Arial" w:cs="Arial"/>
          <w:sz w:val="20"/>
          <w:szCs w:val="20"/>
          <w:shd w:val="clear" w:color="auto" w:fill="FFFFFF"/>
        </w:rPr>
        <w:t> – ZIUDSOL, </w:t>
      </w:r>
      <w:hyperlink r:id="rId19" w:tgtFrame="_blank" w:tooltip="Odločba o razveljavitvi četrtega odstavka 33. člena Zakona o bančništvu" w:history="1">
        <w:r w:rsidRPr="00215B2F">
          <w:rPr>
            <w:rStyle w:val="Hiperpovezava"/>
            <w:rFonts w:ascii="Arial" w:hAnsi="Arial" w:cs="Arial"/>
            <w:b w:val="0"/>
            <w:bCs/>
            <w:color w:val="auto"/>
            <w:sz w:val="20"/>
            <w:szCs w:val="20"/>
            <w:u w:val="none"/>
            <w:shd w:val="clear" w:color="auto" w:fill="FFFFFF"/>
          </w:rPr>
          <w:t>44/19</w:t>
        </w:r>
      </w:hyperlink>
      <w:r w:rsidRPr="00215B2F">
        <w:rPr>
          <w:rFonts w:ascii="Arial" w:hAnsi="Arial" w:cs="Arial"/>
          <w:sz w:val="20"/>
          <w:szCs w:val="20"/>
          <w:shd w:val="clear" w:color="auto" w:fill="FFFFFF"/>
        </w:rPr>
        <w:t xml:space="preserve"> – odl. US; v nadaljnjem besedilu: ZBan-2), ki je z njegovo uveljavitvijo prenehal veljati. V okviru nadgraditve ZBan-2 velja poudariti naslednje nadgraditve: (i) </w:t>
      </w:r>
      <w:r w:rsidRPr="00215B2F">
        <w:rPr>
          <w:rFonts w:ascii="Arial" w:hAnsi="Arial" w:cs="Arial"/>
          <w:sz w:val="20"/>
          <w:szCs w:val="20"/>
        </w:rPr>
        <w:t xml:space="preserve">rešitve v okviru prenosa Direktive 2019/878/EU, (ii) rešitve, povezane z odločitvami sodišč, (iii) rešitve glede licenciranja nadzornega sveta in (iv) druge rešitve (npr. plačevanje letnega nadomestila za nadzor v enkratnem znesku). </w:t>
      </w:r>
    </w:p>
    <w:p w14:paraId="1EA44FF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09B9AA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Z Zakonom o bonitetnem nadzoru investicijskih podjetij (Uradni list RS, št. 123/21; v nadaljnjem besedilu: ZBNIP) je bil ZBan-3 dopolnjen z določbami (80. do 84. člen ZBNIP) v okviru prenosa </w:t>
      </w:r>
      <w:bookmarkStart w:id="0" w:name="_Hlk171588305"/>
      <w:r w:rsidRPr="00215B2F">
        <w:rPr>
          <w:rFonts w:ascii="Arial" w:hAnsi="Arial" w:cs="Arial"/>
          <w:sz w:val="20"/>
          <w:szCs w:val="20"/>
        </w:rPr>
        <w:t xml:space="preserve">Direktive (EU) 2019/2034 Evropskega parlamenta in Sveta z dne 27. novembra 2019 o bonitetnem nadzoru investicijskih podjetij ter o spremembi direktiv 2002/87/ES, 2009/65/ES, 2011/61/EU, 2013/36/EU, 2014/59/EU in 2014/65/EU (UL L št. 314 z dne 5. 12. 2019, str. 64), zadnjič popravljene s Popravkom </w:t>
      </w:r>
      <w:bookmarkEnd w:id="0"/>
      <w:r w:rsidRPr="00215B2F">
        <w:rPr>
          <w:rFonts w:ascii="Arial" w:hAnsi="Arial" w:cs="Arial"/>
          <w:sz w:val="20"/>
          <w:szCs w:val="20"/>
        </w:rPr>
        <w:t>(UL L št. 405 z dne 2. 12. 2020, str. 84).</w:t>
      </w:r>
    </w:p>
    <w:p w14:paraId="0C88EB29" w14:textId="77777777" w:rsidR="0010347E" w:rsidRPr="00215B2F" w:rsidRDefault="0010347E" w:rsidP="0010347E">
      <w:pPr>
        <w:pStyle w:val="odstavek1"/>
        <w:shd w:val="clear" w:color="auto" w:fill="FFFFFF" w:themeFill="background1"/>
        <w:spacing w:before="0"/>
        <w:ind w:firstLine="0"/>
        <w:rPr>
          <w:bCs/>
          <w:sz w:val="20"/>
          <w:szCs w:val="20"/>
        </w:rPr>
      </w:pPr>
    </w:p>
    <w:p w14:paraId="7BB24C59" w14:textId="0AA91FDE" w:rsidR="0010347E" w:rsidRPr="00215B2F" w:rsidRDefault="0010347E" w:rsidP="0010347E">
      <w:pPr>
        <w:shd w:val="clear" w:color="auto" w:fill="FFFFFF" w:themeFill="background1"/>
        <w:tabs>
          <w:tab w:val="left" w:pos="284"/>
          <w:tab w:val="left" w:pos="3402"/>
        </w:tabs>
        <w:spacing w:after="0" w:line="240" w:lineRule="auto"/>
        <w:jc w:val="both"/>
        <w:rPr>
          <w:rFonts w:ascii="Arial" w:eastAsia="Times New Roman" w:hAnsi="Arial" w:cs="Arial"/>
          <w:b/>
          <w:sz w:val="20"/>
          <w:szCs w:val="20"/>
        </w:rPr>
      </w:pPr>
      <w:bookmarkStart w:id="1" w:name="_Hlk123814251"/>
      <w:bookmarkStart w:id="2" w:name="_Hlk187136804"/>
      <w:r w:rsidRPr="00215B2F">
        <w:rPr>
          <w:rFonts w:ascii="Arial" w:eastAsia="Times New Roman" w:hAnsi="Arial" w:cs="Arial"/>
          <w:bCs/>
          <w:sz w:val="20"/>
          <w:szCs w:val="20"/>
        </w:rPr>
        <w:t xml:space="preserve">Z Zakonom o spremembah in dopolnitvah Zakona o bančništvu </w:t>
      </w:r>
      <w:r w:rsidRPr="00215B2F">
        <w:rPr>
          <w:rFonts w:ascii="Arial" w:hAnsi="Arial" w:cs="Arial"/>
          <w:bCs/>
          <w:sz w:val="20"/>
          <w:szCs w:val="20"/>
        </w:rPr>
        <w:t xml:space="preserve">(Uradni list RS, št. 17/25) je bil osnovni zakon dopolnjen s prenosom številnih </w:t>
      </w:r>
      <w:r w:rsidR="00092B13" w:rsidRPr="00215B2F">
        <w:rPr>
          <w:rFonts w:ascii="Arial" w:hAnsi="Arial" w:cs="Arial"/>
          <w:bCs/>
          <w:sz w:val="20"/>
          <w:szCs w:val="20"/>
        </w:rPr>
        <w:t>direktiv</w:t>
      </w:r>
      <w:r w:rsidRPr="00215B2F">
        <w:rPr>
          <w:rFonts w:ascii="Arial" w:hAnsi="Arial" w:cs="Arial"/>
          <w:bCs/>
          <w:sz w:val="20"/>
          <w:szCs w:val="20"/>
        </w:rPr>
        <w:t xml:space="preserve"> EU. </w:t>
      </w:r>
      <w:bookmarkEnd w:id="1"/>
      <w:bookmarkEnd w:id="2"/>
      <w:r w:rsidRPr="00215B2F">
        <w:rPr>
          <w:rFonts w:ascii="Arial" w:hAnsi="Arial" w:cs="Arial"/>
          <w:sz w:val="20"/>
          <w:szCs w:val="20"/>
        </w:rPr>
        <w:t>V zvezi z digitalno odpornostjo se je nadgradilo notranje upravljanje, zahteva glede načrt</w:t>
      </w:r>
      <w:r w:rsidR="001143B9" w:rsidRPr="00215B2F">
        <w:rPr>
          <w:rFonts w:ascii="Arial" w:hAnsi="Arial" w:cs="Arial"/>
          <w:sz w:val="20"/>
          <w:szCs w:val="20"/>
        </w:rPr>
        <w:t>ov</w:t>
      </w:r>
      <w:r w:rsidRPr="00215B2F">
        <w:rPr>
          <w:rFonts w:ascii="Arial" w:hAnsi="Arial" w:cs="Arial"/>
          <w:sz w:val="20"/>
          <w:szCs w:val="20"/>
        </w:rPr>
        <w:t xml:space="preserve"> neprekinjenega poslovanja ter ocene tveganj in poročanja. V zvezi s trgom kriptosredstev so se dodale tri nove vrste finančnih storitev, ki jih lahko opravljajo banke. Dodatno se je uvedlo revizorjevo poročilo o dajanju zagotovil o trajnostnosti. Novela je določila tudi večjo jasnost glede uporabe določbe glede tako imenovanih kreditnih družb (velikih investicijskih, ki so po zakonodaji Evropske unije obravnavane kot kreditne institucije zaradi nadzora nad njimi s strani ECB). Dodatno se je z novelo nadgradil veljavni zakon z nekaterimi preostalimi vsebinami. Med drugim (i) se je uzakonila možnost uporabe spletnega portala ECB za vlaganje vlog in informacij kot pomemben korak v smeri digitalizacije, (ii) ukinila sta se dodatni revizijski pregled in predložitev dodatnega revizorjevega poročila o izpolnjevanju pravil o upravljanju tveganj v banki v izogib podvajanju zahtev za banke, (iii) zagotovila se je pravna podlaga za nadzorniški dialog v okviru nadzorniškega pisma, (iv) uredila se je pravna podlaga za poročilo o preliminarnih ugotovitvah inšpekcijskega pregleda banke, (v) podaljšal se je rok za izdajo sklepa o odpravi procesnih pomanjkljivosti v zvezi z </w:t>
      </w:r>
      <w:r w:rsidRPr="00215B2F">
        <w:rPr>
          <w:rFonts w:ascii="Arial" w:hAnsi="Arial" w:cs="Arial"/>
          <w:sz w:val="20"/>
          <w:szCs w:val="20"/>
          <w:shd w:val="clear" w:color="auto" w:fill="FFFFFF"/>
        </w:rPr>
        <w:t>zahtevo za izdajo dovoljenja za pridobitev kvalificiranega deleža,</w:t>
      </w:r>
      <w:r w:rsidRPr="00215B2F">
        <w:rPr>
          <w:rFonts w:ascii="Arial" w:hAnsi="Arial" w:cs="Arial"/>
          <w:sz w:val="20"/>
          <w:szCs w:val="20"/>
        </w:rPr>
        <w:t xml:space="preserve"> (vi) določile so se možnosti ukrepanja Banke Slovenije v času od </w:t>
      </w:r>
      <w:r w:rsidRPr="00215B2F">
        <w:rPr>
          <w:rFonts w:ascii="Arial" w:hAnsi="Arial" w:cs="Arial"/>
          <w:sz w:val="20"/>
          <w:szCs w:val="20"/>
        </w:rPr>
        <w:lastRenderedPageBreak/>
        <w:t xml:space="preserve">sprejetja odločitve za propad ali verjetni propad banke, (vii) podaljšal se je zastaralni rok, upoštevaje kompleksnost postopkov o prekršku iz pristojnosti Banke Slovenije. </w:t>
      </w:r>
    </w:p>
    <w:p w14:paraId="0227E4FA" w14:textId="77777777" w:rsidR="0010347E" w:rsidRPr="00215B2F" w:rsidRDefault="0010347E" w:rsidP="0010347E">
      <w:pPr>
        <w:pStyle w:val="odstavek1"/>
        <w:shd w:val="clear" w:color="auto" w:fill="FFFFFF" w:themeFill="background1"/>
        <w:spacing w:before="0"/>
        <w:ind w:firstLine="0"/>
        <w:rPr>
          <w:bCs/>
          <w:sz w:val="20"/>
          <w:szCs w:val="20"/>
        </w:rPr>
      </w:pPr>
    </w:p>
    <w:p w14:paraId="4F87FB00" w14:textId="77777777" w:rsidR="0010347E" w:rsidRPr="00215B2F" w:rsidRDefault="0010347E" w:rsidP="0010347E">
      <w:pPr>
        <w:pStyle w:val="odstavek1"/>
        <w:shd w:val="clear" w:color="auto" w:fill="FFFFFF" w:themeFill="background1"/>
        <w:spacing w:before="0"/>
        <w:ind w:firstLine="0"/>
        <w:rPr>
          <w:sz w:val="20"/>
          <w:szCs w:val="20"/>
        </w:rPr>
      </w:pPr>
      <w:r w:rsidRPr="00215B2F">
        <w:rPr>
          <w:bCs/>
          <w:sz w:val="20"/>
          <w:szCs w:val="20"/>
        </w:rPr>
        <w:t>ZBan-3</w:t>
      </w:r>
      <w:r w:rsidRPr="00215B2F">
        <w:rPr>
          <w:sz w:val="20"/>
          <w:szCs w:val="20"/>
        </w:rPr>
        <w:t xml:space="preserve"> ureja naslednja področja:</w:t>
      </w:r>
    </w:p>
    <w:p w14:paraId="2EB500F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0F3365B" w14:textId="77777777" w:rsidR="0010347E" w:rsidRPr="00215B2F" w:rsidRDefault="0010347E" w:rsidP="003D4DE0">
      <w:pPr>
        <w:pStyle w:val="Odstavekseznama"/>
        <w:numPr>
          <w:ilvl w:val="0"/>
          <w:numId w:val="341"/>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pogoje za ustanovitev, poslovanje in redno prenehanje kreditnih institucij s sedežem v Republiki Sloveniji;</w:t>
      </w:r>
    </w:p>
    <w:p w14:paraId="3D794276" w14:textId="77777777" w:rsidR="0010347E" w:rsidRPr="00215B2F" w:rsidRDefault="0010347E" w:rsidP="003D4DE0">
      <w:pPr>
        <w:pStyle w:val="Odstavekseznama"/>
        <w:numPr>
          <w:ilvl w:val="0"/>
          <w:numId w:val="341"/>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pogoje, pod katerimi lahko kreditne institucije s sedežem zunaj Republike Slovenije poslujejo na območju Republike Slovenije;</w:t>
      </w:r>
    </w:p>
    <w:p w14:paraId="6FF77704" w14:textId="77777777" w:rsidR="0010347E" w:rsidRPr="00215B2F" w:rsidRDefault="0010347E" w:rsidP="003D4DE0">
      <w:pPr>
        <w:pStyle w:val="Odstavekseznama"/>
        <w:numPr>
          <w:ilvl w:val="0"/>
          <w:numId w:val="341"/>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pristojne organe, ukrepe in pooblastila za izvajanje nadzora nad poslovanjem kreditnih institucij v Republiki Sloveniji in nadzora nad poslovanjem drugih oseb, ki na območju Republike Slovenije v nasprotju s tem zakonom opravljajo storitve sprejemanja depozitov od javnosti;</w:t>
      </w:r>
    </w:p>
    <w:p w14:paraId="039DBF9B" w14:textId="77777777" w:rsidR="0010347E" w:rsidRPr="00215B2F" w:rsidRDefault="0010347E" w:rsidP="003D4DE0">
      <w:pPr>
        <w:pStyle w:val="Odstavekseznama"/>
        <w:numPr>
          <w:ilvl w:val="0"/>
          <w:numId w:val="341"/>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ukrepe in pooblastila za obvladovanje makrobonitetnega ali sistemskega tveganja v zvezi s kreditnimi institucijami s sedežem v Republiki Sloveniji.</w:t>
      </w:r>
    </w:p>
    <w:p w14:paraId="55CC473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8D4113F"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1.2. Razlogi za sprejem predloga zakona</w:t>
      </w:r>
    </w:p>
    <w:p w14:paraId="1AA66DB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DCABD9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nadaljnjem besedilu je povzeta problematika, ki se nadgrajuje s predlogom zakona in je vezana na prenos </w:t>
      </w:r>
      <w:bookmarkStart w:id="3" w:name="_Hlk204764531"/>
      <w:r w:rsidRPr="00215B2F">
        <w:rPr>
          <w:rFonts w:ascii="Arial" w:hAnsi="Arial" w:cs="Arial"/>
          <w:sz w:val="20"/>
          <w:szCs w:val="20"/>
        </w:rPr>
        <w:t xml:space="preserve">Direktive (EU) 2024/1619 Evropskega parlamenta in Sveta z dne 31. maja 2024 o spremembi Direktive 2013/36/EU v zvezi z nadzorniškimi pooblastili, sankcijami, podružnicami iz tretjih držav in okoljskimi, socialnimi in upravljavskimi tveganji </w:t>
      </w:r>
      <w:bookmarkEnd w:id="3"/>
      <w:r w:rsidRPr="00215B2F">
        <w:rPr>
          <w:rFonts w:ascii="Arial" w:hAnsi="Arial" w:cs="Arial"/>
          <w:sz w:val="20"/>
          <w:szCs w:val="20"/>
        </w:rPr>
        <w:t>(</w:t>
      </w:r>
      <w:r w:rsidRPr="00215B2F">
        <w:rPr>
          <w:rFonts w:ascii="Arial" w:hAnsi="Arial" w:cs="Arial"/>
          <w:bCs/>
          <w:sz w:val="20"/>
          <w:szCs w:val="20"/>
        </w:rPr>
        <w:t>UL L št. 2024/1619 z dne 19. 6. 2024; v nadaljnjem besedilu: Direktiva 2024/1619/EU).</w:t>
      </w:r>
      <w:r w:rsidRPr="00215B2F">
        <w:rPr>
          <w:rStyle w:val="Sprotnaopomba-sklic"/>
          <w:rFonts w:ascii="Arial" w:hAnsi="Arial" w:cs="Arial"/>
          <w:sz w:val="20"/>
          <w:szCs w:val="20"/>
        </w:rPr>
        <w:footnoteReference w:id="2"/>
      </w:r>
    </w:p>
    <w:p w14:paraId="65D7729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552E724"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b/>
          <w:bCs/>
          <w:color w:val="auto"/>
          <w:sz w:val="20"/>
          <w:szCs w:val="20"/>
        </w:rPr>
      </w:pPr>
      <w:bookmarkStart w:id="4" w:name="_Hlk204165747"/>
      <w:bookmarkStart w:id="5" w:name="_Hlk201232185"/>
      <w:bookmarkStart w:id="6" w:name="_Hlk171068764"/>
      <w:r w:rsidRPr="00215B2F">
        <w:rPr>
          <w:rFonts w:ascii="Arial" w:hAnsi="Arial" w:cs="Arial"/>
          <w:b/>
          <w:bCs/>
          <w:color w:val="auto"/>
          <w:sz w:val="20"/>
          <w:szCs w:val="20"/>
        </w:rPr>
        <w:t>1.2.1. Banke iz tretjih držav</w:t>
      </w:r>
    </w:p>
    <w:p w14:paraId="287A07F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p>
    <w:p w14:paraId="6C90C8A0"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1.2.1.1. Pogoji za opravljanje bančnih storitev iz tretjih držav</w:t>
      </w:r>
    </w:p>
    <w:p w14:paraId="096D94E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BF6B956" w14:textId="18894643"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Opravljanje osnovnih bančnih storitev iz </w:t>
      </w:r>
      <w:r w:rsidR="00B005EA" w:rsidRPr="00215B2F">
        <w:rPr>
          <w:rFonts w:ascii="Arial" w:hAnsi="Arial" w:cs="Arial"/>
          <w:sz w:val="20"/>
          <w:szCs w:val="20"/>
        </w:rPr>
        <w:t>Priloge </w:t>
      </w:r>
      <w:r w:rsidRPr="00215B2F">
        <w:rPr>
          <w:rFonts w:ascii="Arial" w:hAnsi="Arial" w:cs="Arial"/>
          <w:sz w:val="20"/>
          <w:szCs w:val="20"/>
        </w:rPr>
        <w:t xml:space="preserve">I, točke 1, 2 in 6, k Direktivi 2013/36/EU bi moralo biti pogojeno z izrecno in harmonizirano zahtevo glede dovoljenja, določeno v pravu </w:t>
      </w:r>
      <w:r w:rsidR="001E58FE" w:rsidRPr="00215B2F">
        <w:rPr>
          <w:rFonts w:ascii="Arial" w:hAnsi="Arial" w:cs="Arial"/>
          <w:sz w:val="20"/>
          <w:szCs w:val="20"/>
        </w:rPr>
        <w:t>Evropske unije</w:t>
      </w:r>
      <w:r w:rsidRPr="00215B2F">
        <w:rPr>
          <w:rFonts w:ascii="Arial" w:hAnsi="Arial" w:cs="Arial"/>
          <w:sz w:val="20"/>
          <w:szCs w:val="20"/>
        </w:rPr>
        <w:t>, v skladu s katero morajo družbe s sedežem v tretji državi, ki želijo opravljati take osnovne bančne storitve v </w:t>
      </w:r>
      <w:r w:rsidR="001E58FE" w:rsidRPr="00215B2F">
        <w:rPr>
          <w:rFonts w:ascii="Arial" w:hAnsi="Arial" w:cs="Arial"/>
          <w:sz w:val="20"/>
          <w:szCs w:val="20"/>
        </w:rPr>
        <w:t>Evropski u</w:t>
      </w:r>
      <w:r w:rsidRPr="00215B2F">
        <w:rPr>
          <w:rFonts w:ascii="Arial" w:hAnsi="Arial" w:cs="Arial"/>
          <w:sz w:val="20"/>
          <w:szCs w:val="20"/>
        </w:rPr>
        <w:t xml:space="preserve">niji, ustanoviti vsaj podružnico v državi članici, taka podružnica pa bi morala imeti </w:t>
      </w:r>
      <w:r w:rsidRPr="00215B2F">
        <w:rPr>
          <w:rFonts w:ascii="Arial" w:hAnsi="Arial" w:cs="Arial"/>
          <w:b/>
          <w:bCs/>
          <w:sz w:val="20"/>
          <w:szCs w:val="20"/>
        </w:rPr>
        <w:t xml:space="preserve">dovoljenje </w:t>
      </w:r>
      <w:r w:rsidRPr="00215B2F">
        <w:rPr>
          <w:rFonts w:ascii="Arial" w:hAnsi="Arial" w:cs="Arial"/>
          <w:sz w:val="20"/>
          <w:szCs w:val="20"/>
        </w:rPr>
        <w:t xml:space="preserve">v skladu s pravom </w:t>
      </w:r>
      <w:r w:rsidR="001E58FE" w:rsidRPr="00215B2F">
        <w:rPr>
          <w:rFonts w:ascii="Arial" w:hAnsi="Arial" w:cs="Arial"/>
          <w:sz w:val="20"/>
          <w:szCs w:val="20"/>
        </w:rPr>
        <w:t>Evropske unije</w:t>
      </w:r>
      <w:r w:rsidRPr="00215B2F">
        <w:rPr>
          <w:rFonts w:ascii="Arial" w:hAnsi="Arial" w:cs="Arial"/>
          <w:sz w:val="20"/>
          <w:szCs w:val="20"/>
        </w:rPr>
        <w:t>, razen če želi družba opravljati bančne storitve v </w:t>
      </w:r>
      <w:r w:rsidR="001E58FE" w:rsidRPr="00215B2F">
        <w:rPr>
          <w:rFonts w:ascii="Arial" w:hAnsi="Arial" w:cs="Arial"/>
          <w:sz w:val="20"/>
          <w:szCs w:val="20"/>
        </w:rPr>
        <w:t>Evropski uniji</w:t>
      </w:r>
      <w:r w:rsidRPr="00215B2F">
        <w:rPr>
          <w:rFonts w:ascii="Arial" w:hAnsi="Arial" w:cs="Arial"/>
          <w:sz w:val="20"/>
          <w:szCs w:val="20"/>
        </w:rPr>
        <w:t xml:space="preserve"> prek podrejene družbe.</w:t>
      </w:r>
    </w:p>
    <w:p w14:paraId="5330FA6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902F2F3" w14:textId="2A03EAFD"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Uporaba bančnih storitev zunaj </w:t>
      </w:r>
      <w:r w:rsidR="001E58FE" w:rsidRPr="00215B2F">
        <w:rPr>
          <w:rFonts w:ascii="Arial" w:hAnsi="Arial" w:cs="Arial"/>
          <w:sz w:val="20"/>
          <w:szCs w:val="20"/>
        </w:rPr>
        <w:t>Evropske unije</w:t>
      </w:r>
      <w:r w:rsidRPr="00215B2F">
        <w:rPr>
          <w:rFonts w:ascii="Arial" w:hAnsi="Arial" w:cs="Arial"/>
          <w:sz w:val="20"/>
          <w:szCs w:val="20"/>
        </w:rPr>
        <w:t xml:space="preserve"> mora ostati nespremenjena. </w:t>
      </w:r>
    </w:p>
    <w:p w14:paraId="560DD0AA" w14:textId="77777777" w:rsidR="001E58FE" w:rsidRPr="00215B2F" w:rsidRDefault="001E58FE" w:rsidP="0010347E">
      <w:pPr>
        <w:shd w:val="clear" w:color="auto" w:fill="FFFFFF" w:themeFill="background1"/>
        <w:spacing w:after="0" w:line="240" w:lineRule="auto"/>
        <w:jc w:val="both"/>
        <w:rPr>
          <w:rFonts w:ascii="Arial" w:hAnsi="Arial" w:cs="Arial"/>
          <w:sz w:val="20"/>
          <w:szCs w:val="20"/>
        </w:rPr>
      </w:pPr>
    </w:p>
    <w:p w14:paraId="212F0A3A" w14:textId="45587D3E"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(a) Zahteva po ustanovitvi podružnice v </w:t>
      </w:r>
      <w:r w:rsidR="001E58FE" w:rsidRPr="00215B2F">
        <w:rPr>
          <w:rFonts w:ascii="Arial" w:hAnsi="Arial" w:cs="Arial"/>
          <w:sz w:val="20"/>
          <w:szCs w:val="20"/>
        </w:rPr>
        <w:t>Evropski uniji</w:t>
      </w:r>
      <w:r w:rsidRPr="00215B2F">
        <w:rPr>
          <w:rFonts w:ascii="Arial" w:hAnsi="Arial" w:cs="Arial"/>
          <w:sz w:val="20"/>
          <w:szCs w:val="20"/>
        </w:rPr>
        <w:t xml:space="preserve"> se ne bi smela uporabljati v primerih povpraševanja na </w:t>
      </w:r>
      <w:r w:rsidRPr="00215B2F">
        <w:rPr>
          <w:rFonts w:ascii="Arial" w:hAnsi="Arial" w:cs="Arial"/>
          <w:b/>
          <w:bCs/>
          <w:sz w:val="20"/>
          <w:szCs w:val="20"/>
        </w:rPr>
        <w:t>lastno pobudo</w:t>
      </w:r>
      <w:r w:rsidRPr="00215B2F">
        <w:rPr>
          <w:rFonts w:ascii="Arial" w:hAnsi="Arial" w:cs="Arial"/>
          <w:sz w:val="20"/>
          <w:szCs w:val="20"/>
        </w:rPr>
        <w:t xml:space="preserve">, to je, kadar stranka ali nasprotna stranka izključno na lastno pobudo naveže stik z družbo s sedežem v tretji državi zaradi opravljanja bančnih storitev, vključno z njihovim nadaljnjim opravljanjem, ali bančnih storitev, ki so tesno povezane s tistimi, po katerih se prvotno povprašuje. </w:t>
      </w:r>
    </w:p>
    <w:p w14:paraId="24A8248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18DC6CD" w14:textId="5E44F246"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 Da bi preprečili, da bi se podjetja iz tretjih držav izogibala pravilom, ki se uporabljajo za čezmejno opravljanje bančnih storitev, bi morali imeti pristojni organi možnost spremljati opravljanje navedenih storitev. Zahteva po ustanovitvi podružnice v </w:t>
      </w:r>
      <w:r w:rsidR="001E58FE" w:rsidRPr="00215B2F">
        <w:rPr>
          <w:rFonts w:ascii="Arial" w:hAnsi="Arial" w:cs="Arial"/>
          <w:sz w:val="20"/>
          <w:szCs w:val="20"/>
        </w:rPr>
        <w:t>Evropski uniji</w:t>
      </w:r>
      <w:r w:rsidRPr="00215B2F">
        <w:rPr>
          <w:rFonts w:ascii="Arial" w:hAnsi="Arial" w:cs="Arial"/>
          <w:sz w:val="20"/>
          <w:szCs w:val="20"/>
        </w:rPr>
        <w:t xml:space="preserve"> se prav tako ne bi smela uporabljati za medbančne in medposredniške </w:t>
      </w:r>
      <w:r w:rsidRPr="00215B2F">
        <w:rPr>
          <w:rFonts w:ascii="Arial" w:hAnsi="Arial" w:cs="Arial"/>
          <w:b/>
          <w:bCs/>
          <w:sz w:val="20"/>
          <w:szCs w:val="20"/>
        </w:rPr>
        <w:t>transakcije</w:t>
      </w:r>
      <w:r w:rsidRPr="00215B2F">
        <w:rPr>
          <w:rFonts w:ascii="Arial" w:hAnsi="Arial" w:cs="Arial"/>
          <w:sz w:val="20"/>
          <w:szCs w:val="20"/>
        </w:rPr>
        <w:t xml:space="preserve">. </w:t>
      </w:r>
    </w:p>
    <w:p w14:paraId="1710811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F340D70" w14:textId="7FE1C4DA"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(c) Poleg tega, brez poseganja v ureditev izdajanja dovoljenj iz</w:t>
      </w:r>
      <w:r w:rsidR="00092B13" w:rsidRPr="00215B2F">
        <w:rPr>
          <w:rFonts w:ascii="Arial" w:hAnsi="Arial" w:cs="Arial"/>
          <w:b/>
          <w:bCs/>
          <w:sz w:val="20"/>
          <w:szCs w:val="20"/>
        </w:rPr>
        <w:t xml:space="preserve"> </w:t>
      </w:r>
      <w:r w:rsidR="00092B13" w:rsidRPr="00215B2F">
        <w:rPr>
          <w:rFonts w:ascii="Arial" w:hAnsi="Arial" w:cs="Arial"/>
          <w:sz w:val="20"/>
          <w:szCs w:val="20"/>
        </w:rPr>
        <w:t xml:space="preserve">Direktive 2014/65/EU Evropskega parlamenta in Sveta z dne 15. maja 2014 o trgih finančnih instrumentov ter spremembi Direktive 2002/92/ES in Direktive 2011/61/EU </w:t>
      </w:r>
      <w:r w:rsidRPr="00215B2F">
        <w:rPr>
          <w:rFonts w:ascii="Arial" w:hAnsi="Arial" w:cs="Arial"/>
          <w:sz w:val="20"/>
          <w:szCs w:val="20"/>
        </w:rPr>
        <w:t>ter Uredbe (EU) št. 648/2012 Evropskega parlamenta in Sveta</w:t>
      </w:r>
      <w:r w:rsidR="00092B13" w:rsidRPr="00215B2F">
        <w:rPr>
          <w:rFonts w:ascii="Arial" w:hAnsi="Arial" w:cs="Arial"/>
          <w:sz w:val="20"/>
          <w:szCs w:val="20"/>
        </w:rPr>
        <w:t xml:space="preserve"> z dne 4. julija 2012 o izvedenih finančnih instrumentih OTC, centralnih nasprotnih strankah in repozitorijih sklenjenih poslov</w:t>
      </w:r>
      <w:r w:rsidRPr="00215B2F">
        <w:rPr>
          <w:rFonts w:ascii="Arial" w:hAnsi="Arial" w:cs="Arial"/>
          <w:sz w:val="20"/>
          <w:szCs w:val="20"/>
        </w:rPr>
        <w:t>, se zahteva po ustanovitvi podružnice ne bi smela uporabljati v primerih, v katerih kreditne institucije iz tretjih držav v </w:t>
      </w:r>
      <w:r w:rsidR="001E58FE" w:rsidRPr="00215B2F">
        <w:rPr>
          <w:rFonts w:ascii="Arial" w:hAnsi="Arial" w:cs="Arial"/>
          <w:sz w:val="20"/>
          <w:szCs w:val="20"/>
        </w:rPr>
        <w:t>Evropski uniji</w:t>
      </w:r>
      <w:r w:rsidRPr="00215B2F">
        <w:rPr>
          <w:rFonts w:ascii="Arial" w:hAnsi="Arial" w:cs="Arial"/>
          <w:sz w:val="20"/>
          <w:szCs w:val="20"/>
        </w:rPr>
        <w:t xml:space="preserve"> opravljajo </w:t>
      </w:r>
      <w:r w:rsidRPr="00215B2F">
        <w:rPr>
          <w:rFonts w:ascii="Arial" w:hAnsi="Arial" w:cs="Arial"/>
          <w:b/>
          <w:bCs/>
          <w:sz w:val="20"/>
          <w:szCs w:val="20"/>
        </w:rPr>
        <w:t>investicijske storitve</w:t>
      </w:r>
      <w:r w:rsidRPr="00215B2F">
        <w:rPr>
          <w:rFonts w:ascii="Arial" w:hAnsi="Arial" w:cs="Arial"/>
          <w:sz w:val="20"/>
          <w:szCs w:val="20"/>
        </w:rPr>
        <w:t xml:space="preserve"> in posle iz priloge I, oddelek A, k Direktivi 2014/65/EU ter katere koli pomožne storitve, kot je povezano sprejemanje vlog ali odobritev kreditov ali posojil, katerih namen je opravljanje storitev na podlagi navedene direktive, vključno z opravljanjem storitev trgovanja s finančnimi instrumenti ali upravljanjem </w:t>
      </w:r>
      <w:r w:rsidRPr="00215B2F">
        <w:rPr>
          <w:rFonts w:ascii="Arial" w:hAnsi="Arial" w:cs="Arial"/>
          <w:sz w:val="20"/>
          <w:szCs w:val="20"/>
        </w:rPr>
        <w:lastRenderedPageBreak/>
        <w:t>zasebnega premoženja. Vendar bi se pri takem izvzetju morala upoštevati skladnost s pravili o preprečevanju pranja denarja in financiranja terorizma iz Direktive (EU) 2015/849.</w:t>
      </w:r>
      <w:r w:rsidR="00092B13" w:rsidRPr="00215B2F">
        <w:rPr>
          <w:rFonts w:ascii="Arial" w:hAnsi="Arial" w:cs="Arial"/>
          <w:sz w:val="20"/>
          <w:szCs w:val="20"/>
        </w:rPr>
        <w:t xml:space="preserve"> </w:t>
      </w:r>
    </w:p>
    <w:p w14:paraId="3AF47E98" w14:textId="74F95D38"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0A95F44"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1.2.1.2. Vzpostavitev regulativnega okvira</w:t>
      </w:r>
    </w:p>
    <w:p w14:paraId="0CB8899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E828606" w14:textId="7DD93220"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Za podružnice, ki jih ustanovijo družbe iz tretje države za opravljanje bančnih storitev v državi članici, velja </w:t>
      </w:r>
      <w:r w:rsidRPr="00215B2F">
        <w:rPr>
          <w:rFonts w:ascii="Arial" w:hAnsi="Arial" w:cs="Arial"/>
          <w:b/>
          <w:bCs/>
          <w:sz w:val="20"/>
          <w:szCs w:val="20"/>
        </w:rPr>
        <w:t>nacionalno pravo</w:t>
      </w:r>
      <w:r w:rsidRPr="00215B2F">
        <w:rPr>
          <w:rFonts w:ascii="Arial" w:hAnsi="Arial" w:cs="Arial"/>
          <w:sz w:val="20"/>
          <w:szCs w:val="20"/>
        </w:rPr>
        <w:t xml:space="preserve">, njihova ureditev pa je zgolj v zelo omejenem obsegu harmonizirana z Direktivo 2013/36/EU. Čeprav so podružnice iz tretjih držav v precejšnjem in vse večjem obsegu prisotne na bančnih trgih </w:t>
      </w:r>
      <w:r w:rsidR="001E58FE" w:rsidRPr="00215B2F">
        <w:rPr>
          <w:rFonts w:ascii="Arial" w:hAnsi="Arial" w:cs="Arial"/>
          <w:sz w:val="20"/>
          <w:szCs w:val="20"/>
        </w:rPr>
        <w:t>Evropske unije</w:t>
      </w:r>
      <w:r w:rsidRPr="00215B2F">
        <w:rPr>
          <w:rFonts w:ascii="Arial" w:hAnsi="Arial" w:cs="Arial"/>
          <w:sz w:val="20"/>
          <w:szCs w:val="20"/>
        </w:rPr>
        <w:t xml:space="preserve">, zanje trenutno veljajo samo zelo splošne zahteve glede informacij, ne pa tudi bonitetni standardi na ravni </w:t>
      </w:r>
      <w:r w:rsidR="001E58FE" w:rsidRPr="00215B2F">
        <w:rPr>
          <w:rFonts w:ascii="Arial" w:hAnsi="Arial" w:cs="Arial"/>
          <w:sz w:val="20"/>
          <w:szCs w:val="20"/>
        </w:rPr>
        <w:t>Evropske unije</w:t>
      </w:r>
      <w:r w:rsidRPr="00215B2F">
        <w:rPr>
          <w:rFonts w:ascii="Arial" w:hAnsi="Arial" w:cs="Arial"/>
          <w:sz w:val="20"/>
          <w:szCs w:val="20"/>
        </w:rPr>
        <w:t xml:space="preserve"> ali dogovori o nadzorniškem sodelovanju. Zaradi popolne odsotnosti skupnega bonitetnega okvira se za podružnice iz tretjih držav uporabljajo različne nacionalne zahteve z različnimi ravnmi preudarnosti in obsega. </w:t>
      </w:r>
    </w:p>
    <w:p w14:paraId="105C61C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320FC92" w14:textId="4C00FE06"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Poleg tega pristojni organi nimajo celovitih informacij in potrebnih nadzorniških orodij za ustrezno spremljanje posebnih tveganj, ki izhajajo iz poslovanja skupine iz tretjih držav v eni ali več državah članicah prek podružnic in podrejenih družb. V zvezi z njimi trenutno ni integriranih nadzorniških ureditev in pristojni organ, odgovoren za nadzor nad posamezno podružnico iz tretje države, nima dolžnosti </w:t>
      </w:r>
      <w:r w:rsidR="00B005EA" w:rsidRPr="00215B2F">
        <w:rPr>
          <w:rFonts w:ascii="Arial" w:hAnsi="Arial" w:cs="Arial"/>
          <w:sz w:val="20"/>
          <w:szCs w:val="20"/>
        </w:rPr>
        <w:t xml:space="preserve">izmenjavanja </w:t>
      </w:r>
      <w:r w:rsidRPr="00215B2F">
        <w:rPr>
          <w:rFonts w:ascii="Arial" w:hAnsi="Arial" w:cs="Arial"/>
          <w:sz w:val="20"/>
          <w:szCs w:val="20"/>
        </w:rPr>
        <w:t>informacij s pristojnimi organi, ki nadzorujejo druge podružnice in podrejene družbe iste skupine. Tako razdrobljeno regulativno okolje ustvarja tveganja za finančno stabilnost in celovitost trga v </w:t>
      </w:r>
      <w:r w:rsidR="001E58FE" w:rsidRPr="00215B2F">
        <w:rPr>
          <w:rFonts w:ascii="Arial" w:hAnsi="Arial" w:cs="Arial"/>
          <w:sz w:val="20"/>
          <w:szCs w:val="20"/>
        </w:rPr>
        <w:t>Evropski uniji</w:t>
      </w:r>
      <w:r w:rsidRPr="00215B2F">
        <w:rPr>
          <w:rFonts w:ascii="Arial" w:hAnsi="Arial" w:cs="Arial"/>
          <w:sz w:val="20"/>
          <w:szCs w:val="20"/>
        </w:rPr>
        <w:t xml:space="preserve">, zato bi ga bilo treba ustrezno obravnavati z usklajenim regulativnim okvirom za podružnice iz tretjih držav. Tak okvir bi moral vsebovati </w:t>
      </w:r>
      <w:r w:rsidRPr="00215B2F">
        <w:rPr>
          <w:rFonts w:ascii="Arial" w:hAnsi="Arial" w:cs="Arial"/>
          <w:b/>
          <w:bCs/>
          <w:sz w:val="20"/>
          <w:szCs w:val="20"/>
        </w:rPr>
        <w:t xml:space="preserve">minimalne </w:t>
      </w:r>
      <w:r w:rsidRPr="00215B2F">
        <w:rPr>
          <w:rFonts w:ascii="Arial" w:hAnsi="Arial" w:cs="Arial"/>
          <w:sz w:val="20"/>
          <w:szCs w:val="20"/>
        </w:rPr>
        <w:t>skupne</w:t>
      </w:r>
      <w:r w:rsidRPr="00215B2F">
        <w:rPr>
          <w:rFonts w:ascii="Arial" w:hAnsi="Arial" w:cs="Arial"/>
          <w:b/>
          <w:bCs/>
          <w:sz w:val="20"/>
          <w:szCs w:val="20"/>
        </w:rPr>
        <w:t xml:space="preserve"> zahteve</w:t>
      </w:r>
      <w:r w:rsidRPr="00215B2F">
        <w:rPr>
          <w:rFonts w:ascii="Arial" w:hAnsi="Arial" w:cs="Arial"/>
          <w:sz w:val="20"/>
          <w:szCs w:val="20"/>
        </w:rPr>
        <w:t xml:space="preserve"> glede izdaje dovoljenj, bonitetnih standardov, notranjega upravljanja, nadzora in poročanja. Ta sklop zahtev bi moral temeljiti na zahtevah, ki jih države članice že uporabljajo za podružnice iz tretjih držav na svojih ozemljih, pri čemer bi bilo treba upoštevati podobne ali enakovredne zahteve, ki jih tretje države uporabljajo za tuje podružnice, s ciljem zagotoviti skladnost med državami članicami in uskladiti regulativni okvir </w:t>
      </w:r>
      <w:r w:rsidR="001E58FE" w:rsidRPr="00215B2F">
        <w:rPr>
          <w:rFonts w:ascii="Arial" w:hAnsi="Arial" w:cs="Arial"/>
          <w:sz w:val="20"/>
          <w:szCs w:val="20"/>
        </w:rPr>
        <w:t>Evropske unije</w:t>
      </w:r>
      <w:r w:rsidRPr="00215B2F">
        <w:rPr>
          <w:rFonts w:ascii="Arial" w:hAnsi="Arial" w:cs="Arial"/>
          <w:sz w:val="20"/>
          <w:szCs w:val="20"/>
        </w:rPr>
        <w:t xml:space="preserve"> za podružnice iz tretjih držav s prevladujočimi mednarodnimi praksami na tem področju.</w:t>
      </w:r>
    </w:p>
    <w:p w14:paraId="6386339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E7738A6" w14:textId="4506808A"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Pristojni organi bi morali imeti možnost, da pri izdajanju dovoljenj podružnicam</w:t>
      </w:r>
      <w:r w:rsidR="00092B13" w:rsidRPr="00215B2F">
        <w:rPr>
          <w:rFonts w:ascii="Arial" w:hAnsi="Arial" w:cs="Arial"/>
          <w:sz w:val="20"/>
          <w:szCs w:val="20"/>
        </w:rPr>
        <w:t xml:space="preserve"> družbe</w:t>
      </w:r>
      <w:r w:rsidRPr="00215B2F">
        <w:rPr>
          <w:rFonts w:ascii="Arial" w:hAnsi="Arial" w:cs="Arial"/>
          <w:sz w:val="20"/>
          <w:szCs w:val="20"/>
        </w:rPr>
        <w:t xml:space="preserve"> iz tretjih držav in njihovem nadzoru učinkovito izvajajo svoje</w:t>
      </w:r>
      <w:r w:rsidRPr="00215B2F">
        <w:rPr>
          <w:rFonts w:ascii="Arial" w:hAnsi="Arial" w:cs="Arial"/>
          <w:b/>
          <w:bCs/>
          <w:sz w:val="20"/>
          <w:szCs w:val="20"/>
        </w:rPr>
        <w:t xml:space="preserve"> nadzorniške</w:t>
      </w:r>
      <w:r w:rsidRPr="00215B2F">
        <w:rPr>
          <w:rFonts w:ascii="Arial" w:hAnsi="Arial" w:cs="Arial"/>
          <w:sz w:val="20"/>
          <w:szCs w:val="20"/>
        </w:rPr>
        <w:t xml:space="preserve"> funkcije. V ta namen morajo imeti dostop do vseh potrebnih informacij o matični družbi podružnice iz tretje države, ki jih imajo nadzorni organi zadevne tretje države, in možnost, da učinkovito usklajujejo svoje nadzorniške dejavnosti z nadzorniškimi dejavnostmi nadzornih organov tretje države. Preden začne podružnica iz tretje države opravljati dejavnosti v državi članici, bi si morali pristojni organi prizadevati skleniti dogovor z nadzornim organom zadevne tretje države ter tako omogočiti sodelovanje in izmenjavo informacij. Tak dogovor bi moral temeljiti na modelu za upravne dogovore, ki ga pripravi EBA. Pristojni organi bi morali informacije o takih dogovorih predložiti EBA. Kadar sklenitev upravnega dogovora na podlagi modela, ki ga pripravi EBA, ni mogoča, bi pristojni organi morali imeti možnost uporabiti druge dogovore, na primer izmenjavo </w:t>
      </w:r>
      <w:r w:rsidR="001143B9" w:rsidRPr="00215B2F">
        <w:rPr>
          <w:rFonts w:ascii="Arial" w:hAnsi="Arial" w:cs="Arial"/>
          <w:sz w:val="20"/>
          <w:szCs w:val="20"/>
        </w:rPr>
        <w:t>uradnih dopisov</w:t>
      </w:r>
      <w:r w:rsidRPr="00215B2F">
        <w:rPr>
          <w:rFonts w:ascii="Arial" w:hAnsi="Arial" w:cs="Arial"/>
          <w:sz w:val="20"/>
          <w:szCs w:val="20"/>
        </w:rPr>
        <w:t>, da bi zagotovili, da lahko izvajajo svojo nadzorniško funkcijo.</w:t>
      </w:r>
    </w:p>
    <w:p w14:paraId="2EC502A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6DF3E67" w14:textId="11F4755E" w:rsidR="00092B13" w:rsidRPr="00215B2F" w:rsidRDefault="0010347E" w:rsidP="00092B13">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1.2.1.3. Klasifikacija po stopnji tveganja</w:t>
      </w:r>
    </w:p>
    <w:p w14:paraId="24A07D8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B41E27E" w14:textId="0A8B9233" w:rsidR="00092B13"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Zaradi sorazmernosti bi morale biti minimalne zahteve za podružnice iz tretjih držav prilagojene tveganju, ki ga te pomenijo za </w:t>
      </w:r>
      <w:r w:rsidRPr="00215B2F">
        <w:rPr>
          <w:rFonts w:ascii="Arial" w:hAnsi="Arial" w:cs="Arial"/>
          <w:b/>
          <w:bCs/>
          <w:sz w:val="20"/>
          <w:szCs w:val="20"/>
        </w:rPr>
        <w:t>finančno stabilnost</w:t>
      </w:r>
      <w:r w:rsidRPr="00215B2F">
        <w:rPr>
          <w:rFonts w:ascii="Arial" w:hAnsi="Arial" w:cs="Arial"/>
          <w:sz w:val="20"/>
          <w:szCs w:val="20"/>
        </w:rPr>
        <w:t xml:space="preserve"> in celovitost trga v </w:t>
      </w:r>
      <w:r w:rsidR="001E58FE" w:rsidRPr="00215B2F">
        <w:rPr>
          <w:rFonts w:ascii="Arial" w:hAnsi="Arial" w:cs="Arial"/>
          <w:sz w:val="20"/>
          <w:szCs w:val="20"/>
        </w:rPr>
        <w:t>Evropski uniji</w:t>
      </w:r>
      <w:r w:rsidRPr="00215B2F">
        <w:rPr>
          <w:rFonts w:ascii="Arial" w:hAnsi="Arial" w:cs="Arial"/>
          <w:sz w:val="20"/>
          <w:szCs w:val="20"/>
        </w:rPr>
        <w:t xml:space="preserve"> in državah članicah. Podružnice iz tretjih držav bi morale biti zato razvrščene v razred 1, kadar se štejejo za bolj tvegane, sicer pa v razred 2, kadar se šteje, da so majhne in nekompleksne in ne pomenijo znatnega tveganja za finančno stabilnost v skladu z opredelitvijo »majhne in nekompleksne institucije« iz</w:t>
      </w:r>
    </w:p>
    <w:p w14:paraId="32D2A61A" w14:textId="77777777" w:rsidR="00092B13" w:rsidRPr="00215B2F" w:rsidRDefault="00092B13" w:rsidP="0010347E">
      <w:pPr>
        <w:shd w:val="clear" w:color="auto" w:fill="FFFFFF" w:themeFill="background1"/>
        <w:spacing w:after="0" w:line="240" w:lineRule="auto"/>
        <w:jc w:val="both"/>
        <w:rPr>
          <w:rFonts w:ascii="Arial" w:hAnsi="Arial" w:cs="Arial"/>
          <w:sz w:val="20"/>
          <w:szCs w:val="20"/>
        </w:rPr>
      </w:pPr>
    </w:p>
    <w:p w14:paraId="3BFDA45A" w14:textId="0C43990F" w:rsidR="0010347E" w:rsidRPr="00215B2F" w:rsidRDefault="00092B13"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Uredbe (EU) št. 575/2013 Evropskega parlamenta in Sveta z dne 26. junija 2013 o bonitetnih zahtevah za kreditne institucije in investicijska podjetja ter o spremembi Uredbe (EU) št. 648/2012 (v nadaljnjem besedilu: Uredba 575/2013/EU).</w:t>
      </w:r>
      <w:r w:rsidR="0010347E" w:rsidRPr="00215B2F">
        <w:rPr>
          <w:rFonts w:ascii="Arial" w:hAnsi="Arial" w:cs="Arial"/>
          <w:sz w:val="20"/>
          <w:szCs w:val="20"/>
        </w:rPr>
        <w:t xml:space="preserve"> Glede na to bi bilo treba za podružnice iz tretjih držav, ki imajo v državi članici knjižena sredstva v višini 5 milijard evrov ali več, šteti, da zaradi njihove večje velikosti in kompleksnosti pomenijo večje tveganje, saj bi lahko njihov propad povzročil resne motnje na trgu bančnih storitev ali v bančnem sistemu države članice. Podobno bi bilo treba za bolj tvegane šteti podružnice iz tretjih držav, ki imajo dovoljenje za sprejemanje vlog na drobno, in sicer ne glede na njihovo velikost, kadar znesek takih vlog na drobno preseže določen prag, saj bi njihov propad lahko prizadel zelo ranljive vlagatelje in povzročil izgubo zaupanja v varnost in trdnost bančnega sistema države članice ter njegovo zmožnost zaščititi prihranke državljanov. Obe vrsti podružnic iz tretjih držav bi bilo zato treba uvrstiti v razred 1 podružnic iz tretjih držav.</w:t>
      </w:r>
    </w:p>
    <w:p w14:paraId="0C96DC8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296D3A1" w14:textId="1CD054D9"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lastRenderedPageBreak/>
        <w:t xml:space="preserve">Podružnice iz tretjih držav bi morale biti uvrščene v razred 1 tudi, kadar za matično družbo velja določena ureditev, vendar za nadzor in izvajanje take ureditve ni bilo ugotovljeno, da sta vsaj </w:t>
      </w:r>
      <w:r w:rsidRPr="00215B2F">
        <w:rPr>
          <w:rFonts w:ascii="Arial" w:hAnsi="Arial" w:cs="Arial"/>
          <w:b/>
          <w:bCs/>
          <w:sz w:val="20"/>
          <w:szCs w:val="20"/>
        </w:rPr>
        <w:t xml:space="preserve">enakovredna </w:t>
      </w:r>
      <w:r w:rsidRPr="00215B2F">
        <w:rPr>
          <w:rFonts w:ascii="Arial" w:hAnsi="Arial" w:cs="Arial"/>
          <w:sz w:val="20"/>
          <w:szCs w:val="20"/>
        </w:rPr>
        <w:t>temu, kar se zahteva z Direktivo 2013/36/EU in Uredbo 575/2013</w:t>
      </w:r>
      <w:r w:rsidR="00D24496" w:rsidRPr="00215B2F">
        <w:rPr>
          <w:rFonts w:ascii="Arial" w:hAnsi="Arial" w:cs="Arial"/>
          <w:sz w:val="20"/>
          <w:szCs w:val="20"/>
        </w:rPr>
        <w:t>/EU</w:t>
      </w:r>
      <w:r w:rsidRPr="00215B2F">
        <w:rPr>
          <w:rFonts w:ascii="Arial" w:hAnsi="Arial" w:cs="Arial"/>
          <w:sz w:val="20"/>
          <w:szCs w:val="20"/>
        </w:rPr>
        <w:t>, ali kadar je zadevna tretja država uvrščena med tretje države z visokim tveganjem, ki imajo v svojih ureditvah za preprečevanje pranja denarja in financiranja terorizma strateške pomanjkljivosti, v skladu z Direktivo 2015/849</w:t>
      </w:r>
      <w:r w:rsidR="00092B13" w:rsidRPr="00215B2F">
        <w:rPr>
          <w:rFonts w:ascii="Arial" w:hAnsi="Arial" w:cs="Arial"/>
          <w:sz w:val="20"/>
          <w:szCs w:val="20"/>
        </w:rPr>
        <w:t>/EU</w:t>
      </w:r>
      <w:r w:rsidRPr="00215B2F">
        <w:rPr>
          <w:rFonts w:ascii="Arial" w:hAnsi="Arial" w:cs="Arial"/>
          <w:sz w:val="20"/>
          <w:szCs w:val="20"/>
        </w:rPr>
        <w:t>. Te podružnice iz tretjih držav pomenijo pomembno tveganje za finančno stabilnost v </w:t>
      </w:r>
      <w:r w:rsidR="001E58FE" w:rsidRPr="00215B2F">
        <w:rPr>
          <w:rFonts w:ascii="Arial" w:hAnsi="Arial" w:cs="Arial"/>
          <w:sz w:val="20"/>
          <w:szCs w:val="20"/>
        </w:rPr>
        <w:t>Evropski uniji</w:t>
      </w:r>
      <w:r w:rsidRPr="00215B2F">
        <w:rPr>
          <w:rFonts w:ascii="Arial" w:hAnsi="Arial" w:cs="Arial"/>
          <w:sz w:val="20"/>
          <w:szCs w:val="20"/>
        </w:rPr>
        <w:t xml:space="preserve"> in državi članici, v kateri imajo sedež, ker regulativni okvir oziroma okvir za preprečevanje pranja denarja in financiranja terorizma, ki se uporabljata za njihovo matično družbo, ne zajema ustrezno ali ne omogoča ustreznega spremljanja posebnih tveganj, ki izhajajo iz dejavnosti, ki jih opravlja podružnica v državi članici, ali tveganj za nasprotne stranke v državi članici, ki izhajajo iz skupine iz tretje države. </w:t>
      </w:r>
    </w:p>
    <w:p w14:paraId="3F417DE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E87425C"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 xml:space="preserve">1.2.1.4. Sistemska pomembnost in ukrepi </w:t>
      </w:r>
    </w:p>
    <w:p w14:paraId="3609958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8BAD256" w14:textId="7EB3EA73"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Pristojni organi bi morali imeti izrecno pooblastilo, da v posameznih primerih zahtevajo, da podružnice iz tretjih držav vložijo vlogo za dovoljenje v skladu z naslovom III, poglavje 1, Direktive 2013/36/EU, in sicer vsaj, kadar te podružnice izvajajo dejavnosti s strankami ali nasprotnimi strankami v drugih državah članicah v nasprotju s pravili notranjega trga ali kadar pomenijo pomembno tveganje za finančno stabilnost </w:t>
      </w:r>
      <w:r w:rsidR="001E58FE" w:rsidRPr="00215B2F">
        <w:rPr>
          <w:rFonts w:ascii="Arial" w:hAnsi="Arial" w:cs="Arial"/>
          <w:sz w:val="20"/>
          <w:szCs w:val="20"/>
        </w:rPr>
        <w:t>Evropske unije</w:t>
      </w:r>
      <w:r w:rsidRPr="00215B2F">
        <w:rPr>
          <w:rFonts w:ascii="Arial" w:hAnsi="Arial" w:cs="Arial"/>
          <w:sz w:val="20"/>
          <w:szCs w:val="20"/>
        </w:rPr>
        <w:t xml:space="preserve"> ali države članice, v kateri imajo sedež, ali kadar je skupni znesek sredstev vseh podružnic iz tretje države, ki pripadajo isti skupini iz tretje države, v </w:t>
      </w:r>
      <w:r w:rsidR="001E58FE" w:rsidRPr="00215B2F">
        <w:rPr>
          <w:rFonts w:ascii="Arial" w:hAnsi="Arial" w:cs="Arial"/>
          <w:sz w:val="20"/>
          <w:szCs w:val="20"/>
        </w:rPr>
        <w:t>Evropski uniji</w:t>
      </w:r>
      <w:r w:rsidRPr="00215B2F">
        <w:rPr>
          <w:rFonts w:ascii="Arial" w:hAnsi="Arial" w:cs="Arial"/>
          <w:sz w:val="20"/>
          <w:szCs w:val="20"/>
        </w:rPr>
        <w:t xml:space="preserve"> </w:t>
      </w:r>
      <w:r w:rsidRPr="00215B2F">
        <w:rPr>
          <w:rFonts w:ascii="Arial" w:hAnsi="Arial" w:cs="Arial"/>
          <w:b/>
          <w:bCs/>
          <w:sz w:val="20"/>
          <w:szCs w:val="20"/>
        </w:rPr>
        <w:t>40 milijard evrov</w:t>
      </w:r>
      <w:r w:rsidRPr="00215B2F">
        <w:rPr>
          <w:rFonts w:ascii="Arial" w:hAnsi="Arial" w:cs="Arial"/>
          <w:sz w:val="20"/>
          <w:szCs w:val="20"/>
        </w:rPr>
        <w:t xml:space="preserve"> ali višji ali če je znesek sredstev, ki jih ima podružnica iz tretje države v državi članici, v kateri je ustanovljena, 10 milijard evrov ali višji. </w:t>
      </w:r>
    </w:p>
    <w:p w14:paraId="2223E2B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5BE6106" w14:textId="08446CFE"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Poleg tega bi bilo treba od pristojnih organov zahtevati, da </w:t>
      </w:r>
      <w:r w:rsidRPr="00215B2F">
        <w:rPr>
          <w:rFonts w:ascii="Arial" w:hAnsi="Arial" w:cs="Arial"/>
          <w:b/>
          <w:bCs/>
          <w:sz w:val="20"/>
          <w:szCs w:val="20"/>
        </w:rPr>
        <w:t>ocenijo</w:t>
      </w:r>
      <w:r w:rsidRPr="00215B2F">
        <w:rPr>
          <w:rFonts w:ascii="Arial" w:hAnsi="Arial" w:cs="Arial"/>
          <w:sz w:val="20"/>
          <w:szCs w:val="20"/>
        </w:rPr>
        <w:t>, ali so podružnice iz tretjih držav, kadar je skupni znesek sredstev vseh podružnic iz tretje države, ki pripadajo isti skupini iz tretje države, v </w:t>
      </w:r>
      <w:r w:rsidR="001E58FE" w:rsidRPr="00215B2F">
        <w:rPr>
          <w:rFonts w:ascii="Arial" w:hAnsi="Arial" w:cs="Arial"/>
          <w:sz w:val="20"/>
          <w:szCs w:val="20"/>
        </w:rPr>
        <w:t>Evropski uniji</w:t>
      </w:r>
      <w:r w:rsidRPr="00215B2F">
        <w:rPr>
          <w:rFonts w:ascii="Arial" w:hAnsi="Arial" w:cs="Arial"/>
          <w:sz w:val="20"/>
          <w:szCs w:val="20"/>
        </w:rPr>
        <w:t xml:space="preserve"> 40 milijard evrov ali višji, sistemsko pomembne. Zadevni pristojni organi bi tako ocenjevanje morali izvajati za vse podružnice iz tretje države, ki pripadajo isti skupini iz tretje države in imajo sedež v eni državi članici oziroma </w:t>
      </w:r>
      <w:r w:rsidR="001E58FE" w:rsidRPr="00215B2F">
        <w:rPr>
          <w:rFonts w:ascii="Arial" w:hAnsi="Arial" w:cs="Arial"/>
          <w:sz w:val="20"/>
          <w:szCs w:val="20"/>
        </w:rPr>
        <w:t>Evropski uniji</w:t>
      </w:r>
      <w:r w:rsidRPr="00215B2F">
        <w:rPr>
          <w:rFonts w:ascii="Arial" w:hAnsi="Arial" w:cs="Arial"/>
          <w:sz w:val="20"/>
          <w:szCs w:val="20"/>
        </w:rPr>
        <w:t xml:space="preserve">. Pri tem ocenjevanju bi bilo treba v skladu s posebnimi merili preučiti, ali te podružnice pomenijo podobno raven tveganja za finančno stabilnost </w:t>
      </w:r>
      <w:r w:rsidR="001E58FE" w:rsidRPr="00215B2F">
        <w:rPr>
          <w:rFonts w:ascii="Arial" w:hAnsi="Arial" w:cs="Arial"/>
          <w:sz w:val="20"/>
          <w:szCs w:val="20"/>
        </w:rPr>
        <w:t>Evropske unije</w:t>
      </w:r>
      <w:r w:rsidRPr="00215B2F">
        <w:rPr>
          <w:rFonts w:ascii="Arial" w:hAnsi="Arial" w:cs="Arial"/>
          <w:sz w:val="20"/>
          <w:szCs w:val="20"/>
        </w:rPr>
        <w:t xml:space="preserve"> ali njenih držav članic kot institucije, opredeljene kot »sistemsko pomembne« na podlagi Direktive 2013/36/EU in Uredbe </w:t>
      </w:r>
      <w:r w:rsidR="00D24496" w:rsidRPr="00215B2F">
        <w:rPr>
          <w:rFonts w:ascii="Arial" w:hAnsi="Arial" w:cs="Arial"/>
          <w:sz w:val="20"/>
          <w:szCs w:val="20"/>
        </w:rPr>
        <w:t>575/2013/EU</w:t>
      </w:r>
      <w:r w:rsidRPr="00215B2F">
        <w:rPr>
          <w:rFonts w:ascii="Arial" w:hAnsi="Arial" w:cs="Arial"/>
          <w:sz w:val="20"/>
          <w:szCs w:val="20"/>
        </w:rPr>
        <w:t xml:space="preserve">. </w:t>
      </w:r>
    </w:p>
    <w:p w14:paraId="039D006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924D4AB" w14:textId="5B2E73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Kadar pristojni organi ugotovijo, da so podružnice iz tretjih držav sistemsko pomembne, bi bilo treba zanje uvesti ustrezne zahteve za</w:t>
      </w:r>
      <w:r w:rsidRPr="00215B2F">
        <w:rPr>
          <w:rFonts w:ascii="Arial" w:hAnsi="Arial" w:cs="Arial"/>
          <w:b/>
          <w:bCs/>
          <w:sz w:val="20"/>
          <w:szCs w:val="20"/>
        </w:rPr>
        <w:t xml:space="preserve"> zmanjševanje tveganj</w:t>
      </w:r>
      <w:r w:rsidRPr="00215B2F">
        <w:rPr>
          <w:rFonts w:ascii="Arial" w:hAnsi="Arial" w:cs="Arial"/>
          <w:sz w:val="20"/>
          <w:szCs w:val="20"/>
        </w:rPr>
        <w:t xml:space="preserve"> za finančno stabilnost. Pristojni organi bi morali imeti za te namene možnost od podružnic iz tretjih držav zahtevati, da zaprosijo za dovoljenje kot podrejene institucije na podlagi Direktive 2013/36/EU, da lahko še naprej izvajajo bančne dejavnosti v državi članici ali v </w:t>
      </w:r>
      <w:r w:rsidR="001E58FE" w:rsidRPr="00215B2F">
        <w:rPr>
          <w:rFonts w:ascii="Arial" w:hAnsi="Arial" w:cs="Arial"/>
          <w:sz w:val="20"/>
          <w:szCs w:val="20"/>
        </w:rPr>
        <w:t>Evropski uniji</w:t>
      </w:r>
      <w:r w:rsidRPr="00215B2F">
        <w:rPr>
          <w:rFonts w:ascii="Arial" w:hAnsi="Arial" w:cs="Arial"/>
          <w:sz w:val="20"/>
          <w:szCs w:val="20"/>
        </w:rPr>
        <w:t>. Poleg tega bi morali imeti pristojni organi možnost naložiti druge zahteve, zlasti obveznost prestrukturiranja sredstev ali dejavnosti podružnic iz tretjih držav v </w:t>
      </w:r>
      <w:r w:rsidR="001E58FE" w:rsidRPr="00215B2F">
        <w:rPr>
          <w:rFonts w:ascii="Arial" w:hAnsi="Arial" w:cs="Arial"/>
          <w:sz w:val="20"/>
          <w:szCs w:val="20"/>
        </w:rPr>
        <w:t>Evropski uniji</w:t>
      </w:r>
      <w:r w:rsidRPr="00215B2F">
        <w:rPr>
          <w:rFonts w:ascii="Arial" w:hAnsi="Arial" w:cs="Arial"/>
          <w:sz w:val="20"/>
          <w:szCs w:val="20"/>
        </w:rPr>
        <w:t>, tako da te podružnice ne bi bile več sistemsko pomembne, ali zahtevo po izpolnjevanju dodatnih zahtev glede kapitala, likvidnosti, poročanja ali razkritij, kadar bi to zadoščalo za obravnavanje tveganj za finančno stabilnost. Pristojni organi bi morali imeti možnost, da podružnicam iz tretjih držav, ki so ocenjene kot sistemsko pomembne, ne naložijo nobene od teh zahtev, vendar bi v tem primeru morali predložiti obrazloženo uradno obvestilo EBA in pristojnim organom držav članic, v katerih je zadevna skupina iz tretje države ustanovila druge podružnice iz tretjih držav ali podrejene institucije. Da bi upoštevali posledice za celotno Unijo, bi se morali pristojni organi, ki se odločijo, da bodo v skladu s svojimi pooblastili zahtevali dovoljenje kot za podrejeno institucijo, predhodno posvetovati z EBA in zadevnimi pristojnimi organi.</w:t>
      </w:r>
    </w:p>
    <w:p w14:paraId="54FF83E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9732DD2" w14:textId="33C66DCB"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 xml:space="preserve">1.2.1.5. Nadzor nad dejavnostmi skupin iz tretjih </w:t>
      </w:r>
      <w:r w:rsidRPr="00215B2F">
        <w:rPr>
          <w:rFonts w:ascii="Arial" w:hAnsi="Arial" w:cs="Arial"/>
          <w:i/>
          <w:iCs/>
          <w:color w:val="000000" w:themeColor="text1"/>
          <w:sz w:val="20"/>
          <w:szCs w:val="20"/>
        </w:rPr>
        <w:t xml:space="preserve">držav v </w:t>
      </w:r>
      <w:r w:rsidR="001E58FE" w:rsidRPr="00215B2F">
        <w:rPr>
          <w:rFonts w:ascii="Arial" w:hAnsi="Arial" w:cs="Arial"/>
          <w:i/>
          <w:iCs/>
          <w:color w:val="000000" w:themeColor="text1"/>
          <w:sz w:val="20"/>
          <w:szCs w:val="20"/>
        </w:rPr>
        <w:t>Evropski uniji</w:t>
      </w:r>
    </w:p>
    <w:p w14:paraId="02B1BE6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7E1A16C" w14:textId="278DB0A8"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Za spodbujanje doslednosti nadzorniških odločitev v zvezi s skupino iz tretje države, ki ima podružnice in podrejene družbe po vsej </w:t>
      </w:r>
      <w:r w:rsidR="001E58FE" w:rsidRPr="00215B2F">
        <w:rPr>
          <w:rFonts w:ascii="Arial" w:hAnsi="Arial" w:cs="Arial"/>
          <w:sz w:val="20"/>
          <w:szCs w:val="20"/>
        </w:rPr>
        <w:t>Evropski uniji</w:t>
      </w:r>
      <w:r w:rsidRPr="00215B2F">
        <w:rPr>
          <w:rFonts w:ascii="Arial" w:hAnsi="Arial" w:cs="Arial"/>
          <w:sz w:val="20"/>
          <w:szCs w:val="20"/>
        </w:rPr>
        <w:t xml:space="preserve">, bi se morali pristojni organi pri izvajanju ocene sistemske pomembnosti </w:t>
      </w:r>
      <w:r w:rsidRPr="00215B2F">
        <w:rPr>
          <w:rFonts w:ascii="Arial" w:hAnsi="Arial" w:cs="Arial"/>
          <w:b/>
          <w:bCs/>
          <w:sz w:val="20"/>
          <w:szCs w:val="20"/>
        </w:rPr>
        <w:t>posvetovati</w:t>
      </w:r>
      <w:r w:rsidRPr="00215B2F">
        <w:rPr>
          <w:rFonts w:ascii="Arial" w:hAnsi="Arial" w:cs="Arial"/>
          <w:sz w:val="20"/>
          <w:szCs w:val="20"/>
        </w:rPr>
        <w:t xml:space="preserve"> z</w:t>
      </w:r>
      <w:r w:rsidRPr="00215B2F">
        <w:rPr>
          <w:rFonts w:ascii="Arial" w:hAnsi="Arial" w:cs="Arial"/>
          <w:b/>
          <w:bCs/>
          <w:sz w:val="20"/>
          <w:szCs w:val="20"/>
        </w:rPr>
        <w:t> EBA</w:t>
      </w:r>
      <w:r w:rsidRPr="00215B2F">
        <w:rPr>
          <w:rFonts w:ascii="Arial" w:hAnsi="Arial" w:cs="Arial"/>
          <w:sz w:val="20"/>
          <w:szCs w:val="20"/>
        </w:rPr>
        <w:t xml:space="preserve"> in pristojnimi organi držav članic, v katerih je zadevna skupina iz tretje države ustanovila druge podružnice iz tretjih držav ali podrejene institucije, da bi ocenili tveganja za finančno stabilnost, ki bi jih zadevna podružnica iz tretje države lahko pomenila za države članice, ki niso država članica, v kateri je bila ustanovljena.</w:t>
      </w:r>
    </w:p>
    <w:p w14:paraId="25FA94B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926F670" w14:textId="16B1FA22"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Pristojni organi bi morali redno preverjati, ali podružnice iz tretjih držav izpolnjujejo ustrezne zahteve iz Direktive 2013/36/EU, in sprejeti</w:t>
      </w:r>
      <w:r w:rsidRPr="00215B2F">
        <w:rPr>
          <w:rFonts w:ascii="Arial" w:hAnsi="Arial" w:cs="Arial"/>
          <w:b/>
          <w:bCs/>
          <w:sz w:val="20"/>
          <w:szCs w:val="20"/>
        </w:rPr>
        <w:t xml:space="preserve"> </w:t>
      </w:r>
      <w:r w:rsidRPr="00215B2F">
        <w:rPr>
          <w:rFonts w:ascii="Arial" w:hAnsi="Arial" w:cs="Arial"/>
          <w:sz w:val="20"/>
          <w:szCs w:val="20"/>
        </w:rPr>
        <w:t xml:space="preserve">nadzorniške </w:t>
      </w:r>
      <w:r w:rsidRPr="00215B2F">
        <w:rPr>
          <w:rFonts w:ascii="Arial" w:hAnsi="Arial" w:cs="Arial"/>
          <w:b/>
          <w:bCs/>
          <w:sz w:val="20"/>
          <w:szCs w:val="20"/>
        </w:rPr>
        <w:t>ukrepe</w:t>
      </w:r>
      <w:r w:rsidRPr="00215B2F">
        <w:rPr>
          <w:rFonts w:ascii="Arial" w:hAnsi="Arial" w:cs="Arial"/>
          <w:sz w:val="20"/>
          <w:szCs w:val="20"/>
        </w:rPr>
        <w:t xml:space="preserve"> za te podružnice za zagotovitev ali ponovno vzpostavitev skladnosti s temi zahtevami. Da bi olajšali učinkovit nadzor nad izpolnjevanjem teh zahtev </w:t>
      </w:r>
      <w:r w:rsidRPr="00215B2F">
        <w:rPr>
          <w:rFonts w:ascii="Arial" w:hAnsi="Arial" w:cs="Arial"/>
          <w:sz w:val="20"/>
          <w:szCs w:val="20"/>
        </w:rPr>
        <w:lastRenderedPageBreak/>
        <w:t>v podružnicah iz tretjih držav in omogočili celovit pregled nad dejavnostmi skupin iz tretjih držav v </w:t>
      </w:r>
      <w:r w:rsidR="001E58FE" w:rsidRPr="00215B2F">
        <w:rPr>
          <w:rFonts w:ascii="Arial" w:hAnsi="Arial" w:cs="Arial"/>
          <w:sz w:val="20"/>
          <w:szCs w:val="20"/>
        </w:rPr>
        <w:t>Evropski uniji</w:t>
      </w:r>
      <w:r w:rsidRPr="00215B2F">
        <w:rPr>
          <w:rFonts w:ascii="Arial" w:hAnsi="Arial" w:cs="Arial"/>
          <w:sz w:val="20"/>
          <w:szCs w:val="20"/>
        </w:rPr>
        <w:t xml:space="preserve">, bi moralo biti pristojnim organom na voljo skupno nadzorniško in finančno poročanje v skladu s standardiziranimi predlogami. </w:t>
      </w:r>
    </w:p>
    <w:p w14:paraId="06C8D9A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2522FD5" w14:textId="666AB666"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Poleg tega je za zagotovitev celovitega nadzora nad vsemi dejavnostmi skupin iz tretjih držav, ki poslujejo v </w:t>
      </w:r>
      <w:r w:rsidR="001E58FE" w:rsidRPr="00215B2F">
        <w:rPr>
          <w:rFonts w:ascii="Arial" w:hAnsi="Arial" w:cs="Arial"/>
          <w:sz w:val="20"/>
          <w:szCs w:val="20"/>
        </w:rPr>
        <w:t>Evropski uniji</w:t>
      </w:r>
      <w:r w:rsidRPr="00215B2F">
        <w:rPr>
          <w:rFonts w:ascii="Arial" w:hAnsi="Arial" w:cs="Arial"/>
          <w:sz w:val="20"/>
          <w:szCs w:val="20"/>
        </w:rPr>
        <w:t xml:space="preserve"> prek podružnic iz tretjih držav, s katerim bi preprečili izogibanje zahtevam, ki veljajo za te skupine na podlagi prava </w:t>
      </w:r>
      <w:r w:rsidR="001E58FE" w:rsidRPr="00215B2F">
        <w:rPr>
          <w:rFonts w:ascii="Arial" w:hAnsi="Arial" w:cs="Arial"/>
          <w:sz w:val="20"/>
          <w:szCs w:val="20"/>
        </w:rPr>
        <w:t>Evropske unije</w:t>
      </w:r>
      <w:r w:rsidRPr="00215B2F">
        <w:rPr>
          <w:rFonts w:ascii="Arial" w:hAnsi="Arial" w:cs="Arial"/>
          <w:sz w:val="20"/>
          <w:szCs w:val="20"/>
        </w:rPr>
        <w:t xml:space="preserve">, in čim bolj zmanjšali morebitna tveganja za finančno stabilnost </w:t>
      </w:r>
      <w:r w:rsidR="001E58FE" w:rsidRPr="00215B2F">
        <w:rPr>
          <w:rFonts w:ascii="Arial" w:hAnsi="Arial" w:cs="Arial"/>
          <w:sz w:val="20"/>
          <w:szCs w:val="20"/>
        </w:rPr>
        <w:t>Evropske unije</w:t>
      </w:r>
      <w:r w:rsidRPr="00215B2F">
        <w:rPr>
          <w:rFonts w:ascii="Arial" w:hAnsi="Arial" w:cs="Arial"/>
          <w:sz w:val="20"/>
          <w:szCs w:val="20"/>
        </w:rPr>
        <w:t>, treba vzpostaviti ustrezne dogovore o</w:t>
      </w:r>
      <w:r w:rsidRPr="00215B2F">
        <w:rPr>
          <w:rFonts w:ascii="Arial" w:hAnsi="Arial" w:cs="Arial"/>
          <w:b/>
          <w:bCs/>
          <w:sz w:val="20"/>
          <w:szCs w:val="20"/>
        </w:rPr>
        <w:t xml:space="preserve"> sodelovanju </w:t>
      </w:r>
      <w:r w:rsidRPr="00215B2F">
        <w:rPr>
          <w:rFonts w:ascii="Arial" w:hAnsi="Arial" w:cs="Arial"/>
          <w:sz w:val="20"/>
          <w:szCs w:val="20"/>
        </w:rPr>
        <w:t>med pristojnimi organi. Zlasti bi bilo treba podružnice iz tretjih držav razreda 1 vključiti v obseg pristojnosti kolegijev nadzornikov skupin iz tretjih držav v </w:t>
      </w:r>
      <w:r w:rsidR="001E58FE" w:rsidRPr="00215B2F">
        <w:rPr>
          <w:rFonts w:ascii="Arial" w:hAnsi="Arial" w:cs="Arial"/>
          <w:sz w:val="20"/>
          <w:szCs w:val="20"/>
        </w:rPr>
        <w:t>Evropski uniji</w:t>
      </w:r>
      <w:r w:rsidRPr="00215B2F">
        <w:rPr>
          <w:rFonts w:ascii="Arial" w:hAnsi="Arial" w:cs="Arial"/>
          <w:sz w:val="20"/>
          <w:szCs w:val="20"/>
        </w:rPr>
        <w:t>. Kadar tak kolegij še ne obstaja, bi morali pristojni organi vzpostaviti ad hoc kolegij za vse podružnice iz tretjih držav razreda 1, ki pripadajo isti skupini iz tretje države, kadar ta skupina posluje v več kot eni državi članici.</w:t>
      </w:r>
    </w:p>
    <w:p w14:paraId="0601F49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4121D01" w14:textId="44739EF8"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Okvir </w:t>
      </w:r>
      <w:r w:rsidR="001E58FE" w:rsidRPr="00215B2F">
        <w:rPr>
          <w:rFonts w:ascii="Arial" w:hAnsi="Arial" w:cs="Arial"/>
          <w:sz w:val="20"/>
          <w:szCs w:val="20"/>
        </w:rPr>
        <w:t>Evropske unije</w:t>
      </w:r>
      <w:r w:rsidRPr="00215B2F">
        <w:rPr>
          <w:rFonts w:ascii="Arial" w:hAnsi="Arial" w:cs="Arial"/>
          <w:sz w:val="20"/>
          <w:szCs w:val="20"/>
        </w:rPr>
        <w:t xml:space="preserve"> za podružnice iz tretjih držav bi bilo treba uporabljati brez poseganja v</w:t>
      </w:r>
      <w:r w:rsidRPr="00215B2F">
        <w:rPr>
          <w:rFonts w:ascii="Arial" w:hAnsi="Arial" w:cs="Arial"/>
          <w:b/>
          <w:bCs/>
          <w:sz w:val="20"/>
          <w:szCs w:val="20"/>
        </w:rPr>
        <w:t xml:space="preserve"> diskrecijsko </w:t>
      </w:r>
      <w:r w:rsidRPr="00215B2F">
        <w:rPr>
          <w:rFonts w:ascii="Arial" w:hAnsi="Arial" w:cs="Arial"/>
          <w:sz w:val="20"/>
          <w:szCs w:val="20"/>
        </w:rPr>
        <w:t>pravico, ki jo trenutno imajo države članice, da na splošno zahtevajo, da družbe iz nekaterih tretjih držav opravljajo bančne storitve na njihovem ozemlju izključno prek podrejenih institucij, ki so pridobile dovoljenje v skladu z naslovom III, poglavje 1, Direktive 2013/36/EU. Ta zahteva bi se lahko nanašala na tretje države, ki uporabljajo bančne bonitetne in nadzorniške standarde, ki niso enakovredni standardom na podlagi nacionalnega prava države članice, ali na tretje države, ki imajo v svojih ureditvah za preprečevanje pranja denarja in financiranja terorizma strateške pomanjkljivosti.</w:t>
      </w:r>
    </w:p>
    <w:p w14:paraId="15EF6D6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D44F18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Ne glede na trenutno veljavna pravila o varovanju skrivnosti bi bilo treba izboljšati</w:t>
      </w:r>
      <w:r w:rsidRPr="00215B2F">
        <w:rPr>
          <w:rFonts w:ascii="Arial" w:hAnsi="Arial" w:cs="Arial"/>
          <w:b/>
          <w:bCs/>
          <w:sz w:val="20"/>
          <w:szCs w:val="20"/>
        </w:rPr>
        <w:t xml:space="preserve"> izmenjavo informacij</w:t>
      </w:r>
      <w:r w:rsidRPr="00215B2F">
        <w:rPr>
          <w:rFonts w:ascii="Arial" w:hAnsi="Arial" w:cs="Arial"/>
          <w:sz w:val="20"/>
          <w:szCs w:val="20"/>
        </w:rPr>
        <w:t xml:space="preserve"> med pristojnimi organi in davčnimi organi. Izmenjava informacij bi morala biti v vsakem primeru v skladu z nacionalnim pravom, zadevni pristojni organi pa bi se morali dogovoriti o razkritju, kadar informacije izvirajo iz druge države članice.</w:t>
      </w:r>
    </w:p>
    <w:p w14:paraId="78F3354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54F4E64"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b/>
          <w:bCs/>
          <w:color w:val="auto"/>
          <w:sz w:val="20"/>
          <w:szCs w:val="20"/>
        </w:rPr>
      </w:pPr>
      <w:r w:rsidRPr="00215B2F">
        <w:rPr>
          <w:rFonts w:ascii="Arial" w:hAnsi="Arial" w:cs="Arial"/>
          <w:b/>
          <w:bCs/>
          <w:color w:val="auto"/>
          <w:sz w:val="20"/>
          <w:szCs w:val="20"/>
        </w:rPr>
        <w:t>1.2.2. Tveganja ESG v bonitetnem okviru</w:t>
      </w:r>
    </w:p>
    <w:p w14:paraId="6E7F205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E0813BB" w14:textId="01F24FFA"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Unija se je z evropskim zelenim dogovorom, ki ga je </w:t>
      </w:r>
      <w:r w:rsidR="00CA6088" w:rsidRPr="00215B2F">
        <w:rPr>
          <w:rFonts w:ascii="Arial" w:hAnsi="Arial" w:cs="Arial"/>
          <w:sz w:val="20"/>
          <w:szCs w:val="20"/>
        </w:rPr>
        <w:t xml:space="preserve">Evropska komisija </w:t>
      </w:r>
      <w:r w:rsidRPr="00215B2F">
        <w:rPr>
          <w:rFonts w:ascii="Arial" w:hAnsi="Arial" w:cs="Arial"/>
          <w:sz w:val="20"/>
          <w:szCs w:val="20"/>
        </w:rPr>
        <w:t>predstavila v sporočilu z dne 11. decembra 2019, zavezala, da bo do leta 2050 postala podnebno nevtralna. Finančni sistem ima pomembno vlogo pri podpori temu prehodu, ki se ne nanaša samo na zajemanje in podpiranje priložnosti, do katerih bo prišlo, temveč tudi na ustrezno upravljanje tveganj, ki jih lahko ta vključuje. Ker imajo lahko navedena tveganja posledice za stabilnost posameznih institucij in finančnega sistema kot celote, je potreben okrepljen regulativni bonitetni okvir, ki bo bolje vključeval povezana tveganja.</w:t>
      </w:r>
    </w:p>
    <w:p w14:paraId="36E99EE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B823067" w14:textId="7FB84D0E"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Prehod na trajnostno, podnebno nevtralno in krožno gospodarstvo, ki je po obsegu brez primere, bo močno vplival na finančni sistem. Leta 2018 je mreža centralnih bank in nadzornikov za ozelenitev finančnega sistema potrdila, da so s podnebjem povezana tveganja vir finančnega tveganja. V sporočilu Komisije z dne 6. julija 2021 z naslovom »Strategija za financiranje prehoda na trajnostno gospodarstvo« (prenovljena strategija za trajnostno financiranje) je poudarjeno, da so okoljska, družbena in upravljavska (ESG) tveganja ter tveganja, ki izhajajo iz fizičnih učinkov podnebnih sprememb, izgube biotske raznovrstnosti in širše degradacije okolja, zlasti ekosistemov, izziv brez primere za gospodarstvo </w:t>
      </w:r>
      <w:r w:rsidR="001E58FE" w:rsidRPr="00215B2F">
        <w:rPr>
          <w:rFonts w:ascii="Arial" w:hAnsi="Arial" w:cs="Arial"/>
          <w:sz w:val="20"/>
          <w:szCs w:val="20"/>
        </w:rPr>
        <w:t>Evropske unije</w:t>
      </w:r>
      <w:r w:rsidRPr="00215B2F">
        <w:rPr>
          <w:rFonts w:ascii="Arial" w:hAnsi="Arial" w:cs="Arial"/>
          <w:sz w:val="20"/>
          <w:szCs w:val="20"/>
        </w:rPr>
        <w:t xml:space="preserve"> in za stabilnost finančnega sistema. Ta tveganja imajo posebne značilnosti, kot je, da so usmerjena na prihodnost in imajo različne kratko-, srednje- in dolgoročne učinke. Zaradi posebnosti podnebnih in drugih okoljskih tveganj, na primer tveganj, ki izhajajo iz degradacije okolja in izgube biotske raznovrstnosti, tako v smislu tveganj v zvezi s prehodom kot fizičnih tveganj, je treba ta tveganja obvladovati dolgoročno, vsaj za obdobje 10 let.</w:t>
      </w:r>
    </w:p>
    <w:p w14:paraId="0C87BE8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EA42198"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400AA3">
        <w:rPr>
          <w:rFonts w:ascii="Arial" w:hAnsi="Arial" w:cs="Arial"/>
          <w:i/>
          <w:iCs/>
          <w:color w:val="auto"/>
          <w:sz w:val="20"/>
          <w:szCs w:val="20"/>
        </w:rPr>
        <w:t>1.2.2.1. Nadzor nad</w:t>
      </w:r>
      <w:r w:rsidRPr="00215B2F">
        <w:rPr>
          <w:rFonts w:ascii="Arial" w:hAnsi="Arial" w:cs="Arial"/>
          <w:i/>
          <w:iCs/>
          <w:color w:val="auto"/>
          <w:sz w:val="20"/>
          <w:szCs w:val="20"/>
        </w:rPr>
        <w:t xml:space="preserve"> tveganji in krepitev bonitetnih ukrepov</w:t>
      </w:r>
    </w:p>
    <w:p w14:paraId="09A9B00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DD35815" w14:textId="5800D94E" w:rsidR="0010347E" w:rsidRPr="00215B2F" w:rsidRDefault="0010347E" w:rsidP="0010347E">
      <w:pPr>
        <w:shd w:val="clear" w:color="auto" w:fill="FFFFFF" w:themeFill="background1"/>
        <w:spacing w:after="0" w:line="240" w:lineRule="auto"/>
        <w:jc w:val="both"/>
        <w:rPr>
          <w:rFonts w:ascii="Arial" w:hAnsi="Arial" w:cs="Arial"/>
          <w:sz w:val="20"/>
          <w:szCs w:val="20"/>
        </w:rPr>
      </w:pPr>
      <w:bookmarkStart w:id="7" w:name="_Hlk201321283"/>
      <w:r w:rsidRPr="00215B2F">
        <w:rPr>
          <w:rFonts w:ascii="Arial" w:hAnsi="Arial" w:cs="Arial"/>
          <w:sz w:val="20"/>
          <w:szCs w:val="20"/>
        </w:rPr>
        <w:t xml:space="preserve">Ker bo prehod v trajnostno, podnebno nevtralno in krožno gospodarstvo dolgotrajen in korenit, bo zahteval znatne spremembe poslovnih modelov institucij. Za dosego cilja nevtralnosti emisij toplogrednih plinov gospodarstva </w:t>
      </w:r>
      <w:r w:rsidR="001E58FE" w:rsidRPr="00215B2F">
        <w:rPr>
          <w:rFonts w:ascii="Arial" w:hAnsi="Arial" w:cs="Arial"/>
          <w:sz w:val="20"/>
          <w:szCs w:val="20"/>
        </w:rPr>
        <w:t>Evropske unije</w:t>
      </w:r>
      <w:r w:rsidRPr="00215B2F">
        <w:rPr>
          <w:rFonts w:ascii="Arial" w:hAnsi="Arial" w:cs="Arial"/>
          <w:sz w:val="20"/>
          <w:szCs w:val="20"/>
        </w:rPr>
        <w:t xml:space="preserve"> do leta 2050 in hkratno obvladovanje povezanih tveganj je treba ustrezno prilagoditi finančni sektor in predvsem kreditne institucije. Pristojni organi bi morali zato imeti možnost, da ta proces prilagajanja </w:t>
      </w:r>
      <w:r w:rsidRPr="00215B2F">
        <w:rPr>
          <w:rFonts w:ascii="Arial" w:hAnsi="Arial" w:cs="Arial"/>
          <w:b/>
          <w:bCs/>
          <w:sz w:val="20"/>
          <w:szCs w:val="20"/>
        </w:rPr>
        <w:t>ocenijo</w:t>
      </w:r>
      <w:r w:rsidRPr="00215B2F">
        <w:rPr>
          <w:rFonts w:ascii="Arial" w:hAnsi="Arial" w:cs="Arial"/>
          <w:sz w:val="20"/>
          <w:szCs w:val="20"/>
        </w:rPr>
        <w:t xml:space="preserve"> in posredujejo, če institucije podnebna tveganja, pa tudi tveganja, ki izhajajo iz degradacije okolja in izgube biotske raznovrstnosti, upravljajo tako, da s tem ogrožajo stabilnost posameznih institucij ali splošno finančno stabilnost. </w:t>
      </w:r>
    </w:p>
    <w:p w14:paraId="3FE6FF6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BE13A8F" w14:textId="03E8746F"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Pristojni organi bi morali tudi biti pooblaščeni za</w:t>
      </w:r>
      <w:r w:rsidRPr="00215B2F">
        <w:rPr>
          <w:rFonts w:ascii="Arial" w:hAnsi="Arial" w:cs="Arial"/>
          <w:b/>
          <w:bCs/>
          <w:sz w:val="20"/>
          <w:szCs w:val="20"/>
        </w:rPr>
        <w:t xml:space="preserve"> ukrepanje</w:t>
      </w:r>
      <w:r w:rsidRPr="00215B2F">
        <w:rPr>
          <w:rFonts w:ascii="Arial" w:hAnsi="Arial" w:cs="Arial"/>
          <w:sz w:val="20"/>
          <w:szCs w:val="20"/>
        </w:rPr>
        <w:t xml:space="preserve">, kadar obstajajo tveganja, ki izhajajo iz trendov na področju prehoda v zvezi z ustreznimi regulativnimi cilji držav članic in </w:t>
      </w:r>
      <w:r w:rsidR="001E58FE" w:rsidRPr="00215B2F">
        <w:rPr>
          <w:rFonts w:ascii="Arial" w:hAnsi="Arial" w:cs="Arial"/>
          <w:sz w:val="20"/>
          <w:szCs w:val="20"/>
        </w:rPr>
        <w:t>Evropske unije</w:t>
      </w:r>
      <w:r w:rsidRPr="00215B2F">
        <w:rPr>
          <w:rFonts w:ascii="Arial" w:hAnsi="Arial" w:cs="Arial"/>
          <w:sz w:val="20"/>
          <w:szCs w:val="20"/>
        </w:rPr>
        <w:t xml:space="preserve"> glede </w:t>
      </w:r>
      <w:r w:rsidRPr="00215B2F">
        <w:rPr>
          <w:rFonts w:ascii="Arial" w:hAnsi="Arial" w:cs="Arial"/>
          <w:sz w:val="20"/>
          <w:szCs w:val="20"/>
        </w:rPr>
        <w:lastRenderedPageBreak/>
        <w:t>ESG dejavnikov. Pristojni organi bi morali biti pooblaščeni tudi za</w:t>
      </w:r>
      <w:r w:rsidRPr="00215B2F">
        <w:rPr>
          <w:rFonts w:ascii="Arial" w:hAnsi="Arial" w:cs="Arial"/>
          <w:b/>
          <w:bCs/>
          <w:sz w:val="20"/>
          <w:szCs w:val="20"/>
        </w:rPr>
        <w:t xml:space="preserve"> </w:t>
      </w:r>
      <w:r w:rsidRPr="00215B2F">
        <w:rPr>
          <w:rFonts w:ascii="Arial" w:hAnsi="Arial" w:cs="Arial"/>
          <w:sz w:val="20"/>
          <w:szCs w:val="20"/>
        </w:rPr>
        <w:t>okrepitev ciljev, ukrepov in dejanj v okviru bonitetnih načrtov institucij, kadar so ocenjeni kot nezadostni za kratkoročno, srednjeročno in dolgoročno obravnavanje ESG tveganj ter bi zaradi tega lahko pomenili pomembno tveganje za njihovo rešljivost. Podnebna in, širše, okoljska tveganja bi bilo treba skupaj z družbenimi in upravljavskimi tveganji obravnavati v enotni skupini tveganj, da se omogoči celovita in usklajena vključitev teh dejavnikov, saj se pogosto prepletajo. ESG tveganja so tesno povezana s pojmom trajnostnosti, saj so ESG dejavniki trije glavni stebri trajnostnosti.</w:t>
      </w:r>
    </w:p>
    <w:p w14:paraId="2A904A8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C87066F" w14:textId="28006997" w:rsidR="0010347E" w:rsidRPr="00215B2F" w:rsidRDefault="00A86B22"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A86B22">
        <w:rPr>
          <w:rFonts w:ascii="Arial" w:hAnsi="Arial" w:cs="Arial"/>
          <w:i/>
          <w:iCs/>
          <w:color w:val="auto"/>
          <w:sz w:val="20"/>
          <w:szCs w:val="20"/>
        </w:rPr>
        <w:t>1</w:t>
      </w:r>
      <w:r>
        <w:rPr>
          <w:rFonts w:ascii="Arial" w:hAnsi="Arial" w:cs="Arial"/>
          <w:i/>
          <w:iCs/>
          <w:color w:val="auto"/>
          <w:sz w:val="20"/>
          <w:szCs w:val="20"/>
        </w:rPr>
        <w:t>.</w:t>
      </w:r>
      <w:r w:rsidRPr="00A86B22">
        <w:rPr>
          <w:rFonts w:ascii="Arial" w:hAnsi="Arial" w:cs="Arial"/>
          <w:i/>
          <w:iCs/>
          <w:color w:val="auto"/>
          <w:sz w:val="20"/>
          <w:szCs w:val="20"/>
        </w:rPr>
        <w:t>2</w:t>
      </w:r>
      <w:r>
        <w:rPr>
          <w:rFonts w:ascii="Arial" w:hAnsi="Arial" w:cs="Arial"/>
          <w:i/>
          <w:iCs/>
          <w:color w:val="auto"/>
          <w:sz w:val="20"/>
          <w:szCs w:val="20"/>
        </w:rPr>
        <w:t>.</w:t>
      </w:r>
      <w:r w:rsidR="0010347E" w:rsidRPr="00A86B22">
        <w:rPr>
          <w:rFonts w:ascii="Arial" w:hAnsi="Arial" w:cs="Arial"/>
          <w:i/>
          <w:iCs/>
          <w:color w:val="auto"/>
          <w:sz w:val="20"/>
          <w:szCs w:val="20"/>
        </w:rPr>
        <w:t>2.2. Postopki za upravljanje in poslovni modeli</w:t>
      </w:r>
      <w:r w:rsidR="0010347E" w:rsidRPr="00215B2F">
        <w:rPr>
          <w:rFonts w:ascii="Arial" w:hAnsi="Arial" w:cs="Arial"/>
          <w:i/>
          <w:iCs/>
          <w:color w:val="auto"/>
          <w:sz w:val="20"/>
          <w:szCs w:val="20"/>
        </w:rPr>
        <w:t xml:space="preserve"> </w:t>
      </w:r>
    </w:p>
    <w:p w14:paraId="630ECCC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9D2E341" w14:textId="2433207C"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Za ohranjanje zadostne odpornosti proti negativnim učinkom ESG dejavnikov morajo biti institucije s sedežem v </w:t>
      </w:r>
      <w:r w:rsidR="001E58FE" w:rsidRPr="00215B2F">
        <w:rPr>
          <w:rFonts w:ascii="Arial" w:hAnsi="Arial" w:cs="Arial"/>
          <w:sz w:val="20"/>
          <w:szCs w:val="20"/>
        </w:rPr>
        <w:t>Evropski uniji</w:t>
      </w:r>
      <w:r w:rsidRPr="00215B2F">
        <w:rPr>
          <w:rFonts w:ascii="Arial" w:hAnsi="Arial" w:cs="Arial"/>
          <w:sz w:val="20"/>
          <w:szCs w:val="20"/>
        </w:rPr>
        <w:t xml:space="preserve"> sposobne sistematično odkrivati, meriti in upravljati ESG tveganja, od njihovih nadzornikov pa bi bilo treba zahtevati, da </w:t>
      </w:r>
      <w:r w:rsidRPr="00215B2F">
        <w:rPr>
          <w:rFonts w:ascii="Arial" w:hAnsi="Arial" w:cs="Arial"/>
          <w:b/>
          <w:bCs/>
          <w:sz w:val="20"/>
          <w:szCs w:val="20"/>
        </w:rPr>
        <w:t>ocenijo tveganja</w:t>
      </w:r>
      <w:r w:rsidRPr="00215B2F">
        <w:rPr>
          <w:rFonts w:ascii="Arial" w:hAnsi="Arial" w:cs="Arial"/>
          <w:sz w:val="20"/>
          <w:szCs w:val="20"/>
        </w:rPr>
        <w:t xml:space="preserve"> na ravni posamezne institucije in na sistemski ravni, pri čemer bi morali dati prednost okoljskim dejavnikom, z razvojem metodologije in orodij za ocenjevanje pa nato nadaljevati z drugimi dejavniki trajnostnosti. </w:t>
      </w:r>
    </w:p>
    <w:p w14:paraId="3A65233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50485FD" w14:textId="3198DE01"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Od institucij bi bilo treba zahtevati, da ocenijo </w:t>
      </w:r>
      <w:r w:rsidRPr="00215B2F">
        <w:rPr>
          <w:rFonts w:ascii="Arial" w:hAnsi="Arial" w:cs="Arial"/>
          <w:b/>
          <w:bCs/>
          <w:sz w:val="20"/>
          <w:szCs w:val="20"/>
        </w:rPr>
        <w:t xml:space="preserve">usklajenost </w:t>
      </w:r>
      <w:r w:rsidRPr="00215B2F">
        <w:rPr>
          <w:rFonts w:ascii="Arial" w:hAnsi="Arial" w:cs="Arial"/>
          <w:sz w:val="20"/>
          <w:szCs w:val="20"/>
        </w:rPr>
        <w:t>svojih</w:t>
      </w:r>
      <w:r w:rsidRPr="00215B2F">
        <w:rPr>
          <w:rFonts w:ascii="Arial" w:hAnsi="Arial" w:cs="Arial"/>
          <w:b/>
          <w:bCs/>
          <w:sz w:val="20"/>
          <w:szCs w:val="20"/>
        </w:rPr>
        <w:t xml:space="preserve"> portfeljev</w:t>
      </w:r>
      <w:r w:rsidRPr="00215B2F">
        <w:rPr>
          <w:rFonts w:ascii="Arial" w:hAnsi="Arial" w:cs="Arial"/>
          <w:sz w:val="20"/>
          <w:szCs w:val="20"/>
        </w:rPr>
        <w:t xml:space="preserve"> z načrti </w:t>
      </w:r>
      <w:r w:rsidR="001E58FE" w:rsidRPr="00215B2F">
        <w:rPr>
          <w:rFonts w:ascii="Arial" w:hAnsi="Arial" w:cs="Arial"/>
          <w:sz w:val="20"/>
          <w:szCs w:val="20"/>
        </w:rPr>
        <w:t>Evropske unije</w:t>
      </w:r>
      <w:r w:rsidRPr="00215B2F">
        <w:rPr>
          <w:rFonts w:ascii="Arial" w:hAnsi="Arial" w:cs="Arial"/>
          <w:sz w:val="20"/>
          <w:szCs w:val="20"/>
        </w:rPr>
        <w:t xml:space="preserve"> glede podnebne nevtralnosti do leta 2050 ter glede preprečevanja degradacije okolja in izgube biotske raznovrstnosti. Institucije bi morale biti obvezane pripraviti posebne načrte za obravnavanje finančnih tveganj, ki kratkoročno, srednjeročno in dolgoročno izhajajo iz ESG dejavnikov, vključno s trendi prehoda v zvezi z ustreznimi regulativnimi cilji </w:t>
      </w:r>
      <w:r w:rsidR="001E58FE" w:rsidRPr="00215B2F">
        <w:rPr>
          <w:rFonts w:ascii="Arial" w:hAnsi="Arial" w:cs="Arial"/>
          <w:sz w:val="20"/>
          <w:szCs w:val="20"/>
        </w:rPr>
        <w:t>Evropske unije</w:t>
      </w:r>
      <w:r w:rsidRPr="00215B2F">
        <w:rPr>
          <w:rFonts w:ascii="Arial" w:hAnsi="Arial" w:cs="Arial"/>
          <w:sz w:val="20"/>
          <w:szCs w:val="20"/>
        </w:rPr>
        <w:t xml:space="preserve"> in držav članic. </w:t>
      </w:r>
    </w:p>
    <w:p w14:paraId="29951DA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89FEC08" w14:textId="563276A2"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Od institucij bi bilo treba zahtevati, da imajo zanesljive ureditve</w:t>
      </w:r>
      <w:r w:rsidRPr="00215B2F">
        <w:rPr>
          <w:rFonts w:ascii="Arial" w:hAnsi="Arial" w:cs="Arial"/>
          <w:b/>
          <w:bCs/>
          <w:sz w:val="20"/>
          <w:szCs w:val="20"/>
        </w:rPr>
        <w:t xml:space="preserve"> </w:t>
      </w:r>
      <w:r w:rsidRPr="00215B2F">
        <w:rPr>
          <w:rFonts w:ascii="Arial" w:hAnsi="Arial" w:cs="Arial"/>
          <w:sz w:val="20"/>
          <w:szCs w:val="20"/>
        </w:rPr>
        <w:t>upravljanja in</w:t>
      </w:r>
      <w:r w:rsidRPr="00215B2F">
        <w:rPr>
          <w:rFonts w:ascii="Arial" w:hAnsi="Arial" w:cs="Arial"/>
          <w:b/>
          <w:bCs/>
          <w:sz w:val="20"/>
          <w:szCs w:val="20"/>
        </w:rPr>
        <w:t xml:space="preserve"> notranje postopke</w:t>
      </w:r>
      <w:r w:rsidRPr="00215B2F">
        <w:rPr>
          <w:rFonts w:ascii="Arial" w:hAnsi="Arial" w:cs="Arial"/>
          <w:sz w:val="20"/>
          <w:szCs w:val="20"/>
        </w:rPr>
        <w:t xml:space="preserve"> za upravljanje ESG tveganj ter vzpostavljene strategije, odobrene s strani njihovih upravljalnih organov, ki ne upoštevajo samo trenutnega učinka ESG dejavnikov, ampak tudi prihodnjega. Skupno znanje in ozaveščenost o okoljskih, družbenih in upravljavskih dejavnikih v upravljalnih organih institucij ter razporejanje notranjega kapitala institucije za obravnavanje ESG tveganj bodo prav tako ključnega pomena za okrepitev odpornosti proti negativnim posledicam teh tveganj. Zaradi posebnosti ESG tveganj se njihovo razumevanje, merjenje in upravljanje med institucijami lahko znatno razlikujejo. Za zagotovitev zbliževanja v zvezi s tem na ravni </w:t>
      </w:r>
      <w:r w:rsidR="001E58FE" w:rsidRPr="00215B2F">
        <w:rPr>
          <w:rFonts w:ascii="Arial" w:hAnsi="Arial" w:cs="Arial"/>
          <w:sz w:val="20"/>
          <w:szCs w:val="20"/>
        </w:rPr>
        <w:t>Evropske unije</w:t>
      </w:r>
      <w:r w:rsidRPr="00215B2F">
        <w:rPr>
          <w:rFonts w:ascii="Arial" w:hAnsi="Arial" w:cs="Arial"/>
          <w:sz w:val="20"/>
          <w:szCs w:val="20"/>
        </w:rPr>
        <w:t xml:space="preserve"> in enotnega razumevanja ESG tveganj bi bilo treba v bonitetnem regulativnem okviru določiti ustrezne opredelitve in minimalne standarde za ocenjevanje teh tveganj.</w:t>
      </w:r>
    </w:p>
    <w:p w14:paraId="0A2ED09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105EB7B" w14:textId="52418409"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Institucije imajo kot glavne ponudnice financiranja za podjetja in gospodinjstva v </w:t>
      </w:r>
      <w:r w:rsidR="001E58FE" w:rsidRPr="00215B2F">
        <w:rPr>
          <w:rFonts w:ascii="Arial" w:hAnsi="Arial" w:cs="Arial"/>
          <w:sz w:val="20"/>
          <w:szCs w:val="20"/>
        </w:rPr>
        <w:t>Evropski uniji</w:t>
      </w:r>
      <w:r w:rsidRPr="00215B2F">
        <w:rPr>
          <w:rFonts w:ascii="Arial" w:hAnsi="Arial" w:cs="Arial"/>
          <w:sz w:val="20"/>
          <w:szCs w:val="20"/>
        </w:rPr>
        <w:t xml:space="preserve"> pomembno vlogo pri spodbujanju trajnostnega razvoja v vsej </w:t>
      </w:r>
      <w:r w:rsidR="001E58FE" w:rsidRPr="00215B2F">
        <w:rPr>
          <w:rFonts w:ascii="Arial" w:hAnsi="Arial" w:cs="Arial"/>
          <w:sz w:val="20"/>
          <w:szCs w:val="20"/>
        </w:rPr>
        <w:t>Evropski uniji</w:t>
      </w:r>
      <w:r w:rsidRPr="00215B2F">
        <w:rPr>
          <w:rFonts w:ascii="Arial" w:hAnsi="Arial" w:cs="Arial"/>
          <w:sz w:val="20"/>
          <w:szCs w:val="20"/>
        </w:rPr>
        <w:t xml:space="preserve">. Da bi Unija uresničila svoj splošni cilj iz </w:t>
      </w:r>
      <w:r w:rsidR="00D24496" w:rsidRPr="00215B2F">
        <w:rPr>
          <w:rFonts w:ascii="Arial" w:hAnsi="Arial" w:cs="Arial"/>
          <w:sz w:val="20"/>
          <w:szCs w:val="20"/>
        </w:rPr>
        <w:t xml:space="preserve">Uredbe (EU) 2021/1119 Evropskega parlamenta in Sveta z dne 30. junija 2021 o vzpostavitvi okvira za doseganje podnebne nevtralnosti in spremembi uredb (ES) št. 401/2009 in (EU) 2018/1999 (evropska podnebna pravila) (v nadaljnjem besedilu: </w:t>
      </w:r>
      <w:r w:rsidR="00D24496" w:rsidRPr="00215B2F">
        <w:rPr>
          <w:rFonts w:ascii="Arial" w:eastAsia="Arial" w:hAnsi="Arial" w:cs="Arial"/>
          <w:sz w:val="20"/>
          <w:szCs w:val="20"/>
        </w:rPr>
        <w:t>Uredbo 2021/1119/EU)</w:t>
      </w:r>
      <w:r w:rsidRPr="00215B2F">
        <w:rPr>
          <w:rFonts w:ascii="Arial" w:hAnsi="Arial" w:cs="Arial"/>
          <w:sz w:val="20"/>
          <w:szCs w:val="20"/>
        </w:rPr>
        <w:t>, da do leta 2050 postane podnebno nevtralna, morajo institucije vlogo spodbujanja trajnostnega razvoja vključiti v svoje politike in dejavnosti. Da bi podprli ta proces vključevanja, je treba preverjati ustreznost</w:t>
      </w:r>
      <w:r w:rsidRPr="00215B2F">
        <w:rPr>
          <w:rFonts w:ascii="Arial" w:hAnsi="Arial" w:cs="Arial"/>
          <w:b/>
          <w:bCs/>
          <w:sz w:val="20"/>
          <w:szCs w:val="20"/>
        </w:rPr>
        <w:t xml:space="preserve"> poslovnih modelov </w:t>
      </w:r>
      <w:r w:rsidRPr="00215B2F">
        <w:rPr>
          <w:rFonts w:ascii="Arial" w:hAnsi="Arial" w:cs="Arial"/>
          <w:sz w:val="20"/>
          <w:szCs w:val="20"/>
        </w:rPr>
        <w:t xml:space="preserve">in strategij institucij za dosego ustreznih regulativnih ciljev </w:t>
      </w:r>
      <w:r w:rsidR="001E58FE" w:rsidRPr="00215B2F">
        <w:rPr>
          <w:rFonts w:ascii="Arial" w:hAnsi="Arial" w:cs="Arial"/>
          <w:sz w:val="20"/>
          <w:szCs w:val="20"/>
        </w:rPr>
        <w:t>Evropske unije</w:t>
      </w:r>
      <w:r w:rsidRPr="00215B2F">
        <w:rPr>
          <w:rFonts w:ascii="Arial" w:hAnsi="Arial" w:cs="Arial"/>
          <w:sz w:val="20"/>
          <w:szCs w:val="20"/>
        </w:rPr>
        <w:t xml:space="preserve"> za trajnostno gospodarstvo, med drugim glede na ukrepe, ki jih predpiše Evropski znanstveni svetovalni odbor za podnebne spremembe, da bi opredelili ESG tveganja, ki izhajajo iz neusklajenosti. Kadar institucije razkrijejo svoje cilje in zaveze na področju trajnostnosti v skladu z drugimi obveznimi ali prostovoljnimi okviri za trajnostnost, bi morali biti ti cilji in zaveze skladni s posebnimi načrti za obravnavanje ESG tveganj, s katerimi se institucije spoprijemajo kratko-, srednje- in dolgoročno. </w:t>
      </w:r>
    </w:p>
    <w:p w14:paraId="1B279C5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9A6449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Pristojni organi bi morali z ustreznimi nadzornimi dejavnostmi</w:t>
      </w:r>
      <w:r w:rsidRPr="00215B2F">
        <w:rPr>
          <w:rFonts w:ascii="Arial" w:hAnsi="Arial" w:cs="Arial"/>
          <w:b/>
          <w:bCs/>
          <w:sz w:val="20"/>
          <w:szCs w:val="20"/>
        </w:rPr>
        <w:t xml:space="preserve"> </w:t>
      </w:r>
      <w:r w:rsidRPr="00215B2F">
        <w:rPr>
          <w:rFonts w:ascii="Arial" w:hAnsi="Arial" w:cs="Arial"/>
          <w:sz w:val="20"/>
          <w:szCs w:val="20"/>
        </w:rPr>
        <w:t>oceniti, v kolikšni meri se institucije spoprijemajo z </w:t>
      </w:r>
      <w:r w:rsidRPr="00215B2F">
        <w:rPr>
          <w:rFonts w:ascii="Arial" w:hAnsi="Arial" w:cs="Arial"/>
          <w:b/>
          <w:bCs/>
          <w:sz w:val="20"/>
          <w:szCs w:val="20"/>
        </w:rPr>
        <w:t>ESG tveganji</w:t>
      </w:r>
      <w:r w:rsidRPr="00215B2F">
        <w:rPr>
          <w:rFonts w:ascii="Arial" w:hAnsi="Arial" w:cs="Arial"/>
          <w:sz w:val="20"/>
          <w:szCs w:val="20"/>
        </w:rPr>
        <w:t xml:space="preserve"> ter ali imajo vzpostavljene spremljajoče politike upravljanja in operativne ukrepe, ki se odražajo v ciljih in mejnikih, ki so določeni v njihovih bonitetnih načrtih ter so skladni z njihovimi razkritimi zavezami na področju trajnostnosti v okviru procesa prilagajanja na podnebno nevtralnost do leta 2050. Za spodbujanje zanesljivega in učinkovitega nadzora nad tveganji ter za vodstveno ravnanje, ki bo v skladu z njihovo dolgoročno strategijo za trajnostnost, bi morala biti sestavni del plačilnih politik in praks institucij tudi njihova nagnjenost k prevzemanju tveganj v povezavi z ESG tveganji.</w:t>
      </w:r>
    </w:p>
    <w:bookmarkEnd w:id="7"/>
    <w:p w14:paraId="5AA3616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8DB830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Določbe Direktive 2013/36/EU o okviru za blažilnik sistemskih tveganj se že lahko uporabljajo za obravnavanje različnih vrst sistemskih tveganj, vključno s sistemskimi tveganji, povezanimi s podnebnimi spremembami. Če pristojni oziroma imenovani organi institucije menijo, da bi tveganja, povezana s podnebnimi spremembami, lahko imela resne negativne posledice za finančni sistem in </w:t>
      </w:r>
      <w:r w:rsidRPr="00215B2F">
        <w:rPr>
          <w:rFonts w:ascii="Arial" w:hAnsi="Arial" w:cs="Arial"/>
          <w:sz w:val="20"/>
          <w:szCs w:val="20"/>
        </w:rPr>
        <w:lastRenderedPageBreak/>
        <w:t xml:space="preserve">realno gospodarstvo držav članic, bi morali uvesti stopnjo </w:t>
      </w:r>
      <w:r w:rsidRPr="00215B2F">
        <w:rPr>
          <w:rFonts w:ascii="Arial" w:hAnsi="Arial" w:cs="Arial"/>
          <w:b/>
          <w:bCs/>
          <w:sz w:val="20"/>
          <w:szCs w:val="20"/>
        </w:rPr>
        <w:t>blažilnika sistemskih tveganj</w:t>
      </w:r>
      <w:r w:rsidRPr="00215B2F">
        <w:rPr>
          <w:rFonts w:ascii="Arial" w:hAnsi="Arial" w:cs="Arial"/>
          <w:sz w:val="20"/>
          <w:szCs w:val="20"/>
        </w:rPr>
        <w:t>, ki bi se lahko uporabljala tudi za nekatere skupine ali podskupine izpostavljenosti, na primer tiste, ki se nanašajo na fizična tveganja in tveganja prehoda, povezana s podnebnimi spremembami, kadar menijo, da bi bila uvedba take stopnje učinkovita in sorazmerna za zmanjševanje teh tveganj.</w:t>
      </w:r>
    </w:p>
    <w:p w14:paraId="283DA31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FA782FF"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b/>
          <w:bCs/>
          <w:color w:val="auto"/>
          <w:sz w:val="20"/>
          <w:szCs w:val="20"/>
        </w:rPr>
      </w:pPr>
      <w:r w:rsidRPr="00215B2F">
        <w:rPr>
          <w:rFonts w:ascii="Arial" w:hAnsi="Arial" w:cs="Arial"/>
          <w:b/>
          <w:bCs/>
          <w:color w:val="auto"/>
          <w:sz w:val="20"/>
          <w:szCs w:val="20"/>
        </w:rPr>
        <w:t>1.2.3. Pooblastila za ukrepanje in sankcioniranje</w:t>
      </w:r>
    </w:p>
    <w:p w14:paraId="38596D5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9C39FDB" w14:textId="08E3FB17" w:rsidR="0010347E" w:rsidRPr="00215B2F" w:rsidRDefault="0010347E" w:rsidP="0010347E">
      <w:pPr>
        <w:shd w:val="clear" w:color="auto" w:fill="FFFFFF" w:themeFill="background1"/>
        <w:spacing w:after="0" w:line="240" w:lineRule="auto"/>
        <w:jc w:val="both"/>
        <w:rPr>
          <w:rFonts w:ascii="Arial" w:hAnsi="Arial" w:cs="Arial"/>
          <w:sz w:val="20"/>
          <w:szCs w:val="20"/>
        </w:rPr>
      </w:pPr>
      <w:bookmarkStart w:id="8" w:name="_Hlk201322858"/>
      <w:r w:rsidRPr="00215B2F">
        <w:rPr>
          <w:rFonts w:ascii="Arial" w:hAnsi="Arial" w:cs="Arial"/>
          <w:sz w:val="20"/>
          <w:szCs w:val="20"/>
        </w:rPr>
        <w:t xml:space="preserve">Institucije, finančni holdingi in mešani finančni holdingi morajo izpolnjevati bonitetne zahteve, saj je to bistveno za zagotovitev njihove varnosti in trdnosti ter za ohranjanje stabilnosti finančnega sistema, tako na ravni celotne </w:t>
      </w:r>
      <w:r w:rsidR="001E58FE" w:rsidRPr="00215B2F">
        <w:rPr>
          <w:rFonts w:ascii="Arial" w:hAnsi="Arial" w:cs="Arial"/>
          <w:sz w:val="20"/>
          <w:szCs w:val="20"/>
        </w:rPr>
        <w:t>Evropske unije</w:t>
      </w:r>
      <w:r w:rsidRPr="00215B2F">
        <w:rPr>
          <w:rFonts w:ascii="Arial" w:hAnsi="Arial" w:cs="Arial"/>
          <w:sz w:val="20"/>
          <w:szCs w:val="20"/>
        </w:rPr>
        <w:t xml:space="preserve"> kot v vsaki državi članici. Zato bi morali imeti ECB in pristojni nacionalni organi pooblastilo za sprejetje</w:t>
      </w:r>
      <w:r w:rsidRPr="00215B2F">
        <w:rPr>
          <w:rFonts w:ascii="Arial" w:hAnsi="Arial" w:cs="Arial"/>
          <w:b/>
          <w:bCs/>
          <w:sz w:val="20"/>
          <w:szCs w:val="20"/>
        </w:rPr>
        <w:t xml:space="preserve"> pravočasnih in odločnih ukrepov</w:t>
      </w:r>
      <w:r w:rsidRPr="00215B2F">
        <w:rPr>
          <w:rFonts w:ascii="Arial" w:hAnsi="Arial" w:cs="Arial"/>
          <w:sz w:val="20"/>
          <w:szCs w:val="20"/>
        </w:rPr>
        <w:t>, kadar te institucije, finančni holdingi in mešani finančni holdingi in njihovi operativni vodje ne izpolnjujejo bonitetnih zahtev ali nadzorniških odločitev.</w:t>
      </w:r>
    </w:p>
    <w:p w14:paraId="40D86FD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A46AE45"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1.2.3.1. Kazni za kršitve pravil</w:t>
      </w:r>
    </w:p>
    <w:p w14:paraId="149864E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5630772" w14:textId="10F5116A"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Za zagotovitev enakih konkurenčnih pogojev na področju pooblastil za sankcioniranje bi bilo treba od držav članic zahtevati, da zagotovijo učinkovite, sorazmerne in odvračilne</w:t>
      </w:r>
      <w:r w:rsidRPr="00215B2F">
        <w:rPr>
          <w:rFonts w:ascii="Arial" w:hAnsi="Arial" w:cs="Arial"/>
          <w:b/>
          <w:bCs/>
          <w:sz w:val="20"/>
          <w:szCs w:val="20"/>
        </w:rPr>
        <w:t xml:space="preserve"> upravne kazni</w:t>
      </w:r>
      <w:r w:rsidRPr="00215B2F">
        <w:rPr>
          <w:rFonts w:ascii="Arial" w:hAnsi="Arial" w:cs="Arial"/>
          <w:sz w:val="20"/>
          <w:szCs w:val="20"/>
        </w:rPr>
        <w:t xml:space="preserve">, </w:t>
      </w:r>
      <w:r w:rsidRPr="00215B2F">
        <w:rPr>
          <w:rFonts w:ascii="Arial" w:hAnsi="Arial" w:cs="Arial"/>
          <w:b/>
          <w:bCs/>
          <w:sz w:val="20"/>
          <w:szCs w:val="20"/>
        </w:rPr>
        <w:t xml:space="preserve">periodične denarne kazni </w:t>
      </w:r>
      <w:r w:rsidRPr="00215B2F">
        <w:rPr>
          <w:rFonts w:ascii="Arial" w:hAnsi="Arial" w:cs="Arial"/>
          <w:sz w:val="20"/>
          <w:szCs w:val="20"/>
        </w:rPr>
        <w:t xml:space="preserve">in druge upravne ukrepe v zvezi s kršitvami nacionalnih določb, s katerimi se prenaša Direktiva 2013/36/EU, in kršitvami Uredbe </w:t>
      </w:r>
      <w:r w:rsidR="00D24496" w:rsidRPr="00215B2F">
        <w:rPr>
          <w:rFonts w:ascii="Arial" w:hAnsi="Arial" w:cs="Arial"/>
          <w:sz w:val="20"/>
          <w:szCs w:val="20"/>
        </w:rPr>
        <w:t xml:space="preserve">575/2013/EU </w:t>
      </w:r>
      <w:r w:rsidRPr="00215B2F">
        <w:rPr>
          <w:rFonts w:ascii="Arial" w:hAnsi="Arial" w:cs="Arial"/>
          <w:sz w:val="20"/>
          <w:szCs w:val="20"/>
        </w:rPr>
        <w:t>ali kršitvami odločitev, ki jih pristojni organi sprejmejo na podlagi navedenih določb ali navedene uredbe. Te upravne kazni, periodične denarne kazni in drugi upravni ukrepi bi morali izpolnjevati določene minimalne zahteve, vključno z minimalnimi pooblastili, ki bi se morala podeliti pristojnim organom, da jih lahko nalagajo, merili, ki bi jih morali pristojni organi upoštevati pri njihovi uporabi, zahtevami glede objave oziroma ravnmi upravnih kazni ter periodičnih denarnih kazni. EBA bi bilo treba naložiti, da poroča o sodelovanju med pristojnimi organi v okviru uporabe upravnih kazni, periodičnih denarnih kazni in drugih upravnih ukrepov.</w:t>
      </w:r>
    </w:p>
    <w:p w14:paraId="332175F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5B808A9"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1.2.3.2. Usklajevanje upravnih in kazenskih postopkov</w:t>
      </w:r>
    </w:p>
    <w:p w14:paraId="2030F32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0EC8B5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Države članice bi morale imeti možnost, da naložijo upravne kazni, kadar za zadevno kršitev velja tudi nacionalno kazensko pravo. Pristojni organi bi morali pri določanju vrste upravnih kazni ali drugih upravnih ukrepov in ravni upravnih denarnih kazni upoštevati vse prejšnje kazni, ki so bile za enako kršitev že naložene po kazenskem pravu fizični ali pravni osebi, odgovorni za to kršitev. S tem bi zagotovili, da je strogost vseh upravnih kazni in drugih upravnih ukrepov, naloženih za kazenske namene, v primeru kopičenja upravnih in kazenskih postopkov, ki izhajajo iz istega kršitvenega ravnanja, omejena na to, kar je potrebno glede na resnost zadevne kršitve. V ta namen bi morale države članice vzpostaviti ustrezne mehanizme za zagotovitev ustrezne in pravočasne obveščenosti pristojnih organov in pravosodnih organov o vseh upravnih in kazenskih postopkih, uvedenih proti isti fizični ali pravni osebi.</w:t>
      </w:r>
    </w:p>
    <w:p w14:paraId="5DA950B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38AF983"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1.2.3.3. Odvračilne denarne kazni</w:t>
      </w:r>
    </w:p>
    <w:p w14:paraId="4592FFC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36BC31F" w14:textId="26E04CD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Upravne denarne kazni bi morale imeti odvračilni učinek, da se prepreči, da bi fizična ali pravna oseba, ki krši nacionalne določbe, s katerimi se prenaša Direktiva 2013/36/EU, ali Uredbo </w:t>
      </w:r>
      <w:r w:rsidR="00D24496" w:rsidRPr="00215B2F">
        <w:rPr>
          <w:rFonts w:ascii="Arial" w:hAnsi="Arial" w:cs="Arial"/>
          <w:sz w:val="20"/>
          <w:szCs w:val="20"/>
        </w:rPr>
        <w:t>575/2013/EU</w:t>
      </w:r>
      <w:r w:rsidRPr="00215B2F">
        <w:rPr>
          <w:rFonts w:ascii="Arial" w:hAnsi="Arial" w:cs="Arial"/>
          <w:sz w:val="20"/>
          <w:szCs w:val="20"/>
        </w:rPr>
        <w:t xml:space="preserve">, v prihodnosti ravnala enako ali podobno. Upravne denarne kazni za pravne osebe bi se morale uporabljati dosledno, zlasti kar zadeva določitev najvišjega zneska takih kazni, pri katerem bi bilo treba upoštevati skupni letni neto promet zadevne družbe. Vendar skupni letni neto promet v smislu Direktive 2013/36/EU trenutno ni niti dovolj izčrpen niti dovolj jasen, da bi bili zagotovljeni enaki konkurenčni pogoji pri uporabi upravnih denarnih kazni. Za zagotovitev doslednega izračuna po vsej </w:t>
      </w:r>
      <w:r w:rsidR="001E58FE" w:rsidRPr="00215B2F">
        <w:rPr>
          <w:rFonts w:ascii="Arial" w:hAnsi="Arial" w:cs="Arial"/>
          <w:sz w:val="20"/>
          <w:szCs w:val="20"/>
        </w:rPr>
        <w:t>Evropski uniji</w:t>
      </w:r>
      <w:r w:rsidRPr="00215B2F">
        <w:rPr>
          <w:rFonts w:ascii="Arial" w:hAnsi="Arial" w:cs="Arial"/>
          <w:sz w:val="20"/>
          <w:szCs w:val="20"/>
        </w:rPr>
        <w:t xml:space="preserve"> bi bilo treba v Direktivi 2013/36/EU določiti seznam elementov, ki jih je treba vključiti v izračun skupnega letnega neto prometa.</w:t>
      </w:r>
    </w:p>
    <w:p w14:paraId="482954D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4A81750"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1.2.3.4. Periodične denarne kazni</w:t>
      </w:r>
    </w:p>
    <w:p w14:paraId="6F93512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19CE6AA" w14:textId="3D71551A"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Pristojni organi bi morali biti pooblaščeni, da poleg upravnih denarnih kazni institucijam, finančnim holdingom, mešanim finančnim holdingom in tistim članom upravljalnega organa v upravljavski funkciji, višjemu vodstvu, nosilcem ključnih funkcij, drugim pomembnim nosilcem tveganja in vsem drugim fizičnim osebam, za katere se v skladu z nacionalnim pravom ugotovi, da so odgovorni za kršitev obveznosti zagotavljanja skladnosti z nacionalnimi določbami, s katerimi se prenaša Direktiva 2013/36/EU, obveznosti na podlagi Uredbe </w:t>
      </w:r>
      <w:r w:rsidR="00D24496" w:rsidRPr="00215B2F">
        <w:rPr>
          <w:rFonts w:ascii="Arial" w:hAnsi="Arial" w:cs="Arial"/>
          <w:sz w:val="20"/>
          <w:szCs w:val="20"/>
        </w:rPr>
        <w:t xml:space="preserve">575/2013/EU </w:t>
      </w:r>
      <w:r w:rsidRPr="00215B2F">
        <w:rPr>
          <w:rFonts w:ascii="Arial" w:hAnsi="Arial" w:cs="Arial"/>
          <w:sz w:val="20"/>
          <w:szCs w:val="20"/>
        </w:rPr>
        <w:t xml:space="preserve">ali odločitve pristojnih organov na podlagi </w:t>
      </w:r>
      <w:r w:rsidRPr="00215B2F">
        <w:rPr>
          <w:rFonts w:ascii="Arial" w:hAnsi="Arial" w:cs="Arial"/>
          <w:sz w:val="20"/>
          <w:szCs w:val="20"/>
        </w:rPr>
        <w:lastRenderedPageBreak/>
        <w:t>navedenih določb ali navedene uredbe, nalagajo tudi periodične denarne kazni. Države članice bi morale določiti posebna pravila in učinkovite mehanizme za uporabo periodičnih denarnih kazni. Periodične denarne kazni bi morale biti naložene, kadar se kršitev nadaljuje. Brez poseganja v procesne pravice prizadetih oseb na podlagi veljavnega prava, vključno z njihovo pravico do zaslišanja, bi morali imeti pristojni organi možnost, da te periodične denarne kazni naložijo, ne da bi jim bilo treba na osebo kršiteljico predhodno nasloviti zahtevo, odredbo ali opozorilo, v katerem bi zahtevali ponovno zagotovitev skladnosti. Ker je namen periodičnih denarnih kazni prisiliti fizične ali pravne osebe, da prenehajo izvajati trajajočo kršitev, uporaba periodičnih denarnih kazni pristojnim organom ne bi smela preprečiti, da za isto kršitev naložijo naknadne upravne kazni. Periodične denarne kazni bi moralo biti možno naložiti na določeni datum in tako, da se začnejo uporabljati pozneje. Če države članice ne določijo drugače, bi bilo treba periodične denarne kazni izračunati na dnevni osnovi.</w:t>
      </w:r>
    </w:p>
    <w:p w14:paraId="7B49C2B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7C03189"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1.2.3.5. Dodatne kazni in ukrepi</w:t>
      </w:r>
    </w:p>
    <w:p w14:paraId="0339439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6E2C42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Da bi zagotovili kar najširši nabor ukrepov po kršitvi in pomagali preprečiti nadaljnje kršitve, bi morale države članice imeti možnost določiti dodatne upravne kazni in višje ravni upravnih denarnih kazni ter periodične denarne kazni, ne glede na to, ali za take kršitve na podlagi nacionalnega prava obstaja upravna kazen ali drug upravni ukrep.</w:t>
      </w:r>
    </w:p>
    <w:p w14:paraId="048B22C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8C0D46C"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1.2.3.6. Preprečevanje nesorazmernih finančnih posledic</w:t>
      </w:r>
    </w:p>
    <w:p w14:paraId="48A227A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FD8D5A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Pristojni organ bi moral pri nalaganju periodičnih denarnih kazni upoštevati morebitni učinek take kazni na finančni položaj fizične ali pravne osebe kršiteljice in si prizadevati preprečiti, da bi kazen povzročila insolventnost pravne ali fizične osebe kršiteljice ali privedla do resnih finančnih težav ali da bi sestavljala nesorazmerni delež letnega prihodka fizične osebe ali skupnega letnega neto prometa pravne osebe. Pristojni organi bi morali hkrati zagotoviti, da se periodične denarne kazni naložijo članom upravljalnega organa, višjemu vodstvu, nosilcem ključnih funkcij, drugim pomembnim nosilcem tveganja in vsem drugim fizičnim osebam, za katere se ugotovi, da so individualno ali kolektivno neposredno odgovorne za kršitev.</w:t>
      </w:r>
    </w:p>
    <w:p w14:paraId="0C89AEF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90A8CF5"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1.2.3.7. Sodni organi v izjemnih primerih</w:t>
      </w:r>
    </w:p>
    <w:p w14:paraId="44CE483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8B4CB6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izjemnih okoliščinah, kadar pravni sistem države članice ne omogoča naložitve upravnih kazni iz te direktive, bi bilo treba omogočiti, da se izjemoma uporabijo pravila o upravnih kaznih tako, da kazen predlaga pristojni organ, naloži pa jo sodni organ. Ne glede na to morajo zadevne države članice zagotoviti, da ima uporaba takih pravil in kazni učinek, ki je enakovreden učinku upravnih kazni, ki jih naložijo pristojni organi. Predvidene kazni bi torej morale biti učinkovite, sorazmerne in odvračilne.</w:t>
      </w:r>
    </w:p>
    <w:p w14:paraId="0AEB35F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C80E8AA"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1.2.3.8. Pregled vpliva modelov na kapitalske zahteve</w:t>
      </w:r>
    </w:p>
    <w:p w14:paraId="786AAF9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FDF8BE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Po uvedbi mednarodnega standarda računovodskega poročanja 9: finančni instrumenti (MSRP 9) 1. januarja 2018 na zneske kapitala in regulativne količnike institucij neposredno vpliva rezultat izračuna pričakovanih kreditnih izgub, ki temelji na pristopih modeliranja. Isti pristopi modeliranja so tudi podlaga za izračun pričakovanih kreditnih izgub, kadar institucije uporabljajo nacionalne računovodske okvire. Zato je pomembno, da imajo pristojni organi in EBA jasen pregled o učinku, ki ga imajo ti izračuni na razpon vrednosti tveganju prilagojenih sredstev in kapitalskih zahtev za podobne izpostavljenosti. Za ta namen bi moral postopek primerjanja zajemati tudi te pristope modeliranja. Glede na to, da lahko institucije, ki izračunavajo kapitalske zahteve v skladu s standardiziranim pristopom za kreditno tveganje, prav tako uporabljajo modele za izračun pričakovanih kreditnih izgub v okviru MSRP 9, bi morale biti tudi te institucije ob upoštevanju načela sorazmernosti vključene v postopek primerjanja.</w:t>
      </w:r>
    </w:p>
    <w:p w14:paraId="2E05DDA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2142761"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1.2.3.9. Primerjava modelov za tržno tveganje</w:t>
      </w:r>
    </w:p>
    <w:p w14:paraId="4A378F6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086249C" w14:textId="4FA61032" w:rsidR="0010347E" w:rsidRPr="00215B2F" w:rsidRDefault="00D24496"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sz w:val="20"/>
          <w:szCs w:val="20"/>
        </w:rPr>
        <w:t>Uredba (EU) 2019/876 Evropskega parlamenta in Sveta z dne 20. maja 2019 o spremembi Uredbe (EU) št. 575/2013 v zvezi s količnikom finančnega vzvoda, količnikom neto stabilnega financiranja, zahtevami glede kapitala in kvalificiranih obveznosti, kreditnim tveganjem nasprotne stranke, tržnim tveganjem, izpostavljenostmi do centralnih nasprotnih strank, izpostavljenostmi do kolektivnih naložbenih podjemov, velikimi izpostavljenostmi, zahtevami glede poročanja in razkritja ter Uredbe (EU) št. 648/2012</w:t>
      </w:r>
      <w:r w:rsidR="0010347E" w:rsidRPr="00215B2F">
        <w:rPr>
          <w:rFonts w:ascii="Arial" w:hAnsi="Arial" w:cs="Arial"/>
          <w:sz w:val="20"/>
          <w:szCs w:val="20"/>
        </w:rPr>
        <w:t xml:space="preserve"> je spremenila Uredbo </w:t>
      </w:r>
      <w:r w:rsidRPr="00215B2F">
        <w:rPr>
          <w:rFonts w:ascii="Arial" w:hAnsi="Arial" w:cs="Arial"/>
          <w:sz w:val="20"/>
          <w:szCs w:val="20"/>
        </w:rPr>
        <w:t xml:space="preserve">575/2013/EU </w:t>
      </w:r>
      <w:r w:rsidR="0010347E" w:rsidRPr="00215B2F">
        <w:rPr>
          <w:rFonts w:ascii="Arial" w:hAnsi="Arial" w:cs="Arial"/>
          <w:sz w:val="20"/>
          <w:szCs w:val="20"/>
        </w:rPr>
        <w:t xml:space="preserve">z uvedbo revidiranega okvira za tržno tveganje, ki ga je razvil Baselski odbor za bančni nadzor. Alternativni standardizirani pristop, ki je del tega novega okvira, </w:t>
      </w:r>
      <w:r w:rsidR="0010347E" w:rsidRPr="00215B2F">
        <w:rPr>
          <w:rFonts w:ascii="Arial" w:hAnsi="Arial" w:cs="Arial"/>
          <w:sz w:val="20"/>
          <w:szCs w:val="20"/>
        </w:rPr>
        <w:lastRenderedPageBreak/>
        <w:t>institucijam omogoča modeliranje nekaterih parametrov, uporabljenih pri izračunu tveganju prilagojenih sredstev in kapitalskih zahtev za tržno tveganje. Zato je pomembno, da imajo pristojni organi in EBA jasen pregled nad razponom vrednosti tveganju prilagojenih sredstev in kapitalskih zahtev za podobne izpostavljenosti, ne samo na podlagi alternativnega pristopa notranjih modelov, temveč tudi na podlagi alternativnega standardiziranega pristopa. Zato bi moral postopek primerjanja tržnega tveganja zajemati revidirane standardizirane pristope in pristope notranjih modelov, ob upoštevanju načela sorazmernosti.</w:t>
      </w:r>
    </w:p>
    <w:bookmarkEnd w:id="8"/>
    <w:p w14:paraId="4537509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61C45A3"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b/>
          <w:bCs/>
          <w:color w:val="auto"/>
          <w:sz w:val="20"/>
          <w:szCs w:val="20"/>
        </w:rPr>
      </w:pPr>
      <w:r w:rsidRPr="00215B2F">
        <w:rPr>
          <w:rFonts w:ascii="Arial" w:hAnsi="Arial" w:cs="Arial"/>
          <w:b/>
          <w:bCs/>
          <w:color w:val="auto"/>
          <w:sz w:val="20"/>
          <w:szCs w:val="20"/>
        </w:rPr>
        <w:t>1.2.4. Upravljalni organi</w:t>
      </w:r>
    </w:p>
    <w:p w14:paraId="35A87DA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BE9E1EA"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1.2.4.1. Sposobnost in primernost članov upravljalnih organov</w:t>
      </w:r>
    </w:p>
    <w:p w14:paraId="768C8AD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8B7938F" w14:textId="3C725BDD"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Namen ocenjevanja primernosti članov upravljalnih organov je zagotoviti, da so ti člani usposobljeni za svojo vlogo in imajo dober ugled. Zanesljiv okvir za »</w:t>
      </w:r>
      <w:r w:rsidRPr="00215B2F">
        <w:rPr>
          <w:rFonts w:ascii="Arial" w:hAnsi="Arial" w:cs="Arial"/>
          <w:b/>
          <w:bCs/>
          <w:sz w:val="20"/>
          <w:szCs w:val="20"/>
        </w:rPr>
        <w:t>sposobnost in primernost</w:t>
      </w:r>
      <w:r w:rsidRPr="00215B2F">
        <w:rPr>
          <w:rFonts w:ascii="Arial" w:hAnsi="Arial" w:cs="Arial"/>
          <w:sz w:val="20"/>
          <w:szCs w:val="20"/>
        </w:rPr>
        <w:t xml:space="preserve">«, uporabljen za ocenjevanje primernosti članov upravljalnega organa in nosilcev ključnih funkcij, je ključni dejavnik za zagotavljanje ustreznega vodenja institucij in ustreznega upravljanja njihovih tveganj. Obstoječa pravila ne zagotavljajo, da institucija pravočasno oceni primernost članov upravljalnega organa, ki jih imenuje. Trenutno tudi ni pravil za ocenjevanje primernosti nosilcev ključnih funkcij. Poleg tega se morajo čezmejne institucije ukvarjati z zelo raznolikimi nacionalnimi pravili in postopki, zaradi česar je trenutni sistem manj učinkovit. Obstoj precej različnih zahtev v zvezi z oceno primernosti po vsej </w:t>
      </w:r>
      <w:r w:rsidR="001E58FE" w:rsidRPr="00215B2F">
        <w:rPr>
          <w:rFonts w:ascii="Arial" w:hAnsi="Arial" w:cs="Arial"/>
          <w:sz w:val="20"/>
          <w:szCs w:val="20"/>
        </w:rPr>
        <w:t>Evropski uniji</w:t>
      </w:r>
      <w:r w:rsidRPr="00215B2F">
        <w:rPr>
          <w:rFonts w:ascii="Arial" w:hAnsi="Arial" w:cs="Arial"/>
          <w:sz w:val="20"/>
          <w:szCs w:val="20"/>
        </w:rPr>
        <w:t xml:space="preserve"> je še posebej pomembno vprašanje v okviru bančne </w:t>
      </w:r>
      <w:r w:rsidR="001E58FE" w:rsidRPr="00215B2F">
        <w:rPr>
          <w:rFonts w:ascii="Arial" w:hAnsi="Arial" w:cs="Arial"/>
          <w:sz w:val="20"/>
          <w:szCs w:val="20"/>
        </w:rPr>
        <w:t>Evropske unije</w:t>
      </w:r>
      <w:r w:rsidRPr="00215B2F">
        <w:rPr>
          <w:rFonts w:ascii="Arial" w:hAnsi="Arial" w:cs="Arial"/>
          <w:sz w:val="20"/>
          <w:szCs w:val="20"/>
        </w:rPr>
        <w:t xml:space="preserve">. Zato je pomembno določiti niz pravil na ravni </w:t>
      </w:r>
      <w:r w:rsidR="001E58FE" w:rsidRPr="00215B2F">
        <w:rPr>
          <w:rFonts w:ascii="Arial" w:hAnsi="Arial" w:cs="Arial"/>
          <w:sz w:val="20"/>
          <w:szCs w:val="20"/>
        </w:rPr>
        <w:t>Evropske unije</w:t>
      </w:r>
      <w:r w:rsidRPr="00215B2F">
        <w:rPr>
          <w:rFonts w:ascii="Arial" w:hAnsi="Arial" w:cs="Arial"/>
          <w:sz w:val="20"/>
          <w:szCs w:val="20"/>
        </w:rPr>
        <w:t>, da se vzpostavi bolj dosleden in predvidljiv okvir za »sposobnost in primernost«. To bo spodbudilo zbliževanje nadzorniških praks, omogočalo nadaljnje vzpostavljanje zaupanja med pristojnimi organi in institucijam zagotovilo večjo pravno varnost. Ocene »sposobnosti in primernosti« so poleg drugih mehanizmov, kot so postopek nadzorniškega pregledovanja in ovrednotenja ter pravila o prejemkih, pomemben nadzorniški element, skupaj pa zagotavljajo dobro upravljanje institucij.</w:t>
      </w:r>
    </w:p>
    <w:p w14:paraId="05A477A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18EAC3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Da bi zagotovili dobro upravljanje, spodbujali neodvisna mnenja in kritične izzive ter predstavljali različna stališča in izkušnje, bi morali biti upravljalni organi sestavljeni dovolj</w:t>
      </w:r>
      <w:r w:rsidRPr="00215B2F">
        <w:rPr>
          <w:rFonts w:ascii="Arial" w:hAnsi="Arial" w:cs="Arial"/>
          <w:b/>
          <w:bCs/>
          <w:sz w:val="20"/>
          <w:szCs w:val="20"/>
        </w:rPr>
        <w:t xml:space="preserve"> raznoliko</w:t>
      </w:r>
      <w:r w:rsidRPr="00215B2F">
        <w:rPr>
          <w:rFonts w:ascii="Arial" w:hAnsi="Arial" w:cs="Arial"/>
          <w:sz w:val="20"/>
          <w:szCs w:val="20"/>
        </w:rPr>
        <w:t>, kar zadeva starost, spol, geografsko poreklo in izobrazbo ter poklicne izkušnje. Za zagotovitev ustrezne zastopanosti prebivalstva je zlasti pomembna uravnotežena zastopanost spolov, ki bi jo bilo treba spodbujati.</w:t>
      </w:r>
    </w:p>
    <w:p w14:paraId="29727BF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809E05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Institucije, finančni holdingi in mešani finančni holdingi so primarno odgovorni za ocenjevanje primernosti vsakega člana upravljalnega organa, zato bi morali ob upoštevanju določenih izjem izvesti začetno oceno primernosti, preden novi član nastopi svoj položaj, čemur naj bi sledilo preverjanje pristojnih organov. Navedeni subjekti bi morali zagotoviti, da so </w:t>
      </w:r>
      <w:r w:rsidRPr="00215B2F">
        <w:rPr>
          <w:rFonts w:ascii="Arial" w:hAnsi="Arial" w:cs="Arial"/>
          <w:b/>
          <w:bCs/>
          <w:sz w:val="20"/>
          <w:szCs w:val="20"/>
        </w:rPr>
        <w:t>informacije</w:t>
      </w:r>
      <w:r w:rsidRPr="00215B2F">
        <w:rPr>
          <w:rFonts w:ascii="Arial" w:hAnsi="Arial" w:cs="Arial"/>
          <w:sz w:val="20"/>
          <w:szCs w:val="20"/>
        </w:rPr>
        <w:t xml:space="preserve"> o primernosti članov upravljalnega organa vedno </w:t>
      </w:r>
      <w:r w:rsidRPr="00215B2F">
        <w:rPr>
          <w:rFonts w:ascii="Arial" w:hAnsi="Arial" w:cs="Arial"/>
          <w:b/>
          <w:bCs/>
          <w:sz w:val="20"/>
          <w:szCs w:val="20"/>
        </w:rPr>
        <w:t>posodobljene</w:t>
      </w:r>
      <w:r w:rsidRPr="00215B2F">
        <w:rPr>
          <w:rFonts w:ascii="Arial" w:hAnsi="Arial" w:cs="Arial"/>
          <w:sz w:val="20"/>
          <w:szCs w:val="20"/>
        </w:rPr>
        <w:t>. Zadevne informacije bi subjekti morali sporočiti pristojnim organom. Takoj ko so znana nova dejstva ali druge okoliščine, ki bi lahko vplivale na primernost članov upravljalnega organa, bi morali navedeni subjekti o tem brez nepotrebnega odlašanja obvestiti pristojne organe. Navedeni subjekti bi morali sprejeti potrebne ukrepe, če ugotovijo, da član ali možni član upravljalnega organa ne izpolnjuje zahtev glede primernosti. Enake zahteve bi morale veljati tudi za nosilce ključnih funkcij.</w:t>
      </w:r>
    </w:p>
    <w:p w14:paraId="1DEF180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879C2DE"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1.2.4.2. Predhodna ocena primernosti članov upravljalnih organov</w:t>
      </w:r>
    </w:p>
    <w:p w14:paraId="7235C84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451B2A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Da bi subjektom zagotovili pravno varnost in predvidljivost, je treba določiti </w:t>
      </w:r>
      <w:r w:rsidRPr="00215B2F">
        <w:rPr>
          <w:rFonts w:ascii="Arial" w:hAnsi="Arial" w:cs="Arial"/>
          <w:b/>
          <w:bCs/>
          <w:sz w:val="20"/>
          <w:szCs w:val="20"/>
        </w:rPr>
        <w:t>postopkovna pravila</w:t>
      </w:r>
      <w:r w:rsidRPr="00215B2F">
        <w:rPr>
          <w:rFonts w:ascii="Arial" w:hAnsi="Arial" w:cs="Arial"/>
          <w:sz w:val="20"/>
          <w:szCs w:val="20"/>
        </w:rPr>
        <w:t xml:space="preserve">, v skladu s katerimi bi pristojni organi preverjali primernost članov upravljalnega organa in nosilcev ključnih funkcij v velikih institucijah. Taka postopkovna pravila bi morala pristojnim organom omogočati, da po potrebi zahtevajo dodatne informacije, med drugim z dokumentacijo, razgovori in zaslišanji. Informacije in dokumentacijo, ki jih pristojni organi potrebujejo za ocenjevanje primernosti, tudi v kontekstu vloge za oceno primernosti, ki jo morajo velike institucije v primeru članov upravljalnega organa v upravljavski funkciji ali predsednika upravljalnega organa v nadzorniški funkciji predložiti, preden možni član nastopi svoj položaj (v nadaljnjem besedilu: vloga za predhodno oceno primernosti), bi morala biti pristojnim organom na voljo na način, ki ga sami določijo. Pristojni organi bi morali ponovno oceniti primernost člana, kadar so se zadevne informacije o njegovi primernosti spremenile. Od pristojnih organov se ne bi smelo zahtevati, da ob obnovitvi mandata članov upravljalnega organa ponovno ocenijo njihovo primernost, razen če so se zadevne informacije, znane pristojnim organom, spremenile in bi takšna sprememba lahko vplivala na primernost zadevnega člana. </w:t>
      </w:r>
    </w:p>
    <w:p w14:paraId="1D3F563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1DB092C" w14:textId="2DC84309"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lastRenderedPageBreak/>
        <w:t xml:space="preserve">Pristojni organi bi morali biti pooblaščeni za sprejetje </w:t>
      </w:r>
      <w:r w:rsidRPr="00215B2F">
        <w:rPr>
          <w:rFonts w:ascii="Arial" w:hAnsi="Arial" w:cs="Arial"/>
          <w:b/>
          <w:bCs/>
          <w:sz w:val="20"/>
          <w:szCs w:val="20"/>
        </w:rPr>
        <w:t>potrebnih ukrepov</w:t>
      </w:r>
      <w:r w:rsidRPr="00215B2F">
        <w:rPr>
          <w:rFonts w:ascii="Arial" w:hAnsi="Arial" w:cs="Arial"/>
          <w:sz w:val="20"/>
          <w:szCs w:val="20"/>
        </w:rPr>
        <w:t>, če ugotovijo, da zahteve glede primernosti niso izpolnjene. Pristojni organi bi morali imeti možnost, da od organa, odgovornega za nadzor nad preprečevanjem pranja denarja ali financiranja terorizma v skladu z Direktivo 2015/849</w:t>
      </w:r>
      <w:r w:rsidR="00092B13" w:rsidRPr="00215B2F">
        <w:rPr>
          <w:rFonts w:ascii="Arial" w:hAnsi="Arial" w:cs="Arial"/>
          <w:sz w:val="20"/>
          <w:szCs w:val="20"/>
        </w:rPr>
        <w:t>/EU</w:t>
      </w:r>
      <w:r w:rsidRPr="00215B2F">
        <w:rPr>
          <w:rFonts w:ascii="Arial" w:hAnsi="Arial" w:cs="Arial"/>
          <w:sz w:val="20"/>
          <w:szCs w:val="20"/>
        </w:rPr>
        <w:t>, na podlagi ocene tveganja zahtevajo vpogled v ustrezne informacije o članih upravljalnega organa in dostop do osrednje podatkovne zbirke o preprečevanju pranja denarja in financiranja terorizma.</w:t>
      </w:r>
    </w:p>
    <w:p w14:paraId="6AFB8F4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FB3D29C"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1.2.4.3. Roki in zaščitni ukrepi pri presoji primernosti</w:t>
      </w:r>
    </w:p>
    <w:p w14:paraId="40A3796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A75FA6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Zaradi tveganj, ki jih pomenijo velike institucije, zlasti tistih, ki izhajajo iz morebitnega učinka širitve okužbe, bi bilo treba pristojne organe držav članic, v katerih nadzornik v skladu z nacionalnim pravom oceni primernost člana, potem ko ta nastopi položaj v upravljalnem organu, brez nepotrebnega odlašanja in takoj, ko se pojavi jasna namera o imenovanju člana upravljalnega organa v upravljavski funkciji ali predsednika upravljalnega organa v nadzorniški funkciji, o tem uradno obvestiti. Velike institucije bi morale v vsakem primeru zagotoviti, da pristojni organi prejmejo vlogo za predhodno oceno primernosti najpozneje </w:t>
      </w:r>
      <w:r w:rsidRPr="00215B2F">
        <w:rPr>
          <w:rFonts w:ascii="Arial" w:hAnsi="Arial" w:cs="Arial"/>
          <w:b/>
          <w:bCs/>
          <w:sz w:val="20"/>
          <w:szCs w:val="20"/>
        </w:rPr>
        <w:t xml:space="preserve">30 delovnih dni </w:t>
      </w:r>
      <w:r w:rsidRPr="00215B2F">
        <w:rPr>
          <w:rFonts w:ascii="Arial" w:hAnsi="Arial" w:cs="Arial"/>
          <w:sz w:val="20"/>
          <w:szCs w:val="20"/>
        </w:rPr>
        <w:t xml:space="preserve">pred nastopom položaja možnega člana. Vlogi za predhodno oceno primernosti bi bilo treba priložiti vse ustrezne dokumente in informacije, ki so potrebni za oceno, ne glede na to, ali pristojni organi ocenjevanje primernosti zaključijo pred ali po tem, ko oseba nastopi svoj položaj. </w:t>
      </w:r>
    </w:p>
    <w:p w14:paraId="7B1416E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CBFCC2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Če kazenske evidence in drugi dokumenti, ki so predpisani z nacionalnim pravom ali ki so jih navedli pristojni organi, postanejo dostopni v poznejši fazi, bi morali pristojni organi tudi te dokumente in informacije prejeti brez nepotrebnega odlašanja. Vloga za predhodno oceno primernosti bi morala pristojnim organom omogočiti, da začnejo analizo in sprejmejo </w:t>
      </w:r>
      <w:r w:rsidRPr="00215B2F">
        <w:rPr>
          <w:rFonts w:ascii="Arial" w:hAnsi="Arial" w:cs="Arial"/>
          <w:b/>
          <w:bCs/>
          <w:sz w:val="20"/>
          <w:szCs w:val="20"/>
        </w:rPr>
        <w:t>ukrepe v okviru ocenjevanja</w:t>
      </w:r>
      <w:r w:rsidRPr="00215B2F">
        <w:rPr>
          <w:rFonts w:ascii="Arial" w:hAnsi="Arial" w:cs="Arial"/>
          <w:sz w:val="20"/>
          <w:szCs w:val="20"/>
        </w:rPr>
        <w:t xml:space="preserve">. S takimi ukrepi se lahko med drugim prepreči, da bi možni član nastopil svoj položaj, dokler pristojni organ ne prejme zadostnih informacij, ali pa se, če ima pristojni organ pomisleke glede primernosti možnega člana, začne okrepljeni dialog, da bi se prepričali, ali je možni član primeren ali bo primeren ob nastopu položaja. Vloga za predhodno oceno primernosti bi morala pristojnim organom omogočati </w:t>
      </w:r>
      <w:r w:rsidRPr="00215B2F">
        <w:rPr>
          <w:rFonts w:ascii="Arial" w:hAnsi="Arial" w:cs="Arial"/>
          <w:b/>
          <w:bCs/>
          <w:sz w:val="20"/>
          <w:szCs w:val="20"/>
        </w:rPr>
        <w:t>zgodnji dialog</w:t>
      </w:r>
      <w:r w:rsidRPr="00215B2F">
        <w:rPr>
          <w:rFonts w:ascii="Arial" w:hAnsi="Arial" w:cs="Arial"/>
          <w:sz w:val="20"/>
          <w:szCs w:val="20"/>
        </w:rPr>
        <w:t xml:space="preserve"> z velikimi institucijami o primernosti članov upravljalnega organa v upravljavski funkciji ali predsednika upravljalnega organa v nadzorniški funkciji, še preden nastopijo svoj položaj. Vendar vloga za predhodno oceno primernosti ne bi smela posegati v pristojnosti in odgovornost velike institucije pri zagotavljanju primernosti članov upravljalnega organa niti v morebitne naknadne ocene, ki jih izvedejo pristojni organi, kadar je to dovoljeno v skladu z nacionalnim pravom.</w:t>
      </w:r>
    </w:p>
    <w:p w14:paraId="7507B00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2F9282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Poleg tega bi morali pristojni organi v zvezi z velikimi institucijami ustrezno preučiti, ali ne bi bilo treba določiti </w:t>
      </w:r>
      <w:r w:rsidRPr="00215B2F">
        <w:rPr>
          <w:rFonts w:ascii="Arial" w:hAnsi="Arial" w:cs="Arial"/>
          <w:b/>
          <w:bCs/>
          <w:sz w:val="20"/>
          <w:szCs w:val="20"/>
        </w:rPr>
        <w:t>skrajnega roka</w:t>
      </w:r>
      <w:r w:rsidRPr="00215B2F">
        <w:rPr>
          <w:rFonts w:ascii="Arial" w:hAnsi="Arial" w:cs="Arial"/>
          <w:sz w:val="20"/>
          <w:szCs w:val="20"/>
        </w:rPr>
        <w:t xml:space="preserve"> za zaključek ocenjevanja primernosti vsaj za imenovanje članov upravljalnega organa in imenovanje vodje funkcij notranje kontrole in finančnega direktorja na položaje v takih institucijah. Tak skrajni rok bi moralo biti mogoče po potrebi podaljšati.</w:t>
      </w:r>
    </w:p>
    <w:p w14:paraId="6B85525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4B44045"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1.2.4.4. Orodja za presojo primernosti in odgovornosti</w:t>
      </w:r>
    </w:p>
    <w:p w14:paraId="42129CA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F10FA8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Zaradi vloge, ki jo ima ocena primernosti za skrbno in preudarno upravljanje institucij, je treba pristojnim organom zagotoviti</w:t>
      </w:r>
      <w:r w:rsidRPr="00215B2F">
        <w:rPr>
          <w:rFonts w:ascii="Arial" w:hAnsi="Arial" w:cs="Arial"/>
          <w:b/>
          <w:bCs/>
          <w:sz w:val="20"/>
          <w:szCs w:val="20"/>
        </w:rPr>
        <w:t xml:space="preserve"> </w:t>
      </w:r>
      <w:r w:rsidRPr="00215B2F">
        <w:rPr>
          <w:rFonts w:ascii="Arial" w:hAnsi="Arial" w:cs="Arial"/>
          <w:sz w:val="20"/>
          <w:szCs w:val="20"/>
        </w:rPr>
        <w:t xml:space="preserve">nova </w:t>
      </w:r>
      <w:r w:rsidRPr="00215B2F">
        <w:rPr>
          <w:rFonts w:ascii="Arial" w:hAnsi="Arial" w:cs="Arial"/>
          <w:b/>
          <w:bCs/>
          <w:sz w:val="20"/>
          <w:szCs w:val="20"/>
        </w:rPr>
        <w:t>orodja</w:t>
      </w:r>
      <w:r w:rsidRPr="00215B2F">
        <w:rPr>
          <w:rFonts w:ascii="Arial" w:hAnsi="Arial" w:cs="Arial"/>
          <w:sz w:val="20"/>
          <w:szCs w:val="20"/>
        </w:rPr>
        <w:t xml:space="preserve"> za ocenjevanje primernosti članov upravljalnih organov, višjega vodstva in nosilcev ključnih funkcij, kot so izjave o odgovornostih in razporeditev nalog. Ta nova orodja bi morala podpirati delo pristojnih organov pri pregledovanju ureditev upravljanja institucij v okviru postopka nadzorniškega pregledovanja in ovrednotenja. </w:t>
      </w:r>
    </w:p>
    <w:p w14:paraId="2966EB0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C54106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Ne glede na splošno odgovornost upravljalnega organa bi bilo treba od institucij zahtevati, da pripravijo </w:t>
      </w:r>
      <w:r w:rsidRPr="00215B2F">
        <w:rPr>
          <w:rFonts w:ascii="Arial" w:hAnsi="Arial" w:cs="Arial"/>
          <w:b/>
          <w:bCs/>
          <w:sz w:val="20"/>
          <w:szCs w:val="20"/>
        </w:rPr>
        <w:t>posamične izjave</w:t>
      </w:r>
      <w:r w:rsidRPr="00215B2F">
        <w:rPr>
          <w:rFonts w:ascii="Arial" w:hAnsi="Arial" w:cs="Arial"/>
          <w:sz w:val="20"/>
          <w:szCs w:val="20"/>
        </w:rPr>
        <w:t xml:space="preserve">, v katerih so navedene vloge in naloge vseh članov upravljalnega organa v upravljavski funkciji, višjega vodstva in nosilcev ključnih funkcij, ter razporeditev nalog, vključno s podrobnostmi o sistemih poročanja, sistemih odgovornosti in osebah, ki so del ureditev upravljanja institucije, in o njihovih nalogah. Njihove posamične naloge in pristojnosti niso vedno jasno ali dosledno opredeljene in možni so položaji, v katerih se dve ali več vlog prekriva ali v katerih se spregledajo področja nalog in pristojnosti, ker ne spadajo jasno v pristojnost ene osebe. </w:t>
      </w:r>
    </w:p>
    <w:p w14:paraId="700773C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8F2548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b/>
          <w:bCs/>
          <w:sz w:val="20"/>
          <w:szCs w:val="20"/>
        </w:rPr>
        <w:t>Obseg nalog</w:t>
      </w:r>
      <w:r w:rsidRPr="00215B2F">
        <w:rPr>
          <w:rFonts w:ascii="Arial" w:hAnsi="Arial" w:cs="Arial"/>
          <w:sz w:val="20"/>
          <w:szCs w:val="20"/>
        </w:rPr>
        <w:t xml:space="preserve"> in pristojnosti vsakega posameznika bi moral biti dobro opredeljen in nobena naloga ne bi smela ostati brez odgovorne osebe. Ta orodja bi morala zagotoviti nadaljnjo odgovornost članov upravljalnega organa v upravljavski funkciji, višjega vodstva in nosilcev ključnih funkcij. Poleg tega bi morale imeti države članice možnost, da za takšna orodja sprejmejo ali ohranijo strožje zahteve, kadar menijo, da je to potrebno.</w:t>
      </w:r>
    </w:p>
    <w:p w14:paraId="33A12C1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925238E"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b/>
          <w:bCs/>
          <w:color w:val="auto"/>
          <w:sz w:val="20"/>
          <w:szCs w:val="20"/>
        </w:rPr>
      </w:pPr>
      <w:r w:rsidRPr="00215B2F">
        <w:rPr>
          <w:rFonts w:ascii="Arial" w:hAnsi="Arial" w:cs="Arial"/>
          <w:b/>
          <w:bCs/>
          <w:color w:val="auto"/>
          <w:sz w:val="20"/>
          <w:szCs w:val="20"/>
        </w:rPr>
        <w:t>1.2.5. Razno</w:t>
      </w:r>
    </w:p>
    <w:p w14:paraId="30D1D71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D34E198"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1.2.5.1. Neodvisnost in integriteta pristojnih organov</w:t>
      </w:r>
    </w:p>
    <w:p w14:paraId="70BF816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DD4FA27" w14:textId="6DD28DE2"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Pristojni organi, njihovi zaposleni in člani njihovih organov upravljanja bi morali biti neodvisni in ne bi smeli biti pod političnim in gospodarskim vplivom. Tveganja nasprotij interesov spodkopavajo celovitost finančnega sistema </w:t>
      </w:r>
      <w:r w:rsidR="001E58FE" w:rsidRPr="00215B2F">
        <w:rPr>
          <w:rFonts w:ascii="Arial" w:hAnsi="Arial" w:cs="Arial"/>
          <w:sz w:val="20"/>
          <w:szCs w:val="20"/>
        </w:rPr>
        <w:t>Evropske unije</w:t>
      </w:r>
      <w:r w:rsidRPr="00215B2F">
        <w:rPr>
          <w:rFonts w:ascii="Arial" w:hAnsi="Arial" w:cs="Arial"/>
          <w:sz w:val="20"/>
          <w:szCs w:val="20"/>
        </w:rPr>
        <w:t xml:space="preserve"> in škodijo cilju povezane bančne unije ter unije kapitalskih trgov. Direktiva 2013/36/EU bi morala določati podrobnejše določbe za države članice, s katerimi bi zagotovili, da pristojni organi, vključno z njihovimi zaposlenimi in člani njihovih organov upravljanja, delujejo neodvisno in objektivno. </w:t>
      </w:r>
    </w:p>
    <w:p w14:paraId="6E8D95F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8BFF36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zvezi s tem bi bilo treba določiti minimalne zahteve za</w:t>
      </w:r>
      <w:r w:rsidRPr="00215B2F">
        <w:rPr>
          <w:rFonts w:ascii="Arial" w:hAnsi="Arial" w:cs="Arial"/>
          <w:b/>
          <w:bCs/>
          <w:sz w:val="20"/>
          <w:szCs w:val="20"/>
        </w:rPr>
        <w:t xml:space="preserve"> </w:t>
      </w:r>
      <w:r w:rsidRPr="00215B2F">
        <w:rPr>
          <w:rFonts w:ascii="Arial" w:hAnsi="Arial" w:cs="Arial"/>
          <w:sz w:val="20"/>
          <w:szCs w:val="20"/>
        </w:rPr>
        <w:t xml:space="preserve">preprečevanje </w:t>
      </w:r>
      <w:r w:rsidRPr="00215B2F">
        <w:rPr>
          <w:rFonts w:ascii="Arial" w:hAnsi="Arial" w:cs="Arial"/>
          <w:b/>
          <w:bCs/>
          <w:sz w:val="20"/>
          <w:szCs w:val="20"/>
        </w:rPr>
        <w:t xml:space="preserve">nasprotij interesov </w:t>
      </w:r>
      <w:r w:rsidRPr="00215B2F">
        <w:rPr>
          <w:rFonts w:ascii="Arial" w:hAnsi="Arial" w:cs="Arial"/>
          <w:sz w:val="20"/>
          <w:szCs w:val="20"/>
        </w:rPr>
        <w:t xml:space="preserve">in omejitev pojava </w:t>
      </w:r>
      <w:r w:rsidRPr="00215B2F">
        <w:rPr>
          <w:rFonts w:ascii="Arial" w:hAnsi="Arial" w:cs="Arial"/>
          <w:b/>
          <w:bCs/>
          <w:sz w:val="20"/>
          <w:szCs w:val="20"/>
        </w:rPr>
        <w:t>»vrtljivih vrat«</w:t>
      </w:r>
      <w:r w:rsidRPr="00215B2F">
        <w:rPr>
          <w:rFonts w:ascii="Arial" w:hAnsi="Arial" w:cs="Arial"/>
          <w:sz w:val="20"/>
          <w:szCs w:val="20"/>
        </w:rPr>
        <w:t xml:space="preserve">, s katerimi bi bila določena zlasti obdobja mirovanja, prepoved trgovanja z instrumenti, ki jih izdajo nadzorovani subjekti, in najdaljše trajanje mandata za zadevne člane organov upravljanja. </w:t>
      </w:r>
    </w:p>
    <w:p w14:paraId="06EAD22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98CDA1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Zaposleni v pristojnem organu in člani organa upravljanja pristojnega organa, za katere veljajo obdobja mirovanja, bi morali biti upravičeni do</w:t>
      </w:r>
      <w:r w:rsidRPr="00215B2F">
        <w:rPr>
          <w:rFonts w:ascii="Arial" w:hAnsi="Arial" w:cs="Arial"/>
          <w:b/>
          <w:bCs/>
          <w:sz w:val="20"/>
          <w:szCs w:val="20"/>
        </w:rPr>
        <w:t xml:space="preserve"> </w:t>
      </w:r>
      <w:r w:rsidRPr="00215B2F">
        <w:rPr>
          <w:rFonts w:ascii="Arial" w:hAnsi="Arial" w:cs="Arial"/>
          <w:sz w:val="20"/>
          <w:szCs w:val="20"/>
        </w:rPr>
        <w:t xml:space="preserve">ustreznega </w:t>
      </w:r>
      <w:r w:rsidRPr="00215B2F">
        <w:rPr>
          <w:rFonts w:ascii="Arial" w:hAnsi="Arial" w:cs="Arial"/>
          <w:b/>
          <w:bCs/>
          <w:sz w:val="20"/>
          <w:szCs w:val="20"/>
        </w:rPr>
        <w:t>nadomestila</w:t>
      </w:r>
      <w:r w:rsidRPr="00215B2F">
        <w:rPr>
          <w:rFonts w:ascii="Arial" w:hAnsi="Arial" w:cs="Arial"/>
          <w:sz w:val="20"/>
          <w:szCs w:val="20"/>
        </w:rPr>
        <w:t>, s katerim bi se jim zagotovilo nadomestilo za določeno obdobje, v katerem se ne morejo zaposliti pri subjektih, za katere veljajo te omejitve obdobja mirovanja. Nadomestilo bi moralo biti sorazmerno z dolžino zadevnega obdobja mirovanja, njegovo obliko pa bi morala določiti vsaka država članica.</w:t>
      </w:r>
    </w:p>
    <w:p w14:paraId="2B9684F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878840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Nadzorniki bi morali svoje nadzorniške funkcije opravljati s čim večjo integriteto. Za večjo preglednost in zagotovitev visokih etičnih standardov je primerno, da zaposleni v pristojnem organu in člani organa upravljanja pristojnega organa vsako leto predložijo</w:t>
      </w:r>
      <w:r w:rsidRPr="00215B2F">
        <w:rPr>
          <w:rFonts w:ascii="Arial" w:hAnsi="Arial" w:cs="Arial"/>
          <w:b/>
          <w:bCs/>
          <w:sz w:val="20"/>
          <w:szCs w:val="20"/>
        </w:rPr>
        <w:t xml:space="preserve"> izjavo o interesih</w:t>
      </w:r>
      <w:r w:rsidRPr="00215B2F">
        <w:rPr>
          <w:rFonts w:ascii="Arial" w:hAnsi="Arial" w:cs="Arial"/>
          <w:sz w:val="20"/>
          <w:szCs w:val="20"/>
        </w:rPr>
        <w:t>. Navedena izjava bi morala razkriti informacije o imetništvu finančnih instrumentov člana, da se zmanjšajo tveganja zaradi nasprotij interesov, do katerih bi lahko prišlo zaradi takšnega imetništva, in pristojnim organom omogočati ustrezno upravljanje teh tveganj. Izjava o interesih ne bi smela posegati v nobeno zahtevo po predložitvi izjave o premoženju na podlagi veljavnih nacionalnih pravil.</w:t>
      </w:r>
    </w:p>
    <w:p w14:paraId="526EABA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ABC2A10"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1.2.5.2. Odvzem dovoljenja propadajočim kreditnim institucijam</w:t>
      </w:r>
    </w:p>
    <w:p w14:paraId="1FA6A67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74C15FD" w14:textId="6D8FFD6E"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Pristojni organi bi morali imeti ustrezno</w:t>
      </w:r>
      <w:r w:rsidRPr="00215B2F">
        <w:rPr>
          <w:rFonts w:ascii="Arial" w:hAnsi="Arial" w:cs="Arial"/>
          <w:b/>
          <w:bCs/>
          <w:sz w:val="20"/>
          <w:szCs w:val="20"/>
        </w:rPr>
        <w:t xml:space="preserve"> pooblastilo</w:t>
      </w:r>
      <w:r w:rsidRPr="00215B2F">
        <w:rPr>
          <w:rFonts w:ascii="Arial" w:hAnsi="Arial" w:cs="Arial"/>
          <w:sz w:val="20"/>
          <w:szCs w:val="20"/>
        </w:rPr>
        <w:t xml:space="preserve"> za odvzem dovoljenja, izdanega kreditni instituciji, kadar je bilo za to institucijo ugotovljeno, da propada ali bo verjetno propadla, ni upravičeno pričakovati, da bi kakršni koli alternativni ukrepi zasebnega sektorja ali nadzorni ukrepi preprečili propad take kreditne institucije v razumnem roku</w:t>
      </w:r>
      <w:r w:rsidR="00D21FF0" w:rsidRPr="00215B2F">
        <w:rPr>
          <w:rFonts w:ascii="Arial" w:hAnsi="Arial" w:cs="Arial"/>
          <w:sz w:val="20"/>
          <w:szCs w:val="20"/>
        </w:rPr>
        <w:t>,</w:t>
      </w:r>
      <w:r w:rsidRPr="00215B2F">
        <w:rPr>
          <w:rFonts w:ascii="Arial" w:hAnsi="Arial" w:cs="Arial"/>
          <w:sz w:val="20"/>
          <w:szCs w:val="20"/>
        </w:rPr>
        <w:t xml:space="preserve"> in kadar ukrep za reševanje v javnem interesu ni potreben. V takem primeru bi bilo potrebno prenehanje kreditne institucije v skladu z veljavnimi nacionalnimi insolvenčnimi postopki ali z drugimi vrstami postopkov, določenimi za te institucije v nacionalnem pravu, ki bi zagotavljale njen urejeni izstop s trga, pri čemer bi ta kreditna institucija tako morala prenehati opravljati dejavnosti, za katere ji je bilo izdano dovoljenje. </w:t>
      </w:r>
    </w:p>
    <w:p w14:paraId="1CF47C0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A47E33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Vendar pa med ugotovitvijo o propadu ali verjetnem propadu in med odvzemom dovoljenja ne bi smelo biti</w:t>
      </w:r>
      <w:r w:rsidRPr="00215B2F">
        <w:rPr>
          <w:rFonts w:ascii="Arial" w:hAnsi="Arial" w:cs="Arial"/>
          <w:b/>
          <w:bCs/>
          <w:sz w:val="20"/>
          <w:szCs w:val="20"/>
        </w:rPr>
        <w:t xml:space="preserve"> samodejne povezave</w:t>
      </w:r>
      <w:r w:rsidRPr="00215B2F">
        <w:rPr>
          <w:rFonts w:ascii="Arial" w:hAnsi="Arial" w:cs="Arial"/>
          <w:sz w:val="20"/>
          <w:szCs w:val="20"/>
        </w:rPr>
        <w:t xml:space="preserve"> tako kot v drugih primerih, v katerih je pristojni organ pooblaščen, da odvzame dovoljenje. Pristojni organi bi morali svoja pooblastila izvajati sorazmerno in ob upoštevanju značilnosti veljavnih nacionalnih insolvenčnih postopkov, vključno z obstoječimi sodnimi postopki. Pooblastilo za odvzem dovoljenja se ne bi smelo uporabljati za preprečitev začetka ali prisilno ustavitev insolvenčnih postopkov, na primer s sodnim moratorijem ali drugimi ukrepi, ki so pogojeni z aktivno licenco.</w:t>
      </w:r>
    </w:p>
    <w:p w14:paraId="62E40B9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19EA269"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1.2.5.3. Nadzor nad finančnimi holdingi in izključitev iz konsolidacije</w:t>
      </w:r>
    </w:p>
    <w:p w14:paraId="1DC9733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45582A8" w14:textId="31B0967A"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Za finančne holdinge in mešane finančne holdinge, ki so nadrejene osebe bančnih skupin, bi moral še naprej veljati mehanizem za določanje in odobritev, uveden z </w:t>
      </w:r>
      <w:r w:rsidR="00D24496" w:rsidRPr="00215B2F">
        <w:rPr>
          <w:rFonts w:ascii="Arial" w:hAnsi="Arial" w:cs="Arial"/>
          <w:sz w:val="20"/>
          <w:szCs w:val="20"/>
        </w:rPr>
        <w:t>Direktivo (EU) 2019/878 Evropskega parlamenta in Sveta z dne 20. maja 2019 o spremembi Direktive 2013/36/EU v zvezi z izvzetimi subjekti, finančnimi holdingi, mešanimi finančnimi holdingi, prejemki, nadzorniškimi ukrepi in pooblastili ter ukrepi za ohranitev kapitala</w:t>
      </w:r>
      <w:r w:rsidRPr="00215B2F">
        <w:rPr>
          <w:rFonts w:ascii="Arial" w:hAnsi="Arial" w:cs="Arial"/>
          <w:sz w:val="20"/>
          <w:szCs w:val="20"/>
        </w:rPr>
        <w:t xml:space="preserve">. Ta mehanizem pristojnim organom omogoča, da za zagotovitev skladnosti na konsolidirani podlagi nekatere finančne holdinge in mešane finančne holdinge vključijo v neposredni obseg svojega nadzora in nadzorniških pooblastil na podlagi Direktive 2013/36/EU in Uredbe </w:t>
      </w:r>
      <w:r w:rsidR="00D24496" w:rsidRPr="00215B2F">
        <w:rPr>
          <w:rFonts w:ascii="Arial" w:hAnsi="Arial" w:cs="Arial"/>
          <w:sz w:val="20"/>
          <w:szCs w:val="20"/>
        </w:rPr>
        <w:t xml:space="preserve">575/2013/EU </w:t>
      </w:r>
      <w:r w:rsidRPr="00215B2F">
        <w:rPr>
          <w:rFonts w:ascii="Arial" w:hAnsi="Arial" w:cs="Arial"/>
          <w:sz w:val="20"/>
          <w:szCs w:val="20"/>
        </w:rPr>
        <w:t xml:space="preserve">Evropskega parlamenta in Sveta. V določenih okoliščinah bi morali pristojni organi imeti </w:t>
      </w:r>
      <w:r w:rsidRPr="00215B2F">
        <w:rPr>
          <w:rFonts w:ascii="Arial" w:hAnsi="Arial" w:cs="Arial"/>
          <w:b/>
          <w:bCs/>
          <w:sz w:val="20"/>
          <w:szCs w:val="20"/>
        </w:rPr>
        <w:lastRenderedPageBreak/>
        <w:t>diskrecijsko pravico</w:t>
      </w:r>
      <w:r w:rsidRPr="00215B2F">
        <w:rPr>
          <w:rFonts w:ascii="Arial" w:hAnsi="Arial" w:cs="Arial"/>
          <w:sz w:val="20"/>
          <w:szCs w:val="20"/>
        </w:rPr>
        <w:t xml:space="preserve">, da iz odobritve izvzamejo finančni holding ali mešani finančni holding, ki je bil ustanovljen z namenom udeležbe v družbah. </w:t>
      </w:r>
    </w:p>
    <w:p w14:paraId="6F824F0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51EC43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Poleg tega bi moral konsolidacijski nadzornik imeti možnost, da zaradi upoštevanja posebnosti nekaterih bančnih skupin dovoli, da se finančni holdingi ali mešani finančni holdingi, ki so izvzeti iz odobritve, </w:t>
      </w:r>
      <w:r w:rsidRPr="00215B2F">
        <w:rPr>
          <w:rFonts w:ascii="Arial" w:hAnsi="Arial" w:cs="Arial"/>
          <w:b/>
          <w:bCs/>
          <w:sz w:val="20"/>
          <w:szCs w:val="20"/>
        </w:rPr>
        <w:t xml:space="preserve">izključijo </w:t>
      </w:r>
      <w:r w:rsidRPr="00215B2F">
        <w:rPr>
          <w:rFonts w:ascii="Arial" w:hAnsi="Arial" w:cs="Arial"/>
          <w:sz w:val="20"/>
          <w:szCs w:val="20"/>
        </w:rPr>
        <w:t>iz obsega konsolidacije bančne skupine. Vendar bi bilo treba pooblastilo za izključitev teh subjektov iz obsega konsolidacije bančne skupine izvajati le v izjemnih okoliščinah, kadar so izpolnjeni vsi pogoji, določeni v veljavnem pravu, zadevna bančna skupina pa bi morala v ta namen dokazati, da holding, ki bi ga bilo treba izključiti, ni vključen v upravljanje te bančne skupine ali za upravljanje skupine ni pomemben.</w:t>
      </w:r>
    </w:p>
    <w:p w14:paraId="385B4C6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18DCE3A"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 xml:space="preserve">1.2.5.4. Nadzor nad pomembnimi posli </w:t>
      </w:r>
    </w:p>
    <w:p w14:paraId="582D484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C39E6D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Nadzorniki kreditnih institucij bi morali imeti vsa potrebna pooblastila za opravljanje svojih nalog, ki zajemajo različne posle, ki jih opravljajo nadzorovani subjekti. Za ta namen in da se zagotovijo bolj enaki konkurenčni pogoji, bi morali imeti nadzorniki na razpolago vsa nadzorniška </w:t>
      </w:r>
      <w:r w:rsidRPr="00215B2F">
        <w:rPr>
          <w:rFonts w:ascii="Arial" w:hAnsi="Arial" w:cs="Arial"/>
          <w:b/>
          <w:bCs/>
          <w:sz w:val="20"/>
          <w:szCs w:val="20"/>
        </w:rPr>
        <w:t>pooblastila</w:t>
      </w:r>
      <w:r w:rsidRPr="00215B2F">
        <w:rPr>
          <w:rFonts w:ascii="Arial" w:hAnsi="Arial" w:cs="Arial"/>
          <w:sz w:val="20"/>
          <w:szCs w:val="20"/>
        </w:rPr>
        <w:t xml:space="preserve"> za spremljanje pomembnih poslov, ki jih lahko izvajajo nadzorovani subjekti. Pristojni organi bi morali biti zato uradno obveščeni, če se zaradi pomembnih poslov, ki jih izvede nadzorovani subjekt, vključno s pridobitvami pomembnih deležev v subjektih finančnega ali nefinančnega sektorja, pomembnimi prenosi sredstev in obveznosti od nadzorovanih subjektov ali na njih ter združitvami in delitvami, ki vključujejo nadzorovane subjekte, pojavijo pomisleki glede bonitetnega profila zadevnega subjekta ali glede možnega pranja denarja ali financiranja terorizma. Poleg tega bi morali biti pristojni organi pooblaščeni za posredovanje v primerih pridobitev pomembnih deležev, združitev ali delitev.</w:t>
      </w:r>
    </w:p>
    <w:p w14:paraId="345A92C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1BE157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Za zagotovitev sorazmernosti in preprečitev nepotrebnega upravnega bremena bi se morala dodatna pooblastila pristojnih organov uporabljati samo za posle, ki štejejo za pomembne. Kot pomembni bi se morali samodejno </w:t>
      </w:r>
      <w:r w:rsidRPr="00215B2F">
        <w:rPr>
          <w:rFonts w:ascii="Arial" w:hAnsi="Arial" w:cs="Arial"/>
          <w:b/>
          <w:bCs/>
          <w:sz w:val="20"/>
          <w:szCs w:val="20"/>
        </w:rPr>
        <w:t>obravnavati</w:t>
      </w:r>
      <w:r w:rsidRPr="00215B2F">
        <w:rPr>
          <w:rFonts w:ascii="Arial" w:hAnsi="Arial" w:cs="Arial"/>
          <w:sz w:val="20"/>
          <w:szCs w:val="20"/>
        </w:rPr>
        <w:t xml:space="preserve"> samo posli, ki vključujejo združitve ali delitve, ker se lahko za novoustanovljeni subjekt pričakuje, da bo imel precej drugačen bonitetni profil od subjektov, ki so bili na začetku vključeni v združitev ali delitev. Poleg tega subjekti združitev ali delitev ne bi smeli izvesti, dokler o njih pristojni organi ne izdajo pozitivnega mnenja. Pridobitve deležev bi moral zadevni pristojni organ, kadar se štejejo za pomembne, oceniti na podlagi postopka tihe odobritve.</w:t>
      </w:r>
    </w:p>
    <w:p w14:paraId="4449638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E7BCC7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Za zagotovitev pristojnim organom, da lahko posredujejo, preden se izvede pomemben posel, bi morali biti o tem predhodno uradno</w:t>
      </w:r>
      <w:r w:rsidRPr="00215B2F">
        <w:rPr>
          <w:rFonts w:ascii="Arial" w:hAnsi="Arial" w:cs="Arial"/>
          <w:b/>
          <w:bCs/>
          <w:sz w:val="20"/>
          <w:szCs w:val="20"/>
        </w:rPr>
        <w:t xml:space="preserve"> obveščeni</w:t>
      </w:r>
      <w:r w:rsidRPr="00215B2F">
        <w:rPr>
          <w:rFonts w:ascii="Arial" w:hAnsi="Arial" w:cs="Arial"/>
          <w:sz w:val="20"/>
          <w:szCs w:val="20"/>
        </w:rPr>
        <w:t>. Temu uradnemu obvestilu bi morale biti priložene informacije, ki jih pristojni organi potrebujejo za oceno nameravanega posla z bonitetnega vidika in vidika preprečevanja pranja denarja in financiranja terorizma. Pristojni organi bi morali to ocenjevanje začeti v trenutku prejema uradnega obvestila, ki vsebuje vse zahtevane informacije. V primeru pridobitve pomembnega deleža ali kadar so v nameravani posel vključeni le finančni deležniki iz iste skupine, bi ta ocena morala biti časovno omejena.</w:t>
      </w:r>
    </w:p>
    <w:p w14:paraId="7E60DC2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4EBCBD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primeru pridobitve pomembnega deleža bi se zaradi ugotovitev iz ocene pristojni organ lahko odločil </w:t>
      </w:r>
      <w:r w:rsidRPr="00215B2F">
        <w:rPr>
          <w:rFonts w:ascii="Arial" w:hAnsi="Arial" w:cs="Arial"/>
          <w:b/>
          <w:bCs/>
          <w:sz w:val="20"/>
          <w:szCs w:val="20"/>
        </w:rPr>
        <w:t xml:space="preserve">nasprotovati </w:t>
      </w:r>
      <w:r w:rsidRPr="00215B2F">
        <w:rPr>
          <w:rFonts w:ascii="Arial" w:hAnsi="Arial" w:cs="Arial"/>
          <w:sz w:val="20"/>
          <w:szCs w:val="20"/>
        </w:rPr>
        <w:t>poslu. Če pristojni organ v danem obdobju ne nasprotuje poslu, bi bilo treba šteti, da je ta odobren.</w:t>
      </w:r>
    </w:p>
    <w:p w14:paraId="44F6FB8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21D15E8" w14:textId="335ABE7D"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Določbe, povezane s pridobitvijo kvalificiranega deleža v kreditni instituciji, je treba uskladiti z določbami o pridobitvi pomembnega deleža s strani institucije, če bi bilo treba za isti posel izvesti obe oceni. Brez ustrezne uskladitve bi lahko te določbe privedle do neskladnosti med ocenami, ki jih pridobijo pristojni organi, in s tem med njihovimi odločitvami. Kar zadeva združitve in delitve, Direktiva (EU) 2017/1132 Evropskega parlamenta in Sveta določa harmonizirana pravila in postopke, zlasti za čezmejne združitve in delitve kapitalskih družb. Zato bi moral postopek ocenjevanja s strani pristojnih organov, določen v tej direktivi, dopolnjevati postopek iz Direktive (EU) 2017/1132 in ne bi smel biti v nasprotju z nobeno od njenih določb. V primeru tistih čezmejnih združitev in delitev, ki spadajo na področje uporabe Direktive (EU) 2017/1132, bi moralo biti obrazloženo mnenje, ki ga izda pristojni organ, del ocene skladnosti z vsemi ustreznimi pogoji in pravilne izvedbe vseh postopkov in formalnosti, potrebnih za izdajo potrdila pred združitvijo ali potrdila pred delitvijo. Obrazloženo mnenje bi zato bilo treba poslati imenovanemu nacionalnemu organu, odgovornemu za izdajo potrdila pred združitvijo ali potrdila pred delitvijo na podlagi Direktive (EU) 2017/1132.</w:t>
      </w:r>
    </w:p>
    <w:p w14:paraId="40DE3C4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8BB1ED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nekaterih primerih, na primer, kadar so vpleteni subjekti s sedeži v različnih državah članicah, je morda za posle potrebnih več uradnih obvestil in ocen različnih pristojnih organov, zaradi česar morajo </w:t>
      </w:r>
      <w:r w:rsidRPr="00215B2F">
        <w:rPr>
          <w:rFonts w:ascii="Arial" w:hAnsi="Arial" w:cs="Arial"/>
          <w:sz w:val="20"/>
          <w:szCs w:val="20"/>
        </w:rPr>
        <w:lastRenderedPageBreak/>
        <w:t xml:space="preserve">ti organi med seboj učinkovito sodelovati. Zato je treba natančno določiti obveznosti </w:t>
      </w:r>
      <w:r w:rsidRPr="00215B2F">
        <w:rPr>
          <w:rFonts w:ascii="Arial" w:hAnsi="Arial" w:cs="Arial"/>
          <w:b/>
          <w:bCs/>
          <w:sz w:val="20"/>
          <w:szCs w:val="20"/>
        </w:rPr>
        <w:t>sodelovanja</w:t>
      </w:r>
      <w:r w:rsidRPr="00215B2F">
        <w:rPr>
          <w:rFonts w:ascii="Arial" w:hAnsi="Arial" w:cs="Arial"/>
          <w:sz w:val="20"/>
          <w:szCs w:val="20"/>
        </w:rPr>
        <w:t>, zlasti zgodnje čezmejno uradno obveščanje, nemoteno izmenjavo informacij, tudi z organi, pristojnimi za preprečevanje pranja denarja in financiranja terorizma, ter usklajevanje v postopku ocenjevanja.</w:t>
      </w:r>
    </w:p>
    <w:p w14:paraId="2D9B475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90DC780"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1.2.5.5. Kriptosredstva in upravljanje povezanih tveganj</w:t>
      </w:r>
    </w:p>
    <w:p w14:paraId="60AB57F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85B3A4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Trgi kriptosredstev v zadnjih letih hitro rastejo. Baselski odbor za bančni nadzor je za obravnavo morebitnih tveganj za institucije, ki jih povzročajo njihove izpostavljenosti kriptosredstvom, ki niso v zadostni meri zajete z obstoječim bonitetnim okvirom, razvil standard za bonitetno obravnavo zadevnih izpostavljenosti. Del tega standarda se nanaša na upravljanje tveganj s strani institucij in na uporabo postopka nadzorniškega pregledovanja in ovrednotenja za institucije. Od institucij z neposrednimi ali posrednimi izpostavljenostmi kriptosredstvom ali od institucij, ki opravljajo povezane storitve za katero koli obliko kriptosredstev, bi bilo treba zahtevati, da imajo vzpostavljene </w:t>
      </w:r>
      <w:r w:rsidRPr="00215B2F">
        <w:rPr>
          <w:rFonts w:ascii="Arial" w:hAnsi="Arial" w:cs="Arial"/>
          <w:b/>
          <w:bCs/>
          <w:sz w:val="20"/>
          <w:szCs w:val="20"/>
        </w:rPr>
        <w:t xml:space="preserve">politike, postopke in prakse </w:t>
      </w:r>
      <w:r w:rsidRPr="00215B2F">
        <w:rPr>
          <w:rFonts w:ascii="Arial" w:hAnsi="Arial" w:cs="Arial"/>
          <w:sz w:val="20"/>
          <w:szCs w:val="20"/>
        </w:rPr>
        <w:t>za upravljanje tveganj, da bi lahko ustrezno upravljale tveganja, ki jih povzročajo njihove izpostavljenosti kriptosredstvom. Institucije bi morale pri svojih dejavnostih upravljanja tveganj upoštevati zlasti tehnološka tveganja v zvezi s kriptosredstvi, splošna tveganja v zvezi z informacijsko in komunikacijsko tehnologijo (IKT) ter kibernetska tveganja, pravna tveganja, tveganja pranja denarja in financiranja terorizma ter tveganja v zvezi z vrednotenjem. Pristojni organi bi morali imeti možnost, da sprejmejo potrebne nadzorne ukrepe, kadar se prakse institucij na področju upravljanja tveganj štejejo za nezadostne.</w:t>
      </w:r>
    </w:p>
    <w:p w14:paraId="4ED6DC6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3D240DF" w14:textId="77777777" w:rsidR="0010347E" w:rsidRPr="00215B2F" w:rsidRDefault="0010347E" w:rsidP="0010347E">
      <w:pPr>
        <w:pStyle w:val="Naslov3"/>
        <w:shd w:val="clear" w:color="auto" w:fill="FFFFFF" w:themeFill="background1"/>
        <w:spacing w:before="0" w:after="0" w:line="240" w:lineRule="auto"/>
        <w:jc w:val="both"/>
        <w:rPr>
          <w:rFonts w:ascii="Arial" w:hAnsi="Arial" w:cs="Arial"/>
          <w:i/>
          <w:iCs/>
          <w:color w:val="auto"/>
          <w:sz w:val="20"/>
          <w:szCs w:val="20"/>
        </w:rPr>
      </w:pPr>
      <w:r w:rsidRPr="00215B2F">
        <w:rPr>
          <w:rFonts w:ascii="Arial" w:hAnsi="Arial" w:cs="Arial"/>
          <w:i/>
          <w:iCs/>
          <w:color w:val="auto"/>
          <w:sz w:val="20"/>
          <w:szCs w:val="20"/>
        </w:rPr>
        <w:t>1.2.5.6. Dodatne kapitalske zahteve in izstopni prag ter postopki za blažilnik sistemskih tveganj</w:t>
      </w:r>
    </w:p>
    <w:p w14:paraId="540F829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21234BF" w14:textId="0383A41C"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Dodatna kapitalska zahteva, ki jo določi pristojni organ institucije v skladu z Direktivo 2013/36/EU za obravnavanje tveganj, ki niso tveganje prevelikega finančnega vzvoda, se </w:t>
      </w:r>
      <w:r w:rsidRPr="00215B2F">
        <w:rPr>
          <w:rFonts w:ascii="Arial" w:hAnsi="Arial" w:cs="Arial"/>
          <w:b/>
          <w:bCs/>
          <w:sz w:val="20"/>
          <w:szCs w:val="20"/>
        </w:rPr>
        <w:t>ne</w:t>
      </w:r>
      <w:r w:rsidRPr="00215B2F">
        <w:rPr>
          <w:rFonts w:ascii="Arial" w:hAnsi="Arial" w:cs="Arial"/>
          <w:sz w:val="20"/>
          <w:szCs w:val="20"/>
        </w:rPr>
        <w:t xml:space="preserve"> bi smela </w:t>
      </w:r>
      <w:r w:rsidRPr="00215B2F">
        <w:rPr>
          <w:rFonts w:ascii="Arial" w:hAnsi="Arial" w:cs="Arial"/>
          <w:b/>
          <w:bCs/>
          <w:sz w:val="20"/>
          <w:szCs w:val="20"/>
        </w:rPr>
        <w:t xml:space="preserve">povečati </w:t>
      </w:r>
      <w:r w:rsidRPr="00215B2F">
        <w:rPr>
          <w:rFonts w:ascii="Arial" w:hAnsi="Arial" w:cs="Arial"/>
          <w:sz w:val="20"/>
          <w:szCs w:val="20"/>
        </w:rPr>
        <w:t xml:space="preserve">zaradi tega, ker bi institucijo zavezoval izstopni prag, določen v Uredbi </w:t>
      </w:r>
      <w:r w:rsidR="00D24496" w:rsidRPr="00215B2F">
        <w:rPr>
          <w:rFonts w:ascii="Arial" w:hAnsi="Arial" w:cs="Arial"/>
          <w:sz w:val="20"/>
          <w:szCs w:val="20"/>
        </w:rPr>
        <w:t>575/2013/EU</w:t>
      </w:r>
      <w:r w:rsidRPr="00215B2F">
        <w:rPr>
          <w:rFonts w:ascii="Arial" w:hAnsi="Arial" w:cs="Arial"/>
          <w:sz w:val="20"/>
          <w:szCs w:val="20"/>
        </w:rPr>
        <w:t xml:space="preserve">, če vse drugo ostane nespremenjeno. </w:t>
      </w:r>
    </w:p>
    <w:p w14:paraId="3F7E655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F01BDD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Poleg tega bi moral pristojni organ, ko postane institucija zavezana spoštovati izstopni prag, pregledati dodatno kapitalsko zahtevo te institucije in zlasti </w:t>
      </w:r>
      <w:r w:rsidRPr="00215B2F">
        <w:rPr>
          <w:rFonts w:ascii="Arial" w:hAnsi="Arial" w:cs="Arial"/>
          <w:b/>
          <w:bCs/>
          <w:sz w:val="20"/>
          <w:szCs w:val="20"/>
        </w:rPr>
        <w:t>oceniti</w:t>
      </w:r>
      <w:r w:rsidRPr="00215B2F">
        <w:rPr>
          <w:rFonts w:ascii="Arial" w:hAnsi="Arial" w:cs="Arial"/>
          <w:sz w:val="20"/>
          <w:szCs w:val="20"/>
        </w:rPr>
        <w:t>, ali in v kakšnem obsegu so take zahteve že v celoti krite, ker je institucija zavezana spoštovati izstopni prag. V takem primeru bi bilo treba za dodatno kapitalsko zahtevo institucije šteti, da se prekriva s tveganji, zajetimi z izstopnim pragom, upoštevanim v kapitalski zahtevi institucije, zaradi česar bi moral pristojni organ znižati to zahtevo v obsegu, ki je potreben, da se odpravi vsako tako prekrivanje, vse dokler je institucija zavezana spoštovati izstopni prag.</w:t>
      </w:r>
    </w:p>
    <w:p w14:paraId="30DD1D7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DC09DAC" w14:textId="7704B07E"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Podobno bi se, potem ko postane izstopni prag zavezujoč za institucijo, nominalni znesek njenega navadnega lastniškega temeljnega kapitala, ki se zahteva v okviru blažilnika sistemskih tveganj in blažilnika za </w:t>
      </w:r>
      <w:r w:rsidR="00D24496" w:rsidRPr="00215B2F">
        <w:rPr>
          <w:rFonts w:ascii="Arial" w:hAnsi="Arial" w:cs="Arial"/>
          <w:sz w:val="20"/>
          <w:szCs w:val="20"/>
        </w:rPr>
        <w:t>druge sistemsko pomembne institucije (</w:t>
      </w:r>
      <w:r w:rsidRPr="00215B2F">
        <w:rPr>
          <w:rFonts w:ascii="Arial" w:hAnsi="Arial" w:cs="Arial"/>
          <w:sz w:val="20"/>
          <w:szCs w:val="20"/>
        </w:rPr>
        <w:t>DSPI</w:t>
      </w:r>
      <w:r w:rsidR="00D24496" w:rsidRPr="00215B2F">
        <w:rPr>
          <w:rFonts w:ascii="Arial" w:hAnsi="Arial" w:cs="Arial"/>
          <w:sz w:val="20"/>
          <w:szCs w:val="20"/>
        </w:rPr>
        <w:t>)</w:t>
      </w:r>
      <w:r w:rsidRPr="00215B2F">
        <w:rPr>
          <w:rFonts w:ascii="Arial" w:hAnsi="Arial" w:cs="Arial"/>
          <w:sz w:val="20"/>
          <w:szCs w:val="20"/>
        </w:rPr>
        <w:t xml:space="preserve">, lahko povišal, čeprav ni bilo ustreznega povečanja makrobonitetnih ali sistemskih tveganj, povezanih z institucijo. V takih primerih bi moral pristojni organ ali imenovani organ institucije preveriti, kako so umerjene stopnje blažilnika sistemskih tveganj, in poskrbeti, da ostanejo primerne in ne upoštevajo </w:t>
      </w:r>
      <w:r w:rsidRPr="00215B2F">
        <w:rPr>
          <w:rFonts w:ascii="Arial" w:hAnsi="Arial" w:cs="Arial"/>
          <w:b/>
          <w:bCs/>
          <w:sz w:val="20"/>
          <w:szCs w:val="20"/>
        </w:rPr>
        <w:t>dvojnega tveganja</w:t>
      </w:r>
      <w:r w:rsidRPr="00215B2F">
        <w:rPr>
          <w:rFonts w:ascii="Arial" w:hAnsi="Arial" w:cs="Arial"/>
          <w:sz w:val="20"/>
          <w:szCs w:val="20"/>
        </w:rPr>
        <w:t>, že zajetega zaradi dejstva, da je za institucijo zavezujoč izstopni prag. Tako preverjanje bi bilo treba izvajati enako pogosto kot preverjanje blažilnikov, kar je vsako leto za blažilnik za DSPI in vsaki dve leti za blažilnik sistemskih tveganj. Vendar bi moral imeti pristojni organ oziroma imenovani organ institucije možnost, da pogosteje prilagodi umerjenost blažilnikov.</w:t>
      </w:r>
    </w:p>
    <w:p w14:paraId="516DACD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78CC0BE" w14:textId="2742B56E"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Za zagotovitev pravočasne in učinkovite aktivacije blažilnika sistemskih tveganj je treba pojasniti, kako naj se uporabljajo zadevne določbe, ter poenostaviti in uskladiti ustrezne postopke. Določanje blažilnika sistemskih tveganj bi bilo treba omogočiti imenovanim organom v vseh državah članicah, da se zagotovi, da so organi pooblaščeni za pravočasno, sorazmerno in </w:t>
      </w:r>
      <w:r w:rsidRPr="00215B2F">
        <w:rPr>
          <w:rFonts w:ascii="Arial" w:hAnsi="Arial" w:cs="Arial"/>
          <w:b/>
          <w:bCs/>
          <w:sz w:val="20"/>
          <w:szCs w:val="20"/>
        </w:rPr>
        <w:t>učinkovito obravnavanje</w:t>
      </w:r>
      <w:r w:rsidRPr="00215B2F">
        <w:rPr>
          <w:rFonts w:ascii="Arial" w:hAnsi="Arial" w:cs="Arial"/>
          <w:sz w:val="20"/>
          <w:szCs w:val="20"/>
        </w:rPr>
        <w:t xml:space="preserve"> sistemskih tveganj, ter da se omogoči priznavanje stopenj blažilnika sistemskih tveganj, ki jih določijo organi v drugih državah članicah. Za priznanje stopnje blažilnika sistemskih tveganj, ki jo določi druga država članica, bi moralo biti potrebno samo uradno obvestilo organa, ki prizna stopnjo. Da se preprečijo nepotrebni postopki izdaje dovoljenja, kadar odločitev o določitvi stopnje blažilnika povzroči znižanje ali ne povzroči nobene spremembe glede na prej določene stopnje, je treba postopek iz člena 131(15) Direktive 2013/36/EU uskladiti s postopkom iz </w:t>
      </w:r>
      <w:r w:rsidR="00D21FF0" w:rsidRPr="00215B2F">
        <w:rPr>
          <w:rFonts w:ascii="Arial" w:hAnsi="Arial" w:cs="Arial"/>
          <w:sz w:val="20"/>
          <w:szCs w:val="20"/>
        </w:rPr>
        <w:t xml:space="preserve">devetega odstavka 133. </w:t>
      </w:r>
      <w:r w:rsidRPr="00215B2F">
        <w:rPr>
          <w:rFonts w:ascii="Arial" w:hAnsi="Arial" w:cs="Arial"/>
          <w:sz w:val="20"/>
          <w:szCs w:val="20"/>
        </w:rPr>
        <w:t>člena </w:t>
      </w:r>
      <w:r w:rsidR="00D21FF0" w:rsidRPr="00215B2F" w:rsidDel="00D21FF0">
        <w:rPr>
          <w:rFonts w:ascii="Arial" w:hAnsi="Arial" w:cs="Arial"/>
          <w:sz w:val="20"/>
          <w:szCs w:val="20"/>
        </w:rPr>
        <w:t xml:space="preserve"> </w:t>
      </w:r>
      <w:r w:rsidRPr="00215B2F">
        <w:rPr>
          <w:rFonts w:ascii="Arial" w:hAnsi="Arial" w:cs="Arial"/>
          <w:sz w:val="20"/>
          <w:szCs w:val="20"/>
        </w:rPr>
        <w:t>navedene direktive. Kadar je ustrezno, bi bilo treba postopke, določene v </w:t>
      </w:r>
      <w:r w:rsidR="00D21FF0" w:rsidRPr="00215B2F">
        <w:rPr>
          <w:rFonts w:ascii="Arial" w:hAnsi="Arial" w:cs="Arial"/>
          <w:sz w:val="20"/>
          <w:szCs w:val="20"/>
        </w:rPr>
        <w:t>enajstem in dvanajstem odstavku  133. člena </w:t>
      </w:r>
      <w:r w:rsidRPr="00215B2F">
        <w:rPr>
          <w:rFonts w:ascii="Arial" w:hAnsi="Arial" w:cs="Arial"/>
          <w:sz w:val="20"/>
          <w:szCs w:val="20"/>
        </w:rPr>
        <w:t>navedene direktive, pojasniti in bolj uskladiti s postopki, ki se uporabljajo za druge stopnje blažilnika sistemskih tveganj.</w:t>
      </w:r>
    </w:p>
    <w:bookmarkEnd w:id="4"/>
    <w:p w14:paraId="6DCB36E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bookmarkEnd w:id="5"/>
    <w:p w14:paraId="28061BC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D637AE1" w14:textId="77777777" w:rsidR="0010347E" w:rsidRPr="00215B2F" w:rsidRDefault="0010347E" w:rsidP="003D4DE0">
      <w:pPr>
        <w:numPr>
          <w:ilvl w:val="0"/>
          <w:numId w:val="345"/>
        </w:num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CILJI, NAČELA IN POGLAVITNE REŠITVE PREDLOGA ZAKONA</w:t>
      </w:r>
    </w:p>
    <w:p w14:paraId="3C6DD35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C50B280"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2.1 Cilji</w:t>
      </w:r>
    </w:p>
    <w:p w14:paraId="1EDCBDC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72933FD" w14:textId="115C7022" w:rsidR="00605C61" w:rsidRPr="00215B2F" w:rsidRDefault="0010347E" w:rsidP="00605C61">
      <w:pPr>
        <w:spacing w:line="240" w:lineRule="auto"/>
        <w:jc w:val="both"/>
        <w:rPr>
          <w:rFonts w:ascii="Arial" w:eastAsia="Times New Roman" w:hAnsi="Arial" w:cs="Arial"/>
          <w:sz w:val="16"/>
          <w:szCs w:val="16"/>
        </w:rPr>
      </w:pPr>
      <w:r w:rsidRPr="00215B2F">
        <w:rPr>
          <w:rFonts w:ascii="Arial" w:hAnsi="Arial" w:cs="Arial"/>
          <w:sz w:val="20"/>
          <w:szCs w:val="20"/>
        </w:rPr>
        <w:t>Predlog zakona o bančništvu, ki je bil zaradi številnih sprememb</w:t>
      </w:r>
      <w:r w:rsidR="00605C61" w:rsidRPr="00215B2F">
        <w:rPr>
          <w:rFonts w:ascii="Arial" w:hAnsi="Arial" w:cs="Arial"/>
          <w:sz w:val="20"/>
          <w:szCs w:val="20"/>
        </w:rPr>
        <w:t xml:space="preserve"> glede na ZBan-3</w:t>
      </w:r>
      <w:r w:rsidRPr="00215B2F">
        <w:rPr>
          <w:rFonts w:ascii="Arial" w:hAnsi="Arial" w:cs="Arial"/>
          <w:sz w:val="20"/>
          <w:szCs w:val="20"/>
        </w:rPr>
        <w:t xml:space="preserve"> pripravljen v obliki novega zakona, nadgrajuje veljavni ZBan-3. </w:t>
      </w:r>
      <w:r w:rsidR="00605C61" w:rsidRPr="00215B2F">
        <w:rPr>
          <w:rFonts w:ascii="Arial" w:eastAsia="Times New Roman" w:hAnsi="Arial" w:cs="Arial"/>
          <w:sz w:val="20"/>
          <w:szCs w:val="20"/>
        </w:rPr>
        <w:t>Pri analizi sprememb je bilo namreč ugotovljeno, da predlog zakona posega v izjemno veliko število členov veljavnega ZBan-3, in sicer tako v materialne določbe kot v postopkovne ureditve, vključno z novimi instituti ter premiki oziroma preurejanjem obstoječih členov. Spremembe zadevajo več večjih vsebinskih sklopov (tretje države, ESG tveganja, sankcijski okvir, nadzorniška pooblastila), kar pomeni obsežne posege v strukturo zakona, v posameznih delih pa tudi potrebo po sistemskih dopolnitvah celotnih poglavij. To bi v primeru priprave novele povzročilo zelo nepregledno besedilo, številne zamike členov ter bistveno otežilo uporabo in razumevanje zakonodajnega gradiva.</w:t>
      </w:r>
    </w:p>
    <w:p w14:paraId="66219E52" w14:textId="75199000" w:rsidR="0010347E" w:rsidRPr="00215B2F" w:rsidRDefault="0010347E" w:rsidP="0010347E">
      <w:pPr>
        <w:shd w:val="clear" w:color="auto" w:fill="FFFFFF" w:themeFill="background1"/>
        <w:tabs>
          <w:tab w:val="left" w:pos="284"/>
          <w:tab w:val="left" w:pos="1440"/>
        </w:tabs>
        <w:spacing w:after="0" w:line="240" w:lineRule="auto"/>
        <w:jc w:val="both"/>
        <w:rPr>
          <w:rFonts w:ascii="Arial" w:hAnsi="Arial" w:cs="Arial"/>
          <w:bCs/>
          <w:sz w:val="20"/>
          <w:szCs w:val="20"/>
        </w:rPr>
      </w:pPr>
      <w:r w:rsidRPr="00215B2F">
        <w:rPr>
          <w:rFonts w:ascii="Arial" w:hAnsi="Arial" w:cs="Arial"/>
          <w:bCs/>
          <w:sz w:val="20"/>
          <w:szCs w:val="20"/>
        </w:rPr>
        <w:t xml:space="preserve">Glavni cilj predloga je nadgradnja ZBan-3 zlasti s </w:t>
      </w:r>
      <w:r w:rsidRPr="00215B2F">
        <w:rPr>
          <w:rFonts w:ascii="Arial" w:eastAsia="Calibri" w:hAnsi="Arial" w:cs="Arial"/>
          <w:bCs/>
          <w:sz w:val="20"/>
          <w:szCs w:val="20"/>
        </w:rPr>
        <w:t xml:space="preserve">prenosom </w:t>
      </w:r>
      <w:r w:rsidRPr="00215B2F">
        <w:rPr>
          <w:rFonts w:ascii="Arial" w:hAnsi="Arial" w:cs="Arial"/>
          <w:bCs/>
          <w:sz w:val="20"/>
          <w:szCs w:val="20"/>
        </w:rPr>
        <w:t>Direktive 2024/1619</w:t>
      </w:r>
      <w:r w:rsidR="00605C61" w:rsidRPr="00215B2F">
        <w:rPr>
          <w:rFonts w:ascii="Arial" w:hAnsi="Arial" w:cs="Arial"/>
          <w:bCs/>
          <w:sz w:val="20"/>
          <w:szCs w:val="20"/>
        </w:rPr>
        <w:t>/EU</w:t>
      </w:r>
      <w:r w:rsidRPr="00215B2F">
        <w:rPr>
          <w:rFonts w:ascii="Arial" w:hAnsi="Arial" w:cs="Arial"/>
          <w:bCs/>
          <w:sz w:val="20"/>
          <w:szCs w:val="20"/>
        </w:rPr>
        <w:t>.</w:t>
      </w:r>
      <w:r w:rsidRPr="00215B2F">
        <w:rPr>
          <w:rFonts w:ascii="Arial" w:eastAsia="Calibri" w:hAnsi="Arial" w:cs="Arial"/>
          <w:bCs/>
          <w:sz w:val="20"/>
          <w:szCs w:val="20"/>
        </w:rPr>
        <w:t xml:space="preserve"> Namen navedene direktive je dodatno izboljšati harmonizacijo okvira za bančni nadzor in s tem poglobiti notranji bančni trg. Pristojni organi bi si morali prizadevati za zagotovitev sorazmerne uporabe nadzornega okvira za institucije, kakor so opredeljene v navedeni direktivi, predvsem pa za čim večje zmanjšanje stroškov zagotavljanja skladnosti in poročanja za majhne in nekompleksne institucije ter pri tem ustrezno upoštevati priporočila iz študije o stroških skladnosti z zahtevami za nadzorniško poročanje s ciljnim 10- do 20-odstotnim povprečnim zmanjšanjem stroškov poročanja, ki jo je objavil </w:t>
      </w:r>
      <w:r w:rsidR="00605C61" w:rsidRPr="00215B2F">
        <w:rPr>
          <w:rFonts w:ascii="Arial" w:eastAsia="Calibri" w:hAnsi="Arial" w:cs="Arial"/>
          <w:bCs/>
          <w:sz w:val="20"/>
          <w:szCs w:val="20"/>
        </w:rPr>
        <w:t>EBA</w:t>
      </w:r>
      <w:r w:rsidRPr="00215B2F">
        <w:rPr>
          <w:rFonts w:ascii="Arial" w:eastAsia="Calibri" w:hAnsi="Arial" w:cs="Arial"/>
          <w:bCs/>
          <w:sz w:val="20"/>
          <w:szCs w:val="20"/>
        </w:rPr>
        <w:t>.</w:t>
      </w:r>
    </w:p>
    <w:bookmarkEnd w:id="6"/>
    <w:p w14:paraId="32C3A02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5E4F03C"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2.2 Načela</w:t>
      </w:r>
    </w:p>
    <w:p w14:paraId="0AE0FA6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3F200C6" w14:textId="77777777" w:rsidR="0010347E" w:rsidRPr="00215B2F" w:rsidRDefault="0010347E" w:rsidP="0010347E">
      <w:pPr>
        <w:shd w:val="clear" w:color="auto" w:fill="FFFFFF" w:themeFill="background1"/>
        <w:spacing w:after="0" w:line="240" w:lineRule="auto"/>
        <w:ind w:left="426" w:hanging="426"/>
        <w:jc w:val="both"/>
        <w:rPr>
          <w:rFonts w:ascii="Arial" w:hAnsi="Arial" w:cs="Arial"/>
          <w:sz w:val="20"/>
          <w:szCs w:val="20"/>
        </w:rPr>
      </w:pPr>
      <w:r w:rsidRPr="00215B2F">
        <w:rPr>
          <w:rFonts w:ascii="Arial" w:hAnsi="Arial" w:cs="Arial"/>
          <w:sz w:val="20"/>
          <w:szCs w:val="20"/>
        </w:rPr>
        <w:t xml:space="preserve">V okviru predloga zakona so upoštevana naslednja načela: </w:t>
      </w:r>
    </w:p>
    <w:p w14:paraId="2614AC3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21F45E6" w14:textId="77777777" w:rsidR="0010347E" w:rsidRPr="00215B2F" w:rsidRDefault="0010347E" w:rsidP="003D4DE0">
      <w:pPr>
        <w:pStyle w:val="Odstavekseznama"/>
        <w:numPr>
          <w:ilvl w:val="0"/>
          <w:numId w:val="339"/>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načelo varnega, skrbnega in preglednega poslovanja bank, saj morajo banke z ustreznimi ukrepi učinkovito upravljati tveganja, ki so jim ali bi jim lahko bile izpostavljene pri svojem poslovanju, in vzpostaviti ustrezen korporacijski ustroj;</w:t>
      </w:r>
    </w:p>
    <w:p w14:paraId="04C93777" w14:textId="77777777" w:rsidR="0010347E" w:rsidRPr="00215B2F" w:rsidRDefault="0010347E" w:rsidP="0010347E">
      <w:pPr>
        <w:pStyle w:val="Odstavekseznama"/>
        <w:shd w:val="clear" w:color="auto" w:fill="FFFFFF" w:themeFill="background1"/>
        <w:spacing w:after="0" w:line="240" w:lineRule="auto"/>
        <w:ind w:left="284"/>
        <w:jc w:val="both"/>
        <w:rPr>
          <w:rFonts w:ascii="Arial" w:hAnsi="Arial" w:cs="Arial"/>
          <w:sz w:val="20"/>
          <w:szCs w:val="20"/>
        </w:rPr>
      </w:pPr>
    </w:p>
    <w:p w14:paraId="36617878" w14:textId="77777777" w:rsidR="0010347E" w:rsidRPr="00215B2F" w:rsidRDefault="0010347E" w:rsidP="003D4DE0">
      <w:pPr>
        <w:pStyle w:val="Odstavekseznama"/>
        <w:numPr>
          <w:ilvl w:val="0"/>
          <w:numId w:val="340"/>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načelo učinkovitega poslovanja bank, saj morajo banke pravila o upravljanju tveganj uresničevati sorazmerno z značilnostmi, obsegom in zapletenostjo poslov, ki jih opravljajo;</w:t>
      </w:r>
    </w:p>
    <w:p w14:paraId="545772D1" w14:textId="77777777" w:rsidR="0010347E" w:rsidRPr="00215B2F" w:rsidRDefault="0010347E" w:rsidP="0010347E">
      <w:pPr>
        <w:pStyle w:val="Odstavekseznama"/>
        <w:shd w:val="clear" w:color="auto" w:fill="FFFFFF" w:themeFill="background1"/>
        <w:spacing w:after="0" w:line="240" w:lineRule="auto"/>
        <w:ind w:left="284"/>
        <w:jc w:val="both"/>
        <w:rPr>
          <w:rFonts w:ascii="Arial" w:hAnsi="Arial" w:cs="Arial"/>
          <w:sz w:val="20"/>
          <w:szCs w:val="20"/>
        </w:rPr>
      </w:pPr>
    </w:p>
    <w:p w14:paraId="39DCA7AC" w14:textId="7E8697D0" w:rsidR="0010347E" w:rsidRPr="00215B2F" w:rsidRDefault="0010347E" w:rsidP="003D4DE0">
      <w:pPr>
        <w:pStyle w:val="Odstavekseznama"/>
        <w:numPr>
          <w:ilvl w:val="0"/>
          <w:numId w:val="340"/>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načelo skrbnega in učinkovitega nadzora, saj mora za to, da banke poslujejo v skladu s pravili upravljanja tveganj ter drugimi pravili varnega in skrbnega poslovanja, nad bankami opravljati nadzor ustrezni nadzorni organ, ki mu zakon daje možnost izrekanja ukrepov nadzora, s katerim</w:t>
      </w:r>
      <w:r w:rsidR="00FC21CA" w:rsidRPr="00215B2F">
        <w:rPr>
          <w:rFonts w:ascii="Arial" w:hAnsi="Arial" w:cs="Arial"/>
          <w:sz w:val="20"/>
          <w:szCs w:val="20"/>
        </w:rPr>
        <w:t>i</w:t>
      </w:r>
      <w:r w:rsidRPr="00215B2F">
        <w:rPr>
          <w:rFonts w:ascii="Arial" w:hAnsi="Arial" w:cs="Arial"/>
          <w:sz w:val="20"/>
          <w:szCs w:val="20"/>
        </w:rPr>
        <w:t xml:space="preserve"> se lahko učinkovito doseže namen nadzora;</w:t>
      </w:r>
    </w:p>
    <w:p w14:paraId="611952F7" w14:textId="77777777" w:rsidR="0010347E" w:rsidRPr="00215B2F" w:rsidRDefault="0010347E" w:rsidP="0010347E">
      <w:pPr>
        <w:pStyle w:val="Odstavekseznama"/>
        <w:shd w:val="clear" w:color="auto" w:fill="FFFFFF" w:themeFill="background1"/>
        <w:spacing w:after="0" w:line="240" w:lineRule="auto"/>
        <w:ind w:left="284"/>
        <w:jc w:val="both"/>
        <w:rPr>
          <w:rFonts w:ascii="Arial" w:hAnsi="Arial" w:cs="Arial"/>
          <w:sz w:val="20"/>
          <w:szCs w:val="20"/>
        </w:rPr>
      </w:pPr>
    </w:p>
    <w:p w14:paraId="2390B3A3" w14:textId="77777777" w:rsidR="0010347E" w:rsidRPr="00215B2F" w:rsidRDefault="0010347E" w:rsidP="003D4DE0">
      <w:pPr>
        <w:pStyle w:val="Odstavekseznama"/>
        <w:numPr>
          <w:ilvl w:val="0"/>
          <w:numId w:val="340"/>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načelo uskladitve s pravnim redom EU, saj se s predlogom zakona pravni red Republike Slovenije usklajuje s pravnim redom EU;</w:t>
      </w:r>
    </w:p>
    <w:p w14:paraId="014828E5" w14:textId="77777777" w:rsidR="0010347E" w:rsidRPr="00215B2F" w:rsidRDefault="0010347E" w:rsidP="0010347E">
      <w:pPr>
        <w:pStyle w:val="Odstavekseznama"/>
        <w:shd w:val="clear" w:color="auto" w:fill="FFFFFF" w:themeFill="background1"/>
        <w:spacing w:after="0" w:line="240" w:lineRule="auto"/>
        <w:ind w:left="284"/>
        <w:jc w:val="both"/>
        <w:rPr>
          <w:rFonts w:ascii="Arial" w:hAnsi="Arial" w:cs="Arial"/>
          <w:sz w:val="20"/>
          <w:szCs w:val="20"/>
        </w:rPr>
      </w:pPr>
    </w:p>
    <w:p w14:paraId="485580E7" w14:textId="77777777" w:rsidR="0010347E" w:rsidRPr="00215B2F" w:rsidRDefault="0010347E" w:rsidP="003D4DE0">
      <w:pPr>
        <w:pStyle w:val="Odstavekseznama"/>
        <w:numPr>
          <w:ilvl w:val="0"/>
          <w:numId w:val="340"/>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načelo sorazmernih in odvračilnih sankcij, saj se nepravilnosti sankcionirajo strogo, kar zagotavlja skladnost poslovanja banke s pravili in zaščito uporabnikov bančnih storitev ter varnost, stabilnost in celovitost bančnih trgov;</w:t>
      </w:r>
    </w:p>
    <w:p w14:paraId="133F021A" w14:textId="77777777" w:rsidR="0010347E" w:rsidRPr="00215B2F" w:rsidRDefault="0010347E" w:rsidP="0010347E">
      <w:pPr>
        <w:pStyle w:val="Odstavekseznama"/>
        <w:shd w:val="clear" w:color="auto" w:fill="FFFFFF" w:themeFill="background1"/>
        <w:spacing w:after="0" w:line="240" w:lineRule="auto"/>
        <w:jc w:val="both"/>
        <w:rPr>
          <w:rFonts w:ascii="Arial" w:hAnsi="Arial" w:cs="Arial"/>
          <w:sz w:val="20"/>
          <w:szCs w:val="20"/>
        </w:rPr>
      </w:pPr>
    </w:p>
    <w:p w14:paraId="734058C3" w14:textId="77777777" w:rsidR="0010347E" w:rsidRPr="00215B2F" w:rsidRDefault="0010347E" w:rsidP="003D4DE0">
      <w:pPr>
        <w:pStyle w:val="Odstavekseznama"/>
        <w:numPr>
          <w:ilvl w:val="0"/>
          <w:numId w:val="340"/>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načelo pravne jasnosti, saj predlog zakona uresničuje načelo pravne jasnosti z jasno določenimi in razumljivimi določbami, ki prenašajo predpis EU v slovensko zakonodajo in omogočajo izvajanje določb zakonodaje EU v državi;</w:t>
      </w:r>
    </w:p>
    <w:p w14:paraId="069A2F5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41627A4" w14:textId="77777777" w:rsidR="0010347E" w:rsidRPr="00215B2F" w:rsidRDefault="0010347E" w:rsidP="003D4DE0">
      <w:pPr>
        <w:numPr>
          <w:ilvl w:val="0"/>
          <w:numId w:val="340"/>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načelo varstva depozitarjev banke – predlog zakona varuje depozitarje banke, ne le tistih, katerih vloge so zajamčene, temveč vse; le če deponenti zaupajo finančnemu sistemu, je namreč mogoče ohranjati njegovo stabilnost, če se zaupanje podre, pride do razpada finančnega sistema;</w:t>
      </w:r>
    </w:p>
    <w:p w14:paraId="40FBAA07" w14:textId="77777777" w:rsidR="0010347E" w:rsidRPr="00215B2F" w:rsidRDefault="0010347E" w:rsidP="0010347E">
      <w:pPr>
        <w:pStyle w:val="Odstavekseznama"/>
        <w:shd w:val="clear" w:color="auto" w:fill="FFFFFF" w:themeFill="background1"/>
        <w:spacing w:after="0" w:line="240" w:lineRule="auto"/>
        <w:ind w:left="284"/>
        <w:jc w:val="both"/>
        <w:rPr>
          <w:rFonts w:ascii="Arial" w:hAnsi="Arial" w:cs="Arial"/>
          <w:sz w:val="20"/>
          <w:szCs w:val="20"/>
        </w:rPr>
      </w:pPr>
    </w:p>
    <w:p w14:paraId="11B69428" w14:textId="77777777" w:rsidR="0010347E" w:rsidRPr="00215B2F" w:rsidRDefault="0010347E" w:rsidP="003D4DE0">
      <w:pPr>
        <w:pStyle w:val="Odstavekseznama"/>
        <w:numPr>
          <w:ilvl w:val="0"/>
          <w:numId w:val="340"/>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načelo omejitve zanašanja na zunanje bonitetne ocene, saj se banke spodbujajo k uporabi alternativnih standardov za ocenjevanje kreditne sposobnosti in pripravi lastnih bonitetnih ocen;</w:t>
      </w:r>
    </w:p>
    <w:p w14:paraId="245E6C32" w14:textId="77777777" w:rsidR="0010347E" w:rsidRPr="00215B2F" w:rsidRDefault="0010347E" w:rsidP="0010347E">
      <w:pPr>
        <w:pStyle w:val="Odstavekseznama"/>
        <w:shd w:val="clear" w:color="auto" w:fill="FFFFFF" w:themeFill="background1"/>
        <w:spacing w:after="0" w:line="240" w:lineRule="auto"/>
        <w:ind w:left="284"/>
        <w:jc w:val="both"/>
        <w:rPr>
          <w:rFonts w:ascii="Arial" w:hAnsi="Arial" w:cs="Arial"/>
          <w:sz w:val="20"/>
          <w:szCs w:val="20"/>
        </w:rPr>
      </w:pPr>
    </w:p>
    <w:p w14:paraId="55696D57" w14:textId="77777777" w:rsidR="0010347E" w:rsidRPr="00215B2F" w:rsidRDefault="0010347E" w:rsidP="003D4DE0">
      <w:pPr>
        <w:pStyle w:val="Odstavekseznama"/>
        <w:numPr>
          <w:ilvl w:val="0"/>
          <w:numId w:val="340"/>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načelo proticikličnosti, ki se upošteva s kapitalskimi blažilniki, saj kapitalske zahteve ne smejo slediti gospodarskim ciklom in jih krepiti. </w:t>
      </w:r>
    </w:p>
    <w:p w14:paraId="48947EC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3D00F1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b/>
          <w:sz w:val="20"/>
          <w:szCs w:val="20"/>
        </w:rPr>
        <w:t>2.3. Poglavitne rešitve</w:t>
      </w:r>
    </w:p>
    <w:p w14:paraId="5FDF3EF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280701E" w14:textId="3087695A" w:rsidR="0010347E" w:rsidRPr="00215B2F" w:rsidRDefault="0010347E" w:rsidP="0010347E">
      <w:pPr>
        <w:shd w:val="clear" w:color="auto" w:fill="FFFFFF" w:themeFill="background1"/>
        <w:spacing w:after="0" w:line="240" w:lineRule="auto"/>
        <w:ind w:left="426" w:hanging="426"/>
        <w:jc w:val="both"/>
        <w:rPr>
          <w:rFonts w:ascii="Arial" w:hAnsi="Arial" w:cs="Arial"/>
          <w:sz w:val="20"/>
          <w:szCs w:val="20"/>
        </w:rPr>
      </w:pPr>
      <w:bookmarkStart w:id="9" w:name="_Hlk64645803"/>
      <w:r w:rsidRPr="00215B2F">
        <w:rPr>
          <w:rFonts w:ascii="Arial" w:hAnsi="Arial" w:cs="Arial"/>
          <w:sz w:val="20"/>
          <w:szCs w:val="20"/>
        </w:rPr>
        <w:t xml:space="preserve">Poglavitne rešitve, ki jih zajema predlog zakona, so povzete v </w:t>
      </w:r>
      <w:r w:rsidR="00605C61" w:rsidRPr="00215B2F">
        <w:rPr>
          <w:rFonts w:ascii="Arial" w:hAnsi="Arial" w:cs="Arial"/>
          <w:sz w:val="20"/>
          <w:szCs w:val="20"/>
        </w:rPr>
        <w:t>treh</w:t>
      </w:r>
      <w:r w:rsidRPr="00215B2F">
        <w:rPr>
          <w:rFonts w:ascii="Arial" w:hAnsi="Arial" w:cs="Arial"/>
          <w:sz w:val="20"/>
          <w:szCs w:val="20"/>
        </w:rPr>
        <w:t xml:space="preserve"> vsebinskih sklopih. </w:t>
      </w:r>
    </w:p>
    <w:p w14:paraId="6459DA35" w14:textId="77777777" w:rsidR="0010347E" w:rsidRPr="00215B2F" w:rsidRDefault="0010347E" w:rsidP="0010347E">
      <w:pPr>
        <w:shd w:val="clear" w:color="auto" w:fill="FFFFFF" w:themeFill="background1"/>
        <w:spacing w:after="0" w:line="240" w:lineRule="auto"/>
        <w:ind w:left="426" w:hanging="426"/>
        <w:jc w:val="both"/>
        <w:rPr>
          <w:rFonts w:ascii="Arial" w:hAnsi="Arial" w:cs="Arial"/>
          <w:sz w:val="20"/>
          <w:szCs w:val="20"/>
        </w:rPr>
      </w:pPr>
    </w:p>
    <w:p w14:paraId="6614FCA4" w14:textId="77777777" w:rsidR="0010347E" w:rsidRPr="00215B2F" w:rsidRDefault="0010347E" w:rsidP="0010347E">
      <w:pPr>
        <w:shd w:val="clear" w:color="auto" w:fill="FFFFFF" w:themeFill="background1"/>
        <w:spacing w:after="0" w:line="240" w:lineRule="auto"/>
        <w:ind w:left="426" w:hanging="426"/>
        <w:jc w:val="both"/>
        <w:rPr>
          <w:rFonts w:ascii="Arial" w:hAnsi="Arial" w:cs="Arial"/>
          <w:b/>
          <w:i/>
          <w:sz w:val="20"/>
          <w:szCs w:val="20"/>
        </w:rPr>
      </w:pPr>
      <w:r w:rsidRPr="00215B2F">
        <w:rPr>
          <w:rFonts w:ascii="Arial" w:hAnsi="Arial" w:cs="Arial"/>
          <w:i/>
          <w:sz w:val="20"/>
          <w:szCs w:val="20"/>
          <w:u w:val="single"/>
        </w:rPr>
        <w:t>Rešitve, ki so bile vključene že v okviru ZBan-3</w:t>
      </w:r>
    </w:p>
    <w:p w14:paraId="4E2D142A" w14:textId="77777777" w:rsidR="0010347E" w:rsidRPr="00215B2F" w:rsidRDefault="0010347E" w:rsidP="0010347E">
      <w:pPr>
        <w:shd w:val="clear" w:color="auto" w:fill="FFFFFF" w:themeFill="background1"/>
        <w:spacing w:after="0" w:line="240" w:lineRule="auto"/>
        <w:ind w:left="426" w:hanging="426"/>
        <w:jc w:val="both"/>
        <w:rPr>
          <w:rFonts w:ascii="Arial" w:hAnsi="Arial" w:cs="Arial"/>
          <w:b/>
          <w:sz w:val="20"/>
          <w:szCs w:val="20"/>
        </w:rPr>
      </w:pPr>
    </w:p>
    <w:p w14:paraId="326B816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Poglavitne rešitve ZBan-3 izvirajo zlasti iz prenosa številnih direktiv, ki so navedene v 2. členu ZBan-3: Direktiva 2013/36/EU, Direktiva 2014/59/EU, Direktiva 86/635/EGS, Direktiva 89/117/EGS, Direktiva 2015/849/EU, Direktiva 2019/878/EU, Direktiva 2019/2034/EU, Direktiva 2023/2864/EU. Navedene rešitve se lahko na kratko povzamejo v naslednjih splošnih točkah: </w:t>
      </w:r>
    </w:p>
    <w:p w14:paraId="614F0BDA" w14:textId="77777777" w:rsidR="0010347E" w:rsidRPr="00215B2F" w:rsidRDefault="0010347E" w:rsidP="0010347E">
      <w:pPr>
        <w:shd w:val="clear" w:color="auto" w:fill="FFFFFF" w:themeFill="background1"/>
        <w:spacing w:after="0" w:line="240" w:lineRule="auto"/>
        <w:jc w:val="both"/>
        <w:rPr>
          <w:rFonts w:ascii="Arial" w:hAnsi="Arial" w:cs="Arial"/>
          <w:iCs/>
          <w:sz w:val="20"/>
          <w:szCs w:val="20"/>
        </w:rPr>
      </w:pPr>
    </w:p>
    <w:p w14:paraId="30868B14" w14:textId="77777777" w:rsidR="0010347E" w:rsidRPr="00215B2F" w:rsidRDefault="0010347E" w:rsidP="003D4DE0">
      <w:pPr>
        <w:pStyle w:val="Odstavekseznama"/>
        <w:numPr>
          <w:ilvl w:val="0"/>
          <w:numId w:val="354"/>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iCs/>
          <w:sz w:val="20"/>
          <w:szCs w:val="20"/>
        </w:rPr>
        <w:t xml:space="preserve">Pogoji za ustanovitev bank. </w:t>
      </w:r>
      <w:r w:rsidRPr="00215B2F">
        <w:rPr>
          <w:rFonts w:ascii="Arial" w:hAnsi="Arial" w:cs="Arial"/>
          <w:iCs/>
          <w:sz w:val="20"/>
          <w:szCs w:val="20"/>
        </w:rPr>
        <w:t xml:space="preserve">Banka se lahko ustanovi kot delniška ali evropska delniška družba z najmanj 5 milijoni evrov kapitala. Za začetek poslovanja mora pridobiti dovoljenje, ki vključuje presojo organizacije, lastništva in notranjega upravljanja. </w:t>
      </w:r>
    </w:p>
    <w:p w14:paraId="349252C9" w14:textId="77777777" w:rsidR="0010347E" w:rsidRPr="00215B2F" w:rsidRDefault="0010347E" w:rsidP="0010347E">
      <w:pPr>
        <w:pStyle w:val="Odstavekseznama"/>
        <w:shd w:val="clear" w:color="auto" w:fill="FFFFFF" w:themeFill="background1"/>
        <w:spacing w:after="0" w:line="240" w:lineRule="auto"/>
        <w:ind w:left="284"/>
        <w:jc w:val="both"/>
        <w:rPr>
          <w:rFonts w:ascii="Arial" w:hAnsi="Arial" w:cs="Arial"/>
          <w:iCs/>
          <w:sz w:val="20"/>
          <w:szCs w:val="20"/>
        </w:rPr>
      </w:pPr>
    </w:p>
    <w:p w14:paraId="6C7EBEA9" w14:textId="77777777" w:rsidR="0010347E" w:rsidRPr="00215B2F" w:rsidRDefault="0010347E" w:rsidP="003D4DE0">
      <w:pPr>
        <w:pStyle w:val="Odstavekseznama"/>
        <w:numPr>
          <w:ilvl w:val="0"/>
          <w:numId w:val="354"/>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iCs/>
          <w:sz w:val="20"/>
          <w:szCs w:val="20"/>
        </w:rPr>
        <w:t xml:space="preserve">Opredelitev storitev. </w:t>
      </w:r>
      <w:r w:rsidRPr="00215B2F">
        <w:rPr>
          <w:rFonts w:ascii="Arial" w:hAnsi="Arial" w:cs="Arial"/>
          <w:iCs/>
          <w:sz w:val="20"/>
          <w:szCs w:val="20"/>
        </w:rPr>
        <w:t>Zakon razmejuje bančne, finančne in dodatne finančne storitve. Bančne storitve vključujejo depozite in kredite, finančne pa npr. lizing in trgovanje z vrednostnimi papirji. Dodatne storitve zajemajo zavarovalno zastopanje, pokojninske sklade in kreditno posredništvo.</w:t>
      </w:r>
    </w:p>
    <w:p w14:paraId="55654AD6" w14:textId="77777777" w:rsidR="0010347E" w:rsidRPr="00215B2F" w:rsidRDefault="0010347E" w:rsidP="0010347E">
      <w:pPr>
        <w:pStyle w:val="Odstavekseznama"/>
        <w:shd w:val="clear" w:color="auto" w:fill="FFFFFF" w:themeFill="background1"/>
        <w:spacing w:after="0" w:line="240" w:lineRule="auto"/>
        <w:ind w:left="284"/>
        <w:jc w:val="both"/>
        <w:rPr>
          <w:rFonts w:ascii="Arial" w:hAnsi="Arial" w:cs="Arial"/>
          <w:iCs/>
          <w:sz w:val="20"/>
          <w:szCs w:val="20"/>
        </w:rPr>
      </w:pPr>
    </w:p>
    <w:p w14:paraId="29F4CDE2" w14:textId="77777777" w:rsidR="0010347E" w:rsidRPr="00215B2F" w:rsidRDefault="0010347E" w:rsidP="003D4DE0">
      <w:pPr>
        <w:pStyle w:val="Odstavekseznama"/>
        <w:numPr>
          <w:ilvl w:val="0"/>
          <w:numId w:val="354"/>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iCs/>
          <w:sz w:val="20"/>
          <w:szCs w:val="20"/>
        </w:rPr>
        <w:t xml:space="preserve">Vloga Banke Slovenije. </w:t>
      </w:r>
      <w:r w:rsidRPr="00215B2F">
        <w:rPr>
          <w:rFonts w:ascii="Arial" w:hAnsi="Arial" w:cs="Arial"/>
          <w:iCs/>
          <w:sz w:val="20"/>
          <w:szCs w:val="20"/>
        </w:rPr>
        <w:t>Banka Slovenije nadzira banke, določa kapitalske blažilnike in izvaja makrobonitetni nadzor. Sodeluje z evropskimi institucijami in izdaja usmeritve ter ukrepe za zagotavljanje stabilnosti finančnega sistema.</w:t>
      </w:r>
    </w:p>
    <w:p w14:paraId="2F8B1E49" w14:textId="77777777" w:rsidR="0010347E" w:rsidRPr="00215B2F" w:rsidRDefault="0010347E" w:rsidP="0010347E">
      <w:pPr>
        <w:pStyle w:val="Odstavekseznama"/>
        <w:shd w:val="clear" w:color="auto" w:fill="FFFFFF" w:themeFill="background1"/>
        <w:spacing w:after="0" w:line="240" w:lineRule="auto"/>
        <w:ind w:left="284"/>
        <w:jc w:val="both"/>
        <w:rPr>
          <w:rFonts w:ascii="Arial" w:hAnsi="Arial" w:cs="Arial"/>
          <w:iCs/>
          <w:sz w:val="20"/>
          <w:szCs w:val="20"/>
        </w:rPr>
      </w:pPr>
    </w:p>
    <w:p w14:paraId="07159F6E" w14:textId="77777777" w:rsidR="0010347E" w:rsidRPr="00215B2F" w:rsidRDefault="0010347E" w:rsidP="003D4DE0">
      <w:pPr>
        <w:pStyle w:val="Odstavekseznama"/>
        <w:numPr>
          <w:ilvl w:val="0"/>
          <w:numId w:val="354"/>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iCs/>
          <w:sz w:val="20"/>
          <w:szCs w:val="20"/>
        </w:rPr>
        <w:t xml:space="preserve">Odgovornost upravljalnih organov. </w:t>
      </w:r>
      <w:r w:rsidRPr="00215B2F">
        <w:rPr>
          <w:rFonts w:ascii="Arial" w:hAnsi="Arial" w:cs="Arial"/>
          <w:iCs/>
          <w:sz w:val="20"/>
          <w:szCs w:val="20"/>
        </w:rPr>
        <w:t>Uprava in nadzorni svet morata ravnati odgovorno in neodvisno. Člani odgovarjajo za škodo zaradi kršitev dolžnosti. Zakon določa postopke za ocenjevanje njihove primernosti in preprečevanje nasprotja interesov.</w:t>
      </w:r>
    </w:p>
    <w:p w14:paraId="6391E852" w14:textId="77777777" w:rsidR="0010347E" w:rsidRPr="00215B2F" w:rsidRDefault="0010347E" w:rsidP="0010347E">
      <w:pPr>
        <w:pStyle w:val="Odstavekseznama"/>
        <w:shd w:val="clear" w:color="auto" w:fill="FFFFFF" w:themeFill="background1"/>
        <w:spacing w:after="0" w:line="240" w:lineRule="auto"/>
        <w:ind w:left="284"/>
        <w:jc w:val="both"/>
        <w:rPr>
          <w:rFonts w:ascii="Arial" w:hAnsi="Arial" w:cs="Arial"/>
          <w:iCs/>
          <w:sz w:val="20"/>
          <w:szCs w:val="20"/>
        </w:rPr>
      </w:pPr>
    </w:p>
    <w:p w14:paraId="6F8A75D1" w14:textId="77777777" w:rsidR="0010347E" w:rsidRPr="00215B2F" w:rsidRDefault="0010347E" w:rsidP="003D4DE0">
      <w:pPr>
        <w:pStyle w:val="Odstavekseznama"/>
        <w:numPr>
          <w:ilvl w:val="0"/>
          <w:numId w:val="354"/>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iCs/>
          <w:sz w:val="20"/>
          <w:szCs w:val="20"/>
        </w:rPr>
        <w:t xml:space="preserve">Kapitalske zahteve. </w:t>
      </w:r>
      <w:r w:rsidRPr="00215B2F">
        <w:rPr>
          <w:rFonts w:ascii="Arial" w:hAnsi="Arial" w:cs="Arial"/>
          <w:iCs/>
          <w:sz w:val="20"/>
          <w:szCs w:val="20"/>
        </w:rPr>
        <w:t>Banke morajo vzdrževati kapitalske blažilnike za zaščito pred tveganji. Zahtevana je tudi notranja ocena kapitalske ustreznosti. Za sistemsko pomembne banke veljajo dodatne zahteve.</w:t>
      </w:r>
    </w:p>
    <w:p w14:paraId="2DD6BF93" w14:textId="77777777" w:rsidR="0010347E" w:rsidRPr="00215B2F" w:rsidRDefault="0010347E" w:rsidP="0010347E">
      <w:pPr>
        <w:pStyle w:val="Odstavekseznama"/>
        <w:shd w:val="clear" w:color="auto" w:fill="FFFFFF" w:themeFill="background1"/>
        <w:spacing w:after="0" w:line="240" w:lineRule="auto"/>
        <w:ind w:left="284"/>
        <w:jc w:val="both"/>
        <w:rPr>
          <w:rFonts w:ascii="Arial" w:hAnsi="Arial" w:cs="Arial"/>
          <w:iCs/>
          <w:sz w:val="20"/>
          <w:szCs w:val="20"/>
        </w:rPr>
      </w:pPr>
    </w:p>
    <w:p w14:paraId="22802C91" w14:textId="77777777" w:rsidR="0010347E" w:rsidRPr="00215B2F" w:rsidRDefault="0010347E" w:rsidP="003D4DE0">
      <w:pPr>
        <w:pStyle w:val="Odstavekseznama"/>
        <w:numPr>
          <w:ilvl w:val="0"/>
          <w:numId w:val="354"/>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iCs/>
          <w:sz w:val="20"/>
          <w:szCs w:val="20"/>
        </w:rPr>
        <w:t xml:space="preserve">Notranje upravljanje bank. </w:t>
      </w:r>
      <w:r w:rsidRPr="00215B2F">
        <w:rPr>
          <w:rFonts w:ascii="Arial" w:hAnsi="Arial" w:cs="Arial"/>
          <w:iCs/>
          <w:sz w:val="20"/>
          <w:szCs w:val="20"/>
        </w:rPr>
        <w:t>Zahtevana je jasna struktura, učinkovito upravljanje tveganj in notranje kontrole. Politika prejemkov mora biti usklajena z dolgoročnimi cilji in nevtralna glede na spol. Člani organov se redno ocenjujejo.</w:t>
      </w:r>
    </w:p>
    <w:p w14:paraId="2A3A7910" w14:textId="77777777" w:rsidR="0010347E" w:rsidRPr="00215B2F" w:rsidRDefault="0010347E" w:rsidP="0010347E">
      <w:pPr>
        <w:pStyle w:val="Odstavekseznama"/>
        <w:shd w:val="clear" w:color="auto" w:fill="FFFFFF" w:themeFill="background1"/>
        <w:spacing w:after="0" w:line="240" w:lineRule="auto"/>
        <w:ind w:left="284"/>
        <w:jc w:val="both"/>
        <w:rPr>
          <w:rFonts w:ascii="Arial" w:hAnsi="Arial" w:cs="Arial"/>
          <w:iCs/>
          <w:sz w:val="20"/>
          <w:szCs w:val="20"/>
        </w:rPr>
      </w:pPr>
    </w:p>
    <w:p w14:paraId="2043321B" w14:textId="6A1B0F86" w:rsidR="0010347E" w:rsidRPr="00215B2F" w:rsidRDefault="0010347E" w:rsidP="003D4DE0">
      <w:pPr>
        <w:pStyle w:val="Odstavekseznama"/>
        <w:numPr>
          <w:ilvl w:val="0"/>
          <w:numId w:val="354"/>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iCs/>
          <w:sz w:val="20"/>
          <w:szCs w:val="20"/>
        </w:rPr>
        <w:t xml:space="preserve">Načrti </w:t>
      </w:r>
      <w:r w:rsidR="008F4C45" w:rsidRPr="00215B2F">
        <w:rPr>
          <w:rFonts w:ascii="Arial" w:hAnsi="Arial" w:cs="Arial"/>
          <w:b/>
          <w:bCs/>
          <w:iCs/>
          <w:sz w:val="20"/>
          <w:szCs w:val="20"/>
        </w:rPr>
        <w:t>sanacije</w:t>
      </w:r>
      <w:r w:rsidRPr="00215B2F">
        <w:rPr>
          <w:rFonts w:ascii="Arial" w:hAnsi="Arial" w:cs="Arial"/>
          <w:b/>
          <w:bCs/>
          <w:iCs/>
          <w:sz w:val="20"/>
          <w:szCs w:val="20"/>
        </w:rPr>
        <w:t xml:space="preserve">. </w:t>
      </w:r>
      <w:r w:rsidRPr="00215B2F">
        <w:rPr>
          <w:rFonts w:ascii="Arial" w:hAnsi="Arial" w:cs="Arial"/>
          <w:iCs/>
          <w:sz w:val="20"/>
          <w:szCs w:val="20"/>
        </w:rPr>
        <w:t xml:space="preserve">Banke morajo imeti načrte za krizne razmere, ki vključujejo ukrepe za ohranitev solventnosti in likvidnosti. Nadrejene institucije pripravljajo skupinske načrte </w:t>
      </w:r>
      <w:r w:rsidR="008F4C45" w:rsidRPr="00215B2F">
        <w:rPr>
          <w:rFonts w:ascii="Arial" w:hAnsi="Arial" w:cs="Arial"/>
          <w:iCs/>
          <w:sz w:val="20"/>
          <w:szCs w:val="20"/>
        </w:rPr>
        <w:t>sanacije</w:t>
      </w:r>
      <w:r w:rsidRPr="00215B2F">
        <w:rPr>
          <w:rFonts w:ascii="Arial" w:hAnsi="Arial" w:cs="Arial"/>
          <w:iCs/>
          <w:sz w:val="20"/>
          <w:szCs w:val="20"/>
        </w:rPr>
        <w:t>.</w:t>
      </w:r>
    </w:p>
    <w:p w14:paraId="4CE600BD" w14:textId="77777777" w:rsidR="0010347E" w:rsidRPr="00215B2F" w:rsidRDefault="0010347E" w:rsidP="0010347E">
      <w:pPr>
        <w:pStyle w:val="Odstavekseznama"/>
        <w:shd w:val="clear" w:color="auto" w:fill="FFFFFF" w:themeFill="background1"/>
        <w:spacing w:after="0" w:line="240" w:lineRule="auto"/>
        <w:ind w:left="284"/>
        <w:jc w:val="both"/>
        <w:rPr>
          <w:rFonts w:ascii="Arial" w:hAnsi="Arial" w:cs="Arial"/>
          <w:iCs/>
          <w:sz w:val="20"/>
          <w:szCs w:val="20"/>
        </w:rPr>
      </w:pPr>
    </w:p>
    <w:p w14:paraId="2EB71EB7" w14:textId="77777777" w:rsidR="0010347E" w:rsidRPr="00215B2F" w:rsidRDefault="0010347E" w:rsidP="003D4DE0">
      <w:pPr>
        <w:pStyle w:val="Odstavekseznama"/>
        <w:numPr>
          <w:ilvl w:val="0"/>
          <w:numId w:val="354"/>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iCs/>
          <w:sz w:val="20"/>
          <w:szCs w:val="20"/>
        </w:rPr>
        <w:t xml:space="preserve">Revizija in poročanje. </w:t>
      </w:r>
      <w:r w:rsidRPr="00215B2F">
        <w:rPr>
          <w:rFonts w:ascii="Arial" w:hAnsi="Arial" w:cs="Arial"/>
          <w:iCs/>
          <w:sz w:val="20"/>
          <w:szCs w:val="20"/>
        </w:rPr>
        <w:t>Banke morajo voditi poslovne knjige in objavljati revidirana letna poročila. Obvezno je redno poročanje Banki Slovenije in obveščanje o pomembnih dogodkih.</w:t>
      </w:r>
    </w:p>
    <w:p w14:paraId="422213F8" w14:textId="77777777" w:rsidR="0010347E" w:rsidRPr="00215B2F" w:rsidRDefault="0010347E" w:rsidP="0010347E">
      <w:pPr>
        <w:pStyle w:val="Odstavekseznama"/>
        <w:shd w:val="clear" w:color="auto" w:fill="FFFFFF" w:themeFill="background1"/>
        <w:spacing w:after="0" w:line="240" w:lineRule="auto"/>
        <w:ind w:left="284"/>
        <w:jc w:val="both"/>
        <w:rPr>
          <w:rFonts w:ascii="Arial" w:hAnsi="Arial" w:cs="Arial"/>
          <w:iCs/>
          <w:sz w:val="20"/>
          <w:szCs w:val="20"/>
        </w:rPr>
      </w:pPr>
    </w:p>
    <w:p w14:paraId="3064E17E" w14:textId="77777777" w:rsidR="0010347E" w:rsidRPr="00215B2F" w:rsidRDefault="0010347E" w:rsidP="003D4DE0">
      <w:pPr>
        <w:pStyle w:val="Odstavekseznama"/>
        <w:numPr>
          <w:ilvl w:val="0"/>
          <w:numId w:val="354"/>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iCs/>
          <w:sz w:val="20"/>
          <w:szCs w:val="20"/>
        </w:rPr>
        <w:t xml:space="preserve">Zaupne informacije. </w:t>
      </w:r>
      <w:r w:rsidRPr="00215B2F">
        <w:rPr>
          <w:rFonts w:ascii="Arial" w:hAnsi="Arial" w:cs="Arial"/>
          <w:iCs/>
          <w:sz w:val="20"/>
          <w:szCs w:val="20"/>
        </w:rPr>
        <w:t>Zaupne informacije, pridobljene pri nadzoru, se lahko razkrijejo le v določenih primerih. Banka Slovenije jih lahko deli z drugimi nadzornimi organi, če je to nujno in zakonsko dovoljeno.</w:t>
      </w:r>
    </w:p>
    <w:p w14:paraId="292B74CB" w14:textId="77777777" w:rsidR="0010347E" w:rsidRPr="00215B2F" w:rsidRDefault="0010347E" w:rsidP="0010347E">
      <w:pPr>
        <w:pStyle w:val="Odstavekseznama"/>
        <w:shd w:val="clear" w:color="auto" w:fill="FFFFFF" w:themeFill="background1"/>
        <w:spacing w:after="0" w:line="240" w:lineRule="auto"/>
        <w:ind w:left="284"/>
        <w:jc w:val="both"/>
        <w:rPr>
          <w:rFonts w:ascii="Arial" w:hAnsi="Arial" w:cs="Arial"/>
          <w:iCs/>
          <w:sz w:val="20"/>
          <w:szCs w:val="20"/>
        </w:rPr>
      </w:pPr>
    </w:p>
    <w:p w14:paraId="032C574F" w14:textId="77777777" w:rsidR="0010347E" w:rsidRPr="00215B2F" w:rsidRDefault="0010347E" w:rsidP="003D4DE0">
      <w:pPr>
        <w:pStyle w:val="Odstavekseznama"/>
        <w:numPr>
          <w:ilvl w:val="0"/>
          <w:numId w:val="354"/>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iCs/>
          <w:sz w:val="20"/>
          <w:szCs w:val="20"/>
        </w:rPr>
        <w:t xml:space="preserve">Likvidacija banke. </w:t>
      </w:r>
      <w:r w:rsidRPr="00215B2F">
        <w:rPr>
          <w:rFonts w:ascii="Arial" w:hAnsi="Arial" w:cs="Arial"/>
          <w:iCs/>
          <w:sz w:val="20"/>
          <w:szCs w:val="20"/>
        </w:rPr>
        <w:t>Skupščina lahko odloči o likvidaciji, če uprava pripravi načrt in pridobi soglasje Banke Slovenije. Med likvidacijo se dovoljenja omejijo, za nadaljevanje poslovanja pa je potrebno novo dovoljenje.</w:t>
      </w:r>
    </w:p>
    <w:p w14:paraId="571E10B8" w14:textId="77777777" w:rsidR="0010347E" w:rsidRPr="00215B2F" w:rsidRDefault="0010347E" w:rsidP="0010347E">
      <w:pPr>
        <w:shd w:val="clear" w:color="auto" w:fill="FFFFFF" w:themeFill="background1"/>
        <w:spacing w:after="0" w:line="240" w:lineRule="auto"/>
        <w:jc w:val="both"/>
        <w:rPr>
          <w:rFonts w:ascii="Arial" w:hAnsi="Arial" w:cs="Arial"/>
          <w:b/>
          <w:bCs/>
          <w:i/>
          <w:sz w:val="20"/>
          <w:szCs w:val="20"/>
        </w:rPr>
      </w:pPr>
    </w:p>
    <w:p w14:paraId="37744454" w14:textId="3964267A" w:rsidR="0010347E" w:rsidRPr="00215B2F" w:rsidRDefault="0010347E" w:rsidP="0010347E">
      <w:pPr>
        <w:shd w:val="clear" w:color="auto" w:fill="FFFFFF" w:themeFill="background1"/>
        <w:spacing w:after="0" w:line="240" w:lineRule="auto"/>
        <w:ind w:left="426" w:hanging="426"/>
        <w:jc w:val="both"/>
        <w:rPr>
          <w:rFonts w:ascii="Arial" w:hAnsi="Arial" w:cs="Arial"/>
          <w:b/>
          <w:i/>
          <w:sz w:val="20"/>
          <w:szCs w:val="20"/>
          <w:u w:val="single"/>
        </w:rPr>
      </w:pPr>
      <w:r w:rsidRPr="00215B2F">
        <w:rPr>
          <w:rFonts w:ascii="Arial" w:hAnsi="Arial" w:cs="Arial"/>
          <w:i/>
          <w:sz w:val="20"/>
          <w:szCs w:val="20"/>
          <w:u w:val="single"/>
        </w:rPr>
        <w:t xml:space="preserve">Rešitve, ki izvirajo iz prenosa </w:t>
      </w:r>
      <w:r w:rsidRPr="00215B2F">
        <w:rPr>
          <w:rFonts w:ascii="Arial" w:hAnsi="Arial" w:cs="Arial"/>
          <w:bCs/>
          <w:i/>
          <w:sz w:val="20"/>
          <w:szCs w:val="20"/>
          <w:u w:val="single"/>
        </w:rPr>
        <w:t>Direktive 2024/1619</w:t>
      </w:r>
      <w:r w:rsidR="00605C61" w:rsidRPr="00215B2F">
        <w:rPr>
          <w:rFonts w:ascii="Arial" w:hAnsi="Arial" w:cs="Arial"/>
          <w:bCs/>
          <w:i/>
          <w:sz w:val="20"/>
          <w:szCs w:val="20"/>
          <w:u w:val="single"/>
        </w:rPr>
        <w:t>/EU</w:t>
      </w:r>
    </w:p>
    <w:p w14:paraId="026E2110" w14:textId="77777777" w:rsidR="0010347E" w:rsidRPr="00215B2F" w:rsidRDefault="0010347E" w:rsidP="0010347E">
      <w:pPr>
        <w:pStyle w:val="Odstavekseznama"/>
        <w:shd w:val="clear" w:color="auto" w:fill="FFFFFF" w:themeFill="background1"/>
        <w:spacing w:after="0" w:line="240" w:lineRule="auto"/>
        <w:ind w:left="0"/>
        <w:jc w:val="both"/>
        <w:rPr>
          <w:rFonts w:ascii="Arial" w:hAnsi="Arial" w:cs="Arial"/>
          <w:sz w:val="20"/>
          <w:szCs w:val="20"/>
        </w:rPr>
      </w:pPr>
    </w:p>
    <w:p w14:paraId="55F70E6B" w14:textId="12AB9FC0" w:rsidR="0010347E" w:rsidRPr="00215B2F" w:rsidRDefault="0010347E" w:rsidP="003D4DE0">
      <w:pPr>
        <w:pStyle w:val="Odstavekseznama"/>
        <w:numPr>
          <w:ilvl w:val="0"/>
          <w:numId w:val="389"/>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 xml:space="preserve">Pogoji za opravljanje bančnih storitev iz tretjih držav. </w:t>
      </w:r>
      <w:r w:rsidRPr="00215B2F">
        <w:rPr>
          <w:rFonts w:ascii="Arial" w:hAnsi="Arial" w:cs="Arial"/>
          <w:sz w:val="20"/>
          <w:szCs w:val="20"/>
        </w:rPr>
        <w:t xml:space="preserve">Družbe iz tretjih držav, ki želijo opravljati osnovne bančne storitve v EU, bodo morale ustanoviti podružnico v državi članici in pridobiti dovoljenje po pravu </w:t>
      </w:r>
      <w:r w:rsidR="001E58FE" w:rsidRPr="00215B2F">
        <w:rPr>
          <w:rFonts w:ascii="Arial" w:hAnsi="Arial" w:cs="Arial"/>
          <w:sz w:val="20"/>
          <w:szCs w:val="20"/>
        </w:rPr>
        <w:t>Evropske unije</w:t>
      </w:r>
      <w:r w:rsidRPr="00215B2F">
        <w:rPr>
          <w:rFonts w:ascii="Arial" w:hAnsi="Arial" w:cs="Arial"/>
          <w:sz w:val="20"/>
          <w:szCs w:val="20"/>
        </w:rPr>
        <w:t>. Izjeme veljajo za storitve na lastno pobudo stranke, medbančne transakcije in določene investicijske storitve. Namen je preprečiti izogibanje pravilom in zagotoviti nadzor nad dejavnostmi zunaj EU.</w:t>
      </w:r>
    </w:p>
    <w:p w14:paraId="01F11424" w14:textId="77777777" w:rsidR="0010347E" w:rsidRPr="00215B2F" w:rsidRDefault="0010347E" w:rsidP="0010347E">
      <w:pPr>
        <w:pStyle w:val="Odstavekseznama"/>
        <w:shd w:val="clear" w:color="auto" w:fill="FFFFFF" w:themeFill="background1"/>
        <w:spacing w:after="0" w:line="240" w:lineRule="auto"/>
        <w:ind w:left="357"/>
        <w:jc w:val="both"/>
        <w:rPr>
          <w:rFonts w:ascii="Arial" w:hAnsi="Arial" w:cs="Arial"/>
          <w:iCs/>
          <w:sz w:val="20"/>
          <w:szCs w:val="20"/>
        </w:rPr>
      </w:pPr>
    </w:p>
    <w:p w14:paraId="189E5776" w14:textId="77777777" w:rsidR="0010347E" w:rsidRPr="00215B2F" w:rsidRDefault="0010347E" w:rsidP="003D4DE0">
      <w:pPr>
        <w:pStyle w:val="Odstavekseznama"/>
        <w:numPr>
          <w:ilvl w:val="0"/>
          <w:numId w:val="389"/>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 xml:space="preserve">Vzpostavitev enotnega regulativnega okvira za podružnice iz tretjih držav. </w:t>
      </w:r>
      <w:r w:rsidRPr="00215B2F">
        <w:rPr>
          <w:rFonts w:ascii="Arial" w:hAnsi="Arial" w:cs="Arial"/>
          <w:sz w:val="20"/>
          <w:szCs w:val="20"/>
        </w:rPr>
        <w:t xml:space="preserve">Trenutno so podružnice iz tretjih držav urejene različno po državah članicah, kar ustvarja regulativno </w:t>
      </w:r>
      <w:r w:rsidRPr="00215B2F">
        <w:rPr>
          <w:rFonts w:ascii="Arial" w:hAnsi="Arial" w:cs="Arial"/>
          <w:sz w:val="20"/>
          <w:szCs w:val="20"/>
        </w:rPr>
        <w:lastRenderedPageBreak/>
        <w:t xml:space="preserve">razdrobljenost in tveganja za stabilnost. </w:t>
      </w:r>
      <w:r w:rsidRPr="00215B2F">
        <w:rPr>
          <w:rFonts w:ascii="Arial" w:hAnsi="Arial" w:cs="Arial"/>
          <w:bCs/>
          <w:sz w:val="20"/>
          <w:szCs w:val="20"/>
        </w:rPr>
        <w:t>Direktiva 2024/1619/EU</w:t>
      </w:r>
      <w:r w:rsidRPr="00215B2F">
        <w:rPr>
          <w:rFonts w:ascii="Arial" w:hAnsi="Arial" w:cs="Arial"/>
          <w:sz w:val="20"/>
          <w:szCs w:val="20"/>
        </w:rPr>
        <w:t xml:space="preserve"> predlaga usklajeni okvir z minimalnimi skupnimi zahtevami glede dovoljenj, bonitetnih standardov, notranjega upravljanja in nadzora. Pristojni organi bodo morali sodelovati z nadzorniki tretjih držav in si izmenjevati informacije.</w:t>
      </w:r>
    </w:p>
    <w:p w14:paraId="0D8E0E0F" w14:textId="77777777" w:rsidR="0010347E" w:rsidRPr="00215B2F" w:rsidRDefault="0010347E" w:rsidP="0010347E">
      <w:pPr>
        <w:pStyle w:val="Odstavekseznama"/>
        <w:shd w:val="clear" w:color="auto" w:fill="FFFFFF" w:themeFill="background1"/>
        <w:spacing w:after="0" w:line="240" w:lineRule="auto"/>
        <w:ind w:left="357"/>
        <w:jc w:val="both"/>
        <w:rPr>
          <w:rFonts w:ascii="Arial" w:hAnsi="Arial" w:cs="Arial"/>
          <w:iCs/>
          <w:sz w:val="20"/>
          <w:szCs w:val="20"/>
        </w:rPr>
      </w:pPr>
    </w:p>
    <w:p w14:paraId="1DBE04CE" w14:textId="77777777" w:rsidR="0010347E" w:rsidRPr="00215B2F" w:rsidRDefault="0010347E" w:rsidP="003D4DE0">
      <w:pPr>
        <w:pStyle w:val="Odstavekseznama"/>
        <w:numPr>
          <w:ilvl w:val="0"/>
          <w:numId w:val="389"/>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 xml:space="preserve">Razvrstitev podružnic glede na tveganje. </w:t>
      </w:r>
      <w:r w:rsidRPr="00215B2F">
        <w:rPr>
          <w:rFonts w:ascii="Arial" w:hAnsi="Arial" w:cs="Arial"/>
          <w:sz w:val="20"/>
          <w:szCs w:val="20"/>
        </w:rPr>
        <w:t>Podružnice iz tretjih držav bodo razvrščene v dva razreda. V razred 1 bodo uvrščene tiste, ki pomenijo večje tveganje – npr. zaradi velikosti (sredstva nad 5 milijard evrov), obsega vlog na drobno ali neustreznega nadzora v matični državi. Razred 2 bo zajemal manjše, nekompleksne podružnice. Namen razvrstitve je sorazmerna ureditev glede na sistemsko pomembnost.</w:t>
      </w:r>
    </w:p>
    <w:p w14:paraId="1DCB24E3" w14:textId="77777777" w:rsidR="0010347E" w:rsidRPr="00215B2F" w:rsidRDefault="0010347E" w:rsidP="0010347E">
      <w:pPr>
        <w:pStyle w:val="Odstavekseznama"/>
        <w:shd w:val="clear" w:color="auto" w:fill="FFFFFF" w:themeFill="background1"/>
        <w:spacing w:after="0" w:line="240" w:lineRule="auto"/>
        <w:ind w:left="357"/>
        <w:jc w:val="both"/>
        <w:rPr>
          <w:rFonts w:ascii="Arial" w:hAnsi="Arial" w:cs="Arial"/>
          <w:iCs/>
          <w:sz w:val="20"/>
          <w:szCs w:val="20"/>
        </w:rPr>
      </w:pPr>
    </w:p>
    <w:p w14:paraId="1552C7F9" w14:textId="77777777" w:rsidR="0010347E" w:rsidRPr="00215B2F" w:rsidRDefault="0010347E" w:rsidP="003D4DE0">
      <w:pPr>
        <w:pStyle w:val="Odstavekseznama"/>
        <w:numPr>
          <w:ilvl w:val="0"/>
          <w:numId w:val="389"/>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 xml:space="preserve">Sistemska pomembnost in dodatne zahteve. </w:t>
      </w:r>
      <w:r w:rsidRPr="00215B2F">
        <w:rPr>
          <w:rFonts w:ascii="Arial" w:hAnsi="Arial" w:cs="Arial"/>
          <w:sz w:val="20"/>
          <w:szCs w:val="20"/>
        </w:rPr>
        <w:t>Če skupina iz tretje države preseže 40 milijard evrov sredstev v EU ali 10 milijard evrov v eni državi članici, lahko pristojni organi zahtevajo, da podružnice pridobijo dovoljenje kot podrejene institucije. Poleg tega lahko naložijo dodatne kapitalske, likvidnostne ali organizacijske zahteve, če ocenijo, da podružnica pomeni sistemsko tveganje.</w:t>
      </w:r>
    </w:p>
    <w:p w14:paraId="23CE5514" w14:textId="77777777" w:rsidR="0010347E" w:rsidRPr="00215B2F" w:rsidRDefault="0010347E" w:rsidP="0010347E">
      <w:pPr>
        <w:pStyle w:val="Odstavekseznama"/>
        <w:shd w:val="clear" w:color="auto" w:fill="FFFFFF" w:themeFill="background1"/>
        <w:spacing w:after="0" w:line="240" w:lineRule="auto"/>
        <w:ind w:left="357"/>
        <w:jc w:val="both"/>
        <w:rPr>
          <w:rFonts w:ascii="Arial" w:hAnsi="Arial" w:cs="Arial"/>
          <w:iCs/>
          <w:sz w:val="20"/>
          <w:szCs w:val="20"/>
        </w:rPr>
      </w:pPr>
    </w:p>
    <w:p w14:paraId="3DA2ADE4" w14:textId="77777777" w:rsidR="0010347E" w:rsidRPr="00215B2F" w:rsidRDefault="0010347E" w:rsidP="003D4DE0">
      <w:pPr>
        <w:pStyle w:val="Odstavekseznama"/>
        <w:numPr>
          <w:ilvl w:val="0"/>
          <w:numId w:val="389"/>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 xml:space="preserve">Nadzor nad dejavnostmi skupin iz tretjih držav v EU. </w:t>
      </w:r>
      <w:r w:rsidRPr="00215B2F">
        <w:rPr>
          <w:rFonts w:ascii="Arial" w:hAnsi="Arial" w:cs="Arial"/>
          <w:sz w:val="20"/>
          <w:szCs w:val="20"/>
        </w:rPr>
        <w:t>Za učinkovitejši nadzor nad skupinami iz tretjih držav, ki poslujejo v več državah članicah, se predvideva ustanovitev kolegijev nadzornikov. Ti bodo omogočili usklajeno ocenjevanje tveganj in izmenjavo informacij. Podružnice razreda 1 bodo vključene v ta nadzorni okvir, kar bo okrepilo preglednost in zmanjšalo regulativne arbitraže.</w:t>
      </w:r>
    </w:p>
    <w:p w14:paraId="24F5E490" w14:textId="77777777" w:rsidR="0010347E" w:rsidRPr="00215B2F" w:rsidRDefault="0010347E" w:rsidP="0010347E">
      <w:pPr>
        <w:pStyle w:val="Odstavekseznama"/>
        <w:shd w:val="clear" w:color="auto" w:fill="FFFFFF" w:themeFill="background1"/>
        <w:spacing w:after="0" w:line="240" w:lineRule="auto"/>
        <w:ind w:left="357"/>
        <w:jc w:val="both"/>
        <w:rPr>
          <w:rFonts w:ascii="Arial" w:hAnsi="Arial" w:cs="Arial"/>
          <w:iCs/>
          <w:sz w:val="20"/>
          <w:szCs w:val="20"/>
        </w:rPr>
      </w:pPr>
    </w:p>
    <w:p w14:paraId="084E2EE6" w14:textId="77777777" w:rsidR="0010347E" w:rsidRPr="00215B2F" w:rsidRDefault="0010347E" w:rsidP="003D4DE0">
      <w:pPr>
        <w:pStyle w:val="Odstavekseznama"/>
        <w:numPr>
          <w:ilvl w:val="0"/>
          <w:numId w:val="389"/>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 xml:space="preserve">ESG tveganja v bonitetnem okviru. </w:t>
      </w:r>
      <w:r w:rsidRPr="00215B2F">
        <w:rPr>
          <w:rFonts w:ascii="Arial" w:hAnsi="Arial" w:cs="Arial"/>
          <w:bCs/>
          <w:sz w:val="20"/>
          <w:szCs w:val="20"/>
        </w:rPr>
        <w:t>Direktiva 2024/1619/EU</w:t>
      </w:r>
      <w:r w:rsidRPr="00215B2F">
        <w:rPr>
          <w:rFonts w:ascii="Arial" w:hAnsi="Arial" w:cs="Arial"/>
          <w:sz w:val="20"/>
          <w:szCs w:val="20"/>
        </w:rPr>
        <w:t xml:space="preserve"> uvaja zahteve za sistematično upravljanje okoljskih, družbenih in upravljavskih (ESG) tveganj. Institucije bodo morale ocenjevati usklajenost svojih portfeljev s cilji EU glede podnebne nevtralnosti do 2050 in pripraviti načrte za obvladovanje teh tveganj. Pristojni organi bodo lahko ukrepali, če bodo ocene ali ukrepi institucij nezadostni.</w:t>
      </w:r>
    </w:p>
    <w:p w14:paraId="3A69E514" w14:textId="77777777" w:rsidR="0010347E" w:rsidRPr="00215B2F" w:rsidRDefault="0010347E" w:rsidP="0010347E">
      <w:pPr>
        <w:pStyle w:val="Odstavekseznama"/>
        <w:shd w:val="clear" w:color="auto" w:fill="FFFFFF" w:themeFill="background1"/>
        <w:spacing w:after="0" w:line="240" w:lineRule="auto"/>
        <w:ind w:left="357"/>
        <w:jc w:val="both"/>
        <w:rPr>
          <w:rFonts w:ascii="Arial" w:hAnsi="Arial" w:cs="Arial"/>
          <w:iCs/>
          <w:sz w:val="20"/>
          <w:szCs w:val="20"/>
        </w:rPr>
      </w:pPr>
    </w:p>
    <w:p w14:paraId="0B85FA99" w14:textId="77777777" w:rsidR="0010347E" w:rsidRPr="00215B2F" w:rsidRDefault="0010347E" w:rsidP="003D4DE0">
      <w:pPr>
        <w:pStyle w:val="Odstavekseznama"/>
        <w:numPr>
          <w:ilvl w:val="0"/>
          <w:numId w:val="389"/>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 xml:space="preserve">Bonitetni ukrepi in poslovni modeli. </w:t>
      </w:r>
      <w:r w:rsidRPr="00215B2F">
        <w:rPr>
          <w:rFonts w:ascii="Arial" w:hAnsi="Arial" w:cs="Arial"/>
          <w:sz w:val="20"/>
          <w:szCs w:val="20"/>
        </w:rPr>
        <w:t>Institucije bodo morale vključiti ESG dejavnike v svoje strategije, notranje postopke in upravljanje tveganj. Pristojni organi bodo ocenjevali, ali so cilji in ukrepi institucij skladni z razkritimi zavezami in regulativnimi cilji EU. ESG tveganja bodo lahko obravnavana tudi prek sistemskih blažilnikov tveganj.</w:t>
      </w:r>
    </w:p>
    <w:p w14:paraId="2DEB7A41" w14:textId="77777777" w:rsidR="0010347E" w:rsidRPr="00215B2F" w:rsidRDefault="0010347E" w:rsidP="0010347E">
      <w:pPr>
        <w:pStyle w:val="Odstavekseznama"/>
        <w:shd w:val="clear" w:color="auto" w:fill="FFFFFF" w:themeFill="background1"/>
        <w:spacing w:after="0" w:line="240" w:lineRule="auto"/>
        <w:ind w:left="357"/>
        <w:jc w:val="both"/>
        <w:rPr>
          <w:rFonts w:ascii="Arial" w:hAnsi="Arial" w:cs="Arial"/>
          <w:iCs/>
          <w:sz w:val="20"/>
          <w:szCs w:val="20"/>
        </w:rPr>
      </w:pPr>
    </w:p>
    <w:p w14:paraId="3DBDCBB5" w14:textId="77777777" w:rsidR="0010347E" w:rsidRPr="00215B2F" w:rsidRDefault="0010347E" w:rsidP="003D4DE0">
      <w:pPr>
        <w:pStyle w:val="Odstavekseznama"/>
        <w:numPr>
          <w:ilvl w:val="0"/>
          <w:numId w:val="389"/>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 xml:space="preserve">Pooblastila za ukrepanje in sankcioniranje. </w:t>
      </w:r>
      <w:r w:rsidRPr="00215B2F">
        <w:rPr>
          <w:rFonts w:ascii="Arial" w:hAnsi="Arial" w:cs="Arial"/>
          <w:sz w:val="20"/>
          <w:szCs w:val="20"/>
        </w:rPr>
        <w:t>Pristojni organi bodo imeli okrepljena pooblastila za ukrepanje proti institucijam, ki kršijo bonitetne zahteve. Predvidene so učinkovite, sorazmerne in odvračilne upravne kazni, periodične denarne kazni ter drugi ukrepi. Usklajeni bodo tudi postopki med upravnimi in kazenskimi sankcijami.</w:t>
      </w:r>
    </w:p>
    <w:p w14:paraId="353CAC28" w14:textId="77777777" w:rsidR="0010347E" w:rsidRPr="00215B2F" w:rsidRDefault="0010347E" w:rsidP="0010347E">
      <w:pPr>
        <w:pStyle w:val="Odstavekseznama"/>
        <w:shd w:val="clear" w:color="auto" w:fill="FFFFFF" w:themeFill="background1"/>
        <w:spacing w:after="0" w:line="240" w:lineRule="auto"/>
        <w:ind w:left="357"/>
        <w:jc w:val="both"/>
        <w:rPr>
          <w:rFonts w:ascii="Arial" w:hAnsi="Arial" w:cs="Arial"/>
          <w:iCs/>
          <w:sz w:val="20"/>
          <w:szCs w:val="20"/>
        </w:rPr>
      </w:pPr>
    </w:p>
    <w:p w14:paraId="73A5465B" w14:textId="77777777" w:rsidR="0010347E" w:rsidRPr="00215B2F" w:rsidRDefault="0010347E" w:rsidP="003D4DE0">
      <w:pPr>
        <w:pStyle w:val="Odstavekseznama"/>
        <w:numPr>
          <w:ilvl w:val="0"/>
          <w:numId w:val="389"/>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 xml:space="preserve">Ocenjevanje primernosti članov upravljalnih organov. </w:t>
      </w:r>
      <w:r w:rsidRPr="00215B2F">
        <w:rPr>
          <w:rFonts w:ascii="Arial" w:hAnsi="Arial" w:cs="Arial"/>
          <w:bCs/>
          <w:sz w:val="20"/>
          <w:szCs w:val="20"/>
        </w:rPr>
        <w:t>Direktiva 2024/1619/EU</w:t>
      </w:r>
      <w:r w:rsidRPr="00215B2F">
        <w:rPr>
          <w:rFonts w:ascii="Arial" w:hAnsi="Arial" w:cs="Arial"/>
          <w:sz w:val="20"/>
          <w:szCs w:val="20"/>
        </w:rPr>
        <w:t xml:space="preserve"> uvaja enotna pravila za ocenjevanje sposobnosti in primernosti članov upravljalnih organov in nosilcev ključnih funkcij. Institucije bodo morale predhodno oceniti kandidate, pristojni organi pa bodo imeli možnost dodatnega preverjanja. Poudarek je tudi na raznolikosti, odgovornosti in pravočasnem obveščanju o spremembah.</w:t>
      </w:r>
    </w:p>
    <w:p w14:paraId="26890A5F" w14:textId="77777777" w:rsidR="0010347E" w:rsidRPr="00215B2F" w:rsidRDefault="0010347E" w:rsidP="0010347E">
      <w:pPr>
        <w:shd w:val="clear" w:color="auto" w:fill="FFFFFF" w:themeFill="background1"/>
        <w:spacing w:after="0" w:line="240" w:lineRule="auto"/>
        <w:jc w:val="both"/>
        <w:rPr>
          <w:rFonts w:ascii="Arial" w:hAnsi="Arial" w:cs="Arial"/>
          <w:iCs/>
          <w:sz w:val="20"/>
          <w:szCs w:val="20"/>
        </w:rPr>
      </w:pPr>
    </w:p>
    <w:p w14:paraId="725F94FB" w14:textId="77777777" w:rsidR="0010347E" w:rsidRPr="00215B2F" w:rsidRDefault="0010347E" w:rsidP="003D4DE0">
      <w:pPr>
        <w:pStyle w:val="Odstavekseznama"/>
        <w:numPr>
          <w:ilvl w:val="0"/>
          <w:numId w:val="389"/>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 xml:space="preserve">Dodatne določbe: integriteta nadzornikov, kriptosredstva, pomembni posli. </w:t>
      </w:r>
      <w:r w:rsidRPr="00215B2F">
        <w:rPr>
          <w:rFonts w:ascii="Arial" w:hAnsi="Arial" w:cs="Arial"/>
          <w:sz w:val="20"/>
          <w:szCs w:val="20"/>
        </w:rPr>
        <w:t>Direktiva predvideva ukrepe za zagotovitev neodvisnosti in integritete nadzornikov, vključno z omejitvami »vrtljivih vrat« in obveznimi izjavami o interesih. Uvaja se nadzor nad izpostavljenostmi do kriptosredstev in pomembnimi posli, kot so združitve, delitve in pridobitve deležev. Pristojni organi bodo imeli večja pooblastila za spremljanje in ukrepanje.</w:t>
      </w:r>
    </w:p>
    <w:p w14:paraId="57E36368" w14:textId="77777777" w:rsidR="0010347E" w:rsidRPr="00215B2F" w:rsidRDefault="0010347E" w:rsidP="0010347E">
      <w:pPr>
        <w:pStyle w:val="Odstavekseznama"/>
        <w:shd w:val="clear" w:color="auto" w:fill="FFFFFF" w:themeFill="background1"/>
        <w:rPr>
          <w:rFonts w:ascii="Arial" w:hAnsi="Arial" w:cs="Arial"/>
          <w:iCs/>
          <w:sz w:val="20"/>
          <w:szCs w:val="20"/>
        </w:rPr>
      </w:pPr>
    </w:p>
    <w:p w14:paraId="4969814B" w14:textId="77777777" w:rsidR="0010347E" w:rsidRPr="00215B2F" w:rsidRDefault="0010347E" w:rsidP="003D4DE0">
      <w:pPr>
        <w:pStyle w:val="Odstavekseznama"/>
        <w:numPr>
          <w:ilvl w:val="0"/>
          <w:numId w:val="389"/>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iCs/>
          <w:sz w:val="20"/>
          <w:szCs w:val="20"/>
        </w:rPr>
        <w:t>Dopolnitev 30. člena Zakona o banki Slovenije (ZBS-1) glede imenovanja članov Sveta Banke Slovenije.</w:t>
      </w:r>
      <w:r w:rsidRPr="00215B2F">
        <w:rPr>
          <w:rFonts w:ascii="Arial" w:hAnsi="Arial" w:cs="Arial"/>
          <w:iCs/>
          <w:sz w:val="20"/>
          <w:szCs w:val="20"/>
        </w:rPr>
        <w:t xml:space="preserve"> S spremembo zakona (ZBS-1) se določajo jasnejši pogoji za imenovanje članov Sveta Banke Slovenije, in sicer glede državljanstva, izobrazbe, izkušenj, kazenske neobremenjenosti ter osebnostne primernosti. Uvaja se zahteva po ustrezni strokovni sestavi in raznolikosti sveta kot celote ter omejitev, da član lahko funkcijo opravlja največ 14 let, pri čemer se omejitev uporablja za imenovanja po 11. januarju 2026.</w:t>
      </w:r>
    </w:p>
    <w:p w14:paraId="6F920564" w14:textId="77777777" w:rsidR="0010347E" w:rsidRPr="00215B2F" w:rsidRDefault="0010347E" w:rsidP="0010347E">
      <w:pPr>
        <w:pStyle w:val="Odstavekseznama"/>
        <w:shd w:val="clear" w:color="auto" w:fill="FFFFFF" w:themeFill="background1"/>
        <w:spacing w:after="0" w:line="240" w:lineRule="auto"/>
        <w:ind w:left="0"/>
        <w:jc w:val="both"/>
        <w:rPr>
          <w:rFonts w:ascii="Arial" w:hAnsi="Arial" w:cs="Arial"/>
          <w:sz w:val="20"/>
          <w:szCs w:val="20"/>
        </w:rPr>
      </w:pPr>
    </w:p>
    <w:bookmarkEnd w:id="9"/>
    <w:p w14:paraId="4FE5C3CA" w14:textId="77777777" w:rsidR="0010347E" w:rsidRPr="00215B2F" w:rsidRDefault="0010347E" w:rsidP="0010347E">
      <w:pPr>
        <w:shd w:val="clear" w:color="auto" w:fill="FFFFFF" w:themeFill="background1"/>
        <w:spacing w:after="0" w:line="240" w:lineRule="auto"/>
        <w:jc w:val="both"/>
        <w:rPr>
          <w:rFonts w:ascii="Arial" w:hAnsi="Arial" w:cs="Arial"/>
          <w:bCs/>
          <w:i/>
          <w:iCs/>
          <w:sz w:val="20"/>
          <w:szCs w:val="20"/>
          <w:u w:val="single"/>
        </w:rPr>
      </w:pPr>
      <w:r w:rsidRPr="00215B2F">
        <w:rPr>
          <w:rFonts w:ascii="Arial" w:hAnsi="Arial" w:cs="Arial"/>
          <w:bCs/>
          <w:i/>
          <w:iCs/>
          <w:sz w:val="20"/>
          <w:szCs w:val="20"/>
          <w:u w:val="single"/>
        </w:rPr>
        <w:t>Druge rešitve</w:t>
      </w:r>
    </w:p>
    <w:p w14:paraId="3C94FCF7"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119571B2" w14:textId="75AA71DD" w:rsidR="00605C61" w:rsidRPr="00215B2F" w:rsidRDefault="0010347E" w:rsidP="00D935C9">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lastRenderedPageBreak/>
        <w:t xml:space="preserve">Dodana pristojnost ECB. </w:t>
      </w:r>
      <w:r w:rsidRPr="00215B2F">
        <w:rPr>
          <w:rFonts w:ascii="Arial" w:eastAsia="Arial" w:hAnsi="Arial" w:cs="Arial"/>
          <w:sz w:val="20"/>
          <w:szCs w:val="20"/>
        </w:rPr>
        <w:t xml:space="preserve">Kadar je glede nalog in pristojnosti bonitetnega nadzora v skladu z Uredbo 1024/2013/EU pristojna in odgovorna ECB, naloge, pristojnosti in pooblastila iz tega zakona namesto Banke Slovenije izvaja ECB. </w:t>
      </w:r>
      <w:r w:rsidRPr="00215B2F">
        <w:rPr>
          <w:rFonts w:ascii="Arial" w:hAnsi="Arial" w:cs="Arial"/>
          <w:sz w:val="20"/>
          <w:szCs w:val="20"/>
        </w:rPr>
        <w:t xml:space="preserve">Trenutno neenotna ureditev izhaja še iz začetka </w:t>
      </w:r>
      <w:r w:rsidR="00605C61" w:rsidRPr="00215B2F">
        <w:rPr>
          <w:rFonts w:ascii="Arial" w:hAnsi="Arial" w:cs="Arial"/>
          <w:sz w:val="20"/>
          <w:szCs w:val="20"/>
        </w:rPr>
        <w:t>enotnega mehanizma nadzora (</w:t>
      </w:r>
      <w:r w:rsidRPr="00215B2F">
        <w:rPr>
          <w:rFonts w:ascii="Arial" w:hAnsi="Arial" w:cs="Arial"/>
          <w:sz w:val="20"/>
          <w:szCs w:val="20"/>
        </w:rPr>
        <w:t>EMN</w:t>
      </w:r>
      <w:r w:rsidR="00605C61" w:rsidRPr="00215B2F">
        <w:rPr>
          <w:rFonts w:ascii="Arial" w:hAnsi="Arial" w:cs="Arial"/>
          <w:sz w:val="20"/>
          <w:szCs w:val="20"/>
        </w:rPr>
        <w:t>)</w:t>
      </w:r>
      <w:r w:rsidRPr="00215B2F">
        <w:rPr>
          <w:rFonts w:ascii="Arial" w:hAnsi="Arial" w:cs="Arial"/>
          <w:sz w:val="20"/>
          <w:szCs w:val="20"/>
        </w:rPr>
        <w:t xml:space="preserve">, ko ni bilo povsem jasno, kako točno bosta razmejitev pristojnosti in navajanje pravne podlage potekala v praksi. Predlog sledi dejstvu, da je razmejitev pristojnosti jasno določena v Uredbi 1024/2013/EU v povezavi z okvirno </w:t>
      </w:r>
      <w:r w:rsidR="00605C61" w:rsidRPr="00215B2F">
        <w:rPr>
          <w:rFonts w:ascii="Arial" w:hAnsi="Arial" w:cs="Arial"/>
          <w:iCs/>
          <w:sz w:val="20"/>
          <w:szCs w:val="20"/>
        </w:rPr>
        <w:t>Uredbo (EU) št. 468/2014 Evropske centralne banke z dne 16. aprila 2014 o vzpostavitvi okvira za sodelovanje znotraj enotnega mehanizma nadzora med Evropsko centralno banko in pristojnimi nacionalnimi organi ter z imenovanimi nacionalnimi organi.</w:t>
      </w:r>
    </w:p>
    <w:p w14:paraId="76DA2EC9" w14:textId="77777777" w:rsidR="0010347E" w:rsidRPr="00215B2F" w:rsidRDefault="0010347E" w:rsidP="0010347E">
      <w:pPr>
        <w:pStyle w:val="Odstavekseznama"/>
        <w:shd w:val="clear" w:color="auto" w:fill="FFFFFF" w:themeFill="background1"/>
        <w:spacing w:after="0" w:line="240" w:lineRule="auto"/>
        <w:ind w:left="284"/>
        <w:jc w:val="both"/>
        <w:rPr>
          <w:rFonts w:ascii="Arial" w:hAnsi="Arial" w:cs="Arial"/>
          <w:iCs/>
          <w:sz w:val="20"/>
          <w:szCs w:val="20"/>
        </w:rPr>
      </w:pPr>
    </w:p>
    <w:p w14:paraId="2B41C4F7" w14:textId="1D076307"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 xml:space="preserve">Omejitev veljavnosti skupščinskih sklepov bank. </w:t>
      </w:r>
      <w:r w:rsidRPr="00215B2F">
        <w:rPr>
          <w:rFonts w:ascii="Arial" w:eastAsia="Arial" w:hAnsi="Arial" w:cs="Arial"/>
          <w:sz w:val="20"/>
          <w:szCs w:val="20"/>
        </w:rPr>
        <w:t xml:space="preserve">Poleg bank se za nadrejene finančne holdinge Republike Slovenije in nadrejene mešane finančne holdinge Republike Slovenije ter EU nadrejeni mešani finančni holding s sedežem v Republiki Sloveniji in EU nadrejeni mešani finančni holding s sedežem v Republiki Sloveniji ne uporablja 399. člen ZGD-1. Dopolnitev je narejena z </w:t>
      </w:r>
      <w:r w:rsidRPr="00215B2F">
        <w:rPr>
          <w:rFonts w:ascii="Arial" w:hAnsi="Arial" w:cs="Arial"/>
          <w:sz w:val="20"/>
          <w:szCs w:val="20"/>
        </w:rPr>
        <w:t>namenom večje jasnosti in preglednosti zakona</w:t>
      </w:r>
      <w:r w:rsidR="00605C61" w:rsidRPr="00215B2F">
        <w:rPr>
          <w:rStyle w:val="Sprotnaopomba-sklic"/>
          <w:rFonts w:ascii="Arial" w:hAnsi="Arial" w:cs="Arial"/>
          <w:sz w:val="20"/>
          <w:szCs w:val="20"/>
        </w:rPr>
        <w:footnoteReference w:id="3"/>
      </w:r>
      <w:r w:rsidRPr="00215B2F">
        <w:rPr>
          <w:rFonts w:ascii="Arial" w:hAnsi="Arial" w:cs="Arial"/>
          <w:sz w:val="20"/>
          <w:szCs w:val="20"/>
        </w:rPr>
        <w:t>.</w:t>
      </w:r>
    </w:p>
    <w:p w14:paraId="152DF998" w14:textId="77777777" w:rsidR="0010347E" w:rsidRPr="00215B2F" w:rsidRDefault="0010347E" w:rsidP="0010347E">
      <w:pPr>
        <w:pStyle w:val="Odstavekseznama"/>
        <w:shd w:val="clear" w:color="auto" w:fill="FFFFFF" w:themeFill="background1"/>
        <w:rPr>
          <w:rFonts w:ascii="Arial" w:hAnsi="Arial" w:cs="Arial"/>
          <w:b/>
          <w:bCs/>
          <w:sz w:val="20"/>
          <w:szCs w:val="20"/>
        </w:rPr>
      </w:pPr>
    </w:p>
    <w:p w14:paraId="1FCD0919" w14:textId="6D0B2E30"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 xml:space="preserve">Jasnejša opredelitev pomožnih storitev. </w:t>
      </w:r>
      <w:r w:rsidRPr="00215B2F">
        <w:rPr>
          <w:rFonts w:ascii="Arial" w:eastAsia="Arial" w:hAnsi="Arial" w:cs="Arial"/>
          <w:sz w:val="20"/>
          <w:szCs w:val="20"/>
        </w:rPr>
        <w:t xml:space="preserve">Banka lahko za družbe, ki so del skupine, opravlja tudi storitve, ki jih opravlja družba za pomožne storitve. </w:t>
      </w:r>
      <w:r w:rsidRPr="00215B2F">
        <w:rPr>
          <w:rFonts w:ascii="Arial" w:hAnsi="Arial" w:cs="Arial"/>
          <w:sz w:val="20"/>
          <w:szCs w:val="20"/>
        </w:rPr>
        <w:t xml:space="preserve">Nova definicija sledi definiciji družbe za pomožne storitve, ko jo opredeljuje </w:t>
      </w:r>
      <w:r w:rsidR="00605C61" w:rsidRPr="00215B2F">
        <w:rPr>
          <w:rFonts w:ascii="Arial" w:hAnsi="Arial" w:cs="Arial"/>
          <w:sz w:val="20"/>
          <w:szCs w:val="20"/>
        </w:rPr>
        <w:t>Uredba 575/2013/EU</w:t>
      </w:r>
      <w:r w:rsidRPr="00215B2F">
        <w:rPr>
          <w:rFonts w:ascii="Arial" w:hAnsi="Arial" w:cs="Arial"/>
          <w:sz w:val="20"/>
          <w:szCs w:val="20"/>
        </w:rPr>
        <w:t>.</w:t>
      </w:r>
    </w:p>
    <w:p w14:paraId="17E2C57F" w14:textId="77777777" w:rsidR="0010347E" w:rsidRPr="00215B2F" w:rsidRDefault="0010347E" w:rsidP="0010347E">
      <w:pPr>
        <w:pStyle w:val="Odstavekseznama"/>
        <w:shd w:val="clear" w:color="auto" w:fill="FFFFFF" w:themeFill="background1"/>
        <w:rPr>
          <w:rFonts w:ascii="Arial" w:hAnsi="Arial" w:cs="Arial"/>
          <w:b/>
          <w:bCs/>
          <w:sz w:val="20"/>
          <w:szCs w:val="20"/>
        </w:rPr>
      </w:pPr>
    </w:p>
    <w:p w14:paraId="71BF6290" w14:textId="068D6AFD"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Ureditev določbe glede predstavnikov delavcev</w:t>
      </w:r>
      <w:r w:rsidRPr="00215B2F">
        <w:rPr>
          <w:rFonts w:ascii="Arial" w:hAnsi="Arial" w:cs="Arial"/>
          <w:sz w:val="20"/>
          <w:szCs w:val="20"/>
        </w:rPr>
        <w:t xml:space="preserve">. Dikcija »organ nadzora« se nadomesti z »upravljalnim organom«. Sprememba </w:t>
      </w:r>
      <w:r w:rsidR="00FC21CA" w:rsidRPr="00215B2F">
        <w:rPr>
          <w:rFonts w:ascii="Arial" w:hAnsi="Arial" w:cs="Arial"/>
          <w:sz w:val="20"/>
          <w:szCs w:val="20"/>
        </w:rPr>
        <w:t xml:space="preserve">je </w:t>
      </w:r>
      <w:r w:rsidRPr="00215B2F">
        <w:rPr>
          <w:rFonts w:ascii="Arial" w:hAnsi="Arial" w:cs="Arial"/>
          <w:sz w:val="20"/>
          <w:szCs w:val="20"/>
        </w:rPr>
        <w:t xml:space="preserve">povezana z odločbo Ustavnega sodišča U-I-186/21-12 z dne 18. 12. 2024. </w:t>
      </w:r>
    </w:p>
    <w:p w14:paraId="56352ED0" w14:textId="77777777" w:rsidR="0010347E" w:rsidRPr="00215B2F" w:rsidRDefault="0010347E" w:rsidP="0010347E">
      <w:pPr>
        <w:shd w:val="clear" w:color="auto" w:fill="FFFFFF" w:themeFill="background1"/>
        <w:spacing w:after="0" w:line="240" w:lineRule="auto"/>
        <w:jc w:val="both"/>
        <w:rPr>
          <w:rFonts w:ascii="Arial" w:eastAsia="Arial" w:hAnsi="Arial" w:cs="Arial"/>
          <w:b/>
          <w:bCs/>
          <w:sz w:val="20"/>
          <w:szCs w:val="20"/>
        </w:rPr>
      </w:pPr>
    </w:p>
    <w:p w14:paraId="5151CF2F" w14:textId="45F023E1"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eastAsia="Arial" w:hAnsi="Arial" w:cs="Arial"/>
          <w:b/>
          <w:bCs/>
          <w:sz w:val="20"/>
          <w:szCs w:val="20"/>
        </w:rPr>
        <w:t>Fleksibilnejša presoja samostojnega podjetništva</w:t>
      </w:r>
      <w:r w:rsidRPr="00215B2F">
        <w:rPr>
          <w:rFonts w:ascii="Arial" w:eastAsia="Arial" w:hAnsi="Arial" w:cs="Arial"/>
          <w:sz w:val="20"/>
          <w:szCs w:val="20"/>
        </w:rPr>
        <w:t xml:space="preserve"> pri članih uprave glede razpoložljivosti za opravljanje funkcije. </w:t>
      </w:r>
      <w:r w:rsidRPr="00215B2F">
        <w:rPr>
          <w:rFonts w:ascii="Arial" w:hAnsi="Arial" w:cs="Arial"/>
          <w:sz w:val="20"/>
          <w:szCs w:val="20"/>
        </w:rPr>
        <w:t xml:space="preserve">V praksi je več primerov, ko imajo člani upravnega odbora registriran s. p., ki dejansko ne vpliva na časovno razpoložljivost člana, kar je namen, ki se želi doseči s to določbo –od člana bi bilo namreč treba zahtevati, da s.p. prenese/zapre, v nasprotnem pa bi bil ocenjen kot neprimeren. Predlagana sprememba tako Banki Sloveniji omogoča fleksibilnost pri presoji kandidatov, ki imajo s. p., v skladu z namenom določbe, to je zagotoviti, da ima član za opravljanje funkcije dovolj časa. </w:t>
      </w:r>
    </w:p>
    <w:p w14:paraId="4A860DF3" w14:textId="77777777" w:rsidR="0010347E" w:rsidRPr="00215B2F" w:rsidRDefault="0010347E" w:rsidP="0010347E">
      <w:pPr>
        <w:shd w:val="clear" w:color="auto" w:fill="FFFFFF" w:themeFill="background1"/>
        <w:spacing w:after="0" w:line="240" w:lineRule="auto"/>
        <w:jc w:val="both"/>
        <w:rPr>
          <w:rFonts w:ascii="Arial" w:hAnsi="Arial" w:cs="Arial"/>
          <w:iCs/>
          <w:sz w:val="20"/>
          <w:szCs w:val="20"/>
        </w:rPr>
      </w:pPr>
    </w:p>
    <w:p w14:paraId="13D1EEE2" w14:textId="5654FF1D"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 xml:space="preserve">Prilagoditve v postopku </w:t>
      </w:r>
      <w:r w:rsidRPr="00215B2F">
        <w:rPr>
          <w:rFonts w:ascii="Arial" w:eastAsia="Arial" w:hAnsi="Arial" w:cs="Arial"/>
          <w:b/>
          <w:bCs/>
          <w:sz w:val="20"/>
          <w:szCs w:val="20"/>
        </w:rPr>
        <w:t xml:space="preserve">izdaje dovoljenja za opravljanje funkcije </w:t>
      </w:r>
      <w:r w:rsidR="00882103" w:rsidRPr="00215B2F">
        <w:rPr>
          <w:rFonts w:ascii="Arial" w:hAnsi="Arial" w:cs="Arial"/>
          <w:b/>
          <w:bCs/>
          <w:sz w:val="20"/>
          <w:szCs w:val="20"/>
        </w:rPr>
        <w:t>člana uprave</w:t>
      </w:r>
      <w:r w:rsidRPr="00215B2F">
        <w:rPr>
          <w:rFonts w:ascii="Arial" w:eastAsia="Arial" w:hAnsi="Arial" w:cs="Arial"/>
          <w:sz w:val="20"/>
          <w:szCs w:val="20"/>
        </w:rPr>
        <w:t>:</w:t>
      </w:r>
      <w:r w:rsidRPr="00215B2F">
        <w:rPr>
          <w:rFonts w:ascii="Arial" w:hAnsi="Arial" w:cs="Arial"/>
          <w:sz w:val="20"/>
          <w:szCs w:val="20"/>
        </w:rPr>
        <w:t xml:space="preserve"> </w:t>
      </w:r>
    </w:p>
    <w:p w14:paraId="77C61224" w14:textId="77777777" w:rsidR="0010347E" w:rsidRPr="00215B2F" w:rsidRDefault="0010347E" w:rsidP="0010347E">
      <w:pPr>
        <w:pStyle w:val="Odstavekseznama"/>
        <w:shd w:val="clear" w:color="auto" w:fill="FFFFFF" w:themeFill="background1"/>
        <w:spacing w:after="0" w:line="240" w:lineRule="auto"/>
        <w:rPr>
          <w:rFonts w:ascii="Arial" w:hAnsi="Arial" w:cs="Arial"/>
          <w:b/>
          <w:bCs/>
          <w:sz w:val="20"/>
          <w:szCs w:val="20"/>
        </w:rPr>
      </w:pPr>
    </w:p>
    <w:p w14:paraId="04B2D835" w14:textId="48C56A09" w:rsidR="0010347E" w:rsidRPr="00215B2F" w:rsidRDefault="0010347E" w:rsidP="003D4DE0">
      <w:pPr>
        <w:pStyle w:val="Odstavekseznama"/>
        <w:numPr>
          <w:ilvl w:val="0"/>
          <w:numId w:val="355"/>
        </w:numPr>
        <w:shd w:val="clear" w:color="auto" w:fill="FFFFFF" w:themeFill="background1"/>
        <w:spacing w:after="0" w:line="240" w:lineRule="auto"/>
        <w:jc w:val="both"/>
        <w:rPr>
          <w:rFonts w:ascii="Arial" w:hAnsi="Arial" w:cs="Arial"/>
          <w:sz w:val="20"/>
          <w:szCs w:val="20"/>
        </w:rPr>
      </w:pPr>
      <w:r w:rsidRPr="00215B2F">
        <w:rPr>
          <w:rFonts w:ascii="Arial" w:hAnsi="Arial" w:cs="Arial"/>
          <w:i/>
          <w:iCs/>
          <w:sz w:val="20"/>
          <w:szCs w:val="20"/>
          <w:u w:val="single"/>
        </w:rPr>
        <w:t>Priprava prepisa zvočnega posnetka</w:t>
      </w:r>
      <w:r w:rsidRPr="00215B2F">
        <w:rPr>
          <w:rFonts w:ascii="Arial" w:hAnsi="Arial" w:cs="Arial"/>
          <w:sz w:val="20"/>
          <w:szCs w:val="20"/>
        </w:rPr>
        <w:t xml:space="preserve"> (in ne povzetka) s strani uradne osebe v postopku </w:t>
      </w:r>
      <w:r w:rsidRPr="00215B2F">
        <w:rPr>
          <w:rFonts w:ascii="Arial" w:eastAsia="Arial" w:hAnsi="Arial" w:cs="Arial"/>
          <w:sz w:val="20"/>
          <w:szCs w:val="20"/>
        </w:rPr>
        <w:t xml:space="preserve">izdaje dovoljenja za opravljanje funkcije </w:t>
      </w:r>
      <w:r w:rsidR="00882103" w:rsidRPr="00215B2F">
        <w:rPr>
          <w:rFonts w:ascii="Arial" w:hAnsi="Arial" w:cs="Arial"/>
          <w:sz w:val="20"/>
          <w:szCs w:val="20"/>
        </w:rPr>
        <w:t>člana uprave</w:t>
      </w:r>
      <w:r w:rsidRPr="00215B2F">
        <w:rPr>
          <w:rFonts w:ascii="Arial" w:eastAsia="Arial" w:hAnsi="Arial" w:cs="Arial"/>
          <w:sz w:val="20"/>
          <w:szCs w:val="20"/>
        </w:rPr>
        <w:t>.</w:t>
      </w:r>
      <w:r w:rsidRPr="00215B2F">
        <w:rPr>
          <w:rFonts w:ascii="Arial" w:hAnsi="Arial" w:cs="Arial"/>
          <w:sz w:val="20"/>
          <w:szCs w:val="20"/>
        </w:rPr>
        <w:t xml:space="preserve"> Predlog spremembe sledi izvedbi v praksi, kjer se dejansko pripravi prepis zvočnega posnetka (in ne povzetek). </w:t>
      </w:r>
    </w:p>
    <w:p w14:paraId="5C1D16BC" w14:textId="77777777" w:rsidR="0010347E" w:rsidRPr="00215B2F" w:rsidRDefault="0010347E" w:rsidP="0010347E">
      <w:pPr>
        <w:pStyle w:val="Odstavekseznama"/>
        <w:shd w:val="clear" w:color="auto" w:fill="FFFFFF" w:themeFill="background1"/>
        <w:spacing w:after="0" w:line="240" w:lineRule="auto"/>
        <w:jc w:val="both"/>
        <w:rPr>
          <w:rFonts w:ascii="Arial" w:hAnsi="Arial" w:cs="Arial"/>
          <w:sz w:val="20"/>
          <w:szCs w:val="20"/>
        </w:rPr>
      </w:pPr>
    </w:p>
    <w:p w14:paraId="62FE0DF3" w14:textId="05834886" w:rsidR="0010347E" w:rsidRPr="00215B2F" w:rsidRDefault="0010347E" w:rsidP="003D4DE0">
      <w:pPr>
        <w:pStyle w:val="Odstavekseznama"/>
        <w:numPr>
          <w:ilvl w:val="0"/>
          <w:numId w:val="355"/>
        </w:numPr>
        <w:shd w:val="clear" w:color="auto" w:fill="FFFFFF" w:themeFill="background1"/>
        <w:spacing w:after="0" w:line="240" w:lineRule="auto"/>
        <w:jc w:val="both"/>
        <w:rPr>
          <w:rFonts w:ascii="Arial" w:hAnsi="Arial" w:cs="Arial"/>
          <w:sz w:val="20"/>
          <w:szCs w:val="20"/>
        </w:rPr>
      </w:pPr>
      <w:r w:rsidRPr="00215B2F">
        <w:rPr>
          <w:rFonts w:ascii="Arial" w:hAnsi="Arial" w:cs="Arial"/>
          <w:i/>
          <w:iCs/>
          <w:sz w:val="20"/>
          <w:szCs w:val="20"/>
          <w:u w:val="single"/>
        </w:rPr>
        <w:t xml:space="preserve">Možnost </w:t>
      </w:r>
      <w:r w:rsidRPr="00215B2F">
        <w:rPr>
          <w:rFonts w:ascii="Arial" w:eastAsia="Arial" w:hAnsi="Arial" w:cs="Arial"/>
          <w:i/>
          <w:iCs/>
          <w:sz w:val="20"/>
          <w:szCs w:val="20"/>
          <w:u w:val="single"/>
        </w:rPr>
        <w:t>poslušanja zvočnega posnetka razgovora</w:t>
      </w:r>
      <w:r w:rsidRPr="00215B2F">
        <w:rPr>
          <w:rFonts w:ascii="Arial" w:eastAsia="Arial" w:hAnsi="Arial" w:cs="Arial"/>
          <w:sz w:val="20"/>
          <w:szCs w:val="20"/>
        </w:rPr>
        <w:t xml:space="preserve"> (in ne vpogleda v zapisnik) s strani kandidata </w:t>
      </w:r>
      <w:r w:rsidRPr="00215B2F">
        <w:rPr>
          <w:rFonts w:ascii="Arial" w:hAnsi="Arial" w:cs="Arial"/>
          <w:sz w:val="20"/>
          <w:szCs w:val="20"/>
        </w:rPr>
        <w:t xml:space="preserve">v postopku </w:t>
      </w:r>
      <w:r w:rsidRPr="00215B2F">
        <w:rPr>
          <w:rFonts w:ascii="Arial" w:eastAsia="Arial" w:hAnsi="Arial" w:cs="Arial"/>
          <w:sz w:val="20"/>
          <w:szCs w:val="20"/>
        </w:rPr>
        <w:t xml:space="preserve">izdaje dovoljenja za opravljanje funkcije </w:t>
      </w:r>
      <w:r w:rsidR="00882103" w:rsidRPr="00215B2F">
        <w:rPr>
          <w:rFonts w:ascii="Arial" w:hAnsi="Arial" w:cs="Arial"/>
          <w:sz w:val="20"/>
          <w:szCs w:val="20"/>
        </w:rPr>
        <w:t>člana uprave</w:t>
      </w:r>
      <w:r w:rsidRPr="00215B2F">
        <w:rPr>
          <w:rFonts w:ascii="Arial" w:eastAsia="Arial" w:hAnsi="Arial" w:cs="Arial"/>
          <w:sz w:val="20"/>
          <w:szCs w:val="20"/>
        </w:rPr>
        <w:t>.</w:t>
      </w:r>
      <w:r w:rsidRPr="00215B2F">
        <w:rPr>
          <w:rFonts w:ascii="Arial" w:hAnsi="Arial" w:cs="Arial"/>
          <w:sz w:val="20"/>
          <w:szCs w:val="20"/>
        </w:rPr>
        <w:t xml:space="preserve"> Predlog spremembe sledi izvedbi v praksi, kjer lahko kandidat, če se s prepisom ne strinja, zahteva poslušanje zvočnega posnetka in/ali vloži ugovor. </w:t>
      </w:r>
    </w:p>
    <w:p w14:paraId="476A1372" w14:textId="77777777" w:rsidR="0010347E" w:rsidRPr="00215B2F" w:rsidRDefault="0010347E" w:rsidP="0010347E">
      <w:pPr>
        <w:pStyle w:val="Odstavekseznama"/>
        <w:shd w:val="clear" w:color="auto" w:fill="FFFFFF" w:themeFill="background1"/>
        <w:spacing w:after="0" w:line="240" w:lineRule="auto"/>
        <w:jc w:val="both"/>
        <w:rPr>
          <w:rFonts w:ascii="Arial" w:hAnsi="Arial" w:cs="Arial"/>
          <w:sz w:val="20"/>
          <w:szCs w:val="20"/>
        </w:rPr>
      </w:pPr>
    </w:p>
    <w:p w14:paraId="4B78D308" w14:textId="77777777" w:rsidR="0010347E" w:rsidRPr="00215B2F" w:rsidRDefault="0010347E" w:rsidP="003D4DE0">
      <w:pPr>
        <w:pStyle w:val="Odstavekseznama"/>
        <w:numPr>
          <w:ilvl w:val="0"/>
          <w:numId w:val="355"/>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i/>
          <w:iCs/>
          <w:sz w:val="20"/>
          <w:szCs w:val="20"/>
          <w:u w:val="single"/>
        </w:rPr>
        <w:t>Odločanje o ugovoru na zapisnik razgovora brez posebnega sodnega varstva</w:t>
      </w:r>
      <w:r w:rsidRPr="00215B2F">
        <w:rPr>
          <w:rFonts w:ascii="Arial" w:eastAsia="Arial" w:hAnsi="Arial" w:cs="Arial"/>
          <w:sz w:val="20"/>
          <w:szCs w:val="20"/>
        </w:rPr>
        <w:t>. O ugovoru kandidata zoper zapisnik odloči uradna oseba (in ne Svet Banke Slovenije), ki vodi postopek s sklepom. G</w:t>
      </w:r>
      <w:r w:rsidRPr="00215B2F">
        <w:rPr>
          <w:rFonts w:ascii="Arial" w:hAnsi="Arial" w:cs="Arial"/>
          <w:sz w:val="20"/>
          <w:szCs w:val="20"/>
        </w:rPr>
        <w:t xml:space="preserve">lede na to, da je usklajevanje zapisnika z zvočnim posnetkom procesno dejanje, kar ne zahteva odločanja Sveta Banke Slovenije, je predlagana prilagoditev. Spremembi sledi dopolnitev z namenom zagotovitve pravice do učinkovitega pravnega sredstva. Določba, da o ugovoru odloči Svet Banke Slovenije, je bila namreč dodana še v času, ko se razgovori niso snemali, ampak se je o poteku napisal zapisnik. </w:t>
      </w:r>
    </w:p>
    <w:p w14:paraId="7544B2D8" w14:textId="77777777" w:rsidR="0010347E" w:rsidRPr="00215B2F" w:rsidRDefault="0010347E" w:rsidP="0010347E">
      <w:pPr>
        <w:pStyle w:val="Odstavekseznama"/>
        <w:shd w:val="clear" w:color="auto" w:fill="FFFFFF" w:themeFill="background1"/>
        <w:spacing w:after="0" w:line="240" w:lineRule="auto"/>
        <w:rPr>
          <w:rFonts w:ascii="Arial" w:hAnsi="Arial" w:cs="Arial"/>
          <w:b/>
          <w:bCs/>
          <w:sz w:val="20"/>
          <w:szCs w:val="20"/>
        </w:rPr>
      </w:pPr>
    </w:p>
    <w:p w14:paraId="678DF99C" w14:textId="77777777"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 xml:space="preserve">Jasnejša pravila glede delničarskih sporazumov. </w:t>
      </w:r>
      <w:r w:rsidRPr="00215B2F">
        <w:rPr>
          <w:rFonts w:ascii="Arial" w:eastAsia="Arial" w:hAnsi="Arial" w:cs="Arial"/>
          <w:sz w:val="20"/>
          <w:szCs w:val="20"/>
        </w:rPr>
        <w:t xml:space="preserve">Za delničarski sporazum se šteje, tudi kadar neposredni ali posredni imetniki deleža sklepajo sporazume v zvezi z upravljanjem banke ali glede upravljanja banke delujejo usklajeno. </w:t>
      </w:r>
      <w:r w:rsidRPr="00215B2F">
        <w:rPr>
          <w:rFonts w:ascii="Arial" w:hAnsi="Arial" w:cs="Arial"/>
          <w:sz w:val="20"/>
          <w:szCs w:val="20"/>
        </w:rPr>
        <w:t>Dopolnitev za uskladitev, da lahko usklajeno delujejo tudi posredni kvalificirani imetniki.</w:t>
      </w:r>
    </w:p>
    <w:p w14:paraId="4CADBA4D" w14:textId="77777777" w:rsidR="0010347E" w:rsidRPr="00215B2F" w:rsidRDefault="0010347E" w:rsidP="0010347E">
      <w:pPr>
        <w:pStyle w:val="Odstavekseznama"/>
        <w:shd w:val="clear" w:color="auto" w:fill="FFFFFF" w:themeFill="background1"/>
        <w:spacing w:after="0" w:line="240" w:lineRule="auto"/>
        <w:ind w:left="284"/>
        <w:jc w:val="both"/>
        <w:rPr>
          <w:rFonts w:ascii="Arial" w:hAnsi="Arial" w:cs="Arial"/>
          <w:iCs/>
          <w:sz w:val="20"/>
          <w:szCs w:val="20"/>
        </w:rPr>
      </w:pPr>
    </w:p>
    <w:p w14:paraId="3FD0F3A4" w14:textId="2FF1C6BE"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lastRenderedPageBreak/>
        <w:t>Odločitev o nenasprotovanju za pridobitev kvalificiranega deleža</w:t>
      </w:r>
      <w:r w:rsidRPr="00215B2F">
        <w:rPr>
          <w:rFonts w:ascii="Arial" w:hAnsi="Arial" w:cs="Arial"/>
          <w:sz w:val="20"/>
          <w:szCs w:val="20"/>
        </w:rPr>
        <w:t>. Izdaja dovoljenja za imetnike kvalificiranih deležev je posebnost Republike Slovenije (in še nekaj drugih držav), saj v praksi zaradi izključne pristojnosti ECB za ocenjevanje njihove primernosti nastaja nemalo težav, zlasti v primeru vprašanja odvzema dovoljenja. Evropska zakonodaja (kar je bilo pojasnjeno tudi v okviru implementacijskih delavnic EK za CRD V) namreč dosledno razlikuje med »approval« (odobritev) in »authorisation« (dovoljenje). Kot pojasnjujejo, je razlika zlasti v tem, da je odobritev izdana glede na dejstva in okoliščine, znane ob izdaji odobritve, in se lahko kadar koli spremeni, medtem ko je dovoljenje trajajoče in ga je treba odvzeti. Zato ni jasno, na kateri pravni podlagi bi lahko ECB v primeru, da za to obstojijo razlogi, imetniku kvalificiranega deleža odvzela dovoljenje. V ta namen je predlagan način »odobritve« namesto »dovoljenja«.</w:t>
      </w:r>
    </w:p>
    <w:p w14:paraId="4E1FA1FC" w14:textId="77777777" w:rsidR="0010347E" w:rsidRPr="00215B2F" w:rsidRDefault="0010347E" w:rsidP="0010347E">
      <w:pPr>
        <w:pStyle w:val="Odstavekseznama"/>
        <w:shd w:val="clear" w:color="auto" w:fill="FFFFFF" w:themeFill="background1"/>
        <w:rPr>
          <w:rFonts w:ascii="Arial" w:eastAsia="Arial" w:hAnsi="Arial" w:cs="Arial"/>
          <w:b/>
          <w:bCs/>
          <w:sz w:val="20"/>
          <w:szCs w:val="20"/>
        </w:rPr>
      </w:pPr>
    </w:p>
    <w:p w14:paraId="2E961E5C" w14:textId="4D46EC04"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eastAsia="Arial" w:hAnsi="Arial" w:cs="Arial"/>
          <w:b/>
          <w:bCs/>
          <w:sz w:val="20"/>
          <w:szCs w:val="20"/>
        </w:rPr>
        <w:t>Obveznost obveščanja Banke Slovenije ob spremembi vrste kvalificiranega deleža</w:t>
      </w:r>
      <w:r w:rsidRPr="00215B2F">
        <w:rPr>
          <w:rFonts w:ascii="Arial" w:eastAsia="Arial" w:hAnsi="Arial" w:cs="Arial"/>
          <w:sz w:val="20"/>
          <w:szCs w:val="20"/>
        </w:rPr>
        <w:t xml:space="preserve">. Oseba, ki že ima kvalificirani delež z odobreno odločbo o nenasprotovanju, mora obvestiti Banko Slovenije, če se njen status spremeni iz posrednega imetnika v neposrednega imetnika ali obratno. Banka Slovenije nato skupaj z ECB presodi, ali je glede na okoliščine spremembe potrebna nova ocena primernosti za pridobitev kvalificiranega deleža. </w:t>
      </w:r>
      <w:r w:rsidRPr="00215B2F">
        <w:rPr>
          <w:rFonts w:ascii="Arial" w:hAnsi="Arial" w:cs="Arial"/>
          <w:sz w:val="20"/>
          <w:szCs w:val="20"/>
        </w:rPr>
        <w:t>Predlog dopolnitve sledi praksi ECB, smernicam EBA in stališču Sodišča EU v zadevi Berlusconi (C-512/22 P in C-513/22). Gre za primere, ko se posredni delež spremeni v neposrednega ali obratno – v teh primerih je v skladu z odločitvijo S</w:t>
      </w:r>
      <w:r w:rsidR="00605C61" w:rsidRPr="00215B2F">
        <w:rPr>
          <w:rFonts w:ascii="Arial" w:hAnsi="Arial" w:cs="Arial"/>
          <w:sz w:val="20"/>
          <w:szCs w:val="20"/>
        </w:rPr>
        <w:t xml:space="preserve">odišča </w:t>
      </w:r>
      <w:r w:rsidRPr="00215B2F">
        <w:rPr>
          <w:rFonts w:ascii="Arial" w:hAnsi="Arial" w:cs="Arial"/>
          <w:sz w:val="20"/>
          <w:szCs w:val="20"/>
        </w:rPr>
        <w:t>EU treba presoditi, ali sprememba vpliva na veljavno odločitev o nenasprotovanju oziroma ali se spremeni vpliv kvalificiranega imetnika na upravljanje banke; presoja se opravi ob upoštevanju vseh okoliščin primera, za kar je potrebno ustrezno obvestilo nadzorniku.</w:t>
      </w:r>
    </w:p>
    <w:p w14:paraId="501772C8" w14:textId="77777777" w:rsidR="0010347E" w:rsidRPr="00215B2F" w:rsidRDefault="0010347E" w:rsidP="0010347E">
      <w:pPr>
        <w:pStyle w:val="Odstavekseznama"/>
        <w:shd w:val="clear" w:color="auto" w:fill="FFFFFF" w:themeFill="background1"/>
        <w:rPr>
          <w:rFonts w:ascii="Arial" w:hAnsi="Arial" w:cs="Arial"/>
          <w:b/>
          <w:bCs/>
          <w:sz w:val="20"/>
          <w:szCs w:val="20"/>
        </w:rPr>
      </w:pPr>
    </w:p>
    <w:p w14:paraId="2E9B47D0" w14:textId="77777777"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Združitev odločitev o zahtevi za dovoljenje za opravljanje bančnih storitev</w:t>
      </w:r>
      <w:r w:rsidRPr="00215B2F">
        <w:rPr>
          <w:rFonts w:ascii="Arial" w:hAnsi="Arial" w:cs="Arial"/>
          <w:sz w:val="20"/>
          <w:szCs w:val="20"/>
        </w:rPr>
        <w:t>. Pri odločanju o vlogi za dovoljenje za opravljanje bančnih storitev Banka Slovenije hkrati odloča tudi o drugih povezanih zahtevah, če so te vključene v vlogo. To vključuje zahtevo za oceno primernosti za pridobitev kvalificiranega deleža, zahteve za izdajo dovoljenja za opravljanje funkcije člana uprave in člana nadzornega sveta ter zahtevo banke za opravljanje finančnih storitev. Taka celovita obravnava omogoča učinkovitejšo obravnavo in usklajenost vseh potrebnih dovoljenj v okviru enotnega postopka.</w:t>
      </w:r>
    </w:p>
    <w:p w14:paraId="161EB249" w14:textId="77777777" w:rsidR="0010347E" w:rsidRPr="00215B2F" w:rsidRDefault="0010347E" w:rsidP="0010347E">
      <w:pPr>
        <w:pStyle w:val="Odstavekseznama"/>
        <w:shd w:val="clear" w:color="auto" w:fill="FFFFFF" w:themeFill="background1"/>
        <w:rPr>
          <w:rFonts w:ascii="Arial" w:hAnsi="Arial" w:cs="Arial"/>
          <w:b/>
          <w:bCs/>
          <w:sz w:val="20"/>
          <w:szCs w:val="20"/>
        </w:rPr>
      </w:pPr>
    </w:p>
    <w:p w14:paraId="32AA4514" w14:textId="77777777"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Predložitev finančnega načrta</w:t>
      </w:r>
      <w:r w:rsidRPr="00215B2F">
        <w:rPr>
          <w:rFonts w:ascii="Arial" w:hAnsi="Arial" w:cs="Arial"/>
          <w:sz w:val="20"/>
          <w:szCs w:val="20"/>
        </w:rPr>
        <w:t>,</w:t>
      </w:r>
      <w:r w:rsidRPr="00215B2F">
        <w:rPr>
          <w:rFonts w:ascii="Arial" w:eastAsia="Arial" w:hAnsi="Arial" w:cs="Arial"/>
          <w:sz w:val="20"/>
          <w:szCs w:val="20"/>
        </w:rPr>
        <w:t xml:space="preserve"> vključno s projekcijo izpolnjevanja kapitalskih zahtev v zvezi z zahtevo za </w:t>
      </w:r>
      <w:r w:rsidRPr="00215B2F">
        <w:rPr>
          <w:rFonts w:ascii="Arial" w:hAnsi="Arial" w:cs="Arial"/>
          <w:sz w:val="20"/>
          <w:szCs w:val="20"/>
        </w:rPr>
        <w:t xml:space="preserve">izdajo dovoljenja za opravljanje bančnih storitev, finančnih storitev in dodatnih finančnih storitev. Gre za obstoječo prakso, ki je že določena v Sklepu o dokumentaciji za izdajo dovoljenj za opravljanje bančnih, finančnih storitev ter za statusna preoblikovanja na podlagi 123. člena ZBan-3. Dopolnitev v zakonu je namenjena celovitosti informacij na enem mestu. </w:t>
      </w:r>
    </w:p>
    <w:p w14:paraId="4928F0B3" w14:textId="77777777" w:rsidR="0010347E" w:rsidRPr="00215B2F" w:rsidRDefault="0010347E" w:rsidP="0010347E">
      <w:pPr>
        <w:pStyle w:val="Odstavekseznama"/>
        <w:shd w:val="clear" w:color="auto" w:fill="FFFFFF" w:themeFill="background1"/>
        <w:rPr>
          <w:rFonts w:ascii="Arial" w:hAnsi="Arial" w:cs="Arial"/>
          <w:b/>
          <w:bCs/>
          <w:sz w:val="20"/>
          <w:szCs w:val="20"/>
        </w:rPr>
      </w:pPr>
    </w:p>
    <w:p w14:paraId="42A6D41A" w14:textId="77777777"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 xml:space="preserve">Zagotavljanje ustreznega kapitala </w:t>
      </w:r>
      <w:r w:rsidRPr="00215B2F">
        <w:rPr>
          <w:rFonts w:ascii="Arial" w:hAnsi="Arial" w:cs="Arial"/>
          <w:sz w:val="20"/>
          <w:szCs w:val="20"/>
        </w:rPr>
        <w:t xml:space="preserve">ob odločanju o zahtevi za dovoljenje za opravljanje bančnih storitev, finančnih storitev in dodatnih finančnih storitev. Banka mora ob ustanovitvi poleg ustanovnega kapitala zagotavljati tudi dodatni kapital za ustrezno obvladovanje tveganj, ki izhajajo iz poslovnega načrta. De facto gre za to, da je kapital za zagotavljanje kapitalske ustreznosti zagotovljen že ob ustanovitvi. </w:t>
      </w:r>
    </w:p>
    <w:p w14:paraId="1523B174" w14:textId="77777777" w:rsidR="0010347E" w:rsidRPr="00215B2F" w:rsidRDefault="0010347E" w:rsidP="0010347E">
      <w:pPr>
        <w:pStyle w:val="Odstavekseznama"/>
        <w:shd w:val="clear" w:color="auto" w:fill="FFFFFF" w:themeFill="background1"/>
        <w:rPr>
          <w:rFonts w:ascii="Arial" w:eastAsia="Arial" w:hAnsi="Arial" w:cs="Arial"/>
          <w:b/>
          <w:bCs/>
          <w:sz w:val="20"/>
          <w:szCs w:val="20"/>
        </w:rPr>
      </w:pPr>
    </w:p>
    <w:p w14:paraId="155B77F9" w14:textId="77777777"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eastAsia="Arial" w:hAnsi="Arial" w:cs="Arial"/>
          <w:b/>
          <w:bCs/>
          <w:sz w:val="20"/>
          <w:szCs w:val="20"/>
        </w:rPr>
        <w:t xml:space="preserve">Vnaprejšnje soglasje nadzornega sveta za posle s pravnimi osebami v posebnem razmerju. </w:t>
      </w:r>
      <w:r w:rsidRPr="00215B2F">
        <w:rPr>
          <w:rFonts w:ascii="Arial" w:eastAsia="Arial" w:hAnsi="Arial" w:cs="Arial"/>
          <w:sz w:val="20"/>
          <w:szCs w:val="20"/>
        </w:rPr>
        <w:t>Če je oseba v posebnem razmerju z banko pravna oseba, lahko nadzorni svet banke vnaprej da soglasje za sklepanje določenih vrst poslov z omejeno ročnostjo in znotraj določenih izpostavljenostnih limitov. Takšno soglasje velja za omejeno časovno obdobje, vendar največ do dvanajst mesecev.</w:t>
      </w:r>
    </w:p>
    <w:p w14:paraId="71165436" w14:textId="77777777" w:rsidR="0010347E" w:rsidRPr="00215B2F" w:rsidRDefault="0010347E" w:rsidP="0010347E">
      <w:pPr>
        <w:pStyle w:val="Odstavekseznama"/>
        <w:shd w:val="clear" w:color="auto" w:fill="FFFFFF" w:themeFill="background1"/>
        <w:rPr>
          <w:rFonts w:ascii="Arial" w:eastAsia="Arial" w:hAnsi="Arial" w:cs="Arial"/>
          <w:b/>
          <w:bCs/>
          <w:sz w:val="20"/>
          <w:szCs w:val="20"/>
        </w:rPr>
      </w:pPr>
    </w:p>
    <w:p w14:paraId="00A983C6" w14:textId="77777777"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eastAsia="Arial" w:hAnsi="Arial" w:cs="Arial"/>
          <w:b/>
          <w:bCs/>
          <w:sz w:val="20"/>
          <w:szCs w:val="20"/>
        </w:rPr>
        <w:t>Pridobivanje ESG podatkov za oceno bonitete poslovnih subjektov</w:t>
      </w:r>
      <w:r w:rsidRPr="00215B2F">
        <w:rPr>
          <w:rFonts w:ascii="Arial" w:eastAsia="Arial" w:hAnsi="Arial" w:cs="Arial"/>
          <w:sz w:val="20"/>
          <w:szCs w:val="20"/>
        </w:rPr>
        <w:t>. Za namen upravljanja kreditnega tveganja banka pri izpisu bonitetnih podatkov dolžnika, ki je poslovni subjekt (pravna oseba, podjetnik ali zasebnik), pridobi tudi podatke o njegovih okoljskih, družbenih in upravljavskih (ESG) tveganjih, ki so vključeni v sistem izmenjave bonitetnih informacij. Te podatke lahko banka uporabi ne le za oceno kreditnega tveganja, temveč tudi za upravljanje drugih vrst tveganj, za poročanje ter za pripravo razkritij, povezanih z ESG tveganji.</w:t>
      </w:r>
    </w:p>
    <w:p w14:paraId="0230E2A1" w14:textId="77777777" w:rsidR="0010347E" w:rsidRPr="00215B2F" w:rsidRDefault="0010347E" w:rsidP="0010347E">
      <w:pPr>
        <w:pStyle w:val="Odstavekseznama"/>
        <w:shd w:val="clear" w:color="auto" w:fill="FFFFFF" w:themeFill="background1"/>
        <w:rPr>
          <w:rFonts w:ascii="Arial" w:hAnsi="Arial" w:cs="Arial"/>
          <w:b/>
          <w:bCs/>
          <w:sz w:val="20"/>
          <w:szCs w:val="20"/>
        </w:rPr>
      </w:pPr>
    </w:p>
    <w:p w14:paraId="2872E799" w14:textId="77777777"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Določanje izpostavljenosti in soglasje nadzornega sveta.</w:t>
      </w:r>
      <w:r w:rsidRPr="00215B2F">
        <w:rPr>
          <w:rFonts w:ascii="Arial" w:hAnsi="Arial" w:cs="Arial"/>
          <w:sz w:val="20"/>
          <w:szCs w:val="20"/>
        </w:rPr>
        <w:t xml:space="preserve"> Banka pri določanju izpostavljenosti upošteva bruto vrednost pred popravki in rezervacijami. Posredna izpostavljenost nastane prek zavarovanj za obveznosti drugih strank. Nadzorni svet lahko vnaprej odobri določene vrste poslov znotraj izpostavljenostnih limitov, pri čemer soglasje velja največ dvanajst mesecev.</w:t>
      </w:r>
    </w:p>
    <w:p w14:paraId="5B2BA4E5" w14:textId="77777777" w:rsidR="0010347E" w:rsidRPr="00215B2F" w:rsidRDefault="0010347E" w:rsidP="0010347E">
      <w:pPr>
        <w:pStyle w:val="Odstavekseznama"/>
        <w:shd w:val="clear" w:color="auto" w:fill="FFFFFF" w:themeFill="background1"/>
        <w:rPr>
          <w:rFonts w:ascii="Arial" w:eastAsia="Arial" w:hAnsi="Arial" w:cs="Arial"/>
          <w:b/>
          <w:bCs/>
          <w:sz w:val="20"/>
          <w:szCs w:val="20"/>
        </w:rPr>
      </w:pPr>
    </w:p>
    <w:p w14:paraId="3461BB3F" w14:textId="72BB1267"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eastAsia="Arial" w:hAnsi="Arial" w:cs="Arial"/>
          <w:b/>
          <w:bCs/>
          <w:sz w:val="20"/>
          <w:szCs w:val="20"/>
        </w:rPr>
        <w:t>Nadzorniško pismo Banke Slovenije kot rezultat SREP ugotovitev</w:t>
      </w:r>
      <w:r w:rsidRPr="00215B2F">
        <w:rPr>
          <w:rFonts w:ascii="Arial" w:eastAsia="Arial" w:hAnsi="Arial" w:cs="Arial"/>
          <w:sz w:val="20"/>
          <w:szCs w:val="20"/>
        </w:rPr>
        <w:t>. Postopek</w:t>
      </w:r>
      <w:r w:rsidRPr="00215B2F">
        <w:rPr>
          <w:rFonts w:ascii="Arial" w:hAnsi="Arial" w:cs="Arial"/>
          <w:sz w:val="20"/>
          <w:szCs w:val="20"/>
        </w:rPr>
        <w:t xml:space="preserve"> nadzorniškega pregledovanja in ovrednotenja tveganj (SREP) poleg kapitalskih zahtev (kvantitativne zahteve) za drugi steber, ki jih Banka Slovenije izda v okviru odločbe o dodatni kapitalski zahtevi, vključuje tudi kvalitativne zahteve/priporočila, ki jih Banka Slovenije predloži v okviru nadzorniškega pisma. Gre za ustaljeno nadzorniško prakso, ki se ji dodaja ustrezna pravna podlaga. Smiselno enako izhaja tudi </w:t>
      </w:r>
      <w:r w:rsidR="00C933ED" w:rsidRPr="00215B2F">
        <w:rPr>
          <w:rFonts w:ascii="Arial" w:hAnsi="Arial" w:cs="Arial"/>
          <w:sz w:val="20"/>
          <w:szCs w:val="20"/>
        </w:rPr>
        <w:t xml:space="preserve">iz </w:t>
      </w:r>
      <w:r w:rsidRPr="00215B2F">
        <w:rPr>
          <w:rFonts w:ascii="Arial" w:hAnsi="Arial" w:cs="Arial"/>
          <w:sz w:val="20"/>
          <w:szCs w:val="20"/>
        </w:rPr>
        <w:t>opisa iz SREP metodologije na spletni strani ECB (Supervisory methodology (europa.eu)) in Smernic EBA o skupnih postopkih in metodologijah za postopek nadzorniškega pregledovanja in ovrednotenja (SREP) ter nadzorniškem stresnem testiranju (ECB/GL/2022/03).</w:t>
      </w:r>
    </w:p>
    <w:p w14:paraId="24593E26" w14:textId="77777777" w:rsidR="0010347E" w:rsidRPr="00215B2F" w:rsidRDefault="0010347E" w:rsidP="0010347E">
      <w:pPr>
        <w:pStyle w:val="Odstavekseznama"/>
        <w:rPr>
          <w:rFonts w:ascii="Arial" w:hAnsi="Arial" w:cs="Arial"/>
          <w:b/>
          <w:bCs/>
          <w:sz w:val="20"/>
          <w:szCs w:val="20"/>
        </w:rPr>
      </w:pPr>
    </w:p>
    <w:p w14:paraId="0EB1FE9E" w14:textId="77777777"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 xml:space="preserve">Dostop pooblaščenih oseb Banke Slovenije do podatkov iz centralnega registra prebivalstva </w:t>
      </w:r>
      <w:r w:rsidRPr="00215B2F">
        <w:rPr>
          <w:rFonts w:ascii="Arial" w:hAnsi="Arial" w:cs="Arial"/>
          <w:sz w:val="20"/>
          <w:szCs w:val="20"/>
        </w:rPr>
        <w:t>(CRP). Pooblaščena oseba Banke Slovenije lahko za izvajanje svojih zakonskih pristojnosti prek elektronskega sistema pridobiva osebne podatke posameznikov iz centralnega registra prebivalstva. Ti vključujejo ime in priimek, kraj rojstva, EMŠO, državljanstvo, podatke o prebivališču in naslovih za vročanje ter datume in podatke o spremembah teh informacij. Banka Slovenije lahko že po obstoječi ureditvi brezplačno pridobiva podatke iz CRP, vendar z ročnimi/pisnimi zahtevami. Za večjo učinkovitost ter administrativno razbremenitev Banke Slovenije in CRP se predlaga, da se dodeli elektronski dostop, podobno, kot ga imajo drugi javni organi in nosilci javnih pooblastil ter tudi odvetniki, notarji in drugi.</w:t>
      </w:r>
    </w:p>
    <w:p w14:paraId="5D81997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p>
    <w:p w14:paraId="4FE92832" w14:textId="2FD8097B"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Večja jasnost glede razkritja informacij o izrečenih ukrepih</w:t>
      </w:r>
      <w:r w:rsidRPr="00215B2F">
        <w:rPr>
          <w:rFonts w:ascii="Arial" w:hAnsi="Arial" w:cs="Arial"/>
          <w:sz w:val="20"/>
          <w:szCs w:val="20"/>
        </w:rPr>
        <w:t xml:space="preserve">. </w:t>
      </w:r>
      <w:r w:rsidR="00605C61" w:rsidRPr="00215B2F">
        <w:rPr>
          <w:rFonts w:ascii="Arial" w:hAnsi="Arial" w:cs="Arial"/>
          <w:sz w:val="20"/>
          <w:szCs w:val="20"/>
        </w:rPr>
        <w:t>Veljavni</w:t>
      </w:r>
      <w:r w:rsidRPr="00215B2F">
        <w:rPr>
          <w:rFonts w:ascii="Arial" w:hAnsi="Arial" w:cs="Arial"/>
          <w:sz w:val="20"/>
          <w:szCs w:val="20"/>
        </w:rPr>
        <w:t xml:space="preserve"> določb</w:t>
      </w:r>
      <w:r w:rsidR="00605C61" w:rsidRPr="00215B2F">
        <w:rPr>
          <w:rFonts w:ascii="Arial" w:hAnsi="Arial" w:cs="Arial"/>
          <w:sz w:val="20"/>
          <w:szCs w:val="20"/>
        </w:rPr>
        <w:t>i (310. in 311. člena ZBan-3)</w:t>
      </w:r>
      <w:r w:rsidRPr="00215B2F">
        <w:rPr>
          <w:rFonts w:ascii="Arial" w:hAnsi="Arial" w:cs="Arial"/>
          <w:sz w:val="20"/>
          <w:szCs w:val="20"/>
        </w:rPr>
        <w:t xml:space="preserve"> se nedosledno opredeljuje</w:t>
      </w:r>
      <w:r w:rsidR="00605C61" w:rsidRPr="00215B2F">
        <w:rPr>
          <w:rFonts w:ascii="Arial" w:hAnsi="Arial" w:cs="Arial"/>
          <w:sz w:val="20"/>
          <w:szCs w:val="20"/>
        </w:rPr>
        <w:t>ta</w:t>
      </w:r>
      <w:r w:rsidRPr="00215B2F">
        <w:rPr>
          <w:rFonts w:ascii="Arial" w:hAnsi="Arial" w:cs="Arial"/>
          <w:sz w:val="20"/>
          <w:szCs w:val="20"/>
        </w:rPr>
        <w:t xml:space="preserve"> do objav ukrepov nadzora in izrečenih sankcij, čeprav ni utemeljenega razloga za razlikovanje.</w:t>
      </w:r>
    </w:p>
    <w:p w14:paraId="3EB7E852" w14:textId="77777777" w:rsidR="0010347E" w:rsidRPr="00215B2F" w:rsidRDefault="0010347E" w:rsidP="0010347E">
      <w:pPr>
        <w:pStyle w:val="Odstavekseznama"/>
        <w:shd w:val="clear" w:color="auto" w:fill="FFFFFF" w:themeFill="background1"/>
        <w:rPr>
          <w:rFonts w:ascii="Arial" w:eastAsia="Arial" w:hAnsi="Arial" w:cs="Arial"/>
          <w:b/>
          <w:bCs/>
          <w:sz w:val="20"/>
          <w:szCs w:val="20"/>
        </w:rPr>
      </w:pPr>
    </w:p>
    <w:p w14:paraId="305869AE" w14:textId="301E1F7A"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eastAsia="Arial" w:hAnsi="Arial" w:cs="Arial"/>
          <w:b/>
          <w:bCs/>
          <w:sz w:val="20"/>
          <w:szCs w:val="20"/>
        </w:rPr>
        <w:t>Spremembe določbe glede razkritja identitete kršitelja in postopkov objave</w:t>
      </w:r>
      <w:r w:rsidRPr="00215B2F">
        <w:rPr>
          <w:rFonts w:ascii="Arial" w:eastAsia="Arial" w:hAnsi="Arial" w:cs="Arial"/>
          <w:sz w:val="20"/>
          <w:szCs w:val="20"/>
        </w:rPr>
        <w:t xml:space="preserve">. </w:t>
      </w:r>
      <w:r w:rsidR="00605C61" w:rsidRPr="00215B2F">
        <w:rPr>
          <w:rFonts w:ascii="Arial" w:eastAsia="Arial" w:hAnsi="Arial" w:cs="Arial"/>
          <w:sz w:val="20"/>
          <w:szCs w:val="20"/>
        </w:rPr>
        <w:t xml:space="preserve">Veljavna </w:t>
      </w:r>
      <w:r w:rsidRPr="00215B2F">
        <w:rPr>
          <w:rFonts w:ascii="Arial" w:hAnsi="Arial" w:cs="Arial"/>
          <w:sz w:val="20"/>
          <w:szCs w:val="20"/>
        </w:rPr>
        <w:t>določba ne upošteva ustrezno razlik med odločanjem z odredbo, odločbo o ukrepu nazora ali odločbo o izrečeni sankciji. Sprememba ureja te razlike z rešitvami, prilagojenimi posebnostim različnih možnih odločitev.</w:t>
      </w:r>
    </w:p>
    <w:p w14:paraId="4ADB1486" w14:textId="77777777" w:rsidR="0010347E" w:rsidRPr="00215B2F" w:rsidRDefault="0010347E" w:rsidP="0010347E">
      <w:pPr>
        <w:pStyle w:val="Odstavekseznama"/>
        <w:shd w:val="clear" w:color="auto" w:fill="FFFFFF" w:themeFill="background1"/>
        <w:rPr>
          <w:rFonts w:ascii="Arial" w:hAnsi="Arial" w:cs="Arial"/>
          <w:b/>
          <w:bCs/>
          <w:sz w:val="20"/>
          <w:szCs w:val="20"/>
        </w:rPr>
      </w:pPr>
    </w:p>
    <w:p w14:paraId="51AF2A20" w14:textId="77777777"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Postopek in pogoji za preoblikovanje hranilnice v banko</w:t>
      </w:r>
      <w:r w:rsidRPr="00215B2F">
        <w:rPr>
          <w:rFonts w:ascii="Arial" w:hAnsi="Arial" w:cs="Arial"/>
          <w:sz w:val="20"/>
          <w:szCs w:val="20"/>
        </w:rPr>
        <w:t>. Hranilnica, ki se želi preoblikovati v banko, mora predhodno pridobiti dovoljenje Banke Slovenije. Zahtevo vloži pri Banki Slovenije in priloži dokumentacijo, ki omogoča presojo izpolnjevanja pogojev glede ustanovnega kapitala, notranje revizije in poslovanja v tujih valutah. Če ti pogoji niso izpolnjeni, Banka Slovenije zahtevo zavrne. V primeru izdaje dovoljenja pa Banka Slovenije zagotovi ustrezen postopek in upošteva že razpoložljive informacije iz obstoječih dovoljenj. Predlog sledi usmeritvam ECB v posameznih postopkih, da se za preoblikovanje zahtev upošteva odločitev ECB v smislu pristojnosti za izdajo dovoljenja. Gre za usmeritve oz. pričakovanja ECB, ki so bila podana v okviru obravnave posameznega primera. Splošnih usmeritev ECB na tem področju ni, saj se ureditev na področju dovoljenj za opravljanje storitev med državami članicami razlikuje. Dodatno države članice poznajo različne oblike kreditnih institucij, zato ni mogoče podati enotnega stališča oz. usmeritve. Gre za zapolnitev pravne praznine, glede katere so se hranilnice v praksi že obrnile na Banko Slovenije in ECB.</w:t>
      </w:r>
    </w:p>
    <w:p w14:paraId="47EFF879" w14:textId="77777777" w:rsidR="0010347E" w:rsidRPr="00215B2F" w:rsidRDefault="0010347E" w:rsidP="0010347E">
      <w:pPr>
        <w:pStyle w:val="Odstavekseznama"/>
        <w:shd w:val="clear" w:color="auto" w:fill="FFFFFF" w:themeFill="background1"/>
        <w:spacing w:after="0" w:line="240" w:lineRule="auto"/>
        <w:ind w:left="284"/>
        <w:jc w:val="both"/>
        <w:rPr>
          <w:rFonts w:ascii="Arial" w:hAnsi="Arial" w:cs="Arial"/>
          <w:iCs/>
          <w:sz w:val="20"/>
          <w:szCs w:val="20"/>
        </w:rPr>
      </w:pPr>
    </w:p>
    <w:p w14:paraId="5C1C148B" w14:textId="77777777"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Plačilo takse za obravnavo obvestil in dovoljenj po Uredbi 648/2012/EU.</w:t>
      </w:r>
      <w:r w:rsidRPr="00215B2F">
        <w:rPr>
          <w:rFonts w:ascii="Arial" w:hAnsi="Arial" w:cs="Arial"/>
          <w:sz w:val="20"/>
          <w:szCs w:val="20"/>
        </w:rPr>
        <w:t xml:space="preserve"> Vložniki uradnih obvestil in zahtev za izdajo dovoljenj ter osebe, ki se jim dovoljenje odvzame na podlagi Uredbe 648/2012/EU in njenih izvedbenih aktov, morajo Banki Slovenije plačati takso. Višina takse je določena s tarifo Banke Slovenije. Ta za izvajanje nadzora, del katerega je tudi izdaja uradnih obvestil in odločanje o dovoljenjih po navedeni uredbi, zaračunava ustrezno nadomestilo. Gre za konkretizacijo stroškov posameznega postopka, ki se sicer obračunavajo v okviru letnega nadomestila za nadzor.</w:t>
      </w:r>
    </w:p>
    <w:p w14:paraId="3C4D097D" w14:textId="77777777" w:rsidR="0010347E" w:rsidRPr="00215B2F" w:rsidRDefault="0010347E" w:rsidP="0010347E">
      <w:pPr>
        <w:pStyle w:val="Odstavekseznama"/>
        <w:shd w:val="clear" w:color="auto" w:fill="FFFFFF" w:themeFill="background1"/>
        <w:rPr>
          <w:rFonts w:ascii="Arial" w:hAnsi="Arial" w:cs="Arial"/>
          <w:b/>
          <w:bCs/>
          <w:sz w:val="20"/>
          <w:szCs w:val="20"/>
        </w:rPr>
      </w:pPr>
    </w:p>
    <w:p w14:paraId="7271D6F3" w14:textId="77777777"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 xml:space="preserve">Določitev roka pri zavrženi zahtevi zaradi neodpravljenih pomanjkljivosti. </w:t>
      </w:r>
      <w:r w:rsidRPr="00215B2F">
        <w:rPr>
          <w:rFonts w:ascii="Arial" w:eastAsia="Arial" w:hAnsi="Arial" w:cs="Arial"/>
          <w:sz w:val="20"/>
          <w:szCs w:val="20"/>
        </w:rPr>
        <w:t>Sklep o zavrženju zahteve Banka Slovenije izda v dveh mesecih.</w:t>
      </w:r>
    </w:p>
    <w:p w14:paraId="1450209D" w14:textId="77777777" w:rsidR="0010347E" w:rsidRPr="00215B2F" w:rsidRDefault="0010347E" w:rsidP="0010347E">
      <w:pPr>
        <w:pStyle w:val="Odstavekseznama"/>
        <w:shd w:val="clear" w:color="auto" w:fill="FFFFFF" w:themeFill="background1"/>
        <w:rPr>
          <w:rFonts w:ascii="Arial" w:hAnsi="Arial" w:cs="Arial"/>
          <w:b/>
          <w:bCs/>
          <w:sz w:val="20"/>
          <w:szCs w:val="20"/>
        </w:rPr>
      </w:pPr>
    </w:p>
    <w:p w14:paraId="60FFF615" w14:textId="77777777"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sz w:val="20"/>
          <w:szCs w:val="20"/>
        </w:rPr>
      </w:pPr>
      <w:r w:rsidRPr="00215B2F">
        <w:rPr>
          <w:rFonts w:ascii="Arial" w:hAnsi="Arial" w:cs="Arial"/>
          <w:b/>
          <w:bCs/>
          <w:sz w:val="20"/>
          <w:szCs w:val="20"/>
        </w:rPr>
        <w:t xml:space="preserve">Dopolnitev določbe o odločanju o odvzemu dovoljenje. </w:t>
      </w:r>
      <w:r w:rsidRPr="00215B2F">
        <w:rPr>
          <w:rFonts w:ascii="Arial" w:hAnsi="Arial" w:cs="Arial"/>
          <w:sz w:val="20"/>
          <w:szCs w:val="20"/>
        </w:rPr>
        <w:t>V praksi se je pokazalo, da subjekt nadzora v izjavi večkrat predlaga izvedbo dodatnih dokazov (npr. zaslišanja), ki jih ni mogoče izvesti v 30 dneh, zato je potrebna dopolnitev.</w:t>
      </w:r>
    </w:p>
    <w:p w14:paraId="569075AB" w14:textId="77777777" w:rsidR="0010347E" w:rsidRPr="00215B2F" w:rsidRDefault="0010347E" w:rsidP="0010347E">
      <w:pPr>
        <w:shd w:val="clear" w:color="auto" w:fill="FFFFFF" w:themeFill="background1"/>
        <w:spacing w:after="0" w:line="240" w:lineRule="auto"/>
        <w:jc w:val="both"/>
        <w:rPr>
          <w:rFonts w:ascii="Arial" w:eastAsia="Arial" w:hAnsi="Arial" w:cs="Arial"/>
          <w:b/>
          <w:bCs/>
          <w:sz w:val="20"/>
          <w:szCs w:val="20"/>
        </w:rPr>
      </w:pPr>
    </w:p>
    <w:p w14:paraId="7EFF0C7D" w14:textId="402F3C69"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eastAsia="Arial" w:hAnsi="Arial" w:cs="Arial"/>
          <w:b/>
          <w:bCs/>
          <w:sz w:val="20"/>
          <w:szCs w:val="20"/>
        </w:rPr>
        <w:lastRenderedPageBreak/>
        <w:t>Uskladitev določbe o sodnem varstvu zoper akte Banke Slovenije</w:t>
      </w:r>
      <w:r w:rsidRPr="00215B2F">
        <w:rPr>
          <w:rFonts w:ascii="Arial" w:eastAsia="Arial" w:hAnsi="Arial" w:cs="Arial"/>
          <w:sz w:val="20"/>
          <w:szCs w:val="20"/>
        </w:rPr>
        <w:t>. Odpravljajo se nasprotujoče si določbe glede možnosti sodnega varstva. Trenutno besedilo</w:t>
      </w:r>
      <w:r w:rsidR="00605C61" w:rsidRPr="00215B2F">
        <w:rPr>
          <w:rFonts w:ascii="Arial" w:eastAsia="Arial" w:hAnsi="Arial" w:cs="Arial"/>
          <w:sz w:val="20"/>
          <w:szCs w:val="20"/>
        </w:rPr>
        <w:t xml:space="preserve"> (388. člen ZBan-3)</w:t>
      </w:r>
      <w:r w:rsidR="00605C61" w:rsidRPr="00215B2F">
        <w:rPr>
          <w:rStyle w:val="Sprotnaopomba-sklic"/>
          <w:rFonts w:ascii="Arial" w:eastAsia="Arial" w:hAnsi="Arial" w:cs="Arial"/>
          <w:sz w:val="20"/>
          <w:szCs w:val="20"/>
        </w:rPr>
        <w:footnoteReference w:id="4"/>
      </w:r>
      <w:r w:rsidRPr="00215B2F">
        <w:rPr>
          <w:rFonts w:ascii="Arial" w:eastAsia="Arial" w:hAnsi="Arial" w:cs="Arial"/>
          <w:sz w:val="20"/>
          <w:szCs w:val="20"/>
        </w:rPr>
        <w:t xml:space="preserve"> izključuje sodno varstvo zoper odločbo o začetku postopka za odvzem dovoljenja, medtem ko drugi deli zakona to možnost dopuščajo. S spremembo se predlagata črtanje nejasnih določb in nomotehnično usklajevanje besedila, da bo jasno, kdaj je sodno varstvo dovoljeno in v kakšnem obsegu. Cilj spremembe je povečati pravno varnost in preglednost postopkov.</w:t>
      </w:r>
    </w:p>
    <w:p w14:paraId="198F22C8" w14:textId="77777777" w:rsidR="0010347E" w:rsidRPr="00215B2F" w:rsidRDefault="0010347E" w:rsidP="0010347E">
      <w:pPr>
        <w:pStyle w:val="Odstavekseznama"/>
        <w:shd w:val="clear" w:color="auto" w:fill="FFFFFF" w:themeFill="background1"/>
        <w:rPr>
          <w:rFonts w:ascii="Arial" w:hAnsi="Arial" w:cs="Arial"/>
          <w:b/>
          <w:bCs/>
          <w:sz w:val="20"/>
          <w:szCs w:val="20"/>
        </w:rPr>
      </w:pPr>
    </w:p>
    <w:p w14:paraId="23360071" w14:textId="4E90418D"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 xml:space="preserve">Sprememba glede vprašalnika za oceno primernosti </w:t>
      </w:r>
      <w:r w:rsidR="00882103" w:rsidRPr="00215B2F">
        <w:rPr>
          <w:rFonts w:ascii="Arial" w:hAnsi="Arial" w:cs="Arial"/>
          <w:b/>
          <w:bCs/>
          <w:sz w:val="20"/>
          <w:szCs w:val="20"/>
        </w:rPr>
        <w:t>člana uprave</w:t>
      </w:r>
      <w:r w:rsidRPr="00215B2F">
        <w:rPr>
          <w:rFonts w:ascii="Arial" w:hAnsi="Arial" w:cs="Arial"/>
          <w:b/>
          <w:bCs/>
          <w:sz w:val="20"/>
          <w:szCs w:val="20"/>
        </w:rPr>
        <w:t xml:space="preserve">. </w:t>
      </w:r>
      <w:r w:rsidRPr="00215B2F">
        <w:rPr>
          <w:rFonts w:ascii="Arial" w:hAnsi="Arial" w:cs="Arial"/>
          <w:sz w:val="20"/>
          <w:szCs w:val="20"/>
        </w:rPr>
        <w:t xml:space="preserve">Predlagana sprememba določa, da mora banka ob vložitvi zahteve za dovoljenje za opravljanje funkcije člana uprave priložiti izpolnjen vprašalnik, ki ga s podzakonskim aktom določi Banka Slovenije. Ta vprašalnik vključuje tudi vsebine vprašalnika </w:t>
      </w:r>
      <w:r w:rsidRPr="00215B2F">
        <w:rPr>
          <w:rFonts w:ascii="Arial" w:eastAsia="Arial" w:hAnsi="Arial" w:cs="Arial"/>
          <w:sz w:val="20"/>
          <w:szCs w:val="20"/>
        </w:rPr>
        <w:t>ECB</w:t>
      </w:r>
      <w:r w:rsidRPr="00215B2F">
        <w:rPr>
          <w:rFonts w:ascii="Arial" w:hAnsi="Arial" w:cs="Arial"/>
          <w:sz w:val="20"/>
          <w:szCs w:val="20"/>
        </w:rPr>
        <w:t xml:space="preserve"> (kot je določeno v ZBan-3), dopolnjene z dodatnimi vprašanji, prilagojenimi nacionalnim posebnostim, s čimer se formalizira praksa, ki je bila doslej neizrecno uveljavljena.</w:t>
      </w:r>
    </w:p>
    <w:p w14:paraId="69BBA1DA" w14:textId="77777777" w:rsidR="0010347E" w:rsidRPr="00215B2F" w:rsidRDefault="0010347E" w:rsidP="0010347E">
      <w:pPr>
        <w:pStyle w:val="Odstavekseznama"/>
        <w:shd w:val="clear" w:color="auto" w:fill="FFFFFF" w:themeFill="background1"/>
        <w:rPr>
          <w:rFonts w:ascii="Arial" w:hAnsi="Arial" w:cs="Arial"/>
          <w:b/>
          <w:bCs/>
          <w:sz w:val="20"/>
          <w:szCs w:val="20"/>
        </w:rPr>
      </w:pPr>
    </w:p>
    <w:p w14:paraId="5E3D07E1" w14:textId="77777777" w:rsidR="0010347E" w:rsidRPr="00215B2F" w:rsidRDefault="0010347E" w:rsidP="003D4DE0">
      <w:pPr>
        <w:pStyle w:val="Odstavekseznama"/>
        <w:numPr>
          <w:ilvl w:val="0"/>
          <w:numId w:val="390"/>
        </w:numPr>
        <w:shd w:val="clear" w:color="auto" w:fill="FFFFFF" w:themeFill="background1"/>
        <w:spacing w:after="0" w:line="240" w:lineRule="auto"/>
        <w:jc w:val="both"/>
        <w:rPr>
          <w:rFonts w:ascii="Arial" w:hAnsi="Arial" w:cs="Arial"/>
          <w:iCs/>
          <w:sz w:val="20"/>
          <w:szCs w:val="20"/>
        </w:rPr>
      </w:pPr>
      <w:r w:rsidRPr="00215B2F">
        <w:rPr>
          <w:rFonts w:ascii="Arial" w:hAnsi="Arial" w:cs="Arial"/>
          <w:b/>
          <w:bCs/>
          <w:sz w:val="20"/>
          <w:szCs w:val="20"/>
        </w:rPr>
        <w:t xml:space="preserve">Urejanje ukrepov ob neupravičenem imetništvu kvalificiranega deleža delnic. </w:t>
      </w:r>
      <w:r w:rsidRPr="00215B2F">
        <w:rPr>
          <w:rFonts w:ascii="Arial" w:hAnsi="Arial" w:cs="Arial"/>
          <w:sz w:val="20"/>
          <w:szCs w:val="20"/>
        </w:rPr>
        <w:t xml:space="preserve">Celovito se urejajo ukrepi Banke Slovenije v primeru, ko imetnik kvalificiranega deleža delnic ne ravna v skladu z zakonskimi obveznostmi. Urejajo se področje prisilne prodaje delnic, rubeža, prodaje in prenosa delnic, povračilo stroškov v zvezi s prisilno prodajo delnic ipd. </w:t>
      </w:r>
    </w:p>
    <w:p w14:paraId="66641ADA"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29670E6A"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71A0BD97" w14:textId="77777777" w:rsidR="0010347E" w:rsidRPr="00215B2F" w:rsidRDefault="0010347E" w:rsidP="003D4DE0">
      <w:pPr>
        <w:numPr>
          <w:ilvl w:val="0"/>
          <w:numId w:val="345"/>
        </w:num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OCENA FINANČNIH POSLEDIC PREDLOGA ZAKONA ZA DRŽAVNI PRORAČUN IN DRUGA JAVNA FINANČNA SREDSTVA</w:t>
      </w:r>
    </w:p>
    <w:p w14:paraId="65F0D9CE" w14:textId="77777777" w:rsidR="006275D7" w:rsidRPr="00215B2F" w:rsidRDefault="006275D7" w:rsidP="002F656E">
      <w:pPr>
        <w:shd w:val="clear" w:color="auto" w:fill="FFFFFF" w:themeFill="background1"/>
        <w:spacing w:after="0" w:line="240" w:lineRule="auto"/>
        <w:jc w:val="both"/>
        <w:rPr>
          <w:rFonts w:ascii="Arial" w:hAnsi="Arial" w:cs="Arial"/>
          <w:sz w:val="20"/>
          <w:szCs w:val="20"/>
        </w:rPr>
      </w:pPr>
    </w:p>
    <w:p w14:paraId="42E0F871" w14:textId="77777777" w:rsidR="007C0A52" w:rsidRPr="00215B2F" w:rsidRDefault="007C0A52" w:rsidP="007C0A52">
      <w:pPr>
        <w:spacing w:after="0" w:line="240" w:lineRule="auto"/>
        <w:jc w:val="both"/>
        <w:rPr>
          <w:rFonts w:ascii="Arial" w:hAnsi="Arial" w:cs="Arial"/>
          <w:sz w:val="20"/>
          <w:szCs w:val="20"/>
        </w:rPr>
      </w:pPr>
      <w:r w:rsidRPr="00215B2F">
        <w:rPr>
          <w:rFonts w:ascii="Arial" w:hAnsi="Arial" w:cs="Arial"/>
          <w:sz w:val="20"/>
          <w:szCs w:val="20"/>
        </w:rPr>
        <w:t>Ocena predvidenih finančnih posledic za državni proračun znaša 148.584,62 EUR letno, od leta polne uveljavitve Zakona o bančništvu. Finančne posledice predloga zakona izhajajo iz uvedbe enotnega upravnega postopka z možnostjo izreka administrativnih kazni namesto dosedanjega prekrškovnega postopka, kar prinaša nov tip zadev za Upravno sodišče, ki bodo, čeprav po številu omejene, zahtevne in opredeljene kot prednostne. Finančne posledice vključujejo finančna sredstva zaradi širjenja pristojnosti Upravnega sodišča pri obravnavi upravnih zadev z administrativnimi sankcijami, kar ima po mnenju Upravnega sodišča za posledico širjenje kadrovskih resursov, to je vsaj enega dodatnega sodnika in enega dodatnega strokovnega sodelavca. Po potrebi bo Vrhovno sodišče Republike Slovenije predlagalo spremembo proračuna za leto 2026. Naknadne porabe sredstev iz proračuna se bo pripravilo v okviru rednega načrtovanja. Sredstva za nove zaposlitve bodo zagotovljena na podlagi finančnega načrta Vrhovnega sodišča Republike Slovenije.</w:t>
      </w:r>
    </w:p>
    <w:p w14:paraId="1EEFFA83" w14:textId="15FE94B8" w:rsidR="00806DEA" w:rsidRDefault="00806DEA" w:rsidP="0010347E">
      <w:pPr>
        <w:shd w:val="clear" w:color="auto" w:fill="FFFFFF" w:themeFill="background1"/>
        <w:spacing w:after="0" w:line="240" w:lineRule="auto"/>
        <w:jc w:val="both"/>
        <w:rPr>
          <w:rFonts w:ascii="Arial" w:hAnsi="Arial" w:cs="Arial"/>
          <w:sz w:val="20"/>
          <w:szCs w:val="20"/>
        </w:rPr>
      </w:pPr>
    </w:p>
    <w:p w14:paraId="3D1093FB" w14:textId="372BC1C2" w:rsidR="00A86B22" w:rsidRDefault="00A86B22" w:rsidP="0010347E">
      <w:pPr>
        <w:shd w:val="clear" w:color="auto" w:fill="FFFFFF" w:themeFill="background1"/>
        <w:spacing w:after="0" w:line="240" w:lineRule="auto"/>
        <w:jc w:val="both"/>
        <w:rPr>
          <w:rFonts w:ascii="Arial" w:hAnsi="Arial" w:cs="Arial"/>
          <w:sz w:val="20"/>
          <w:szCs w:val="20"/>
        </w:rPr>
      </w:pPr>
      <w:r>
        <w:rPr>
          <w:rFonts w:ascii="Arial" w:hAnsi="Arial" w:cs="Arial"/>
          <w:sz w:val="20"/>
          <w:szCs w:val="20"/>
        </w:rPr>
        <w:t xml:space="preserve">Predlog zakona nima posledic na druga javno finančna sredstva. </w:t>
      </w:r>
    </w:p>
    <w:p w14:paraId="08281BBE" w14:textId="77777777" w:rsidR="00A86B22" w:rsidRPr="00215B2F" w:rsidRDefault="00A86B22" w:rsidP="0010347E">
      <w:pPr>
        <w:shd w:val="clear" w:color="auto" w:fill="FFFFFF" w:themeFill="background1"/>
        <w:spacing w:after="0" w:line="240" w:lineRule="auto"/>
        <w:jc w:val="both"/>
        <w:rPr>
          <w:rFonts w:ascii="Arial" w:hAnsi="Arial" w:cs="Arial"/>
          <w:sz w:val="20"/>
          <w:szCs w:val="20"/>
        </w:rPr>
      </w:pPr>
    </w:p>
    <w:p w14:paraId="0A7B4B3D" w14:textId="77777777" w:rsidR="00806DEA" w:rsidRPr="00215B2F" w:rsidRDefault="00806DEA" w:rsidP="0010347E">
      <w:pPr>
        <w:shd w:val="clear" w:color="auto" w:fill="FFFFFF" w:themeFill="background1"/>
        <w:spacing w:after="0" w:line="240" w:lineRule="auto"/>
        <w:jc w:val="both"/>
        <w:rPr>
          <w:rFonts w:ascii="Arial" w:hAnsi="Arial" w:cs="Arial"/>
          <w:sz w:val="20"/>
          <w:szCs w:val="20"/>
        </w:rPr>
      </w:pPr>
    </w:p>
    <w:p w14:paraId="67DBF884" w14:textId="77777777" w:rsidR="0010347E" w:rsidRPr="00215B2F" w:rsidRDefault="0010347E" w:rsidP="003D4DE0">
      <w:pPr>
        <w:numPr>
          <w:ilvl w:val="0"/>
          <w:numId w:val="345"/>
        </w:num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NAVEDBA, DA SO SREDSTVA ZA IZVAJANJE ZAKONA V DRŽAVNEM PRORAČUNU ZAGOTOVLJENA, ČE PREDLOG ZAKONA PREDVIDEVA PORABO PRORAČUNSKIH SREDSTEV V OBDOBJU, ZA KATERO JE BIL DRŽAVNI PRORAČUN ŽE SPREJET</w:t>
      </w:r>
    </w:p>
    <w:p w14:paraId="7CD9CF8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AFB0CEA" w14:textId="4AA28B4E" w:rsidR="0010347E" w:rsidRPr="00215B2F" w:rsidRDefault="00A86B22" w:rsidP="0010347E">
      <w:pPr>
        <w:shd w:val="clear" w:color="auto" w:fill="FFFFFF" w:themeFill="background1"/>
        <w:spacing w:after="0" w:line="240" w:lineRule="auto"/>
        <w:jc w:val="both"/>
        <w:rPr>
          <w:rFonts w:ascii="Arial" w:hAnsi="Arial" w:cs="Arial"/>
          <w:sz w:val="20"/>
          <w:szCs w:val="20"/>
        </w:rPr>
      </w:pPr>
      <w:r>
        <w:rPr>
          <w:rFonts w:ascii="Arial" w:hAnsi="Arial" w:cs="Arial"/>
          <w:sz w:val="20"/>
          <w:szCs w:val="20"/>
        </w:rPr>
        <w:t xml:space="preserve">Če bo na podlagi ocene Upravnega sodišča ugotovljeno, da so potrebna </w:t>
      </w:r>
      <w:r w:rsidR="0010347E" w:rsidRPr="00215B2F">
        <w:rPr>
          <w:rFonts w:ascii="Arial" w:hAnsi="Arial" w:cs="Arial"/>
          <w:sz w:val="20"/>
          <w:szCs w:val="20"/>
        </w:rPr>
        <w:t>proračunsk</w:t>
      </w:r>
      <w:r>
        <w:rPr>
          <w:rFonts w:ascii="Arial" w:hAnsi="Arial" w:cs="Arial"/>
          <w:sz w:val="20"/>
          <w:szCs w:val="20"/>
        </w:rPr>
        <w:t>a</w:t>
      </w:r>
      <w:r w:rsidR="0010347E" w:rsidRPr="00215B2F">
        <w:rPr>
          <w:rFonts w:ascii="Arial" w:hAnsi="Arial" w:cs="Arial"/>
          <w:sz w:val="20"/>
          <w:szCs w:val="20"/>
        </w:rPr>
        <w:t xml:space="preserve"> sredstv</w:t>
      </w:r>
      <w:r w:rsidR="00E16BFA">
        <w:rPr>
          <w:rFonts w:ascii="Arial" w:hAnsi="Arial" w:cs="Arial"/>
          <w:sz w:val="20"/>
          <w:szCs w:val="20"/>
        </w:rPr>
        <w:t>a</w:t>
      </w:r>
      <w:r w:rsidR="0010347E" w:rsidRPr="00215B2F">
        <w:rPr>
          <w:rFonts w:ascii="Arial" w:hAnsi="Arial" w:cs="Arial"/>
          <w:sz w:val="20"/>
          <w:szCs w:val="20"/>
        </w:rPr>
        <w:t xml:space="preserve"> v obdobju, za katero je bil proračun že sprejet</w:t>
      </w:r>
      <w:r>
        <w:rPr>
          <w:rFonts w:ascii="Arial" w:hAnsi="Arial" w:cs="Arial"/>
          <w:sz w:val="20"/>
          <w:szCs w:val="20"/>
        </w:rPr>
        <w:t>, bodo ta sredstva zagotovljena z rebalansom državnega proračuna</w:t>
      </w:r>
      <w:r w:rsidR="0010347E" w:rsidRPr="00215B2F">
        <w:rPr>
          <w:rFonts w:ascii="Arial" w:hAnsi="Arial" w:cs="Arial"/>
          <w:sz w:val="20"/>
          <w:szCs w:val="20"/>
        </w:rPr>
        <w:t>.</w:t>
      </w:r>
    </w:p>
    <w:p w14:paraId="1C2B408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2584F5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0E9A370" w14:textId="77777777" w:rsidR="0010347E" w:rsidRPr="00215B2F" w:rsidRDefault="0010347E" w:rsidP="003D4DE0">
      <w:pPr>
        <w:numPr>
          <w:ilvl w:val="0"/>
          <w:numId w:val="345"/>
        </w:num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PRIKAZ UREDITVE V DRUGIH PRAVNIH SISTEMIH IN PRILAGOJENOSTI PREDLAGANE UREDITVE PRAVU EVROPSKE UNIJE</w:t>
      </w:r>
    </w:p>
    <w:p w14:paraId="2E2FD4C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C03C9DC" w14:textId="77777777" w:rsidR="0010347E" w:rsidRPr="00215B2F" w:rsidRDefault="0010347E" w:rsidP="0010347E">
      <w:pPr>
        <w:shd w:val="clear" w:color="auto" w:fill="FFFFFF" w:themeFill="background1"/>
        <w:spacing w:after="0" w:line="240" w:lineRule="auto"/>
        <w:ind w:left="426" w:hanging="426"/>
        <w:jc w:val="both"/>
        <w:rPr>
          <w:rFonts w:ascii="Arial" w:hAnsi="Arial" w:cs="Arial"/>
          <w:b/>
          <w:sz w:val="20"/>
          <w:szCs w:val="20"/>
        </w:rPr>
      </w:pPr>
      <w:r w:rsidRPr="00215B2F">
        <w:rPr>
          <w:rFonts w:ascii="Arial" w:hAnsi="Arial" w:cs="Arial"/>
          <w:b/>
          <w:sz w:val="20"/>
          <w:szCs w:val="20"/>
        </w:rPr>
        <w:t>5.1. Prilagojenost predlagane ureditve pravu Evropske unije</w:t>
      </w:r>
    </w:p>
    <w:p w14:paraId="3863F3C2"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6D8B369C" w14:textId="47C76C93" w:rsidR="0010347E" w:rsidRPr="00215B2F" w:rsidRDefault="0010347E" w:rsidP="0010347E">
      <w:pPr>
        <w:shd w:val="clear" w:color="auto" w:fill="FFFFFF" w:themeFill="background1"/>
        <w:tabs>
          <w:tab w:val="left" w:pos="567"/>
        </w:tabs>
        <w:spacing w:after="0" w:line="240" w:lineRule="auto"/>
        <w:jc w:val="both"/>
        <w:rPr>
          <w:rFonts w:ascii="Arial" w:hAnsi="Arial" w:cs="Arial"/>
          <w:sz w:val="20"/>
          <w:szCs w:val="20"/>
        </w:rPr>
      </w:pPr>
      <w:r w:rsidRPr="00215B2F">
        <w:rPr>
          <w:rFonts w:ascii="Arial" w:hAnsi="Arial" w:cs="Arial"/>
          <w:sz w:val="20"/>
          <w:szCs w:val="20"/>
        </w:rPr>
        <w:t xml:space="preserve">Predlog zakona dodatno prenaša v slovenski pravni red </w:t>
      </w:r>
      <w:r w:rsidR="00FC21CA" w:rsidRPr="00215B2F">
        <w:rPr>
          <w:rFonts w:ascii="Arial" w:hAnsi="Arial" w:cs="Arial"/>
          <w:sz w:val="20"/>
          <w:szCs w:val="20"/>
        </w:rPr>
        <w:t xml:space="preserve">Direktivo </w:t>
      </w:r>
      <w:r w:rsidRPr="00215B2F">
        <w:rPr>
          <w:rFonts w:ascii="Arial" w:hAnsi="Arial" w:cs="Arial"/>
          <w:sz w:val="20"/>
          <w:szCs w:val="20"/>
        </w:rPr>
        <w:t>2024/1619</w:t>
      </w:r>
      <w:r w:rsidR="00605C61" w:rsidRPr="00215B2F">
        <w:rPr>
          <w:rFonts w:ascii="Arial" w:hAnsi="Arial" w:cs="Arial"/>
          <w:sz w:val="20"/>
          <w:szCs w:val="20"/>
        </w:rPr>
        <w:t>/EU</w:t>
      </w:r>
      <w:r w:rsidRPr="00215B2F">
        <w:rPr>
          <w:rStyle w:val="Poudarek"/>
          <w:rFonts w:ascii="Arial" w:hAnsi="Arial" w:cs="Arial"/>
          <w:sz w:val="20"/>
          <w:szCs w:val="20"/>
        </w:rPr>
        <w:t xml:space="preserve">. </w:t>
      </w:r>
      <w:r w:rsidRPr="00215B2F">
        <w:rPr>
          <w:rStyle w:val="Poudarek"/>
          <w:rFonts w:ascii="Arial" w:hAnsi="Arial" w:cs="Arial"/>
          <w:i w:val="0"/>
          <w:iCs w:val="0"/>
          <w:sz w:val="20"/>
          <w:szCs w:val="20"/>
        </w:rPr>
        <w:t>Na podlagi navedenega je predlog zakona usklajen s pravom EU</w:t>
      </w:r>
      <w:r w:rsidRPr="00215B2F">
        <w:rPr>
          <w:rStyle w:val="Poudarek"/>
          <w:rFonts w:ascii="Arial" w:hAnsi="Arial" w:cs="Arial"/>
          <w:sz w:val="20"/>
          <w:szCs w:val="20"/>
        </w:rPr>
        <w:t xml:space="preserve">. </w:t>
      </w:r>
    </w:p>
    <w:p w14:paraId="10BAF669"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6F8BD7CF"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5.2. Prikaz ureditve v drugih pravnih sistemih</w:t>
      </w:r>
    </w:p>
    <w:p w14:paraId="62E30CD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B70A2F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Države članice EU so v procesu prenosa Direktive (EU) 2024/1619. Ta je bila 9. 6. 2024 objavljena v Uradnem listu EU, rok za njen prenos pa je 11. 1. 2026. Na podlagi navedenega primerjalnopravni prikaz še ni mogoč.</w:t>
      </w:r>
    </w:p>
    <w:p w14:paraId="6B29D30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E91647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AC840F5" w14:textId="77777777" w:rsidR="0010347E" w:rsidRPr="00215B2F" w:rsidRDefault="0010347E" w:rsidP="003D4DE0">
      <w:pPr>
        <w:numPr>
          <w:ilvl w:val="0"/>
          <w:numId w:val="345"/>
        </w:num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PRESOJA POSLEDIC, KI JIH BO IMEL SPREJEM ZAKONA</w:t>
      </w:r>
    </w:p>
    <w:p w14:paraId="1F70F06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AC2E9B2"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6.1 Presoja administrativnih posledic</w:t>
      </w:r>
    </w:p>
    <w:p w14:paraId="328C227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511F52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a) v postopkih oziroma poslovanju javne uprave ali pravosodnih organov:</w:t>
      </w:r>
    </w:p>
    <w:p w14:paraId="5CF7E56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D27F496" w14:textId="0CBBCB72" w:rsidR="0010347E" w:rsidRPr="00215B2F" w:rsidRDefault="005C153C"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Z namenom</w:t>
      </w:r>
      <w:r w:rsidR="0010347E" w:rsidRPr="00215B2F">
        <w:rPr>
          <w:rFonts w:ascii="Arial" w:hAnsi="Arial" w:cs="Arial"/>
          <w:sz w:val="20"/>
          <w:szCs w:val="20"/>
        </w:rPr>
        <w:t xml:space="preserve"> prenosa Direktive 2024/1619/EU se z zakonom uvajajo tako imenovani administrativni ukrepi, ki so upravne kazni oziroma administrativne sankcije, periodične denarne kazni in drugi upravni ukrepi. Drugi upravni ukrepi, ki jih zahteva direktiva, so: javna izjava, odredba, preklic glasovalnih pravic, začasna prepoved opravljanja funkcij za člane upravnega odbora ali katero koli drugo linijo poslovanja (</w:t>
      </w:r>
      <w:r w:rsidR="00FC39E9" w:rsidRPr="00215B2F">
        <w:rPr>
          <w:rFonts w:ascii="Arial" w:hAnsi="Arial" w:cs="Arial"/>
          <w:sz w:val="20"/>
          <w:szCs w:val="20"/>
        </w:rPr>
        <w:t>fizično osebo</w:t>
      </w:r>
      <w:r w:rsidR="0010347E" w:rsidRPr="00215B2F">
        <w:rPr>
          <w:rFonts w:ascii="Arial" w:hAnsi="Arial" w:cs="Arial"/>
          <w:sz w:val="20"/>
          <w:szCs w:val="20"/>
        </w:rPr>
        <w:t xml:space="preserve">), odgovorno za kršitev, odvzem dovoljenja. Navedene ukrepe bo izvajala Banka Slovenije, ki bo kot nadzorni organ odgovorna za izrek administrativnih sankcij zoper banke. Za izvajanje tega bo morala vzpostaviti postopke, ki upoštevajo nova merila in pravila (npr. resnost kršitve, finančna moč, pretekle kršitve), vzpostaviti evidence ter zagotoviti usklajenost z drugimi nadzornimi organi v EU. To zahteva tudi notranje pravne akte, ustrezne kadrovske kapacitete in tehnično podporo, saj gre za kompleksne nadzorne in sankcijske postopke z visokim tveganjem za izpodbijanje. Na strani pravosodja bo imel prenos </w:t>
      </w:r>
      <w:r w:rsidR="0010347E" w:rsidRPr="00215B2F">
        <w:rPr>
          <w:rFonts w:ascii="Arial" w:hAnsi="Arial" w:cs="Arial"/>
          <w:bCs/>
          <w:sz w:val="20"/>
          <w:szCs w:val="20"/>
        </w:rPr>
        <w:t>Direktive 2024/1619/EU</w:t>
      </w:r>
      <w:r w:rsidR="0010347E" w:rsidRPr="00215B2F">
        <w:rPr>
          <w:rFonts w:ascii="Arial" w:hAnsi="Arial" w:cs="Arial"/>
          <w:sz w:val="20"/>
          <w:szCs w:val="20"/>
        </w:rPr>
        <w:t xml:space="preserve"> učinek predvsem na upravna sodišča, ki bodo presojala zakonitost odločb Banke Slovenije, izdanih v teh sankcijskih postopkih. Pri tem bodo morala preverjati, ali je banka pri odločanju pravilno uporabila merila iz direktive in zagotovila pravno varnost naslovnikom odločb. </w:t>
      </w:r>
    </w:p>
    <w:p w14:paraId="70DEEE5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36B57C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 pri obveznostih strank do javne uprave ali pravosodnih organov:</w:t>
      </w:r>
    </w:p>
    <w:p w14:paraId="3812453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FF6B22A" w14:textId="77777777" w:rsidR="0010347E" w:rsidRPr="00215B2F" w:rsidRDefault="0010347E" w:rsidP="003D4DE0">
      <w:pPr>
        <w:numPr>
          <w:ilvl w:val="0"/>
          <w:numId w:val="343"/>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ni administrativnih posledic.</w:t>
      </w:r>
    </w:p>
    <w:p w14:paraId="261DC4E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F17D557"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6.2 Presoja posledic za okolje, vključno s prostorskimi in varstvenimi vidiki</w:t>
      </w:r>
    </w:p>
    <w:p w14:paraId="30605B6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B9E3382" w14:textId="6F384F76"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Sprejetje zakona ne bo imelo </w:t>
      </w:r>
      <w:r w:rsidR="003F65A2" w:rsidRPr="00215B2F">
        <w:rPr>
          <w:rFonts w:ascii="Arial" w:hAnsi="Arial" w:cs="Arial"/>
          <w:sz w:val="20"/>
          <w:szCs w:val="20"/>
        </w:rPr>
        <w:t xml:space="preserve">neposrednih </w:t>
      </w:r>
      <w:r w:rsidRPr="00215B2F">
        <w:rPr>
          <w:rFonts w:ascii="Arial" w:hAnsi="Arial" w:cs="Arial"/>
          <w:sz w:val="20"/>
          <w:szCs w:val="20"/>
        </w:rPr>
        <w:t>posledic za okolje</w:t>
      </w:r>
      <w:r w:rsidR="003F65A2" w:rsidRPr="00215B2F">
        <w:rPr>
          <w:rFonts w:ascii="Arial" w:hAnsi="Arial" w:cs="Arial"/>
          <w:sz w:val="20"/>
          <w:szCs w:val="20"/>
        </w:rPr>
        <w:t xml:space="preserve">, z zahtevami po ocenjevanju usklajenosti kreditnih portfeljev s cilji EU glede podnebne nevtralnosti do 2050 pa bo bančni sektor spodbujen k prestrukturiranju svojih kreditnih portfeljev, </w:t>
      </w:r>
      <w:r w:rsidR="00B12A98" w:rsidRPr="00215B2F">
        <w:rPr>
          <w:rFonts w:ascii="Arial" w:hAnsi="Arial" w:cs="Arial"/>
          <w:sz w:val="20"/>
          <w:szCs w:val="20"/>
        </w:rPr>
        <w:t xml:space="preserve">kar lahko </w:t>
      </w:r>
      <w:r w:rsidR="003F65A2" w:rsidRPr="00215B2F">
        <w:rPr>
          <w:rFonts w:ascii="Arial" w:hAnsi="Arial" w:cs="Arial"/>
          <w:sz w:val="20"/>
          <w:szCs w:val="20"/>
        </w:rPr>
        <w:t xml:space="preserve">posredno pozitivno vpliva na okolje. Poleg tega morajo </w:t>
      </w:r>
      <w:r w:rsidR="003F65A2" w:rsidRPr="00215B2F">
        <w:rPr>
          <w:rFonts w:ascii="Arial" w:eastAsia="Arial" w:hAnsi="Arial" w:cs="Arial"/>
          <w:sz w:val="20"/>
          <w:szCs w:val="20"/>
        </w:rPr>
        <w:t>banke v okviru ESG tveganj redno preizkušati svojo odpornost na dolgoročne negativne učinke okoljskih dejavnikov</w:t>
      </w:r>
      <w:r w:rsidR="004136C3" w:rsidRPr="00215B2F">
        <w:rPr>
          <w:rFonts w:ascii="Arial" w:eastAsia="Arial" w:hAnsi="Arial" w:cs="Arial"/>
          <w:sz w:val="20"/>
          <w:szCs w:val="20"/>
        </w:rPr>
        <w:t>.</w:t>
      </w:r>
    </w:p>
    <w:p w14:paraId="7F2B06E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0B57FF3"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6.3 Presoja posledic za gospodarstvo</w:t>
      </w:r>
    </w:p>
    <w:p w14:paraId="3DFA5CA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8C04DA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Prenos </w:t>
      </w:r>
      <w:r w:rsidRPr="00215B2F">
        <w:rPr>
          <w:rFonts w:ascii="Arial" w:hAnsi="Arial" w:cs="Arial"/>
          <w:bCs/>
          <w:sz w:val="20"/>
          <w:szCs w:val="20"/>
        </w:rPr>
        <w:t>Direktive 2024/1619/EU</w:t>
      </w:r>
      <w:r w:rsidRPr="00215B2F">
        <w:rPr>
          <w:rFonts w:ascii="Arial" w:hAnsi="Arial" w:cs="Arial"/>
          <w:sz w:val="20"/>
          <w:szCs w:val="20"/>
        </w:rPr>
        <w:t xml:space="preserve"> bo za gospodarstvo, zlasti za bančni sektor, pomenil strožje regulativne zahteve in večjo pravno predvidljivost glede sankcij. Banke bodo morale okrepiti notranje kontrole, sisteme upravljanja tveganj in skladnost z regulativo (</w:t>
      </w:r>
      <w:r w:rsidRPr="00215B2F">
        <w:rPr>
          <w:rFonts w:ascii="Arial" w:hAnsi="Arial" w:cs="Arial"/>
          <w:i/>
          <w:sz w:val="20"/>
          <w:szCs w:val="20"/>
        </w:rPr>
        <w:t>compliance</w:t>
      </w:r>
      <w:r w:rsidRPr="00215B2F">
        <w:rPr>
          <w:rFonts w:ascii="Arial" w:hAnsi="Arial" w:cs="Arial"/>
          <w:sz w:val="20"/>
          <w:szCs w:val="20"/>
        </w:rPr>
        <w:t xml:space="preserve">), saj bo nadzor nad kršitvami strožji in bolj standardiziran. Zaradi jasnih meril za izrek kazni se povečuje tudi pravna odgovornost vodstev finančnih institucij, kar lahko vodi do dodatnih investicij v pravno svetovanje, informacijske sisteme in kadrovsko okrepitev oddelkov za skladnost poslovanja. Hkrati bo večja preglednost nadzora prispevala k večji stabilnosti finančnega sistema in zaupanju vlagateljev, kar je dolgoročno pozitivno za širše gospodarstvo. </w:t>
      </w:r>
    </w:p>
    <w:p w14:paraId="1470C0B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49ED2CC"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6.4 Presoja posledic za socialno področje</w:t>
      </w:r>
    </w:p>
    <w:p w14:paraId="1C09C88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E5EDCE0" w14:textId="77777777" w:rsidR="0010347E" w:rsidRPr="00215B2F" w:rsidRDefault="0010347E" w:rsidP="0010347E">
      <w:pPr>
        <w:shd w:val="clear" w:color="auto" w:fill="FFFFFF" w:themeFill="background1"/>
        <w:spacing w:after="0" w:line="240" w:lineRule="auto"/>
        <w:ind w:left="426" w:hanging="426"/>
        <w:jc w:val="both"/>
        <w:rPr>
          <w:rFonts w:ascii="Arial" w:hAnsi="Arial" w:cs="Arial"/>
          <w:sz w:val="20"/>
          <w:szCs w:val="20"/>
        </w:rPr>
      </w:pPr>
      <w:r w:rsidRPr="00215B2F">
        <w:rPr>
          <w:rFonts w:ascii="Arial" w:hAnsi="Arial" w:cs="Arial"/>
          <w:sz w:val="20"/>
          <w:szCs w:val="20"/>
        </w:rPr>
        <w:t>Sprejetje zakona ne bo imelo posledic na socialnem področju.</w:t>
      </w:r>
    </w:p>
    <w:p w14:paraId="584C648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5BA53A3"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6.5 Presoja posledic za dokumente razvojnega načrtovanja</w:t>
      </w:r>
    </w:p>
    <w:p w14:paraId="5827429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532ABC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Sprejetje zakona ne bo imelo posledic za dokumente razvojnega načrtovanja.</w:t>
      </w:r>
    </w:p>
    <w:p w14:paraId="33F46348"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41919C58"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6.6 Presoja posledic za druga področja</w:t>
      </w:r>
    </w:p>
    <w:p w14:paraId="0A27B7FC"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30C9F41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lastRenderedPageBreak/>
        <w:t>Sprejetje zakona ne bo imelo posledic za druga področja.</w:t>
      </w:r>
    </w:p>
    <w:p w14:paraId="4EA71E3B"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7C3F9685"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6.7 Izvajanje sprejetega predpisa</w:t>
      </w:r>
    </w:p>
    <w:p w14:paraId="2E7E6B6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2EADDE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Slovenije je </w:t>
      </w:r>
      <w:r w:rsidRPr="00215B2F">
        <w:rPr>
          <w:rFonts w:ascii="Arial" w:hAnsi="Arial" w:cs="Arial"/>
          <w:sz w:val="20"/>
          <w:szCs w:val="20"/>
          <w:shd w:val="clear" w:color="auto" w:fill="FFFFFF"/>
        </w:rPr>
        <w:t>pristojna in odgovorna za izvajanje nadzora nad bankami v skladu s tem zakonom in Uredbo 1024/2013/EU, razen glede nalog in pristojnosti bonitetnega nadzora, za katere je v skladu z Uredbo 1024/2013/EU pristojna in odgovorna ECB.</w:t>
      </w:r>
    </w:p>
    <w:p w14:paraId="4750BDF1"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7F938F27"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6.8 Druge pomembne okoliščine v zvezi z vprašanji, ki jih ureja predlog zakona</w:t>
      </w:r>
    </w:p>
    <w:p w14:paraId="5AE7CBB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9802C8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zvezi z vprašanji, ki jih ureja predlog zakona, ni drugih pomembnih okoliščin.</w:t>
      </w:r>
    </w:p>
    <w:p w14:paraId="15396EE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760FD7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EE8C51A" w14:textId="77777777" w:rsidR="0010347E" w:rsidRPr="00215B2F" w:rsidRDefault="0010347E" w:rsidP="003D4DE0">
      <w:pPr>
        <w:numPr>
          <w:ilvl w:val="0"/>
          <w:numId w:val="345"/>
        </w:num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PRIKAZ SODELOVANJA JAVNOSTI PRI PRIPRAVI PREDLOGA ZAKONA</w:t>
      </w:r>
    </w:p>
    <w:p w14:paraId="02DE4E7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984C548" w14:textId="5E8E7363" w:rsidR="00EC3DFA" w:rsidRPr="00215B2F" w:rsidRDefault="00EC3DFA" w:rsidP="00EC3DFA">
      <w:pPr>
        <w:shd w:val="clear" w:color="auto" w:fill="FFFFFF" w:themeFill="background1"/>
        <w:spacing w:after="0" w:line="240" w:lineRule="auto"/>
        <w:jc w:val="both"/>
        <w:rPr>
          <w:rFonts w:ascii="Arial" w:eastAsia="Calibri" w:hAnsi="Arial" w:cs="Arial"/>
          <w:kern w:val="0"/>
          <w:sz w:val="20"/>
          <w:szCs w:val="20"/>
          <w14:ligatures w14:val="none"/>
        </w:rPr>
      </w:pPr>
      <w:r w:rsidRPr="00215B2F">
        <w:rPr>
          <w:rFonts w:ascii="Arial" w:eastAsia="Calibri" w:hAnsi="Arial" w:cs="Arial"/>
          <w:kern w:val="0"/>
          <w:sz w:val="20"/>
          <w:szCs w:val="20"/>
          <w14:ligatures w14:val="none"/>
        </w:rPr>
        <w:t xml:space="preserve">Javna objava predloga zakona na spletem portalu E-Demokracija je potekala od 26. 8. 2025 do 29. 9. 2025. Na predlog zakona so se odzvale naslednje institucije: Združenje bank Slovenije (ZBS), Informacijski pooblaščenec (IP), Združenje notranjih revizorjev IIA – Slovenski inštitut (IIA), International Swaps and Derivatives Association (ISDA). Navedeni deležniki so predlog zakona v splošnem podprli oz. mu niso nasprotovali. </w:t>
      </w:r>
    </w:p>
    <w:p w14:paraId="0591414A" w14:textId="77777777" w:rsidR="00EC3DFA" w:rsidRPr="00215B2F" w:rsidRDefault="00EC3DFA" w:rsidP="00EC3DFA">
      <w:pPr>
        <w:shd w:val="clear" w:color="auto" w:fill="FFFFFF" w:themeFill="background1"/>
        <w:spacing w:after="0" w:line="240" w:lineRule="auto"/>
        <w:jc w:val="both"/>
        <w:rPr>
          <w:rFonts w:ascii="Arial" w:eastAsia="Calibri" w:hAnsi="Arial" w:cs="Arial"/>
          <w:b/>
          <w:bCs/>
          <w:kern w:val="0"/>
          <w:sz w:val="20"/>
          <w:szCs w:val="20"/>
          <w14:ligatures w14:val="none"/>
        </w:rPr>
      </w:pPr>
    </w:p>
    <w:p w14:paraId="3082571A" w14:textId="3AC78775" w:rsidR="00EC3DFA" w:rsidRPr="00215B2F" w:rsidRDefault="00EC3DFA" w:rsidP="00EC3DFA">
      <w:pPr>
        <w:shd w:val="clear" w:color="auto" w:fill="FFFFFF" w:themeFill="background1"/>
        <w:spacing w:after="0" w:line="240" w:lineRule="auto"/>
        <w:jc w:val="both"/>
        <w:rPr>
          <w:rFonts w:ascii="Arial" w:eastAsia="Calibri" w:hAnsi="Arial" w:cs="Arial"/>
          <w:kern w:val="0"/>
          <w:sz w:val="20"/>
          <w:szCs w:val="20"/>
          <w14:ligatures w14:val="none"/>
        </w:rPr>
      </w:pPr>
      <w:r w:rsidRPr="00215B2F">
        <w:rPr>
          <w:rFonts w:ascii="Arial" w:eastAsia="Calibri" w:hAnsi="Arial" w:cs="Arial"/>
          <w:b/>
          <w:bCs/>
          <w:kern w:val="0"/>
          <w:sz w:val="20"/>
          <w:szCs w:val="20"/>
          <w14:ligatures w14:val="none"/>
        </w:rPr>
        <w:t>IIA</w:t>
      </w:r>
      <w:r w:rsidRPr="00215B2F">
        <w:rPr>
          <w:rFonts w:ascii="Arial" w:eastAsia="Calibri" w:hAnsi="Arial" w:cs="Arial"/>
          <w:kern w:val="0"/>
          <w:sz w:val="20"/>
          <w:szCs w:val="20"/>
          <w14:ligatures w14:val="none"/>
        </w:rPr>
        <w:t xml:space="preserve"> predlaga spremembe 191. in 192. člena predloga zakona, s ciljem uskladitve z mednarodnimi standardi in pravnim redom EU. V 191. členu predlaga novo definicijo notranjega revidiranja, ki vključuje dajanje zagotovil in svetovalne storitve na področjih notranjega upravljanja, upravljanja tveganj in notranjih kontrol, pri čemer mora izvajanje temeljiti na analizi tveganj ter potekati v skladu z Globalnimi standardi notranjega revidiranja. V 192. členu predlaga, da se zahteva po nacionalnem nazivu notranjega revizorja razširi na priznanje tudi primerljivih mednarodnih strokovnih nazivov, kot je Certified Internal Auditor (CIA), kar bi omogočilo večjo mobilnost strokovnjakov in uskladitev z ZGD-1. Predlagane spremembe po mnenju IIA odpravljajo zastarele formulacije, odpravljajo pravno negotovost glede uporabe standardov ter omogočajo lažje zaposlovanje ustreznih kadrov v mednarodnem bančnem okolju.</w:t>
      </w:r>
    </w:p>
    <w:p w14:paraId="13544229" w14:textId="77777777" w:rsidR="00EC3DFA" w:rsidRPr="00215B2F" w:rsidRDefault="00EC3DFA" w:rsidP="00EC3DFA">
      <w:pPr>
        <w:shd w:val="clear" w:color="auto" w:fill="FFFFFF" w:themeFill="background1"/>
        <w:spacing w:after="0" w:line="240" w:lineRule="auto"/>
        <w:jc w:val="both"/>
        <w:rPr>
          <w:rFonts w:ascii="Arial" w:eastAsia="Calibri" w:hAnsi="Arial" w:cs="Arial"/>
          <w:b/>
          <w:bCs/>
          <w:kern w:val="0"/>
          <w:sz w:val="20"/>
          <w:szCs w:val="20"/>
          <w14:ligatures w14:val="none"/>
        </w:rPr>
      </w:pPr>
    </w:p>
    <w:p w14:paraId="227ADDD6" w14:textId="19F6B585" w:rsidR="00EC3DFA" w:rsidRPr="00215B2F" w:rsidRDefault="00EC3DFA" w:rsidP="00EC3DFA">
      <w:pPr>
        <w:shd w:val="clear" w:color="auto" w:fill="FFFFFF" w:themeFill="background1"/>
        <w:spacing w:after="0" w:line="240" w:lineRule="auto"/>
        <w:jc w:val="both"/>
        <w:rPr>
          <w:rFonts w:ascii="Arial" w:eastAsia="Calibri" w:hAnsi="Arial" w:cs="Arial"/>
          <w:b/>
          <w:bCs/>
          <w:kern w:val="0"/>
          <w:sz w:val="20"/>
          <w:szCs w:val="20"/>
          <w14:ligatures w14:val="none"/>
        </w:rPr>
      </w:pPr>
      <w:r w:rsidRPr="00215B2F">
        <w:rPr>
          <w:rFonts w:ascii="Arial" w:eastAsia="Calibri" w:hAnsi="Arial" w:cs="Arial"/>
          <w:b/>
          <w:bCs/>
          <w:kern w:val="0"/>
          <w:sz w:val="20"/>
          <w:szCs w:val="20"/>
          <w14:ligatures w14:val="none"/>
        </w:rPr>
        <w:t xml:space="preserve">ISDA </w:t>
      </w:r>
      <w:r w:rsidRPr="00215B2F">
        <w:rPr>
          <w:rFonts w:ascii="Arial" w:eastAsia="Calibri" w:hAnsi="Arial" w:cs="Arial"/>
          <w:kern w:val="0"/>
          <w:sz w:val="20"/>
          <w:szCs w:val="20"/>
          <w14:ligatures w14:val="none"/>
        </w:rPr>
        <w:t>predlaga dopolnitev pododdelka 10.3.3. osnutka zakona z novim členom, ki bi izrecno zaščitil izvršljivost dogovorov o izravnavi (close-out netting) in finančnega zavarovanja v primeru ukrepov Banke Slovenije pred začetkom postopkov reševanja bank. Po njihovem mnenju trenutna ureditev (358</w:t>
      </w:r>
      <w:r w:rsidR="00515DE3" w:rsidRPr="00215B2F">
        <w:rPr>
          <w:rFonts w:ascii="Arial" w:eastAsia="Calibri" w:hAnsi="Arial" w:cs="Arial"/>
          <w:kern w:val="0"/>
          <w:sz w:val="20"/>
          <w:szCs w:val="20"/>
          <w14:ligatures w14:val="none"/>
        </w:rPr>
        <w:t>.</w:t>
      </w:r>
      <w:r w:rsidRPr="00215B2F">
        <w:rPr>
          <w:rFonts w:ascii="Arial" w:eastAsia="Calibri" w:hAnsi="Arial" w:cs="Arial"/>
          <w:kern w:val="0"/>
          <w:sz w:val="20"/>
          <w:szCs w:val="20"/>
          <w14:ligatures w14:val="none"/>
        </w:rPr>
        <w:t xml:space="preserve"> in 359. člena) ne zagotavlja zadostne pravne varnosti, saj dopušča možnost, da bi ukrepi Banke Slovenije posegli v pravice pogodbenih strank iz dogovorov o izravnavi in zavarovanju, kar bi povečalo kreditno tveganje in pravno negotovost. ISDA opozarja, da evropska zakonodaja (BRRD) in slovenski ZRPPB-1 že zagotavljata varstvo teh dogovorov v postopkih reševanja, zato bi bilo neskladno, da bi bili ti dogovori manj zaščiteni pred uvedbo takih postopkov. Predlagana sprememba bi po mnenju ISDA zagotovila jasnost, transparentnost in doslednost pravil, kar je ključno za zaupanje v izvedene finančne instrumente in za preprečevanje sistemskega tveganja. ISDA se zavzema za hitro obravnavo predloga in poudarja, da gre za tehnično, a bistveno dopolnitev zakonske ureditve.</w:t>
      </w:r>
    </w:p>
    <w:p w14:paraId="5E9D2465" w14:textId="77777777" w:rsidR="00EC3DFA" w:rsidRPr="00215B2F" w:rsidRDefault="00EC3DFA" w:rsidP="00EC3DFA">
      <w:pPr>
        <w:shd w:val="clear" w:color="auto" w:fill="FFFFFF" w:themeFill="background1"/>
        <w:spacing w:after="0" w:line="240" w:lineRule="auto"/>
        <w:jc w:val="both"/>
        <w:rPr>
          <w:rFonts w:ascii="Arial" w:eastAsia="Calibri" w:hAnsi="Arial" w:cs="Arial"/>
          <w:kern w:val="0"/>
          <w:sz w:val="20"/>
          <w:szCs w:val="20"/>
          <w14:ligatures w14:val="none"/>
        </w:rPr>
      </w:pPr>
    </w:p>
    <w:p w14:paraId="4D8A25BC" w14:textId="77777777" w:rsidR="00EC3DFA" w:rsidRPr="00215B2F" w:rsidRDefault="00EC3DFA" w:rsidP="00EC3DFA">
      <w:pPr>
        <w:shd w:val="clear" w:color="auto" w:fill="FFFFFF" w:themeFill="background1"/>
        <w:spacing w:after="0" w:line="240" w:lineRule="auto"/>
        <w:jc w:val="both"/>
        <w:rPr>
          <w:rFonts w:ascii="Arial" w:eastAsia="Calibri" w:hAnsi="Arial" w:cs="Arial"/>
          <w:kern w:val="0"/>
          <w:sz w:val="20"/>
          <w:szCs w:val="20"/>
          <w14:ligatures w14:val="none"/>
        </w:rPr>
      </w:pPr>
      <w:r w:rsidRPr="00215B2F">
        <w:rPr>
          <w:rFonts w:ascii="Arial" w:eastAsia="Calibri" w:hAnsi="Arial" w:cs="Arial"/>
          <w:b/>
          <w:bCs/>
          <w:kern w:val="0"/>
          <w:sz w:val="20"/>
          <w:szCs w:val="20"/>
          <w14:ligatures w14:val="none"/>
        </w:rPr>
        <w:t xml:space="preserve">IP </w:t>
      </w:r>
      <w:r w:rsidRPr="00215B2F">
        <w:rPr>
          <w:rFonts w:ascii="Arial" w:eastAsia="Calibri" w:hAnsi="Arial" w:cs="Arial"/>
          <w:kern w:val="0"/>
          <w:sz w:val="20"/>
          <w:szCs w:val="20"/>
          <w14:ligatures w14:val="none"/>
        </w:rPr>
        <w:t>opozarja, da mora biti obdelava osebnih podatkov v skladu z 38. členom Ustave RS in 6. členom Zakona o varstvu osebnih podatkov Uradni list RS, št. 163/22 in 40/25 – ZInfV-1; v nadaljnjem besedilu: ZVOP-2) jasno opredeljena v zakonu, ne pa v podzakonskih aktih. V predlogu zakona IP izpostavlja več členov (npr. 49., 50., 51., 64., 66., 312., 335., 456.), ki po njegovem mnenju neustrezno napotujejo na podzakonske predpise ali vsebujejo preširoka pooblastila za pridobivanje osebnih podatkov brez jasne zakonske opredelitve vrste podatkov, kategorij posameznikov, namenov obdelave in rokov hrambe. Posebej opozarja na potrebo po sorazmernosti pri pridobivanju podatkov iz centralnega registra prebivalstva ter na stroga pravila glede prenosa osebnih podatkov v tretje države. IP predlaga, da se predlog zakona dopolni tako, da bodo vsi elementi obdelave osebnih podatkov skladni z zahtevami ZVOP-2 in Splošne uredbe (GDPR), zlasti glede preglednosti, zakonitosti in sorazmernosti obdelave.</w:t>
      </w:r>
    </w:p>
    <w:p w14:paraId="47D67E7B" w14:textId="77777777" w:rsidR="00EC3DFA" w:rsidRPr="00215B2F" w:rsidRDefault="00EC3DFA" w:rsidP="00EC3DFA">
      <w:pPr>
        <w:shd w:val="clear" w:color="auto" w:fill="FFFFFF" w:themeFill="background1"/>
        <w:spacing w:after="0" w:line="240" w:lineRule="auto"/>
        <w:jc w:val="both"/>
        <w:rPr>
          <w:rFonts w:ascii="Arial" w:eastAsia="Calibri" w:hAnsi="Arial" w:cs="Arial"/>
          <w:b/>
          <w:bCs/>
          <w:kern w:val="0"/>
          <w:sz w:val="20"/>
          <w:szCs w:val="20"/>
          <w14:ligatures w14:val="none"/>
        </w:rPr>
      </w:pPr>
    </w:p>
    <w:p w14:paraId="0ABEFEB7" w14:textId="77777777" w:rsidR="00EC3DFA" w:rsidRPr="00215B2F" w:rsidRDefault="00EC3DFA" w:rsidP="00EC3DFA">
      <w:pPr>
        <w:shd w:val="clear" w:color="auto" w:fill="FFFFFF" w:themeFill="background1"/>
        <w:spacing w:after="0" w:line="240" w:lineRule="auto"/>
        <w:jc w:val="both"/>
        <w:rPr>
          <w:rFonts w:ascii="Arial" w:eastAsia="Calibri" w:hAnsi="Arial" w:cs="Arial"/>
          <w:kern w:val="0"/>
          <w:sz w:val="20"/>
          <w:szCs w:val="20"/>
          <w14:ligatures w14:val="none"/>
        </w:rPr>
      </w:pPr>
      <w:r w:rsidRPr="00215B2F">
        <w:rPr>
          <w:rFonts w:ascii="Arial" w:eastAsia="Calibri" w:hAnsi="Arial" w:cs="Arial"/>
          <w:b/>
          <w:bCs/>
          <w:kern w:val="0"/>
          <w:sz w:val="20"/>
          <w:szCs w:val="20"/>
          <w14:ligatures w14:val="none"/>
        </w:rPr>
        <w:t>ZBS</w:t>
      </w:r>
      <w:r w:rsidRPr="00215B2F">
        <w:rPr>
          <w:rFonts w:ascii="Arial" w:eastAsia="Calibri" w:hAnsi="Arial" w:cs="Arial"/>
          <w:kern w:val="0"/>
          <w:sz w:val="20"/>
          <w:szCs w:val="20"/>
          <w14:ligatures w14:val="none"/>
        </w:rPr>
        <w:t xml:space="preserve"> v odzivu na predlog zakona opozarja na več določb, ki po njihovem mnenju povzročajo pravno in operativno negotovost ter nesorazmerne obremenitve za banke. Med ključnimi predlogi izpostavlja potrebo po jasnejši definiciji pojma »finančni direktor«, ohranitvi možnosti opravljanja pomožnih storitev tudi za druge kreditne institucije (ne le znotraj skupine), ter krepitvi vloge delavskih predstavnikov v nadzornem svetu bank ob hkratni izključitvi iz upravnih organov, kar naj bi bilo skladno z evropsko </w:t>
      </w:r>
      <w:r w:rsidRPr="00215B2F">
        <w:rPr>
          <w:rFonts w:ascii="Arial" w:eastAsia="Calibri" w:hAnsi="Arial" w:cs="Arial"/>
          <w:kern w:val="0"/>
          <w:sz w:val="20"/>
          <w:szCs w:val="20"/>
          <w14:ligatures w14:val="none"/>
        </w:rPr>
        <w:lastRenderedPageBreak/>
        <w:t>prakso in ustavnopravno dopustno. Prav tako predlaga spremembo več členov, ki se nanašajo na ocenjevanje primernosti nosilcev ključnih funkcij, z namenom večje jasnosti, sorazmernosti in skladnosti z evropskimi smernicami.</w:t>
      </w:r>
    </w:p>
    <w:p w14:paraId="5C3E77A3" w14:textId="77777777" w:rsidR="00EC3DFA" w:rsidRPr="00215B2F" w:rsidRDefault="00EC3DFA" w:rsidP="00EC3DFA">
      <w:pPr>
        <w:shd w:val="clear" w:color="auto" w:fill="FFFFFF" w:themeFill="background1"/>
        <w:spacing w:after="0" w:line="240" w:lineRule="auto"/>
        <w:jc w:val="both"/>
        <w:rPr>
          <w:rFonts w:ascii="Arial" w:eastAsia="Calibri" w:hAnsi="Arial" w:cs="Arial"/>
          <w:kern w:val="0"/>
          <w:sz w:val="20"/>
          <w:szCs w:val="20"/>
          <w14:ligatures w14:val="none"/>
        </w:rPr>
      </w:pPr>
    </w:p>
    <w:p w14:paraId="63809B27" w14:textId="1665DF8E" w:rsidR="00EC3DFA" w:rsidRPr="00215B2F" w:rsidRDefault="00EC3DFA" w:rsidP="00EC3DFA">
      <w:pPr>
        <w:shd w:val="clear" w:color="auto" w:fill="FFFFFF" w:themeFill="background1"/>
        <w:spacing w:after="0" w:line="240" w:lineRule="auto"/>
        <w:jc w:val="both"/>
        <w:rPr>
          <w:rFonts w:ascii="Arial" w:eastAsia="Calibri" w:hAnsi="Arial" w:cs="Arial"/>
          <w:kern w:val="0"/>
          <w:sz w:val="20"/>
          <w:szCs w:val="20"/>
          <w14:ligatures w14:val="none"/>
        </w:rPr>
      </w:pPr>
      <w:r w:rsidRPr="00215B2F">
        <w:rPr>
          <w:rFonts w:ascii="Arial" w:eastAsia="Calibri" w:hAnsi="Arial" w:cs="Arial"/>
          <w:kern w:val="0"/>
          <w:sz w:val="20"/>
          <w:szCs w:val="20"/>
          <w14:ligatures w14:val="none"/>
        </w:rPr>
        <w:t xml:space="preserve">ZBS opozarja na določbe, ki Banki Slovenije omogočajo dostop do podatkov </w:t>
      </w:r>
      <w:r w:rsidR="00515DE3" w:rsidRPr="00215B2F">
        <w:rPr>
          <w:rFonts w:ascii="Arial" w:eastAsia="Calibri" w:hAnsi="Arial" w:cs="Arial"/>
          <w:kern w:val="0"/>
          <w:sz w:val="20"/>
          <w:szCs w:val="20"/>
          <w14:ligatures w14:val="none"/>
        </w:rPr>
        <w:t xml:space="preserve">s </w:t>
      </w:r>
      <w:r w:rsidRPr="00215B2F">
        <w:rPr>
          <w:rFonts w:ascii="Arial" w:eastAsia="Calibri" w:hAnsi="Arial" w:cs="Arial"/>
          <w:kern w:val="0"/>
          <w:sz w:val="20"/>
          <w:szCs w:val="20"/>
          <w14:ligatures w14:val="none"/>
        </w:rPr>
        <w:t>področja preprečevanja pranja denarja in financiranja terorizma, saj zakon ne določa dovolj natančno vrste podatkov, namen</w:t>
      </w:r>
      <w:r w:rsidR="00515DE3" w:rsidRPr="00215B2F">
        <w:rPr>
          <w:rFonts w:ascii="Arial" w:eastAsia="Calibri" w:hAnsi="Arial" w:cs="Arial"/>
          <w:kern w:val="0"/>
          <w:sz w:val="20"/>
          <w:szCs w:val="20"/>
          <w14:ligatures w14:val="none"/>
        </w:rPr>
        <w:t>a</w:t>
      </w:r>
      <w:r w:rsidRPr="00215B2F">
        <w:rPr>
          <w:rFonts w:ascii="Arial" w:eastAsia="Calibri" w:hAnsi="Arial" w:cs="Arial"/>
          <w:kern w:val="0"/>
          <w:sz w:val="20"/>
          <w:szCs w:val="20"/>
          <w14:ligatures w14:val="none"/>
        </w:rPr>
        <w:t xml:space="preserve"> obdelave, pogoje</w:t>
      </w:r>
      <w:r w:rsidR="00515DE3" w:rsidRPr="00215B2F">
        <w:rPr>
          <w:rFonts w:ascii="Arial" w:eastAsia="Calibri" w:hAnsi="Arial" w:cs="Arial"/>
          <w:kern w:val="0"/>
          <w:sz w:val="20"/>
          <w:szCs w:val="20"/>
          <w14:ligatures w14:val="none"/>
        </w:rPr>
        <w:t>v</w:t>
      </w:r>
      <w:r w:rsidRPr="00215B2F">
        <w:rPr>
          <w:rFonts w:ascii="Arial" w:eastAsia="Calibri" w:hAnsi="Arial" w:cs="Arial"/>
          <w:kern w:val="0"/>
          <w:sz w:val="20"/>
          <w:szCs w:val="20"/>
          <w14:ligatures w14:val="none"/>
        </w:rPr>
        <w:t xml:space="preserve"> dostopa in </w:t>
      </w:r>
      <w:r w:rsidR="00515DE3" w:rsidRPr="00215B2F">
        <w:rPr>
          <w:rFonts w:ascii="Arial" w:eastAsia="Calibri" w:hAnsi="Arial" w:cs="Arial"/>
          <w:kern w:val="0"/>
          <w:sz w:val="20"/>
          <w:szCs w:val="20"/>
          <w14:ligatures w14:val="none"/>
        </w:rPr>
        <w:t xml:space="preserve">rokov </w:t>
      </w:r>
      <w:r w:rsidRPr="00215B2F">
        <w:rPr>
          <w:rFonts w:ascii="Arial" w:eastAsia="Calibri" w:hAnsi="Arial" w:cs="Arial"/>
          <w:kern w:val="0"/>
          <w:sz w:val="20"/>
          <w:szCs w:val="20"/>
          <w14:ligatures w14:val="none"/>
        </w:rPr>
        <w:t>hrambe, kar po njihovem mnenju ni skladno z zahtevami GDPR in ZVOP-2. Prav tako opozarja na potrebo po jasni opredelitvi vloge Banke Slovenije pri imenovanju nosilcev ključnih funkcij, saj trenutna dikcija po mnenju ne določa, ali gre za soglasje ali zgolj nadzor. Združenje predlaga tudi podaljšanje roka za redno notranjo oceno primernosti z dveh na štiri leta ter črtanje 74. člena, ki po njihovem mnenju presega evropske zahteve in povzroča administrativne obremenitve brez dodane vrednosti.</w:t>
      </w:r>
    </w:p>
    <w:p w14:paraId="57CD196F" w14:textId="77777777" w:rsidR="00EC3DFA" w:rsidRPr="00215B2F" w:rsidRDefault="00EC3DFA" w:rsidP="00EC3DFA">
      <w:pPr>
        <w:shd w:val="clear" w:color="auto" w:fill="FFFFFF" w:themeFill="background1"/>
        <w:spacing w:after="0" w:line="240" w:lineRule="auto"/>
        <w:jc w:val="both"/>
        <w:rPr>
          <w:rFonts w:ascii="Arial" w:eastAsia="Calibri" w:hAnsi="Arial" w:cs="Arial"/>
          <w:b/>
          <w:bCs/>
          <w:kern w:val="0"/>
          <w:sz w:val="20"/>
          <w:szCs w:val="20"/>
          <w14:ligatures w14:val="none"/>
        </w:rPr>
      </w:pPr>
    </w:p>
    <w:p w14:paraId="7255913C" w14:textId="77777777" w:rsidR="00EC3DFA" w:rsidRPr="00215B2F" w:rsidRDefault="00EC3DFA" w:rsidP="00EC3DFA">
      <w:pPr>
        <w:shd w:val="clear" w:color="auto" w:fill="FFFFFF" w:themeFill="background1"/>
        <w:spacing w:after="0" w:line="240" w:lineRule="auto"/>
        <w:jc w:val="both"/>
        <w:rPr>
          <w:rFonts w:ascii="Arial" w:eastAsia="Calibri" w:hAnsi="Arial" w:cs="Arial"/>
          <w:kern w:val="0"/>
          <w:sz w:val="20"/>
          <w:szCs w:val="20"/>
          <w14:ligatures w14:val="none"/>
        </w:rPr>
      </w:pPr>
      <w:r w:rsidRPr="00215B2F">
        <w:rPr>
          <w:rFonts w:ascii="Arial" w:eastAsia="Calibri" w:hAnsi="Arial" w:cs="Arial"/>
          <w:kern w:val="0"/>
          <w:sz w:val="20"/>
          <w:szCs w:val="20"/>
          <w14:ligatures w14:val="none"/>
        </w:rPr>
        <w:t xml:space="preserve">ZBS obenem predlaga dopolnitev zakona z novim členom, ki bi bankam omogočil elektronski dostop do osebnih identifikacijskih podatkov iz Centralnega registra prebivalstva ter podatkov o osebnih dokumentih posameznikov. Namen predloga je vzpostavitev zakonske podlage za sodobno, elektronsko povezovanje zbirk podatkov, kar bi omogočilo hitrejše in natančnejše preverjanje podatkov strank, zmanjšanje tveganj goljufij ter razbremenitev administrativnih postopkov. Združenje poudarja, da banke že danes ob ustrezni pravni podlagi prejemajo osebne podatke od ministrstva, pri čemer gre za več deset tisoč zahtev letno. Z zakonsko ureditvijo bi se po mnenju ZBS postopki poenostavili, povečala bi se pravna varnost in učinkovitost poslovanja, hkrati pa bi se zmanjšala možnost napak in operativnih tveganj. </w:t>
      </w:r>
    </w:p>
    <w:p w14:paraId="34848DD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C41672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41F80BC" w14:textId="77777777" w:rsidR="0010347E" w:rsidRPr="00215B2F" w:rsidRDefault="0010347E" w:rsidP="003D4DE0">
      <w:pPr>
        <w:numPr>
          <w:ilvl w:val="0"/>
          <w:numId w:val="345"/>
        </w:num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PODATEK O ZUNANJEM STROKOVNJAKU OZIROMA PRAVNI OSEBI, KI JE SODELOVALA PRI PRIPRAVI PREDLOGA ZAKONA (OSEBNO IME IN NAZIV FIZIČNE OSEBE ALI FIRMA IN NASLOV PRAVNE OSEBE)</w:t>
      </w:r>
    </w:p>
    <w:p w14:paraId="579A9B44" w14:textId="77777777" w:rsidR="0010347E" w:rsidRPr="00215B2F" w:rsidRDefault="0010347E" w:rsidP="0010347E">
      <w:pPr>
        <w:shd w:val="clear" w:color="auto" w:fill="FFFFFF" w:themeFill="background1"/>
        <w:spacing w:after="0" w:line="240" w:lineRule="auto"/>
        <w:ind w:left="360"/>
        <w:jc w:val="both"/>
        <w:rPr>
          <w:rFonts w:ascii="Arial" w:hAnsi="Arial" w:cs="Arial"/>
          <w:b/>
          <w:sz w:val="20"/>
          <w:szCs w:val="20"/>
        </w:rPr>
      </w:pPr>
    </w:p>
    <w:p w14:paraId="614359E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Pri pripravi predloga zakona je sodelovala Banka Slovenije.</w:t>
      </w:r>
    </w:p>
    <w:p w14:paraId="6FDD5A8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9E68B7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C81247B" w14:textId="77777777" w:rsidR="0010347E" w:rsidRPr="00215B2F" w:rsidRDefault="0010347E" w:rsidP="003D4DE0">
      <w:pPr>
        <w:numPr>
          <w:ilvl w:val="0"/>
          <w:numId w:val="345"/>
        </w:num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ZNESEK PLAČILA, KI GA JE OSEBA IZ PREJŠNJE ALINEJE V TA NAMEN PREJELA</w:t>
      </w:r>
    </w:p>
    <w:p w14:paraId="41614AC4" w14:textId="77777777" w:rsidR="0010347E" w:rsidRPr="00215B2F" w:rsidRDefault="0010347E" w:rsidP="0010347E">
      <w:pPr>
        <w:shd w:val="clear" w:color="auto" w:fill="FFFFFF" w:themeFill="background1"/>
        <w:spacing w:after="0" w:line="240" w:lineRule="auto"/>
        <w:ind w:left="360"/>
        <w:jc w:val="both"/>
        <w:rPr>
          <w:rFonts w:ascii="Arial" w:hAnsi="Arial" w:cs="Arial"/>
          <w:b/>
          <w:sz w:val="20"/>
          <w:szCs w:val="20"/>
        </w:rPr>
      </w:pPr>
    </w:p>
    <w:p w14:paraId="4C7E110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Slovenije ni prejela nobenega plačila za sodelovanje pri pripravi predloga zakona. </w:t>
      </w:r>
    </w:p>
    <w:p w14:paraId="1B5F180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A287A2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DE35FA4" w14:textId="77777777" w:rsidR="0010347E" w:rsidRPr="00215B2F" w:rsidRDefault="0010347E" w:rsidP="003D4DE0">
      <w:pPr>
        <w:numPr>
          <w:ilvl w:val="0"/>
          <w:numId w:val="345"/>
        </w:num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 xml:space="preserve">NAVEDBA, KATERI PREDSTAVNIKI PREDLAGATELJA BODO SODELOVALI PRI DELU DRŽAVNEGA ZBORA IN DELOVNIH TELES </w:t>
      </w:r>
    </w:p>
    <w:p w14:paraId="46D9143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0EA0CCE" w14:textId="77777777" w:rsidR="0010347E" w:rsidRPr="00215B2F" w:rsidRDefault="0010347E" w:rsidP="003D4DE0">
      <w:pPr>
        <w:pStyle w:val="Odstavekseznama"/>
        <w:numPr>
          <w:ilvl w:val="0"/>
          <w:numId w:val="344"/>
        </w:numPr>
        <w:shd w:val="clear" w:color="auto" w:fill="FFFFFF" w:themeFill="background1"/>
        <w:overflowPunct w:val="0"/>
        <w:autoSpaceDE w:val="0"/>
        <w:autoSpaceDN w:val="0"/>
        <w:adjustRightInd w:val="0"/>
        <w:spacing w:after="0" w:line="240" w:lineRule="auto"/>
        <w:jc w:val="both"/>
        <w:textAlignment w:val="baseline"/>
        <w:rPr>
          <w:rFonts w:ascii="Arial" w:hAnsi="Arial" w:cs="Arial"/>
          <w:iCs/>
          <w:sz w:val="20"/>
          <w:szCs w:val="20"/>
        </w:rPr>
      </w:pPr>
      <w:r w:rsidRPr="00215B2F">
        <w:rPr>
          <w:rFonts w:ascii="Arial" w:hAnsi="Arial" w:cs="Arial"/>
          <w:iCs/>
          <w:sz w:val="20"/>
          <w:szCs w:val="20"/>
        </w:rPr>
        <w:t>Klemen Boštjančič, minister</w:t>
      </w:r>
    </w:p>
    <w:p w14:paraId="7DF9E77D" w14:textId="77777777" w:rsidR="0010347E" w:rsidRPr="00215B2F" w:rsidRDefault="0010347E" w:rsidP="003D4DE0">
      <w:pPr>
        <w:pStyle w:val="Odstavekseznama"/>
        <w:numPr>
          <w:ilvl w:val="0"/>
          <w:numId w:val="344"/>
        </w:numPr>
        <w:shd w:val="clear" w:color="auto" w:fill="FFFFFF" w:themeFill="background1"/>
        <w:overflowPunct w:val="0"/>
        <w:autoSpaceDE w:val="0"/>
        <w:autoSpaceDN w:val="0"/>
        <w:adjustRightInd w:val="0"/>
        <w:spacing w:after="0" w:line="240" w:lineRule="auto"/>
        <w:jc w:val="both"/>
        <w:textAlignment w:val="baseline"/>
        <w:rPr>
          <w:rFonts w:ascii="Arial" w:hAnsi="Arial" w:cs="Arial"/>
          <w:iCs/>
          <w:sz w:val="20"/>
          <w:szCs w:val="20"/>
        </w:rPr>
      </w:pPr>
      <w:r w:rsidRPr="00215B2F">
        <w:rPr>
          <w:rFonts w:ascii="Arial" w:hAnsi="Arial" w:cs="Arial"/>
          <w:iCs/>
          <w:sz w:val="20"/>
          <w:szCs w:val="20"/>
        </w:rPr>
        <w:t>Nikolina Prah, državna sekretarka</w:t>
      </w:r>
    </w:p>
    <w:p w14:paraId="7732B080" w14:textId="77777777" w:rsidR="0010347E" w:rsidRPr="00215B2F" w:rsidRDefault="0010347E" w:rsidP="003D4DE0">
      <w:pPr>
        <w:pStyle w:val="Odstavekseznama"/>
        <w:numPr>
          <w:ilvl w:val="0"/>
          <w:numId w:val="344"/>
        </w:numPr>
        <w:shd w:val="clear" w:color="auto" w:fill="FFFFFF" w:themeFill="background1"/>
        <w:overflowPunct w:val="0"/>
        <w:autoSpaceDE w:val="0"/>
        <w:autoSpaceDN w:val="0"/>
        <w:adjustRightInd w:val="0"/>
        <w:spacing w:after="0" w:line="240" w:lineRule="auto"/>
        <w:jc w:val="both"/>
        <w:textAlignment w:val="baseline"/>
        <w:rPr>
          <w:rFonts w:ascii="Arial" w:hAnsi="Arial" w:cs="Arial"/>
          <w:iCs/>
          <w:sz w:val="20"/>
          <w:szCs w:val="20"/>
        </w:rPr>
      </w:pPr>
      <w:r w:rsidRPr="00215B2F">
        <w:rPr>
          <w:rFonts w:ascii="Arial" w:hAnsi="Arial" w:cs="Arial"/>
          <w:iCs/>
          <w:sz w:val="20"/>
          <w:szCs w:val="20"/>
        </w:rPr>
        <w:t>mag. Katja Božič, državna sekretarka</w:t>
      </w:r>
    </w:p>
    <w:p w14:paraId="6EAA15B5" w14:textId="77777777" w:rsidR="0010347E" w:rsidRPr="00215B2F" w:rsidRDefault="0010347E" w:rsidP="003D4DE0">
      <w:pPr>
        <w:pStyle w:val="Odstavekseznama"/>
        <w:numPr>
          <w:ilvl w:val="0"/>
          <w:numId w:val="344"/>
        </w:numPr>
        <w:shd w:val="clear" w:color="auto" w:fill="FFFFFF" w:themeFill="background1"/>
        <w:overflowPunct w:val="0"/>
        <w:autoSpaceDE w:val="0"/>
        <w:autoSpaceDN w:val="0"/>
        <w:adjustRightInd w:val="0"/>
        <w:spacing w:after="0" w:line="240" w:lineRule="auto"/>
        <w:jc w:val="both"/>
        <w:textAlignment w:val="baseline"/>
        <w:rPr>
          <w:rFonts w:ascii="Arial" w:hAnsi="Arial" w:cs="Arial"/>
          <w:iCs/>
          <w:sz w:val="20"/>
          <w:szCs w:val="20"/>
        </w:rPr>
      </w:pPr>
      <w:r w:rsidRPr="00215B2F">
        <w:rPr>
          <w:rFonts w:ascii="Arial" w:hAnsi="Arial" w:cs="Arial"/>
          <w:sz w:val="20"/>
          <w:szCs w:val="20"/>
        </w:rPr>
        <w:t xml:space="preserve">mag. </w:t>
      </w:r>
      <w:bookmarkStart w:id="10" w:name="_Hlk126059950"/>
      <w:r w:rsidRPr="00215B2F">
        <w:rPr>
          <w:rFonts w:ascii="Arial" w:hAnsi="Arial" w:cs="Arial"/>
          <w:sz w:val="20"/>
          <w:szCs w:val="20"/>
        </w:rPr>
        <w:t>Saša Jazbec</w:t>
      </w:r>
      <w:bookmarkEnd w:id="10"/>
      <w:r w:rsidRPr="00215B2F">
        <w:rPr>
          <w:rFonts w:ascii="Arial" w:hAnsi="Arial" w:cs="Arial"/>
          <w:iCs/>
          <w:sz w:val="20"/>
          <w:szCs w:val="20"/>
        </w:rPr>
        <w:t>, državna sekretarka</w:t>
      </w:r>
    </w:p>
    <w:p w14:paraId="0E0FC0A9" w14:textId="77777777" w:rsidR="0010347E" w:rsidRPr="00215B2F" w:rsidRDefault="0010347E" w:rsidP="003D4DE0">
      <w:pPr>
        <w:pStyle w:val="Odstavekseznama"/>
        <w:numPr>
          <w:ilvl w:val="0"/>
          <w:numId w:val="344"/>
        </w:numPr>
        <w:shd w:val="clear" w:color="auto" w:fill="FFFFFF" w:themeFill="background1"/>
        <w:overflowPunct w:val="0"/>
        <w:autoSpaceDE w:val="0"/>
        <w:autoSpaceDN w:val="0"/>
        <w:adjustRightInd w:val="0"/>
        <w:spacing w:after="0" w:line="240" w:lineRule="auto"/>
        <w:jc w:val="both"/>
        <w:textAlignment w:val="baseline"/>
        <w:rPr>
          <w:rFonts w:ascii="Arial" w:hAnsi="Arial" w:cs="Arial"/>
          <w:iCs/>
          <w:sz w:val="20"/>
          <w:szCs w:val="20"/>
        </w:rPr>
      </w:pPr>
      <w:r w:rsidRPr="00215B2F">
        <w:rPr>
          <w:rFonts w:ascii="Arial" w:hAnsi="Arial" w:cs="Arial"/>
          <w:iCs/>
          <w:sz w:val="20"/>
          <w:szCs w:val="20"/>
        </w:rPr>
        <w:t>Gordana Pipan, državna sekretarka</w:t>
      </w:r>
    </w:p>
    <w:p w14:paraId="0D5EC945" w14:textId="77777777" w:rsidR="0010347E" w:rsidRPr="00215B2F" w:rsidRDefault="0010347E" w:rsidP="003D4DE0">
      <w:pPr>
        <w:pStyle w:val="Odstavekseznama"/>
        <w:numPr>
          <w:ilvl w:val="0"/>
          <w:numId w:val="344"/>
        </w:numPr>
        <w:shd w:val="clear" w:color="auto" w:fill="FFFFFF" w:themeFill="background1"/>
        <w:overflowPunct w:val="0"/>
        <w:autoSpaceDE w:val="0"/>
        <w:autoSpaceDN w:val="0"/>
        <w:adjustRightInd w:val="0"/>
        <w:spacing w:after="0" w:line="240" w:lineRule="auto"/>
        <w:jc w:val="both"/>
        <w:textAlignment w:val="baseline"/>
        <w:rPr>
          <w:rFonts w:ascii="Arial" w:hAnsi="Arial" w:cs="Arial"/>
          <w:iCs/>
          <w:sz w:val="20"/>
          <w:szCs w:val="20"/>
        </w:rPr>
      </w:pPr>
      <w:r w:rsidRPr="00215B2F">
        <w:rPr>
          <w:rFonts w:ascii="Arial" w:hAnsi="Arial" w:cs="Arial"/>
          <w:iCs/>
          <w:sz w:val="20"/>
          <w:szCs w:val="20"/>
        </w:rPr>
        <w:t>Urška Cvelbar, generalna direktorica Direktorata za finančni sistem</w:t>
      </w:r>
    </w:p>
    <w:p w14:paraId="085C268D" w14:textId="77777777" w:rsidR="0010347E" w:rsidRPr="00215B2F" w:rsidRDefault="0010347E" w:rsidP="003D4DE0">
      <w:pPr>
        <w:pStyle w:val="Odstavekseznama"/>
        <w:numPr>
          <w:ilvl w:val="0"/>
          <w:numId w:val="344"/>
        </w:numPr>
        <w:shd w:val="clear" w:color="auto" w:fill="FFFFFF" w:themeFill="background1"/>
        <w:overflowPunct w:val="0"/>
        <w:autoSpaceDE w:val="0"/>
        <w:autoSpaceDN w:val="0"/>
        <w:adjustRightInd w:val="0"/>
        <w:spacing w:after="0" w:line="240" w:lineRule="auto"/>
        <w:jc w:val="both"/>
        <w:textAlignment w:val="baseline"/>
        <w:rPr>
          <w:rFonts w:ascii="Arial" w:hAnsi="Arial" w:cs="Arial"/>
          <w:iCs/>
          <w:sz w:val="20"/>
          <w:szCs w:val="20"/>
        </w:rPr>
      </w:pPr>
      <w:r w:rsidRPr="00215B2F">
        <w:rPr>
          <w:rFonts w:ascii="Arial" w:hAnsi="Arial" w:cs="Arial"/>
          <w:iCs/>
          <w:sz w:val="20"/>
          <w:szCs w:val="20"/>
        </w:rPr>
        <w:t xml:space="preserve">mag. Robert Petek, </w:t>
      </w:r>
      <w:bookmarkStart w:id="11" w:name="_Hlk126060019"/>
      <w:r w:rsidRPr="00215B2F">
        <w:rPr>
          <w:rFonts w:ascii="Arial" w:hAnsi="Arial" w:cs="Arial"/>
          <w:iCs/>
          <w:sz w:val="20"/>
          <w:szCs w:val="20"/>
        </w:rPr>
        <w:t>vodja Sektorja za bančništvo</w:t>
      </w:r>
      <w:bookmarkEnd w:id="11"/>
    </w:p>
    <w:p w14:paraId="523F9177" w14:textId="77777777" w:rsidR="0010347E" w:rsidRPr="00215B2F" w:rsidRDefault="0010347E" w:rsidP="003D4DE0">
      <w:pPr>
        <w:pStyle w:val="Odstavekseznama"/>
        <w:numPr>
          <w:ilvl w:val="0"/>
          <w:numId w:val="344"/>
        </w:numPr>
        <w:shd w:val="clear" w:color="auto" w:fill="FFFFFF" w:themeFill="background1"/>
        <w:overflowPunct w:val="0"/>
        <w:autoSpaceDE w:val="0"/>
        <w:autoSpaceDN w:val="0"/>
        <w:adjustRightInd w:val="0"/>
        <w:spacing w:after="0" w:line="240" w:lineRule="auto"/>
        <w:jc w:val="both"/>
        <w:textAlignment w:val="baseline"/>
        <w:rPr>
          <w:rFonts w:ascii="Arial" w:hAnsi="Arial" w:cs="Arial"/>
          <w:iCs/>
          <w:sz w:val="20"/>
          <w:szCs w:val="20"/>
        </w:rPr>
      </w:pPr>
      <w:r w:rsidRPr="00215B2F">
        <w:rPr>
          <w:rFonts w:ascii="Arial" w:hAnsi="Arial" w:cs="Arial"/>
          <w:iCs/>
          <w:sz w:val="20"/>
          <w:szCs w:val="20"/>
        </w:rPr>
        <w:t>mag. Primož Šešek, podsekretar</w:t>
      </w:r>
    </w:p>
    <w:p w14:paraId="6BBC5C71" w14:textId="77777777" w:rsidR="0010347E" w:rsidRPr="00215B2F" w:rsidRDefault="0010347E" w:rsidP="0010347E">
      <w:pPr>
        <w:shd w:val="clear" w:color="auto" w:fill="FFFFFF" w:themeFill="background1"/>
        <w:spacing w:after="0" w:line="240" w:lineRule="auto"/>
        <w:contextualSpacing/>
        <w:jc w:val="both"/>
        <w:rPr>
          <w:rFonts w:ascii="Arial" w:hAnsi="Arial" w:cs="Arial"/>
          <w:iCs/>
          <w:sz w:val="20"/>
          <w:szCs w:val="20"/>
        </w:rPr>
      </w:pPr>
    </w:p>
    <w:p w14:paraId="321739CF" w14:textId="77777777" w:rsidR="0010347E" w:rsidRPr="00215B2F" w:rsidRDefault="0010347E" w:rsidP="00FD5520">
      <w:pPr>
        <w:shd w:val="clear" w:color="auto" w:fill="FFFFFF" w:themeFill="background1"/>
        <w:spacing w:after="0" w:line="240" w:lineRule="auto"/>
        <w:rPr>
          <w:rFonts w:ascii="Arial" w:hAnsi="Arial" w:cs="Arial"/>
          <w:b/>
          <w:bCs/>
          <w:sz w:val="20"/>
          <w:szCs w:val="20"/>
        </w:rPr>
      </w:pPr>
    </w:p>
    <w:p w14:paraId="78FF6820" w14:textId="77777777" w:rsidR="0010347E" w:rsidRPr="00215B2F" w:rsidRDefault="0010347E" w:rsidP="00FD5520">
      <w:pPr>
        <w:shd w:val="clear" w:color="auto" w:fill="FFFFFF" w:themeFill="background1"/>
        <w:spacing w:after="0" w:line="240" w:lineRule="auto"/>
        <w:rPr>
          <w:rFonts w:ascii="Arial" w:hAnsi="Arial" w:cs="Arial"/>
          <w:b/>
          <w:bCs/>
          <w:sz w:val="20"/>
          <w:szCs w:val="20"/>
        </w:rPr>
      </w:pPr>
    </w:p>
    <w:p w14:paraId="3E43D01C" w14:textId="77777777" w:rsidR="0010347E" w:rsidRPr="00215B2F" w:rsidRDefault="0010347E" w:rsidP="00FD5520">
      <w:pPr>
        <w:shd w:val="clear" w:color="auto" w:fill="FFFFFF" w:themeFill="background1"/>
        <w:spacing w:after="0" w:line="240" w:lineRule="auto"/>
        <w:rPr>
          <w:rFonts w:ascii="Arial" w:hAnsi="Arial" w:cs="Arial"/>
          <w:b/>
          <w:bCs/>
          <w:sz w:val="20"/>
          <w:szCs w:val="20"/>
        </w:rPr>
      </w:pPr>
    </w:p>
    <w:p w14:paraId="1A2B83E8" w14:textId="77777777" w:rsidR="0010347E" w:rsidRPr="00215B2F" w:rsidRDefault="0010347E" w:rsidP="00FD5520">
      <w:pPr>
        <w:shd w:val="clear" w:color="auto" w:fill="FFFFFF" w:themeFill="background1"/>
        <w:spacing w:after="0" w:line="240" w:lineRule="auto"/>
        <w:rPr>
          <w:rFonts w:ascii="Arial" w:hAnsi="Arial" w:cs="Arial"/>
          <w:b/>
          <w:bCs/>
          <w:sz w:val="20"/>
          <w:szCs w:val="20"/>
        </w:rPr>
      </w:pPr>
    </w:p>
    <w:p w14:paraId="6F4C41A6" w14:textId="77777777" w:rsidR="0010347E" w:rsidRPr="00215B2F" w:rsidRDefault="0010347E" w:rsidP="00FD5520">
      <w:pPr>
        <w:shd w:val="clear" w:color="auto" w:fill="FFFFFF" w:themeFill="background1"/>
        <w:spacing w:after="0" w:line="240" w:lineRule="auto"/>
        <w:rPr>
          <w:rFonts w:ascii="Arial" w:hAnsi="Arial" w:cs="Arial"/>
          <w:b/>
          <w:bCs/>
          <w:sz w:val="20"/>
          <w:szCs w:val="20"/>
        </w:rPr>
      </w:pPr>
    </w:p>
    <w:p w14:paraId="4080E9B4" w14:textId="77777777" w:rsidR="0010347E" w:rsidRPr="00215B2F" w:rsidRDefault="0010347E" w:rsidP="00FD5520">
      <w:pPr>
        <w:shd w:val="clear" w:color="auto" w:fill="FFFFFF" w:themeFill="background1"/>
        <w:spacing w:after="0" w:line="240" w:lineRule="auto"/>
        <w:rPr>
          <w:rFonts w:ascii="Arial" w:hAnsi="Arial" w:cs="Arial"/>
          <w:b/>
          <w:bCs/>
          <w:sz w:val="20"/>
          <w:szCs w:val="20"/>
        </w:rPr>
      </w:pPr>
    </w:p>
    <w:p w14:paraId="0AE757ED" w14:textId="77777777" w:rsidR="0010347E" w:rsidRPr="00215B2F" w:rsidRDefault="0010347E" w:rsidP="00FD5520">
      <w:pPr>
        <w:shd w:val="clear" w:color="auto" w:fill="FFFFFF" w:themeFill="background1"/>
        <w:spacing w:after="0" w:line="240" w:lineRule="auto"/>
        <w:rPr>
          <w:rFonts w:ascii="Arial" w:hAnsi="Arial" w:cs="Arial"/>
          <w:b/>
          <w:bCs/>
          <w:sz w:val="20"/>
          <w:szCs w:val="20"/>
        </w:rPr>
      </w:pPr>
    </w:p>
    <w:p w14:paraId="69C2EB26" w14:textId="77777777" w:rsidR="0010347E" w:rsidRPr="00215B2F" w:rsidRDefault="0010347E" w:rsidP="00FD5520">
      <w:pPr>
        <w:shd w:val="clear" w:color="auto" w:fill="FFFFFF" w:themeFill="background1"/>
        <w:spacing w:after="0" w:line="240" w:lineRule="auto"/>
        <w:rPr>
          <w:rFonts w:ascii="Arial" w:hAnsi="Arial" w:cs="Arial"/>
          <w:b/>
          <w:bCs/>
          <w:sz w:val="20"/>
          <w:szCs w:val="20"/>
        </w:rPr>
      </w:pPr>
    </w:p>
    <w:p w14:paraId="78B725FB" w14:textId="77777777" w:rsidR="0010347E" w:rsidRPr="00215B2F" w:rsidRDefault="0010347E" w:rsidP="00FD5520">
      <w:pPr>
        <w:shd w:val="clear" w:color="auto" w:fill="FFFFFF" w:themeFill="background1"/>
        <w:spacing w:after="0" w:line="240" w:lineRule="auto"/>
        <w:rPr>
          <w:rFonts w:ascii="Arial" w:hAnsi="Arial" w:cs="Arial"/>
          <w:b/>
          <w:bCs/>
          <w:sz w:val="20"/>
          <w:szCs w:val="20"/>
        </w:rPr>
      </w:pPr>
    </w:p>
    <w:p w14:paraId="16EA14BC" w14:textId="77777777" w:rsidR="0010347E" w:rsidRPr="00215B2F" w:rsidRDefault="0010347E" w:rsidP="00FD5520">
      <w:pPr>
        <w:shd w:val="clear" w:color="auto" w:fill="FFFFFF" w:themeFill="background1"/>
        <w:spacing w:after="0" w:line="240" w:lineRule="auto"/>
        <w:rPr>
          <w:rFonts w:ascii="Arial" w:hAnsi="Arial" w:cs="Arial"/>
          <w:b/>
          <w:bCs/>
          <w:sz w:val="20"/>
          <w:szCs w:val="20"/>
        </w:rPr>
      </w:pPr>
    </w:p>
    <w:p w14:paraId="46578155" w14:textId="77777777" w:rsidR="0010347E" w:rsidRPr="00215B2F" w:rsidRDefault="0010347E" w:rsidP="00FD5520">
      <w:pPr>
        <w:shd w:val="clear" w:color="auto" w:fill="FFFFFF" w:themeFill="background1"/>
        <w:spacing w:after="0" w:line="240" w:lineRule="auto"/>
        <w:rPr>
          <w:rFonts w:ascii="Arial" w:hAnsi="Arial" w:cs="Arial"/>
          <w:b/>
          <w:bCs/>
          <w:sz w:val="20"/>
          <w:szCs w:val="20"/>
        </w:rPr>
      </w:pPr>
    </w:p>
    <w:p w14:paraId="538F4CAE" w14:textId="77777777" w:rsidR="0010347E" w:rsidRPr="00215B2F" w:rsidRDefault="0010347E" w:rsidP="00FD5520">
      <w:pPr>
        <w:shd w:val="clear" w:color="auto" w:fill="FFFFFF" w:themeFill="background1"/>
        <w:spacing w:after="0" w:line="240" w:lineRule="auto"/>
        <w:rPr>
          <w:rFonts w:ascii="Arial" w:hAnsi="Arial" w:cs="Arial"/>
          <w:b/>
          <w:bCs/>
          <w:sz w:val="20"/>
          <w:szCs w:val="20"/>
        </w:rPr>
      </w:pPr>
    </w:p>
    <w:p w14:paraId="59BD6C5E" w14:textId="77777777" w:rsidR="0010347E" w:rsidRPr="00215B2F" w:rsidRDefault="0010347E" w:rsidP="00FD5520">
      <w:pPr>
        <w:shd w:val="clear" w:color="auto" w:fill="FFFFFF" w:themeFill="background1"/>
        <w:spacing w:after="0" w:line="240" w:lineRule="auto"/>
        <w:rPr>
          <w:rFonts w:ascii="Arial" w:hAnsi="Arial" w:cs="Arial"/>
          <w:b/>
          <w:bCs/>
          <w:sz w:val="20"/>
          <w:szCs w:val="20"/>
        </w:rPr>
      </w:pPr>
    </w:p>
    <w:p w14:paraId="588EDC30" w14:textId="77777777" w:rsidR="0010347E" w:rsidRPr="00215B2F" w:rsidRDefault="0010347E" w:rsidP="00FD5520">
      <w:pPr>
        <w:shd w:val="clear" w:color="auto" w:fill="FFFFFF" w:themeFill="background1"/>
        <w:spacing w:after="0" w:line="240" w:lineRule="auto"/>
        <w:rPr>
          <w:rFonts w:ascii="Arial" w:hAnsi="Arial" w:cs="Arial"/>
          <w:b/>
          <w:bCs/>
          <w:sz w:val="20"/>
          <w:szCs w:val="20"/>
        </w:rPr>
      </w:pPr>
    </w:p>
    <w:p w14:paraId="13DF5F32" w14:textId="77777777" w:rsidR="0010347E" w:rsidRPr="00215B2F" w:rsidRDefault="0010347E" w:rsidP="00FD5520">
      <w:pPr>
        <w:shd w:val="clear" w:color="auto" w:fill="FFFFFF" w:themeFill="background1"/>
        <w:spacing w:after="0" w:line="240" w:lineRule="auto"/>
        <w:rPr>
          <w:rFonts w:ascii="Arial" w:hAnsi="Arial" w:cs="Arial"/>
          <w:b/>
          <w:bCs/>
          <w:sz w:val="20"/>
          <w:szCs w:val="20"/>
        </w:rPr>
      </w:pPr>
    </w:p>
    <w:p w14:paraId="55A1C51C" w14:textId="77777777" w:rsidR="0010347E" w:rsidRPr="00215B2F" w:rsidRDefault="0010347E" w:rsidP="00FD5520">
      <w:pPr>
        <w:shd w:val="clear" w:color="auto" w:fill="FFFFFF" w:themeFill="background1"/>
        <w:spacing w:after="0" w:line="240" w:lineRule="auto"/>
        <w:rPr>
          <w:rFonts w:ascii="Arial" w:hAnsi="Arial" w:cs="Arial"/>
          <w:b/>
          <w:bCs/>
          <w:sz w:val="20"/>
          <w:szCs w:val="20"/>
        </w:rPr>
      </w:pPr>
    </w:p>
    <w:p w14:paraId="20ABA909" w14:textId="77777777" w:rsidR="0010347E" w:rsidRPr="00215B2F" w:rsidRDefault="0010347E" w:rsidP="00FD5520">
      <w:pPr>
        <w:shd w:val="clear" w:color="auto" w:fill="FFFFFF" w:themeFill="background1"/>
        <w:spacing w:after="0" w:line="240" w:lineRule="auto"/>
        <w:rPr>
          <w:rFonts w:ascii="Arial" w:hAnsi="Arial" w:cs="Arial"/>
          <w:b/>
          <w:bCs/>
          <w:sz w:val="20"/>
          <w:szCs w:val="20"/>
        </w:rPr>
      </w:pPr>
    </w:p>
    <w:p w14:paraId="015B9E40" w14:textId="77777777" w:rsidR="0010347E" w:rsidRDefault="0010347E" w:rsidP="00FD5520">
      <w:pPr>
        <w:shd w:val="clear" w:color="auto" w:fill="FFFFFF" w:themeFill="background1"/>
        <w:spacing w:after="0" w:line="240" w:lineRule="auto"/>
        <w:rPr>
          <w:rFonts w:ascii="Arial" w:hAnsi="Arial" w:cs="Arial"/>
          <w:b/>
          <w:bCs/>
          <w:sz w:val="20"/>
          <w:szCs w:val="20"/>
        </w:rPr>
      </w:pPr>
    </w:p>
    <w:p w14:paraId="477DF937" w14:textId="77777777" w:rsidR="00C947BB" w:rsidRPr="00215B2F" w:rsidRDefault="00C947BB" w:rsidP="00FD5520">
      <w:pPr>
        <w:shd w:val="clear" w:color="auto" w:fill="FFFFFF" w:themeFill="background1"/>
        <w:spacing w:after="0" w:line="240" w:lineRule="auto"/>
        <w:rPr>
          <w:rFonts w:ascii="Arial" w:hAnsi="Arial" w:cs="Arial"/>
          <w:b/>
          <w:bCs/>
          <w:sz w:val="20"/>
          <w:szCs w:val="20"/>
        </w:rPr>
      </w:pPr>
    </w:p>
    <w:p w14:paraId="554EBE36" w14:textId="77777777" w:rsidR="0010347E" w:rsidRPr="00215B2F" w:rsidRDefault="0010347E" w:rsidP="00FD5520">
      <w:pPr>
        <w:shd w:val="clear" w:color="auto" w:fill="FFFFFF" w:themeFill="background1"/>
        <w:spacing w:after="0" w:line="240" w:lineRule="auto"/>
        <w:rPr>
          <w:rFonts w:ascii="Arial" w:hAnsi="Arial" w:cs="Arial"/>
          <w:b/>
          <w:bCs/>
          <w:sz w:val="20"/>
          <w:szCs w:val="20"/>
        </w:rPr>
      </w:pPr>
    </w:p>
    <w:p w14:paraId="4D090279" w14:textId="2947F014" w:rsidR="00365545" w:rsidRPr="00215B2F" w:rsidRDefault="00365545" w:rsidP="00FD5520">
      <w:pPr>
        <w:shd w:val="clear" w:color="auto" w:fill="FFFFFF" w:themeFill="background1"/>
        <w:spacing w:after="0" w:line="240" w:lineRule="auto"/>
        <w:rPr>
          <w:rFonts w:ascii="Arial" w:hAnsi="Arial" w:cs="Arial"/>
          <w:b/>
          <w:bCs/>
          <w:sz w:val="20"/>
          <w:szCs w:val="20"/>
        </w:rPr>
      </w:pPr>
      <w:r w:rsidRPr="00215B2F">
        <w:rPr>
          <w:rFonts w:ascii="Arial" w:hAnsi="Arial" w:cs="Arial"/>
          <w:b/>
          <w:bCs/>
          <w:sz w:val="20"/>
          <w:szCs w:val="20"/>
        </w:rPr>
        <w:t>II. BESEDILO ČLENOV</w:t>
      </w:r>
    </w:p>
    <w:p w14:paraId="47311878" w14:textId="77777777" w:rsidR="00365545" w:rsidRPr="00215B2F" w:rsidRDefault="00365545" w:rsidP="00FD5520">
      <w:pPr>
        <w:shd w:val="clear" w:color="auto" w:fill="FFFFFF" w:themeFill="background1"/>
        <w:spacing w:after="0" w:line="240" w:lineRule="auto"/>
        <w:jc w:val="center"/>
        <w:rPr>
          <w:rFonts w:ascii="Arial" w:eastAsia="Arial" w:hAnsi="Arial" w:cs="Arial"/>
          <w:b/>
          <w:bCs/>
          <w:sz w:val="20"/>
          <w:szCs w:val="20"/>
        </w:rPr>
      </w:pPr>
    </w:p>
    <w:p w14:paraId="66CE572A"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r w:rsidRPr="00215B2F">
        <w:rPr>
          <w:rFonts w:ascii="Arial" w:eastAsia="Arial" w:hAnsi="Arial" w:cs="Arial"/>
          <w:sz w:val="20"/>
          <w:szCs w:val="20"/>
        </w:rPr>
        <w:t xml:space="preserve">1. POGLAVJE: </w:t>
      </w:r>
      <w:r w:rsidRPr="00215B2F">
        <w:rPr>
          <w:rFonts w:ascii="Arial" w:eastAsia="Arial" w:hAnsi="Arial" w:cs="Arial"/>
          <w:sz w:val="20"/>
          <w:szCs w:val="20"/>
        </w:rPr>
        <w:br/>
        <w:t>SPLOŠNE DOLOČBE</w:t>
      </w:r>
    </w:p>
    <w:p w14:paraId="14F2E6B0"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4588AE27" w14:textId="39FF9AD4"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1.1 VSEBINA ZAKONA</w:t>
      </w:r>
    </w:p>
    <w:p w14:paraId="278DDB32"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081EDC84" w14:textId="77777777" w:rsidR="00D91782" w:rsidRPr="00215B2F" w:rsidRDefault="00D91782" w:rsidP="00C23E0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2" w:name="_Ref202959876"/>
      <w:r w:rsidRPr="00215B2F">
        <w:rPr>
          <w:rFonts w:ascii="Arial" w:eastAsia="Arial" w:hAnsi="Arial" w:cs="Arial"/>
          <w:b/>
          <w:bCs/>
          <w:sz w:val="20"/>
          <w:szCs w:val="20"/>
        </w:rPr>
        <w:t>člen</w:t>
      </w:r>
      <w:bookmarkEnd w:id="12"/>
    </w:p>
    <w:p w14:paraId="16E0C0F8"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(predmet zakona)</w:t>
      </w:r>
    </w:p>
    <w:p w14:paraId="4757AA3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92A85D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Ta zakon ureja:</w:t>
      </w:r>
    </w:p>
    <w:p w14:paraId="3F5DF60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8161DDA" w14:textId="77777777" w:rsidR="008E3FA3" w:rsidRPr="00215B2F" w:rsidRDefault="00D91782">
      <w:pPr>
        <w:numPr>
          <w:ilvl w:val="0"/>
          <w:numId w:val="2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pogoje za ustanovitev, poslovanje in redno prenehanje kreditnih institucij s sedežem v Republiki Sloveniji;</w:t>
      </w:r>
    </w:p>
    <w:p w14:paraId="01BF4CEB" w14:textId="77777777" w:rsidR="008E3FA3" w:rsidRPr="00215B2F" w:rsidRDefault="00D91782">
      <w:pPr>
        <w:numPr>
          <w:ilvl w:val="0"/>
          <w:numId w:val="2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pogoje, pod katerimi lahko kreditne institucije s sedežem zunaj Republike Slovenije poslujejo na območju Republike Slovenije;</w:t>
      </w:r>
    </w:p>
    <w:p w14:paraId="7BBCDFB9" w14:textId="77777777" w:rsidR="008E3FA3" w:rsidRPr="00215B2F" w:rsidRDefault="00D91782">
      <w:pPr>
        <w:numPr>
          <w:ilvl w:val="0"/>
          <w:numId w:val="2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pristojne organe, ukrepe in pooblastila za izvajanje nadzora nad poslovanjem kreditnih institucij v Republiki Sloveniji in nadzora nad poslovanjem drugih oseb, ki na območju Republike Slovenije v nasprotju s tem zakonom opravljajo storitve sprejemanja depozitov od javnosti;</w:t>
      </w:r>
    </w:p>
    <w:p w14:paraId="48F4E59B" w14:textId="4CD0A7A9" w:rsidR="00D91782" w:rsidRPr="00215B2F" w:rsidRDefault="00D91782">
      <w:pPr>
        <w:numPr>
          <w:ilvl w:val="0"/>
          <w:numId w:val="2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ukrepe in pooblastila za obvladovanje makrobonitetnega ali sistemskega tveganja v zvezi s kreditnimi institucijami s sedežem v Republiki Sloveniji.</w:t>
      </w:r>
    </w:p>
    <w:p w14:paraId="7619506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42DC11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Ta zakon se ne uporablja za storitve, ki jih opravlja Banka Slovenije v skladu z zakonom, ki ureja Banko Slovenije, ali drugim aktom, ki ureja pristojnosti in naloge Banke Slovenije.</w:t>
      </w:r>
    </w:p>
    <w:p w14:paraId="2A54F15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7BA43C3" w14:textId="77777777" w:rsidR="00D91782" w:rsidRPr="00215B2F" w:rsidRDefault="00D91782" w:rsidP="006455BC">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3" w:name="_Ref202959882"/>
      <w:r w:rsidRPr="00215B2F">
        <w:rPr>
          <w:rFonts w:ascii="Arial" w:eastAsia="Arial" w:hAnsi="Arial" w:cs="Arial"/>
          <w:b/>
          <w:bCs/>
          <w:sz w:val="20"/>
          <w:szCs w:val="20"/>
        </w:rPr>
        <w:t>člen</w:t>
      </w:r>
      <w:bookmarkEnd w:id="13"/>
    </w:p>
    <w:p w14:paraId="53481526"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(prenos aktov Evropske unije)</w:t>
      </w:r>
    </w:p>
    <w:p w14:paraId="0F60402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A88E5F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S tem zakonom se v pravni red Republike Slovenije prenašajo naslednje direktive:</w:t>
      </w:r>
    </w:p>
    <w:p w14:paraId="70EBF6F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9AB4473" w14:textId="1A42CC3E" w:rsidR="008E3FA3" w:rsidRPr="00215B2F" w:rsidRDefault="00D91782" w:rsidP="001E58FE">
      <w:pPr>
        <w:pStyle w:val="tevilnatoka"/>
        <w:numPr>
          <w:ilvl w:val="0"/>
          <w:numId w:val="28"/>
        </w:numPr>
        <w:shd w:val="clear" w:color="auto" w:fill="FFFFFF" w:themeFill="background1"/>
        <w:tabs>
          <w:tab w:val="clear" w:pos="425"/>
        </w:tabs>
        <w:rPr>
          <w:rFonts w:cs="Arial"/>
          <w:bCs/>
          <w:sz w:val="20"/>
          <w:szCs w:val="20"/>
        </w:rPr>
      </w:pPr>
      <w:r w:rsidRPr="00215B2F">
        <w:rPr>
          <w:rFonts w:eastAsia="Arial" w:cs="Arial"/>
          <w:sz w:val="20"/>
          <w:szCs w:val="20"/>
        </w:rPr>
        <w:t>Direktiva 2013/36/EU Evropskega parlamenta in Sveta z dne 26. junija 2013 o dostopu do dejavnosti kreditnih institucij in bonitetnem nadzoru kreditnih institucij, spremembi Direktive 2002/87/ES in razveljavitvi direktiv 2006/48/ES in 2006/49/ES (UL L št. 176 z dne 27. 6. 2013, str. 338), zadnjič spremenjena z</w:t>
      </w:r>
      <w:r w:rsidR="001E58FE" w:rsidRPr="00215B2F">
        <w:rPr>
          <w:rFonts w:cs="Arial"/>
          <w:bCs/>
          <w:sz w:val="20"/>
          <w:szCs w:val="20"/>
        </w:rPr>
        <w:t xml:space="preserve"> </w:t>
      </w:r>
      <w:r w:rsidR="001E58FE" w:rsidRPr="00215B2F">
        <w:rPr>
          <w:rFonts w:eastAsia="Arial" w:cs="Arial"/>
          <w:sz w:val="20"/>
          <w:szCs w:val="20"/>
        </w:rPr>
        <w:t>Delegirano uredba Komisije (EU) 2025/791 z dne 23. aprila 2025 o dopolnitvi Direktive 2013/36/EU Evropskega parlamenta in Sveta v zvezi z regulativnimi tehničnimi standardi za določitev splošnih pogojev za delovanje kolegijev nadzornikov in o razveljavitvi Delegirane uredbe Komisije (EU) 2016/98 (UL L št. 2025/791 z dne 8. 8. 2025)</w:t>
      </w:r>
      <w:r w:rsidRPr="00215B2F">
        <w:rPr>
          <w:rFonts w:eastAsia="Arial" w:cs="Arial"/>
          <w:sz w:val="20"/>
          <w:szCs w:val="20"/>
        </w:rPr>
        <w:t>;</w:t>
      </w:r>
    </w:p>
    <w:p w14:paraId="695204C6" w14:textId="313F258C" w:rsidR="008E3FA3" w:rsidRPr="00215B2F" w:rsidRDefault="00D91782">
      <w:pPr>
        <w:pStyle w:val="tevilnatoka"/>
        <w:numPr>
          <w:ilvl w:val="0"/>
          <w:numId w:val="28"/>
        </w:numPr>
        <w:shd w:val="clear" w:color="auto" w:fill="FFFFFF" w:themeFill="background1"/>
        <w:tabs>
          <w:tab w:val="clear" w:pos="425"/>
        </w:tabs>
        <w:rPr>
          <w:rFonts w:cs="Arial"/>
          <w:bCs/>
          <w:sz w:val="20"/>
          <w:szCs w:val="20"/>
        </w:rPr>
      </w:pPr>
      <w:r w:rsidRPr="00215B2F">
        <w:rPr>
          <w:rFonts w:eastAsia="Arial" w:cs="Arial"/>
          <w:sz w:val="20"/>
          <w:szCs w:val="20"/>
        </w:rPr>
        <w:t>Direktiva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zadnjič spremenjena z Direktivo (EU)</w:t>
      </w:r>
      <w:r w:rsidR="001556CA" w:rsidRPr="00215B2F">
        <w:rPr>
          <w:rFonts w:eastAsia="Arial" w:cs="Arial"/>
          <w:sz w:val="20"/>
          <w:szCs w:val="20"/>
        </w:rPr>
        <w:t xml:space="preserve"> 2025/1 Evropskega parlamenta in Sveta z dne 27. novembra 2024 o vzpostavitvi okvira za sanacijo in reševanje zavarovalnic in pozavarovalnic ter spremembi direktiv 2002/47/ES, 2004/25/ES, 2007/36/ES, 2014/59/EU in (EU) 2017/1132 ter uredb (EU) št. 1094/2010, (EU) št. 648/2012, (EU) št. 806/2014 in (EU) 2017/1129</w:t>
      </w:r>
      <w:r w:rsidR="001556CA" w:rsidRPr="00215B2F" w:rsidDel="00050BA0">
        <w:rPr>
          <w:rFonts w:eastAsia="Arial" w:cs="Arial"/>
          <w:sz w:val="20"/>
          <w:szCs w:val="20"/>
        </w:rPr>
        <w:t xml:space="preserve"> </w:t>
      </w:r>
      <w:r w:rsidR="001556CA" w:rsidRPr="00215B2F">
        <w:rPr>
          <w:rFonts w:eastAsia="Arial" w:cs="Arial"/>
          <w:sz w:val="20"/>
          <w:szCs w:val="20"/>
        </w:rPr>
        <w:t>(UL L št. 2025/1 z dne 8. 1. 2025)</w:t>
      </w:r>
      <w:r w:rsidR="004354DD" w:rsidRPr="00215B2F">
        <w:rPr>
          <w:rFonts w:eastAsia="Arial" w:cs="Arial"/>
          <w:sz w:val="20"/>
          <w:szCs w:val="20"/>
        </w:rPr>
        <w:t>,</w:t>
      </w:r>
      <w:r w:rsidRPr="00215B2F">
        <w:rPr>
          <w:rFonts w:eastAsia="Arial" w:cs="Arial"/>
          <w:sz w:val="20"/>
          <w:szCs w:val="20"/>
        </w:rPr>
        <w:t xml:space="preserve"> </w:t>
      </w:r>
      <w:r w:rsidR="004354DD" w:rsidRPr="00215B2F">
        <w:rPr>
          <w:rFonts w:eastAsia="Arial" w:cs="Arial"/>
          <w:sz w:val="20"/>
          <w:szCs w:val="20"/>
        </w:rPr>
        <w:t>(</w:t>
      </w:r>
      <w:r w:rsidRPr="00215B2F">
        <w:rPr>
          <w:rFonts w:eastAsia="Arial" w:cs="Arial"/>
          <w:sz w:val="20"/>
          <w:szCs w:val="20"/>
        </w:rPr>
        <w:t>v nadaljnjem besedilu: Direktiva 2014/59/EU);</w:t>
      </w:r>
    </w:p>
    <w:p w14:paraId="6E859E2B" w14:textId="6A0E63EC" w:rsidR="008E3FA3" w:rsidRPr="00215B2F" w:rsidRDefault="00D91782">
      <w:pPr>
        <w:pStyle w:val="tevilnatoka"/>
        <w:numPr>
          <w:ilvl w:val="0"/>
          <w:numId w:val="28"/>
        </w:numPr>
        <w:shd w:val="clear" w:color="auto" w:fill="FFFFFF" w:themeFill="background1"/>
        <w:tabs>
          <w:tab w:val="clear" w:pos="425"/>
        </w:tabs>
        <w:rPr>
          <w:rFonts w:cs="Arial"/>
          <w:bCs/>
          <w:sz w:val="20"/>
          <w:szCs w:val="20"/>
        </w:rPr>
      </w:pPr>
      <w:r w:rsidRPr="00215B2F">
        <w:rPr>
          <w:rFonts w:eastAsia="Arial" w:cs="Arial"/>
          <w:sz w:val="20"/>
          <w:szCs w:val="20"/>
        </w:rPr>
        <w:t xml:space="preserve">Direktiva Sveta 86/635/EGS z dne 8. decembra 1986 o letnih računovodskih izkazih in konsolidiranih računovodskih izkazih bank in drugih finančnih institucij (UL L št. 372 z dne 31. 12. 1986, str. 1), zadnjič spremenjena z Direktivo 2006/46/ES Evropskega parlamenta in Sveta z dne 14. junija 2006 o spremembi direktiv Sveta 78/660/EGS o letnih računovodskih izkazih posameznih vrst družb, 83/349/EGS o konsolidiranih računovodskih izkazih, 86/635/EGS o letnih računovodskih </w:t>
      </w:r>
      <w:r w:rsidRPr="00215B2F">
        <w:rPr>
          <w:rFonts w:eastAsia="Arial" w:cs="Arial"/>
          <w:sz w:val="20"/>
          <w:szCs w:val="20"/>
        </w:rPr>
        <w:lastRenderedPageBreak/>
        <w:t>izkazih in konsolidiranih računovodskih izkazih bank in drugih finančnih institucij ter 91/674/EGS o letnih računovodskih izkazih in konsolidiranih računovodskih izkazih zavarovalnic (UL</w:t>
      </w:r>
      <w:r w:rsidR="006159D2" w:rsidRPr="00215B2F">
        <w:rPr>
          <w:rFonts w:eastAsia="Arial" w:cs="Arial"/>
          <w:sz w:val="20"/>
          <w:szCs w:val="20"/>
        </w:rPr>
        <w:t> </w:t>
      </w:r>
      <w:r w:rsidRPr="00215B2F">
        <w:rPr>
          <w:rFonts w:eastAsia="Arial" w:cs="Arial"/>
          <w:sz w:val="20"/>
          <w:szCs w:val="20"/>
        </w:rPr>
        <w:t>L št. 224 z dne 16. 8. 2006, str. 1);</w:t>
      </w:r>
    </w:p>
    <w:p w14:paraId="7C9ADCCB" w14:textId="7A80A68A" w:rsidR="008E3FA3" w:rsidRPr="00215B2F" w:rsidRDefault="00D91782">
      <w:pPr>
        <w:pStyle w:val="tevilnatoka"/>
        <w:numPr>
          <w:ilvl w:val="0"/>
          <w:numId w:val="28"/>
        </w:numPr>
        <w:shd w:val="clear" w:color="auto" w:fill="FFFFFF" w:themeFill="background1"/>
        <w:tabs>
          <w:tab w:val="clear" w:pos="425"/>
        </w:tabs>
        <w:rPr>
          <w:rFonts w:cs="Arial"/>
          <w:bCs/>
          <w:sz w:val="20"/>
          <w:szCs w:val="20"/>
        </w:rPr>
      </w:pPr>
      <w:r w:rsidRPr="00215B2F">
        <w:rPr>
          <w:rFonts w:eastAsia="Arial" w:cs="Arial"/>
          <w:sz w:val="20"/>
          <w:szCs w:val="20"/>
        </w:rPr>
        <w:t>Direktiva Sveta 89/117/EGS z dne 13. februarja 1989 o obveznosti</w:t>
      </w:r>
      <w:r w:rsidR="00811888" w:rsidRPr="00215B2F">
        <w:rPr>
          <w:rFonts w:eastAsia="Arial" w:cs="Arial"/>
          <w:sz w:val="20"/>
          <w:szCs w:val="20"/>
        </w:rPr>
        <w:t>h</w:t>
      </w:r>
      <w:r w:rsidRPr="00215B2F">
        <w:rPr>
          <w:rFonts w:eastAsia="Arial" w:cs="Arial"/>
          <w:sz w:val="20"/>
          <w:szCs w:val="20"/>
        </w:rPr>
        <w:t xml:space="preserve"> podružnic, ustanovljenih v državi članici, ki pripadajo kreditnim in finančnim institucijam, s sedežem zunaj te države članice, glede objave letnih računovodskih izkazov (UL L št. 44 z dne 16. 2. 1989, str. 40);</w:t>
      </w:r>
    </w:p>
    <w:p w14:paraId="46ADC4A9" w14:textId="102B22D2" w:rsidR="008E3FA3" w:rsidRPr="00215B2F" w:rsidRDefault="00D91782">
      <w:pPr>
        <w:pStyle w:val="tevilnatoka"/>
        <w:numPr>
          <w:ilvl w:val="0"/>
          <w:numId w:val="28"/>
        </w:numPr>
        <w:shd w:val="clear" w:color="auto" w:fill="FFFFFF" w:themeFill="background1"/>
        <w:tabs>
          <w:tab w:val="clear" w:pos="425"/>
        </w:tabs>
        <w:rPr>
          <w:rFonts w:cs="Arial"/>
          <w:bCs/>
          <w:sz w:val="20"/>
          <w:szCs w:val="20"/>
        </w:rPr>
      </w:pPr>
      <w:r w:rsidRPr="00215B2F">
        <w:rPr>
          <w:rFonts w:eastAsia="Arial" w:cs="Arial"/>
          <w:sz w:val="20"/>
          <w:szCs w:val="20"/>
        </w:rPr>
        <w:t xml:space="preserve">Direktiva (EU) 2015/849 Evropskega parlamenta in Sveta z dne 20. maja 2015 o preprečevanju uporabe finančnega sistema za pranje denarja ali financiranje terorizma, spremembi Uredbe (EU) št. 648/2012 Evropskega parlamenta in Sveta ter razveljavitvi Direktive 2005/60/ES Evropskega parlamenta in Sveta in Direktive Komisije 2006/70/ES (UL L št. 141 z dne 5. 6. 2015, str. 73), zadnjič spremenjena z Direktivo (EU) 2024/1640 Evropskega parlamenta in Sveta z dne 31. maja 2024 o mehanizmih, ki jih morajo vzpostaviti države članice za preprečevanje uporabe finančnega sistema za pranje denarja ali financiranje terorizma, spremembi Direktive (EU) 2019/1937 ter spremembi in razveljavitvi Direktive (EU) 2015/849 (UL L št. </w:t>
      </w:r>
      <w:r w:rsidR="00811888" w:rsidRPr="00215B2F">
        <w:rPr>
          <w:rFonts w:eastAsia="Arial" w:cs="Arial"/>
          <w:sz w:val="20"/>
          <w:szCs w:val="20"/>
        </w:rPr>
        <w:t>2024/</w:t>
      </w:r>
      <w:r w:rsidRPr="00215B2F">
        <w:rPr>
          <w:rFonts w:eastAsia="Arial" w:cs="Arial"/>
          <w:sz w:val="20"/>
          <w:szCs w:val="20"/>
        </w:rPr>
        <w:t>1640 z dne 19. 6. 2024</w:t>
      </w:r>
      <w:r w:rsidR="006159D2" w:rsidRPr="00215B2F">
        <w:rPr>
          <w:rFonts w:eastAsia="Arial" w:cs="Arial"/>
          <w:sz w:val="20"/>
          <w:szCs w:val="20"/>
        </w:rPr>
        <w:t>),</w:t>
      </w:r>
      <w:r w:rsidRPr="00215B2F">
        <w:rPr>
          <w:rFonts w:eastAsia="Arial" w:cs="Arial"/>
          <w:sz w:val="20"/>
          <w:szCs w:val="20"/>
        </w:rPr>
        <w:t xml:space="preserve"> </w:t>
      </w:r>
      <w:r w:rsidR="006159D2" w:rsidRPr="00215B2F">
        <w:rPr>
          <w:rFonts w:eastAsia="Arial" w:cs="Arial"/>
          <w:sz w:val="20"/>
          <w:szCs w:val="20"/>
        </w:rPr>
        <w:t>(</w:t>
      </w:r>
      <w:r w:rsidRPr="00215B2F">
        <w:rPr>
          <w:rFonts w:eastAsia="Arial" w:cs="Arial"/>
          <w:sz w:val="20"/>
          <w:szCs w:val="20"/>
        </w:rPr>
        <w:t>v nadaljnjem besedilu: Direktiva 2015/849/EU)</w:t>
      </w:r>
      <w:r w:rsidR="00C855CA" w:rsidRPr="00215B2F">
        <w:rPr>
          <w:rFonts w:eastAsia="Arial" w:cs="Arial"/>
          <w:sz w:val="20"/>
          <w:szCs w:val="20"/>
        </w:rPr>
        <w:t>.</w:t>
      </w:r>
    </w:p>
    <w:p w14:paraId="1CA43FC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42F6DA3" w14:textId="04C14966"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1.2 OPREDELITVE KRATIC IN IZRAZOV</w:t>
      </w:r>
    </w:p>
    <w:p w14:paraId="0A8DF6D6"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03432372" w14:textId="77777777" w:rsidR="00D91782" w:rsidRPr="00215B2F" w:rsidRDefault="00D91782" w:rsidP="006455BC">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4" w:name="_Ref202959896"/>
      <w:r w:rsidRPr="00215B2F">
        <w:rPr>
          <w:rFonts w:ascii="Arial" w:eastAsia="Arial" w:hAnsi="Arial" w:cs="Arial"/>
          <w:b/>
          <w:bCs/>
          <w:sz w:val="20"/>
          <w:szCs w:val="20"/>
        </w:rPr>
        <w:t>člen</w:t>
      </w:r>
      <w:bookmarkEnd w:id="14"/>
    </w:p>
    <w:p w14:paraId="2026C985"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(kratice drugih zakonov in aktov Evropske unije)</w:t>
      </w:r>
    </w:p>
    <w:p w14:paraId="0B0DB34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7A495D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V tem zakonu so uporabljene naslednje kratice drugih zakonov:</w:t>
      </w:r>
    </w:p>
    <w:p w14:paraId="7014750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28B0758" w14:textId="77777777" w:rsidR="008E3FA3" w:rsidRPr="00215B2F" w:rsidRDefault="00D91782">
      <w:pPr>
        <w:pStyle w:val="tevilnatoka"/>
        <w:numPr>
          <w:ilvl w:val="0"/>
          <w:numId w:val="29"/>
        </w:numPr>
        <w:shd w:val="clear" w:color="auto" w:fill="FFFFFF" w:themeFill="background1"/>
        <w:tabs>
          <w:tab w:val="clear" w:pos="425"/>
        </w:tabs>
        <w:rPr>
          <w:rFonts w:cs="Arial"/>
          <w:bCs/>
          <w:sz w:val="20"/>
          <w:szCs w:val="20"/>
        </w:rPr>
      </w:pPr>
      <w:r w:rsidRPr="00215B2F">
        <w:rPr>
          <w:rFonts w:eastAsia="Arial" w:cs="Arial"/>
          <w:sz w:val="20"/>
          <w:szCs w:val="20"/>
        </w:rPr>
        <w:t>ZFK je zakon, ki ureja finančne konglomerate;</w:t>
      </w:r>
    </w:p>
    <w:p w14:paraId="00524027" w14:textId="77777777" w:rsidR="008E3FA3" w:rsidRPr="00215B2F" w:rsidRDefault="00D91782">
      <w:pPr>
        <w:pStyle w:val="tevilnatoka"/>
        <w:numPr>
          <w:ilvl w:val="0"/>
          <w:numId w:val="29"/>
        </w:numPr>
        <w:shd w:val="clear" w:color="auto" w:fill="FFFFFF" w:themeFill="background1"/>
        <w:tabs>
          <w:tab w:val="clear" w:pos="425"/>
        </w:tabs>
        <w:rPr>
          <w:rFonts w:cs="Arial"/>
          <w:bCs/>
          <w:sz w:val="20"/>
          <w:szCs w:val="20"/>
        </w:rPr>
      </w:pPr>
      <w:r w:rsidRPr="00215B2F">
        <w:rPr>
          <w:rFonts w:eastAsia="Arial" w:cs="Arial"/>
          <w:sz w:val="20"/>
          <w:szCs w:val="20"/>
        </w:rPr>
        <w:t>ZGD-1 je zakon, ki ureja gospodarske družbe;</w:t>
      </w:r>
    </w:p>
    <w:p w14:paraId="2E80C3FE" w14:textId="77777777" w:rsidR="008E3FA3" w:rsidRPr="00215B2F" w:rsidRDefault="00D91782">
      <w:pPr>
        <w:pStyle w:val="tevilnatoka"/>
        <w:numPr>
          <w:ilvl w:val="0"/>
          <w:numId w:val="29"/>
        </w:numPr>
        <w:shd w:val="clear" w:color="auto" w:fill="FFFFFF" w:themeFill="background1"/>
        <w:tabs>
          <w:tab w:val="clear" w:pos="425"/>
        </w:tabs>
        <w:rPr>
          <w:rFonts w:cs="Arial"/>
          <w:bCs/>
          <w:sz w:val="20"/>
          <w:szCs w:val="20"/>
        </w:rPr>
      </w:pPr>
      <w:r w:rsidRPr="00215B2F">
        <w:rPr>
          <w:rFonts w:eastAsia="Arial" w:cs="Arial"/>
          <w:sz w:val="20"/>
          <w:szCs w:val="20"/>
        </w:rPr>
        <w:t>ZIN je zakon, ki ureja inšpekcijski nadzor;</w:t>
      </w:r>
    </w:p>
    <w:p w14:paraId="53CAFBBA" w14:textId="58872FEB" w:rsidR="001556CA" w:rsidRPr="00215B2F" w:rsidRDefault="001556CA">
      <w:pPr>
        <w:pStyle w:val="tevilnatoka"/>
        <w:numPr>
          <w:ilvl w:val="0"/>
          <w:numId w:val="29"/>
        </w:numPr>
        <w:shd w:val="clear" w:color="auto" w:fill="FFFFFF" w:themeFill="background1"/>
        <w:tabs>
          <w:tab w:val="clear" w:pos="425"/>
        </w:tabs>
        <w:rPr>
          <w:rFonts w:cs="Arial"/>
          <w:bCs/>
          <w:sz w:val="20"/>
          <w:szCs w:val="20"/>
        </w:rPr>
      </w:pPr>
      <w:r w:rsidRPr="00215B2F">
        <w:rPr>
          <w:rFonts w:eastAsia="Arial" w:cs="Arial"/>
          <w:sz w:val="20"/>
          <w:szCs w:val="20"/>
        </w:rPr>
        <w:t>ZRPPB-1 je zakon, ki ureja reševanje in prisilno prenehanje bank;</w:t>
      </w:r>
    </w:p>
    <w:p w14:paraId="618E6928" w14:textId="77777777" w:rsidR="008E3FA3" w:rsidRPr="00215B2F" w:rsidRDefault="00D91782">
      <w:pPr>
        <w:pStyle w:val="tevilnatoka"/>
        <w:numPr>
          <w:ilvl w:val="0"/>
          <w:numId w:val="29"/>
        </w:numPr>
        <w:shd w:val="clear" w:color="auto" w:fill="FFFFFF" w:themeFill="background1"/>
        <w:tabs>
          <w:tab w:val="clear" w:pos="425"/>
        </w:tabs>
        <w:rPr>
          <w:rFonts w:cs="Arial"/>
          <w:bCs/>
          <w:sz w:val="20"/>
          <w:szCs w:val="20"/>
        </w:rPr>
      </w:pPr>
      <w:r w:rsidRPr="00215B2F">
        <w:rPr>
          <w:rFonts w:eastAsia="Arial" w:cs="Arial"/>
          <w:sz w:val="20"/>
          <w:szCs w:val="20"/>
        </w:rPr>
        <w:t>ZPre-1 je zakon, ki ureja prevzeme;</w:t>
      </w:r>
    </w:p>
    <w:p w14:paraId="1DDB941D" w14:textId="77777777" w:rsidR="008E3FA3" w:rsidRPr="00215B2F" w:rsidRDefault="00D91782">
      <w:pPr>
        <w:pStyle w:val="tevilnatoka"/>
        <w:numPr>
          <w:ilvl w:val="0"/>
          <w:numId w:val="29"/>
        </w:numPr>
        <w:shd w:val="clear" w:color="auto" w:fill="FFFFFF" w:themeFill="background1"/>
        <w:tabs>
          <w:tab w:val="clear" w:pos="425"/>
        </w:tabs>
        <w:rPr>
          <w:rFonts w:cs="Arial"/>
          <w:bCs/>
          <w:sz w:val="20"/>
          <w:szCs w:val="20"/>
        </w:rPr>
      </w:pPr>
      <w:r w:rsidRPr="00215B2F">
        <w:rPr>
          <w:rFonts w:eastAsia="Arial" w:cs="Arial"/>
          <w:sz w:val="20"/>
          <w:szCs w:val="20"/>
        </w:rPr>
        <w:t>ZSDU je zakon, ki ureja sodelovanje delavcev pri upravljanju;</w:t>
      </w:r>
    </w:p>
    <w:p w14:paraId="0E38AC18" w14:textId="77777777" w:rsidR="008E3FA3" w:rsidRPr="00215B2F" w:rsidRDefault="00D91782">
      <w:pPr>
        <w:pStyle w:val="tevilnatoka"/>
        <w:numPr>
          <w:ilvl w:val="0"/>
          <w:numId w:val="29"/>
        </w:numPr>
        <w:shd w:val="clear" w:color="auto" w:fill="FFFFFF" w:themeFill="background1"/>
        <w:tabs>
          <w:tab w:val="clear" w:pos="425"/>
        </w:tabs>
        <w:rPr>
          <w:rFonts w:cs="Arial"/>
          <w:bCs/>
          <w:sz w:val="20"/>
          <w:szCs w:val="20"/>
        </w:rPr>
      </w:pPr>
      <w:r w:rsidRPr="00215B2F">
        <w:rPr>
          <w:rFonts w:eastAsia="Arial" w:cs="Arial"/>
          <w:sz w:val="20"/>
          <w:szCs w:val="20"/>
        </w:rPr>
        <w:t>ZTFI-1 je zakon, ki ureja trg finančnih instrumentov;</w:t>
      </w:r>
      <w:r w:rsidRPr="00215B2F">
        <w:rPr>
          <w:rFonts w:eastAsia="Arial" w:cs="Arial"/>
          <w:sz w:val="20"/>
          <w:szCs w:val="20"/>
        </w:rPr>
        <w:tab/>
      </w:r>
    </w:p>
    <w:p w14:paraId="1D804F00" w14:textId="77777777" w:rsidR="008E3FA3" w:rsidRPr="00215B2F" w:rsidRDefault="00D91782">
      <w:pPr>
        <w:pStyle w:val="tevilnatoka"/>
        <w:numPr>
          <w:ilvl w:val="0"/>
          <w:numId w:val="29"/>
        </w:numPr>
        <w:shd w:val="clear" w:color="auto" w:fill="FFFFFF" w:themeFill="background1"/>
        <w:tabs>
          <w:tab w:val="clear" w:pos="425"/>
        </w:tabs>
        <w:rPr>
          <w:rFonts w:cs="Arial"/>
          <w:bCs/>
          <w:sz w:val="20"/>
          <w:szCs w:val="20"/>
        </w:rPr>
      </w:pPr>
      <w:r w:rsidRPr="00215B2F">
        <w:rPr>
          <w:rFonts w:eastAsia="Arial" w:cs="Arial"/>
          <w:sz w:val="20"/>
          <w:szCs w:val="20"/>
        </w:rPr>
        <w:t>ZUP je zakon, ki ureja splošni upravni postopek;</w:t>
      </w:r>
    </w:p>
    <w:p w14:paraId="0DAB3548" w14:textId="7340F191" w:rsidR="00D91782" w:rsidRPr="00215B2F" w:rsidRDefault="00D91782">
      <w:pPr>
        <w:pStyle w:val="tevilnatoka"/>
        <w:numPr>
          <w:ilvl w:val="0"/>
          <w:numId w:val="29"/>
        </w:numPr>
        <w:shd w:val="clear" w:color="auto" w:fill="FFFFFF" w:themeFill="background1"/>
        <w:tabs>
          <w:tab w:val="clear" w:pos="425"/>
        </w:tabs>
        <w:rPr>
          <w:rFonts w:cs="Arial"/>
          <w:bCs/>
          <w:sz w:val="20"/>
          <w:szCs w:val="20"/>
        </w:rPr>
      </w:pPr>
      <w:r w:rsidRPr="00215B2F">
        <w:rPr>
          <w:rFonts w:eastAsia="Arial" w:cs="Arial"/>
          <w:sz w:val="20"/>
          <w:szCs w:val="20"/>
        </w:rPr>
        <w:t>ZUS-1 je zakon, ki ureja upravni spor.</w:t>
      </w:r>
    </w:p>
    <w:p w14:paraId="7C27C89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D476D5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V tem zakonu so za akte Evropske unije uporabljeni naslednji skrajšani naslovi:</w:t>
      </w:r>
    </w:p>
    <w:p w14:paraId="5839D79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528A27D" w14:textId="7DC71DAC" w:rsidR="008E3FA3" w:rsidRPr="00215B2F" w:rsidRDefault="00D91782" w:rsidP="00FE20C2">
      <w:pPr>
        <w:pStyle w:val="tevilnatoka"/>
        <w:numPr>
          <w:ilvl w:val="0"/>
          <w:numId w:val="30"/>
        </w:numPr>
        <w:shd w:val="clear" w:color="auto" w:fill="FFFFFF" w:themeFill="background1"/>
        <w:tabs>
          <w:tab w:val="clear" w:pos="425"/>
        </w:tabs>
        <w:rPr>
          <w:rFonts w:cs="Arial"/>
          <w:bCs/>
          <w:sz w:val="20"/>
          <w:szCs w:val="20"/>
        </w:rPr>
      </w:pPr>
      <w:r w:rsidRPr="00215B2F">
        <w:rPr>
          <w:rFonts w:eastAsia="Arial" w:cs="Arial"/>
          <w:sz w:val="20"/>
          <w:szCs w:val="20"/>
        </w:rPr>
        <w:t>Direktiva 2009/65/ES je Direktiva 2009/65/ES Evropskega parlamenta in Sveta z dne 13. julija 2009 o usklajevanju zakonov in drugih predpisov o kolektivnih naložbenih podjemih za vlaganja v prenosljive vrednostne papirje (KNPVP) (prenovitev) (UL L št. 302 z dne 17. 11. 2009, str. 32), zadnjič spremenjena z</w:t>
      </w:r>
      <w:r w:rsidR="00FE20C2" w:rsidRPr="00215B2F">
        <w:rPr>
          <w:rFonts w:eastAsia="Arial" w:cs="Arial"/>
          <w:sz w:val="20"/>
          <w:szCs w:val="20"/>
        </w:rPr>
        <w:t xml:space="preserve"> Delegirano uredbo Komisije (EU) 2024/911 z dne 15. decembra 2023 o dopolnitvi Direktive 2009/65/ES Evropskega parlamenta in Sveta v zvezi z regulativnimi tehničnimi standardi o določitvi podatkov, ki jih je treba predložiti v zvezi s čezmejnimi dejavnostmi družb za upravljanje in kolektivnih naložbenih podjemov za vlaganja v prenosljive vrednostne papirje (KNPVP) (UL L št. 2024/911 z dne 25. 3. 2024)</w:t>
      </w:r>
      <w:r w:rsidRPr="00215B2F">
        <w:rPr>
          <w:rFonts w:eastAsia="Arial" w:cs="Arial"/>
          <w:sz w:val="20"/>
          <w:szCs w:val="20"/>
        </w:rPr>
        <w:t>;</w:t>
      </w:r>
    </w:p>
    <w:p w14:paraId="6B0908B9" w14:textId="7A5A3688" w:rsidR="008E3FA3" w:rsidRPr="00215B2F" w:rsidRDefault="00D91782" w:rsidP="001E7A57">
      <w:pPr>
        <w:pStyle w:val="tevilnatoka"/>
        <w:numPr>
          <w:ilvl w:val="0"/>
          <w:numId w:val="30"/>
        </w:numPr>
        <w:shd w:val="clear" w:color="auto" w:fill="FFFFFF" w:themeFill="background1"/>
        <w:tabs>
          <w:tab w:val="clear" w:pos="425"/>
        </w:tabs>
        <w:rPr>
          <w:rFonts w:cs="Arial"/>
          <w:sz w:val="20"/>
          <w:szCs w:val="20"/>
        </w:rPr>
      </w:pPr>
      <w:r w:rsidRPr="00215B2F">
        <w:rPr>
          <w:rFonts w:eastAsia="Arial" w:cs="Arial"/>
          <w:sz w:val="20"/>
          <w:szCs w:val="20"/>
        </w:rPr>
        <w:t xml:space="preserve">Direktiva 2009/138/ES je Direktiva 2009/138/ES Evropskega </w:t>
      </w:r>
      <w:r w:rsidR="0029587D" w:rsidRPr="00215B2F">
        <w:rPr>
          <w:rFonts w:eastAsia="Arial" w:cs="Arial"/>
          <w:sz w:val="20"/>
          <w:szCs w:val="20"/>
        </w:rPr>
        <w:t xml:space="preserve">Parlamenta </w:t>
      </w:r>
      <w:r w:rsidRPr="00215B2F">
        <w:rPr>
          <w:rFonts w:eastAsia="Arial" w:cs="Arial"/>
          <w:sz w:val="20"/>
          <w:szCs w:val="20"/>
        </w:rPr>
        <w:t xml:space="preserve">in Sveta z dne 25. novembra 2009 o začetku opravljanja in opravljanju dejavnosti zavarovanja in pozavarovanja (Solventnost II) (prenovitev) (UL L št. 335 z dne 17. 12. 2009, str. 1), zadnjič spremenjena z </w:t>
      </w:r>
      <w:r w:rsidR="001E7A57" w:rsidRPr="00215B2F">
        <w:rPr>
          <w:rFonts w:cs="Arial"/>
          <w:sz w:val="20"/>
          <w:szCs w:val="20"/>
        </w:rPr>
        <w:t>Direktivo (EU) 2025/2 Evropskega parlamenta in Sveta z dne 27. novembra 2024 o spremembi Direktive 2009/138/ES glede sorazmernosti, kakovosti nadzora, poročanja, dolgoročnih jamstvenih ukrepov, makrobonitetnih orodij, tveganj glede trajnostnosti ter nadzora skupin in čezmejnega nadzora ter spremembi direktiv 2002/87/ES in 2013/34/EU (</w:t>
      </w:r>
      <w:r w:rsidR="001E7A57" w:rsidRPr="00215B2F">
        <w:rPr>
          <w:rFonts w:eastAsiaTheme="majorEastAsia" w:cs="Arial"/>
          <w:sz w:val="20"/>
          <w:szCs w:val="20"/>
        </w:rPr>
        <w:t xml:space="preserve">UL L </w:t>
      </w:r>
      <w:r w:rsidR="001E7A57" w:rsidRPr="00215B2F">
        <w:rPr>
          <w:rFonts w:cs="Arial"/>
          <w:sz w:val="20"/>
          <w:szCs w:val="20"/>
        </w:rPr>
        <w:t xml:space="preserve">št. </w:t>
      </w:r>
      <w:r w:rsidR="001E7A57" w:rsidRPr="00215B2F">
        <w:rPr>
          <w:rFonts w:eastAsiaTheme="majorEastAsia" w:cs="Arial"/>
          <w:sz w:val="20"/>
          <w:szCs w:val="20"/>
        </w:rPr>
        <w:t>2025/2</w:t>
      </w:r>
      <w:r w:rsidR="001E7A57" w:rsidRPr="00215B2F">
        <w:rPr>
          <w:rFonts w:cs="Arial"/>
          <w:sz w:val="20"/>
          <w:szCs w:val="20"/>
        </w:rPr>
        <w:t xml:space="preserve"> z dne</w:t>
      </w:r>
      <w:r w:rsidR="001E7A57" w:rsidRPr="00215B2F">
        <w:rPr>
          <w:rFonts w:eastAsiaTheme="majorEastAsia" w:cs="Arial"/>
          <w:sz w:val="20"/>
          <w:szCs w:val="20"/>
        </w:rPr>
        <w:t xml:space="preserve"> 8. 1. 2025</w:t>
      </w:r>
      <w:r w:rsidR="001E7A57" w:rsidRPr="00215B2F">
        <w:rPr>
          <w:rFonts w:cs="Arial"/>
          <w:sz w:val="20"/>
          <w:szCs w:val="20"/>
        </w:rPr>
        <w:t>)</w:t>
      </w:r>
      <w:r w:rsidRPr="00215B2F">
        <w:rPr>
          <w:rFonts w:eastAsia="Arial" w:cs="Arial"/>
          <w:sz w:val="20"/>
          <w:szCs w:val="20"/>
        </w:rPr>
        <w:t>;</w:t>
      </w:r>
    </w:p>
    <w:p w14:paraId="52EE4D3B" w14:textId="47397533" w:rsidR="000F26D9" w:rsidRPr="00215B2F" w:rsidRDefault="000F26D9" w:rsidP="00FE20C2">
      <w:pPr>
        <w:pStyle w:val="tevilnatoka"/>
        <w:numPr>
          <w:ilvl w:val="0"/>
          <w:numId w:val="30"/>
        </w:numPr>
        <w:shd w:val="clear" w:color="auto" w:fill="FFFFFF" w:themeFill="background1"/>
        <w:tabs>
          <w:tab w:val="clear" w:pos="425"/>
        </w:tabs>
        <w:rPr>
          <w:rFonts w:cs="Arial"/>
          <w:sz w:val="20"/>
          <w:szCs w:val="20"/>
        </w:rPr>
      </w:pPr>
      <w:r w:rsidRPr="00215B2F">
        <w:rPr>
          <w:rFonts w:eastAsia="Arial" w:cs="Arial"/>
          <w:sz w:val="20"/>
          <w:szCs w:val="20"/>
        </w:rPr>
        <w:t>Direktiva 2013/34/EU je Direktiva 2013/34/EU Evropskega parlamenta in Sveta z dne 26. junija 2013 o letnih računovodskih izkazih</w:t>
      </w:r>
      <w:r w:rsidR="0029587D" w:rsidRPr="00215B2F">
        <w:rPr>
          <w:rFonts w:eastAsia="Arial" w:cs="Arial"/>
          <w:sz w:val="20"/>
          <w:szCs w:val="20"/>
        </w:rPr>
        <w:t>,</w:t>
      </w:r>
      <w:r w:rsidRPr="00215B2F">
        <w:rPr>
          <w:rFonts w:eastAsia="Arial" w:cs="Arial"/>
          <w:sz w:val="20"/>
          <w:szCs w:val="20"/>
        </w:rPr>
        <w:t xml:space="preserve"> </w:t>
      </w:r>
      <w:r w:rsidR="0029587D" w:rsidRPr="00215B2F">
        <w:rPr>
          <w:rFonts w:eastAsia="Arial" w:cs="Arial"/>
          <w:sz w:val="20"/>
          <w:szCs w:val="20"/>
        </w:rPr>
        <w:t xml:space="preserve">konsolidiranih računovodskih izkazih </w:t>
      </w:r>
      <w:r w:rsidRPr="00215B2F">
        <w:rPr>
          <w:rFonts w:eastAsia="Arial" w:cs="Arial"/>
          <w:sz w:val="20"/>
          <w:szCs w:val="20"/>
        </w:rPr>
        <w:t>in povezanih poročilih nekaterih vrst podjetij, spremembi Direktive 2006/43ES Evropskega parlamenta in Sveta ter razveljavitvi direktiv Sveta 78/660/EGS in 83/349/EGS (UL L št. 182 z dne 29. 6. 2013, str. 19), zadnjič spremenjena z</w:t>
      </w:r>
      <w:r w:rsidR="00FE20C2" w:rsidRPr="00215B2F">
        <w:rPr>
          <w:rFonts w:eastAsia="Arial" w:cs="Arial"/>
          <w:sz w:val="20"/>
          <w:szCs w:val="20"/>
        </w:rPr>
        <w:t xml:space="preserve"> Direktivo (EU) 2025/2 Evropskega parlamenta in Sveta z dne 27. novembra 2024 o spremembi Direktive 2009/138/ES glede sorazmernosti, kakovosti nadzora, poročanja, dolgoročnih jamstvenih ukrepov, makrobonitetnih orodij, tveganj glede trajnostnosti ter nadzora skupin in čezmejnega nadzora ter spremembi direktiv 2002/87/ES in 2013/34/EU </w:t>
      </w:r>
      <w:r w:rsidR="00FE20C2" w:rsidRPr="00215B2F">
        <w:rPr>
          <w:rFonts w:cs="Arial"/>
          <w:sz w:val="20"/>
          <w:szCs w:val="20"/>
        </w:rPr>
        <w:t>(UL</w:t>
      </w:r>
      <w:r w:rsidR="00FE20C2" w:rsidRPr="00215B2F">
        <w:rPr>
          <w:rFonts w:eastAsiaTheme="majorEastAsia" w:cs="Arial"/>
          <w:sz w:val="20"/>
          <w:szCs w:val="20"/>
        </w:rPr>
        <w:t xml:space="preserve"> L</w:t>
      </w:r>
      <w:r w:rsidR="00FE20C2" w:rsidRPr="00215B2F">
        <w:rPr>
          <w:rFonts w:cs="Arial"/>
          <w:sz w:val="20"/>
          <w:szCs w:val="20"/>
        </w:rPr>
        <w:t xml:space="preserve"> št.</w:t>
      </w:r>
      <w:r w:rsidR="00FE20C2" w:rsidRPr="00215B2F">
        <w:rPr>
          <w:rFonts w:eastAsiaTheme="majorEastAsia" w:cs="Arial"/>
          <w:sz w:val="20"/>
          <w:szCs w:val="20"/>
        </w:rPr>
        <w:t xml:space="preserve"> </w:t>
      </w:r>
      <w:r w:rsidR="00FE20C2" w:rsidRPr="00215B2F">
        <w:rPr>
          <w:rFonts w:eastAsia="Arial" w:cs="Arial"/>
          <w:sz w:val="20"/>
          <w:szCs w:val="20"/>
        </w:rPr>
        <w:t>2025/2</w:t>
      </w:r>
      <w:r w:rsidR="00FE20C2" w:rsidRPr="00215B2F">
        <w:rPr>
          <w:rFonts w:cs="Arial"/>
          <w:sz w:val="20"/>
          <w:szCs w:val="20"/>
        </w:rPr>
        <w:t xml:space="preserve"> z dne </w:t>
      </w:r>
      <w:r w:rsidR="00FE20C2" w:rsidRPr="00215B2F">
        <w:rPr>
          <w:rFonts w:eastAsia="Arial" w:cs="Arial"/>
          <w:sz w:val="20"/>
          <w:szCs w:val="20"/>
        </w:rPr>
        <w:t>8.</w:t>
      </w:r>
      <w:r w:rsidR="004761A7" w:rsidRPr="00215B2F">
        <w:rPr>
          <w:rFonts w:eastAsia="Arial" w:cs="Arial"/>
          <w:sz w:val="20"/>
          <w:szCs w:val="20"/>
        </w:rPr>
        <w:t xml:space="preserve"> </w:t>
      </w:r>
      <w:r w:rsidR="00FE20C2" w:rsidRPr="00215B2F">
        <w:rPr>
          <w:rFonts w:eastAsia="Arial" w:cs="Arial"/>
          <w:sz w:val="20"/>
          <w:szCs w:val="20"/>
        </w:rPr>
        <w:t>1.</w:t>
      </w:r>
      <w:r w:rsidR="004761A7" w:rsidRPr="00215B2F">
        <w:rPr>
          <w:rFonts w:eastAsia="Arial" w:cs="Arial"/>
          <w:sz w:val="20"/>
          <w:szCs w:val="20"/>
        </w:rPr>
        <w:t xml:space="preserve"> </w:t>
      </w:r>
      <w:r w:rsidR="00FE20C2" w:rsidRPr="00215B2F">
        <w:rPr>
          <w:rFonts w:eastAsia="Arial" w:cs="Arial"/>
          <w:sz w:val="20"/>
          <w:szCs w:val="20"/>
        </w:rPr>
        <w:t>2025)</w:t>
      </w:r>
      <w:r w:rsidRPr="00215B2F">
        <w:rPr>
          <w:rFonts w:eastAsia="Arial" w:cs="Arial"/>
          <w:sz w:val="20"/>
          <w:szCs w:val="20"/>
        </w:rPr>
        <w:t xml:space="preserve">; </w:t>
      </w:r>
    </w:p>
    <w:p w14:paraId="1290C018" w14:textId="1AE55D9A" w:rsidR="008E3FA3" w:rsidRPr="00215B2F" w:rsidRDefault="00D91782" w:rsidP="00FE20C2">
      <w:pPr>
        <w:pStyle w:val="tevilnatoka"/>
        <w:numPr>
          <w:ilvl w:val="0"/>
          <w:numId w:val="30"/>
        </w:numPr>
        <w:shd w:val="clear" w:color="auto" w:fill="FFFFFF" w:themeFill="background1"/>
        <w:tabs>
          <w:tab w:val="clear" w:pos="425"/>
        </w:tabs>
        <w:rPr>
          <w:rFonts w:cs="Arial"/>
          <w:sz w:val="20"/>
          <w:szCs w:val="20"/>
        </w:rPr>
      </w:pPr>
      <w:r w:rsidRPr="00215B2F">
        <w:rPr>
          <w:rFonts w:eastAsia="Arial" w:cs="Arial"/>
          <w:sz w:val="20"/>
          <w:szCs w:val="20"/>
        </w:rPr>
        <w:lastRenderedPageBreak/>
        <w:t>Direktiva 2014/65/EU je Direktiva 2014/65/EU Evropskega parlamenta in Sveta z dne 15. maja 2014 o trgih finančnih instrumentov ter spremembi Direktive 2002/92/ES in Direktive 2011/61/EU</w:t>
      </w:r>
      <w:r w:rsidR="0029587D" w:rsidRPr="00215B2F">
        <w:rPr>
          <w:rFonts w:eastAsia="Arial" w:cs="Arial"/>
          <w:sz w:val="20"/>
          <w:szCs w:val="20"/>
        </w:rPr>
        <w:t xml:space="preserve"> (prenovitev)</w:t>
      </w:r>
      <w:r w:rsidRPr="00215B2F">
        <w:rPr>
          <w:rFonts w:eastAsia="Arial" w:cs="Arial"/>
          <w:sz w:val="20"/>
          <w:szCs w:val="20"/>
        </w:rPr>
        <w:t xml:space="preserve"> (UL L št. 173 z dne 12. 6. 2014, str. 349), zadnjič spremenjena z</w:t>
      </w:r>
      <w:r w:rsidR="00FE20C2" w:rsidRPr="00215B2F">
        <w:rPr>
          <w:rFonts w:eastAsia="Arial" w:cs="Arial"/>
          <w:sz w:val="20"/>
          <w:szCs w:val="20"/>
        </w:rPr>
        <w:t xml:space="preserve"> Direktivo (EU) 2024/2811 Evropskega parlamenta in Sveta z dne 23. oktobra 2024 o spremembi Direktive 2014/65/EU za povečanje privlačnosti javnih kapitalskih trgov v Uniji za podjetja in olajšanje dostopa do kapitala za mala in srednja podjetja ter razveljavitvi Direktive 2001/34/ES </w:t>
      </w:r>
      <w:r w:rsidR="00FE20C2" w:rsidRPr="00215B2F">
        <w:rPr>
          <w:rFonts w:cs="Arial"/>
          <w:sz w:val="20"/>
          <w:szCs w:val="20"/>
        </w:rPr>
        <w:t>(UL</w:t>
      </w:r>
      <w:r w:rsidR="00FE20C2" w:rsidRPr="00215B2F">
        <w:rPr>
          <w:rFonts w:eastAsiaTheme="majorEastAsia" w:cs="Arial"/>
          <w:sz w:val="20"/>
          <w:szCs w:val="20"/>
        </w:rPr>
        <w:t xml:space="preserve"> L</w:t>
      </w:r>
      <w:r w:rsidR="00FE20C2" w:rsidRPr="00215B2F">
        <w:rPr>
          <w:rFonts w:cs="Arial"/>
          <w:sz w:val="20"/>
          <w:szCs w:val="20"/>
        </w:rPr>
        <w:t xml:space="preserve"> št.</w:t>
      </w:r>
      <w:r w:rsidR="00FE20C2" w:rsidRPr="00215B2F">
        <w:rPr>
          <w:rFonts w:eastAsiaTheme="majorEastAsia" w:cs="Arial"/>
          <w:sz w:val="20"/>
          <w:szCs w:val="20"/>
        </w:rPr>
        <w:t xml:space="preserve"> </w:t>
      </w:r>
      <w:r w:rsidR="00FE20C2" w:rsidRPr="00215B2F">
        <w:rPr>
          <w:rFonts w:eastAsia="Arial" w:cs="Arial"/>
          <w:sz w:val="20"/>
          <w:szCs w:val="20"/>
        </w:rPr>
        <w:t>2024/2811</w:t>
      </w:r>
      <w:r w:rsidR="00FE20C2" w:rsidRPr="00215B2F">
        <w:rPr>
          <w:rFonts w:cs="Arial"/>
          <w:sz w:val="20"/>
          <w:szCs w:val="20"/>
        </w:rPr>
        <w:t xml:space="preserve"> z dne </w:t>
      </w:r>
      <w:r w:rsidR="00FE20C2" w:rsidRPr="00215B2F">
        <w:rPr>
          <w:rFonts w:eastAsia="Arial" w:cs="Arial"/>
          <w:sz w:val="20"/>
          <w:szCs w:val="20"/>
        </w:rPr>
        <w:t>14.</w:t>
      </w:r>
      <w:r w:rsidR="004761A7" w:rsidRPr="00215B2F">
        <w:rPr>
          <w:rFonts w:eastAsia="Arial" w:cs="Arial"/>
          <w:sz w:val="20"/>
          <w:szCs w:val="20"/>
        </w:rPr>
        <w:t xml:space="preserve"> </w:t>
      </w:r>
      <w:r w:rsidR="00FE20C2" w:rsidRPr="00215B2F">
        <w:rPr>
          <w:rFonts w:eastAsia="Arial" w:cs="Arial"/>
          <w:sz w:val="20"/>
          <w:szCs w:val="20"/>
        </w:rPr>
        <w:t>11.</w:t>
      </w:r>
      <w:r w:rsidR="004761A7" w:rsidRPr="00215B2F">
        <w:rPr>
          <w:rFonts w:eastAsia="Arial" w:cs="Arial"/>
          <w:sz w:val="20"/>
          <w:szCs w:val="20"/>
        </w:rPr>
        <w:t xml:space="preserve"> </w:t>
      </w:r>
      <w:r w:rsidR="00FE20C2" w:rsidRPr="00215B2F">
        <w:rPr>
          <w:rFonts w:eastAsia="Arial" w:cs="Arial"/>
          <w:sz w:val="20"/>
          <w:szCs w:val="20"/>
        </w:rPr>
        <w:t>2024)</w:t>
      </w:r>
      <w:r w:rsidRPr="00215B2F">
        <w:rPr>
          <w:rFonts w:eastAsia="Arial" w:cs="Arial"/>
          <w:sz w:val="20"/>
          <w:szCs w:val="20"/>
        </w:rPr>
        <w:t>;</w:t>
      </w:r>
    </w:p>
    <w:p w14:paraId="0881DCE1" w14:textId="055646E3" w:rsidR="000F26D9" w:rsidRPr="00215B2F" w:rsidRDefault="000F26D9" w:rsidP="001E7A57">
      <w:pPr>
        <w:pStyle w:val="tevilnatoka"/>
        <w:numPr>
          <w:ilvl w:val="0"/>
          <w:numId w:val="30"/>
        </w:numPr>
        <w:shd w:val="clear" w:color="auto" w:fill="FFFFFF" w:themeFill="background1"/>
        <w:tabs>
          <w:tab w:val="clear" w:pos="425"/>
        </w:tabs>
        <w:rPr>
          <w:rFonts w:cs="Arial"/>
          <w:sz w:val="20"/>
          <w:szCs w:val="20"/>
        </w:rPr>
      </w:pPr>
      <w:r w:rsidRPr="00215B2F">
        <w:rPr>
          <w:rFonts w:eastAsia="Arial" w:cs="Arial"/>
          <w:sz w:val="20"/>
          <w:szCs w:val="20"/>
        </w:rPr>
        <w:t xml:space="preserve">Direktiva 2019/2034/EU je Direktiva (EU) 2019/2034 Evropskega </w:t>
      </w:r>
      <w:r w:rsidR="0029587D" w:rsidRPr="00215B2F">
        <w:rPr>
          <w:rFonts w:eastAsia="Arial" w:cs="Arial"/>
          <w:sz w:val="20"/>
          <w:szCs w:val="20"/>
        </w:rPr>
        <w:t xml:space="preserve">Parlamenta </w:t>
      </w:r>
      <w:r w:rsidRPr="00215B2F">
        <w:rPr>
          <w:rFonts w:eastAsia="Arial" w:cs="Arial"/>
          <w:sz w:val="20"/>
          <w:szCs w:val="20"/>
        </w:rPr>
        <w:t>in Sveta z dne 27.</w:t>
      </w:r>
      <w:r w:rsidR="006159D2" w:rsidRPr="00215B2F">
        <w:rPr>
          <w:rFonts w:eastAsia="Arial" w:cs="Arial"/>
          <w:sz w:val="20"/>
          <w:szCs w:val="20"/>
        </w:rPr>
        <w:t> </w:t>
      </w:r>
      <w:r w:rsidRPr="00215B2F">
        <w:rPr>
          <w:rFonts w:eastAsia="Arial" w:cs="Arial"/>
          <w:sz w:val="20"/>
          <w:szCs w:val="20"/>
        </w:rPr>
        <w:t xml:space="preserve">novembra 2019 o bonitetnem nadzoru investicijskih podjetij ter o spremembi direktiv 2002/87/ES, 2009/65/ES, 2011/61/EU, 2013/36/EU, 2014/59/EU in 2014/65/EU (UL L št. 314 z dne 5. 12. 2019, str. 64), zadnjič spremenjena z </w:t>
      </w:r>
      <w:r w:rsidR="001E7A57" w:rsidRPr="00215B2F">
        <w:rPr>
          <w:rFonts w:cs="Arial"/>
          <w:sz w:val="20"/>
          <w:szCs w:val="20"/>
        </w:rPr>
        <w:t>Direktivo (EU) 2024/2994 Evropskega parlamenta in Sveta z dne 27. novembra 2024 o spremembi direktiv 2009/65/ES, 2013/36/EU in (EU) 2019/2034 glede obravnave tveganja koncentracije, ki izhaja iz izpostavljenosti do centralnih nasprotnih strank, in tveganja nasprotne stranke pri poslih z izvedenimi finančnimi instrumenti s centralnim kliringom (</w:t>
      </w:r>
      <w:r w:rsidR="001E7A57" w:rsidRPr="00215B2F">
        <w:rPr>
          <w:rFonts w:eastAsiaTheme="majorEastAsia" w:cs="Arial"/>
          <w:sz w:val="20"/>
          <w:szCs w:val="20"/>
        </w:rPr>
        <w:t>UL L</w:t>
      </w:r>
      <w:r w:rsidR="001E7A57" w:rsidRPr="00215B2F">
        <w:rPr>
          <w:rFonts w:cs="Arial"/>
          <w:sz w:val="20"/>
          <w:szCs w:val="20"/>
        </w:rPr>
        <w:t xml:space="preserve"> št.</w:t>
      </w:r>
      <w:r w:rsidR="001E7A57" w:rsidRPr="00215B2F">
        <w:rPr>
          <w:rFonts w:eastAsiaTheme="majorEastAsia" w:cs="Arial"/>
          <w:sz w:val="20"/>
          <w:szCs w:val="20"/>
        </w:rPr>
        <w:t xml:space="preserve"> 2024/2994</w:t>
      </w:r>
      <w:r w:rsidR="001E7A57" w:rsidRPr="00215B2F">
        <w:rPr>
          <w:rFonts w:cs="Arial"/>
          <w:sz w:val="20"/>
          <w:szCs w:val="20"/>
        </w:rPr>
        <w:t xml:space="preserve"> z dne</w:t>
      </w:r>
      <w:r w:rsidR="001E7A57" w:rsidRPr="00215B2F">
        <w:rPr>
          <w:rFonts w:eastAsiaTheme="majorEastAsia" w:cs="Arial"/>
          <w:sz w:val="20"/>
          <w:szCs w:val="20"/>
        </w:rPr>
        <w:t xml:space="preserve"> 4. 12. 2024</w:t>
      </w:r>
      <w:r w:rsidR="001E7A57" w:rsidRPr="00215B2F">
        <w:rPr>
          <w:rFonts w:cs="Arial"/>
          <w:sz w:val="20"/>
          <w:szCs w:val="20"/>
        </w:rPr>
        <w:t>)</w:t>
      </w:r>
      <w:r w:rsidRPr="00215B2F">
        <w:rPr>
          <w:rFonts w:eastAsia="Arial" w:cs="Arial"/>
          <w:sz w:val="20"/>
          <w:szCs w:val="20"/>
        </w:rPr>
        <w:t>;</w:t>
      </w:r>
    </w:p>
    <w:p w14:paraId="2B0C5BC4" w14:textId="6C449956" w:rsidR="000F26D9" w:rsidRPr="00215B2F" w:rsidRDefault="000F26D9" w:rsidP="00FE20C2">
      <w:pPr>
        <w:pStyle w:val="tevilnatoka"/>
        <w:numPr>
          <w:ilvl w:val="0"/>
          <w:numId w:val="30"/>
        </w:numPr>
        <w:shd w:val="clear" w:color="auto" w:fill="FFFFFF" w:themeFill="background1"/>
        <w:tabs>
          <w:tab w:val="clear" w:pos="425"/>
        </w:tabs>
        <w:rPr>
          <w:rFonts w:cs="Arial"/>
          <w:sz w:val="20"/>
          <w:szCs w:val="20"/>
        </w:rPr>
      </w:pPr>
      <w:r w:rsidRPr="00215B2F">
        <w:rPr>
          <w:rFonts w:eastAsia="Arial" w:cs="Arial"/>
          <w:sz w:val="20"/>
          <w:szCs w:val="20"/>
        </w:rPr>
        <w:t>MSRP so mednarodni standardi računovodskega poročanja in mednarodni računovodski standardi, ki jih je sprejela Evropska komisija na podlagi Uredbe (ES) št. 1606/2002 Evropskega parlamenta in Sveta z dne 19. julija 2002 o uporabi mednarodnih računovodskih standardov (UL L št. 243 z dne 11. 9. 2002, str. 1), zadnjič spremenjene z Uredbo (ES) št. 297/2008 Evropskega parlamenta in Sveta z dne 11. marca 2008 o spremembah Uredbe (ES) št. 1606/2002 o uporabi mednarodnih računovodskih standardov, glede Komisiji podeljenih izvedbenih pooblastil (UL L št. 97 z dne 9.</w:t>
      </w:r>
      <w:r w:rsidR="005F16F0" w:rsidRPr="00215B2F">
        <w:rPr>
          <w:rFonts w:eastAsia="Arial" w:cs="Arial"/>
          <w:sz w:val="20"/>
          <w:szCs w:val="20"/>
        </w:rPr>
        <w:t> </w:t>
      </w:r>
      <w:r w:rsidRPr="00215B2F">
        <w:rPr>
          <w:rFonts w:eastAsia="Arial" w:cs="Arial"/>
          <w:sz w:val="20"/>
          <w:szCs w:val="20"/>
        </w:rPr>
        <w:t>4.</w:t>
      </w:r>
      <w:r w:rsidR="005F16F0" w:rsidRPr="00215B2F">
        <w:rPr>
          <w:rFonts w:eastAsia="Arial" w:cs="Arial"/>
          <w:sz w:val="20"/>
          <w:szCs w:val="20"/>
        </w:rPr>
        <w:t> </w:t>
      </w:r>
      <w:r w:rsidRPr="00215B2F">
        <w:rPr>
          <w:rFonts w:eastAsia="Arial" w:cs="Arial"/>
          <w:sz w:val="20"/>
          <w:szCs w:val="20"/>
        </w:rPr>
        <w:t xml:space="preserve">2008, str. 62), in </w:t>
      </w:r>
      <w:r w:rsidR="004D3389" w:rsidRPr="00215B2F">
        <w:rPr>
          <w:rFonts w:eastAsia="Arial" w:cs="Arial"/>
          <w:sz w:val="20"/>
          <w:szCs w:val="20"/>
        </w:rPr>
        <w:t xml:space="preserve">Uredbe </w:t>
      </w:r>
      <w:r w:rsidRPr="00215B2F">
        <w:rPr>
          <w:rFonts w:eastAsia="Arial" w:cs="Arial"/>
          <w:sz w:val="20"/>
          <w:szCs w:val="20"/>
        </w:rPr>
        <w:t>Komisije (EU) 2023/1803 z dne 13. avgusta 2023 o sprejetju nekaterih mednarodnih računovodskih standardov v skladu z Uredbo (ES) št. 1606/2002 Evropskega parlamenta in Sveta (UL L št. 237 z dne 26. 9. 2023, str. 1), zadnjič spremenjene z</w:t>
      </w:r>
      <w:r w:rsidR="00FE20C2" w:rsidRPr="00215B2F">
        <w:rPr>
          <w:rFonts w:cs="Arial"/>
          <w:sz w:val="20"/>
          <w:szCs w:val="20"/>
        </w:rPr>
        <w:t xml:space="preserve"> Uredbo Komisije (EU) 2025/1331 z dne 9. julija 2025 o spremembi Uredbe (EU) 2023/1803 glede mednarodnih standardov računovodskega poročanja 1, 7, 9 in 10 ter Mednarodnega računovodskega standarda 7 (UL</w:t>
      </w:r>
      <w:r w:rsidR="00FE20C2" w:rsidRPr="00215B2F">
        <w:rPr>
          <w:rFonts w:eastAsiaTheme="majorEastAsia" w:cs="Arial"/>
          <w:sz w:val="20"/>
          <w:szCs w:val="20"/>
        </w:rPr>
        <w:t xml:space="preserve"> L</w:t>
      </w:r>
      <w:r w:rsidR="00FE20C2" w:rsidRPr="00215B2F">
        <w:rPr>
          <w:rFonts w:cs="Arial"/>
          <w:sz w:val="20"/>
          <w:szCs w:val="20"/>
        </w:rPr>
        <w:t xml:space="preserve"> št.</w:t>
      </w:r>
      <w:r w:rsidR="00FE20C2" w:rsidRPr="00215B2F">
        <w:rPr>
          <w:rFonts w:eastAsiaTheme="majorEastAsia" w:cs="Arial"/>
          <w:sz w:val="20"/>
          <w:szCs w:val="20"/>
        </w:rPr>
        <w:t xml:space="preserve"> </w:t>
      </w:r>
      <w:r w:rsidR="00FE20C2" w:rsidRPr="00215B2F">
        <w:rPr>
          <w:rFonts w:cs="Arial"/>
          <w:sz w:val="20"/>
          <w:szCs w:val="20"/>
        </w:rPr>
        <w:t>2025/1331 z dne 10. 7. 2025)</w:t>
      </w:r>
      <w:r w:rsidRPr="00215B2F">
        <w:rPr>
          <w:rFonts w:eastAsia="Arial" w:cs="Arial"/>
          <w:sz w:val="20"/>
          <w:szCs w:val="20"/>
        </w:rPr>
        <w:t xml:space="preserve">; </w:t>
      </w:r>
    </w:p>
    <w:p w14:paraId="62703C9A" w14:textId="1EBB6185" w:rsidR="008E3FA3" w:rsidRPr="00215B2F" w:rsidRDefault="00D91782" w:rsidP="00FE20C2">
      <w:pPr>
        <w:pStyle w:val="tevilnatoka"/>
        <w:numPr>
          <w:ilvl w:val="0"/>
          <w:numId w:val="30"/>
        </w:numPr>
        <w:shd w:val="clear" w:color="auto" w:fill="FFFFFF" w:themeFill="background1"/>
        <w:tabs>
          <w:tab w:val="clear" w:pos="425"/>
        </w:tabs>
        <w:rPr>
          <w:rFonts w:cs="Arial"/>
          <w:sz w:val="20"/>
          <w:szCs w:val="20"/>
        </w:rPr>
      </w:pPr>
      <w:r w:rsidRPr="00215B2F">
        <w:rPr>
          <w:rFonts w:eastAsia="Arial" w:cs="Arial"/>
          <w:sz w:val="20"/>
          <w:szCs w:val="20"/>
        </w:rPr>
        <w:t>Uredba 1092/2010/EU je Uredba (EU) št. 1092/2010 Evropskega parlamenta in Sveta z dne 24. novembra 2010 o makrobonitetnem nadzoru nad finančnim sistemom Evropske unije in ustanovitvi Evropskega odbora za sistemska tveganja (UL L št. 331 z dne 15. 12. 2010, str. 1), zadnjič spremenjena z</w:t>
      </w:r>
      <w:r w:rsidR="00FE20C2" w:rsidRPr="00215B2F">
        <w:rPr>
          <w:rFonts w:cs="Arial"/>
          <w:sz w:val="20"/>
          <w:szCs w:val="20"/>
        </w:rPr>
        <w:t xml:space="preserve"> </w:t>
      </w:r>
      <w:r w:rsidR="00FE20C2" w:rsidRPr="00215B2F">
        <w:rPr>
          <w:rFonts w:eastAsia="Arial" w:cs="Arial"/>
          <w:sz w:val="20"/>
          <w:szCs w:val="20"/>
        </w:rPr>
        <w:t xml:space="preserve">Uredbo (EU) 2025/2088 Evropskega parlamenta in Sveta z dne 8. oktobra 2025 o spremembi uredb (EU) št. 1092/2010, (EU) št. 1093/2010, (EU) št. 1094/2010, (EU) št. 1095/2010, (EU) št. 806/2014, (EU) 2021/523 in (EU) 2024/1620 v zvezi z nekaterimi zahtevami glede poročanja na področju finančnih storitev in podpore za naložbe </w:t>
      </w:r>
      <w:r w:rsidR="00FE20C2" w:rsidRPr="00215B2F">
        <w:rPr>
          <w:rFonts w:cs="Arial"/>
          <w:sz w:val="20"/>
          <w:szCs w:val="20"/>
        </w:rPr>
        <w:t>(UL</w:t>
      </w:r>
      <w:r w:rsidR="00FE20C2" w:rsidRPr="00215B2F">
        <w:rPr>
          <w:rFonts w:eastAsiaTheme="majorEastAsia" w:cs="Arial"/>
          <w:sz w:val="20"/>
          <w:szCs w:val="20"/>
        </w:rPr>
        <w:t xml:space="preserve"> L</w:t>
      </w:r>
      <w:r w:rsidR="00FE20C2" w:rsidRPr="00215B2F">
        <w:rPr>
          <w:rFonts w:cs="Arial"/>
          <w:sz w:val="20"/>
          <w:szCs w:val="20"/>
        </w:rPr>
        <w:t xml:space="preserve"> št.</w:t>
      </w:r>
      <w:r w:rsidR="00FE20C2" w:rsidRPr="00215B2F">
        <w:rPr>
          <w:rFonts w:eastAsiaTheme="majorEastAsia" w:cs="Arial"/>
          <w:sz w:val="20"/>
          <w:szCs w:val="20"/>
        </w:rPr>
        <w:t xml:space="preserve"> </w:t>
      </w:r>
      <w:r w:rsidR="00FE20C2" w:rsidRPr="00215B2F">
        <w:rPr>
          <w:rFonts w:cs="Arial"/>
          <w:sz w:val="20"/>
          <w:szCs w:val="20"/>
        </w:rPr>
        <w:t>2025/2088 z dne 21. 10. 2025)</w:t>
      </w:r>
      <w:r w:rsidRPr="00215B2F">
        <w:rPr>
          <w:rFonts w:eastAsia="Arial" w:cs="Arial"/>
          <w:sz w:val="20"/>
          <w:szCs w:val="20"/>
        </w:rPr>
        <w:t>;</w:t>
      </w:r>
    </w:p>
    <w:p w14:paraId="164AEFC7" w14:textId="00F431AD" w:rsidR="008E3FA3" w:rsidRPr="00215B2F" w:rsidRDefault="00D91782" w:rsidP="00FE20C2">
      <w:pPr>
        <w:pStyle w:val="tevilnatoka"/>
        <w:numPr>
          <w:ilvl w:val="0"/>
          <w:numId w:val="30"/>
        </w:numPr>
        <w:shd w:val="clear" w:color="auto" w:fill="FFFFFF" w:themeFill="background1"/>
        <w:tabs>
          <w:tab w:val="clear" w:pos="425"/>
        </w:tabs>
        <w:rPr>
          <w:rFonts w:cs="Arial"/>
          <w:sz w:val="20"/>
          <w:szCs w:val="20"/>
        </w:rPr>
      </w:pPr>
      <w:r w:rsidRPr="00215B2F">
        <w:rPr>
          <w:rFonts w:eastAsia="Arial" w:cs="Arial"/>
          <w:sz w:val="20"/>
          <w:szCs w:val="20"/>
        </w:rPr>
        <w:t>Uredba 1093/2010/EU je Uredba (EU) št. 1093/2010 Evropskega parlamenta in Sveta z dne 24. novembra 2010 o ustanovitvi Evropskega nadzornega organa (Evropski bančni organ) in o spremembi Sklepa št. 716/2009/ES ter razveljavitvi Sklepa Komisije 2009/78/ES (UL L št. 331 z dne 15. 12. 2010, str. 12), zadnjič spremenjena z</w:t>
      </w:r>
      <w:r w:rsidR="00FE20C2" w:rsidRPr="00215B2F">
        <w:rPr>
          <w:rFonts w:cs="Arial"/>
          <w:sz w:val="20"/>
          <w:szCs w:val="20"/>
        </w:rPr>
        <w:t xml:space="preserve"> </w:t>
      </w:r>
      <w:r w:rsidR="00FE20C2" w:rsidRPr="00215B2F">
        <w:rPr>
          <w:rFonts w:eastAsia="Arial" w:cs="Arial"/>
          <w:sz w:val="20"/>
          <w:szCs w:val="20"/>
        </w:rPr>
        <w:t xml:space="preserve">Uredbo (EU) 2025/2088 Evropskega parlamenta in Sveta z dne 8. oktobra 2025 o spremembi uredb (EU) št. 1092/2010, (EU) št. 1093/2010, (EU) št. 1094/2010, (EU) št. 1095/2010, (EU) št. 806/2014, (EU) 2021/523 in (EU) 2024/1620 v zvezi z nekaterimi zahtevami glede poročanja na področju finančnih storitev in podpore za naložbe </w:t>
      </w:r>
      <w:r w:rsidR="00FE20C2" w:rsidRPr="00215B2F">
        <w:rPr>
          <w:rFonts w:cs="Arial"/>
          <w:sz w:val="20"/>
          <w:szCs w:val="20"/>
        </w:rPr>
        <w:t>(UL</w:t>
      </w:r>
      <w:r w:rsidR="00FE20C2" w:rsidRPr="00215B2F">
        <w:rPr>
          <w:rFonts w:eastAsiaTheme="majorEastAsia" w:cs="Arial"/>
          <w:sz w:val="20"/>
          <w:szCs w:val="20"/>
        </w:rPr>
        <w:t xml:space="preserve"> L</w:t>
      </w:r>
      <w:r w:rsidR="00FE20C2" w:rsidRPr="00215B2F">
        <w:rPr>
          <w:rFonts w:cs="Arial"/>
          <w:sz w:val="20"/>
          <w:szCs w:val="20"/>
        </w:rPr>
        <w:t xml:space="preserve"> št.</w:t>
      </w:r>
      <w:r w:rsidR="00FE20C2" w:rsidRPr="00215B2F">
        <w:rPr>
          <w:rFonts w:eastAsiaTheme="majorEastAsia" w:cs="Arial"/>
          <w:sz w:val="20"/>
          <w:szCs w:val="20"/>
        </w:rPr>
        <w:t xml:space="preserve"> </w:t>
      </w:r>
      <w:r w:rsidR="00FE20C2" w:rsidRPr="00215B2F">
        <w:rPr>
          <w:rFonts w:cs="Arial"/>
          <w:sz w:val="20"/>
          <w:szCs w:val="20"/>
        </w:rPr>
        <w:t>2025/2088 z dne 21. 10. 2025)</w:t>
      </w:r>
      <w:r w:rsidRPr="00215B2F">
        <w:rPr>
          <w:rFonts w:eastAsia="Arial" w:cs="Arial"/>
          <w:sz w:val="20"/>
          <w:szCs w:val="20"/>
        </w:rPr>
        <w:t>;</w:t>
      </w:r>
    </w:p>
    <w:p w14:paraId="4B2B3C69" w14:textId="21B9E16D" w:rsidR="000F26D9" w:rsidRPr="00215B2F" w:rsidRDefault="000F26D9" w:rsidP="001E7A57">
      <w:pPr>
        <w:pStyle w:val="tevilnatoka"/>
        <w:numPr>
          <w:ilvl w:val="0"/>
          <w:numId w:val="30"/>
        </w:numPr>
        <w:shd w:val="clear" w:color="auto" w:fill="FFFFFF" w:themeFill="background1"/>
        <w:tabs>
          <w:tab w:val="clear" w:pos="425"/>
        </w:tabs>
        <w:rPr>
          <w:rFonts w:cs="Arial"/>
          <w:sz w:val="20"/>
          <w:szCs w:val="20"/>
        </w:rPr>
      </w:pPr>
      <w:r w:rsidRPr="00215B2F">
        <w:rPr>
          <w:rFonts w:eastAsia="Arial" w:cs="Arial"/>
          <w:sz w:val="20"/>
          <w:szCs w:val="20"/>
        </w:rPr>
        <w:t xml:space="preserve">Uredba 648/2012/EU je Uredba (EU) </w:t>
      </w:r>
      <w:r w:rsidR="004D3389" w:rsidRPr="00215B2F">
        <w:rPr>
          <w:rFonts w:eastAsia="Arial" w:cs="Arial"/>
          <w:sz w:val="20"/>
          <w:szCs w:val="20"/>
        </w:rPr>
        <w:t xml:space="preserve">št. </w:t>
      </w:r>
      <w:r w:rsidRPr="00215B2F">
        <w:rPr>
          <w:rFonts w:eastAsia="Arial" w:cs="Arial"/>
          <w:sz w:val="20"/>
          <w:szCs w:val="20"/>
        </w:rPr>
        <w:t>648/2012 Evropskega parlamenta in Sveta z dne 4. julija 2012 o izvedenih finančnih instrumentih OTC, centralnih nasprotnih strank</w:t>
      </w:r>
      <w:r w:rsidR="004D3389" w:rsidRPr="00215B2F">
        <w:rPr>
          <w:rFonts w:eastAsia="Arial" w:cs="Arial"/>
          <w:sz w:val="20"/>
          <w:szCs w:val="20"/>
        </w:rPr>
        <w:t>ah</w:t>
      </w:r>
      <w:r w:rsidRPr="00215B2F">
        <w:rPr>
          <w:rFonts w:eastAsia="Arial" w:cs="Arial"/>
          <w:sz w:val="20"/>
          <w:szCs w:val="20"/>
        </w:rPr>
        <w:t xml:space="preserve"> in repozitorijih sklenjenih poslov (UL L št. 201 z dne 27. 7. 2012, str.</w:t>
      </w:r>
      <w:r w:rsidR="00956159" w:rsidRPr="00215B2F">
        <w:rPr>
          <w:rFonts w:eastAsia="Arial" w:cs="Arial"/>
          <w:sz w:val="20"/>
          <w:szCs w:val="20"/>
        </w:rPr>
        <w:t xml:space="preserve"> </w:t>
      </w:r>
      <w:r w:rsidRPr="00215B2F">
        <w:rPr>
          <w:rFonts w:eastAsia="Arial" w:cs="Arial"/>
          <w:sz w:val="20"/>
          <w:szCs w:val="20"/>
        </w:rPr>
        <w:t xml:space="preserve">1), zadnjič spremenjena </w:t>
      </w:r>
      <w:r w:rsidR="009C1354" w:rsidRPr="00215B2F">
        <w:rPr>
          <w:rFonts w:eastAsia="Arial" w:cs="Arial"/>
          <w:sz w:val="20"/>
          <w:szCs w:val="20"/>
        </w:rPr>
        <w:t xml:space="preserve">z </w:t>
      </w:r>
      <w:r w:rsidR="001E7A57" w:rsidRPr="00215B2F">
        <w:rPr>
          <w:rFonts w:cs="Arial"/>
          <w:sz w:val="20"/>
          <w:szCs w:val="20"/>
        </w:rPr>
        <w:t>Direktivo (EU) 2025/1 Evropskega parlamenta in Sveta z dne 27. novembra 2024 o vzpostavitvi okvira za sanacijo in reševanje zavarovalnic in pozavarovalnic ter spremembi direktiv 2002/47/ES, 2004/25/ES, 2007/36/ES, 2014/59/EU in (EU) 2017/1132 ter uredb (EU) št. 1094/2010, (EU) št. 648/2012, (EU) št. 806/2014 in (EU) 2017/1129 (</w:t>
      </w:r>
      <w:r w:rsidR="001E7A57" w:rsidRPr="00215B2F">
        <w:rPr>
          <w:rFonts w:eastAsiaTheme="majorEastAsia" w:cs="Arial"/>
          <w:sz w:val="20"/>
          <w:szCs w:val="20"/>
        </w:rPr>
        <w:t>UL L</w:t>
      </w:r>
      <w:r w:rsidR="001E7A57" w:rsidRPr="00215B2F">
        <w:rPr>
          <w:rFonts w:cs="Arial"/>
          <w:sz w:val="20"/>
          <w:szCs w:val="20"/>
        </w:rPr>
        <w:t xml:space="preserve"> št.</w:t>
      </w:r>
      <w:r w:rsidR="001E7A57" w:rsidRPr="00215B2F">
        <w:rPr>
          <w:rFonts w:eastAsiaTheme="majorEastAsia" w:cs="Arial"/>
          <w:sz w:val="20"/>
          <w:szCs w:val="20"/>
        </w:rPr>
        <w:t xml:space="preserve"> 2025/1</w:t>
      </w:r>
      <w:r w:rsidR="001E7A57" w:rsidRPr="00215B2F">
        <w:rPr>
          <w:rFonts w:cs="Arial"/>
          <w:sz w:val="20"/>
          <w:szCs w:val="20"/>
        </w:rPr>
        <w:t xml:space="preserve"> z dne</w:t>
      </w:r>
      <w:r w:rsidR="001E7A57" w:rsidRPr="00215B2F">
        <w:rPr>
          <w:rFonts w:eastAsiaTheme="majorEastAsia" w:cs="Arial"/>
          <w:sz w:val="20"/>
          <w:szCs w:val="20"/>
        </w:rPr>
        <w:t xml:space="preserve"> 8. 1. 2025</w:t>
      </w:r>
      <w:r w:rsidR="001E7A57" w:rsidRPr="00215B2F">
        <w:rPr>
          <w:rFonts w:cs="Arial"/>
          <w:sz w:val="20"/>
          <w:szCs w:val="20"/>
        </w:rPr>
        <w:t>)</w:t>
      </w:r>
      <w:r w:rsidRPr="00215B2F">
        <w:rPr>
          <w:rFonts w:eastAsia="Arial" w:cs="Arial"/>
          <w:sz w:val="20"/>
          <w:szCs w:val="20"/>
        </w:rPr>
        <w:t>;</w:t>
      </w:r>
    </w:p>
    <w:p w14:paraId="54B95A6A" w14:textId="7309E817" w:rsidR="008E3FA3" w:rsidRPr="00215B2F" w:rsidRDefault="00D91782" w:rsidP="001E7A57">
      <w:pPr>
        <w:pStyle w:val="tevilnatoka"/>
        <w:numPr>
          <w:ilvl w:val="0"/>
          <w:numId w:val="30"/>
        </w:numPr>
        <w:shd w:val="clear" w:color="auto" w:fill="FFFFFF" w:themeFill="background1"/>
        <w:tabs>
          <w:tab w:val="clear" w:pos="425"/>
        </w:tabs>
        <w:rPr>
          <w:rFonts w:cs="Arial"/>
          <w:sz w:val="20"/>
          <w:szCs w:val="20"/>
        </w:rPr>
      </w:pPr>
      <w:r w:rsidRPr="00215B2F">
        <w:rPr>
          <w:rFonts w:eastAsia="Arial" w:cs="Arial"/>
          <w:sz w:val="20"/>
          <w:szCs w:val="20"/>
        </w:rPr>
        <w:t xml:space="preserve">Uredba 575/2013/EU je Uredba (EU) št. 575/2013 Evropskega parlamenta in Sveta z dne 26. junija 2013 o bonitetnih zahtevah za kreditne institucije in investicijska podjetja ter o spremembi Uredbe (EU) št. 648/2012 (UL L št. 176 z dne 27. 6. 2013, str. 1), zadnjič spremenjena z </w:t>
      </w:r>
      <w:r w:rsidR="001E7A57" w:rsidRPr="00215B2F">
        <w:rPr>
          <w:rFonts w:cs="Arial"/>
          <w:sz w:val="20"/>
          <w:szCs w:val="20"/>
        </w:rPr>
        <w:t xml:space="preserve">Delegirano </w:t>
      </w:r>
      <w:r w:rsidR="004D3389" w:rsidRPr="00215B2F">
        <w:rPr>
          <w:rFonts w:cs="Arial"/>
          <w:sz w:val="20"/>
          <w:szCs w:val="20"/>
        </w:rPr>
        <w:t xml:space="preserve">uredbo </w:t>
      </w:r>
      <w:r w:rsidR="001E7A57" w:rsidRPr="00215B2F">
        <w:rPr>
          <w:rFonts w:cs="Arial"/>
          <w:sz w:val="20"/>
          <w:szCs w:val="20"/>
        </w:rPr>
        <w:t>Komisije (EU) 2025/1496 z dne 12. junija 2025 o spremembi Uredbe (EU) št. 575/2013 Evropskega parlamenta in Sveta v zvezi z datumom začetka uporabe kapitalskih zahtev za tržno tveganje (</w:t>
      </w:r>
      <w:r w:rsidR="001E7A57" w:rsidRPr="00215B2F">
        <w:rPr>
          <w:rFonts w:eastAsiaTheme="majorEastAsia" w:cs="Arial"/>
          <w:sz w:val="20"/>
          <w:szCs w:val="20"/>
        </w:rPr>
        <w:t>UL L</w:t>
      </w:r>
      <w:r w:rsidR="001E7A57" w:rsidRPr="00215B2F">
        <w:rPr>
          <w:rFonts w:cs="Arial"/>
          <w:sz w:val="20"/>
          <w:szCs w:val="20"/>
        </w:rPr>
        <w:t xml:space="preserve"> št.</w:t>
      </w:r>
      <w:r w:rsidR="001E7A57" w:rsidRPr="00215B2F">
        <w:rPr>
          <w:rFonts w:eastAsiaTheme="majorEastAsia" w:cs="Arial"/>
          <w:sz w:val="20"/>
          <w:szCs w:val="20"/>
        </w:rPr>
        <w:t xml:space="preserve"> 2025/1496</w:t>
      </w:r>
      <w:r w:rsidR="001E7A57" w:rsidRPr="00215B2F">
        <w:rPr>
          <w:rFonts w:cs="Arial"/>
          <w:sz w:val="20"/>
          <w:szCs w:val="20"/>
        </w:rPr>
        <w:t xml:space="preserve"> z dne</w:t>
      </w:r>
      <w:r w:rsidR="001E7A57" w:rsidRPr="00215B2F">
        <w:rPr>
          <w:rFonts w:eastAsiaTheme="majorEastAsia" w:cs="Arial"/>
          <w:sz w:val="20"/>
          <w:szCs w:val="20"/>
        </w:rPr>
        <w:t xml:space="preserve"> 19. 9. 2025</w:t>
      </w:r>
      <w:r w:rsidR="001E7A57" w:rsidRPr="00215B2F">
        <w:rPr>
          <w:rFonts w:cs="Arial"/>
          <w:sz w:val="20"/>
          <w:szCs w:val="20"/>
        </w:rPr>
        <w:t>)</w:t>
      </w:r>
      <w:r w:rsidRPr="00215B2F">
        <w:rPr>
          <w:rFonts w:eastAsia="Arial" w:cs="Arial"/>
          <w:sz w:val="20"/>
          <w:szCs w:val="20"/>
        </w:rPr>
        <w:t>;</w:t>
      </w:r>
    </w:p>
    <w:p w14:paraId="232A3638" w14:textId="77777777" w:rsidR="008E3FA3" w:rsidRPr="00215B2F" w:rsidRDefault="00D91782">
      <w:pPr>
        <w:pStyle w:val="tevilnatoka"/>
        <w:numPr>
          <w:ilvl w:val="0"/>
          <w:numId w:val="30"/>
        </w:numPr>
        <w:shd w:val="clear" w:color="auto" w:fill="FFFFFF" w:themeFill="background1"/>
        <w:tabs>
          <w:tab w:val="clear" w:pos="425"/>
        </w:tabs>
        <w:rPr>
          <w:rFonts w:cs="Arial"/>
          <w:sz w:val="20"/>
          <w:szCs w:val="20"/>
        </w:rPr>
      </w:pPr>
      <w:r w:rsidRPr="00215B2F">
        <w:rPr>
          <w:rFonts w:eastAsia="Arial" w:cs="Arial"/>
          <w:sz w:val="20"/>
          <w:szCs w:val="20"/>
        </w:rPr>
        <w:t>Uredba 1024/2013/EU je Uredba Sveta (EU) št. 1024/2013 z dne 15. oktobra 2013 o prenosu posebnih nalog, ki se nanašajo na politike bonitetnega nadzora kreditnih institucij, na Evropsko centralno banko (UL L št. 287 z dne 29. 10. 2013, str. 63);</w:t>
      </w:r>
    </w:p>
    <w:p w14:paraId="65CE7F47" w14:textId="6CD52B19" w:rsidR="008E3FA3" w:rsidRPr="00215B2F" w:rsidRDefault="00D91782" w:rsidP="00FE20C2">
      <w:pPr>
        <w:pStyle w:val="tevilnatoka"/>
        <w:numPr>
          <w:ilvl w:val="0"/>
          <w:numId w:val="30"/>
        </w:numPr>
        <w:shd w:val="clear" w:color="auto" w:fill="FFFFFF" w:themeFill="background1"/>
        <w:tabs>
          <w:tab w:val="clear" w:pos="425"/>
        </w:tabs>
        <w:rPr>
          <w:rFonts w:cs="Arial"/>
          <w:sz w:val="20"/>
          <w:szCs w:val="20"/>
        </w:rPr>
      </w:pPr>
      <w:r w:rsidRPr="00215B2F">
        <w:rPr>
          <w:rFonts w:eastAsia="Arial" w:cs="Arial"/>
          <w:sz w:val="20"/>
          <w:szCs w:val="20"/>
        </w:rPr>
        <w:lastRenderedPageBreak/>
        <w:t>Uredba 806/2014/EU je Uredba (EU) št. 806/2014 Evropskega parlamenta in Sveta z dne 15. julija 2014 o določitvi enotnih pravil in enotnega postopka za reševanje kreditnih institucij in določenih investicijskih podjetij v okviru enotnega mehanizma za reševanje in enotnega sklada za reševanje ter o spremembi Uredbe (EU) št. 1093/2010 (UL L št. 225 z dne 30. 7. 2014, str. 1), zadnjič spremenjena z</w:t>
      </w:r>
      <w:r w:rsidR="00FE20C2" w:rsidRPr="00215B2F">
        <w:rPr>
          <w:rFonts w:cs="Arial"/>
          <w:sz w:val="20"/>
          <w:szCs w:val="20"/>
        </w:rPr>
        <w:t xml:space="preserve"> </w:t>
      </w:r>
      <w:r w:rsidR="00FE20C2" w:rsidRPr="00215B2F">
        <w:rPr>
          <w:rFonts w:eastAsia="Arial" w:cs="Arial"/>
          <w:sz w:val="20"/>
          <w:szCs w:val="20"/>
        </w:rPr>
        <w:t xml:space="preserve">Uredbo (EU) 2025/2088 Evropskega parlamenta in Sveta z dne 8. oktobra 2025 o spremembi uredb (EU) št. 1092/2010, (EU) št. 1093/2010, (EU) št. 1094/2010, (EU) št. 1095/2010, (EU) št. 806/2014, (EU) 2021/523 in (EU) 2024/1620 v zvezi z nekaterimi zahtevami glede poročanja na področju finančnih storitev in podpore za naložbe </w:t>
      </w:r>
      <w:r w:rsidR="00FE20C2" w:rsidRPr="00215B2F">
        <w:rPr>
          <w:rFonts w:cs="Arial"/>
          <w:sz w:val="20"/>
          <w:szCs w:val="20"/>
        </w:rPr>
        <w:t>(UL</w:t>
      </w:r>
      <w:r w:rsidR="00FE20C2" w:rsidRPr="00215B2F">
        <w:rPr>
          <w:rFonts w:eastAsiaTheme="majorEastAsia" w:cs="Arial"/>
          <w:sz w:val="20"/>
          <w:szCs w:val="20"/>
        </w:rPr>
        <w:t xml:space="preserve"> L</w:t>
      </w:r>
      <w:r w:rsidR="00FE20C2" w:rsidRPr="00215B2F">
        <w:rPr>
          <w:rFonts w:cs="Arial"/>
          <w:sz w:val="20"/>
          <w:szCs w:val="20"/>
        </w:rPr>
        <w:t xml:space="preserve"> št.</w:t>
      </w:r>
      <w:r w:rsidR="00FE20C2" w:rsidRPr="00215B2F">
        <w:rPr>
          <w:rFonts w:eastAsiaTheme="majorEastAsia" w:cs="Arial"/>
          <w:sz w:val="20"/>
          <w:szCs w:val="20"/>
        </w:rPr>
        <w:t xml:space="preserve"> </w:t>
      </w:r>
      <w:r w:rsidR="00FE20C2" w:rsidRPr="00215B2F">
        <w:rPr>
          <w:rFonts w:cs="Arial"/>
          <w:sz w:val="20"/>
          <w:szCs w:val="20"/>
        </w:rPr>
        <w:t>2025/2088 z dne 21. 10. 2025)</w:t>
      </w:r>
      <w:r w:rsidRPr="00215B2F">
        <w:rPr>
          <w:rFonts w:eastAsia="Arial" w:cs="Arial"/>
          <w:sz w:val="20"/>
          <w:szCs w:val="20"/>
        </w:rPr>
        <w:t>;</w:t>
      </w:r>
    </w:p>
    <w:p w14:paraId="606A4BC1" w14:textId="1003FF46" w:rsidR="000F26D9" w:rsidRPr="00215B2F" w:rsidRDefault="000F26D9">
      <w:pPr>
        <w:pStyle w:val="tevilnatoka"/>
        <w:numPr>
          <w:ilvl w:val="0"/>
          <w:numId w:val="30"/>
        </w:numPr>
        <w:shd w:val="clear" w:color="auto" w:fill="FFFFFF" w:themeFill="background1"/>
        <w:tabs>
          <w:tab w:val="clear" w:pos="425"/>
        </w:tabs>
        <w:rPr>
          <w:rFonts w:cs="Arial"/>
          <w:sz w:val="20"/>
          <w:szCs w:val="20"/>
        </w:rPr>
      </w:pPr>
      <w:r w:rsidRPr="00215B2F">
        <w:rPr>
          <w:rFonts w:eastAsia="Arial" w:cs="Arial"/>
          <w:sz w:val="20"/>
          <w:szCs w:val="20"/>
        </w:rPr>
        <w:t>Uredba 468/2014/EU je Uredba (EU) št. 468/2014 Evropske centralne banke z dne 16. aprila 2014 o vzpostavitvi okvira za sodelovanje znotraj enotnega mehanizma nadzora med Evropsko centralno banko in pristojnimi nacionalnimi organi ter z imenovanimi nacionalnimi organi (okvirna uredba o EMN) (UL L št. 141 z dne 14. 5. 2014, str. 1);</w:t>
      </w:r>
    </w:p>
    <w:p w14:paraId="04F31F60" w14:textId="44036465" w:rsidR="008E3FA3" w:rsidRPr="00215B2F" w:rsidRDefault="00D91782">
      <w:pPr>
        <w:pStyle w:val="tevilnatoka"/>
        <w:numPr>
          <w:ilvl w:val="0"/>
          <w:numId w:val="30"/>
        </w:numPr>
        <w:shd w:val="clear" w:color="auto" w:fill="FFFFFF" w:themeFill="background1"/>
        <w:tabs>
          <w:tab w:val="clear" w:pos="425"/>
        </w:tabs>
        <w:rPr>
          <w:rFonts w:cs="Arial"/>
          <w:sz w:val="20"/>
          <w:szCs w:val="20"/>
        </w:rPr>
      </w:pPr>
      <w:r w:rsidRPr="00215B2F">
        <w:rPr>
          <w:rFonts w:eastAsia="Arial" w:cs="Arial"/>
          <w:sz w:val="20"/>
          <w:szCs w:val="20"/>
        </w:rPr>
        <w:t>Uredba 2016/679/EU je Uredba (EU) 2016/679 Evropskega parlamenta in Sveta z dne 27. aprila 2016 o varstvu posameznikov pri obdelavi osebnih podatkov in o prostem pretoku takih podatkov ter o razveljavitvi Direktive 95/46/ES (Splošna uredba o varstvu podatkov) (UL L št. 119 z dne 4.</w:t>
      </w:r>
      <w:r w:rsidR="007F5FF4" w:rsidRPr="00215B2F">
        <w:rPr>
          <w:rFonts w:eastAsia="Arial" w:cs="Arial"/>
          <w:sz w:val="20"/>
          <w:szCs w:val="20"/>
        </w:rPr>
        <w:t> </w:t>
      </w:r>
      <w:r w:rsidRPr="00215B2F">
        <w:rPr>
          <w:rFonts w:eastAsia="Arial" w:cs="Arial"/>
          <w:sz w:val="20"/>
          <w:szCs w:val="20"/>
        </w:rPr>
        <w:t>5.</w:t>
      </w:r>
      <w:r w:rsidR="007F5FF4" w:rsidRPr="00215B2F">
        <w:rPr>
          <w:rFonts w:eastAsia="Arial" w:cs="Arial"/>
          <w:sz w:val="20"/>
          <w:szCs w:val="20"/>
        </w:rPr>
        <w:t> </w:t>
      </w:r>
      <w:r w:rsidRPr="00215B2F">
        <w:rPr>
          <w:rFonts w:eastAsia="Arial" w:cs="Arial"/>
          <w:sz w:val="20"/>
          <w:szCs w:val="20"/>
        </w:rPr>
        <w:t>2016, str. 1), zadnjič popravljena s Popravkom (UL L št. 127 z dne 23. 5. 2018, str. 2);</w:t>
      </w:r>
    </w:p>
    <w:p w14:paraId="7E076290" w14:textId="342DE957" w:rsidR="008E3FA3" w:rsidRPr="00215B2F" w:rsidRDefault="00D91782" w:rsidP="00FE20C2">
      <w:pPr>
        <w:pStyle w:val="tevilnatoka"/>
        <w:numPr>
          <w:ilvl w:val="0"/>
          <w:numId w:val="30"/>
        </w:numPr>
        <w:shd w:val="clear" w:color="auto" w:fill="FFFFFF" w:themeFill="background1"/>
        <w:tabs>
          <w:tab w:val="clear" w:pos="425"/>
        </w:tabs>
        <w:rPr>
          <w:rFonts w:cs="Arial"/>
          <w:sz w:val="20"/>
          <w:szCs w:val="20"/>
        </w:rPr>
      </w:pPr>
      <w:r w:rsidRPr="00215B2F">
        <w:rPr>
          <w:rFonts w:eastAsia="Arial" w:cs="Arial"/>
          <w:sz w:val="20"/>
          <w:szCs w:val="20"/>
        </w:rPr>
        <w:t>Uredba 2017/1129/EU je Uredba (EU) 2017/1129 Evropskega parlamenta in Sveta z dne 14. junija 2017 o prospektu, ki se objavi ob ponudbi vrednostnih papirjev javnosti ali njihovi uvrstitvi v trgovanje na reguliranem trgu, in razveljavitvi Direktive 2003/71/ES (UL L št. 168 z dne 30. 6. 2017, str. 12), zadnjič spremenjena z</w:t>
      </w:r>
      <w:r w:rsidR="00FE20C2" w:rsidRPr="00215B2F">
        <w:rPr>
          <w:rFonts w:cs="Arial"/>
          <w:sz w:val="20"/>
          <w:szCs w:val="20"/>
        </w:rPr>
        <w:t xml:space="preserve"> </w:t>
      </w:r>
      <w:r w:rsidR="00FE20C2" w:rsidRPr="00215B2F">
        <w:rPr>
          <w:rFonts w:eastAsia="Arial" w:cs="Arial"/>
          <w:sz w:val="20"/>
          <w:szCs w:val="20"/>
        </w:rPr>
        <w:t xml:space="preserve">Direktivo (EU) 2025/1 Evropskega parlamenta in Sveta z dne 27. novembra 2024 o vzpostavitvi okvira za sanacijo in reševanje zavarovalnic in pozavarovalnic ter spremembi direktiv 2002/47/ES, 2004/25/ES, 2007/36/ES, 2014/59/EU in (EU) 2017/1132 ter uredb (EU) št. 1094/2010, (EU) št. 648/2012, (EU) št. 806/2014 in (EU) 2017/1129 </w:t>
      </w:r>
      <w:r w:rsidR="00FE20C2" w:rsidRPr="00215B2F">
        <w:rPr>
          <w:rFonts w:cs="Arial"/>
          <w:sz w:val="20"/>
          <w:szCs w:val="20"/>
        </w:rPr>
        <w:t>(UL</w:t>
      </w:r>
      <w:r w:rsidR="00FE20C2" w:rsidRPr="00215B2F">
        <w:rPr>
          <w:rFonts w:eastAsiaTheme="majorEastAsia" w:cs="Arial"/>
          <w:sz w:val="20"/>
          <w:szCs w:val="20"/>
        </w:rPr>
        <w:t xml:space="preserve"> L</w:t>
      </w:r>
      <w:r w:rsidR="00FE20C2" w:rsidRPr="00215B2F">
        <w:rPr>
          <w:rFonts w:cs="Arial"/>
          <w:sz w:val="20"/>
          <w:szCs w:val="20"/>
        </w:rPr>
        <w:t xml:space="preserve"> št.</w:t>
      </w:r>
      <w:r w:rsidR="00FE20C2" w:rsidRPr="00215B2F">
        <w:rPr>
          <w:rFonts w:eastAsiaTheme="majorEastAsia" w:cs="Arial"/>
          <w:sz w:val="20"/>
          <w:szCs w:val="20"/>
        </w:rPr>
        <w:t xml:space="preserve"> </w:t>
      </w:r>
      <w:r w:rsidR="00FE20C2" w:rsidRPr="00215B2F">
        <w:rPr>
          <w:rFonts w:eastAsia="Arial" w:cs="Arial"/>
          <w:sz w:val="20"/>
          <w:szCs w:val="20"/>
        </w:rPr>
        <w:t>2025/1</w:t>
      </w:r>
      <w:r w:rsidR="00FE20C2" w:rsidRPr="00215B2F">
        <w:rPr>
          <w:rFonts w:cs="Arial"/>
          <w:sz w:val="20"/>
          <w:szCs w:val="20"/>
        </w:rPr>
        <w:t xml:space="preserve"> z dne </w:t>
      </w:r>
      <w:r w:rsidR="00FE20C2" w:rsidRPr="00215B2F">
        <w:rPr>
          <w:rFonts w:eastAsia="Arial" w:cs="Arial"/>
          <w:sz w:val="20"/>
          <w:szCs w:val="20"/>
        </w:rPr>
        <w:t>8.</w:t>
      </w:r>
      <w:r w:rsidR="004761A7" w:rsidRPr="00215B2F">
        <w:rPr>
          <w:rFonts w:eastAsia="Arial" w:cs="Arial"/>
          <w:sz w:val="20"/>
          <w:szCs w:val="20"/>
        </w:rPr>
        <w:t xml:space="preserve"> </w:t>
      </w:r>
      <w:r w:rsidR="00FE20C2" w:rsidRPr="00215B2F">
        <w:rPr>
          <w:rFonts w:eastAsia="Arial" w:cs="Arial"/>
          <w:sz w:val="20"/>
          <w:szCs w:val="20"/>
        </w:rPr>
        <w:t>1.</w:t>
      </w:r>
      <w:r w:rsidR="004761A7" w:rsidRPr="00215B2F">
        <w:rPr>
          <w:rFonts w:eastAsia="Arial" w:cs="Arial"/>
          <w:sz w:val="20"/>
          <w:szCs w:val="20"/>
        </w:rPr>
        <w:t xml:space="preserve"> </w:t>
      </w:r>
      <w:r w:rsidR="00FE20C2" w:rsidRPr="00215B2F">
        <w:rPr>
          <w:rFonts w:eastAsia="Arial" w:cs="Arial"/>
          <w:sz w:val="20"/>
          <w:szCs w:val="20"/>
        </w:rPr>
        <w:t>2025)</w:t>
      </w:r>
      <w:r w:rsidRPr="00215B2F">
        <w:rPr>
          <w:rFonts w:eastAsia="Arial" w:cs="Arial"/>
          <w:sz w:val="20"/>
          <w:szCs w:val="20"/>
        </w:rPr>
        <w:t>;</w:t>
      </w:r>
    </w:p>
    <w:p w14:paraId="7C5D3375" w14:textId="6E9BE101" w:rsidR="008E3FA3" w:rsidRPr="00215B2F" w:rsidRDefault="00D91782" w:rsidP="007E5147">
      <w:pPr>
        <w:pStyle w:val="tevilnatoka"/>
        <w:numPr>
          <w:ilvl w:val="0"/>
          <w:numId w:val="30"/>
        </w:numPr>
        <w:shd w:val="clear" w:color="auto" w:fill="FFFFFF" w:themeFill="background1"/>
        <w:tabs>
          <w:tab w:val="clear" w:pos="425"/>
        </w:tabs>
        <w:rPr>
          <w:rFonts w:cs="Arial"/>
          <w:sz w:val="20"/>
          <w:szCs w:val="20"/>
        </w:rPr>
      </w:pPr>
      <w:r w:rsidRPr="00215B2F">
        <w:rPr>
          <w:rFonts w:eastAsia="Arial" w:cs="Arial"/>
          <w:sz w:val="20"/>
          <w:szCs w:val="20"/>
        </w:rPr>
        <w:t xml:space="preserve">Uredba 2017/2402/EU je Uredba (EU) 2017/2402 Evropskega parlamenta in Sveta z dne 12. decembra 2017 o določitvi splošnega okvira za listinjenje in o vzpostavitvi posebnega okvira za enostavno, pregledno in standardizirano listinjenje ter o spremembah direktiv 2009/65/ES, 2009/138/ES in 2011/61/EU ter uredb (ES) št. 1060/2009 in (EU) št. 648/2012 (UL L št. 347 z dne 28. 12. 2017, str. 35), zadnjič spremenjena z </w:t>
      </w:r>
      <w:r w:rsidR="007E5147" w:rsidRPr="00215B2F">
        <w:rPr>
          <w:rFonts w:eastAsia="Arial" w:cs="Arial"/>
          <w:sz w:val="20"/>
          <w:szCs w:val="20"/>
        </w:rPr>
        <w:t>Uredbo (EU) 2021/557 Evropskega parlamenta in Sveta z dne 31. marca 2021 o spremembi Uredbe (EU) 2017/2402 o določitvi splošnega okvira za listinjenje in o vzpostavitvi posebnega okvira za enostavno, pregledno in standardizirano listinjenje kot pomoč pri okrevanju po krizi zaradi COVID-19 (UL L št. 116 z dne  6. 4. 2021)</w:t>
      </w:r>
      <w:r w:rsidRPr="00215B2F">
        <w:rPr>
          <w:rFonts w:eastAsia="Arial" w:cs="Arial"/>
          <w:sz w:val="20"/>
          <w:szCs w:val="20"/>
        </w:rPr>
        <w:t>;</w:t>
      </w:r>
    </w:p>
    <w:p w14:paraId="1E8C072B" w14:textId="77777777" w:rsidR="008E3FA3" w:rsidRPr="00215B2F" w:rsidRDefault="00D91782">
      <w:pPr>
        <w:pStyle w:val="tevilnatoka"/>
        <w:numPr>
          <w:ilvl w:val="0"/>
          <w:numId w:val="30"/>
        </w:numPr>
        <w:shd w:val="clear" w:color="auto" w:fill="FFFFFF" w:themeFill="background1"/>
        <w:tabs>
          <w:tab w:val="clear" w:pos="425"/>
        </w:tabs>
        <w:rPr>
          <w:rFonts w:cs="Arial"/>
          <w:sz w:val="20"/>
          <w:szCs w:val="20"/>
        </w:rPr>
      </w:pPr>
      <w:r w:rsidRPr="00215B2F">
        <w:rPr>
          <w:rFonts w:eastAsia="Arial" w:cs="Arial"/>
          <w:sz w:val="20"/>
          <w:szCs w:val="20"/>
        </w:rPr>
        <w:t>Uredba 2019/876/EU je Uredba (EU) 2019/876 Evropskega parlamenta in Sveta z dne 20. maja 2019 o spremembi Uredbe (EU) št. 575/2013 v zvezi s količnikom finančnega vzvoda, količnikom neto stabilnega financiranja, zahtevami glede kapitala in kvalificiranih obveznosti, kreditnim tveganjem nasprotne stranke, tržnim tveganjem, izpostavljenostmi do centralnih nasprotnih strank, izpostavljenostmi do kolektivnih naložbenih podjemov, velikimi izpostavljenostmi, zahtevami glede poročanja in razkritja ter Uredbe (EU) št. 648/2012 (UL L št. 150 z dne 7. 6. 2019, str. 1), zadnjič spremenjena z Uredbo (EU) 2020/873 Evropskega parlamenta in Sveta z dne 24. junija 2020 o spremembi uredb (EU) št. 575/2013 in (EU) 2019/876 glede nekaterih prilagoditev zaradi pandemije COVID-19 (UL L št. 204 z dne 26. 6. 2020, str. 4);</w:t>
      </w:r>
    </w:p>
    <w:p w14:paraId="76AFDB0A" w14:textId="0B53947C" w:rsidR="000F26D9" w:rsidRPr="00215B2F" w:rsidRDefault="000F26D9">
      <w:pPr>
        <w:pStyle w:val="tevilnatoka"/>
        <w:numPr>
          <w:ilvl w:val="0"/>
          <w:numId w:val="30"/>
        </w:numPr>
        <w:shd w:val="clear" w:color="auto" w:fill="FFFFFF" w:themeFill="background1"/>
        <w:tabs>
          <w:tab w:val="clear" w:pos="425"/>
        </w:tabs>
        <w:rPr>
          <w:rFonts w:cs="Arial"/>
          <w:sz w:val="20"/>
          <w:szCs w:val="20"/>
        </w:rPr>
      </w:pPr>
      <w:r w:rsidRPr="00215B2F">
        <w:rPr>
          <w:rFonts w:eastAsia="Arial" w:cs="Arial"/>
          <w:sz w:val="20"/>
          <w:szCs w:val="20"/>
        </w:rPr>
        <w:t xml:space="preserve">Uredba 2021/1119/EU je Uredba (EU) 2021/1119 Evropskega parlamenta in Sveta z dne 30. junija 2021 o vzpostavitvi okvira za doseganje podnebne nevtralnosti in spremembi </w:t>
      </w:r>
      <w:r w:rsidR="004D3389" w:rsidRPr="00215B2F">
        <w:rPr>
          <w:rFonts w:eastAsia="Arial" w:cs="Arial"/>
          <w:sz w:val="20"/>
          <w:szCs w:val="20"/>
        </w:rPr>
        <w:t xml:space="preserve">uredb </w:t>
      </w:r>
      <w:r w:rsidRPr="00215B2F">
        <w:rPr>
          <w:rFonts w:eastAsia="Arial" w:cs="Arial"/>
          <w:sz w:val="20"/>
          <w:szCs w:val="20"/>
        </w:rPr>
        <w:t>(ES) št. 401/2009 in (EU) 2018/1999 (evropska podnebna pravila</w:t>
      </w:r>
      <w:r w:rsidR="002C029E" w:rsidRPr="00215B2F">
        <w:rPr>
          <w:rFonts w:eastAsia="Arial" w:cs="Arial"/>
          <w:sz w:val="20"/>
          <w:szCs w:val="20"/>
        </w:rPr>
        <w:t>)</w:t>
      </w:r>
      <w:r w:rsidRPr="00215B2F">
        <w:rPr>
          <w:rFonts w:eastAsia="Arial" w:cs="Arial"/>
          <w:sz w:val="20"/>
          <w:szCs w:val="20"/>
        </w:rPr>
        <w:t xml:space="preserve"> </w:t>
      </w:r>
      <w:r w:rsidR="002C029E" w:rsidRPr="00215B2F">
        <w:rPr>
          <w:rFonts w:eastAsia="Arial" w:cs="Arial"/>
          <w:sz w:val="20"/>
          <w:szCs w:val="20"/>
        </w:rPr>
        <w:t>(</w:t>
      </w:r>
      <w:r w:rsidRPr="00215B2F">
        <w:rPr>
          <w:rFonts w:eastAsia="Arial" w:cs="Arial"/>
          <w:sz w:val="20"/>
          <w:szCs w:val="20"/>
        </w:rPr>
        <w:t>UL L št. 243 z dne 9. 7. 2021</w:t>
      </w:r>
      <w:r w:rsidR="004D3389" w:rsidRPr="00215B2F">
        <w:rPr>
          <w:rFonts w:eastAsia="Arial" w:cs="Arial"/>
          <w:sz w:val="20"/>
          <w:szCs w:val="20"/>
        </w:rPr>
        <w:t>, str. 1</w:t>
      </w:r>
      <w:r w:rsidRPr="00215B2F">
        <w:rPr>
          <w:rFonts w:eastAsia="Arial" w:cs="Arial"/>
          <w:sz w:val="20"/>
          <w:szCs w:val="20"/>
        </w:rPr>
        <w:t>);</w:t>
      </w:r>
    </w:p>
    <w:p w14:paraId="28D8D75A" w14:textId="424BF1ED" w:rsidR="000F26D9" w:rsidRPr="00215B2F" w:rsidRDefault="000F26D9" w:rsidP="00FE20C2">
      <w:pPr>
        <w:pStyle w:val="tevilnatoka"/>
        <w:numPr>
          <w:ilvl w:val="0"/>
          <w:numId w:val="30"/>
        </w:numPr>
        <w:shd w:val="clear" w:color="auto" w:fill="FFFFFF" w:themeFill="background1"/>
        <w:tabs>
          <w:tab w:val="clear" w:pos="425"/>
        </w:tabs>
        <w:rPr>
          <w:rFonts w:cs="Arial"/>
          <w:sz w:val="20"/>
          <w:szCs w:val="20"/>
        </w:rPr>
      </w:pPr>
      <w:r w:rsidRPr="00215B2F">
        <w:rPr>
          <w:rFonts w:eastAsia="Arial" w:cs="Arial"/>
          <w:sz w:val="20"/>
          <w:szCs w:val="20"/>
        </w:rPr>
        <w:t xml:space="preserve">Uredba 2023/1114/EU je </w:t>
      </w:r>
      <w:r w:rsidR="004D3389" w:rsidRPr="00215B2F">
        <w:rPr>
          <w:rFonts w:eastAsia="Arial" w:cs="Arial"/>
          <w:sz w:val="20"/>
          <w:szCs w:val="20"/>
        </w:rPr>
        <w:t xml:space="preserve">Uredba </w:t>
      </w:r>
      <w:r w:rsidRPr="00215B2F">
        <w:rPr>
          <w:rFonts w:eastAsia="Arial" w:cs="Arial"/>
          <w:sz w:val="20"/>
          <w:szCs w:val="20"/>
        </w:rPr>
        <w:t>(EU) 2023/1114 Evropskega parlamenta in Sveta z dne 31. maja 2023 o trgih kriptosredstev in spremembi uredb (EU) št. 1093/2010 in (EU) št. 1095/2010 ter direktiv 2013/36/EU in (EU) 2019/1937 (UL L št. 150 z dne 9. 6. 2023, str. 40), zadnjič</w:t>
      </w:r>
      <w:r w:rsidR="00FE20C2" w:rsidRPr="00215B2F">
        <w:rPr>
          <w:rFonts w:cs="Arial"/>
          <w:sz w:val="20"/>
          <w:szCs w:val="20"/>
        </w:rPr>
        <w:t xml:space="preserve"> </w:t>
      </w:r>
      <w:r w:rsidR="00FE20C2" w:rsidRPr="00215B2F">
        <w:rPr>
          <w:rFonts w:eastAsia="Arial" w:cs="Arial"/>
          <w:sz w:val="20"/>
          <w:szCs w:val="20"/>
        </w:rPr>
        <w:t xml:space="preserve">spremenjena z Delegirano uredbo Komisije (EU) 2025/1264 z dne 27. junija 2025 o dopolnitvi Uredbe (EU) 2023/1114 Evropskega parlamenta in Sveta v zvezi z regulativnimi tehničnimi standardi za določitev minimalne vsebine politike in postopkov za upravljanje likvidnosti za določene izdajatelje žetonov, vezanih na sredstva, in e-denarnih žetonov </w:t>
      </w:r>
      <w:r w:rsidR="00FE20C2" w:rsidRPr="00215B2F">
        <w:rPr>
          <w:rFonts w:cs="Arial"/>
          <w:sz w:val="20"/>
          <w:szCs w:val="20"/>
        </w:rPr>
        <w:t>(UL</w:t>
      </w:r>
      <w:r w:rsidR="00FE20C2" w:rsidRPr="00215B2F">
        <w:rPr>
          <w:rFonts w:eastAsiaTheme="majorEastAsia" w:cs="Arial"/>
          <w:sz w:val="20"/>
          <w:szCs w:val="20"/>
        </w:rPr>
        <w:t xml:space="preserve"> L</w:t>
      </w:r>
      <w:r w:rsidR="00FE20C2" w:rsidRPr="00215B2F">
        <w:rPr>
          <w:rFonts w:cs="Arial"/>
          <w:sz w:val="20"/>
          <w:szCs w:val="20"/>
        </w:rPr>
        <w:t xml:space="preserve"> št.</w:t>
      </w:r>
      <w:r w:rsidR="00FE20C2" w:rsidRPr="00215B2F">
        <w:rPr>
          <w:rFonts w:eastAsiaTheme="majorEastAsia" w:cs="Arial"/>
          <w:sz w:val="20"/>
          <w:szCs w:val="20"/>
        </w:rPr>
        <w:t xml:space="preserve"> </w:t>
      </w:r>
      <w:r w:rsidR="00FE20C2" w:rsidRPr="00215B2F">
        <w:rPr>
          <w:rFonts w:eastAsia="Arial" w:cs="Arial"/>
          <w:sz w:val="20"/>
          <w:szCs w:val="20"/>
        </w:rPr>
        <w:t>2025/1264</w:t>
      </w:r>
      <w:r w:rsidR="00FE20C2" w:rsidRPr="00215B2F">
        <w:rPr>
          <w:rFonts w:cs="Arial"/>
          <w:sz w:val="20"/>
          <w:szCs w:val="20"/>
        </w:rPr>
        <w:t xml:space="preserve"> z dne </w:t>
      </w:r>
      <w:r w:rsidR="00FE20C2" w:rsidRPr="00215B2F">
        <w:rPr>
          <w:rFonts w:eastAsia="Arial" w:cs="Arial"/>
          <w:sz w:val="20"/>
          <w:szCs w:val="20"/>
        </w:rPr>
        <w:t>3. 10. 2025)</w:t>
      </w:r>
      <w:r w:rsidRPr="00215B2F">
        <w:rPr>
          <w:rFonts w:eastAsia="Arial" w:cs="Arial"/>
          <w:sz w:val="20"/>
          <w:szCs w:val="20"/>
        </w:rPr>
        <w:t>;</w:t>
      </w:r>
    </w:p>
    <w:p w14:paraId="3FA8A4E9" w14:textId="77307653" w:rsidR="00D91782" w:rsidRPr="00215B2F" w:rsidRDefault="00D91782" w:rsidP="00232696">
      <w:pPr>
        <w:pStyle w:val="tevilnatoka"/>
        <w:numPr>
          <w:ilvl w:val="0"/>
          <w:numId w:val="30"/>
        </w:numPr>
        <w:shd w:val="clear" w:color="auto" w:fill="FFFFFF" w:themeFill="background1"/>
        <w:tabs>
          <w:tab w:val="clear" w:pos="425"/>
        </w:tabs>
        <w:rPr>
          <w:rFonts w:cs="Arial"/>
          <w:sz w:val="20"/>
          <w:szCs w:val="20"/>
        </w:rPr>
      </w:pPr>
      <w:r w:rsidRPr="00215B2F">
        <w:rPr>
          <w:rFonts w:eastAsia="Arial" w:cs="Arial"/>
          <w:sz w:val="20"/>
          <w:szCs w:val="20"/>
        </w:rPr>
        <w:t>Uredba 2023/2859/EU je Uredba (EU) 2023/2859 Evropskega parlamenta in Sveta z dne 13.</w:t>
      </w:r>
      <w:r w:rsidR="002C029E" w:rsidRPr="00215B2F">
        <w:rPr>
          <w:rFonts w:eastAsia="Arial" w:cs="Arial"/>
          <w:sz w:val="20"/>
          <w:szCs w:val="20"/>
        </w:rPr>
        <w:t> </w:t>
      </w:r>
      <w:r w:rsidRPr="00215B2F">
        <w:rPr>
          <w:rFonts w:eastAsia="Arial" w:cs="Arial"/>
          <w:sz w:val="20"/>
          <w:szCs w:val="20"/>
        </w:rPr>
        <w:t xml:space="preserve">decembra 2023 o vzpostavitvi evropske enotne točke dostopa, ki zagotavlja centraliziran dostop do javno dostopnih informacij, pomembnih za finančne storitve, kapitalske trge in trajnostnost (UL L št. 2023/2859 z dne 20. 12. 2023), zadnjič spremenjena z </w:t>
      </w:r>
      <w:r w:rsidR="00232696" w:rsidRPr="00215B2F">
        <w:rPr>
          <w:rFonts w:cs="Arial"/>
          <w:sz w:val="20"/>
          <w:szCs w:val="20"/>
        </w:rPr>
        <w:t>Uredbo (EU) 2024/3005 Evropskega parlamenta in Sveta z dne 27. novembra 2024 o preglednosti in celovitosti dejavnosti ocenjevanja okoljskih, socialnih in upravljavskih (ESG) dejavnikov ter spremembi uredb (EU) 2019/2088 in (EU) 2023/2859 (UL L št. 2024/3005 z dne 12. 12. 2024)</w:t>
      </w:r>
      <w:r w:rsidRPr="00215B2F">
        <w:rPr>
          <w:rFonts w:eastAsia="Arial" w:cs="Arial"/>
          <w:sz w:val="20"/>
          <w:szCs w:val="20"/>
        </w:rPr>
        <w:t>.</w:t>
      </w:r>
    </w:p>
    <w:p w14:paraId="7217F484"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3341131B" w14:textId="77777777" w:rsidR="00D91782" w:rsidRPr="00215B2F" w:rsidRDefault="00D91782" w:rsidP="006455BC">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5" w:name="_Ref202959912"/>
      <w:r w:rsidRPr="00215B2F">
        <w:rPr>
          <w:rFonts w:ascii="Arial" w:eastAsia="Arial" w:hAnsi="Arial" w:cs="Arial"/>
          <w:b/>
          <w:bCs/>
          <w:sz w:val="20"/>
          <w:szCs w:val="20"/>
        </w:rPr>
        <w:t>člen</w:t>
      </w:r>
      <w:bookmarkEnd w:id="15"/>
    </w:p>
    <w:p w14:paraId="64103FE5"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lastRenderedPageBreak/>
        <w:t>(banka, hranilnica, kreditna družba in bančno interesno združenje)</w:t>
      </w:r>
    </w:p>
    <w:p w14:paraId="5E701F6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E71FC94" w14:textId="1669AE5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Kreditna institucija, ki ima sedež v Republiki Sloveniji, se lahko ustanovi kot banka, hranilnica ali kreditna družba v skladu s tem zakonom.</w:t>
      </w:r>
    </w:p>
    <w:p w14:paraId="45F36FC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71470C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Izraz »banka« se v tem zakonu uporablja za kreditno institucijo s sedežem v Republiki Sloveniji, ki je pridobila dovoljenje za opravljanje bančnih storitev v skladu s tem zakonom.</w:t>
      </w:r>
    </w:p>
    <w:p w14:paraId="563828D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38374B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Izraz »hranilnica« se v tem zakonu uporablja za kreditno institucijo s sedežem v Republiki Sloveniji, ki je pridobila dovoljenje za opravljanje bančnih storitev v skladu s tem zakonom in ni banka.</w:t>
      </w:r>
    </w:p>
    <w:p w14:paraId="7836FB83" w14:textId="77777777" w:rsidR="003F50E0" w:rsidRPr="00215B2F" w:rsidRDefault="003F50E0" w:rsidP="00FD5520">
      <w:pPr>
        <w:shd w:val="clear" w:color="auto" w:fill="FFFFFF" w:themeFill="background1"/>
        <w:spacing w:after="0" w:line="240" w:lineRule="auto"/>
        <w:jc w:val="both"/>
        <w:rPr>
          <w:rFonts w:ascii="Arial" w:eastAsia="Arial" w:hAnsi="Arial" w:cs="Arial"/>
          <w:sz w:val="20"/>
          <w:szCs w:val="20"/>
        </w:rPr>
      </w:pPr>
    </w:p>
    <w:p w14:paraId="7FAA8238" w14:textId="5F12B29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Izraz »kreditna družba« se v tem zakonu uporablja za družbo iz točke (b) 1. točke prvega odstavka 4. člena Uredbe 575/2013/EU s sedežem v Republiki Sloveniji, ki je pridobila dovoljenje za opravljanje investicijskih storitev in poslov iz 3. in 6. točke prvega odstavka 11. člena ZTFI-1 kot kreditna institucija v skladu s tem zakonom.</w:t>
      </w:r>
    </w:p>
    <w:p w14:paraId="4B52988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AB33CF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Izraz »banka države članice« se v tem zakonu uporablja za kreditno institucijo s sedežem v drugi državi članici Evropske unije, ki je pridobila dovoljenje pristojnega organa te države članice.</w:t>
      </w:r>
    </w:p>
    <w:p w14:paraId="09362D6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E790E0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Izraz »banka tretje države« je v tem zakonu uporabljen za kreditno institucijo s sedežem v državi, ki ni država članica, in ki je pridobila dovoljenje pristojnega organa te države.</w:t>
      </w:r>
    </w:p>
    <w:p w14:paraId="051B15A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B1B7B77" w14:textId="2C46A0D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Izraz »podrejena banka« je za namen nadzora na konsolidirani podlagi v skladu z </w:t>
      </w:r>
      <w:r w:rsidR="005B0CC7" w:rsidRPr="00215B2F">
        <w:rPr>
          <w:rFonts w:ascii="Arial" w:eastAsia="Arial" w:hAnsi="Arial" w:cs="Arial"/>
          <w:sz w:val="20"/>
          <w:szCs w:val="20"/>
        </w:rPr>
        <w:t>o</w:t>
      </w:r>
      <w:r w:rsidR="001F2C7A" w:rsidRPr="00215B2F">
        <w:rPr>
          <w:rFonts w:ascii="Arial" w:eastAsia="Arial" w:hAnsi="Arial" w:cs="Arial"/>
          <w:sz w:val="20"/>
          <w:szCs w:val="20"/>
        </w:rPr>
        <w:t>ddelkom</w:t>
      </w:r>
      <w:r w:rsidRPr="00215B2F">
        <w:rPr>
          <w:rFonts w:ascii="Arial" w:eastAsia="Arial" w:hAnsi="Arial" w:cs="Arial"/>
          <w:sz w:val="20"/>
          <w:szCs w:val="20"/>
        </w:rPr>
        <w:t xml:space="preserve"> </w:t>
      </w:r>
      <w:r w:rsidR="006A3800" w:rsidRPr="00215B2F">
        <w:rPr>
          <w:rFonts w:ascii="Arial" w:eastAsia="Arial" w:hAnsi="Arial" w:cs="Arial"/>
          <w:sz w:val="20"/>
          <w:szCs w:val="20"/>
        </w:rPr>
        <w:t>12</w:t>
      </w:r>
      <w:r w:rsidRPr="00215B2F">
        <w:rPr>
          <w:rFonts w:ascii="Arial" w:eastAsia="Arial" w:hAnsi="Arial" w:cs="Arial"/>
          <w:sz w:val="20"/>
          <w:szCs w:val="20"/>
        </w:rPr>
        <w:t>.3 tega zakona uporabljen za banko, hranilnico, kreditno družbo, banko države članice in banko tretje države, ki ima položaj podrejene kreditne institucije.</w:t>
      </w:r>
    </w:p>
    <w:p w14:paraId="685C7A7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ED31959" w14:textId="32E8490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(8) Določbe tega zakona se za SID – Slovensko izvozno in razvojno banko, d.</w:t>
      </w:r>
      <w:r w:rsidR="002C029E" w:rsidRPr="00215B2F">
        <w:rPr>
          <w:rFonts w:ascii="Arial" w:eastAsia="Arial" w:hAnsi="Arial" w:cs="Arial"/>
          <w:sz w:val="20"/>
          <w:szCs w:val="20"/>
        </w:rPr>
        <w:t> </w:t>
      </w:r>
      <w:r w:rsidRPr="00215B2F">
        <w:rPr>
          <w:rFonts w:ascii="Arial" w:eastAsia="Arial" w:hAnsi="Arial" w:cs="Arial"/>
          <w:sz w:val="20"/>
          <w:szCs w:val="20"/>
        </w:rPr>
        <w:t>d., Ljubljana (v nadaljnjem besedilu: SID banka) uporabljajo v obsegu, kot ga določa zakon, ki ureja Slovensko izvozno in razvojno banko, ali drug zakon. SID banka je pooblaščena specializirana slovenska spodbujevalna izvozna in razvojna banka po zakonu, ki ureja Slovensko izvozno in razvojno banko, ki ne sme sprejemati depozitov od javnosti, razen s ponudbo javnosti, ki se glasi na vplačilo dolžniških vrednostnih papirjev, katerih izdajatelj je SID banka. Ne glede na prvi stavek tega odstavka se SID banka za namene</w:t>
      </w:r>
      <w:r w:rsidR="00ED6A27" w:rsidRPr="00215B2F">
        <w:rPr>
          <w:rFonts w:ascii="Arial" w:eastAsia="Arial" w:hAnsi="Arial" w:cs="Arial"/>
          <w:sz w:val="20"/>
          <w:szCs w:val="20"/>
        </w:rPr>
        <w:t xml:space="preserve"> iz</w:t>
      </w:r>
      <w:r w:rsidRPr="00215B2F">
        <w:rPr>
          <w:rFonts w:ascii="Arial" w:eastAsia="Arial" w:hAnsi="Arial" w:cs="Arial"/>
          <w:sz w:val="20"/>
          <w:szCs w:val="20"/>
        </w:rPr>
        <w:t xml:space="preserve"> </w:t>
      </w:r>
      <w:r w:rsidR="006A3800" w:rsidRPr="00215B2F">
        <w:rPr>
          <w:rFonts w:ascii="Arial" w:eastAsia="Arial" w:hAnsi="Arial" w:cs="Arial"/>
          <w:sz w:val="20"/>
          <w:szCs w:val="20"/>
        </w:rPr>
        <w:t>164</w:t>
      </w:r>
      <w:r w:rsidRPr="00215B2F">
        <w:rPr>
          <w:rFonts w:ascii="Arial" w:eastAsia="Arial" w:hAnsi="Arial" w:cs="Arial"/>
          <w:sz w:val="20"/>
          <w:szCs w:val="20"/>
        </w:rPr>
        <w:t>.</w:t>
      </w:r>
      <w:r w:rsidR="00ED6A27" w:rsidRPr="00215B2F">
        <w:rPr>
          <w:rFonts w:ascii="Arial" w:eastAsia="Arial" w:hAnsi="Arial" w:cs="Arial"/>
          <w:sz w:val="20"/>
          <w:szCs w:val="20"/>
        </w:rPr>
        <w:t>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šteje kot posebna finančna institucija in za namene </w:t>
      </w:r>
      <w:r w:rsidR="00ED6A27" w:rsidRPr="00215B2F">
        <w:rPr>
          <w:rFonts w:ascii="Arial" w:eastAsia="Arial" w:hAnsi="Arial" w:cs="Arial"/>
          <w:sz w:val="20"/>
          <w:szCs w:val="20"/>
        </w:rPr>
        <w:t xml:space="preserve">iz </w:t>
      </w:r>
      <w:r w:rsidR="005B0CC7" w:rsidRPr="00215B2F">
        <w:rPr>
          <w:rFonts w:ascii="Arial" w:eastAsia="Arial" w:hAnsi="Arial" w:cs="Arial"/>
          <w:sz w:val="20"/>
          <w:szCs w:val="20"/>
        </w:rPr>
        <w:t>o</w:t>
      </w:r>
      <w:r w:rsidR="001F2C7A" w:rsidRPr="00215B2F">
        <w:rPr>
          <w:rFonts w:ascii="Arial" w:eastAsia="Arial" w:hAnsi="Arial" w:cs="Arial"/>
          <w:sz w:val="20"/>
          <w:szCs w:val="20"/>
        </w:rPr>
        <w:t>ddelka</w:t>
      </w:r>
      <w:r w:rsidRPr="00215B2F">
        <w:rPr>
          <w:rFonts w:ascii="Arial" w:eastAsia="Arial" w:hAnsi="Arial" w:cs="Arial"/>
          <w:sz w:val="20"/>
          <w:szCs w:val="20"/>
        </w:rPr>
        <w:t xml:space="preserve"> </w:t>
      </w:r>
      <w:r w:rsidR="006A3800" w:rsidRPr="00215B2F">
        <w:rPr>
          <w:rFonts w:ascii="Arial" w:eastAsia="Arial" w:hAnsi="Arial" w:cs="Arial"/>
          <w:sz w:val="20"/>
          <w:szCs w:val="20"/>
        </w:rPr>
        <w:t>12</w:t>
      </w:r>
      <w:r w:rsidRPr="00215B2F">
        <w:rPr>
          <w:rFonts w:ascii="Arial" w:eastAsia="Arial" w:hAnsi="Arial" w:cs="Arial"/>
          <w:sz w:val="20"/>
          <w:szCs w:val="20"/>
        </w:rPr>
        <w:t>.3 tega zakona kot finančna institucija.</w:t>
      </w:r>
    </w:p>
    <w:p w14:paraId="47E35A92" w14:textId="77777777" w:rsidR="00F83897" w:rsidRPr="00215B2F" w:rsidRDefault="00F83897" w:rsidP="00FD5520">
      <w:pPr>
        <w:shd w:val="clear" w:color="auto" w:fill="FFFFFF" w:themeFill="background1"/>
        <w:spacing w:after="0" w:line="240" w:lineRule="auto"/>
        <w:jc w:val="both"/>
        <w:rPr>
          <w:rFonts w:ascii="Arial" w:eastAsia="Arial" w:hAnsi="Arial" w:cs="Arial"/>
          <w:sz w:val="20"/>
          <w:szCs w:val="20"/>
        </w:rPr>
      </w:pPr>
    </w:p>
    <w:p w14:paraId="28D6B29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(9) Banke se lahko združujejo v bančno interesno združenje, ki je ustanovljeno kot gospodarsko interesno združenje po ZGD-1. Bančno interesno združenje lahko izvaja izobraževanja in izdaja potrdila o opravljenem izobraževanju, organizira za svoje članice izvensodno reševanje sporov v zvezi z opravljanjem bančnih storitev ter opravlja tudi druge naloge iz pogodbe o ustanovitvi.</w:t>
      </w:r>
    </w:p>
    <w:p w14:paraId="4F8DD2A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ED6FFF3" w14:textId="77777777" w:rsidR="00D91782" w:rsidRPr="00215B2F" w:rsidRDefault="00D91782" w:rsidP="006455BC">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6" w:name="_Ref202959921"/>
      <w:r w:rsidRPr="00215B2F">
        <w:rPr>
          <w:rFonts w:ascii="Arial" w:eastAsia="Arial" w:hAnsi="Arial" w:cs="Arial"/>
          <w:b/>
          <w:bCs/>
          <w:sz w:val="20"/>
          <w:szCs w:val="20"/>
        </w:rPr>
        <w:t>člen</w:t>
      </w:r>
      <w:bookmarkEnd w:id="16"/>
    </w:p>
    <w:p w14:paraId="6BE9F50C"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(bančne in finančne storitve)</w:t>
      </w:r>
    </w:p>
    <w:p w14:paraId="096AACF9"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5C7A773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Bančne storitve so storitve sprejemanja depozitov in drugih vračljivih sredstev od javnosti ter dajanje kreditov za svoj račun.</w:t>
      </w:r>
    </w:p>
    <w:p w14:paraId="613D547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8DF7737" w14:textId="3CDB689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Finančne storitve so:</w:t>
      </w:r>
    </w:p>
    <w:p w14:paraId="7FED1BB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3406CED" w14:textId="77777777" w:rsidR="008E3FA3" w:rsidRPr="00215B2F" w:rsidRDefault="00D91782">
      <w:pPr>
        <w:pStyle w:val="tevilnatoka"/>
        <w:numPr>
          <w:ilvl w:val="0"/>
          <w:numId w:val="31"/>
        </w:numPr>
        <w:shd w:val="clear" w:color="auto" w:fill="FFFFFF" w:themeFill="background1"/>
        <w:tabs>
          <w:tab w:val="clear" w:pos="425"/>
        </w:tabs>
        <w:rPr>
          <w:rFonts w:cs="Arial"/>
          <w:bCs/>
          <w:sz w:val="20"/>
          <w:szCs w:val="20"/>
        </w:rPr>
      </w:pPr>
      <w:r w:rsidRPr="00215B2F">
        <w:rPr>
          <w:rFonts w:eastAsia="Arial" w:cs="Arial"/>
          <w:sz w:val="20"/>
          <w:szCs w:val="20"/>
        </w:rPr>
        <w:t>sprejemanje depozitov in drugih vračljivih sredstev;</w:t>
      </w:r>
    </w:p>
    <w:p w14:paraId="45D39832" w14:textId="3187010F" w:rsidR="00D91782" w:rsidRPr="00215B2F" w:rsidRDefault="00D91782">
      <w:pPr>
        <w:pStyle w:val="tevilnatoka"/>
        <w:numPr>
          <w:ilvl w:val="0"/>
          <w:numId w:val="31"/>
        </w:numPr>
        <w:shd w:val="clear" w:color="auto" w:fill="FFFFFF" w:themeFill="background1"/>
        <w:tabs>
          <w:tab w:val="clear" w:pos="425"/>
        </w:tabs>
        <w:rPr>
          <w:rFonts w:cs="Arial"/>
          <w:bCs/>
          <w:sz w:val="20"/>
          <w:szCs w:val="20"/>
        </w:rPr>
      </w:pPr>
      <w:r w:rsidRPr="00215B2F">
        <w:rPr>
          <w:rFonts w:eastAsia="Arial" w:cs="Arial"/>
          <w:sz w:val="20"/>
          <w:szCs w:val="20"/>
        </w:rPr>
        <w:t>dajanje kreditov, ki vključuje tudi:</w:t>
      </w:r>
    </w:p>
    <w:p w14:paraId="3C45C83C" w14:textId="77777777" w:rsidR="008612B7"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potrošniške kredite,</w:t>
      </w:r>
    </w:p>
    <w:p w14:paraId="7C5AA53B" w14:textId="77777777" w:rsidR="008612B7"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hipotekarne kredite,</w:t>
      </w:r>
    </w:p>
    <w:p w14:paraId="2A73255C" w14:textId="77777777" w:rsidR="008612B7"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odkup terjatev z regresom ali brez njega (faktoring),</w:t>
      </w:r>
    </w:p>
    <w:p w14:paraId="0271E49A" w14:textId="7FBF8109"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financiranje komercialnih poslov, vključno z izvoznim financiranjem na podlagi odkupa z diskontom in brez regresa dolgoročnih nezapadlih terjatev, zavarovanih s finančnim instrumentom (forfe</w:t>
      </w:r>
      <w:r w:rsidR="00AD6B87" w:rsidRPr="00215B2F">
        <w:rPr>
          <w:rFonts w:ascii="Arial" w:eastAsia="Arial" w:hAnsi="Arial" w:cs="Arial"/>
          <w:sz w:val="20"/>
          <w:szCs w:val="20"/>
        </w:rPr>
        <w:t>tiranje</w:t>
      </w:r>
      <w:r w:rsidRPr="00215B2F">
        <w:rPr>
          <w:rFonts w:ascii="Arial" w:eastAsia="Arial" w:hAnsi="Arial" w:cs="Arial"/>
          <w:sz w:val="20"/>
          <w:szCs w:val="20"/>
        </w:rPr>
        <w:t>);</w:t>
      </w:r>
    </w:p>
    <w:p w14:paraId="6FB5DD27" w14:textId="768CE7DD" w:rsidR="008E3FA3" w:rsidRPr="00215B2F" w:rsidRDefault="00D91782">
      <w:pPr>
        <w:pStyle w:val="tevilnatoka"/>
        <w:numPr>
          <w:ilvl w:val="0"/>
          <w:numId w:val="31"/>
        </w:numPr>
        <w:shd w:val="clear" w:color="auto" w:fill="FFFFFF" w:themeFill="background1"/>
        <w:rPr>
          <w:rFonts w:cs="Arial"/>
          <w:bCs/>
          <w:sz w:val="20"/>
          <w:szCs w:val="20"/>
        </w:rPr>
      </w:pPr>
      <w:r w:rsidRPr="00215B2F">
        <w:rPr>
          <w:rFonts w:eastAsia="Arial" w:cs="Arial"/>
          <w:sz w:val="20"/>
          <w:szCs w:val="20"/>
        </w:rPr>
        <w:t>finančni zakup (lizing, najem)</w:t>
      </w:r>
      <w:r w:rsidR="002C7D72" w:rsidRPr="00215B2F">
        <w:rPr>
          <w:rFonts w:eastAsia="Arial" w:cs="Arial"/>
          <w:sz w:val="20"/>
          <w:szCs w:val="20"/>
        </w:rPr>
        <w:t>, ki za namen tega zakona pomeni</w:t>
      </w:r>
      <w:r w:rsidRPr="00215B2F">
        <w:rPr>
          <w:rFonts w:eastAsia="Arial" w:cs="Arial"/>
          <w:sz w:val="20"/>
          <w:szCs w:val="20"/>
        </w:rPr>
        <w:t xml:space="preserve"> dajanje sredstev v zakup, pri katerem se na zakupnika prenesejo vsa bistvena tveganja in koristi, ki izhajajo iz lastninske pravice nad sredstvom zakupa, pri čemer je prenos lastninske pravice na zakupnika mogoč, ne pa nujen;</w:t>
      </w:r>
    </w:p>
    <w:p w14:paraId="221CEA2E" w14:textId="2C044E01" w:rsidR="008E3FA3" w:rsidRPr="00215B2F" w:rsidRDefault="00D91782" w:rsidP="006455BC">
      <w:pPr>
        <w:pStyle w:val="tevilnatoka"/>
        <w:rPr>
          <w:rFonts w:cs="Arial"/>
          <w:bCs/>
          <w:sz w:val="20"/>
          <w:szCs w:val="20"/>
        </w:rPr>
      </w:pPr>
      <w:r w:rsidRPr="00215B2F">
        <w:rPr>
          <w:rFonts w:eastAsia="Arial" w:cs="Arial"/>
          <w:sz w:val="20"/>
          <w:szCs w:val="20"/>
        </w:rPr>
        <w:t>plačilne storitve;</w:t>
      </w:r>
    </w:p>
    <w:p w14:paraId="10A9969C" w14:textId="77777777" w:rsidR="008E3FA3" w:rsidRPr="00215B2F" w:rsidRDefault="00D91782" w:rsidP="006455BC">
      <w:pPr>
        <w:pStyle w:val="tevilnatoka"/>
        <w:rPr>
          <w:rFonts w:cs="Arial"/>
          <w:bCs/>
          <w:sz w:val="20"/>
          <w:szCs w:val="20"/>
        </w:rPr>
      </w:pPr>
      <w:r w:rsidRPr="00215B2F">
        <w:rPr>
          <w:rFonts w:eastAsia="Arial" w:cs="Arial"/>
          <w:sz w:val="20"/>
          <w:szCs w:val="20"/>
        </w:rPr>
        <w:lastRenderedPageBreak/>
        <w:t>izdajanje in upravljanje drugih plačilnih instrumentov (na primer potovalnih čekov in bančnih menic) v delu, v katerem ta storitev ni vključena v storitev iz prejšnje točke;</w:t>
      </w:r>
    </w:p>
    <w:p w14:paraId="1D4812C7" w14:textId="77777777" w:rsidR="008E3FA3" w:rsidRPr="00215B2F" w:rsidRDefault="00D91782" w:rsidP="006455BC">
      <w:pPr>
        <w:pStyle w:val="tevilnatoka"/>
        <w:rPr>
          <w:rFonts w:cs="Arial"/>
          <w:bCs/>
          <w:sz w:val="20"/>
          <w:szCs w:val="20"/>
        </w:rPr>
      </w:pPr>
      <w:r w:rsidRPr="00215B2F">
        <w:rPr>
          <w:rFonts w:eastAsia="Arial" w:cs="Arial"/>
          <w:sz w:val="20"/>
          <w:szCs w:val="20"/>
        </w:rPr>
        <w:t>izdajanje garancij in drugih jamstev;</w:t>
      </w:r>
    </w:p>
    <w:p w14:paraId="48ECD26B" w14:textId="0F8AFB68" w:rsidR="00D91782" w:rsidRPr="00215B2F" w:rsidRDefault="00D91782" w:rsidP="006455BC">
      <w:pPr>
        <w:pStyle w:val="tevilnatoka"/>
        <w:rPr>
          <w:rFonts w:cs="Arial"/>
          <w:bCs/>
          <w:sz w:val="20"/>
          <w:szCs w:val="20"/>
        </w:rPr>
      </w:pPr>
      <w:r w:rsidRPr="00215B2F">
        <w:rPr>
          <w:rFonts w:eastAsia="Arial" w:cs="Arial"/>
          <w:sz w:val="20"/>
          <w:szCs w:val="20"/>
        </w:rPr>
        <w:t>trgovanje za svoj račun ali za račun strank:</w:t>
      </w:r>
    </w:p>
    <w:p w14:paraId="44BB6282" w14:textId="4EBC66B0" w:rsidR="008612B7" w:rsidRPr="00215B2F" w:rsidRDefault="001303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z </w:t>
      </w:r>
      <w:r w:rsidR="00D91782" w:rsidRPr="00215B2F">
        <w:rPr>
          <w:rFonts w:ascii="Arial" w:eastAsia="Arial" w:hAnsi="Arial" w:cs="Arial"/>
          <w:sz w:val="20"/>
          <w:szCs w:val="20"/>
        </w:rPr>
        <w:t>instrumenti denarnega trga,</w:t>
      </w:r>
    </w:p>
    <w:p w14:paraId="4E341D05" w14:textId="0F28F553" w:rsidR="008612B7" w:rsidRPr="00215B2F" w:rsidRDefault="001303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z </w:t>
      </w:r>
      <w:r w:rsidR="00D91782" w:rsidRPr="00215B2F">
        <w:rPr>
          <w:rFonts w:ascii="Arial" w:eastAsia="Arial" w:hAnsi="Arial" w:cs="Arial"/>
          <w:sz w:val="20"/>
          <w:szCs w:val="20"/>
        </w:rPr>
        <w:t>menjalniškimi posli,</w:t>
      </w:r>
    </w:p>
    <w:p w14:paraId="256D5EF0" w14:textId="23ACDB5F" w:rsidR="008612B7" w:rsidRPr="00215B2F" w:rsidRDefault="001303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s </w:t>
      </w:r>
      <w:r w:rsidR="00D91782" w:rsidRPr="00215B2F">
        <w:rPr>
          <w:rFonts w:ascii="Arial" w:eastAsia="Arial" w:hAnsi="Arial" w:cs="Arial"/>
          <w:sz w:val="20"/>
          <w:szCs w:val="20"/>
        </w:rPr>
        <w:t>standardiziranimi terminskimi pogodbami in opcijami,</w:t>
      </w:r>
    </w:p>
    <w:p w14:paraId="549E4DC3" w14:textId="520BE1F2" w:rsidR="008612B7" w:rsidRPr="00215B2F" w:rsidRDefault="001303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z </w:t>
      </w:r>
      <w:r w:rsidR="00D91782" w:rsidRPr="00215B2F">
        <w:rPr>
          <w:rFonts w:ascii="Arial" w:eastAsia="Arial" w:hAnsi="Arial" w:cs="Arial"/>
          <w:sz w:val="20"/>
          <w:szCs w:val="20"/>
        </w:rPr>
        <w:t>valutnimi in obrestnimi finančnimi instrumenti,</w:t>
      </w:r>
    </w:p>
    <w:p w14:paraId="4587C4BB" w14:textId="2A94AFA5" w:rsidR="00D91782" w:rsidRPr="00215B2F" w:rsidRDefault="001303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s </w:t>
      </w:r>
      <w:r w:rsidR="00D91782" w:rsidRPr="00215B2F">
        <w:rPr>
          <w:rFonts w:ascii="Arial" w:eastAsia="Arial" w:hAnsi="Arial" w:cs="Arial"/>
          <w:sz w:val="20"/>
          <w:szCs w:val="20"/>
        </w:rPr>
        <w:t>prenosljivimi vrednostnimi papirji;</w:t>
      </w:r>
    </w:p>
    <w:p w14:paraId="5DE00FC9" w14:textId="77777777" w:rsidR="008E3FA3" w:rsidRPr="00215B2F" w:rsidRDefault="00D91782" w:rsidP="006455BC">
      <w:pPr>
        <w:pStyle w:val="tevilnatoka"/>
        <w:rPr>
          <w:rFonts w:cs="Arial"/>
          <w:bCs/>
          <w:sz w:val="20"/>
          <w:szCs w:val="20"/>
        </w:rPr>
      </w:pPr>
      <w:r w:rsidRPr="00215B2F">
        <w:rPr>
          <w:rFonts w:eastAsia="Arial" w:cs="Arial"/>
          <w:sz w:val="20"/>
          <w:szCs w:val="20"/>
        </w:rPr>
        <w:t>sodelovanje pri izdaji vrednostnih papirjev in storitve, povezane s tem;</w:t>
      </w:r>
    </w:p>
    <w:p w14:paraId="060F58B0" w14:textId="77777777" w:rsidR="008E3FA3" w:rsidRPr="00215B2F" w:rsidRDefault="00D91782" w:rsidP="006455BC">
      <w:pPr>
        <w:pStyle w:val="tevilnatoka"/>
        <w:rPr>
          <w:rFonts w:cs="Arial"/>
          <w:bCs/>
          <w:sz w:val="20"/>
          <w:szCs w:val="20"/>
        </w:rPr>
      </w:pPr>
      <w:r w:rsidRPr="00215B2F">
        <w:rPr>
          <w:rFonts w:eastAsia="Arial" w:cs="Arial"/>
          <w:sz w:val="20"/>
          <w:szCs w:val="20"/>
        </w:rPr>
        <w:t>svetovanje podjetjem glede kapitalske strukture, poslovne strategije in sorodnih zadev ter svetovanje in storitve v zvezi z združitvami in nakupom podjetij;</w:t>
      </w:r>
    </w:p>
    <w:p w14:paraId="543CB86E" w14:textId="77777777" w:rsidR="008E3FA3" w:rsidRPr="00215B2F" w:rsidRDefault="00D91782" w:rsidP="006455BC">
      <w:pPr>
        <w:pStyle w:val="tevilnatoka"/>
        <w:rPr>
          <w:rFonts w:cs="Arial"/>
          <w:bCs/>
          <w:sz w:val="20"/>
          <w:szCs w:val="20"/>
        </w:rPr>
      </w:pPr>
      <w:r w:rsidRPr="00215B2F">
        <w:rPr>
          <w:rFonts w:eastAsia="Arial" w:cs="Arial"/>
          <w:sz w:val="20"/>
          <w:szCs w:val="20"/>
        </w:rPr>
        <w:t>denarno posredništvo na medbančnih trgih;</w:t>
      </w:r>
    </w:p>
    <w:p w14:paraId="4C9C3A98" w14:textId="77777777" w:rsidR="008E3FA3" w:rsidRPr="00215B2F" w:rsidRDefault="00D91782" w:rsidP="006455BC">
      <w:pPr>
        <w:pStyle w:val="tevilnatoka"/>
        <w:rPr>
          <w:rFonts w:cs="Arial"/>
          <w:bCs/>
          <w:sz w:val="20"/>
          <w:szCs w:val="20"/>
        </w:rPr>
      </w:pPr>
      <w:r w:rsidRPr="00215B2F">
        <w:rPr>
          <w:rFonts w:eastAsia="Arial" w:cs="Arial"/>
          <w:sz w:val="20"/>
          <w:szCs w:val="20"/>
        </w:rPr>
        <w:t>upravljanje naložb in svetovanje v zvezi s tem;</w:t>
      </w:r>
    </w:p>
    <w:p w14:paraId="1410B9CF" w14:textId="77777777" w:rsidR="008E3FA3" w:rsidRPr="00215B2F" w:rsidRDefault="00D91782" w:rsidP="006455BC">
      <w:pPr>
        <w:pStyle w:val="tevilnatoka"/>
        <w:rPr>
          <w:rFonts w:cs="Arial"/>
          <w:bCs/>
          <w:sz w:val="20"/>
          <w:szCs w:val="20"/>
        </w:rPr>
      </w:pPr>
      <w:r w:rsidRPr="00215B2F">
        <w:rPr>
          <w:rFonts w:eastAsia="Arial" w:cs="Arial"/>
          <w:sz w:val="20"/>
          <w:szCs w:val="20"/>
        </w:rPr>
        <w:t>hramba vrednostnih papirjev in druge storitve, povezane s hrambo;</w:t>
      </w:r>
    </w:p>
    <w:p w14:paraId="4F5F327E" w14:textId="44731DA9" w:rsidR="008E3FA3" w:rsidRPr="00215B2F" w:rsidRDefault="00D91782" w:rsidP="006455BC">
      <w:pPr>
        <w:pStyle w:val="tevilnatoka"/>
        <w:rPr>
          <w:rFonts w:cs="Arial"/>
          <w:bCs/>
          <w:sz w:val="20"/>
          <w:szCs w:val="20"/>
        </w:rPr>
      </w:pPr>
      <w:r w:rsidRPr="00215B2F">
        <w:rPr>
          <w:rFonts w:eastAsia="Arial" w:cs="Arial"/>
          <w:sz w:val="20"/>
          <w:szCs w:val="20"/>
        </w:rPr>
        <w:t>kreditne bonitetne storitve: zbiranje, analiza in po</w:t>
      </w:r>
      <w:r w:rsidR="00EA46D3" w:rsidRPr="00215B2F">
        <w:rPr>
          <w:rFonts w:eastAsia="Arial" w:cs="Arial"/>
          <w:sz w:val="20"/>
          <w:szCs w:val="20"/>
        </w:rPr>
        <w:t>šilj</w:t>
      </w:r>
      <w:r w:rsidRPr="00215B2F">
        <w:rPr>
          <w:rFonts w:eastAsia="Arial" w:cs="Arial"/>
          <w:sz w:val="20"/>
          <w:szCs w:val="20"/>
        </w:rPr>
        <w:t>anje informacij o kreditni sposobnosti;</w:t>
      </w:r>
    </w:p>
    <w:p w14:paraId="6C19FC49" w14:textId="77777777" w:rsidR="008E3FA3" w:rsidRPr="00215B2F" w:rsidRDefault="00D91782" w:rsidP="006455BC">
      <w:pPr>
        <w:pStyle w:val="tevilnatoka"/>
        <w:rPr>
          <w:rFonts w:cs="Arial"/>
          <w:bCs/>
          <w:sz w:val="20"/>
          <w:szCs w:val="20"/>
        </w:rPr>
      </w:pPr>
      <w:r w:rsidRPr="00215B2F">
        <w:rPr>
          <w:rFonts w:eastAsia="Arial" w:cs="Arial"/>
          <w:sz w:val="20"/>
          <w:szCs w:val="20"/>
        </w:rPr>
        <w:t>oddajanje sefov;</w:t>
      </w:r>
    </w:p>
    <w:p w14:paraId="5F942C27" w14:textId="601824A2" w:rsidR="008E3FA3" w:rsidRPr="00215B2F" w:rsidRDefault="00D91782" w:rsidP="006455BC">
      <w:pPr>
        <w:pStyle w:val="tevilnatoka"/>
        <w:rPr>
          <w:rFonts w:cs="Arial"/>
          <w:bCs/>
          <w:sz w:val="20"/>
          <w:szCs w:val="20"/>
        </w:rPr>
      </w:pPr>
      <w:r w:rsidRPr="00215B2F">
        <w:rPr>
          <w:rFonts w:eastAsia="Arial" w:cs="Arial"/>
          <w:sz w:val="20"/>
          <w:szCs w:val="20"/>
        </w:rPr>
        <w:t xml:space="preserve">investicijske storitve in posli ter pomožne investicijske storitve po </w:t>
      </w:r>
      <w:r w:rsidR="00B30F84" w:rsidRPr="00215B2F">
        <w:rPr>
          <w:rFonts w:eastAsia="Arial" w:cs="Arial"/>
          <w:sz w:val="20"/>
          <w:szCs w:val="20"/>
        </w:rPr>
        <w:t>ZTFI-1</w:t>
      </w:r>
      <w:r w:rsidRPr="00215B2F">
        <w:rPr>
          <w:rFonts w:eastAsia="Arial" w:cs="Arial"/>
          <w:sz w:val="20"/>
          <w:szCs w:val="20"/>
        </w:rPr>
        <w:t>;</w:t>
      </w:r>
    </w:p>
    <w:p w14:paraId="5A705AC8" w14:textId="7E0F00F9" w:rsidR="008E3FA3" w:rsidRPr="00215B2F" w:rsidRDefault="00D91782" w:rsidP="006455BC">
      <w:pPr>
        <w:pStyle w:val="tevilnatoka"/>
        <w:rPr>
          <w:rFonts w:cs="Arial"/>
          <w:bCs/>
          <w:sz w:val="20"/>
          <w:szCs w:val="20"/>
        </w:rPr>
      </w:pPr>
      <w:r w:rsidRPr="00215B2F">
        <w:rPr>
          <w:rFonts w:eastAsia="Arial" w:cs="Arial"/>
          <w:sz w:val="20"/>
          <w:szCs w:val="20"/>
        </w:rPr>
        <w:t>izdajanje elektronskega denarja, vključno z žetoni elektronskega denarja, k</w:t>
      </w:r>
      <w:r w:rsidR="006B0B0E" w:rsidRPr="00215B2F">
        <w:rPr>
          <w:rFonts w:eastAsia="Arial" w:cs="Arial"/>
          <w:sz w:val="20"/>
          <w:szCs w:val="20"/>
        </w:rPr>
        <w:t>akor</w:t>
      </w:r>
      <w:r w:rsidRPr="00215B2F">
        <w:rPr>
          <w:rFonts w:eastAsia="Arial" w:cs="Arial"/>
          <w:sz w:val="20"/>
          <w:szCs w:val="20"/>
        </w:rPr>
        <w:t xml:space="preserve"> so opredeljeni v 7.</w:t>
      </w:r>
      <w:r w:rsidR="00EA46D3" w:rsidRPr="00215B2F">
        <w:rPr>
          <w:rFonts w:eastAsia="Arial" w:cs="Arial"/>
          <w:sz w:val="20"/>
          <w:szCs w:val="20"/>
        </w:rPr>
        <w:t> </w:t>
      </w:r>
      <w:r w:rsidRPr="00215B2F">
        <w:rPr>
          <w:rFonts w:eastAsia="Arial" w:cs="Arial"/>
          <w:sz w:val="20"/>
          <w:szCs w:val="20"/>
        </w:rPr>
        <w:t xml:space="preserve">točki prvega odstavka 3. člena Uredbe 2023/1114/EU; </w:t>
      </w:r>
    </w:p>
    <w:p w14:paraId="1B9021B4" w14:textId="735B30E1" w:rsidR="008E3FA3" w:rsidRPr="00215B2F" w:rsidRDefault="00D91782" w:rsidP="006455BC">
      <w:pPr>
        <w:pStyle w:val="tevilnatoka"/>
        <w:rPr>
          <w:rFonts w:cs="Arial"/>
          <w:bCs/>
          <w:sz w:val="20"/>
          <w:szCs w:val="20"/>
        </w:rPr>
      </w:pPr>
      <w:r w:rsidRPr="00215B2F">
        <w:rPr>
          <w:rFonts w:eastAsia="Arial" w:cs="Arial"/>
          <w:sz w:val="20"/>
          <w:szCs w:val="20"/>
        </w:rPr>
        <w:t>izdajanje žetonov, vezanih na sredstva, k</w:t>
      </w:r>
      <w:r w:rsidR="006B0B0E" w:rsidRPr="00215B2F">
        <w:rPr>
          <w:rFonts w:eastAsia="Arial" w:cs="Arial"/>
          <w:sz w:val="20"/>
          <w:szCs w:val="20"/>
        </w:rPr>
        <w:t>akor</w:t>
      </w:r>
      <w:r w:rsidRPr="00215B2F">
        <w:rPr>
          <w:rFonts w:eastAsia="Arial" w:cs="Arial"/>
          <w:sz w:val="20"/>
          <w:szCs w:val="20"/>
        </w:rPr>
        <w:t xml:space="preserve"> so opredeljeni v 6. točki prvega odstavka 3. člena Uredbe 2023/1114/EU; </w:t>
      </w:r>
    </w:p>
    <w:p w14:paraId="6F5FF55A" w14:textId="0C6F1FB4" w:rsidR="00D91782" w:rsidRPr="00215B2F" w:rsidRDefault="00D91782" w:rsidP="006455BC">
      <w:pPr>
        <w:pStyle w:val="tevilnatoka"/>
        <w:rPr>
          <w:rFonts w:cs="Arial"/>
          <w:bCs/>
          <w:sz w:val="20"/>
          <w:szCs w:val="20"/>
        </w:rPr>
      </w:pPr>
      <w:r w:rsidRPr="00215B2F">
        <w:rPr>
          <w:rFonts w:eastAsia="Arial" w:cs="Arial"/>
          <w:sz w:val="20"/>
          <w:szCs w:val="20"/>
        </w:rPr>
        <w:t>storitve v zvezi s kriptosredstvi, k</w:t>
      </w:r>
      <w:r w:rsidR="006B0B0E" w:rsidRPr="00215B2F">
        <w:rPr>
          <w:rFonts w:eastAsia="Arial" w:cs="Arial"/>
          <w:sz w:val="20"/>
          <w:szCs w:val="20"/>
        </w:rPr>
        <w:t>akor</w:t>
      </w:r>
      <w:r w:rsidRPr="00215B2F">
        <w:rPr>
          <w:rFonts w:eastAsia="Arial" w:cs="Arial"/>
          <w:sz w:val="20"/>
          <w:szCs w:val="20"/>
        </w:rPr>
        <w:t xml:space="preserve"> so opredeljene v 16. točki prvega odstavka 3. člena Uredbe 2023/1114/EU.</w:t>
      </w:r>
    </w:p>
    <w:p w14:paraId="4F547F7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7AB0F8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Vzajemno priznane storitve po tem zakonu so bančne in finančne storitve.</w:t>
      </w:r>
    </w:p>
    <w:p w14:paraId="787EE42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703F580" w14:textId="77777777" w:rsidR="00D91782" w:rsidRPr="00215B2F" w:rsidRDefault="00D91782" w:rsidP="006455BC">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7" w:name="_Ref203466471"/>
      <w:r w:rsidRPr="00215B2F">
        <w:rPr>
          <w:rFonts w:ascii="Arial" w:eastAsia="Arial" w:hAnsi="Arial" w:cs="Arial"/>
          <w:b/>
          <w:bCs/>
          <w:sz w:val="20"/>
          <w:szCs w:val="20"/>
        </w:rPr>
        <w:t>člen</w:t>
      </w:r>
      <w:bookmarkEnd w:id="17"/>
    </w:p>
    <w:p w14:paraId="20509BA0"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(dodatne in druge finančne storitve)</w:t>
      </w:r>
    </w:p>
    <w:p w14:paraId="4F6F013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08FA99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Dodatne finančne storitve so:</w:t>
      </w:r>
    </w:p>
    <w:p w14:paraId="526A390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2427636" w14:textId="77777777" w:rsidR="008E3FA3" w:rsidRPr="00215B2F" w:rsidRDefault="00D91782" w:rsidP="003D4DE0">
      <w:pPr>
        <w:pStyle w:val="tevilnatoka"/>
        <w:numPr>
          <w:ilvl w:val="0"/>
          <w:numId w:val="361"/>
        </w:numPr>
        <w:shd w:val="clear" w:color="auto" w:fill="FFFFFF" w:themeFill="background1"/>
        <w:rPr>
          <w:rFonts w:cs="Arial"/>
          <w:bCs/>
          <w:sz w:val="20"/>
          <w:szCs w:val="20"/>
        </w:rPr>
      </w:pPr>
      <w:r w:rsidRPr="00215B2F">
        <w:rPr>
          <w:rFonts w:eastAsia="Arial" w:cs="Arial"/>
          <w:sz w:val="20"/>
          <w:szCs w:val="20"/>
        </w:rPr>
        <w:t>dejavnost zavarovalnega zastopanja po zakonu, ki ureja zavarovalništvo;</w:t>
      </w:r>
    </w:p>
    <w:p w14:paraId="46F8582F" w14:textId="77777777" w:rsidR="008E3FA3" w:rsidRPr="00215B2F" w:rsidRDefault="00D91782" w:rsidP="003D4DE0">
      <w:pPr>
        <w:pStyle w:val="Slog4"/>
        <w:numPr>
          <w:ilvl w:val="0"/>
          <w:numId w:val="361"/>
        </w:numPr>
        <w:shd w:val="clear" w:color="auto" w:fill="FFFFFF" w:themeFill="background1"/>
        <w:rPr>
          <w:rFonts w:eastAsia="Times New Roman"/>
          <w:bCs/>
        </w:rPr>
      </w:pPr>
      <w:r w:rsidRPr="00215B2F">
        <w:t>storitve upravljanja plačilnih sistemov;</w:t>
      </w:r>
    </w:p>
    <w:p w14:paraId="6CE3714D" w14:textId="77777777" w:rsidR="008E3FA3" w:rsidRPr="00215B2F" w:rsidRDefault="00D91782" w:rsidP="003D4DE0">
      <w:pPr>
        <w:pStyle w:val="Slog4"/>
        <w:numPr>
          <w:ilvl w:val="0"/>
          <w:numId w:val="361"/>
        </w:numPr>
        <w:shd w:val="clear" w:color="auto" w:fill="FFFFFF" w:themeFill="background1"/>
        <w:rPr>
          <w:rFonts w:eastAsia="Times New Roman"/>
          <w:bCs/>
        </w:rPr>
      </w:pPr>
      <w:r w:rsidRPr="00215B2F">
        <w:t>upravljanje pokojninskih skladov po zakonu, ki ureja pokojninsko in invalidsko zavarovanje;</w:t>
      </w:r>
    </w:p>
    <w:p w14:paraId="404B7062" w14:textId="77777777" w:rsidR="008E3FA3" w:rsidRPr="00215B2F" w:rsidRDefault="00D91782" w:rsidP="003D4DE0">
      <w:pPr>
        <w:pStyle w:val="Slog4"/>
        <w:numPr>
          <w:ilvl w:val="0"/>
          <w:numId w:val="361"/>
        </w:numPr>
        <w:shd w:val="clear" w:color="auto" w:fill="FFFFFF" w:themeFill="background1"/>
        <w:rPr>
          <w:rFonts w:eastAsia="Times New Roman"/>
          <w:bCs/>
        </w:rPr>
      </w:pPr>
      <w:r w:rsidRPr="00215B2F">
        <w:t>skrbniške storitve, za katere drug zakon določa, da jih opravlja banka, in storitve, povezane s temi skrbniškimi storitvami;</w:t>
      </w:r>
    </w:p>
    <w:p w14:paraId="47F8A41A" w14:textId="77777777" w:rsidR="008E3FA3" w:rsidRPr="00215B2F" w:rsidRDefault="00D91782" w:rsidP="003D4DE0">
      <w:pPr>
        <w:pStyle w:val="Slog4"/>
        <w:numPr>
          <w:ilvl w:val="0"/>
          <w:numId w:val="361"/>
        </w:numPr>
        <w:shd w:val="clear" w:color="auto" w:fill="FFFFFF" w:themeFill="background1"/>
        <w:rPr>
          <w:rFonts w:eastAsia="Times New Roman"/>
          <w:bCs/>
        </w:rPr>
      </w:pPr>
      <w:r w:rsidRPr="00215B2F">
        <w:t>kreditno posredništvo pri potrošniških in drugih kreditih;</w:t>
      </w:r>
    </w:p>
    <w:p w14:paraId="2E697BA6" w14:textId="3079B3EF" w:rsidR="00D91782" w:rsidRPr="00215B2F" w:rsidRDefault="00D91782" w:rsidP="003D4DE0">
      <w:pPr>
        <w:pStyle w:val="Slog4"/>
        <w:numPr>
          <w:ilvl w:val="0"/>
          <w:numId w:val="361"/>
        </w:numPr>
        <w:shd w:val="clear" w:color="auto" w:fill="FFFFFF" w:themeFill="background1"/>
        <w:rPr>
          <w:rFonts w:eastAsia="Times New Roman"/>
          <w:bCs/>
        </w:rPr>
      </w:pPr>
      <w:r w:rsidRPr="00215B2F">
        <w:t>druge storitve ali posli, ki imajo glede načina opravljanja in tveganj, ki jim je banka pri opravljanju izpostavljena, podobne značilnosti kot vzajemno priznane finančne storitve ali storitve iz 1. do 5. točke tega odstavka.</w:t>
      </w:r>
    </w:p>
    <w:p w14:paraId="0B1333E1" w14:textId="77777777" w:rsidR="008E3FA3" w:rsidRPr="00215B2F" w:rsidRDefault="008E3FA3" w:rsidP="00FD5520">
      <w:pPr>
        <w:shd w:val="clear" w:color="auto" w:fill="FFFFFF" w:themeFill="background1"/>
        <w:spacing w:after="0" w:line="240" w:lineRule="auto"/>
        <w:jc w:val="both"/>
        <w:rPr>
          <w:rFonts w:ascii="Arial" w:eastAsia="Arial" w:hAnsi="Arial" w:cs="Arial"/>
          <w:sz w:val="20"/>
          <w:szCs w:val="20"/>
        </w:rPr>
      </w:pPr>
    </w:p>
    <w:p w14:paraId="1FB96181" w14:textId="0369C0B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Druge finančne storitve so:</w:t>
      </w:r>
    </w:p>
    <w:p w14:paraId="4BD88AC8" w14:textId="77777777" w:rsidR="008E3FA3" w:rsidRPr="00215B2F" w:rsidRDefault="008E3FA3" w:rsidP="00FD5520">
      <w:pPr>
        <w:shd w:val="clear" w:color="auto" w:fill="FFFFFF" w:themeFill="background1"/>
        <w:spacing w:after="0" w:line="240" w:lineRule="auto"/>
        <w:jc w:val="both"/>
        <w:rPr>
          <w:rFonts w:ascii="Arial" w:eastAsia="Arial" w:hAnsi="Arial" w:cs="Arial"/>
          <w:sz w:val="20"/>
          <w:szCs w:val="20"/>
        </w:rPr>
      </w:pPr>
    </w:p>
    <w:p w14:paraId="25DE4F4E" w14:textId="3FBD3E93" w:rsidR="00D91782" w:rsidRPr="00215B2F" w:rsidRDefault="00D91782">
      <w:pPr>
        <w:pStyle w:val="tevilnatoka"/>
        <w:numPr>
          <w:ilvl w:val="0"/>
          <w:numId w:val="32"/>
        </w:numPr>
        <w:shd w:val="clear" w:color="auto" w:fill="FFFFFF" w:themeFill="background1"/>
        <w:rPr>
          <w:rFonts w:eastAsia="Arial" w:cs="Arial"/>
          <w:sz w:val="20"/>
          <w:szCs w:val="20"/>
        </w:rPr>
      </w:pPr>
      <w:r w:rsidRPr="00215B2F">
        <w:rPr>
          <w:rFonts w:eastAsia="Arial" w:cs="Arial"/>
          <w:sz w:val="20"/>
          <w:szCs w:val="20"/>
        </w:rPr>
        <w:t>opravljanje zavarovalnih ali pozavarovalnih poslov po zakonu, ki ureja zavarovalništvo</w:t>
      </w:r>
      <w:r w:rsidR="00C27003" w:rsidRPr="00215B2F">
        <w:rPr>
          <w:rFonts w:eastAsia="Arial" w:cs="Arial"/>
          <w:sz w:val="20"/>
          <w:szCs w:val="20"/>
        </w:rPr>
        <w:t>;</w:t>
      </w:r>
    </w:p>
    <w:p w14:paraId="5C953B13" w14:textId="5A165ED9" w:rsidR="00D91782" w:rsidRPr="00215B2F" w:rsidRDefault="00D91782">
      <w:pPr>
        <w:pStyle w:val="tevilnatoka"/>
        <w:numPr>
          <w:ilvl w:val="0"/>
          <w:numId w:val="32"/>
        </w:numPr>
        <w:shd w:val="clear" w:color="auto" w:fill="FFFFFF" w:themeFill="background1"/>
        <w:rPr>
          <w:rFonts w:cs="Arial"/>
        </w:rPr>
      </w:pPr>
      <w:r w:rsidRPr="00215B2F">
        <w:rPr>
          <w:rFonts w:cs="Arial"/>
          <w:sz w:val="20"/>
          <w:szCs w:val="20"/>
        </w:rPr>
        <w:t>storitve pokojninskih družb po zakonu, ki ureja pokojninsko in invalidsko zavarovanje</w:t>
      </w:r>
      <w:r w:rsidR="00C27003" w:rsidRPr="00215B2F">
        <w:rPr>
          <w:rFonts w:cs="Arial"/>
          <w:sz w:val="20"/>
          <w:szCs w:val="20"/>
        </w:rPr>
        <w:t>;</w:t>
      </w:r>
    </w:p>
    <w:p w14:paraId="64083CA4" w14:textId="56E79263" w:rsidR="00D91782" w:rsidRPr="00215B2F" w:rsidRDefault="00D91782">
      <w:pPr>
        <w:pStyle w:val="tevilnatoka"/>
        <w:numPr>
          <w:ilvl w:val="0"/>
          <w:numId w:val="32"/>
        </w:numPr>
        <w:shd w:val="clear" w:color="auto" w:fill="FFFFFF" w:themeFill="background1"/>
        <w:rPr>
          <w:rFonts w:cs="Arial"/>
        </w:rPr>
      </w:pPr>
      <w:r w:rsidRPr="00215B2F">
        <w:rPr>
          <w:rFonts w:cs="Arial"/>
          <w:sz w:val="20"/>
          <w:szCs w:val="20"/>
        </w:rPr>
        <w:t>upravljanje investicijskih skladov po zakonu, ki ureja upravljanje investicijskih skladov.</w:t>
      </w:r>
    </w:p>
    <w:p w14:paraId="2B0B394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8A0CFCD" w14:textId="77777777" w:rsidR="00D91782" w:rsidRPr="00215B2F" w:rsidRDefault="00D91782" w:rsidP="006455BC">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8" w:name="_Ref202959936"/>
      <w:r w:rsidRPr="00215B2F">
        <w:rPr>
          <w:rFonts w:ascii="Arial" w:eastAsia="Arial" w:hAnsi="Arial" w:cs="Arial"/>
          <w:b/>
          <w:bCs/>
          <w:sz w:val="20"/>
          <w:szCs w:val="20"/>
        </w:rPr>
        <w:t>člen</w:t>
      </w:r>
      <w:bookmarkEnd w:id="18"/>
    </w:p>
    <w:p w14:paraId="42D95249"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(drugi izrazi)</w:t>
      </w:r>
    </w:p>
    <w:p w14:paraId="26368D7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5DDEAF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Izrazi, uporabljeni v tem zakonu, pomenijo:</w:t>
      </w:r>
    </w:p>
    <w:p w14:paraId="3BBA9750" w14:textId="77777777" w:rsidR="00560D52" w:rsidRPr="00215B2F" w:rsidRDefault="00560D52" w:rsidP="00FD5520">
      <w:pPr>
        <w:shd w:val="clear" w:color="auto" w:fill="FFFFFF" w:themeFill="background1"/>
        <w:spacing w:after="0" w:line="240" w:lineRule="auto"/>
        <w:jc w:val="both"/>
        <w:rPr>
          <w:rFonts w:ascii="Arial" w:eastAsia="Arial" w:hAnsi="Arial" w:cs="Arial"/>
          <w:sz w:val="20"/>
          <w:szCs w:val="20"/>
        </w:rPr>
      </w:pPr>
    </w:p>
    <w:p w14:paraId="055B82DA" w14:textId="53946EE1" w:rsidR="00560D52" w:rsidRPr="00215B2F" w:rsidRDefault="00560D52" w:rsidP="003D4DE0">
      <w:pPr>
        <w:pStyle w:val="tevilnatoka"/>
        <w:numPr>
          <w:ilvl w:val="0"/>
          <w:numId w:val="362"/>
        </w:numPr>
        <w:shd w:val="clear" w:color="auto" w:fill="FFFFFF" w:themeFill="background1"/>
        <w:ind w:left="397" w:hanging="397"/>
        <w:rPr>
          <w:rFonts w:cs="Arial"/>
          <w:bCs/>
          <w:sz w:val="20"/>
          <w:szCs w:val="20"/>
        </w:rPr>
      </w:pPr>
      <w:r w:rsidRPr="00215B2F">
        <w:rPr>
          <w:rFonts w:eastAsia="Arial" w:cs="Arial"/>
          <w:sz w:val="20"/>
          <w:szCs w:val="20"/>
        </w:rPr>
        <w:t xml:space="preserve">»dejanski stroški« so stroški, katerih višina ne presega stroškov, ki nastanejo oziroma </w:t>
      </w:r>
      <w:r w:rsidR="00C04940" w:rsidRPr="00215B2F">
        <w:rPr>
          <w:rFonts w:eastAsia="Arial" w:cs="Arial"/>
          <w:sz w:val="20"/>
          <w:szCs w:val="20"/>
        </w:rPr>
        <w:t xml:space="preserve">za katere </w:t>
      </w:r>
      <w:r w:rsidRPr="00215B2F">
        <w:rPr>
          <w:rFonts w:eastAsia="Arial" w:cs="Arial"/>
          <w:sz w:val="20"/>
          <w:szCs w:val="20"/>
        </w:rPr>
        <w:t>je utemeljeno pričakovati, da bodo nastali zaradi opravljanja storitve ali dejavnosti;</w:t>
      </w:r>
    </w:p>
    <w:p w14:paraId="1E930A10" w14:textId="0ED09773" w:rsidR="008E3FA3" w:rsidRPr="00215B2F" w:rsidRDefault="00D91782" w:rsidP="003D4DE0">
      <w:pPr>
        <w:pStyle w:val="tevilnatoka"/>
        <w:numPr>
          <w:ilvl w:val="0"/>
          <w:numId w:val="362"/>
        </w:numPr>
        <w:shd w:val="clear" w:color="auto" w:fill="FFFFFF" w:themeFill="background1"/>
        <w:ind w:left="397" w:hanging="397"/>
        <w:rPr>
          <w:rFonts w:cs="Arial"/>
          <w:sz w:val="20"/>
          <w:szCs w:val="20"/>
        </w:rPr>
      </w:pPr>
      <w:r w:rsidRPr="00215B2F">
        <w:rPr>
          <w:rFonts w:eastAsia="Arial" w:cs="Arial"/>
          <w:sz w:val="20"/>
          <w:szCs w:val="20"/>
        </w:rPr>
        <w:t xml:space="preserve">»država članica« </w:t>
      </w:r>
      <w:r w:rsidR="00174D49" w:rsidRPr="00215B2F">
        <w:rPr>
          <w:rFonts w:eastAsia="Arial" w:cs="Arial"/>
          <w:sz w:val="20"/>
          <w:szCs w:val="20"/>
        </w:rPr>
        <w:t xml:space="preserve">je država članica </w:t>
      </w:r>
      <w:r w:rsidRPr="00215B2F">
        <w:rPr>
          <w:rFonts w:eastAsia="Arial" w:cs="Arial"/>
          <w:sz w:val="20"/>
          <w:szCs w:val="20"/>
        </w:rPr>
        <w:t xml:space="preserve">Evropske unije ali </w:t>
      </w:r>
      <w:r w:rsidR="00174D49" w:rsidRPr="00215B2F">
        <w:rPr>
          <w:rFonts w:eastAsia="Arial" w:cs="Arial"/>
          <w:sz w:val="20"/>
          <w:szCs w:val="20"/>
        </w:rPr>
        <w:t xml:space="preserve">država podpisnica </w:t>
      </w:r>
      <w:r w:rsidRPr="00215B2F">
        <w:rPr>
          <w:rFonts w:eastAsia="Arial" w:cs="Arial"/>
          <w:sz w:val="20"/>
          <w:szCs w:val="20"/>
        </w:rPr>
        <w:t>Sporazuma o ustanovitvi Evropskega gospodarskega prostora (UL L št. 1 z dne 3. 1. 1994, str. 3);</w:t>
      </w:r>
    </w:p>
    <w:p w14:paraId="07C99EA2" w14:textId="734EDCE8" w:rsidR="008E3FA3" w:rsidRPr="00215B2F" w:rsidRDefault="00D91782" w:rsidP="003D4DE0">
      <w:pPr>
        <w:numPr>
          <w:ilvl w:val="0"/>
          <w:numId w:val="362"/>
        </w:numPr>
        <w:shd w:val="clear" w:color="auto" w:fill="FFFFFF" w:themeFill="background1"/>
        <w:spacing w:after="0" w:line="240" w:lineRule="auto"/>
        <w:ind w:left="397" w:hanging="397"/>
        <w:jc w:val="both"/>
        <w:rPr>
          <w:rFonts w:ascii="Arial" w:hAnsi="Arial" w:cs="Arial"/>
          <w:bCs/>
          <w:sz w:val="20"/>
          <w:szCs w:val="20"/>
        </w:rPr>
      </w:pPr>
      <w:r w:rsidRPr="00215B2F">
        <w:rPr>
          <w:rFonts w:ascii="Arial" w:eastAsia="Arial" w:hAnsi="Arial" w:cs="Arial"/>
          <w:sz w:val="20"/>
          <w:szCs w:val="20"/>
        </w:rPr>
        <w:t xml:space="preserve">»EU nadrejena družba« </w:t>
      </w:r>
      <w:r w:rsidR="00174D49" w:rsidRPr="00215B2F">
        <w:rPr>
          <w:rFonts w:ascii="Arial" w:eastAsia="Arial" w:hAnsi="Arial" w:cs="Arial"/>
          <w:sz w:val="20"/>
          <w:szCs w:val="20"/>
        </w:rPr>
        <w:t xml:space="preserve">je </w:t>
      </w:r>
      <w:r w:rsidRPr="00215B2F">
        <w:rPr>
          <w:rFonts w:ascii="Arial" w:eastAsia="Arial" w:hAnsi="Arial" w:cs="Arial"/>
          <w:sz w:val="20"/>
          <w:szCs w:val="20"/>
        </w:rPr>
        <w:t>EU nadrejena institucija, EU nadrejeni finančni holding ali EU nadrejeni mešani finančni holding;</w:t>
      </w:r>
    </w:p>
    <w:p w14:paraId="4C548FF9" w14:textId="337DB116" w:rsidR="008E3FA3" w:rsidRPr="00215B2F" w:rsidRDefault="00D91782" w:rsidP="003D4DE0">
      <w:pPr>
        <w:numPr>
          <w:ilvl w:val="0"/>
          <w:numId w:val="362"/>
        </w:numPr>
        <w:shd w:val="clear" w:color="auto" w:fill="FFFFFF" w:themeFill="background1"/>
        <w:spacing w:after="0" w:line="240" w:lineRule="auto"/>
        <w:ind w:left="397" w:hanging="397"/>
        <w:jc w:val="both"/>
        <w:rPr>
          <w:rFonts w:ascii="Arial" w:hAnsi="Arial" w:cs="Arial"/>
          <w:bCs/>
          <w:sz w:val="20"/>
          <w:szCs w:val="20"/>
        </w:rPr>
      </w:pPr>
      <w:r w:rsidRPr="00215B2F">
        <w:rPr>
          <w:rFonts w:ascii="Arial" w:eastAsia="Arial" w:hAnsi="Arial" w:cs="Arial"/>
          <w:sz w:val="20"/>
          <w:szCs w:val="20"/>
        </w:rPr>
        <w:lastRenderedPageBreak/>
        <w:t>»Evropski odbor</w:t>
      </w:r>
      <w:r w:rsidR="000067FA" w:rsidRPr="00215B2F">
        <w:rPr>
          <w:rFonts w:ascii="Arial" w:eastAsia="Arial" w:hAnsi="Arial" w:cs="Arial"/>
          <w:sz w:val="20"/>
          <w:szCs w:val="20"/>
        </w:rPr>
        <w:t xml:space="preserve"> za bančništvo</w:t>
      </w:r>
      <w:r w:rsidRPr="00215B2F">
        <w:rPr>
          <w:rFonts w:ascii="Arial" w:eastAsia="Arial" w:hAnsi="Arial" w:cs="Arial"/>
          <w:sz w:val="20"/>
          <w:szCs w:val="20"/>
        </w:rPr>
        <w:t xml:space="preserve">« </w:t>
      </w:r>
      <w:r w:rsidR="00174D49" w:rsidRPr="00215B2F">
        <w:rPr>
          <w:rFonts w:ascii="Arial" w:eastAsia="Arial" w:hAnsi="Arial" w:cs="Arial"/>
          <w:sz w:val="20"/>
          <w:szCs w:val="20"/>
        </w:rPr>
        <w:t xml:space="preserve">je </w:t>
      </w:r>
      <w:r w:rsidRPr="00215B2F">
        <w:rPr>
          <w:rFonts w:ascii="Arial" w:eastAsia="Arial" w:hAnsi="Arial" w:cs="Arial"/>
          <w:sz w:val="20"/>
          <w:szCs w:val="20"/>
        </w:rPr>
        <w:t>Evropski odbor za bančništvo, ki je bil ustanovljen s Sklepom Komisije z dne 5. novembra 2003 o ustanovitvi Evropskega odbora za bančništvo (UL L št. 3 z dne 7. 1. 2004, str. 36);</w:t>
      </w:r>
      <w:r w:rsidR="00BA77A7" w:rsidRPr="00215B2F">
        <w:rPr>
          <w:rFonts w:ascii="Arial" w:eastAsia="Arial" w:hAnsi="Arial" w:cs="Arial"/>
          <w:sz w:val="20"/>
          <w:szCs w:val="20"/>
        </w:rPr>
        <w:t xml:space="preserve"> </w:t>
      </w:r>
    </w:p>
    <w:p w14:paraId="42ADA6D4" w14:textId="77FF55C2" w:rsidR="008E3FA3" w:rsidRPr="00215B2F" w:rsidRDefault="00D91782" w:rsidP="003D4DE0">
      <w:pPr>
        <w:numPr>
          <w:ilvl w:val="0"/>
          <w:numId w:val="362"/>
        </w:numPr>
        <w:shd w:val="clear" w:color="auto" w:fill="FFFFFF" w:themeFill="background1"/>
        <w:spacing w:after="0" w:line="240" w:lineRule="auto"/>
        <w:ind w:left="397" w:hanging="397"/>
        <w:jc w:val="both"/>
        <w:rPr>
          <w:rFonts w:ascii="Arial" w:hAnsi="Arial" w:cs="Arial"/>
          <w:bCs/>
          <w:sz w:val="20"/>
          <w:szCs w:val="20"/>
        </w:rPr>
      </w:pPr>
      <w:r w:rsidRPr="00215B2F">
        <w:rPr>
          <w:rFonts w:ascii="Arial" w:eastAsia="Arial" w:hAnsi="Arial" w:cs="Arial"/>
          <w:sz w:val="20"/>
          <w:szCs w:val="20"/>
        </w:rPr>
        <w:t xml:space="preserve">»Evropski odbor za sistemska tveganja« </w:t>
      </w:r>
      <w:r w:rsidR="00174D49" w:rsidRPr="00215B2F">
        <w:rPr>
          <w:rFonts w:ascii="Arial" w:eastAsia="Arial" w:hAnsi="Arial" w:cs="Arial"/>
          <w:sz w:val="20"/>
          <w:szCs w:val="20"/>
        </w:rPr>
        <w:t xml:space="preserve">je </w:t>
      </w:r>
      <w:r w:rsidRPr="00215B2F">
        <w:rPr>
          <w:rFonts w:ascii="Arial" w:eastAsia="Arial" w:hAnsi="Arial" w:cs="Arial"/>
          <w:sz w:val="20"/>
          <w:szCs w:val="20"/>
        </w:rPr>
        <w:t>Evropski odbor za sistemska tveganja, ustanovljen z Uredbo 1092/2010/EU;</w:t>
      </w:r>
    </w:p>
    <w:p w14:paraId="04F683C1" w14:textId="1989D93B" w:rsidR="008E3FA3" w:rsidRPr="00215B2F" w:rsidRDefault="00D91782" w:rsidP="003D4DE0">
      <w:pPr>
        <w:numPr>
          <w:ilvl w:val="0"/>
          <w:numId w:val="362"/>
        </w:numPr>
        <w:shd w:val="clear" w:color="auto" w:fill="FFFFFF" w:themeFill="background1"/>
        <w:spacing w:after="0" w:line="240" w:lineRule="auto"/>
        <w:ind w:left="397" w:hanging="397"/>
        <w:jc w:val="both"/>
        <w:rPr>
          <w:rFonts w:ascii="Arial" w:hAnsi="Arial" w:cs="Arial"/>
          <w:bCs/>
          <w:sz w:val="20"/>
          <w:szCs w:val="20"/>
        </w:rPr>
      </w:pPr>
      <w:r w:rsidRPr="00215B2F">
        <w:rPr>
          <w:rFonts w:ascii="Arial" w:eastAsia="Arial" w:hAnsi="Arial" w:cs="Arial"/>
          <w:sz w:val="20"/>
          <w:szCs w:val="20"/>
        </w:rPr>
        <w:t xml:space="preserve">»Evropski bančni organ« </w:t>
      </w:r>
      <w:r w:rsidR="00174D49" w:rsidRPr="00215B2F">
        <w:rPr>
          <w:rFonts w:ascii="Arial" w:eastAsia="Arial" w:hAnsi="Arial" w:cs="Arial"/>
          <w:sz w:val="20"/>
          <w:szCs w:val="20"/>
        </w:rPr>
        <w:t xml:space="preserve">je </w:t>
      </w:r>
      <w:r w:rsidRPr="00215B2F">
        <w:rPr>
          <w:rFonts w:ascii="Arial" w:eastAsia="Arial" w:hAnsi="Arial" w:cs="Arial"/>
          <w:sz w:val="20"/>
          <w:szCs w:val="20"/>
        </w:rPr>
        <w:t>Evropski bančni organ, ustanovljen z Uredbo 1093/2010/EU;</w:t>
      </w:r>
    </w:p>
    <w:p w14:paraId="179F403F" w14:textId="585F79AF" w:rsidR="008E3FA3" w:rsidRPr="00215B2F" w:rsidRDefault="00D91782" w:rsidP="003D4DE0">
      <w:pPr>
        <w:numPr>
          <w:ilvl w:val="0"/>
          <w:numId w:val="362"/>
        </w:numPr>
        <w:shd w:val="clear" w:color="auto" w:fill="FFFFFF" w:themeFill="background1"/>
        <w:spacing w:after="0" w:line="240" w:lineRule="auto"/>
        <w:ind w:left="340" w:hanging="340"/>
        <w:jc w:val="both"/>
        <w:rPr>
          <w:rFonts w:ascii="Arial" w:hAnsi="Arial" w:cs="Arial"/>
          <w:bCs/>
          <w:sz w:val="20"/>
          <w:szCs w:val="20"/>
        </w:rPr>
      </w:pPr>
      <w:r w:rsidRPr="00215B2F">
        <w:rPr>
          <w:rFonts w:ascii="Arial" w:eastAsia="Arial" w:hAnsi="Arial" w:cs="Arial"/>
          <w:sz w:val="20"/>
          <w:szCs w:val="20"/>
        </w:rPr>
        <w:t xml:space="preserve">»Evropski organ za vrednostne papirje in trge« </w:t>
      </w:r>
      <w:r w:rsidR="00174D49" w:rsidRPr="00215B2F">
        <w:rPr>
          <w:rFonts w:ascii="Arial" w:eastAsia="Arial" w:hAnsi="Arial" w:cs="Arial"/>
          <w:sz w:val="20"/>
          <w:szCs w:val="20"/>
        </w:rPr>
        <w:t xml:space="preserve">je </w:t>
      </w:r>
      <w:r w:rsidRPr="00215B2F">
        <w:rPr>
          <w:rFonts w:ascii="Arial" w:eastAsia="Arial" w:hAnsi="Arial" w:cs="Arial"/>
          <w:sz w:val="20"/>
          <w:szCs w:val="20"/>
        </w:rPr>
        <w:t>Evropski organ za vrednostne papirje in trge, ustanovljen z Uredbo 1095/2010/EU Evropskega parlamenta in Sveta z dne 24. novembra 2010 o ustanovitvi Evropskega nadzornega organa (Evropski organ za vrednostne papirje in trge) in o spremembi Sklepa št. 716/2009/ES ter razveljavitvi Sklepa Komisije 2009/77/ES (UL L št. 331 z dne 15. 12. 2010, str. 84), zadnjič spremenjen</w:t>
      </w:r>
      <w:r w:rsidR="006E2A95" w:rsidRPr="00215B2F">
        <w:rPr>
          <w:rFonts w:ascii="Arial" w:eastAsia="Arial" w:hAnsi="Arial" w:cs="Arial"/>
          <w:sz w:val="20"/>
          <w:szCs w:val="20"/>
        </w:rPr>
        <w:t>o</w:t>
      </w:r>
      <w:r w:rsidRPr="00215B2F">
        <w:rPr>
          <w:rFonts w:ascii="Arial" w:eastAsia="Arial" w:hAnsi="Arial" w:cs="Arial"/>
          <w:sz w:val="20"/>
          <w:szCs w:val="20"/>
        </w:rPr>
        <w:t xml:space="preserve"> z </w:t>
      </w:r>
      <w:r w:rsidR="00232696" w:rsidRPr="00215B2F">
        <w:rPr>
          <w:rFonts w:ascii="Arial" w:hAnsi="Arial" w:cs="Arial"/>
          <w:sz w:val="20"/>
          <w:szCs w:val="20"/>
        </w:rPr>
        <w:t>Uredbo (EU) 2024/2987 Evropskega parlamenta in Sveta z dne 27. novembra 2024 o spremembi uredb (EU) št. 648/2012, (EU) št. 575/2013 in (EU) 2017/1131 v zvezi z ukrepi za zmanjšanje prekomerne izpostavljenosti do centralnih nasprotnih strank iz tretjih držav in izboljšanje učinkovitosti klirinških trgov Unije (UL L št. 2024/2987 z dne 4. 12. 2024)</w:t>
      </w:r>
      <w:r w:rsidRPr="00215B2F">
        <w:rPr>
          <w:rFonts w:ascii="Arial" w:eastAsia="Arial" w:hAnsi="Arial" w:cs="Arial"/>
          <w:sz w:val="20"/>
          <w:szCs w:val="20"/>
        </w:rPr>
        <w:t>;</w:t>
      </w:r>
    </w:p>
    <w:p w14:paraId="613543B7" w14:textId="61CC12D4" w:rsidR="008E3FA3" w:rsidRPr="00215B2F" w:rsidRDefault="00D91782" w:rsidP="003D4DE0">
      <w:pPr>
        <w:numPr>
          <w:ilvl w:val="0"/>
          <w:numId w:val="362"/>
        </w:numPr>
        <w:shd w:val="clear" w:color="auto" w:fill="FFFFFF" w:themeFill="background1"/>
        <w:spacing w:after="0" w:line="240" w:lineRule="auto"/>
        <w:ind w:left="340" w:hanging="340"/>
        <w:jc w:val="both"/>
        <w:rPr>
          <w:rFonts w:ascii="Arial" w:hAnsi="Arial" w:cs="Arial"/>
          <w:bCs/>
          <w:sz w:val="20"/>
          <w:szCs w:val="20"/>
        </w:rPr>
      </w:pPr>
      <w:r w:rsidRPr="00215B2F">
        <w:rPr>
          <w:rFonts w:ascii="Arial" w:eastAsia="Arial" w:hAnsi="Arial" w:cs="Arial"/>
          <w:sz w:val="20"/>
          <w:szCs w:val="20"/>
        </w:rPr>
        <w:t xml:space="preserve">»Evropski organ za zavarovanja in poklicne pokojnine« </w:t>
      </w:r>
      <w:r w:rsidR="00174D49" w:rsidRPr="00215B2F">
        <w:rPr>
          <w:rFonts w:ascii="Arial" w:eastAsia="Arial" w:hAnsi="Arial" w:cs="Arial"/>
          <w:sz w:val="20"/>
          <w:szCs w:val="20"/>
        </w:rPr>
        <w:t xml:space="preserve">je </w:t>
      </w:r>
      <w:r w:rsidRPr="00215B2F">
        <w:rPr>
          <w:rFonts w:ascii="Arial" w:eastAsia="Arial" w:hAnsi="Arial" w:cs="Arial"/>
          <w:sz w:val="20"/>
          <w:szCs w:val="20"/>
        </w:rPr>
        <w:t>Evropski organ za zavarovanja in poklicne pokojnine, ki je bil ustanovljen z Uredbo 1094/2010/EU Evropskega parlamenta in Sveta z dne 24. novembra 2010 o ustanovitvi Evropskega nadzornega organa (Evropski organ za zavarovanja in poklicne pokojnine) in o spremembi Sklepa št. 716/2009/ES ter razveljavitvi Sklepa Komisije 2009/79/ES (UL L št. 331 z dne 15. 12. 2010, str. 48), zadnjič spremenjen</w:t>
      </w:r>
      <w:r w:rsidR="000067FA" w:rsidRPr="00215B2F">
        <w:rPr>
          <w:rFonts w:ascii="Arial" w:eastAsia="Arial" w:hAnsi="Arial" w:cs="Arial"/>
          <w:sz w:val="20"/>
          <w:szCs w:val="20"/>
        </w:rPr>
        <w:t>o</w:t>
      </w:r>
      <w:r w:rsidRPr="00215B2F">
        <w:rPr>
          <w:rFonts w:ascii="Arial" w:eastAsia="Arial" w:hAnsi="Arial" w:cs="Arial"/>
          <w:sz w:val="20"/>
          <w:szCs w:val="20"/>
        </w:rPr>
        <w:t xml:space="preserve"> z </w:t>
      </w:r>
      <w:r w:rsidR="00232696" w:rsidRPr="00215B2F">
        <w:rPr>
          <w:rFonts w:ascii="Arial" w:hAnsi="Arial" w:cs="Arial"/>
          <w:sz w:val="20"/>
          <w:szCs w:val="20"/>
        </w:rPr>
        <w:t>Direktivo (EU) 2025/1 Evropskega parlamenta in Sveta z dne 27. novembra 2024 o vzpostavitvi okvira za sanacijo in reševanje zavarovalnic in pozavarovalnic ter spremembi direktiv 2002/47/ES, 2004/25/ES, 2007/36/ES, 2014/59/EU in (EU) 2017/1132 ter uredb (EU) št. 1094/2010, (EU) št. 648/2012, (EU) št. 806/2014 in (EU) 2017/1129 (UL L št. 2025/1 z dne 8.</w:t>
      </w:r>
      <w:r w:rsidR="00232696" w:rsidRPr="00215B2F">
        <w:rPr>
          <w:rFonts w:ascii="Arial" w:eastAsiaTheme="majorEastAsia" w:hAnsi="Arial" w:cs="Arial"/>
          <w:sz w:val="20"/>
          <w:szCs w:val="20"/>
        </w:rPr>
        <w:t xml:space="preserve"> </w:t>
      </w:r>
      <w:r w:rsidR="00232696" w:rsidRPr="00215B2F">
        <w:rPr>
          <w:rFonts w:ascii="Arial" w:hAnsi="Arial" w:cs="Arial"/>
          <w:sz w:val="20"/>
          <w:szCs w:val="20"/>
        </w:rPr>
        <w:t>1.</w:t>
      </w:r>
      <w:r w:rsidR="00232696" w:rsidRPr="00215B2F">
        <w:rPr>
          <w:rFonts w:ascii="Arial" w:eastAsiaTheme="majorEastAsia" w:hAnsi="Arial" w:cs="Arial"/>
          <w:sz w:val="20"/>
          <w:szCs w:val="20"/>
        </w:rPr>
        <w:t xml:space="preserve"> </w:t>
      </w:r>
      <w:r w:rsidR="00232696" w:rsidRPr="00215B2F">
        <w:rPr>
          <w:rFonts w:ascii="Arial" w:hAnsi="Arial" w:cs="Arial"/>
          <w:sz w:val="20"/>
          <w:szCs w:val="20"/>
        </w:rPr>
        <w:t>2025)</w:t>
      </w:r>
      <w:r w:rsidRPr="00215B2F">
        <w:rPr>
          <w:rFonts w:ascii="Arial" w:eastAsia="Arial" w:hAnsi="Arial" w:cs="Arial"/>
          <w:sz w:val="20"/>
          <w:szCs w:val="20"/>
        </w:rPr>
        <w:t>;</w:t>
      </w:r>
    </w:p>
    <w:p w14:paraId="084218AC" w14:textId="6CFB2A33" w:rsidR="008E3FA3" w:rsidRPr="00215B2F" w:rsidRDefault="00D91782" w:rsidP="003D4DE0">
      <w:pPr>
        <w:pStyle w:val="tevilnatoka"/>
        <w:numPr>
          <w:ilvl w:val="0"/>
          <w:numId w:val="363"/>
        </w:numPr>
        <w:shd w:val="clear" w:color="auto" w:fill="FFFFFF" w:themeFill="background1"/>
        <w:rPr>
          <w:rFonts w:cs="Arial"/>
          <w:bCs/>
          <w:sz w:val="20"/>
          <w:szCs w:val="20"/>
        </w:rPr>
      </w:pPr>
      <w:r w:rsidRPr="00215B2F">
        <w:rPr>
          <w:rFonts w:eastAsia="Arial" w:cs="Arial"/>
          <w:sz w:val="20"/>
          <w:szCs w:val="20"/>
        </w:rPr>
        <w:t xml:space="preserve">»evropski nadzorni organ« </w:t>
      </w:r>
      <w:r w:rsidR="00174D49" w:rsidRPr="00215B2F">
        <w:rPr>
          <w:rFonts w:eastAsia="Arial" w:cs="Arial"/>
          <w:sz w:val="20"/>
          <w:szCs w:val="20"/>
        </w:rPr>
        <w:t xml:space="preserve">je </w:t>
      </w:r>
      <w:r w:rsidRPr="00215B2F">
        <w:rPr>
          <w:rFonts w:eastAsia="Arial" w:cs="Arial"/>
          <w:sz w:val="20"/>
          <w:szCs w:val="20"/>
        </w:rPr>
        <w:t>Evropski bančni organ, Evropski organ za vrednostne papirje in trge ali Evropski organ za zavarovanja in poklicne pokojnine;</w:t>
      </w:r>
    </w:p>
    <w:p w14:paraId="7384725F" w14:textId="5789C1DB" w:rsidR="008E3FA3" w:rsidRPr="00215B2F" w:rsidRDefault="008E3FA3" w:rsidP="006455BC">
      <w:pPr>
        <w:pStyle w:val="tevilnatoka"/>
        <w:rPr>
          <w:rFonts w:cs="Arial"/>
          <w:bCs/>
          <w:sz w:val="20"/>
          <w:szCs w:val="20"/>
        </w:rPr>
      </w:pPr>
      <w:r w:rsidRPr="00215B2F">
        <w:rPr>
          <w:rFonts w:eastAsia="Arial" w:cs="Arial"/>
          <w:sz w:val="20"/>
          <w:szCs w:val="20"/>
        </w:rPr>
        <w:t>»</w:t>
      </w:r>
      <w:r w:rsidR="00D91782" w:rsidRPr="00215B2F">
        <w:rPr>
          <w:rFonts w:eastAsia="Arial" w:cs="Arial"/>
          <w:sz w:val="20"/>
          <w:szCs w:val="20"/>
        </w:rPr>
        <w:t>finančni direktor</w:t>
      </w:r>
      <w:r w:rsidRPr="00215B2F">
        <w:rPr>
          <w:rFonts w:eastAsia="Arial" w:cs="Arial"/>
          <w:sz w:val="20"/>
          <w:szCs w:val="20"/>
        </w:rPr>
        <w:t>«</w:t>
      </w:r>
      <w:r w:rsidR="00D91782" w:rsidRPr="00215B2F">
        <w:rPr>
          <w:rFonts w:eastAsia="Arial" w:cs="Arial"/>
          <w:sz w:val="20"/>
          <w:szCs w:val="20"/>
        </w:rPr>
        <w:t xml:space="preserve"> </w:t>
      </w:r>
      <w:r w:rsidR="00174D49" w:rsidRPr="00215B2F">
        <w:rPr>
          <w:rFonts w:eastAsia="Arial" w:cs="Arial"/>
          <w:sz w:val="20"/>
          <w:szCs w:val="20"/>
        </w:rPr>
        <w:t>je oseba</w:t>
      </w:r>
      <w:r w:rsidR="00D91782" w:rsidRPr="00215B2F">
        <w:rPr>
          <w:rFonts w:eastAsia="Arial" w:cs="Arial"/>
          <w:sz w:val="20"/>
          <w:szCs w:val="20"/>
        </w:rPr>
        <w:t>, ki je splošno odgovorna za upravljanje finančnih virov, finančno načrtovanje in finančno poročanje banke;</w:t>
      </w:r>
    </w:p>
    <w:p w14:paraId="0AFD97A6" w14:textId="5ADEC39A" w:rsidR="00D91782" w:rsidRPr="00215B2F" w:rsidRDefault="00D91782" w:rsidP="006455BC">
      <w:pPr>
        <w:pStyle w:val="tevilnatoka"/>
        <w:rPr>
          <w:rFonts w:cs="Arial"/>
          <w:bCs/>
          <w:sz w:val="20"/>
          <w:szCs w:val="20"/>
        </w:rPr>
      </w:pPr>
      <w:r w:rsidRPr="00215B2F">
        <w:rPr>
          <w:rFonts w:eastAsia="Arial" w:cs="Arial"/>
          <w:sz w:val="20"/>
          <w:szCs w:val="20"/>
        </w:rPr>
        <w:t xml:space="preserve">»finančna družba« </w:t>
      </w:r>
      <w:r w:rsidR="00174D49" w:rsidRPr="00215B2F">
        <w:rPr>
          <w:rFonts w:eastAsia="Arial" w:cs="Arial"/>
          <w:sz w:val="20"/>
          <w:szCs w:val="20"/>
        </w:rPr>
        <w:t>je</w:t>
      </w:r>
      <w:r w:rsidRPr="00215B2F">
        <w:rPr>
          <w:rFonts w:eastAsia="Arial" w:cs="Arial"/>
          <w:sz w:val="20"/>
          <w:szCs w:val="20"/>
        </w:rPr>
        <w:t>:</w:t>
      </w:r>
    </w:p>
    <w:p w14:paraId="7F9F73AD" w14:textId="2F02CB01" w:rsidR="008612B7" w:rsidRPr="00215B2F" w:rsidRDefault="00174D49">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institucija </w:t>
      </w:r>
      <w:r w:rsidR="00D91782" w:rsidRPr="00215B2F">
        <w:rPr>
          <w:rFonts w:ascii="Arial" w:eastAsia="Arial" w:hAnsi="Arial" w:cs="Arial"/>
          <w:sz w:val="20"/>
          <w:szCs w:val="20"/>
        </w:rPr>
        <w:t>s sedežem v Republiki Slovenije ali drugi državi članici,</w:t>
      </w:r>
    </w:p>
    <w:p w14:paraId="1960BF9C" w14:textId="4A14C89D" w:rsidR="008612B7" w:rsidRPr="00215B2F" w:rsidRDefault="00174D49">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finančna institucija </w:t>
      </w:r>
      <w:r w:rsidR="00D91782" w:rsidRPr="00215B2F">
        <w:rPr>
          <w:rFonts w:ascii="Arial" w:eastAsia="Arial" w:hAnsi="Arial" w:cs="Arial"/>
          <w:sz w:val="20"/>
          <w:szCs w:val="20"/>
        </w:rPr>
        <w:t xml:space="preserve">s sedežem v Republiki Slovenije ali drugi državni članici, če je finančna institucija podrejena družba kreditne institucije, investicijskega podjetja ali podjetja iz tretje ali četrte alineje te točke ter je vključena v nadzor </w:t>
      </w:r>
      <w:r w:rsidR="00AA23AC" w:rsidRPr="00215B2F">
        <w:rPr>
          <w:rFonts w:ascii="Arial" w:eastAsia="Arial" w:hAnsi="Arial" w:cs="Arial"/>
          <w:sz w:val="20"/>
          <w:szCs w:val="20"/>
        </w:rPr>
        <w:t xml:space="preserve">nad </w:t>
      </w:r>
      <w:r w:rsidR="00D91782" w:rsidRPr="00215B2F">
        <w:rPr>
          <w:rFonts w:ascii="Arial" w:eastAsia="Arial" w:hAnsi="Arial" w:cs="Arial"/>
          <w:sz w:val="20"/>
          <w:szCs w:val="20"/>
        </w:rPr>
        <w:t>nadrejen</w:t>
      </w:r>
      <w:r w:rsidR="00AA23AC" w:rsidRPr="00215B2F">
        <w:rPr>
          <w:rFonts w:ascii="Arial" w:eastAsia="Arial" w:hAnsi="Arial" w:cs="Arial"/>
          <w:sz w:val="20"/>
          <w:szCs w:val="20"/>
        </w:rPr>
        <w:t>o</w:t>
      </w:r>
      <w:r w:rsidR="00D91782" w:rsidRPr="00215B2F">
        <w:rPr>
          <w:rFonts w:ascii="Arial" w:eastAsia="Arial" w:hAnsi="Arial" w:cs="Arial"/>
          <w:sz w:val="20"/>
          <w:szCs w:val="20"/>
        </w:rPr>
        <w:t xml:space="preserve"> družb</w:t>
      </w:r>
      <w:r w:rsidR="00AA23AC" w:rsidRPr="00215B2F">
        <w:rPr>
          <w:rFonts w:ascii="Arial" w:eastAsia="Arial" w:hAnsi="Arial" w:cs="Arial"/>
          <w:sz w:val="20"/>
          <w:szCs w:val="20"/>
        </w:rPr>
        <w:t>o</w:t>
      </w:r>
      <w:r w:rsidR="00D91782" w:rsidRPr="00215B2F">
        <w:rPr>
          <w:rFonts w:ascii="Arial" w:eastAsia="Arial" w:hAnsi="Arial" w:cs="Arial"/>
          <w:sz w:val="20"/>
          <w:szCs w:val="20"/>
        </w:rPr>
        <w:t xml:space="preserve"> na konsolidirani podlagi v skladu s 6. do 17. členom Uredbe 575/2013/EU,</w:t>
      </w:r>
    </w:p>
    <w:p w14:paraId="01C369DC" w14:textId="77777777" w:rsidR="008612B7"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finančni holding, mešani finančni holding in mešani poslovni holding s sedežem v Republiki Sloveniji ali drugi državni članici,</w:t>
      </w:r>
    </w:p>
    <w:p w14:paraId="1032B934" w14:textId="77777777" w:rsidR="008612B7"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nadrejeni finančni holding v Republiki Sloveniji, EU nadrejeni finančni holding, nadrejeni mešani finančni holding v Republiki Sloveniji in EU nadrejeni mešani finančni holding,</w:t>
      </w:r>
    </w:p>
    <w:p w14:paraId="15C10F5A" w14:textId="35577063" w:rsidR="00D91782" w:rsidRPr="00215B2F" w:rsidRDefault="00174D49">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podružnica </w:t>
      </w:r>
      <w:r w:rsidR="00D91782" w:rsidRPr="00215B2F">
        <w:rPr>
          <w:rFonts w:ascii="Arial" w:eastAsia="Arial" w:hAnsi="Arial" w:cs="Arial"/>
          <w:sz w:val="20"/>
          <w:szCs w:val="20"/>
        </w:rPr>
        <w:t>iz tretje države v Republiki Sloveniji ali drugi državi članici, k</w:t>
      </w:r>
      <w:r w:rsidR="006B0B0E" w:rsidRPr="00215B2F">
        <w:rPr>
          <w:rFonts w:ascii="Arial" w:eastAsia="Arial" w:hAnsi="Arial" w:cs="Arial"/>
          <w:sz w:val="20"/>
          <w:szCs w:val="20"/>
        </w:rPr>
        <w:t>akor</w:t>
      </w:r>
      <w:r w:rsidR="00D91782" w:rsidRPr="00215B2F">
        <w:rPr>
          <w:rFonts w:ascii="Arial" w:eastAsia="Arial" w:hAnsi="Arial" w:cs="Arial"/>
          <w:sz w:val="20"/>
          <w:szCs w:val="20"/>
        </w:rPr>
        <w:t xml:space="preserve"> </w:t>
      </w:r>
      <w:r w:rsidR="000D6A46" w:rsidRPr="00215B2F">
        <w:rPr>
          <w:rFonts w:ascii="Arial" w:eastAsia="Arial" w:hAnsi="Arial" w:cs="Arial"/>
          <w:sz w:val="20"/>
          <w:szCs w:val="20"/>
        </w:rPr>
        <w:t>je</w:t>
      </w:r>
      <w:r w:rsidR="00D91782" w:rsidRPr="00215B2F">
        <w:rPr>
          <w:rFonts w:ascii="Arial" w:eastAsia="Arial" w:hAnsi="Arial" w:cs="Arial"/>
          <w:sz w:val="20"/>
          <w:szCs w:val="20"/>
        </w:rPr>
        <w:t xml:space="preserve"> opredeljene v tem zakonu oziroma Direktivi 2013/36/EU;</w:t>
      </w:r>
    </w:p>
    <w:p w14:paraId="2A76A712" w14:textId="4889EB95" w:rsidR="00D91782" w:rsidRPr="00215B2F" w:rsidRDefault="00D91782" w:rsidP="006455BC">
      <w:pPr>
        <w:pStyle w:val="tevilnatoka"/>
        <w:rPr>
          <w:rFonts w:cs="Arial"/>
          <w:bCs/>
          <w:sz w:val="20"/>
          <w:szCs w:val="20"/>
        </w:rPr>
      </w:pPr>
      <w:r w:rsidRPr="00215B2F">
        <w:rPr>
          <w:rFonts w:eastAsia="Arial" w:cs="Arial"/>
          <w:sz w:val="20"/>
          <w:szCs w:val="20"/>
        </w:rPr>
        <w:t xml:space="preserve">»finančna pogodba« </w:t>
      </w:r>
      <w:r w:rsidR="00174D49" w:rsidRPr="00215B2F">
        <w:rPr>
          <w:rFonts w:eastAsia="Arial" w:cs="Arial"/>
          <w:sz w:val="20"/>
          <w:szCs w:val="20"/>
        </w:rPr>
        <w:t xml:space="preserve">je katera </w:t>
      </w:r>
      <w:r w:rsidRPr="00215B2F">
        <w:rPr>
          <w:rFonts w:eastAsia="Arial" w:cs="Arial"/>
          <w:sz w:val="20"/>
          <w:szCs w:val="20"/>
        </w:rPr>
        <w:t>koli od naslednjih pogodb ali sporazumov:</w:t>
      </w:r>
    </w:p>
    <w:p w14:paraId="3C949447" w14:textId="2431570D" w:rsidR="008612B7"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pogodbe o vrednostnih papirjih, vključno s pogodbami za nakup, prodajo ali posojo vrednostnega papirja, skupine ali indeksa vrednostnih papirjev, opcijami na vrednostni papir ali skupino ali indeks vrednostnih papirjev, posli začasne prodaje ali začasnega odkupa takega vrednostnega papirja, skupine ali indeksa,</w:t>
      </w:r>
    </w:p>
    <w:p w14:paraId="711717CD" w14:textId="13E55FB2" w:rsidR="008612B7"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pogodbe o blagu, vključno s pogodbami za nakup, prodajo ali posojo blaga ali skupine ali indeksa blaga z dobavo v prihodnosti, opcijami na blago ali skupino ali indeks blaga, posli začasne prodaje oziroma začasnega odkupa takega blaga, skupine ali indeksa,</w:t>
      </w:r>
    </w:p>
    <w:p w14:paraId="78C4220F" w14:textId="2BF6BE6B" w:rsidR="008612B7"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terminske pogodbe in terminsk</w:t>
      </w:r>
      <w:r w:rsidR="00F626FF" w:rsidRPr="00215B2F">
        <w:rPr>
          <w:rFonts w:ascii="Arial" w:eastAsia="Arial" w:hAnsi="Arial" w:cs="Arial"/>
          <w:sz w:val="20"/>
          <w:szCs w:val="20"/>
        </w:rPr>
        <w:t>i</w:t>
      </w:r>
      <w:r w:rsidRPr="00215B2F">
        <w:rPr>
          <w:rFonts w:ascii="Arial" w:eastAsia="Arial" w:hAnsi="Arial" w:cs="Arial"/>
          <w:sz w:val="20"/>
          <w:szCs w:val="20"/>
        </w:rPr>
        <w:t xml:space="preserve"> dogovor</w:t>
      </w:r>
      <w:r w:rsidR="00F626FF" w:rsidRPr="00215B2F">
        <w:rPr>
          <w:rFonts w:ascii="Arial" w:eastAsia="Arial" w:hAnsi="Arial" w:cs="Arial"/>
          <w:sz w:val="20"/>
          <w:szCs w:val="20"/>
        </w:rPr>
        <w:t>i</w:t>
      </w:r>
      <w:r w:rsidRPr="00215B2F">
        <w:rPr>
          <w:rFonts w:ascii="Arial" w:eastAsia="Arial" w:hAnsi="Arial" w:cs="Arial"/>
          <w:sz w:val="20"/>
          <w:szCs w:val="20"/>
        </w:rPr>
        <w:t>, vključno s pogodbami (ki niso pogodbe o blagu iz prejšnje alineje) za nakup, prodajo ali prenos blaga ali premoženja druge vrste, storitve, pravice ali poslovnega deleža po določeni ceni na datum v prihodnosti,</w:t>
      </w:r>
    </w:p>
    <w:p w14:paraId="17BF66A0" w14:textId="2D507584" w:rsidR="008612B7"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sporazum</w:t>
      </w:r>
      <w:r w:rsidR="00F626FF" w:rsidRPr="00215B2F">
        <w:rPr>
          <w:rFonts w:ascii="Arial" w:eastAsia="Arial" w:hAnsi="Arial" w:cs="Arial"/>
          <w:sz w:val="20"/>
          <w:szCs w:val="20"/>
        </w:rPr>
        <w:t>i</w:t>
      </w:r>
      <w:r w:rsidRPr="00215B2F">
        <w:rPr>
          <w:rFonts w:ascii="Arial" w:eastAsia="Arial" w:hAnsi="Arial" w:cs="Arial"/>
          <w:sz w:val="20"/>
          <w:szCs w:val="20"/>
        </w:rPr>
        <w:t xml:space="preserve"> o zamenjavah, vključno z zamenjavami in opcijami v zvezi z obrestnimi merami, sporazumi o promptnem ali drugem menjalnem tečaju, valuto, delniškim indeksom ali lastniškim instrumentom, dolžniškim indeksom ali dolžniškim instrumentom, blagovnimi indeksi ali blagom, vremenom, izpusti ali inflacijo, zamenjavami celotnih donosov, zamenjavami kreditnih razmikov ali kreditnimi zamenjavami ter drugimi podobnimi sporazumi ali transakcijami, s katerim se periodično trguje na trgih zamenjav ali izvedenih finančnih instrumentov,</w:t>
      </w:r>
    </w:p>
    <w:p w14:paraId="2B76D010" w14:textId="02B92425" w:rsidR="008612B7"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sporazum</w:t>
      </w:r>
      <w:r w:rsidR="00F626FF" w:rsidRPr="00215B2F">
        <w:rPr>
          <w:rFonts w:ascii="Arial" w:eastAsia="Arial" w:hAnsi="Arial" w:cs="Arial"/>
          <w:sz w:val="20"/>
          <w:szCs w:val="20"/>
        </w:rPr>
        <w:t>i</w:t>
      </w:r>
      <w:r w:rsidRPr="00215B2F">
        <w:rPr>
          <w:rFonts w:ascii="Arial" w:eastAsia="Arial" w:hAnsi="Arial" w:cs="Arial"/>
          <w:sz w:val="20"/>
          <w:szCs w:val="20"/>
        </w:rPr>
        <w:t xml:space="preserve"> o medbančnem zadolževanju, kjer je rok vračila največ tri mesece,</w:t>
      </w:r>
    </w:p>
    <w:p w14:paraId="0C0FBFBA" w14:textId="73A83C37"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okvirn</w:t>
      </w:r>
      <w:r w:rsidR="00F626FF" w:rsidRPr="00215B2F">
        <w:rPr>
          <w:rFonts w:ascii="Arial" w:eastAsia="Arial" w:hAnsi="Arial" w:cs="Arial"/>
          <w:sz w:val="20"/>
          <w:szCs w:val="20"/>
        </w:rPr>
        <w:t>i</w:t>
      </w:r>
      <w:r w:rsidRPr="00215B2F">
        <w:rPr>
          <w:rFonts w:ascii="Arial" w:eastAsia="Arial" w:hAnsi="Arial" w:cs="Arial"/>
          <w:sz w:val="20"/>
          <w:szCs w:val="20"/>
        </w:rPr>
        <w:t xml:space="preserve"> sporazum</w:t>
      </w:r>
      <w:r w:rsidR="00F626FF" w:rsidRPr="00215B2F">
        <w:rPr>
          <w:rFonts w:ascii="Arial" w:eastAsia="Arial" w:hAnsi="Arial" w:cs="Arial"/>
          <w:sz w:val="20"/>
          <w:szCs w:val="20"/>
        </w:rPr>
        <w:t>i</w:t>
      </w:r>
      <w:r w:rsidRPr="00215B2F">
        <w:rPr>
          <w:rFonts w:ascii="Arial" w:eastAsia="Arial" w:hAnsi="Arial" w:cs="Arial"/>
          <w:sz w:val="20"/>
          <w:szCs w:val="20"/>
        </w:rPr>
        <w:t xml:space="preserve"> za pogodbe ali sporazum</w:t>
      </w:r>
      <w:r w:rsidR="00F626FF" w:rsidRPr="00215B2F">
        <w:rPr>
          <w:rFonts w:ascii="Arial" w:eastAsia="Arial" w:hAnsi="Arial" w:cs="Arial"/>
          <w:sz w:val="20"/>
          <w:szCs w:val="20"/>
        </w:rPr>
        <w:t>i</w:t>
      </w:r>
      <w:r w:rsidRPr="00215B2F">
        <w:rPr>
          <w:rFonts w:ascii="Arial" w:eastAsia="Arial" w:hAnsi="Arial" w:cs="Arial"/>
          <w:sz w:val="20"/>
          <w:szCs w:val="20"/>
        </w:rPr>
        <w:t xml:space="preserve"> iz prve do pete alineje te točke;</w:t>
      </w:r>
    </w:p>
    <w:p w14:paraId="236C603C" w14:textId="6E1F992E" w:rsidR="008E3FA3" w:rsidRPr="00215B2F" w:rsidRDefault="008E3FA3" w:rsidP="006455BC">
      <w:pPr>
        <w:pStyle w:val="tevilnatoka"/>
        <w:rPr>
          <w:rFonts w:cs="Arial"/>
          <w:bCs/>
          <w:sz w:val="20"/>
          <w:szCs w:val="20"/>
        </w:rPr>
      </w:pPr>
      <w:r w:rsidRPr="00215B2F">
        <w:rPr>
          <w:rFonts w:eastAsia="Arial" w:cs="Arial"/>
          <w:sz w:val="20"/>
          <w:szCs w:val="20"/>
        </w:rPr>
        <w:lastRenderedPageBreak/>
        <w:t>»</w:t>
      </w:r>
      <w:r w:rsidR="00D91782" w:rsidRPr="00215B2F">
        <w:rPr>
          <w:rFonts w:eastAsia="Arial" w:cs="Arial"/>
          <w:sz w:val="20"/>
          <w:szCs w:val="20"/>
        </w:rPr>
        <w:t>funkcije notranje kontrole</w:t>
      </w:r>
      <w:r w:rsidRPr="00215B2F">
        <w:rPr>
          <w:rFonts w:eastAsia="Arial" w:cs="Arial"/>
          <w:sz w:val="20"/>
          <w:szCs w:val="20"/>
        </w:rPr>
        <w:t>«</w:t>
      </w:r>
      <w:r w:rsidR="00D91782" w:rsidRPr="00215B2F">
        <w:rPr>
          <w:rFonts w:eastAsia="Arial" w:cs="Arial"/>
          <w:sz w:val="20"/>
          <w:szCs w:val="20"/>
        </w:rPr>
        <w:t xml:space="preserve"> </w:t>
      </w:r>
      <w:r w:rsidR="00174D49" w:rsidRPr="00215B2F">
        <w:rPr>
          <w:rFonts w:eastAsia="Arial" w:cs="Arial"/>
          <w:sz w:val="20"/>
          <w:szCs w:val="20"/>
        </w:rPr>
        <w:t xml:space="preserve">so </w:t>
      </w:r>
      <w:r w:rsidR="00D91782" w:rsidRPr="00215B2F">
        <w:rPr>
          <w:rFonts w:eastAsia="Arial" w:cs="Arial"/>
          <w:sz w:val="20"/>
          <w:szCs w:val="20"/>
        </w:rPr>
        <w:t>funkcije upravljanja tveganj, zagotavljanja skladnosti in notranje revizije;</w:t>
      </w:r>
    </w:p>
    <w:p w14:paraId="1E07CB55" w14:textId="538ABFD8" w:rsidR="008E3FA3" w:rsidRPr="00215B2F" w:rsidRDefault="00D91782" w:rsidP="006455BC">
      <w:pPr>
        <w:pStyle w:val="tevilnatoka"/>
        <w:rPr>
          <w:rFonts w:cs="Arial"/>
          <w:bCs/>
          <w:sz w:val="20"/>
          <w:szCs w:val="20"/>
        </w:rPr>
      </w:pPr>
      <w:r w:rsidRPr="00215B2F">
        <w:rPr>
          <w:rFonts w:eastAsia="Arial" w:cs="Arial"/>
          <w:sz w:val="20"/>
          <w:szCs w:val="20"/>
        </w:rPr>
        <w:t xml:space="preserve">»izredna javnofinančna pomoč« </w:t>
      </w:r>
      <w:r w:rsidR="00174D49" w:rsidRPr="00215B2F">
        <w:rPr>
          <w:rFonts w:eastAsia="Arial" w:cs="Arial"/>
          <w:sz w:val="20"/>
          <w:szCs w:val="20"/>
        </w:rPr>
        <w:t xml:space="preserve">je državna </w:t>
      </w:r>
      <w:r w:rsidRPr="00215B2F">
        <w:rPr>
          <w:rFonts w:eastAsia="Arial" w:cs="Arial"/>
          <w:sz w:val="20"/>
          <w:szCs w:val="20"/>
        </w:rPr>
        <w:t>pomoč v smislu prvega odstavka 107. člena Pogodbe o delovanju Evropske unije (Prečiščena različica Pogodbe o delovanju Evropske unije, UL</w:t>
      </w:r>
      <w:r w:rsidR="00D83F9D" w:rsidRPr="00215B2F">
        <w:rPr>
          <w:rFonts w:eastAsia="Arial" w:cs="Arial"/>
          <w:sz w:val="20"/>
          <w:szCs w:val="20"/>
        </w:rPr>
        <w:t> </w:t>
      </w:r>
      <w:r w:rsidRPr="00215B2F">
        <w:rPr>
          <w:rFonts w:eastAsia="Arial" w:cs="Arial"/>
          <w:sz w:val="20"/>
          <w:szCs w:val="20"/>
        </w:rPr>
        <w:t>C št. 202 z dne 7. 6. 2016, str. 47; v nadaljnjem besedilu: PDEU) ali drugo javnofinančno podporo na nadnacionalni ravni, ki bi pomenila državno pomoč, če bi bila dodeljena na nacionalni ravni</w:t>
      </w:r>
      <w:r w:rsidR="00D83F9D" w:rsidRPr="00215B2F">
        <w:rPr>
          <w:rFonts w:eastAsia="Arial" w:cs="Arial"/>
          <w:sz w:val="20"/>
          <w:szCs w:val="20"/>
        </w:rPr>
        <w:t>,</w:t>
      </w:r>
      <w:r w:rsidRPr="00215B2F">
        <w:rPr>
          <w:rFonts w:eastAsia="Arial" w:cs="Arial"/>
          <w:sz w:val="20"/>
          <w:szCs w:val="20"/>
        </w:rPr>
        <w:t xml:space="preserve"> in ki je predvidena za ohranitev ali ponovno vzpostavitev uspešnega poslovanja, likvidnosti ali solventnosti banke ali posamezne finančne družbe v skupini, katere del je banka, ali celotne skupine, katere del je banka;</w:t>
      </w:r>
    </w:p>
    <w:p w14:paraId="6733C1C8" w14:textId="6110808D" w:rsidR="008E3FA3" w:rsidRPr="00215B2F" w:rsidRDefault="00D91782" w:rsidP="006455BC">
      <w:pPr>
        <w:pStyle w:val="tevilnatoka"/>
        <w:rPr>
          <w:rFonts w:cs="Arial"/>
          <w:bCs/>
          <w:sz w:val="20"/>
          <w:szCs w:val="20"/>
        </w:rPr>
      </w:pPr>
      <w:r w:rsidRPr="00215B2F">
        <w:rPr>
          <w:rFonts w:eastAsia="Arial" w:cs="Arial"/>
          <w:sz w:val="20"/>
          <w:szCs w:val="20"/>
        </w:rPr>
        <w:t xml:space="preserve">»Komisija« </w:t>
      </w:r>
      <w:r w:rsidR="00174D49" w:rsidRPr="00215B2F">
        <w:rPr>
          <w:rFonts w:eastAsia="Arial" w:cs="Arial"/>
          <w:sz w:val="20"/>
          <w:szCs w:val="20"/>
        </w:rPr>
        <w:t>je Evropska komisija</w:t>
      </w:r>
      <w:r w:rsidRPr="00215B2F">
        <w:rPr>
          <w:rFonts w:eastAsia="Arial" w:cs="Arial"/>
          <w:sz w:val="20"/>
          <w:szCs w:val="20"/>
        </w:rPr>
        <w:t>;</w:t>
      </w:r>
    </w:p>
    <w:p w14:paraId="5CDC3A70" w14:textId="51207D02" w:rsidR="008E3FA3" w:rsidRPr="00215B2F" w:rsidRDefault="008E3FA3" w:rsidP="006455BC">
      <w:pPr>
        <w:pStyle w:val="tevilnatoka"/>
        <w:rPr>
          <w:rFonts w:cs="Arial"/>
          <w:bCs/>
          <w:sz w:val="20"/>
          <w:szCs w:val="20"/>
        </w:rPr>
      </w:pPr>
      <w:r w:rsidRPr="00215B2F">
        <w:rPr>
          <w:rFonts w:eastAsia="Arial" w:cs="Arial"/>
          <w:sz w:val="20"/>
          <w:szCs w:val="20"/>
        </w:rPr>
        <w:t>»</w:t>
      </w:r>
      <w:r w:rsidR="00D91782" w:rsidRPr="00215B2F">
        <w:rPr>
          <w:rFonts w:eastAsia="Arial" w:cs="Arial"/>
          <w:sz w:val="20"/>
          <w:szCs w:val="20"/>
        </w:rPr>
        <w:t>kriptosredstvo</w:t>
      </w:r>
      <w:r w:rsidRPr="00215B2F">
        <w:rPr>
          <w:rFonts w:eastAsia="Arial" w:cs="Arial"/>
          <w:sz w:val="20"/>
          <w:szCs w:val="20"/>
        </w:rPr>
        <w:t>«</w:t>
      </w:r>
      <w:r w:rsidR="00D91782" w:rsidRPr="00215B2F">
        <w:rPr>
          <w:rFonts w:eastAsia="Arial" w:cs="Arial"/>
          <w:sz w:val="20"/>
          <w:szCs w:val="20"/>
        </w:rPr>
        <w:t xml:space="preserve"> </w:t>
      </w:r>
      <w:r w:rsidR="00174D49" w:rsidRPr="00215B2F">
        <w:rPr>
          <w:rFonts w:eastAsia="Arial" w:cs="Arial"/>
          <w:sz w:val="20"/>
          <w:szCs w:val="20"/>
        </w:rPr>
        <w:t xml:space="preserve">je </w:t>
      </w:r>
      <w:r w:rsidR="00D91782" w:rsidRPr="00215B2F">
        <w:rPr>
          <w:rFonts w:eastAsia="Arial" w:cs="Arial"/>
          <w:sz w:val="20"/>
          <w:szCs w:val="20"/>
        </w:rPr>
        <w:t>kriptosredstvo, kakor je opredeljeno v 5. točki prvega odstavka 3. člena Uredbe 2023/1114/EU, ki ni centralnobančna digitalna valuta;</w:t>
      </w:r>
    </w:p>
    <w:p w14:paraId="5A1F1164" w14:textId="5746BD98" w:rsidR="008E3FA3" w:rsidRPr="00215B2F" w:rsidRDefault="00D91782" w:rsidP="006455BC">
      <w:pPr>
        <w:pStyle w:val="tevilnatoka"/>
        <w:rPr>
          <w:rFonts w:cs="Arial"/>
          <w:bCs/>
          <w:sz w:val="20"/>
          <w:szCs w:val="20"/>
        </w:rPr>
      </w:pPr>
      <w:r w:rsidRPr="00215B2F">
        <w:rPr>
          <w:rFonts w:eastAsia="Arial" w:cs="Arial"/>
          <w:sz w:val="20"/>
          <w:szCs w:val="20"/>
        </w:rPr>
        <w:t xml:space="preserve">»majhna in nekompleksna banka« </w:t>
      </w:r>
      <w:r w:rsidR="00174D49" w:rsidRPr="00215B2F">
        <w:rPr>
          <w:rFonts w:eastAsia="Arial" w:cs="Arial"/>
          <w:sz w:val="20"/>
          <w:szCs w:val="20"/>
        </w:rPr>
        <w:t>je banka</w:t>
      </w:r>
      <w:r w:rsidRPr="00215B2F">
        <w:rPr>
          <w:rFonts w:eastAsia="Arial" w:cs="Arial"/>
          <w:sz w:val="20"/>
          <w:szCs w:val="20"/>
        </w:rPr>
        <w:t>, kakor je opredeljena v 145. točki prvega odstavka 4. člena Uredbe 575/2013/EU in za katero velja, da je skupna vrednost sredstev enaka 5 milijardam eurov ali manjša;</w:t>
      </w:r>
    </w:p>
    <w:p w14:paraId="2AD77A23" w14:textId="3DF2D074" w:rsidR="008E3FA3" w:rsidRPr="00215B2F" w:rsidRDefault="00D91782" w:rsidP="006455BC">
      <w:pPr>
        <w:pStyle w:val="tevilnatoka"/>
        <w:rPr>
          <w:rFonts w:cs="Arial"/>
          <w:bCs/>
          <w:sz w:val="20"/>
          <w:szCs w:val="20"/>
        </w:rPr>
      </w:pPr>
      <w:r w:rsidRPr="00215B2F">
        <w:rPr>
          <w:rFonts w:eastAsia="Arial" w:cs="Arial"/>
          <w:sz w:val="20"/>
          <w:szCs w:val="20"/>
        </w:rPr>
        <w:t>»nadzorni organ« je nadzorni organ, ki je pristojen za nadzor nad subjekti finančnega sektorja, in ni pristojni organ</w:t>
      </w:r>
      <w:r w:rsidR="00EB484E" w:rsidRPr="00215B2F">
        <w:rPr>
          <w:rFonts w:eastAsia="Arial" w:cs="Arial"/>
          <w:sz w:val="20"/>
          <w:szCs w:val="20"/>
        </w:rPr>
        <w:t xml:space="preserve"> ter</w:t>
      </w:r>
      <w:r w:rsidRPr="00215B2F">
        <w:rPr>
          <w:rFonts w:eastAsia="Arial" w:cs="Arial"/>
          <w:sz w:val="20"/>
          <w:szCs w:val="20"/>
        </w:rPr>
        <w:t xml:space="preserve"> na območju Republike Slovenije pomeni agencijo, pristojno za zavarovalni nadzor</w:t>
      </w:r>
      <w:r w:rsidR="00EB484E" w:rsidRPr="00215B2F">
        <w:rPr>
          <w:rFonts w:eastAsia="Arial" w:cs="Arial"/>
          <w:sz w:val="20"/>
          <w:szCs w:val="20"/>
        </w:rPr>
        <w:t>,</w:t>
      </w:r>
      <w:r w:rsidRPr="00215B2F">
        <w:rPr>
          <w:rFonts w:eastAsia="Arial" w:cs="Arial"/>
          <w:sz w:val="20"/>
          <w:szCs w:val="20"/>
        </w:rPr>
        <w:t xml:space="preserve"> ter agencijo, pristojno za finančne trge;</w:t>
      </w:r>
    </w:p>
    <w:p w14:paraId="233568A9" w14:textId="0B1080AC" w:rsidR="008E3FA3" w:rsidRPr="00215B2F" w:rsidRDefault="008E3FA3" w:rsidP="006455BC">
      <w:pPr>
        <w:pStyle w:val="tevilnatoka"/>
        <w:rPr>
          <w:rFonts w:cs="Arial"/>
          <w:bCs/>
          <w:sz w:val="20"/>
          <w:szCs w:val="20"/>
        </w:rPr>
      </w:pPr>
      <w:r w:rsidRPr="00215B2F">
        <w:rPr>
          <w:rFonts w:eastAsia="Arial" w:cs="Arial"/>
          <w:sz w:val="20"/>
          <w:szCs w:val="20"/>
        </w:rPr>
        <w:t>»</w:t>
      </w:r>
      <w:r w:rsidR="00D91782" w:rsidRPr="00215B2F">
        <w:rPr>
          <w:rFonts w:eastAsia="Arial" w:cs="Arial"/>
          <w:sz w:val="20"/>
          <w:szCs w:val="20"/>
        </w:rPr>
        <w:t>nosilci ključnih funkcij</w:t>
      </w:r>
      <w:r w:rsidRPr="00215B2F">
        <w:rPr>
          <w:rFonts w:eastAsia="Arial" w:cs="Arial"/>
          <w:sz w:val="20"/>
          <w:szCs w:val="20"/>
        </w:rPr>
        <w:t>«</w:t>
      </w:r>
      <w:r w:rsidR="00D91782" w:rsidRPr="00215B2F">
        <w:rPr>
          <w:rFonts w:eastAsia="Arial" w:cs="Arial"/>
          <w:sz w:val="20"/>
          <w:szCs w:val="20"/>
        </w:rPr>
        <w:t xml:space="preserve"> so osebe, ki imajo pomemben vpliv na vodenje banke, vendar niso člani</w:t>
      </w:r>
      <w:r w:rsidR="007162E7" w:rsidRPr="00215B2F">
        <w:rPr>
          <w:rFonts w:eastAsia="Arial" w:cs="Arial"/>
          <w:sz w:val="20"/>
          <w:szCs w:val="20"/>
        </w:rPr>
        <w:t xml:space="preserve"> ali članice</w:t>
      </w:r>
      <w:r w:rsidR="00D91782" w:rsidRPr="00215B2F">
        <w:rPr>
          <w:rFonts w:eastAsia="Arial" w:cs="Arial"/>
          <w:sz w:val="20"/>
          <w:szCs w:val="20"/>
        </w:rPr>
        <w:t xml:space="preserve"> upravljalnega organa</w:t>
      </w:r>
      <w:r w:rsidR="007162E7" w:rsidRPr="00215B2F">
        <w:rPr>
          <w:rFonts w:eastAsia="Arial" w:cs="Arial"/>
          <w:sz w:val="20"/>
          <w:szCs w:val="20"/>
        </w:rPr>
        <w:t xml:space="preserve"> (v nadaljnjem besedilu: član upravljalnega organa)</w:t>
      </w:r>
      <w:r w:rsidR="00D91782" w:rsidRPr="00215B2F">
        <w:rPr>
          <w:rFonts w:eastAsia="Arial" w:cs="Arial"/>
          <w:sz w:val="20"/>
          <w:szCs w:val="20"/>
        </w:rPr>
        <w:t>, vključno z vodji funkcije notranje kontrole in finančnim direktorjem, kadar te vodje ali ta direktor niso člani upravljalnega organa;</w:t>
      </w:r>
    </w:p>
    <w:p w14:paraId="78390BE6" w14:textId="4FE4482F" w:rsidR="008E3FA3" w:rsidRPr="00215B2F" w:rsidRDefault="00D91782" w:rsidP="006455BC">
      <w:pPr>
        <w:pStyle w:val="tevilnatoka"/>
        <w:rPr>
          <w:rFonts w:cs="Arial"/>
          <w:bCs/>
          <w:sz w:val="20"/>
          <w:szCs w:val="20"/>
        </w:rPr>
      </w:pPr>
      <w:r w:rsidRPr="00215B2F">
        <w:rPr>
          <w:rFonts w:eastAsia="Arial" w:cs="Arial"/>
          <w:sz w:val="20"/>
          <w:szCs w:val="20"/>
        </w:rPr>
        <w:t xml:space="preserve">»notranji pristop« </w:t>
      </w:r>
      <w:r w:rsidR="00174D49" w:rsidRPr="00215B2F">
        <w:rPr>
          <w:rFonts w:eastAsia="Arial" w:cs="Arial"/>
          <w:sz w:val="20"/>
          <w:szCs w:val="20"/>
        </w:rPr>
        <w:t xml:space="preserve">je </w:t>
      </w:r>
      <w:r w:rsidRPr="00215B2F">
        <w:rPr>
          <w:rFonts w:eastAsia="Arial" w:cs="Arial"/>
          <w:sz w:val="20"/>
          <w:szCs w:val="20"/>
        </w:rPr>
        <w:t>pristop na podlagi notranjih bonitetnih ocen iz prvega odstavka 143. člena Uredbe 575/2013/EU, pristop na podlagi notranjega modela iz 221. člena Uredbe 575/2013/EU, metodo notranjega modela iz 283. člena Uredbe 575/2013/EU, alternativni pristop notranjega modela iz 325.az člena Uredbe 575/2013/EU in pristop notranjega ocenjevanja iz drugega odstavka 265. člena Uredbe 575/2013/EU;</w:t>
      </w:r>
    </w:p>
    <w:p w14:paraId="317F7E19" w14:textId="03B2165C" w:rsidR="008E3FA3" w:rsidRPr="00215B2F" w:rsidRDefault="00D91782" w:rsidP="006455BC">
      <w:pPr>
        <w:pStyle w:val="tevilnatoka"/>
        <w:rPr>
          <w:rFonts w:cs="Arial"/>
          <w:bCs/>
          <w:sz w:val="20"/>
          <w:szCs w:val="20"/>
        </w:rPr>
      </w:pPr>
      <w:r w:rsidRPr="00215B2F">
        <w:rPr>
          <w:rFonts w:eastAsia="Arial" w:cs="Arial"/>
          <w:sz w:val="20"/>
          <w:szCs w:val="20"/>
        </w:rPr>
        <w:t xml:space="preserve">»Odbor za finančno stabilnost« </w:t>
      </w:r>
      <w:r w:rsidR="00174D49" w:rsidRPr="00215B2F">
        <w:rPr>
          <w:rFonts w:eastAsia="Arial" w:cs="Arial"/>
          <w:sz w:val="20"/>
          <w:szCs w:val="20"/>
        </w:rPr>
        <w:t xml:space="preserve">je </w:t>
      </w:r>
      <w:r w:rsidRPr="00215B2F">
        <w:rPr>
          <w:rFonts w:eastAsia="Arial" w:cs="Arial"/>
          <w:sz w:val="20"/>
          <w:szCs w:val="20"/>
        </w:rPr>
        <w:t>Odbor za finančno stabilnost, ustanovljen na podlagi zakona, ki ureja makrobonitetni nadzor finančnega sistema;</w:t>
      </w:r>
    </w:p>
    <w:p w14:paraId="6E235528" w14:textId="054B7C99" w:rsidR="008E3FA3" w:rsidRPr="00215B2F" w:rsidRDefault="00D91782" w:rsidP="006455BC">
      <w:pPr>
        <w:pStyle w:val="tevilnatoka"/>
        <w:rPr>
          <w:rFonts w:cs="Arial"/>
          <w:bCs/>
          <w:sz w:val="20"/>
          <w:szCs w:val="20"/>
        </w:rPr>
      </w:pPr>
      <w:r w:rsidRPr="00215B2F">
        <w:rPr>
          <w:rFonts w:eastAsia="Arial" w:cs="Arial"/>
          <w:sz w:val="20"/>
          <w:szCs w:val="20"/>
        </w:rPr>
        <w:t>»organ nadzora« je upravljalni organ v nadzorni funkciji in pomeni v dvotirnem sistemu upravljanja nadzorni svet banke in v enotirnem sistemu upravljanja neizvršne člane upravnega odbora banke, ki so v skladu s tem zakonom pooblaščeni za nadzorovanje in spremljanje vodenja poslov banke;</w:t>
      </w:r>
    </w:p>
    <w:p w14:paraId="1E0AAC95" w14:textId="645A9857" w:rsidR="008E3FA3" w:rsidRPr="00215B2F" w:rsidRDefault="00EB484E" w:rsidP="006455BC">
      <w:pPr>
        <w:pStyle w:val="tevilnatoka"/>
        <w:rPr>
          <w:rFonts w:cs="Arial"/>
          <w:bCs/>
          <w:sz w:val="20"/>
          <w:szCs w:val="20"/>
        </w:rPr>
      </w:pPr>
      <w:r w:rsidRPr="00215B2F">
        <w:rPr>
          <w:rFonts w:eastAsia="Arial" w:cs="Arial"/>
          <w:sz w:val="20"/>
          <w:szCs w:val="20"/>
        </w:rPr>
        <w:t>»</w:t>
      </w:r>
      <w:r w:rsidR="00D91782" w:rsidRPr="00215B2F">
        <w:rPr>
          <w:rFonts w:eastAsia="Arial" w:cs="Arial"/>
          <w:sz w:val="20"/>
          <w:szCs w:val="20"/>
        </w:rPr>
        <w:t>organ vodenja« je upravljalni organ v upravljavski funkciji in pomeni v dvotirnem sistemu upravljanja upravo banke in v enotirnem sistemu upravljanja izvršne direktorje banke, ki so v skladu s tem zakonom pooblaščeni za vodenje poslov banke;</w:t>
      </w:r>
    </w:p>
    <w:p w14:paraId="34C472D5" w14:textId="62106E62" w:rsidR="008E3FA3" w:rsidRPr="00215B2F" w:rsidRDefault="00D91782" w:rsidP="006455BC">
      <w:pPr>
        <w:pStyle w:val="tevilnatoka"/>
        <w:rPr>
          <w:rFonts w:cs="Arial"/>
          <w:bCs/>
          <w:sz w:val="20"/>
          <w:szCs w:val="20"/>
        </w:rPr>
      </w:pPr>
      <w:r w:rsidRPr="00215B2F">
        <w:rPr>
          <w:rFonts w:eastAsia="Arial" w:cs="Arial"/>
          <w:sz w:val="20"/>
          <w:szCs w:val="20"/>
        </w:rPr>
        <w:t xml:space="preserve">»organ za reševanje« </w:t>
      </w:r>
      <w:r w:rsidR="00174D49" w:rsidRPr="00215B2F">
        <w:rPr>
          <w:rFonts w:eastAsia="Arial" w:cs="Arial"/>
          <w:sz w:val="20"/>
          <w:szCs w:val="20"/>
        </w:rPr>
        <w:t xml:space="preserve">je </w:t>
      </w:r>
      <w:r w:rsidRPr="00215B2F">
        <w:rPr>
          <w:rFonts w:eastAsia="Arial" w:cs="Arial"/>
          <w:sz w:val="20"/>
          <w:szCs w:val="20"/>
        </w:rPr>
        <w:t>organ za reševanje, k</w:t>
      </w:r>
      <w:r w:rsidR="00EB484E" w:rsidRPr="00215B2F">
        <w:rPr>
          <w:rFonts w:eastAsia="Arial" w:cs="Arial"/>
          <w:sz w:val="20"/>
          <w:szCs w:val="20"/>
        </w:rPr>
        <w:t>akor</w:t>
      </w:r>
      <w:r w:rsidRPr="00215B2F">
        <w:rPr>
          <w:rFonts w:eastAsia="Arial" w:cs="Arial"/>
          <w:sz w:val="20"/>
          <w:szCs w:val="20"/>
        </w:rPr>
        <w:t xml:space="preserve"> je opredeljen v zakonu, ki ureja reševanje in prisilno prenehanje bank, in na območju Republike Slovenije pomeni Banko Slovenije ali Enotni odbor za reševanje;</w:t>
      </w:r>
    </w:p>
    <w:p w14:paraId="6DC20E62" w14:textId="3F2BC5B8" w:rsidR="00D91782" w:rsidRPr="00215B2F" w:rsidRDefault="00D91782" w:rsidP="006455BC">
      <w:pPr>
        <w:pStyle w:val="tevilnatoka"/>
        <w:rPr>
          <w:rFonts w:cs="Arial"/>
          <w:bCs/>
          <w:sz w:val="20"/>
          <w:szCs w:val="20"/>
        </w:rPr>
      </w:pPr>
      <w:r w:rsidRPr="00215B2F">
        <w:rPr>
          <w:rFonts w:eastAsia="Arial" w:cs="Arial"/>
          <w:sz w:val="20"/>
          <w:szCs w:val="20"/>
        </w:rPr>
        <w:t xml:space="preserve">»ožji družinski član« </w:t>
      </w:r>
      <w:r w:rsidR="00174D49" w:rsidRPr="00215B2F">
        <w:rPr>
          <w:rFonts w:eastAsia="Arial" w:cs="Arial"/>
          <w:sz w:val="20"/>
          <w:szCs w:val="20"/>
        </w:rPr>
        <w:t>je oseba</w:t>
      </w:r>
      <w:r w:rsidRPr="00215B2F">
        <w:rPr>
          <w:rFonts w:eastAsia="Arial" w:cs="Arial"/>
          <w:sz w:val="20"/>
          <w:szCs w:val="20"/>
        </w:rPr>
        <w:t>, ki je v razmerju do druge osebe:</w:t>
      </w:r>
    </w:p>
    <w:p w14:paraId="30235836" w14:textId="77777777" w:rsidR="008612B7"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njen zakonec ali oseba, s katero posameznik živi v dalj časa trajajoči življenjski skupnosti, ki ima po zakonu, ki ureja zakonsko zvezo in družinska razmerja, enake pravne posledice kot zakonska zveza,</w:t>
      </w:r>
    </w:p>
    <w:p w14:paraId="690F1DFC" w14:textId="65F823BF" w:rsidR="008612B7"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otrok te osebe ali osebe iz prejšnje alineje,</w:t>
      </w:r>
    </w:p>
    <w:p w14:paraId="52C93B1B" w14:textId="01C0DBFC" w:rsidR="008612B7" w:rsidRPr="00215B2F" w:rsidRDefault="00DA6DA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varovanec</w:t>
      </w:r>
      <w:r w:rsidR="00D91782" w:rsidRPr="00215B2F">
        <w:rPr>
          <w:rFonts w:ascii="Arial" w:eastAsia="Arial" w:hAnsi="Arial" w:cs="Arial"/>
          <w:sz w:val="20"/>
          <w:szCs w:val="20"/>
        </w:rPr>
        <w:t xml:space="preserve"> ali</w:t>
      </w:r>
    </w:p>
    <w:p w14:paraId="5B82BCF1" w14:textId="70E2A73B"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starš te osebe ali osebe iz prve alineje te točke;</w:t>
      </w:r>
    </w:p>
    <w:p w14:paraId="24E605F1" w14:textId="0D4D003C" w:rsidR="008E3FA3" w:rsidRPr="00215B2F" w:rsidRDefault="008E3FA3" w:rsidP="006455BC">
      <w:pPr>
        <w:pStyle w:val="tevilnatoka"/>
        <w:rPr>
          <w:rFonts w:cs="Arial"/>
          <w:bCs/>
          <w:sz w:val="20"/>
          <w:szCs w:val="20"/>
        </w:rPr>
      </w:pPr>
      <w:r w:rsidRPr="00215B2F">
        <w:rPr>
          <w:rFonts w:eastAsia="Arial" w:cs="Arial"/>
          <w:sz w:val="20"/>
          <w:szCs w:val="20"/>
        </w:rPr>
        <w:t>»</w:t>
      </w:r>
      <w:r w:rsidR="00D91782" w:rsidRPr="00215B2F">
        <w:rPr>
          <w:rFonts w:eastAsia="Arial" w:cs="Arial"/>
          <w:sz w:val="20"/>
          <w:szCs w:val="20"/>
        </w:rPr>
        <w:t>periodična denarna kazen</w:t>
      </w:r>
      <w:r w:rsidRPr="00215B2F">
        <w:rPr>
          <w:rFonts w:eastAsia="Arial" w:cs="Arial"/>
          <w:sz w:val="20"/>
          <w:szCs w:val="20"/>
        </w:rPr>
        <w:t>«</w:t>
      </w:r>
      <w:r w:rsidR="00D91782" w:rsidRPr="00215B2F">
        <w:rPr>
          <w:rFonts w:eastAsia="Arial" w:cs="Arial"/>
          <w:sz w:val="20"/>
          <w:szCs w:val="20"/>
        </w:rPr>
        <w:t xml:space="preserve"> </w:t>
      </w:r>
      <w:r w:rsidR="00174D49" w:rsidRPr="00215B2F">
        <w:rPr>
          <w:rFonts w:eastAsia="Arial" w:cs="Arial"/>
          <w:sz w:val="20"/>
          <w:szCs w:val="20"/>
        </w:rPr>
        <w:t xml:space="preserve">je </w:t>
      </w:r>
      <w:r w:rsidR="00D91782" w:rsidRPr="00215B2F">
        <w:rPr>
          <w:rFonts w:eastAsia="Arial" w:cs="Arial"/>
          <w:sz w:val="20"/>
          <w:szCs w:val="20"/>
        </w:rPr>
        <w:t xml:space="preserve">periodični denarni izvršilni ukrep, katerega cilj je končati trajajoče kršitve tega zakona, kršitve Uredbe 575/2013/EU ali kršitve odločitev pristojnega organa na podlagi tega zakona ali Uredbe 575/2013/EU ter pravno ali fizično osebo prisiliti, da začne </w:t>
      </w:r>
      <w:r w:rsidR="00F455AB" w:rsidRPr="00215B2F">
        <w:rPr>
          <w:rFonts w:eastAsia="Arial" w:cs="Arial"/>
          <w:sz w:val="20"/>
          <w:szCs w:val="20"/>
        </w:rPr>
        <w:t xml:space="preserve">znova </w:t>
      </w:r>
      <w:r w:rsidR="00D91782" w:rsidRPr="00215B2F">
        <w:rPr>
          <w:rFonts w:eastAsia="Arial" w:cs="Arial"/>
          <w:sz w:val="20"/>
          <w:szCs w:val="20"/>
        </w:rPr>
        <w:t>izpolnjevati kršene določbe ali odločitve;</w:t>
      </w:r>
    </w:p>
    <w:p w14:paraId="1D96A7C9" w14:textId="5E0EAFD9" w:rsidR="008E3FA3" w:rsidRPr="00215B2F" w:rsidRDefault="00EB484E" w:rsidP="006455BC">
      <w:pPr>
        <w:pStyle w:val="tevilnatoka"/>
        <w:rPr>
          <w:rFonts w:cs="Arial"/>
          <w:bCs/>
          <w:sz w:val="20"/>
          <w:szCs w:val="20"/>
        </w:rPr>
      </w:pPr>
      <w:r w:rsidRPr="00215B2F">
        <w:rPr>
          <w:rFonts w:eastAsia="Arial" w:cs="Arial"/>
          <w:sz w:val="20"/>
          <w:szCs w:val="20"/>
        </w:rPr>
        <w:t>»</w:t>
      </w:r>
      <w:r w:rsidR="00D91782" w:rsidRPr="00215B2F">
        <w:rPr>
          <w:rFonts w:eastAsia="Arial" w:cs="Arial"/>
          <w:sz w:val="20"/>
          <w:szCs w:val="20"/>
        </w:rPr>
        <w:t>podnebna nevtralnost</w:t>
      </w:r>
      <w:r w:rsidRPr="00215B2F">
        <w:rPr>
          <w:rFonts w:eastAsia="Arial" w:cs="Arial"/>
          <w:sz w:val="20"/>
          <w:szCs w:val="20"/>
        </w:rPr>
        <w:t>«</w:t>
      </w:r>
      <w:r w:rsidR="00D91782" w:rsidRPr="00215B2F">
        <w:rPr>
          <w:rFonts w:eastAsia="Arial" w:cs="Arial"/>
          <w:sz w:val="20"/>
          <w:szCs w:val="20"/>
        </w:rPr>
        <w:t xml:space="preserve"> </w:t>
      </w:r>
      <w:r w:rsidR="00174D49" w:rsidRPr="00215B2F">
        <w:rPr>
          <w:rFonts w:eastAsia="Arial" w:cs="Arial"/>
          <w:sz w:val="20"/>
          <w:szCs w:val="20"/>
        </w:rPr>
        <w:t xml:space="preserve">je </w:t>
      </w:r>
      <w:r w:rsidR="00D91782" w:rsidRPr="00215B2F">
        <w:rPr>
          <w:rFonts w:eastAsia="Arial" w:cs="Arial"/>
          <w:sz w:val="20"/>
          <w:szCs w:val="20"/>
        </w:rPr>
        <w:t>splošni cilj, da se do leta 2050 doseže podnebna nevtralnost, k</w:t>
      </w:r>
      <w:r w:rsidR="006B0B0E" w:rsidRPr="00215B2F">
        <w:rPr>
          <w:rFonts w:eastAsia="Arial" w:cs="Arial"/>
          <w:sz w:val="20"/>
          <w:szCs w:val="20"/>
        </w:rPr>
        <w:t>akor</w:t>
      </w:r>
      <w:r w:rsidR="00D91782" w:rsidRPr="00215B2F">
        <w:rPr>
          <w:rFonts w:eastAsia="Arial" w:cs="Arial"/>
          <w:sz w:val="20"/>
          <w:szCs w:val="20"/>
        </w:rPr>
        <w:t xml:space="preserve"> je navedeno v prvem odstavku 2. člena Uredbe 2021/1119/EU;</w:t>
      </w:r>
    </w:p>
    <w:p w14:paraId="05ED66AD" w14:textId="7A3E8EE9" w:rsidR="008E3FA3" w:rsidRPr="00215B2F" w:rsidRDefault="00D91782" w:rsidP="006455BC">
      <w:pPr>
        <w:pStyle w:val="tevilnatoka"/>
        <w:rPr>
          <w:rFonts w:cs="Arial"/>
          <w:bCs/>
          <w:sz w:val="20"/>
          <w:szCs w:val="20"/>
        </w:rPr>
      </w:pPr>
      <w:r w:rsidRPr="00215B2F">
        <w:rPr>
          <w:rFonts w:eastAsia="Arial" w:cs="Arial"/>
          <w:sz w:val="20"/>
          <w:szCs w:val="20"/>
        </w:rPr>
        <w:t xml:space="preserve">»politika prejemkov, nevtralna glede na spol« </w:t>
      </w:r>
      <w:r w:rsidR="00174D49" w:rsidRPr="00215B2F">
        <w:rPr>
          <w:rFonts w:eastAsia="Arial" w:cs="Arial"/>
          <w:sz w:val="20"/>
          <w:szCs w:val="20"/>
        </w:rPr>
        <w:t xml:space="preserve">je politika </w:t>
      </w:r>
      <w:r w:rsidRPr="00215B2F">
        <w:rPr>
          <w:rFonts w:eastAsia="Arial" w:cs="Arial"/>
          <w:sz w:val="20"/>
          <w:szCs w:val="20"/>
        </w:rPr>
        <w:t>prejemkov, ki temelji na načelu enakega plačila za enako delo ali delo enake vrednosti za zaposlene moške in ženske;</w:t>
      </w:r>
    </w:p>
    <w:p w14:paraId="023CE182" w14:textId="7EFDFF71" w:rsidR="008E3FA3" w:rsidRPr="00215B2F" w:rsidRDefault="00D91782" w:rsidP="006455BC">
      <w:pPr>
        <w:pStyle w:val="tevilnatoka"/>
        <w:rPr>
          <w:rFonts w:cs="Arial"/>
          <w:bCs/>
          <w:sz w:val="20"/>
          <w:szCs w:val="20"/>
        </w:rPr>
      </w:pPr>
      <w:r w:rsidRPr="00215B2F">
        <w:rPr>
          <w:rFonts w:eastAsia="Arial" w:cs="Arial"/>
          <w:sz w:val="20"/>
          <w:szCs w:val="20"/>
        </w:rPr>
        <w:t xml:space="preserve">»pomembna banka« </w:t>
      </w:r>
      <w:r w:rsidR="00174D49" w:rsidRPr="00215B2F">
        <w:rPr>
          <w:rFonts w:eastAsia="Arial" w:cs="Arial"/>
          <w:sz w:val="20"/>
          <w:szCs w:val="20"/>
        </w:rPr>
        <w:t>je banka</w:t>
      </w:r>
      <w:r w:rsidRPr="00215B2F">
        <w:rPr>
          <w:rFonts w:eastAsia="Arial" w:cs="Arial"/>
          <w:sz w:val="20"/>
          <w:szCs w:val="20"/>
        </w:rPr>
        <w:t xml:space="preserve">, ki jo kot pomembno opredeli Banka Slovenije </w:t>
      </w:r>
      <w:r w:rsidR="00174D49" w:rsidRPr="00215B2F">
        <w:rPr>
          <w:rFonts w:eastAsia="Arial" w:cs="Arial"/>
          <w:sz w:val="20"/>
          <w:szCs w:val="20"/>
        </w:rPr>
        <w:t>v skladu s tem</w:t>
      </w:r>
      <w:r w:rsidRPr="00215B2F">
        <w:rPr>
          <w:rFonts w:eastAsia="Arial" w:cs="Arial"/>
          <w:sz w:val="20"/>
          <w:szCs w:val="20"/>
        </w:rPr>
        <w:t xml:space="preserve"> </w:t>
      </w:r>
      <w:r w:rsidR="00174D49" w:rsidRPr="00215B2F">
        <w:rPr>
          <w:rFonts w:eastAsia="Arial" w:cs="Arial"/>
          <w:sz w:val="20"/>
          <w:szCs w:val="20"/>
        </w:rPr>
        <w:t xml:space="preserve">zakonom </w:t>
      </w:r>
      <w:r w:rsidRPr="00215B2F">
        <w:rPr>
          <w:rFonts w:eastAsia="Arial" w:cs="Arial"/>
          <w:sz w:val="20"/>
          <w:szCs w:val="20"/>
        </w:rPr>
        <w:t>v zvezi z uveljavljan</w:t>
      </w:r>
      <w:r w:rsidR="001C5AC5" w:rsidRPr="00215B2F">
        <w:rPr>
          <w:rFonts w:eastAsia="Arial" w:cs="Arial"/>
          <w:sz w:val="20"/>
          <w:szCs w:val="20"/>
        </w:rPr>
        <w:t>j</w:t>
      </w:r>
      <w:r w:rsidRPr="00215B2F">
        <w:rPr>
          <w:rFonts w:eastAsia="Arial" w:cs="Arial"/>
          <w:sz w:val="20"/>
          <w:szCs w:val="20"/>
        </w:rPr>
        <w:t>em zahtev, ki jih za pomembne banke določa ta zakon ali Uredba 575/2013/EU;</w:t>
      </w:r>
    </w:p>
    <w:p w14:paraId="02AB66C4" w14:textId="713D7B9F" w:rsidR="008E3FA3" w:rsidRPr="00215B2F" w:rsidRDefault="00D91782" w:rsidP="006455BC">
      <w:pPr>
        <w:pStyle w:val="tevilnatoka"/>
        <w:rPr>
          <w:rFonts w:cs="Arial"/>
          <w:bCs/>
          <w:sz w:val="20"/>
          <w:szCs w:val="20"/>
        </w:rPr>
      </w:pPr>
      <w:r w:rsidRPr="00215B2F">
        <w:rPr>
          <w:rFonts w:eastAsia="Arial" w:cs="Arial"/>
          <w:sz w:val="20"/>
          <w:szCs w:val="20"/>
        </w:rPr>
        <w:t xml:space="preserve">»pristojni organ« </w:t>
      </w:r>
      <w:r w:rsidR="00174D49" w:rsidRPr="00215B2F">
        <w:rPr>
          <w:rFonts w:eastAsia="Arial" w:cs="Arial"/>
          <w:sz w:val="20"/>
          <w:szCs w:val="20"/>
        </w:rPr>
        <w:t xml:space="preserve">je </w:t>
      </w:r>
      <w:r w:rsidRPr="00215B2F">
        <w:rPr>
          <w:rFonts w:eastAsia="Arial" w:cs="Arial"/>
          <w:sz w:val="20"/>
          <w:szCs w:val="20"/>
        </w:rPr>
        <w:t xml:space="preserve">pristojni organ, kakor je opredeljen v 40. točki prvega odstavka 4. člena Uredbe 575/2013/EU, ter Evropsko centralno banko, kadar je pristojna za izvajanje pooblastil in nalog bonitetnega nadzora nad kreditnimi institucijami v skladu z Uredbo 1024/2013/EU, in na območju </w:t>
      </w:r>
      <w:r w:rsidRPr="00215B2F">
        <w:rPr>
          <w:rFonts w:eastAsia="Arial" w:cs="Arial"/>
          <w:sz w:val="20"/>
          <w:szCs w:val="20"/>
        </w:rPr>
        <w:lastRenderedPageBreak/>
        <w:t>Republike Slovenije pomeni Banko Slovenije ali Evropsko centralno banko, kadar je</w:t>
      </w:r>
      <w:r w:rsidR="002512B4" w:rsidRPr="00215B2F">
        <w:rPr>
          <w:rFonts w:eastAsia="Arial" w:cs="Arial"/>
          <w:sz w:val="20"/>
          <w:szCs w:val="20"/>
        </w:rPr>
        <w:t xml:space="preserve"> ta</w:t>
      </w:r>
      <w:r w:rsidRPr="00215B2F">
        <w:rPr>
          <w:rFonts w:eastAsia="Arial" w:cs="Arial"/>
          <w:sz w:val="20"/>
          <w:szCs w:val="20"/>
        </w:rPr>
        <w:t xml:space="preserve"> pristojna za izvajanje pooblastil in nalog bonitetnega nadzora nad bankami v skladu z Uredbo 1024/2013/EU;</w:t>
      </w:r>
    </w:p>
    <w:p w14:paraId="5F0919F5" w14:textId="009753E1" w:rsidR="008E3FA3" w:rsidRPr="00215B2F" w:rsidRDefault="008E3FA3" w:rsidP="006455BC">
      <w:pPr>
        <w:pStyle w:val="tevilnatoka"/>
        <w:rPr>
          <w:rFonts w:cs="Arial"/>
          <w:bCs/>
          <w:sz w:val="20"/>
          <w:szCs w:val="20"/>
        </w:rPr>
      </w:pPr>
      <w:r w:rsidRPr="00215B2F">
        <w:rPr>
          <w:rFonts w:eastAsia="Arial" w:cs="Arial"/>
          <w:sz w:val="20"/>
          <w:szCs w:val="20"/>
        </w:rPr>
        <w:t>»</w:t>
      </w:r>
      <w:r w:rsidR="00D91782" w:rsidRPr="00215B2F">
        <w:rPr>
          <w:rFonts w:eastAsia="Arial" w:cs="Arial"/>
          <w:sz w:val="20"/>
          <w:szCs w:val="20"/>
        </w:rPr>
        <w:t>samostojna banka v Uniji</w:t>
      </w:r>
      <w:r w:rsidRPr="00215B2F">
        <w:rPr>
          <w:rFonts w:eastAsia="Arial" w:cs="Arial"/>
          <w:sz w:val="20"/>
          <w:szCs w:val="20"/>
        </w:rPr>
        <w:t>«</w:t>
      </w:r>
      <w:r w:rsidR="00D91782" w:rsidRPr="00215B2F">
        <w:rPr>
          <w:rFonts w:eastAsia="Arial" w:cs="Arial"/>
          <w:sz w:val="20"/>
          <w:szCs w:val="20"/>
        </w:rPr>
        <w:t xml:space="preserve"> </w:t>
      </w:r>
      <w:r w:rsidR="00174D49" w:rsidRPr="00215B2F">
        <w:rPr>
          <w:rFonts w:eastAsia="Arial" w:cs="Arial"/>
          <w:sz w:val="20"/>
          <w:szCs w:val="20"/>
        </w:rPr>
        <w:t>je banka</w:t>
      </w:r>
      <w:r w:rsidR="00D91782" w:rsidRPr="00215B2F">
        <w:rPr>
          <w:rFonts w:eastAsia="Arial" w:cs="Arial"/>
          <w:sz w:val="20"/>
          <w:szCs w:val="20"/>
        </w:rPr>
        <w:t xml:space="preserve">, za katero v </w:t>
      </w:r>
      <w:r w:rsidR="00C461A6" w:rsidRPr="00215B2F">
        <w:rPr>
          <w:rFonts w:eastAsia="Arial" w:cs="Arial"/>
          <w:sz w:val="20"/>
          <w:szCs w:val="20"/>
        </w:rPr>
        <w:t>Evropski u</w:t>
      </w:r>
      <w:r w:rsidR="00D91782" w:rsidRPr="00215B2F">
        <w:rPr>
          <w:rFonts w:eastAsia="Arial" w:cs="Arial"/>
          <w:sz w:val="20"/>
          <w:szCs w:val="20"/>
        </w:rPr>
        <w:t xml:space="preserve">niji ne velja bonitetna konsolidacija na podlagi </w:t>
      </w:r>
      <w:bookmarkStart w:id="19" w:name="_Hlk209788247"/>
      <w:r w:rsidR="009300AF" w:rsidRPr="00215B2F">
        <w:rPr>
          <w:rFonts w:eastAsia="Arial" w:cs="Arial"/>
          <w:sz w:val="20"/>
          <w:szCs w:val="20"/>
        </w:rPr>
        <w:t>2. poglavja II. naslova 1.</w:t>
      </w:r>
      <w:r w:rsidR="006275D7" w:rsidRPr="00215B2F">
        <w:rPr>
          <w:rFonts w:eastAsia="Arial" w:cs="Arial"/>
          <w:sz w:val="20"/>
          <w:szCs w:val="20"/>
        </w:rPr>
        <w:t xml:space="preserve"> </w:t>
      </w:r>
      <w:r w:rsidR="00D91782" w:rsidRPr="00215B2F">
        <w:rPr>
          <w:rFonts w:eastAsia="Arial" w:cs="Arial"/>
          <w:sz w:val="20"/>
          <w:szCs w:val="20"/>
        </w:rPr>
        <w:t>dela</w:t>
      </w:r>
      <w:r w:rsidR="009300AF" w:rsidRPr="00215B2F">
        <w:rPr>
          <w:rFonts w:eastAsia="Arial" w:cs="Arial"/>
          <w:sz w:val="20"/>
          <w:szCs w:val="20"/>
        </w:rPr>
        <w:t xml:space="preserve"> </w:t>
      </w:r>
      <w:r w:rsidR="00D91782" w:rsidRPr="00215B2F">
        <w:rPr>
          <w:rFonts w:eastAsia="Arial" w:cs="Arial"/>
          <w:sz w:val="20"/>
          <w:szCs w:val="20"/>
        </w:rPr>
        <w:t xml:space="preserve">Uredbe 575/2013/EU </w:t>
      </w:r>
      <w:bookmarkEnd w:id="19"/>
      <w:r w:rsidR="00D91782" w:rsidRPr="00215B2F">
        <w:rPr>
          <w:rFonts w:eastAsia="Arial" w:cs="Arial"/>
          <w:sz w:val="20"/>
          <w:szCs w:val="20"/>
        </w:rPr>
        <w:t xml:space="preserve">in ki nima EU nadrejene osebe, za katero velja taka bonitetna konsolidacija; </w:t>
      </w:r>
    </w:p>
    <w:p w14:paraId="2C7AC66A" w14:textId="79E5856B" w:rsidR="008E3FA3" w:rsidRPr="00215B2F" w:rsidRDefault="00D91782" w:rsidP="006455BC">
      <w:pPr>
        <w:pStyle w:val="tevilnatoka"/>
        <w:rPr>
          <w:rFonts w:cs="Arial"/>
          <w:bCs/>
          <w:sz w:val="20"/>
          <w:szCs w:val="20"/>
        </w:rPr>
      </w:pPr>
      <w:r w:rsidRPr="00215B2F">
        <w:rPr>
          <w:rFonts w:eastAsia="Arial" w:cs="Arial"/>
          <w:sz w:val="20"/>
          <w:szCs w:val="20"/>
        </w:rPr>
        <w:t xml:space="preserve">»skupina iz tretje države« </w:t>
      </w:r>
      <w:r w:rsidR="005F4BCE" w:rsidRPr="00215B2F">
        <w:rPr>
          <w:rFonts w:eastAsia="Arial" w:cs="Arial"/>
          <w:sz w:val="20"/>
          <w:szCs w:val="20"/>
        </w:rPr>
        <w:t>je skupina</w:t>
      </w:r>
      <w:r w:rsidRPr="00215B2F">
        <w:rPr>
          <w:rFonts w:eastAsia="Arial" w:cs="Arial"/>
          <w:sz w:val="20"/>
          <w:szCs w:val="20"/>
        </w:rPr>
        <w:t>, katere nadrejena oseba ima sedež v tretji državi;</w:t>
      </w:r>
    </w:p>
    <w:p w14:paraId="3AC69C4E" w14:textId="27B45883" w:rsidR="00D91782" w:rsidRPr="00215B2F" w:rsidRDefault="00D91782" w:rsidP="006455BC">
      <w:pPr>
        <w:pStyle w:val="tevilnatoka"/>
        <w:rPr>
          <w:rFonts w:cs="Arial"/>
          <w:bCs/>
          <w:sz w:val="20"/>
          <w:szCs w:val="20"/>
        </w:rPr>
      </w:pPr>
      <w:r w:rsidRPr="00215B2F">
        <w:rPr>
          <w:rFonts w:eastAsia="Arial" w:cs="Arial"/>
          <w:sz w:val="20"/>
          <w:szCs w:val="20"/>
        </w:rPr>
        <w:t xml:space="preserve">»sistemsko pomembna banka« </w:t>
      </w:r>
      <w:r w:rsidR="005F4BCE" w:rsidRPr="00215B2F">
        <w:rPr>
          <w:rFonts w:eastAsia="Arial" w:cs="Arial"/>
          <w:sz w:val="20"/>
          <w:szCs w:val="20"/>
        </w:rPr>
        <w:t>je banka</w:t>
      </w:r>
      <w:r w:rsidRPr="00215B2F">
        <w:rPr>
          <w:rFonts w:eastAsia="Arial" w:cs="Arial"/>
          <w:sz w:val="20"/>
          <w:szCs w:val="20"/>
        </w:rPr>
        <w:t xml:space="preserve">, ki bi v primeru propada ali slabega poslovanja lahko povzročila sistemsko tveganje in ima položaj: </w:t>
      </w:r>
    </w:p>
    <w:p w14:paraId="6A5EA9CE"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EU nadrejene banke,</w:t>
      </w:r>
    </w:p>
    <w:p w14:paraId="32C4F33C"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podrejene banke EU nadrejenemu finančnemu holdingu ali EU nadrejenemu mešanemu finančnemu holdingu,</w:t>
      </w:r>
    </w:p>
    <w:p w14:paraId="6DA5CE30" w14:textId="2F2B7F72"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banke, ki ni podrejena subjektu iz prve in druge alineje te točke;</w:t>
      </w:r>
    </w:p>
    <w:p w14:paraId="03F448B0" w14:textId="4CB4693D" w:rsidR="008E3FA3" w:rsidRPr="00215B2F" w:rsidRDefault="00D91782" w:rsidP="006455BC">
      <w:pPr>
        <w:pStyle w:val="tevilnatoka"/>
        <w:rPr>
          <w:rFonts w:cs="Arial"/>
          <w:bCs/>
          <w:sz w:val="20"/>
          <w:szCs w:val="20"/>
        </w:rPr>
      </w:pPr>
      <w:r w:rsidRPr="00215B2F">
        <w:rPr>
          <w:rFonts w:eastAsia="Arial" w:cs="Arial"/>
          <w:sz w:val="20"/>
          <w:szCs w:val="20"/>
        </w:rPr>
        <w:t xml:space="preserve">»sistemsko tveganje« </w:t>
      </w:r>
      <w:r w:rsidR="005F4BCE" w:rsidRPr="00215B2F">
        <w:rPr>
          <w:rFonts w:eastAsia="Arial" w:cs="Arial"/>
          <w:sz w:val="20"/>
          <w:szCs w:val="20"/>
        </w:rPr>
        <w:t xml:space="preserve">je </w:t>
      </w:r>
      <w:r w:rsidRPr="00215B2F">
        <w:rPr>
          <w:rFonts w:eastAsia="Arial" w:cs="Arial"/>
          <w:sz w:val="20"/>
          <w:szCs w:val="20"/>
        </w:rPr>
        <w:t>tveganje motenj v finančnem sistemu, ki ima lahko resne negativne posledice za finančni sistem in realno gospodarstvo;</w:t>
      </w:r>
    </w:p>
    <w:p w14:paraId="7DD41A1E" w14:textId="5B00D12C" w:rsidR="008E3FA3" w:rsidRPr="00215B2F" w:rsidRDefault="00D91782" w:rsidP="006455BC">
      <w:pPr>
        <w:pStyle w:val="tevilnatoka"/>
        <w:rPr>
          <w:rFonts w:cs="Arial"/>
          <w:bCs/>
          <w:sz w:val="20"/>
          <w:szCs w:val="20"/>
        </w:rPr>
      </w:pPr>
      <w:r w:rsidRPr="00215B2F">
        <w:rPr>
          <w:rFonts w:eastAsia="Arial" w:cs="Arial"/>
          <w:sz w:val="20"/>
          <w:szCs w:val="20"/>
        </w:rPr>
        <w:t xml:space="preserve">»subjekt v skupini« </w:t>
      </w:r>
      <w:r w:rsidR="005F4BCE" w:rsidRPr="00215B2F">
        <w:rPr>
          <w:rFonts w:eastAsia="Arial" w:cs="Arial"/>
          <w:sz w:val="20"/>
          <w:szCs w:val="20"/>
        </w:rPr>
        <w:t>je pravna oseba</w:t>
      </w:r>
      <w:r w:rsidRPr="00215B2F">
        <w:rPr>
          <w:rFonts w:eastAsia="Arial" w:cs="Arial"/>
          <w:sz w:val="20"/>
          <w:szCs w:val="20"/>
        </w:rPr>
        <w:t>, ki je del skupine;</w:t>
      </w:r>
    </w:p>
    <w:p w14:paraId="2EADF1AB" w14:textId="51A00E90" w:rsidR="008E3FA3" w:rsidRPr="00215B2F" w:rsidRDefault="00D91782" w:rsidP="006455BC">
      <w:pPr>
        <w:pStyle w:val="tevilnatoka"/>
        <w:rPr>
          <w:rFonts w:cs="Arial"/>
          <w:bCs/>
          <w:sz w:val="20"/>
          <w:szCs w:val="20"/>
        </w:rPr>
      </w:pPr>
      <w:r w:rsidRPr="00215B2F">
        <w:rPr>
          <w:rFonts w:eastAsia="Arial" w:cs="Arial"/>
          <w:sz w:val="20"/>
          <w:szCs w:val="20"/>
        </w:rPr>
        <w:t xml:space="preserve">»tretja država« </w:t>
      </w:r>
      <w:r w:rsidR="005F4BCE" w:rsidRPr="00215B2F">
        <w:rPr>
          <w:rFonts w:eastAsia="Arial" w:cs="Arial"/>
          <w:sz w:val="20"/>
          <w:szCs w:val="20"/>
        </w:rPr>
        <w:t>je država</w:t>
      </w:r>
      <w:r w:rsidRPr="00215B2F">
        <w:rPr>
          <w:rFonts w:eastAsia="Arial" w:cs="Arial"/>
          <w:sz w:val="20"/>
          <w:szCs w:val="20"/>
        </w:rPr>
        <w:t>, ki ni država članica;</w:t>
      </w:r>
    </w:p>
    <w:p w14:paraId="2DCABF2A" w14:textId="045B98FC" w:rsidR="008E3FA3" w:rsidRPr="00215B2F" w:rsidRDefault="00D91782" w:rsidP="006455BC">
      <w:pPr>
        <w:pStyle w:val="tevilnatoka"/>
        <w:rPr>
          <w:rFonts w:cs="Arial"/>
          <w:bCs/>
          <w:sz w:val="20"/>
          <w:szCs w:val="20"/>
        </w:rPr>
      </w:pPr>
      <w:r w:rsidRPr="00215B2F">
        <w:rPr>
          <w:rFonts w:eastAsia="Arial" w:cs="Arial"/>
          <w:sz w:val="20"/>
          <w:szCs w:val="20"/>
        </w:rPr>
        <w:t xml:space="preserve">»upravljalni organ« </w:t>
      </w:r>
      <w:r w:rsidR="005F4BCE" w:rsidRPr="00215B2F">
        <w:rPr>
          <w:rFonts w:eastAsia="Arial" w:cs="Arial"/>
          <w:sz w:val="20"/>
          <w:szCs w:val="20"/>
        </w:rPr>
        <w:t xml:space="preserve">je </w:t>
      </w:r>
      <w:r w:rsidRPr="00215B2F">
        <w:rPr>
          <w:rFonts w:eastAsia="Arial" w:cs="Arial"/>
          <w:sz w:val="20"/>
          <w:szCs w:val="20"/>
        </w:rPr>
        <w:t>organ vodenja ali nadzora banke;</w:t>
      </w:r>
    </w:p>
    <w:p w14:paraId="5B2AFB12" w14:textId="4908B9E3" w:rsidR="008E3FA3" w:rsidRPr="00215B2F" w:rsidRDefault="00D91782" w:rsidP="006455BC">
      <w:pPr>
        <w:pStyle w:val="tevilnatoka"/>
        <w:rPr>
          <w:rFonts w:cs="Arial"/>
          <w:bCs/>
          <w:sz w:val="20"/>
          <w:szCs w:val="20"/>
        </w:rPr>
      </w:pPr>
      <w:r w:rsidRPr="00215B2F">
        <w:rPr>
          <w:rFonts w:eastAsia="Arial" w:cs="Arial"/>
          <w:sz w:val="20"/>
          <w:szCs w:val="20"/>
        </w:rPr>
        <w:t xml:space="preserve">»višje vodstvo« </w:t>
      </w:r>
      <w:r w:rsidR="005F4BCE" w:rsidRPr="00215B2F">
        <w:rPr>
          <w:rFonts w:eastAsia="Arial" w:cs="Arial"/>
          <w:sz w:val="20"/>
          <w:szCs w:val="20"/>
        </w:rPr>
        <w:t xml:space="preserve">so </w:t>
      </w:r>
      <w:r w:rsidRPr="00215B2F">
        <w:rPr>
          <w:rFonts w:eastAsia="Arial" w:cs="Arial"/>
          <w:sz w:val="20"/>
          <w:szCs w:val="20"/>
        </w:rPr>
        <w:t>fizične osebe, ki v banki opravljajo izvršne funkcije in neposredno odgovarjajo upravljalnemu organu za vsakodnevno upravljanje banke pod vodstvom upravljalnega organa;</w:t>
      </w:r>
    </w:p>
    <w:p w14:paraId="36A12517" w14:textId="6ED01819" w:rsidR="008E3FA3" w:rsidRPr="00215B2F" w:rsidRDefault="008E3FA3" w:rsidP="006455BC">
      <w:pPr>
        <w:pStyle w:val="tevilnatoka"/>
        <w:rPr>
          <w:rFonts w:cs="Arial"/>
          <w:bCs/>
          <w:sz w:val="20"/>
          <w:szCs w:val="20"/>
        </w:rPr>
      </w:pPr>
      <w:r w:rsidRPr="00215B2F">
        <w:rPr>
          <w:rFonts w:eastAsia="Arial" w:cs="Arial"/>
          <w:sz w:val="20"/>
          <w:szCs w:val="20"/>
        </w:rPr>
        <w:t>»</w:t>
      </w:r>
      <w:r w:rsidR="00D91782" w:rsidRPr="00215B2F">
        <w:rPr>
          <w:rFonts w:eastAsia="Arial" w:cs="Arial"/>
          <w:sz w:val="20"/>
          <w:szCs w:val="20"/>
        </w:rPr>
        <w:t>vodje funkcij notranje kontrole</w:t>
      </w:r>
      <w:r w:rsidR="00FA0D98" w:rsidRPr="00215B2F">
        <w:rPr>
          <w:rFonts w:eastAsia="Arial" w:cs="Arial"/>
          <w:sz w:val="20"/>
          <w:szCs w:val="20"/>
        </w:rPr>
        <w:t>«</w:t>
      </w:r>
      <w:r w:rsidR="00D91782" w:rsidRPr="00215B2F">
        <w:rPr>
          <w:rFonts w:eastAsia="Arial" w:cs="Arial"/>
          <w:sz w:val="20"/>
          <w:szCs w:val="20"/>
        </w:rPr>
        <w:t xml:space="preserve"> </w:t>
      </w:r>
      <w:r w:rsidR="005F4BCE" w:rsidRPr="00215B2F">
        <w:rPr>
          <w:rFonts w:eastAsia="Arial" w:cs="Arial"/>
          <w:sz w:val="20"/>
          <w:szCs w:val="20"/>
        </w:rPr>
        <w:t xml:space="preserve">so </w:t>
      </w:r>
      <w:r w:rsidR="00D91782" w:rsidRPr="00215B2F">
        <w:rPr>
          <w:rFonts w:eastAsia="Arial" w:cs="Arial"/>
          <w:sz w:val="20"/>
          <w:szCs w:val="20"/>
        </w:rPr>
        <w:t>osebe na najvišji hierarhični ravni, ki so odgovorne za dejansko upravljanje vsakodnevnih operacij funkcij notranje kontrole banke;</w:t>
      </w:r>
    </w:p>
    <w:p w14:paraId="74FDC278" w14:textId="403960BB" w:rsidR="00D91782" w:rsidRPr="00215B2F" w:rsidRDefault="00D91782" w:rsidP="006455BC">
      <w:pPr>
        <w:pStyle w:val="tevilnatoka"/>
        <w:rPr>
          <w:rFonts w:cs="Arial"/>
          <w:bCs/>
          <w:sz w:val="20"/>
          <w:szCs w:val="20"/>
        </w:rPr>
      </w:pPr>
      <w:r w:rsidRPr="00215B2F">
        <w:rPr>
          <w:rFonts w:eastAsia="Arial" w:cs="Arial"/>
          <w:sz w:val="20"/>
          <w:szCs w:val="20"/>
        </w:rPr>
        <w:t xml:space="preserve">»zunanje izvajanje« </w:t>
      </w:r>
      <w:r w:rsidR="005F4BCE" w:rsidRPr="00215B2F">
        <w:rPr>
          <w:rFonts w:eastAsia="Arial" w:cs="Arial"/>
          <w:sz w:val="20"/>
          <w:szCs w:val="20"/>
        </w:rPr>
        <w:t xml:space="preserve">je </w:t>
      </w:r>
      <w:r w:rsidRPr="00215B2F">
        <w:rPr>
          <w:rFonts w:eastAsia="Arial" w:cs="Arial"/>
          <w:sz w:val="20"/>
          <w:szCs w:val="20"/>
        </w:rPr>
        <w:t xml:space="preserve">kakršen koli dogovor med banko in ponudnikom storitev, v skladu s katerim ponudnik storitev izvaja </w:t>
      </w:r>
      <w:r w:rsidR="00124B97" w:rsidRPr="00215B2F">
        <w:rPr>
          <w:rFonts w:eastAsia="Arial" w:cs="Arial"/>
          <w:sz w:val="20"/>
          <w:szCs w:val="20"/>
        </w:rPr>
        <w:t>naloge</w:t>
      </w:r>
      <w:r w:rsidRPr="00215B2F">
        <w:rPr>
          <w:rFonts w:eastAsia="Arial" w:cs="Arial"/>
          <w:sz w:val="20"/>
          <w:szCs w:val="20"/>
        </w:rPr>
        <w:t>, p</w:t>
      </w:r>
      <w:r w:rsidR="00124B97" w:rsidRPr="00215B2F">
        <w:rPr>
          <w:rFonts w:eastAsia="Arial" w:cs="Arial"/>
          <w:sz w:val="20"/>
          <w:szCs w:val="20"/>
        </w:rPr>
        <w:t>ostopke</w:t>
      </w:r>
      <w:r w:rsidRPr="00215B2F">
        <w:rPr>
          <w:rFonts w:eastAsia="Arial" w:cs="Arial"/>
          <w:sz w:val="20"/>
          <w:szCs w:val="20"/>
        </w:rPr>
        <w:t>, storitv</w:t>
      </w:r>
      <w:r w:rsidR="00124B97" w:rsidRPr="00215B2F">
        <w:rPr>
          <w:rFonts w:eastAsia="Arial" w:cs="Arial"/>
          <w:sz w:val="20"/>
          <w:szCs w:val="20"/>
        </w:rPr>
        <w:t>e</w:t>
      </w:r>
      <w:r w:rsidRPr="00215B2F">
        <w:rPr>
          <w:rFonts w:eastAsia="Arial" w:cs="Arial"/>
          <w:sz w:val="20"/>
          <w:szCs w:val="20"/>
        </w:rPr>
        <w:t xml:space="preserve"> ali dejavnost, ki bi jo sicer banka izvajala sama.</w:t>
      </w:r>
      <w:r w:rsidRPr="00215B2F">
        <w:rPr>
          <w:rFonts w:cs="Arial"/>
          <w:sz w:val="20"/>
          <w:szCs w:val="20"/>
        </w:rPr>
        <w:t xml:space="preserve"> </w:t>
      </w:r>
    </w:p>
    <w:p w14:paraId="461A793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0AA1EE9" w14:textId="194B495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w:t>
      </w:r>
      <w:r w:rsidR="00FA0D98" w:rsidRPr="00215B2F">
        <w:rPr>
          <w:rFonts w:ascii="Arial" w:eastAsia="Arial" w:hAnsi="Arial" w:cs="Arial"/>
          <w:sz w:val="20"/>
          <w:szCs w:val="20"/>
        </w:rPr>
        <w:t>Izraz</w:t>
      </w:r>
      <w:r w:rsidRPr="00215B2F">
        <w:rPr>
          <w:rFonts w:ascii="Arial" w:eastAsia="Arial" w:hAnsi="Arial" w:cs="Arial"/>
          <w:sz w:val="20"/>
          <w:szCs w:val="20"/>
        </w:rPr>
        <w:t>i elektronski denar, plačilna storitev in storitve upravljanja plačilnih sistemov imajo enak pomen, kakor je določen v zakonu, ki ureja plačilne storitve in sisteme.</w:t>
      </w:r>
    </w:p>
    <w:p w14:paraId="19708CE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DD9BBCF" w14:textId="2010CBB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opredeli podrobnejša merila za določitev pomembne banke iz 2</w:t>
      </w:r>
      <w:r w:rsidR="00FA0D98" w:rsidRPr="00215B2F">
        <w:rPr>
          <w:rFonts w:ascii="Arial" w:eastAsia="Arial" w:hAnsi="Arial" w:cs="Arial"/>
          <w:sz w:val="20"/>
          <w:szCs w:val="20"/>
        </w:rPr>
        <w:t>9</w:t>
      </w:r>
      <w:r w:rsidRPr="00215B2F">
        <w:rPr>
          <w:rFonts w:ascii="Arial" w:eastAsia="Arial" w:hAnsi="Arial" w:cs="Arial"/>
          <w:sz w:val="20"/>
          <w:szCs w:val="20"/>
        </w:rPr>
        <w:t xml:space="preserve">. točke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 zvezi z uveljavljanjem zahtev, ki jih za pomembne banke določa ta zakon ali Uredba 575/2013/EU. Pri določanju podrobnejših meril za pomembne banke Banka Slovenije upošteva:</w:t>
      </w:r>
    </w:p>
    <w:p w14:paraId="6BEC0507" w14:textId="77777777" w:rsidR="008E3FA3" w:rsidRPr="00215B2F" w:rsidRDefault="008E3FA3" w:rsidP="00FD5520">
      <w:pPr>
        <w:shd w:val="clear" w:color="auto" w:fill="FFFFFF" w:themeFill="background1"/>
        <w:spacing w:after="0" w:line="240" w:lineRule="auto"/>
        <w:jc w:val="both"/>
        <w:rPr>
          <w:rFonts w:ascii="Arial" w:eastAsia="Arial" w:hAnsi="Arial" w:cs="Arial"/>
          <w:sz w:val="20"/>
          <w:szCs w:val="20"/>
        </w:rPr>
      </w:pPr>
    </w:p>
    <w:p w14:paraId="00181E7C" w14:textId="77777777" w:rsidR="008E3FA3" w:rsidRPr="00215B2F" w:rsidRDefault="00D91782">
      <w:pPr>
        <w:pStyle w:val="tevilnatoka"/>
        <w:numPr>
          <w:ilvl w:val="0"/>
          <w:numId w:val="33"/>
        </w:numPr>
        <w:shd w:val="clear" w:color="auto" w:fill="FFFFFF" w:themeFill="background1"/>
        <w:tabs>
          <w:tab w:val="clear" w:pos="425"/>
        </w:tabs>
        <w:rPr>
          <w:rFonts w:cs="Arial"/>
          <w:bCs/>
          <w:sz w:val="20"/>
          <w:szCs w:val="20"/>
        </w:rPr>
      </w:pPr>
      <w:r w:rsidRPr="00215B2F">
        <w:rPr>
          <w:rFonts w:eastAsia="Arial" w:cs="Arial"/>
          <w:sz w:val="20"/>
          <w:szCs w:val="20"/>
        </w:rPr>
        <w:t>velikost in notranjo organiziranost banke,</w:t>
      </w:r>
    </w:p>
    <w:p w14:paraId="366AB446" w14:textId="08FFE250" w:rsidR="008E3FA3" w:rsidRPr="00215B2F" w:rsidRDefault="00D91782">
      <w:pPr>
        <w:pStyle w:val="tevilnatoka"/>
        <w:numPr>
          <w:ilvl w:val="0"/>
          <w:numId w:val="33"/>
        </w:numPr>
        <w:shd w:val="clear" w:color="auto" w:fill="FFFFFF" w:themeFill="background1"/>
        <w:tabs>
          <w:tab w:val="clear" w:pos="425"/>
        </w:tabs>
        <w:rPr>
          <w:rFonts w:cs="Arial"/>
          <w:bCs/>
          <w:sz w:val="20"/>
          <w:szCs w:val="20"/>
        </w:rPr>
      </w:pPr>
      <w:r w:rsidRPr="00215B2F">
        <w:rPr>
          <w:rFonts w:eastAsia="Arial" w:cs="Arial"/>
          <w:sz w:val="20"/>
          <w:szCs w:val="20"/>
        </w:rPr>
        <w:t>naravo, obseg in zapletenost dejavnosti, ki jih banka opravlja,</w:t>
      </w:r>
    </w:p>
    <w:p w14:paraId="08A204B1" w14:textId="372C37F0" w:rsidR="00D91782" w:rsidRPr="00215B2F" w:rsidRDefault="00D91782">
      <w:pPr>
        <w:pStyle w:val="tevilnatoka"/>
        <w:numPr>
          <w:ilvl w:val="0"/>
          <w:numId w:val="33"/>
        </w:numPr>
        <w:shd w:val="clear" w:color="auto" w:fill="FFFFFF" w:themeFill="background1"/>
        <w:tabs>
          <w:tab w:val="clear" w:pos="425"/>
        </w:tabs>
        <w:rPr>
          <w:rFonts w:cs="Arial"/>
          <w:bCs/>
          <w:sz w:val="20"/>
          <w:szCs w:val="20"/>
        </w:rPr>
      </w:pPr>
      <w:r w:rsidRPr="00215B2F">
        <w:rPr>
          <w:rFonts w:eastAsia="Arial" w:cs="Arial"/>
          <w:sz w:val="20"/>
          <w:szCs w:val="20"/>
        </w:rPr>
        <w:t>pomen banke za lokalni trg.</w:t>
      </w:r>
    </w:p>
    <w:p w14:paraId="4A9AB35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BDE3365" w14:textId="77777777" w:rsidR="00D91782" w:rsidRPr="00215B2F" w:rsidRDefault="00D91782" w:rsidP="006455BC">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0" w:name="_Ref202959955"/>
      <w:r w:rsidRPr="00215B2F">
        <w:rPr>
          <w:rFonts w:ascii="Arial" w:eastAsia="Arial" w:hAnsi="Arial" w:cs="Arial"/>
          <w:b/>
          <w:bCs/>
          <w:sz w:val="20"/>
          <w:szCs w:val="20"/>
        </w:rPr>
        <w:t>člen</w:t>
      </w:r>
      <w:bookmarkEnd w:id="20"/>
    </w:p>
    <w:p w14:paraId="260A477E"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(pomen izrazov, ki so opredeljeni v Uredbi 575/2013/EU)</w:t>
      </w:r>
    </w:p>
    <w:p w14:paraId="7365807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7FE5151" w14:textId="1E8F18F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V tem zakonu navedeni izrazi, ki so opredeljeni v 4. členu Uredbe 575/2013/EU, z upoštevanjem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pomenijo enako, k</w:t>
      </w:r>
      <w:r w:rsidR="00FA0D98" w:rsidRPr="00215B2F">
        <w:rPr>
          <w:rFonts w:ascii="Arial" w:eastAsia="Arial" w:hAnsi="Arial" w:cs="Arial"/>
          <w:sz w:val="20"/>
          <w:szCs w:val="20"/>
        </w:rPr>
        <w:t>akor</w:t>
      </w:r>
      <w:r w:rsidRPr="00215B2F">
        <w:rPr>
          <w:rFonts w:ascii="Arial" w:eastAsia="Arial" w:hAnsi="Arial" w:cs="Arial"/>
          <w:sz w:val="20"/>
          <w:szCs w:val="20"/>
        </w:rPr>
        <w:t xml:space="preserve"> je določeno v </w:t>
      </w:r>
      <w:r w:rsidR="00FA0D98" w:rsidRPr="00215B2F">
        <w:rPr>
          <w:rFonts w:ascii="Arial" w:eastAsia="Arial" w:hAnsi="Arial" w:cs="Arial"/>
          <w:sz w:val="20"/>
          <w:szCs w:val="20"/>
        </w:rPr>
        <w:t>naved</w:t>
      </w:r>
      <w:r w:rsidRPr="00215B2F">
        <w:rPr>
          <w:rFonts w:ascii="Arial" w:eastAsia="Arial" w:hAnsi="Arial" w:cs="Arial"/>
          <w:sz w:val="20"/>
          <w:szCs w:val="20"/>
        </w:rPr>
        <w:t>eni uredbi.</w:t>
      </w:r>
    </w:p>
    <w:p w14:paraId="12823C1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948D40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Za potrebe tega zakona se naslednji izrazi iz Uredbe 575/2013/EU uporabljajo tako, da pomenijo:</w:t>
      </w:r>
    </w:p>
    <w:p w14:paraId="69FB639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75FA864" w14:textId="6298D3F8" w:rsidR="008E3FA3" w:rsidRPr="00215B2F" w:rsidRDefault="00D91782">
      <w:pPr>
        <w:pStyle w:val="tevilnatoka"/>
        <w:numPr>
          <w:ilvl w:val="0"/>
          <w:numId w:val="34"/>
        </w:numPr>
        <w:shd w:val="clear" w:color="auto" w:fill="FFFFFF" w:themeFill="background1"/>
        <w:tabs>
          <w:tab w:val="clear" w:pos="425"/>
        </w:tabs>
        <w:rPr>
          <w:rFonts w:cs="Arial"/>
          <w:bCs/>
          <w:sz w:val="20"/>
          <w:szCs w:val="20"/>
        </w:rPr>
      </w:pPr>
      <w:r w:rsidRPr="00215B2F">
        <w:rPr>
          <w:rFonts w:eastAsia="Arial" w:cs="Arial"/>
          <w:sz w:val="20"/>
          <w:szCs w:val="20"/>
        </w:rPr>
        <w:t>»družba za upravljanje« je družba za upravljanje, kakor je opredeljena v 19. točki prvega odstavka 4. člena Uredbe 575/2013/EU</w:t>
      </w:r>
      <w:r w:rsidR="00F83741" w:rsidRPr="00215B2F">
        <w:rPr>
          <w:rFonts w:eastAsia="Arial" w:cs="Arial"/>
          <w:sz w:val="20"/>
          <w:szCs w:val="20"/>
        </w:rPr>
        <w:t>,</w:t>
      </w:r>
      <w:r w:rsidRPr="00215B2F">
        <w:rPr>
          <w:rFonts w:eastAsia="Arial" w:cs="Arial"/>
          <w:sz w:val="20"/>
          <w:szCs w:val="20"/>
        </w:rPr>
        <w:t xml:space="preserve"> in pomeni družbo za upravljanje iz 6. točke 2. člena ZFK ali drugega upravitelja investicijskih skladov, vključno s subjekti iz tretjih držav, ki opravljajo podobne dejavnosti in so predmet zakonodaje tretje države, v kateri veljajo zahteve glede nadzora in regulativne zahteve, ki so vsaj enakovredne tistim, ki se uporabljajo v Evropski uniji;</w:t>
      </w:r>
    </w:p>
    <w:p w14:paraId="0E4947AB" w14:textId="18A2CA2C" w:rsidR="00D91782" w:rsidRPr="00215B2F" w:rsidRDefault="00D91782">
      <w:pPr>
        <w:pStyle w:val="tevilnatoka"/>
        <w:numPr>
          <w:ilvl w:val="0"/>
          <w:numId w:val="34"/>
        </w:numPr>
        <w:shd w:val="clear" w:color="auto" w:fill="FFFFFF" w:themeFill="background1"/>
        <w:tabs>
          <w:tab w:val="clear" w:pos="425"/>
        </w:tabs>
        <w:rPr>
          <w:rFonts w:cs="Arial"/>
          <w:bCs/>
          <w:sz w:val="20"/>
          <w:szCs w:val="20"/>
        </w:rPr>
      </w:pPr>
      <w:r w:rsidRPr="00215B2F">
        <w:rPr>
          <w:rFonts w:eastAsia="Arial" w:cs="Arial"/>
          <w:sz w:val="20"/>
          <w:szCs w:val="20"/>
        </w:rPr>
        <w:t>»finančni instrument« je finančni instrument, kakor je opredeljen v 50. točki prvega odstavka 4. člena Uredbe 575/2013/EU</w:t>
      </w:r>
      <w:r w:rsidR="00F83741" w:rsidRPr="00215B2F">
        <w:rPr>
          <w:rFonts w:eastAsia="Arial" w:cs="Arial"/>
          <w:sz w:val="20"/>
          <w:szCs w:val="20"/>
        </w:rPr>
        <w:t>,</w:t>
      </w:r>
      <w:r w:rsidRPr="00215B2F">
        <w:rPr>
          <w:rFonts w:eastAsia="Arial" w:cs="Arial"/>
          <w:sz w:val="20"/>
          <w:szCs w:val="20"/>
        </w:rPr>
        <w:t xml:space="preserve"> in pomeni kar</w:t>
      </w:r>
      <w:r w:rsidR="00F83741" w:rsidRPr="00215B2F">
        <w:rPr>
          <w:rFonts w:eastAsia="Arial" w:cs="Arial"/>
          <w:sz w:val="20"/>
          <w:szCs w:val="20"/>
        </w:rPr>
        <w:t xml:space="preserve"> </w:t>
      </w:r>
      <w:r w:rsidRPr="00215B2F">
        <w:rPr>
          <w:rFonts w:eastAsia="Arial" w:cs="Arial"/>
          <w:sz w:val="20"/>
          <w:szCs w:val="20"/>
        </w:rPr>
        <w:t>koli od naslednjega:</w:t>
      </w:r>
    </w:p>
    <w:p w14:paraId="1E96ABD3"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pogodbe, ki eni stranki prinašajo finančno terjatev, drugi stranki pa finančno obveznost ali lastniški instrument,</w:t>
      </w:r>
    </w:p>
    <w:p w14:paraId="14DDC8D3"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finančni instrument v skladu z zakonom, ki ureja trg finančnih instrumentov,</w:t>
      </w:r>
    </w:p>
    <w:p w14:paraId="767F0BFB"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izvedeni finančni instrument,</w:t>
      </w:r>
    </w:p>
    <w:p w14:paraId="1DFEAC9C"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primarni finančni instrument,</w:t>
      </w:r>
    </w:p>
    <w:p w14:paraId="683783D9" w14:textId="1A933FAE"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denarni instrument, pri čemer so instrumenti iz prve, druge in tretje alineje finančni instrumenti le, če njihova vrednost izhaja iz cene osnovnega finančnega instrumenta ali druge osnovne postavke, stopnje ali indeksa;</w:t>
      </w:r>
    </w:p>
    <w:p w14:paraId="13668D7F" w14:textId="77777777" w:rsidR="00730AA1" w:rsidRPr="00215B2F" w:rsidRDefault="00D91782" w:rsidP="006455BC">
      <w:pPr>
        <w:pStyle w:val="tevilnatoka"/>
        <w:rPr>
          <w:rFonts w:cs="Arial"/>
          <w:bCs/>
          <w:sz w:val="20"/>
          <w:szCs w:val="20"/>
        </w:rPr>
      </w:pPr>
      <w:r w:rsidRPr="00215B2F">
        <w:rPr>
          <w:rFonts w:eastAsia="Arial" w:cs="Arial"/>
          <w:sz w:val="20"/>
          <w:szCs w:val="20"/>
        </w:rPr>
        <w:lastRenderedPageBreak/>
        <w:t xml:space="preserve">»investicijsko podjetje« je investicijsko podjetje, kakor je opredeljeno v 1. točki prvega odstavka 4. člena Direktive 2014/65/EU, in pomeni investicijsko podjetje, kakor je opredeljeno v zakonu, ki ureja trg finančnih instrumentov, razen kreditne institucije; </w:t>
      </w:r>
    </w:p>
    <w:p w14:paraId="19B8B5EE" w14:textId="613B825F" w:rsidR="00730AA1" w:rsidRPr="00215B2F" w:rsidRDefault="00D91782" w:rsidP="006455BC">
      <w:pPr>
        <w:pStyle w:val="tevilnatoka"/>
        <w:rPr>
          <w:rFonts w:cs="Arial"/>
          <w:bCs/>
          <w:sz w:val="20"/>
          <w:szCs w:val="20"/>
        </w:rPr>
      </w:pPr>
      <w:r w:rsidRPr="00215B2F">
        <w:rPr>
          <w:rFonts w:eastAsia="Arial" w:cs="Arial"/>
          <w:sz w:val="20"/>
          <w:szCs w:val="20"/>
        </w:rPr>
        <w:t>»mešani finančni holding« je mešani finančni holding, kakor je opredeljen v 21. točki prvega odstavka 4. člena Uredbe 575/2013/EU</w:t>
      </w:r>
      <w:r w:rsidR="008E3CFE" w:rsidRPr="00215B2F">
        <w:rPr>
          <w:rFonts w:eastAsia="Arial" w:cs="Arial"/>
          <w:sz w:val="20"/>
          <w:szCs w:val="20"/>
        </w:rPr>
        <w:t>,</w:t>
      </w:r>
      <w:r w:rsidRPr="00215B2F">
        <w:rPr>
          <w:rFonts w:eastAsia="Arial" w:cs="Arial"/>
          <w:sz w:val="20"/>
          <w:szCs w:val="20"/>
        </w:rPr>
        <w:t xml:space="preserve"> in pomeni mešani finančni holding iz 7. člena ZFK;</w:t>
      </w:r>
    </w:p>
    <w:p w14:paraId="2713D5E6" w14:textId="4305530C" w:rsidR="00730AA1" w:rsidRPr="00215B2F" w:rsidRDefault="00D91782" w:rsidP="006455BC">
      <w:pPr>
        <w:pStyle w:val="tevilnatoka"/>
        <w:rPr>
          <w:rFonts w:cs="Arial"/>
          <w:bCs/>
          <w:sz w:val="20"/>
          <w:szCs w:val="20"/>
        </w:rPr>
      </w:pPr>
      <w:r w:rsidRPr="00215B2F">
        <w:rPr>
          <w:rFonts w:eastAsia="Arial" w:cs="Arial"/>
          <w:sz w:val="20"/>
          <w:szCs w:val="20"/>
        </w:rPr>
        <w:t>»pozavarovalnica« je pozavarovalnica, kakor je opredeljena v 6. točki prvega odstavka 4. člena Uredbe 575/2013/EU</w:t>
      </w:r>
      <w:r w:rsidR="008E3CFE" w:rsidRPr="00215B2F">
        <w:rPr>
          <w:rFonts w:eastAsia="Arial" w:cs="Arial"/>
          <w:sz w:val="20"/>
          <w:szCs w:val="20"/>
        </w:rPr>
        <w:t>,</w:t>
      </w:r>
      <w:r w:rsidRPr="00215B2F">
        <w:rPr>
          <w:rFonts w:eastAsia="Arial" w:cs="Arial"/>
          <w:sz w:val="20"/>
          <w:szCs w:val="20"/>
        </w:rPr>
        <w:t xml:space="preserve"> in pomeni pozavarovalnico iz prve in druge alineje 3. točke 2. člena ZFK;</w:t>
      </w:r>
    </w:p>
    <w:p w14:paraId="100AC61B" w14:textId="08578CB9" w:rsidR="00730AA1" w:rsidRPr="00215B2F" w:rsidRDefault="00D91782" w:rsidP="006455BC">
      <w:pPr>
        <w:pStyle w:val="tevilnatoka"/>
        <w:rPr>
          <w:rFonts w:cs="Arial"/>
          <w:bCs/>
          <w:sz w:val="20"/>
          <w:szCs w:val="20"/>
        </w:rPr>
      </w:pPr>
      <w:r w:rsidRPr="00215B2F">
        <w:rPr>
          <w:rFonts w:eastAsia="Arial" w:cs="Arial"/>
          <w:sz w:val="20"/>
          <w:szCs w:val="20"/>
        </w:rPr>
        <w:t>»reguliran</w:t>
      </w:r>
      <w:r w:rsidR="008E3CFE" w:rsidRPr="00215B2F">
        <w:rPr>
          <w:rFonts w:eastAsia="Arial" w:cs="Arial"/>
          <w:sz w:val="20"/>
          <w:szCs w:val="20"/>
        </w:rPr>
        <w:t>i</w:t>
      </w:r>
      <w:r w:rsidRPr="00215B2F">
        <w:rPr>
          <w:rFonts w:eastAsia="Arial" w:cs="Arial"/>
          <w:sz w:val="20"/>
          <w:szCs w:val="20"/>
        </w:rPr>
        <w:t xml:space="preserve"> trg« je reguliran</w:t>
      </w:r>
      <w:r w:rsidR="008E3CFE" w:rsidRPr="00215B2F">
        <w:rPr>
          <w:rFonts w:eastAsia="Arial" w:cs="Arial"/>
          <w:sz w:val="20"/>
          <w:szCs w:val="20"/>
        </w:rPr>
        <w:t>i</w:t>
      </w:r>
      <w:r w:rsidRPr="00215B2F">
        <w:rPr>
          <w:rFonts w:eastAsia="Arial" w:cs="Arial"/>
          <w:sz w:val="20"/>
          <w:szCs w:val="20"/>
        </w:rPr>
        <w:t xml:space="preserve"> trg, kakor je opredeljen v 92. točki prvega odstavka 4. člena Uredbe 575/2013/EU</w:t>
      </w:r>
      <w:r w:rsidR="008E3CFE" w:rsidRPr="00215B2F">
        <w:rPr>
          <w:rFonts w:eastAsia="Arial" w:cs="Arial"/>
          <w:sz w:val="20"/>
          <w:szCs w:val="20"/>
        </w:rPr>
        <w:t>,</w:t>
      </w:r>
      <w:r w:rsidRPr="00215B2F">
        <w:rPr>
          <w:rFonts w:eastAsia="Arial" w:cs="Arial"/>
          <w:sz w:val="20"/>
          <w:szCs w:val="20"/>
        </w:rPr>
        <w:t xml:space="preserve"> in pomeni organiziran</w:t>
      </w:r>
      <w:r w:rsidR="008E3CFE" w:rsidRPr="00215B2F">
        <w:rPr>
          <w:rFonts w:eastAsia="Arial" w:cs="Arial"/>
          <w:sz w:val="20"/>
          <w:szCs w:val="20"/>
        </w:rPr>
        <w:t>i</w:t>
      </w:r>
      <w:r w:rsidRPr="00215B2F">
        <w:rPr>
          <w:rFonts w:eastAsia="Arial" w:cs="Arial"/>
          <w:sz w:val="20"/>
          <w:szCs w:val="20"/>
        </w:rPr>
        <w:t xml:space="preserve"> trg iz </w:t>
      </w:r>
      <w:r w:rsidR="00BA77A7" w:rsidRPr="00215B2F">
        <w:rPr>
          <w:rFonts w:eastAsia="Arial" w:cs="Arial"/>
          <w:sz w:val="20"/>
          <w:szCs w:val="20"/>
        </w:rPr>
        <w:t>ZTFI-1</w:t>
      </w:r>
      <w:r w:rsidRPr="00215B2F">
        <w:rPr>
          <w:rFonts w:eastAsia="Arial" w:cs="Arial"/>
          <w:sz w:val="20"/>
          <w:szCs w:val="20"/>
        </w:rPr>
        <w:t>;</w:t>
      </w:r>
    </w:p>
    <w:p w14:paraId="36748745" w14:textId="185FF99B" w:rsidR="00D91782" w:rsidRPr="00215B2F" w:rsidRDefault="00D91782" w:rsidP="006455BC">
      <w:pPr>
        <w:pStyle w:val="tevilnatoka"/>
        <w:rPr>
          <w:rFonts w:cs="Arial"/>
          <w:bCs/>
          <w:sz w:val="20"/>
          <w:szCs w:val="20"/>
        </w:rPr>
      </w:pPr>
      <w:r w:rsidRPr="00215B2F">
        <w:rPr>
          <w:rFonts w:eastAsia="Arial" w:cs="Arial"/>
          <w:sz w:val="20"/>
          <w:szCs w:val="20"/>
        </w:rPr>
        <w:t>»skupina« pomeni skupino, kakor je opredeljena v 138. točki prvega odstavka 4. člena Uredbe 575/2013/EU</w:t>
      </w:r>
      <w:r w:rsidR="008E3CFE" w:rsidRPr="00215B2F">
        <w:rPr>
          <w:rFonts w:eastAsia="Arial" w:cs="Arial"/>
          <w:sz w:val="20"/>
          <w:szCs w:val="20"/>
        </w:rPr>
        <w:t>,</w:t>
      </w:r>
      <w:r w:rsidRPr="00215B2F">
        <w:rPr>
          <w:rFonts w:eastAsia="Arial" w:cs="Arial"/>
          <w:sz w:val="20"/>
          <w:szCs w:val="20"/>
        </w:rPr>
        <w:t xml:space="preserve"> in pomeni skupino podjetij:</w:t>
      </w:r>
    </w:p>
    <w:p w14:paraId="52625097" w14:textId="7FD9214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med katerimi je vsaj eno podjetje kreditna institucija, ki opravlja bančne storitve</w:t>
      </w:r>
      <w:r w:rsidR="008E3CFE" w:rsidRPr="00215B2F">
        <w:rPr>
          <w:rFonts w:ascii="Arial" w:eastAsia="Arial" w:hAnsi="Arial" w:cs="Arial"/>
          <w:sz w:val="20"/>
          <w:szCs w:val="20"/>
        </w:rPr>
        <w:t>,</w:t>
      </w:r>
      <w:r w:rsidRPr="00215B2F">
        <w:rPr>
          <w:rFonts w:ascii="Arial" w:eastAsia="Arial" w:hAnsi="Arial" w:cs="Arial"/>
          <w:sz w:val="20"/>
          <w:szCs w:val="20"/>
        </w:rPr>
        <w:t xml:space="preserve"> in</w:t>
      </w:r>
    </w:p>
    <w:p w14:paraId="63E27C1A" w14:textId="67C35572"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ki jo sestavljajo nadrejena oseba in njene podrejene družbe ali podjetja, ki so medsebojno povezana, k</w:t>
      </w:r>
      <w:r w:rsidR="006B0B0E" w:rsidRPr="00215B2F">
        <w:rPr>
          <w:rFonts w:ascii="Arial" w:eastAsia="Arial" w:hAnsi="Arial" w:cs="Arial"/>
          <w:sz w:val="20"/>
          <w:szCs w:val="20"/>
        </w:rPr>
        <w:t>akor</w:t>
      </w:r>
      <w:r w:rsidRPr="00215B2F">
        <w:rPr>
          <w:rFonts w:ascii="Arial" w:eastAsia="Arial" w:hAnsi="Arial" w:cs="Arial"/>
          <w:sz w:val="20"/>
          <w:szCs w:val="20"/>
        </w:rPr>
        <w:t xml:space="preserve"> je navedeno v 56. členu ZGD-1;</w:t>
      </w:r>
    </w:p>
    <w:p w14:paraId="02BFD39B" w14:textId="34F764A9" w:rsidR="00D91782" w:rsidRPr="00215B2F" w:rsidRDefault="00D91782" w:rsidP="006455BC">
      <w:pPr>
        <w:pStyle w:val="tevilnatoka"/>
        <w:rPr>
          <w:rFonts w:cs="Arial"/>
          <w:bCs/>
          <w:sz w:val="20"/>
          <w:szCs w:val="20"/>
        </w:rPr>
      </w:pPr>
      <w:r w:rsidRPr="00215B2F">
        <w:rPr>
          <w:rFonts w:eastAsia="Arial" w:cs="Arial"/>
          <w:sz w:val="20"/>
          <w:szCs w:val="20"/>
        </w:rPr>
        <w:t>»subjekt finančnega sektorja« je subjekt finančnega sektorja, kakor je opredeljen v 27. točki prvega odstavka 4. člena Uredbe 575/2013/EU</w:t>
      </w:r>
      <w:r w:rsidR="008E3CFE" w:rsidRPr="00215B2F">
        <w:rPr>
          <w:rFonts w:eastAsia="Arial" w:cs="Arial"/>
          <w:sz w:val="20"/>
          <w:szCs w:val="20"/>
        </w:rPr>
        <w:t>,</w:t>
      </w:r>
      <w:r w:rsidRPr="00215B2F">
        <w:rPr>
          <w:rFonts w:eastAsia="Arial" w:cs="Arial"/>
          <w:sz w:val="20"/>
          <w:szCs w:val="20"/>
        </w:rPr>
        <w:t xml:space="preserve"> in pomeni:</w:t>
      </w:r>
    </w:p>
    <w:p w14:paraId="313D2A4B"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institucijo,</w:t>
      </w:r>
    </w:p>
    <w:p w14:paraId="51D335F9"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finančno institucijo,</w:t>
      </w:r>
    </w:p>
    <w:p w14:paraId="5FFB09F7"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zavarovalnico,</w:t>
      </w:r>
    </w:p>
    <w:p w14:paraId="16D36E82" w14:textId="04BDEF2F"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zavarovalnico </w:t>
      </w:r>
      <w:r w:rsidR="00C1775D" w:rsidRPr="00215B2F">
        <w:rPr>
          <w:rFonts w:ascii="Arial" w:eastAsia="Arial" w:hAnsi="Arial" w:cs="Arial"/>
          <w:sz w:val="20"/>
          <w:szCs w:val="20"/>
        </w:rPr>
        <w:t xml:space="preserve">iz </w:t>
      </w:r>
      <w:r w:rsidRPr="00215B2F">
        <w:rPr>
          <w:rFonts w:ascii="Arial" w:eastAsia="Arial" w:hAnsi="Arial" w:cs="Arial"/>
          <w:sz w:val="20"/>
          <w:szCs w:val="20"/>
        </w:rPr>
        <w:t>tretje države,</w:t>
      </w:r>
    </w:p>
    <w:p w14:paraId="4454E486"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pozavarovalnico,</w:t>
      </w:r>
    </w:p>
    <w:p w14:paraId="20EC7776" w14:textId="4B16727D"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pozavarovalnico </w:t>
      </w:r>
      <w:r w:rsidR="00C1775D" w:rsidRPr="00215B2F">
        <w:rPr>
          <w:rFonts w:ascii="Arial" w:eastAsia="Arial" w:hAnsi="Arial" w:cs="Arial"/>
          <w:sz w:val="20"/>
          <w:szCs w:val="20"/>
        </w:rPr>
        <w:t xml:space="preserve">iz </w:t>
      </w:r>
      <w:r w:rsidRPr="00215B2F">
        <w:rPr>
          <w:rFonts w:ascii="Arial" w:eastAsia="Arial" w:hAnsi="Arial" w:cs="Arial"/>
          <w:sz w:val="20"/>
          <w:szCs w:val="20"/>
        </w:rPr>
        <w:t>tretje države,</w:t>
      </w:r>
    </w:p>
    <w:p w14:paraId="15F8A580" w14:textId="43C65043"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zavarovalni holding, k</w:t>
      </w:r>
      <w:r w:rsidR="00EB484E" w:rsidRPr="00215B2F">
        <w:rPr>
          <w:rFonts w:ascii="Arial" w:eastAsia="Arial" w:hAnsi="Arial" w:cs="Arial"/>
          <w:sz w:val="20"/>
          <w:szCs w:val="20"/>
        </w:rPr>
        <w:t>akor</w:t>
      </w:r>
      <w:r w:rsidRPr="00215B2F">
        <w:rPr>
          <w:rFonts w:ascii="Arial" w:eastAsia="Arial" w:hAnsi="Arial" w:cs="Arial"/>
          <w:sz w:val="20"/>
          <w:szCs w:val="20"/>
        </w:rPr>
        <w:t xml:space="preserve"> je opredeljen v zakonu, ki ureja zavarovalništvo</w:t>
      </w:r>
      <w:r w:rsidR="00A942D2" w:rsidRPr="00215B2F">
        <w:rPr>
          <w:rFonts w:ascii="Arial" w:eastAsia="Arial" w:hAnsi="Arial" w:cs="Arial"/>
          <w:sz w:val="20"/>
          <w:szCs w:val="20"/>
        </w:rPr>
        <w:t>,</w:t>
      </w:r>
    </w:p>
    <w:p w14:paraId="49299159"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družbo, ki je v državi članici sedeža upravičena opravljati zavarovalne posle in se zanjo v skladu s predpisi te države, ki prenašajo 4. člen Direktive 2009/138/ES, ne uporabljajo zahteve navedene direktive,</w:t>
      </w:r>
    </w:p>
    <w:p w14:paraId="56ACA04E" w14:textId="05C1096E"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družbo </w:t>
      </w:r>
      <w:r w:rsidR="00C1775D" w:rsidRPr="00215B2F">
        <w:rPr>
          <w:rFonts w:ascii="Arial" w:eastAsia="Arial" w:hAnsi="Arial" w:cs="Arial"/>
          <w:sz w:val="20"/>
          <w:szCs w:val="20"/>
        </w:rPr>
        <w:t xml:space="preserve">iz </w:t>
      </w:r>
      <w:r w:rsidRPr="00215B2F">
        <w:rPr>
          <w:rFonts w:ascii="Arial" w:eastAsia="Arial" w:hAnsi="Arial" w:cs="Arial"/>
          <w:sz w:val="20"/>
          <w:szCs w:val="20"/>
        </w:rPr>
        <w:t>tretje države, katere glavna dejavnost je primerljiva s katerim</w:t>
      </w:r>
      <w:r w:rsidR="00A942D2" w:rsidRPr="00215B2F">
        <w:rPr>
          <w:rFonts w:ascii="Arial" w:eastAsia="Arial" w:hAnsi="Arial" w:cs="Arial"/>
          <w:sz w:val="20"/>
          <w:szCs w:val="20"/>
        </w:rPr>
        <w:t xml:space="preserve"> </w:t>
      </w:r>
      <w:r w:rsidRPr="00215B2F">
        <w:rPr>
          <w:rFonts w:ascii="Arial" w:eastAsia="Arial" w:hAnsi="Arial" w:cs="Arial"/>
          <w:sz w:val="20"/>
          <w:szCs w:val="20"/>
        </w:rPr>
        <w:t xml:space="preserve">koli subjektom </w:t>
      </w:r>
      <w:r w:rsidR="00A942D2" w:rsidRPr="00215B2F">
        <w:rPr>
          <w:rFonts w:ascii="Arial" w:eastAsia="Arial" w:hAnsi="Arial" w:cs="Arial"/>
          <w:sz w:val="20"/>
          <w:szCs w:val="20"/>
        </w:rPr>
        <w:t xml:space="preserve">iz </w:t>
      </w:r>
      <w:r w:rsidRPr="00215B2F">
        <w:rPr>
          <w:rFonts w:ascii="Arial" w:eastAsia="Arial" w:hAnsi="Arial" w:cs="Arial"/>
          <w:sz w:val="20"/>
          <w:szCs w:val="20"/>
        </w:rPr>
        <w:t>prejšnjih alinej;</w:t>
      </w:r>
    </w:p>
    <w:p w14:paraId="043A3498" w14:textId="11DD6776" w:rsidR="00730AA1" w:rsidRPr="00215B2F" w:rsidRDefault="00D91782" w:rsidP="006455BC">
      <w:pPr>
        <w:pStyle w:val="tevilnatoka"/>
        <w:rPr>
          <w:rFonts w:cs="Arial"/>
          <w:bCs/>
          <w:sz w:val="20"/>
          <w:szCs w:val="20"/>
        </w:rPr>
      </w:pPr>
      <w:r w:rsidRPr="00215B2F">
        <w:rPr>
          <w:rFonts w:eastAsia="Arial" w:cs="Arial"/>
          <w:sz w:val="20"/>
          <w:szCs w:val="20"/>
        </w:rPr>
        <w:t>»udeležba« je udeležba, kakor je opredeljena v 35. točki prvega odstavka 4. člena Uredbe 575/2013/EU</w:t>
      </w:r>
      <w:r w:rsidR="008E3CFE" w:rsidRPr="00215B2F">
        <w:rPr>
          <w:rFonts w:eastAsia="Arial" w:cs="Arial"/>
          <w:sz w:val="20"/>
          <w:szCs w:val="20"/>
        </w:rPr>
        <w:t>,</w:t>
      </w:r>
      <w:r w:rsidRPr="00215B2F">
        <w:rPr>
          <w:rFonts w:eastAsia="Arial" w:cs="Arial"/>
          <w:sz w:val="20"/>
          <w:szCs w:val="20"/>
        </w:rPr>
        <w:t xml:space="preserve"> in pomeni udeležbo iz druge alineje 12. točke 2. člena ZFK ali neposredno ali posredno imetništvo 20 odstotkov ali več glasovalnih pravic ali kapitala družbe;</w:t>
      </w:r>
    </w:p>
    <w:p w14:paraId="79DAF2B8" w14:textId="75D6D8F4" w:rsidR="00D91782" w:rsidRPr="00215B2F" w:rsidRDefault="00D91782" w:rsidP="006455BC">
      <w:pPr>
        <w:pStyle w:val="tevilnatoka"/>
        <w:rPr>
          <w:rFonts w:cs="Arial"/>
          <w:bCs/>
          <w:sz w:val="20"/>
          <w:szCs w:val="20"/>
        </w:rPr>
      </w:pPr>
      <w:r w:rsidRPr="00215B2F">
        <w:rPr>
          <w:rFonts w:eastAsia="Arial" w:cs="Arial"/>
          <w:sz w:val="20"/>
          <w:szCs w:val="20"/>
        </w:rPr>
        <w:t>»zavarovalnica« je zavarovalnica, kakor je opredeljena v 5. točki prvega odstavka 4. člena Uredbe 575/2013/EU</w:t>
      </w:r>
      <w:r w:rsidR="008E3CFE" w:rsidRPr="00215B2F">
        <w:rPr>
          <w:rFonts w:eastAsia="Arial" w:cs="Arial"/>
          <w:sz w:val="20"/>
          <w:szCs w:val="20"/>
        </w:rPr>
        <w:t>,</w:t>
      </w:r>
      <w:r w:rsidRPr="00215B2F">
        <w:rPr>
          <w:rFonts w:eastAsia="Arial" w:cs="Arial"/>
          <w:sz w:val="20"/>
          <w:szCs w:val="20"/>
        </w:rPr>
        <w:t xml:space="preserve"> in pomeni zavarovalnico iz prve in druge alineje 2. točke 2. člena ZFK.</w:t>
      </w:r>
    </w:p>
    <w:p w14:paraId="5F9E7CB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E24879F" w14:textId="6571864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Kadar se zahteve ali nadzorniška pooblastila iz tega zakona ali Uredbe 575/2013/EU uporabljajo na konsolidirani ali subkonsolidirani podlagi, zajemajo izrazi »institucija«, »nadrejena institucija v državi članici«</w:t>
      </w:r>
      <w:r w:rsidR="00DA047A" w:rsidRPr="00215B2F">
        <w:rPr>
          <w:rFonts w:ascii="Arial" w:eastAsia="Arial" w:hAnsi="Arial" w:cs="Arial"/>
          <w:sz w:val="20"/>
          <w:szCs w:val="20"/>
        </w:rPr>
        <w:t>,</w:t>
      </w:r>
      <w:r w:rsidRPr="00215B2F">
        <w:rPr>
          <w:rFonts w:ascii="Arial" w:eastAsia="Arial" w:hAnsi="Arial" w:cs="Arial"/>
          <w:sz w:val="20"/>
          <w:szCs w:val="20"/>
        </w:rPr>
        <w:t xml:space="preserve"> »EU nadrejena institucija« in »nadrejena oseba«, k</w:t>
      </w:r>
      <w:r w:rsidR="00DA047A" w:rsidRPr="00215B2F">
        <w:rPr>
          <w:rFonts w:ascii="Arial" w:eastAsia="Arial" w:hAnsi="Arial" w:cs="Arial"/>
          <w:sz w:val="20"/>
          <w:szCs w:val="20"/>
        </w:rPr>
        <w:t>akor</w:t>
      </w:r>
      <w:r w:rsidRPr="00215B2F">
        <w:rPr>
          <w:rFonts w:ascii="Arial" w:eastAsia="Arial" w:hAnsi="Arial" w:cs="Arial"/>
          <w:sz w:val="20"/>
          <w:szCs w:val="20"/>
        </w:rPr>
        <w:t xml:space="preserve"> so opredeljeni v 4. členu Uredbe 575/2013/EU, in izrazi »banka«, »nadrejena banka« in »EU nadrejena banka«, k</w:t>
      </w:r>
      <w:r w:rsidR="00DA047A" w:rsidRPr="00215B2F">
        <w:rPr>
          <w:rFonts w:ascii="Arial" w:eastAsia="Arial" w:hAnsi="Arial" w:cs="Arial"/>
          <w:sz w:val="20"/>
          <w:szCs w:val="20"/>
        </w:rPr>
        <w:t>akor</w:t>
      </w:r>
      <w:r w:rsidRPr="00215B2F">
        <w:rPr>
          <w:rFonts w:ascii="Arial" w:eastAsia="Arial" w:hAnsi="Arial" w:cs="Arial"/>
          <w:sz w:val="20"/>
          <w:szCs w:val="20"/>
        </w:rPr>
        <w:t xml:space="preserve"> so uporabljeni v tem zakonu, tudi:</w:t>
      </w:r>
    </w:p>
    <w:p w14:paraId="3A73CF9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8148C86" w14:textId="3DDE90B6" w:rsidR="00730AA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finančne holdinge in mešane finančne holdinge, ki so pridobili odobritev v skladu s </w:t>
      </w:r>
      <w:r w:rsidR="000204E2"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oziroma 21</w:t>
      </w:r>
      <w:r w:rsidR="00DA047A" w:rsidRPr="00215B2F">
        <w:rPr>
          <w:rFonts w:ascii="Arial" w:eastAsia="Arial" w:hAnsi="Arial" w:cs="Arial"/>
          <w:sz w:val="20"/>
          <w:szCs w:val="20"/>
        </w:rPr>
        <w:t>.</w:t>
      </w:r>
      <w:r w:rsidRPr="00215B2F">
        <w:rPr>
          <w:rFonts w:ascii="Arial" w:eastAsia="Arial" w:hAnsi="Arial" w:cs="Arial"/>
          <w:sz w:val="20"/>
          <w:szCs w:val="20"/>
        </w:rPr>
        <w:t>a členom Direktive 2013/36/EU,</w:t>
      </w:r>
    </w:p>
    <w:p w14:paraId="4BC7F9F3" w14:textId="77777777" w:rsidR="00A26BA7"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podrejeno kreditno institucijo, ki je imenovana kot odgovorna za zagotavljanje izpopolnjevanja bonitetnih zahtev skupine na konsolidirani podlagi, kadar jo obvladuje EU nadrejeni finančni holding, EU nadrejeni mešani finančni holding, </w:t>
      </w:r>
    </w:p>
    <w:p w14:paraId="40007579" w14:textId="7FED4048" w:rsidR="00730AA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podrejeni finančni holding ali mešani finančni holding, ki </w:t>
      </w:r>
      <w:r w:rsidR="00DA047A" w:rsidRPr="00215B2F">
        <w:rPr>
          <w:rFonts w:ascii="Arial" w:eastAsia="Arial" w:hAnsi="Arial" w:cs="Arial"/>
          <w:sz w:val="20"/>
          <w:szCs w:val="20"/>
        </w:rPr>
        <w:t>je</w:t>
      </w:r>
      <w:r w:rsidRPr="00215B2F">
        <w:rPr>
          <w:rFonts w:ascii="Arial" w:eastAsia="Arial" w:hAnsi="Arial" w:cs="Arial"/>
          <w:sz w:val="20"/>
          <w:szCs w:val="20"/>
        </w:rPr>
        <w:t xml:space="preserve"> imenovan kot odgovorn</w:t>
      </w:r>
      <w:r w:rsidR="00DA047A" w:rsidRPr="00215B2F">
        <w:rPr>
          <w:rFonts w:ascii="Arial" w:eastAsia="Arial" w:hAnsi="Arial" w:cs="Arial"/>
          <w:sz w:val="20"/>
          <w:szCs w:val="20"/>
        </w:rPr>
        <w:t>i</w:t>
      </w:r>
      <w:r w:rsidRPr="00215B2F">
        <w:rPr>
          <w:rFonts w:ascii="Arial" w:eastAsia="Arial" w:hAnsi="Arial" w:cs="Arial"/>
          <w:sz w:val="20"/>
          <w:szCs w:val="20"/>
        </w:rPr>
        <w:t xml:space="preserve"> za zagotavljanje izpolnjevanja bonitetnih zahtev skupine na konsolidirani podlagi, nadrejeni finančni holding v državi članici ali nadrejeni mešani finančni holding v državi članici, če ta nadrejena oseba ne potrebuje odobritve v skladu s </w:t>
      </w:r>
      <w:r w:rsidR="00B84771" w:rsidRPr="00215B2F">
        <w:rPr>
          <w:rFonts w:ascii="Arial" w:eastAsia="Arial" w:hAnsi="Arial" w:cs="Arial"/>
          <w:sz w:val="20"/>
          <w:szCs w:val="20"/>
        </w:rPr>
        <w:t>113</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oziroma četrtim odstavkom 21</w:t>
      </w:r>
      <w:r w:rsidR="00DA047A" w:rsidRPr="00215B2F">
        <w:rPr>
          <w:rFonts w:ascii="Arial" w:eastAsia="Arial" w:hAnsi="Arial" w:cs="Arial"/>
          <w:sz w:val="20"/>
          <w:szCs w:val="20"/>
        </w:rPr>
        <w:t>.</w:t>
      </w:r>
      <w:r w:rsidRPr="00215B2F">
        <w:rPr>
          <w:rFonts w:ascii="Arial" w:eastAsia="Arial" w:hAnsi="Arial" w:cs="Arial"/>
          <w:sz w:val="20"/>
          <w:szCs w:val="20"/>
        </w:rPr>
        <w:t>a člena Direktive 2013/36/EU</w:t>
      </w:r>
      <w:r w:rsidR="00DA047A" w:rsidRPr="00215B2F">
        <w:rPr>
          <w:rFonts w:ascii="Arial" w:eastAsia="Arial" w:hAnsi="Arial" w:cs="Arial"/>
          <w:sz w:val="20"/>
          <w:szCs w:val="20"/>
        </w:rPr>
        <w:t>,</w:t>
      </w:r>
      <w:r w:rsidRPr="00215B2F">
        <w:rPr>
          <w:rFonts w:ascii="Arial" w:eastAsia="Arial" w:hAnsi="Arial" w:cs="Arial"/>
          <w:sz w:val="20"/>
          <w:szCs w:val="20"/>
        </w:rPr>
        <w:t xml:space="preserve"> in</w:t>
      </w:r>
    </w:p>
    <w:p w14:paraId="361A54DC" w14:textId="46B34072"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finančne holdinge, mešane finančne holdinge ali institucije, ki so v skladu s </w:t>
      </w:r>
      <w:r w:rsidR="009C31EB" w:rsidRPr="00215B2F">
        <w:rPr>
          <w:rFonts w:ascii="Arial" w:eastAsia="Arial" w:hAnsi="Arial" w:cs="Arial"/>
          <w:sz w:val="20"/>
          <w:szCs w:val="20"/>
        </w:rPr>
        <w:t>377</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oziroma točko (d) šestega odstavka 21</w:t>
      </w:r>
      <w:r w:rsidR="00DA047A" w:rsidRPr="00215B2F">
        <w:rPr>
          <w:rFonts w:ascii="Arial" w:eastAsia="Arial" w:hAnsi="Arial" w:cs="Arial"/>
          <w:sz w:val="20"/>
          <w:szCs w:val="20"/>
        </w:rPr>
        <w:t>.</w:t>
      </w:r>
      <w:r w:rsidRPr="00215B2F">
        <w:rPr>
          <w:rFonts w:ascii="Arial" w:eastAsia="Arial" w:hAnsi="Arial" w:cs="Arial"/>
          <w:sz w:val="20"/>
          <w:szCs w:val="20"/>
        </w:rPr>
        <w:t>a člena Direktive 2013/36/EU začasno imenovane za zagotavljanje izpolnjevanja zahtev iz tega zakona oziroma Direktive 2013/36/EU in Uredbe 575/2013/EU na konsolidirani podlagi.</w:t>
      </w:r>
    </w:p>
    <w:p w14:paraId="2B3640B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B5D2FDA"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r w:rsidRPr="00215B2F">
        <w:rPr>
          <w:rFonts w:ascii="Arial" w:eastAsia="Arial" w:hAnsi="Arial" w:cs="Arial"/>
          <w:sz w:val="20"/>
          <w:szCs w:val="20"/>
        </w:rPr>
        <w:t xml:space="preserve">2. POGLAVJE: </w:t>
      </w:r>
      <w:r w:rsidRPr="00215B2F">
        <w:rPr>
          <w:rFonts w:ascii="Arial" w:eastAsia="Arial" w:hAnsi="Arial" w:cs="Arial"/>
          <w:sz w:val="20"/>
          <w:szCs w:val="20"/>
        </w:rPr>
        <w:br/>
        <w:t>PRISTOJNI ORGAN IN SPLOŠNA NAČELA IZVAJANJA NADZORA</w:t>
      </w:r>
    </w:p>
    <w:p w14:paraId="21019EB5"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632376E" w14:textId="42366B55"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2.1 PRISTOJNI ORGANI</w:t>
      </w:r>
    </w:p>
    <w:p w14:paraId="5F856135"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p>
    <w:p w14:paraId="1AEF1DD3" w14:textId="77777777" w:rsidR="00D91782" w:rsidRPr="00215B2F" w:rsidRDefault="00D91782" w:rsidP="006455BC">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1" w:name="_Ref202959969"/>
      <w:r w:rsidRPr="00215B2F">
        <w:rPr>
          <w:rFonts w:ascii="Arial" w:eastAsia="Arial" w:hAnsi="Arial" w:cs="Arial"/>
          <w:b/>
          <w:bCs/>
          <w:sz w:val="20"/>
          <w:szCs w:val="20"/>
        </w:rPr>
        <w:lastRenderedPageBreak/>
        <w:t>člen</w:t>
      </w:r>
      <w:bookmarkEnd w:id="21"/>
    </w:p>
    <w:p w14:paraId="62279402"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(pristojni organ v Republiki Sloveniji)</w:t>
      </w:r>
    </w:p>
    <w:p w14:paraId="2365FEE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AEF8B4E" w14:textId="233F2A8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je pristojna in odgovorna za izvajanje nadzora nad bankami v skladu s tem zakonom in Uredbo 1024/2013/EU, razen glede nalog in pristojnosti bonitetnega nadzora, za katere je v skladu z Uredbo 1024/2013/EU pristojna in odgovorna Evropska centralna banka.</w:t>
      </w:r>
    </w:p>
    <w:p w14:paraId="36EFEB62" w14:textId="77777777" w:rsidR="00560D52" w:rsidRPr="00215B2F" w:rsidRDefault="00560D52" w:rsidP="00FD5520">
      <w:pPr>
        <w:shd w:val="clear" w:color="auto" w:fill="FFFFFF" w:themeFill="background1"/>
        <w:spacing w:after="0" w:line="240" w:lineRule="auto"/>
        <w:jc w:val="both"/>
        <w:rPr>
          <w:rFonts w:ascii="Arial" w:eastAsia="Arial" w:hAnsi="Arial" w:cs="Arial"/>
          <w:sz w:val="20"/>
          <w:szCs w:val="20"/>
        </w:rPr>
      </w:pPr>
    </w:p>
    <w:p w14:paraId="72BFDE17" w14:textId="471715B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CD1AF7" w:rsidRPr="00215B2F">
        <w:rPr>
          <w:rFonts w:ascii="Arial" w:eastAsia="Arial" w:hAnsi="Arial" w:cs="Arial"/>
          <w:sz w:val="20"/>
          <w:szCs w:val="20"/>
        </w:rPr>
        <w:t>2</w:t>
      </w:r>
      <w:r w:rsidRPr="00215B2F">
        <w:rPr>
          <w:rFonts w:ascii="Arial" w:eastAsia="Arial" w:hAnsi="Arial" w:cs="Arial"/>
          <w:sz w:val="20"/>
          <w:szCs w:val="20"/>
        </w:rPr>
        <w:t xml:space="preserve">) Kadar je glede nalog in pristojnosti bonitetnega nadzora v skladu z Uredbo 1024/2013/EU pristojna in odgovorna Evropska centralna banka, se namesto besedne zveze </w:t>
      </w:r>
      <w:r w:rsidR="00787660" w:rsidRPr="00215B2F">
        <w:rPr>
          <w:rFonts w:ascii="Arial" w:eastAsia="Arial" w:hAnsi="Arial" w:cs="Arial"/>
          <w:sz w:val="20"/>
          <w:szCs w:val="20"/>
        </w:rPr>
        <w:t>»</w:t>
      </w:r>
      <w:r w:rsidRPr="00215B2F">
        <w:rPr>
          <w:rFonts w:ascii="Arial" w:eastAsia="Arial" w:hAnsi="Arial" w:cs="Arial"/>
          <w:sz w:val="20"/>
          <w:szCs w:val="20"/>
        </w:rPr>
        <w:t>Banka Slovenije</w:t>
      </w:r>
      <w:r w:rsidR="00787660" w:rsidRPr="00215B2F">
        <w:rPr>
          <w:rFonts w:ascii="Arial" w:eastAsia="Arial" w:hAnsi="Arial" w:cs="Arial"/>
          <w:sz w:val="20"/>
          <w:szCs w:val="20"/>
        </w:rPr>
        <w:t>«</w:t>
      </w:r>
      <w:r w:rsidRPr="00215B2F">
        <w:rPr>
          <w:rFonts w:ascii="Arial" w:eastAsia="Arial" w:hAnsi="Arial" w:cs="Arial"/>
          <w:sz w:val="20"/>
          <w:szCs w:val="20"/>
        </w:rPr>
        <w:t xml:space="preserve"> uporablja besedna zveza </w:t>
      </w:r>
      <w:r w:rsidR="00787660" w:rsidRPr="00215B2F">
        <w:rPr>
          <w:rFonts w:ascii="Arial" w:eastAsia="Arial" w:hAnsi="Arial" w:cs="Arial"/>
          <w:sz w:val="20"/>
          <w:szCs w:val="20"/>
        </w:rPr>
        <w:t>»</w:t>
      </w:r>
      <w:r w:rsidRPr="00215B2F">
        <w:rPr>
          <w:rFonts w:ascii="Arial" w:eastAsia="Arial" w:hAnsi="Arial" w:cs="Arial"/>
          <w:sz w:val="20"/>
          <w:szCs w:val="20"/>
        </w:rPr>
        <w:t>Evropska centralna banka</w:t>
      </w:r>
      <w:r w:rsidR="00787660" w:rsidRPr="00215B2F">
        <w:rPr>
          <w:rFonts w:ascii="Arial" w:eastAsia="Arial" w:hAnsi="Arial" w:cs="Arial"/>
          <w:sz w:val="20"/>
          <w:szCs w:val="20"/>
        </w:rPr>
        <w:t>«</w:t>
      </w:r>
      <w:r w:rsidRPr="00215B2F">
        <w:rPr>
          <w:rFonts w:ascii="Arial" w:eastAsia="Arial" w:hAnsi="Arial" w:cs="Arial"/>
          <w:sz w:val="20"/>
          <w:szCs w:val="20"/>
        </w:rPr>
        <w:t>, razen če ta zakon</w:t>
      </w:r>
      <w:r w:rsidR="00702635" w:rsidRPr="00215B2F">
        <w:rPr>
          <w:rFonts w:ascii="Arial" w:eastAsia="Arial" w:hAnsi="Arial" w:cs="Arial"/>
          <w:sz w:val="20"/>
          <w:szCs w:val="20"/>
        </w:rPr>
        <w:t xml:space="preserve"> ali Uredba 1024/2013/EU</w:t>
      </w:r>
      <w:r w:rsidRPr="00215B2F">
        <w:rPr>
          <w:rFonts w:ascii="Arial" w:eastAsia="Arial" w:hAnsi="Arial" w:cs="Arial"/>
          <w:sz w:val="20"/>
          <w:szCs w:val="20"/>
        </w:rPr>
        <w:t xml:space="preserve"> izrecno določa drugače.</w:t>
      </w:r>
    </w:p>
    <w:p w14:paraId="45B7FF6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ECD2326" w14:textId="37058EF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CD1AF7" w:rsidRPr="00215B2F">
        <w:rPr>
          <w:rFonts w:ascii="Arial" w:eastAsia="Arial" w:hAnsi="Arial" w:cs="Arial"/>
          <w:sz w:val="20"/>
          <w:szCs w:val="20"/>
        </w:rPr>
        <w:t>3</w:t>
      </w:r>
      <w:r w:rsidRPr="00215B2F">
        <w:rPr>
          <w:rFonts w:ascii="Arial" w:eastAsia="Arial" w:hAnsi="Arial" w:cs="Arial"/>
          <w:sz w:val="20"/>
          <w:szCs w:val="20"/>
        </w:rPr>
        <w:t>) Banka Slovenije pri opravljanju nalog in pristojnosti nadzora v skladu s tem zakonom in Uredbo 1024/2013/EU zagotavlja, da subjekti nadzora ravnajo v skladu z:</w:t>
      </w:r>
    </w:p>
    <w:p w14:paraId="5ECA4CC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8BE01CA" w14:textId="77777777" w:rsidR="00730AA1" w:rsidRPr="00215B2F" w:rsidRDefault="00D91782">
      <w:pPr>
        <w:pStyle w:val="tevilnatoka"/>
        <w:numPr>
          <w:ilvl w:val="0"/>
          <w:numId w:val="35"/>
        </w:numPr>
        <w:shd w:val="clear" w:color="auto" w:fill="FFFFFF" w:themeFill="background1"/>
        <w:tabs>
          <w:tab w:val="clear" w:pos="425"/>
        </w:tabs>
        <w:rPr>
          <w:rFonts w:cs="Arial"/>
          <w:bCs/>
          <w:sz w:val="20"/>
          <w:szCs w:val="20"/>
        </w:rPr>
      </w:pPr>
      <w:r w:rsidRPr="00215B2F">
        <w:rPr>
          <w:rFonts w:eastAsia="Arial" w:cs="Arial"/>
          <w:sz w:val="20"/>
          <w:szCs w:val="20"/>
        </w:rPr>
        <w:t>določbami tega zakona in Uredbe 575/2013/EU ter predpisov, izdanih na njuni podlagi;</w:t>
      </w:r>
    </w:p>
    <w:p w14:paraId="51BA62B9" w14:textId="77777777" w:rsidR="00730AA1" w:rsidRPr="00215B2F" w:rsidRDefault="00D91782">
      <w:pPr>
        <w:pStyle w:val="tevilnatoka"/>
        <w:numPr>
          <w:ilvl w:val="0"/>
          <w:numId w:val="35"/>
        </w:numPr>
        <w:shd w:val="clear" w:color="auto" w:fill="FFFFFF" w:themeFill="background1"/>
        <w:tabs>
          <w:tab w:val="clear" w:pos="425"/>
        </w:tabs>
        <w:rPr>
          <w:rFonts w:cs="Arial"/>
          <w:bCs/>
          <w:sz w:val="20"/>
          <w:szCs w:val="20"/>
        </w:rPr>
      </w:pPr>
      <w:r w:rsidRPr="00215B2F">
        <w:rPr>
          <w:rFonts w:eastAsia="Arial" w:cs="Arial"/>
          <w:sz w:val="20"/>
          <w:szCs w:val="20"/>
        </w:rPr>
        <w:t>določbami regulativnih in izvedbenih tehničnih standardov, ki jih sprejme Komisija v skladu z 10. do 15. členom Uredbe 1093/2010/EU;</w:t>
      </w:r>
    </w:p>
    <w:p w14:paraId="377EB874" w14:textId="77777777" w:rsidR="00730AA1" w:rsidRPr="00215B2F" w:rsidRDefault="00D91782">
      <w:pPr>
        <w:pStyle w:val="tevilnatoka"/>
        <w:numPr>
          <w:ilvl w:val="0"/>
          <w:numId w:val="35"/>
        </w:numPr>
        <w:shd w:val="clear" w:color="auto" w:fill="FFFFFF" w:themeFill="background1"/>
        <w:tabs>
          <w:tab w:val="clear" w:pos="425"/>
        </w:tabs>
        <w:rPr>
          <w:rFonts w:cs="Arial"/>
          <w:bCs/>
          <w:sz w:val="20"/>
          <w:szCs w:val="20"/>
        </w:rPr>
      </w:pPr>
      <w:r w:rsidRPr="00215B2F">
        <w:rPr>
          <w:rFonts w:eastAsia="Arial" w:cs="Arial"/>
          <w:sz w:val="20"/>
          <w:szCs w:val="20"/>
        </w:rPr>
        <w:t>smernicami, priporočili, uredbami in drugimi pravnimi akti, ki jih izda Evropska centralna banka v skladu z Uredbo 1024/2013/EU;</w:t>
      </w:r>
    </w:p>
    <w:p w14:paraId="76E8C818" w14:textId="6F5165B0" w:rsidR="00730AA1" w:rsidRPr="00215B2F" w:rsidRDefault="00D91782">
      <w:pPr>
        <w:pStyle w:val="tevilnatoka"/>
        <w:numPr>
          <w:ilvl w:val="0"/>
          <w:numId w:val="35"/>
        </w:numPr>
        <w:shd w:val="clear" w:color="auto" w:fill="FFFFFF" w:themeFill="background1"/>
        <w:tabs>
          <w:tab w:val="clear" w:pos="425"/>
        </w:tabs>
        <w:rPr>
          <w:rFonts w:cs="Arial"/>
          <w:bCs/>
          <w:sz w:val="20"/>
          <w:szCs w:val="20"/>
        </w:rPr>
      </w:pPr>
      <w:r w:rsidRPr="00215B2F">
        <w:rPr>
          <w:rFonts w:eastAsia="Arial" w:cs="Arial"/>
          <w:sz w:val="20"/>
          <w:szCs w:val="20"/>
        </w:rPr>
        <w:t>smernicami, priporočili in drugimi pravnimi akti, ki jih izda Evropski bančni organ v skladu z Uredbo 1093/2010/EU;</w:t>
      </w:r>
    </w:p>
    <w:p w14:paraId="2DC3AEB2" w14:textId="2E0349C7" w:rsidR="00730AA1" w:rsidRPr="00215B2F" w:rsidRDefault="00D91782">
      <w:pPr>
        <w:pStyle w:val="tevilnatoka"/>
        <w:numPr>
          <w:ilvl w:val="0"/>
          <w:numId w:val="35"/>
        </w:numPr>
        <w:shd w:val="clear" w:color="auto" w:fill="FFFFFF" w:themeFill="background1"/>
        <w:tabs>
          <w:tab w:val="clear" w:pos="425"/>
        </w:tabs>
        <w:rPr>
          <w:rFonts w:cs="Arial"/>
          <w:bCs/>
          <w:sz w:val="20"/>
          <w:szCs w:val="20"/>
        </w:rPr>
      </w:pPr>
      <w:r w:rsidRPr="00215B2F">
        <w:rPr>
          <w:rFonts w:eastAsia="Arial" w:cs="Arial"/>
          <w:sz w:val="20"/>
          <w:szCs w:val="20"/>
        </w:rPr>
        <w:t>opozorili in priporočili, ki jih izda Evropski odbor za sistemska tveganja v skladu z Uredbo 1092/2010/EU;</w:t>
      </w:r>
    </w:p>
    <w:p w14:paraId="6F8013A9" w14:textId="77777777" w:rsidR="00730AA1" w:rsidRPr="00215B2F" w:rsidRDefault="00D91782">
      <w:pPr>
        <w:pStyle w:val="tevilnatoka"/>
        <w:numPr>
          <w:ilvl w:val="0"/>
          <w:numId w:val="35"/>
        </w:numPr>
        <w:shd w:val="clear" w:color="auto" w:fill="FFFFFF" w:themeFill="background1"/>
        <w:tabs>
          <w:tab w:val="clear" w:pos="425"/>
        </w:tabs>
        <w:rPr>
          <w:rFonts w:cs="Arial"/>
          <w:bCs/>
          <w:sz w:val="20"/>
          <w:szCs w:val="20"/>
        </w:rPr>
      </w:pPr>
      <w:r w:rsidRPr="00215B2F">
        <w:rPr>
          <w:rFonts w:eastAsia="Arial" w:cs="Arial"/>
          <w:sz w:val="20"/>
          <w:szCs w:val="20"/>
        </w:rPr>
        <w:t>drugimi veljavnimi pravnimi akti, vključno z akti, ki jih izda Komisija ali drug organ Evropske unije na podlagi Direktive 2013/36/EU ali Direktive 2014/59/EU, ter mednarodnimi standardi in priporočili glede poslovanja kreditnih institucij in bonitetnega nadzora kreditnih institucij;</w:t>
      </w:r>
    </w:p>
    <w:p w14:paraId="5FDCD78D" w14:textId="629C7C54" w:rsidR="00D91782" w:rsidRPr="00215B2F" w:rsidRDefault="00D91782">
      <w:pPr>
        <w:pStyle w:val="tevilnatoka"/>
        <w:numPr>
          <w:ilvl w:val="0"/>
          <w:numId w:val="35"/>
        </w:numPr>
        <w:shd w:val="clear" w:color="auto" w:fill="FFFFFF" w:themeFill="background1"/>
        <w:tabs>
          <w:tab w:val="clear" w:pos="425"/>
        </w:tabs>
        <w:rPr>
          <w:rFonts w:cs="Arial"/>
          <w:bCs/>
          <w:sz w:val="20"/>
          <w:szCs w:val="20"/>
        </w:rPr>
      </w:pPr>
      <w:r w:rsidRPr="00215B2F">
        <w:rPr>
          <w:rFonts w:eastAsia="Arial" w:cs="Arial"/>
          <w:sz w:val="20"/>
          <w:szCs w:val="20"/>
        </w:rPr>
        <w:t xml:space="preserve">usmeritvami, ki jih izda Banka Slovenije glede izvajanja pravil iz 1. do 6. točke tega odstavka v skladu z 10. </w:t>
      </w:r>
      <w:r w:rsidR="001F2C7A" w:rsidRPr="00215B2F">
        <w:rPr>
          <w:rFonts w:eastAsia="Arial" w:cs="Arial"/>
          <w:sz w:val="20"/>
          <w:szCs w:val="20"/>
        </w:rPr>
        <w:t>členom tega zakona</w:t>
      </w:r>
      <w:r w:rsidRPr="00215B2F">
        <w:rPr>
          <w:rFonts w:eastAsia="Arial" w:cs="Arial"/>
          <w:sz w:val="20"/>
          <w:szCs w:val="20"/>
        </w:rPr>
        <w:t>.</w:t>
      </w:r>
    </w:p>
    <w:p w14:paraId="3646313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DD9C6AB" w14:textId="6B4961C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CD1AF7" w:rsidRPr="00215B2F">
        <w:rPr>
          <w:rFonts w:ascii="Arial" w:eastAsia="Arial" w:hAnsi="Arial" w:cs="Arial"/>
          <w:sz w:val="20"/>
          <w:szCs w:val="20"/>
        </w:rPr>
        <w:t>4</w:t>
      </w:r>
      <w:r w:rsidRPr="00215B2F">
        <w:rPr>
          <w:rFonts w:ascii="Arial" w:eastAsia="Arial" w:hAnsi="Arial" w:cs="Arial"/>
          <w:sz w:val="20"/>
          <w:szCs w:val="20"/>
        </w:rPr>
        <w:t xml:space="preserve">) Banka Slovenije </w:t>
      </w:r>
      <w:r w:rsidR="00A90A3B" w:rsidRPr="00215B2F">
        <w:rPr>
          <w:rFonts w:ascii="Arial" w:eastAsia="Arial" w:hAnsi="Arial" w:cs="Arial"/>
          <w:sz w:val="20"/>
          <w:szCs w:val="20"/>
        </w:rPr>
        <w:t xml:space="preserve">vsaj enkrat letno </w:t>
      </w:r>
      <w:r w:rsidRPr="00215B2F">
        <w:rPr>
          <w:rFonts w:ascii="Arial" w:eastAsia="Arial" w:hAnsi="Arial" w:cs="Arial"/>
          <w:sz w:val="20"/>
          <w:szCs w:val="20"/>
        </w:rPr>
        <w:t xml:space="preserve">sprejme in javno objavi cilje glede izvajanja nadzora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w:t>
      </w:r>
    </w:p>
    <w:p w14:paraId="41BA9BE1" w14:textId="77777777" w:rsidR="00AB67A5" w:rsidRPr="00215B2F" w:rsidRDefault="00AB67A5" w:rsidP="00FD5520">
      <w:pPr>
        <w:shd w:val="clear" w:color="auto" w:fill="FFFFFF" w:themeFill="background1"/>
        <w:spacing w:after="0" w:line="240" w:lineRule="auto"/>
        <w:jc w:val="both"/>
        <w:rPr>
          <w:rFonts w:ascii="Arial" w:eastAsia="Arial" w:hAnsi="Arial" w:cs="Arial"/>
          <w:sz w:val="20"/>
          <w:szCs w:val="20"/>
        </w:rPr>
      </w:pPr>
    </w:p>
    <w:p w14:paraId="1C8E4C3D" w14:textId="48695580" w:rsidR="00AB67A5" w:rsidRPr="00215B2F" w:rsidRDefault="00AB67A5"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lahko za namen izvajanja nalog in pristojnosti nadzora iz prejšnjega odstavka izda podzakonski akt, v katerem podrobneje opredeli posamezne zahteve, če je opredelitev v podzakonskem aktu potrebna za učinkovito izvajanje nadzora. </w:t>
      </w:r>
    </w:p>
    <w:p w14:paraId="66A76BD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FE19350" w14:textId="77777777" w:rsidR="00D91782" w:rsidRPr="00215B2F" w:rsidRDefault="00D91782" w:rsidP="006455BC">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2" w:name="_Ref202959977"/>
      <w:r w:rsidRPr="00215B2F">
        <w:rPr>
          <w:rFonts w:ascii="Arial" w:eastAsia="Arial" w:hAnsi="Arial" w:cs="Arial"/>
          <w:b/>
          <w:bCs/>
          <w:sz w:val="20"/>
          <w:szCs w:val="20"/>
        </w:rPr>
        <w:t>člen</w:t>
      </w:r>
      <w:bookmarkEnd w:id="22"/>
    </w:p>
    <w:p w14:paraId="03ECBDF4"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(izdajanje usmeritev)</w:t>
      </w:r>
    </w:p>
    <w:p w14:paraId="2C3FE7B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AA972E2" w14:textId="16A7F02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izdaja usmeritve za splošno in podrobnejšo enotno razlago in uporabo predpisov iz </w:t>
      </w:r>
      <w:r w:rsidR="002429D0" w:rsidRPr="00215B2F">
        <w:rPr>
          <w:rFonts w:ascii="Arial" w:eastAsia="Arial" w:hAnsi="Arial" w:cs="Arial"/>
          <w:sz w:val="20"/>
          <w:szCs w:val="20"/>
        </w:rPr>
        <w:t xml:space="preserve">tretjega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ter </w:t>
      </w:r>
      <w:r w:rsidR="004D7977" w:rsidRPr="00215B2F">
        <w:rPr>
          <w:rFonts w:ascii="Arial" w:eastAsia="Arial" w:hAnsi="Arial" w:cs="Arial"/>
          <w:sz w:val="20"/>
          <w:szCs w:val="20"/>
        </w:rPr>
        <w:t xml:space="preserve">za </w:t>
      </w:r>
      <w:r w:rsidRPr="00215B2F">
        <w:rPr>
          <w:rFonts w:ascii="Arial" w:eastAsia="Arial" w:hAnsi="Arial" w:cs="Arial"/>
          <w:sz w:val="20"/>
          <w:szCs w:val="20"/>
        </w:rPr>
        <w:t>oblikovanj</w:t>
      </w:r>
      <w:r w:rsidR="004D7977" w:rsidRPr="00215B2F">
        <w:rPr>
          <w:rFonts w:ascii="Arial" w:eastAsia="Arial" w:hAnsi="Arial" w:cs="Arial"/>
          <w:sz w:val="20"/>
          <w:szCs w:val="20"/>
        </w:rPr>
        <w:t>e</w:t>
      </w:r>
      <w:r w:rsidRPr="00215B2F">
        <w:rPr>
          <w:rFonts w:ascii="Arial" w:eastAsia="Arial" w:hAnsi="Arial" w:cs="Arial"/>
          <w:sz w:val="20"/>
          <w:szCs w:val="20"/>
        </w:rPr>
        <w:t xml:space="preserve"> dobre prakse.</w:t>
      </w:r>
    </w:p>
    <w:p w14:paraId="41A9174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EEFBE9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Usmeritve se objavijo na spletni strani Banke Slovenije.</w:t>
      </w:r>
    </w:p>
    <w:p w14:paraId="1E6F63A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24DB084" w14:textId="77777777" w:rsidR="00D91782" w:rsidRPr="00215B2F" w:rsidRDefault="00D91782" w:rsidP="006455BC">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3" w:name="_Ref202959990"/>
      <w:r w:rsidRPr="00215B2F">
        <w:rPr>
          <w:rFonts w:ascii="Arial" w:eastAsia="Arial" w:hAnsi="Arial" w:cs="Arial"/>
          <w:b/>
          <w:bCs/>
          <w:sz w:val="20"/>
          <w:szCs w:val="20"/>
        </w:rPr>
        <w:t>člen</w:t>
      </w:r>
      <w:bookmarkEnd w:id="23"/>
    </w:p>
    <w:p w14:paraId="75F24066" w14:textId="3DFC35F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(pristojnost Banke Slovenije za makrobonitetni nadzor)</w:t>
      </w:r>
    </w:p>
    <w:p w14:paraId="699D92D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D176A2B" w14:textId="1632894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je v vlogi imenovanega organa pristojna za izvajanje 458. člena Uredbe 575/2013/EU in s tem pristojna za določanje ukrepov za omejevanje makrobonitetnega ali sistemskega tveganja v zvezi z bankami, za določanje zahtev glede kapitalskih blažilnikov v obsegu in na način, določen</w:t>
      </w:r>
      <w:r w:rsidR="00A3127E" w:rsidRPr="00215B2F">
        <w:rPr>
          <w:rFonts w:ascii="Arial" w:eastAsia="Arial" w:hAnsi="Arial" w:cs="Arial"/>
          <w:sz w:val="20"/>
          <w:szCs w:val="20"/>
        </w:rPr>
        <w:t>a</w:t>
      </w:r>
      <w:r w:rsidRPr="00215B2F">
        <w:rPr>
          <w:rFonts w:ascii="Arial" w:eastAsia="Arial" w:hAnsi="Arial" w:cs="Arial"/>
          <w:sz w:val="20"/>
          <w:szCs w:val="20"/>
        </w:rPr>
        <w:t xml:space="preserve"> v 7. </w:t>
      </w:r>
      <w:r w:rsidR="001F2C7A" w:rsidRPr="00215B2F">
        <w:rPr>
          <w:rFonts w:ascii="Arial" w:eastAsia="Arial" w:hAnsi="Arial" w:cs="Arial"/>
          <w:sz w:val="20"/>
          <w:szCs w:val="20"/>
        </w:rPr>
        <w:t>poglavju tega zakona</w:t>
      </w:r>
      <w:r w:rsidR="00A3127E" w:rsidRPr="00215B2F">
        <w:rPr>
          <w:rFonts w:ascii="Arial" w:eastAsia="Arial" w:hAnsi="Arial" w:cs="Arial"/>
          <w:sz w:val="20"/>
          <w:szCs w:val="20"/>
        </w:rPr>
        <w:t>,</w:t>
      </w:r>
      <w:r w:rsidRPr="00215B2F">
        <w:rPr>
          <w:rFonts w:ascii="Arial" w:eastAsia="Arial" w:hAnsi="Arial" w:cs="Arial"/>
          <w:sz w:val="20"/>
          <w:szCs w:val="20"/>
        </w:rPr>
        <w:t xml:space="preserve"> ter</w:t>
      </w:r>
      <w:r w:rsidR="00A3127E" w:rsidRPr="00215B2F">
        <w:rPr>
          <w:rFonts w:ascii="Arial" w:eastAsia="Arial" w:hAnsi="Arial" w:cs="Arial"/>
          <w:sz w:val="20"/>
          <w:szCs w:val="20"/>
        </w:rPr>
        <w:t xml:space="preserve"> za</w:t>
      </w:r>
      <w:r w:rsidRPr="00215B2F">
        <w:rPr>
          <w:rFonts w:ascii="Arial" w:eastAsia="Arial" w:hAnsi="Arial" w:cs="Arial"/>
          <w:sz w:val="20"/>
          <w:szCs w:val="20"/>
        </w:rPr>
        <w:t xml:space="preserve"> ocenjevanje sistemske pomembnosti podružnic iz tretjih držav iz </w:t>
      </w:r>
      <w:r w:rsidR="009C31EB" w:rsidRPr="00215B2F">
        <w:rPr>
          <w:rFonts w:ascii="Arial" w:eastAsia="Arial" w:hAnsi="Arial" w:cs="Arial"/>
          <w:sz w:val="20"/>
          <w:szCs w:val="20"/>
        </w:rPr>
        <w:t>321.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6650DD9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750FDBC" w14:textId="10D7468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je v vlogi imenovanega organa pristojna za izvajanje 124. člena Uredbe 575/2013/EU.</w:t>
      </w:r>
    </w:p>
    <w:p w14:paraId="0922EB0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B9ECA81" w14:textId="2DB89AE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je v vlogi imenovanega organa pristojna za izvajanje 164. člena Uredbe 575/2013/EU.</w:t>
      </w:r>
    </w:p>
    <w:p w14:paraId="7B53BC8E"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5CB665E" w14:textId="0A32F21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(4) Banka Slovenije pri sprejemanju odločitev iz 124. in 164. člena Uredbe 575/2013/EU tesno sodeluje z Evropsko centralno banko, kadar je </w:t>
      </w:r>
      <w:r w:rsidR="002512B4" w:rsidRPr="00215B2F">
        <w:rPr>
          <w:rFonts w:ascii="Arial" w:eastAsia="Arial" w:hAnsi="Arial" w:cs="Arial"/>
          <w:sz w:val="20"/>
          <w:szCs w:val="20"/>
        </w:rPr>
        <w:t xml:space="preserve">ta </w:t>
      </w:r>
      <w:r w:rsidRPr="00215B2F">
        <w:rPr>
          <w:rFonts w:ascii="Arial" w:eastAsia="Arial" w:hAnsi="Arial" w:cs="Arial"/>
          <w:sz w:val="20"/>
          <w:szCs w:val="20"/>
        </w:rPr>
        <w:t>pristojna za izvajanje pooblastil in nalog bonitetnega nadzora nad bankami v skladu z Uredbo 1024/2013/EU, zlasti z izmenjavo vseh potrebnih informacij in ob upoštevanju medsebojnega vpliva z drugimi ukrepi. V ta namen Banka Slovenije uradno obvestilo Evropskemu bančnemu organu in Evropskemu odboru za sistemska tveganja iz 124. in 164. člena Uredbe 575/2013/EU pošlje tudi Evropski centralni banki.</w:t>
      </w:r>
    </w:p>
    <w:p w14:paraId="634A55ED" w14:textId="77777777" w:rsidR="00BB5BEC" w:rsidRPr="00215B2F" w:rsidRDefault="00BB5BEC" w:rsidP="00FD5520">
      <w:pPr>
        <w:shd w:val="clear" w:color="auto" w:fill="FFFFFF" w:themeFill="background1"/>
        <w:spacing w:after="0" w:line="240" w:lineRule="auto"/>
        <w:jc w:val="both"/>
        <w:rPr>
          <w:rFonts w:ascii="Arial" w:eastAsia="Arial" w:hAnsi="Arial" w:cs="Arial"/>
          <w:sz w:val="20"/>
          <w:szCs w:val="20"/>
        </w:rPr>
      </w:pPr>
    </w:p>
    <w:p w14:paraId="0F24683F" w14:textId="6D0F8AF6" w:rsidR="00BB5BEC" w:rsidRPr="00215B2F" w:rsidRDefault="00BB5BEC" w:rsidP="00BB5BEC">
      <w:pPr>
        <w:spacing w:after="0" w:line="240" w:lineRule="auto"/>
        <w:jc w:val="both"/>
        <w:rPr>
          <w:rFonts w:ascii="Arial" w:hAnsi="Arial" w:cs="Arial"/>
          <w:sz w:val="20"/>
          <w:szCs w:val="20"/>
        </w:rPr>
      </w:pPr>
      <w:r w:rsidRPr="00215B2F">
        <w:rPr>
          <w:rFonts w:ascii="Arial" w:hAnsi="Arial" w:cs="Arial"/>
          <w:sz w:val="20"/>
          <w:szCs w:val="20"/>
        </w:rPr>
        <w:t xml:space="preserve">(5) Banka Slovenije za izvajanje makrobonitetnega nadzora in analize finančne stabilnosti v skladu s tem </w:t>
      </w:r>
      <w:r w:rsidR="000C70AA" w:rsidRPr="00215B2F">
        <w:rPr>
          <w:rFonts w:ascii="Arial" w:hAnsi="Arial" w:cs="Arial"/>
          <w:sz w:val="20"/>
          <w:szCs w:val="20"/>
        </w:rPr>
        <w:t xml:space="preserve"> </w:t>
      </w:r>
      <w:r w:rsidRPr="00215B2F">
        <w:rPr>
          <w:rFonts w:ascii="Arial" w:hAnsi="Arial" w:cs="Arial"/>
          <w:sz w:val="20"/>
          <w:szCs w:val="20"/>
        </w:rPr>
        <w:t>zakonom</w:t>
      </w:r>
      <w:r w:rsidR="000C70AA" w:rsidRPr="00215B2F">
        <w:rPr>
          <w:rFonts w:ascii="Arial" w:hAnsi="Arial" w:cs="Arial"/>
          <w:sz w:val="20"/>
          <w:szCs w:val="20"/>
        </w:rPr>
        <w:t>, zakonom, ki ureja makrobonitetni nadzor finančnega sistema ali drugim zakonom</w:t>
      </w:r>
      <w:r w:rsidRPr="00215B2F">
        <w:rPr>
          <w:rFonts w:ascii="Arial" w:hAnsi="Arial" w:cs="Arial"/>
          <w:sz w:val="20"/>
          <w:szCs w:val="20"/>
        </w:rPr>
        <w:t xml:space="preserve"> zbira in obdeluje informacije in podatke o poslovanju finančnih družb, vključno s podatki o posameznih poslih, ki jih finančne družbe sklepajo pri opravljanju finančnih storitev s pravnimi in fizičnimi osebami. </w:t>
      </w:r>
    </w:p>
    <w:p w14:paraId="02BFE087" w14:textId="77777777" w:rsidR="00BB5BEC" w:rsidRPr="00215B2F" w:rsidRDefault="00BB5BEC" w:rsidP="00BB5BEC">
      <w:pPr>
        <w:spacing w:after="0" w:line="240" w:lineRule="auto"/>
        <w:jc w:val="both"/>
        <w:rPr>
          <w:rFonts w:ascii="Arial" w:hAnsi="Arial" w:cs="Arial"/>
          <w:sz w:val="20"/>
          <w:szCs w:val="20"/>
        </w:rPr>
      </w:pPr>
    </w:p>
    <w:p w14:paraId="161551E5" w14:textId="3CC0811C" w:rsidR="00BB5BEC" w:rsidRPr="00215B2F" w:rsidRDefault="00BB5BEC" w:rsidP="00BB5BEC">
      <w:pPr>
        <w:spacing w:after="0" w:line="240" w:lineRule="auto"/>
        <w:jc w:val="both"/>
        <w:rPr>
          <w:rFonts w:ascii="Arial" w:hAnsi="Arial" w:cs="Arial"/>
          <w:sz w:val="20"/>
          <w:szCs w:val="20"/>
        </w:rPr>
      </w:pPr>
      <w:r w:rsidRPr="00215B2F">
        <w:rPr>
          <w:rFonts w:ascii="Arial" w:hAnsi="Arial" w:cs="Arial"/>
          <w:sz w:val="20"/>
          <w:szCs w:val="20"/>
        </w:rPr>
        <w:t xml:space="preserve">(6) Pri zbiranju in obdelavi podatkov iz prejšnjega odstavka, ki se nanašajo na posle s fizičnimi osebami, lahko Banka Slovenije zbira in obdeluje podatke oziroma informacije o: </w:t>
      </w:r>
    </w:p>
    <w:p w14:paraId="4AF3702C" w14:textId="77777777" w:rsidR="00BB5BEC" w:rsidRPr="00215B2F" w:rsidRDefault="00BB5BEC" w:rsidP="00BB5BEC">
      <w:pPr>
        <w:spacing w:after="0" w:line="240" w:lineRule="auto"/>
        <w:jc w:val="both"/>
        <w:rPr>
          <w:rFonts w:ascii="Arial" w:hAnsi="Arial" w:cs="Arial"/>
          <w:sz w:val="20"/>
          <w:szCs w:val="20"/>
        </w:rPr>
      </w:pPr>
    </w:p>
    <w:p w14:paraId="78231861" w14:textId="49876C7E" w:rsidR="00BB5BEC" w:rsidRPr="00215B2F" w:rsidRDefault="00BB5BEC" w:rsidP="003D4DE0">
      <w:pPr>
        <w:pStyle w:val="Odstavekseznama"/>
        <w:numPr>
          <w:ilvl w:val="0"/>
          <w:numId w:val="402"/>
        </w:numPr>
        <w:spacing w:after="0" w:line="240" w:lineRule="auto"/>
        <w:jc w:val="both"/>
        <w:rPr>
          <w:rFonts w:ascii="Arial" w:hAnsi="Arial" w:cs="Arial"/>
          <w:sz w:val="20"/>
          <w:szCs w:val="20"/>
        </w:rPr>
      </w:pPr>
      <w:r w:rsidRPr="00215B2F">
        <w:rPr>
          <w:rFonts w:ascii="Arial" w:hAnsi="Arial" w:cs="Arial"/>
          <w:sz w:val="20"/>
          <w:szCs w:val="20"/>
        </w:rPr>
        <w:t>poslu (enolična oznaka, znesek, obresti, valuta, vrsta, namen</w:t>
      </w:r>
      <w:r w:rsidR="000C70AA" w:rsidRPr="00215B2F">
        <w:rPr>
          <w:rFonts w:ascii="Arial" w:hAnsi="Arial" w:cs="Arial"/>
          <w:sz w:val="20"/>
          <w:szCs w:val="20"/>
        </w:rPr>
        <w:t>, zaključek posla</w:t>
      </w:r>
      <w:r w:rsidRPr="00215B2F">
        <w:rPr>
          <w:rFonts w:ascii="Arial" w:hAnsi="Arial" w:cs="Arial"/>
          <w:sz w:val="20"/>
          <w:szCs w:val="20"/>
        </w:rPr>
        <w:t>);</w:t>
      </w:r>
    </w:p>
    <w:p w14:paraId="756B3D9E" w14:textId="5FA37EC6" w:rsidR="00BB5BEC" w:rsidRPr="00215B2F" w:rsidRDefault="00BB5BEC" w:rsidP="003D4DE0">
      <w:pPr>
        <w:pStyle w:val="Odstavekseznama"/>
        <w:numPr>
          <w:ilvl w:val="0"/>
          <w:numId w:val="402"/>
        </w:numPr>
        <w:spacing w:after="0" w:line="240" w:lineRule="auto"/>
        <w:jc w:val="both"/>
        <w:rPr>
          <w:rFonts w:ascii="Arial" w:hAnsi="Arial" w:cs="Arial"/>
          <w:sz w:val="20"/>
          <w:szCs w:val="20"/>
        </w:rPr>
      </w:pPr>
      <w:r w:rsidRPr="00215B2F">
        <w:rPr>
          <w:rFonts w:ascii="Arial" w:hAnsi="Arial" w:cs="Arial"/>
          <w:sz w:val="20"/>
          <w:szCs w:val="20"/>
        </w:rPr>
        <w:t>zavarovanju;</w:t>
      </w:r>
    </w:p>
    <w:p w14:paraId="2E27C452" w14:textId="1E4368B2" w:rsidR="00BB5BEC" w:rsidRPr="00215B2F" w:rsidRDefault="00BB5BEC" w:rsidP="003D4DE0">
      <w:pPr>
        <w:pStyle w:val="Odstavekseznama"/>
        <w:numPr>
          <w:ilvl w:val="0"/>
          <w:numId w:val="402"/>
        </w:numPr>
        <w:spacing w:after="0" w:line="240" w:lineRule="auto"/>
        <w:jc w:val="both"/>
        <w:rPr>
          <w:rFonts w:ascii="Arial" w:hAnsi="Arial" w:cs="Arial"/>
          <w:sz w:val="20"/>
          <w:szCs w:val="20"/>
        </w:rPr>
      </w:pPr>
      <w:r w:rsidRPr="00215B2F">
        <w:rPr>
          <w:rFonts w:ascii="Arial" w:hAnsi="Arial" w:cs="Arial"/>
          <w:sz w:val="20"/>
          <w:szCs w:val="20"/>
        </w:rPr>
        <w:t>kreditojemalcu (vrsta, starost, status, lokacija, panoga zaposlitve, država kreditojemalca, namen uporabe nepremičnine, ki se financira s kreditom, skupni dohodki, celotni dolg);</w:t>
      </w:r>
    </w:p>
    <w:p w14:paraId="46A3433F" w14:textId="1B142452" w:rsidR="00BB5BEC" w:rsidRPr="00215B2F" w:rsidRDefault="00BB5BEC" w:rsidP="003D4DE0">
      <w:pPr>
        <w:pStyle w:val="Odstavekseznama"/>
        <w:numPr>
          <w:ilvl w:val="0"/>
          <w:numId w:val="402"/>
        </w:numPr>
        <w:spacing w:after="0" w:line="240" w:lineRule="auto"/>
        <w:jc w:val="both"/>
        <w:rPr>
          <w:rFonts w:ascii="Arial" w:hAnsi="Arial" w:cs="Arial"/>
          <w:sz w:val="20"/>
          <w:szCs w:val="20"/>
        </w:rPr>
      </w:pPr>
      <w:r w:rsidRPr="00215B2F">
        <w:rPr>
          <w:rFonts w:ascii="Arial" w:hAnsi="Arial" w:cs="Arial"/>
          <w:sz w:val="20"/>
          <w:szCs w:val="20"/>
        </w:rPr>
        <w:t>izvajanju makrobonitetnih ukrepov;</w:t>
      </w:r>
    </w:p>
    <w:p w14:paraId="0057B057" w14:textId="6EC22558" w:rsidR="00BB5BEC" w:rsidRPr="00215B2F" w:rsidRDefault="00BB5BEC" w:rsidP="003D4DE0">
      <w:pPr>
        <w:pStyle w:val="Odstavekseznama"/>
        <w:numPr>
          <w:ilvl w:val="0"/>
          <w:numId w:val="402"/>
        </w:numPr>
        <w:spacing w:after="0" w:line="240" w:lineRule="auto"/>
        <w:jc w:val="both"/>
        <w:rPr>
          <w:rFonts w:ascii="Arial" w:hAnsi="Arial" w:cs="Arial"/>
          <w:sz w:val="20"/>
          <w:szCs w:val="20"/>
        </w:rPr>
      </w:pPr>
      <w:r w:rsidRPr="00215B2F">
        <w:rPr>
          <w:rFonts w:ascii="Arial" w:hAnsi="Arial" w:cs="Arial"/>
          <w:sz w:val="20"/>
          <w:szCs w:val="20"/>
        </w:rPr>
        <w:t>postopku sklenitve (vložitev vloge, trajanje obravnave, datum sklenitve);</w:t>
      </w:r>
    </w:p>
    <w:p w14:paraId="3F14B506" w14:textId="291F8CB8" w:rsidR="00BB5BEC" w:rsidRPr="00215B2F" w:rsidRDefault="00BB5BEC" w:rsidP="003D4DE0">
      <w:pPr>
        <w:pStyle w:val="Odstavekseznama"/>
        <w:numPr>
          <w:ilvl w:val="0"/>
          <w:numId w:val="402"/>
        </w:numPr>
        <w:spacing w:after="0" w:line="240" w:lineRule="auto"/>
        <w:jc w:val="both"/>
        <w:rPr>
          <w:rFonts w:ascii="Arial" w:hAnsi="Arial" w:cs="Arial"/>
          <w:sz w:val="20"/>
          <w:szCs w:val="20"/>
        </w:rPr>
      </w:pPr>
      <w:r w:rsidRPr="00215B2F">
        <w:rPr>
          <w:rFonts w:ascii="Arial" w:hAnsi="Arial" w:cs="Arial"/>
          <w:sz w:val="20"/>
          <w:szCs w:val="20"/>
        </w:rPr>
        <w:t>izvrševanju posla (ročnost ob sklenitvi, način amortizacije);</w:t>
      </w:r>
    </w:p>
    <w:p w14:paraId="18718299" w14:textId="3A662A1D" w:rsidR="00BB5BEC" w:rsidRPr="00215B2F" w:rsidRDefault="00BB5BEC" w:rsidP="003D4DE0">
      <w:pPr>
        <w:pStyle w:val="Odstavekseznama"/>
        <w:numPr>
          <w:ilvl w:val="0"/>
          <w:numId w:val="402"/>
        </w:numPr>
        <w:spacing w:after="0" w:line="240" w:lineRule="auto"/>
        <w:jc w:val="both"/>
        <w:rPr>
          <w:rFonts w:ascii="Arial" w:hAnsi="Arial" w:cs="Arial"/>
          <w:sz w:val="20"/>
          <w:szCs w:val="20"/>
        </w:rPr>
      </w:pPr>
      <w:r w:rsidRPr="00215B2F">
        <w:rPr>
          <w:rFonts w:ascii="Arial" w:hAnsi="Arial" w:cs="Arial"/>
          <w:sz w:val="20"/>
          <w:szCs w:val="20"/>
        </w:rPr>
        <w:t>o predmetu zavarovanja (namen uporabe, lokacija, vrsta, energetska učinkovitost);</w:t>
      </w:r>
    </w:p>
    <w:p w14:paraId="55ABDA28" w14:textId="19250DE3" w:rsidR="00BB5BEC" w:rsidRPr="00215B2F" w:rsidRDefault="00BB5BEC" w:rsidP="003D4DE0">
      <w:pPr>
        <w:pStyle w:val="Odstavekseznama"/>
        <w:numPr>
          <w:ilvl w:val="0"/>
          <w:numId w:val="402"/>
        </w:numPr>
        <w:spacing w:after="0" w:line="240" w:lineRule="auto"/>
        <w:jc w:val="both"/>
        <w:rPr>
          <w:rFonts w:ascii="Arial" w:hAnsi="Arial" w:cs="Arial"/>
          <w:sz w:val="20"/>
          <w:szCs w:val="20"/>
        </w:rPr>
      </w:pPr>
      <w:r w:rsidRPr="00215B2F">
        <w:rPr>
          <w:rFonts w:ascii="Arial" w:hAnsi="Arial" w:cs="Arial"/>
          <w:sz w:val="20"/>
          <w:szCs w:val="20"/>
        </w:rPr>
        <w:t>pogodben</w:t>
      </w:r>
      <w:r w:rsidR="008109A4" w:rsidRPr="00215B2F">
        <w:rPr>
          <w:rFonts w:ascii="Arial" w:hAnsi="Arial" w:cs="Arial"/>
          <w:sz w:val="20"/>
          <w:szCs w:val="20"/>
        </w:rPr>
        <w:t>em</w:t>
      </w:r>
      <w:r w:rsidRPr="00215B2F">
        <w:rPr>
          <w:rFonts w:ascii="Arial" w:hAnsi="Arial" w:cs="Arial"/>
          <w:sz w:val="20"/>
          <w:szCs w:val="20"/>
        </w:rPr>
        <w:t xml:space="preserve"> znesk</w:t>
      </w:r>
      <w:r w:rsidR="008109A4" w:rsidRPr="00215B2F">
        <w:rPr>
          <w:rFonts w:ascii="Arial" w:hAnsi="Arial" w:cs="Arial"/>
          <w:sz w:val="20"/>
          <w:szCs w:val="20"/>
        </w:rPr>
        <w:t>u</w:t>
      </w:r>
      <w:r w:rsidRPr="00215B2F">
        <w:rPr>
          <w:rFonts w:ascii="Arial" w:hAnsi="Arial" w:cs="Arial"/>
          <w:sz w:val="20"/>
          <w:szCs w:val="20"/>
        </w:rPr>
        <w:t xml:space="preserve"> posla, ki je predmet financiranja;</w:t>
      </w:r>
    </w:p>
    <w:p w14:paraId="3CDD21AC" w14:textId="3D928C5D" w:rsidR="00BB5BEC" w:rsidRPr="00215B2F" w:rsidRDefault="00BB5BEC" w:rsidP="003D4DE0">
      <w:pPr>
        <w:pStyle w:val="Odstavekseznama"/>
        <w:numPr>
          <w:ilvl w:val="0"/>
          <w:numId w:val="402"/>
        </w:numPr>
        <w:spacing w:after="0" w:line="240" w:lineRule="auto"/>
        <w:jc w:val="both"/>
        <w:rPr>
          <w:rFonts w:ascii="Arial" w:hAnsi="Arial" w:cs="Arial"/>
          <w:sz w:val="20"/>
          <w:szCs w:val="20"/>
        </w:rPr>
      </w:pPr>
      <w:r w:rsidRPr="00215B2F">
        <w:rPr>
          <w:rFonts w:ascii="Arial" w:hAnsi="Arial" w:cs="Arial"/>
          <w:sz w:val="20"/>
          <w:szCs w:val="20"/>
        </w:rPr>
        <w:t>odplačevanju in predvidenem odplačevanju;</w:t>
      </w:r>
    </w:p>
    <w:p w14:paraId="0A61A7F8" w14:textId="3A1FAFE4" w:rsidR="00BB5BEC" w:rsidRPr="00215B2F" w:rsidRDefault="00BB5BEC" w:rsidP="003D4DE0">
      <w:pPr>
        <w:pStyle w:val="Odstavekseznama"/>
        <w:numPr>
          <w:ilvl w:val="0"/>
          <w:numId w:val="402"/>
        </w:numPr>
        <w:spacing w:after="0" w:line="240" w:lineRule="auto"/>
        <w:jc w:val="both"/>
        <w:rPr>
          <w:rFonts w:ascii="Arial" w:hAnsi="Arial" w:cs="Arial"/>
          <w:sz w:val="20"/>
          <w:szCs w:val="20"/>
        </w:rPr>
      </w:pPr>
      <w:r w:rsidRPr="00215B2F">
        <w:rPr>
          <w:rFonts w:ascii="Arial" w:hAnsi="Arial" w:cs="Arial"/>
          <w:sz w:val="20"/>
          <w:szCs w:val="20"/>
        </w:rPr>
        <w:t>pričakovani vrednosti zavarovanj;</w:t>
      </w:r>
    </w:p>
    <w:p w14:paraId="5F757875" w14:textId="6CAB8B14" w:rsidR="00BB5BEC" w:rsidRPr="00215B2F" w:rsidRDefault="00BB5BEC" w:rsidP="003D4DE0">
      <w:pPr>
        <w:pStyle w:val="Odstavekseznama"/>
        <w:numPr>
          <w:ilvl w:val="0"/>
          <w:numId w:val="402"/>
        </w:numPr>
        <w:spacing w:after="0" w:line="240" w:lineRule="auto"/>
        <w:jc w:val="both"/>
        <w:rPr>
          <w:rFonts w:ascii="Arial" w:hAnsi="Arial" w:cs="Arial"/>
          <w:sz w:val="20"/>
          <w:szCs w:val="20"/>
        </w:rPr>
      </w:pPr>
      <w:r w:rsidRPr="00215B2F">
        <w:rPr>
          <w:rFonts w:ascii="Arial" w:hAnsi="Arial" w:cs="Arial"/>
          <w:sz w:val="20"/>
          <w:szCs w:val="20"/>
        </w:rPr>
        <w:t>donosnosti posla in izpostavljenosti do fizične osebe;</w:t>
      </w:r>
    </w:p>
    <w:p w14:paraId="389B1684" w14:textId="5B8F0093" w:rsidR="00BB5BEC" w:rsidRPr="00215B2F" w:rsidRDefault="00BB5BEC" w:rsidP="003D4DE0">
      <w:pPr>
        <w:pStyle w:val="Odstavekseznama"/>
        <w:numPr>
          <w:ilvl w:val="0"/>
          <w:numId w:val="402"/>
        </w:numPr>
        <w:spacing w:after="0" w:line="240" w:lineRule="auto"/>
        <w:jc w:val="both"/>
        <w:rPr>
          <w:rFonts w:ascii="Arial" w:hAnsi="Arial" w:cs="Arial"/>
          <w:sz w:val="20"/>
          <w:szCs w:val="20"/>
        </w:rPr>
      </w:pPr>
      <w:r w:rsidRPr="00215B2F">
        <w:rPr>
          <w:rFonts w:ascii="Arial" w:hAnsi="Arial" w:cs="Arial"/>
          <w:sz w:val="20"/>
          <w:szCs w:val="20"/>
        </w:rPr>
        <w:t>spremembah pogojev odplačevanja in restrukturiranju;</w:t>
      </w:r>
    </w:p>
    <w:p w14:paraId="30BBA304" w14:textId="78E763A7" w:rsidR="00BB5BEC" w:rsidRPr="00215B2F" w:rsidRDefault="00BB5BEC" w:rsidP="003D4DE0">
      <w:pPr>
        <w:pStyle w:val="Odstavekseznama"/>
        <w:numPr>
          <w:ilvl w:val="0"/>
          <w:numId w:val="402"/>
        </w:numPr>
        <w:spacing w:after="0" w:line="240" w:lineRule="auto"/>
        <w:jc w:val="both"/>
        <w:rPr>
          <w:rFonts w:ascii="Arial" w:hAnsi="Arial" w:cs="Arial"/>
          <w:sz w:val="20"/>
          <w:szCs w:val="20"/>
        </w:rPr>
      </w:pPr>
      <w:r w:rsidRPr="00215B2F">
        <w:rPr>
          <w:rFonts w:ascii="Arial" w:hAnsi="Arial" w:cs="Arial"/>
          <w:sz w:val="20"/>
          <w:szCs w:val="20"/>
        </w:rPr>
        <w:t>neodplačanem dolgu.</w:t>
      </w:r>
    </w:p>
    <w:p w14:paraId="29699ADC" w14:textId="77777777" w:rsidR="00BB5BEC" w:rsidRPr="00215B2F" w:rsidRDefault="00BB5BEC" w:rsidP="00BB5BEC">
      <w:pPr>
        <w:spacing w:after="0" w:line="240" w:lineRule="auto"/>
        <w:jc w:val="both"/>
        <w:rPr>
          <w:rFonts w:ascii="Arial" w:hAnsi="Arial" w:cs="Arial"/>
          <w:sz w:val="20"/>
          <w:szCs w:val="20"/>
        </w:rPr>
      </w:pPr>
    </w:p>
    <w:p w14:paraId="5366AB8F" w14:textId="5FE6E79D" w:rsidR="00BB5BEC" w:rsidRPr="00215B2F" w:rsidRDefault="00BB5BEC" w:rsidP="00BB5BEC">
      <w:pPr>
        <w:spacing w:after="0" w:line="240" w:lineRule="auto"/>
        <w:jc w:val="both"/>
        <w:rPr>
          <w:rFonts w:ascii="Arial" w:hAnsi="Arial" w:cs="Arial"/>
          <w:sz w:val="20"/>
          <w:szCs w:val="20"/>
        </w:rPr>
      </w:pPr>
      <w:r w:rsidRPr="00215B2F">
        <w:rPr>
          <w:rFonts w:ascii="Arial" w:hAnsi="Arial" w:cs="Arial"/>
          <w:sz w:val="20"/>
          <w:szCs w:val="20"/>
        </w:rPr>
        <w:t xml:space="preserve">(7) Banka Slovenije lahko osebne podatke iz prejšnjega odstavka zbira in obdeluje v psevdonimizirani obliki tako, da ni mogoča neposredna identifikacija posameznikov, ki so sklenile posamezni posel. Banka Slovenije osebne podatke obdeluje v skladu s predpisi, ki urejajo varstvo osebnih podatkov. </w:t>
      </w:r>
    </w:p>
    <w:p w14:paraId="24D06B49" w14:textId="77777777" w:rsidR="00BB5BEC" w:rsidRPr="00215B2F" w:rsidRDefault="00BB5BEC" w:rsidP="00BB5BEC">
      <w:pPr>
        <w:spacing w:after="0" w:line="240" w:lineRule="auto"/>
        <w:jc w:val="both"/>
        <w:rPr>
          <w:rFonts w:ascii="Arial" w:hAnsi="Arial" w:cs="Arial"/>
          <w:sz w:val="20"/>
          <w:szCs w:val="20"/>
        </w:rPr>
      </w:pPr>
    </w:p>
    <w:p w14:paraId="6AB09D4B" w14:textId="1B1359D9" w:rsidR="00BB5BEC" w:rsidRPr="00215B2F" w:rsidRDefault="00BB5BEC" w:rsidP="00BB5BEC">
      <w:pPr>
        <w:spacing w:after="0" w:line="240" w:lineRule="auto"/>
        <w:jc w:val="both"/>
        <w:rPr>
          <w:rFonts w:ascii="Arial" w:hAnsi="Arial" w:cs="Arial"/>
          <w:sz w:val="20"/>
          <w:szCs w:val="20"/>
        </w:rPr>
      </w:pPr>
      <w:r w:rsidRPr="00215B2F">
        <w:rPr>
          <w:rFonts w:ascii="Arial" w:hAnsi="Arial" w:cs="Arial"/>
          <w:sz w:val="20"/>
          <w:szCs w:val="20"/>
        </w:rPr>
        <w:t xml:space="preserve">(8) Osebni podatki iz prvega odstavka tega člena v zvezi s posameznim poslom, ki ga sklene fizična oseba, se hranijo </w:t>
      </w:r>
      <w:r w:rsidR="000C70AA" w:rsidRPr="00215B2F">
        <w:rPr>
          <w:rFonts w:ascii="Arial" w:hAnsi="Arial" w:cs="Arial"/>
          <w:sz w:val="20"/>
          <w:szCs w:val="20"/>
        </w:rPr>
        <w:t>2</w:t>
      </w:r>
      <w:r w:rsidRPr="00215B2F">
        <w:rPr>
          <w:rFonts w:ascii="Arial" w:hAnsi="Arial" w:cs="Arial"/>
          <w:sz w:val="20"/>
          <w:szCs w:val="20"/>
        </w:rPr>
        <w:t xml:space="preserve">0 let, po </w:t>
      </w:r>
      <w:r w:rsidR="000C70AA" w:rsidRPr="00215B2F">
        <w:rPr>
          <w:rFonts w:ascii="Arial" w:hAnsi="Arial" w:cs="Arial"/>
          <w:sz w:val="20"/>
          <w:szCs w:val="20"/>
        </w:rPr>
        <w:t xml:space="preserve">zaključku posla, po </w:t>
      </w:r>
      <w:r w:rsidRPr="00215B2F">
        <w:rPr>
          <w:rFonts w:ascii="Arial" w:hAnsi="Arial" w:cs="Arial"/>
          <w:sz w:val="20"/>
          <w:szCs w:val="20"/>
        </w:rPr>
        <w:t xml:space="preserve">tem roku pa se </w:t>
      </w:r>
      <w:r w:rsidR="000C70AA" w:rsidRPr="00215B2F">
        <w:rPr>
          <w:rFonts w:ascii="Arial" w:hAnsi="Arial" w:cs="Arial"/>
          <w:sz w:val="20"/>
          <w:szCs w:val="20"/>
        </w:rPr>
        <w:t>ti</w:t>
      </w:r>
      <w:r w:rsidRPr="00215B2F">
        <w:rPr>
          <w:rFonts w:ascii="Arial" w:hAnsi="Arial" w:cs="Arial"/>
          <w:sz w:val="20"/>
          <w:szCs w:val="20"/>
        </w:rPr>
        <w:t xml:space="preserve"> podatki izbrišejo. </w:t>
      </w:r>
    </w:p>
    <w:p w14:paraId="148F34EB" w14:textId="77777777" w:rsidR="00BB5BEC" w:rsidRPr="00215B2F" w:rsidRDefault="00BB5BEC" w:rsidP="00BB5BEC">
      <w:pPr>
        <w:spacing w:after="0" w:line="240" w:lineRule="auto"/>
        <w:jc w:val="both"/>
        <w:rPr>
          <w:rFonts w:ascii="Arial" w:hAnsi="Arial" w:cs="Arial"/>
          <w:sz w:val="20"/>
          <w:szCs w:val="20"/>
        </w:rPr>
      </w:pPr>
    </w:p>
    <w:p w14:paraId="54EDD9B6" w14:textId="77777777" w:rsidR="00BB5BEC" w:rsidRPr="00215B2F" w:rsidRDefault="00BB5BEC" w:rsidP="00BB5BEC">
      <w:pPr>
        <w:spacing w:after="0" w:line="240" w:lineRule="auto"/>
        <w:jc w:val="both"/>
        <w:rPr>
          <w:rFonts w:ascii="Arial" w:hAnsi="Arial" w:cs="Arial"/>
          <w:sz w:val="20"/>
          <w:szCs w:val="20"/>
        </w:rPr>
      </w:pPr>
      <w:r w:rsidRPr="00215B2F">
        <w:rPr>
          <w:rFonts w:ascii="Arial" w:hAnsi="Arial" w:cs="Arial"/>
          <w:sz w:val="20"/>
          <w:szCs w:val="20"/>
        </w:rPr>
        <w:t xml:space="preserve">(9) Banka Slovenije v podzakonskem aktu podrobneje predpiše način, obliko in roke poročanja podatkov iz prvega odstavka tega člena. </w:t>
      </w:r>
    </w:p>
    <w:p w14:paraId="1E014E64" w14:textId="77777777" w:rsidR="00BB5BEC" w:rsidRPr="00215B2F" w:rsidRDefault="00BB5BEC" w:rsidP="00FD5520">
      <w:pPr>
        <w:shd w:val="clear" w:color="auto" w:fill="FFFFFF" w:themeFill="background1"/>
        <w:spacing w:after="0" w:line="240" w:lineRule="auto"/>
        <w:jc w:val="both"/>
        <w:rPr>
          <w:rFonts w:ascii="Arial" w:eastAsia="Arial" w:hAnsi="Arial" w:cs="Arial"/>
          <w:sz w:val="20"/>
          <w:szCs w:val="20"/>
        </w:rPr>
      </w:pPr>
    </w:p>
    <w:p w14:paraId="756259F9" w14:textId="77777777" w:rsidR="00D91782" w:rsidRPr="00215B2F" w:rsidRDefault="00D91782" w:rsidP="001E0BD2">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4" w:name="_Ref202959997"/>
      <w:r w:rsidRPr="00215B2F">
        <w:rPr>
          <w:rFonts w:ascii="Arial" w:eastAsia="Arial" w:hAnsi="Arial" w:cs="Arial"/>
          <w:b/>
          <w:bCs/>
          <w:sz w:val="20"/>
          <w:szCs w:val="20"/>
        </w:rPr>
        <w:t>člen</w:t>
      </w:r>
      <w:bookmarkEnd w:id="24"/>
    </w:p>
    <w:p w14:paraId="22428A3F" w14:textId="77777777" w:rsidR="00D91782" w:rsidRPr="00215B2F" w:rsidRDefault="00D91782" w:rsidP="00FD5520">
      <w:pPr>
        <w:pStyle w:val="Slog1"/>
        <w:shd w:val="clear" w:color="auto" w:fill="FFFFFF" w:themeFill="background1"/>
        <w:rPr>
          <w:sz w:val="20"/>
          <w:szCs w:val="20"/>
        </w:rPr>
      </w:pPr>
      <w:r w:rsidRPr="00215B2F">
        <w:rPr>
          <w:sz w:val="20"/>
          <w:szCs w:val="20"/>
        </w:rPr>
        <w:t>(pristojnost Banke Slovenije za nadzor nad drugimi osebami)</w:t>
      </w:r>
    </w:p>
    <w:p w14:paraId="6DBE5160" w14:textId="77777777" w:rsidR="00D91782" w:rsidRPr="00215B2F" w:rsidRDefault="00D91782" w:rsidP="00FD5520">
      <w:pPr>
        <w:pStyle w:val="Slog1"/>
        <w:shd w:val="clear" w:color="auto" w:fill="FFFFFF" w:themeFill="background1"/>
        <w:jc w:val="both"/>
        <w:rPr>
          <w:sz w:val="20"/>
          <w:szCs w:val="20"/>
        </w:rPr>
      </w:pPr>
    </w:p>
    <w:p w14:paraId="3944BC72" w14:textId="321C535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je pristojna in odgovorna za nadzor nad osebami, ki v nasprotju s prepovedjo, določeno v </w:t>
      </w:r>
      <w:r w:rsidR="009C31EB" w:rsidRPr="00215B2F">
        <w:rPr>
          <w:rFonts w:ascii="Arial" w:eastAsia="Arial" w:hAnsi="Arial" w:cs="Arial"/>
          <w:sz w:val="20"/>
          <w:szCs w:val="20"/>
        </w:rPr>
        <w:t>139</w:t>
      </w:r>
      <w:r w:rsidRPr="00215B2F">
        <w:rPr>
          <w:rFonts w:ascii="Arial" w:eastAsia="Arial" w:hAnsi="Arial" w:cs="Arial"/>
          <w:sz w:val="20"/>
          <w:szCs w:val="20"/>
        </w:rPr>
        <w:t xml:space="preserve">. </w:t>
      </w:r>
      <w:r w:rsidR="001F2C7A" w:rsidRPr="00215B2F">
        <w:rPr>
          <w:rFonts w:ascii="Arial" w:eastAsia="Arial" w:hAnsi="Arial" w:cs="Arial"/>
          <w:sz w:val="20"/>
          <w:szCs w:val="20"/>
        </w:rPr>
        <w:t>členu tega zakona</w:t>
      </w:r>
      <w:r w:rsidRPr="00215B2F">
        <w:rPr>
          <w:rFonts w:ascii="Arial" w:eastAsia="Arial" w:hAnsi="Arial" w:cs="Arial"/>
          <w:sz w:val="20"/>
          <w:szCs w:val="20"/>
        </w:rPr>
        <w:t>, opravljajo storitve sprejemanja depozitov ali drugih vračljivih sredstev od javnosti.</w:t>
      </w:r>
    </w:p>
    <w:p w14:paraId="53CAA106"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CFE42E6" w14:textId="56BACE61" w:rsidR="00D91782" w:rsidRPr="00215B2F" w:rsidRDefault="00D91782" w:rsidP="00FD5520">
      <w:pPr>
        <w:shd w:val="clear" w:color="auto" w:fill="FFFFFF" w:themeFill="background1"/>
        <w:spacing w:after="0" w:line="240" w:lineRule="auto"/>
        <w:jc w:val="both"/>
        <w:rPr>
          <w:rStyle w:val="OddelekZnak1"/>
          <w:rFonts w:ascii="Arial" w:eastAsia="Arial" w:hAnsi="Arial" w:cs="Arial"/>
          <w:sz w:val="20"/>
          <w:szCs w:val="20"/>
        </w:rPr>
      </w:pPr>
      <w:r w:rsidRPr="00215B2F">
        <w:rPr>
          <w:rFonts w:ascii="Arial" w:eastAsia="Arial" w:hAnsi="Arial" w:cs="Arial"/>
          <w:sz w:val="20"/>
          <w:szCs w:val="20"/>
        </w:rPr>
        <w:t xml:space="preserve">(2) Nadzor nad osebami iz prejšnjega odstavka se opravlja v obsegu, določenem v oddelku </w:t>
      </w:r>
      <w:r w:rsidR="009C31EB" w:rsidRPr="00215B2F">
        <w:rPr>
          <w:rStyle w:val="OddelekZnak1"/>
          <w:rFonts w:ascii="Arial" w:eastAsia="Arial" w:hAnsi="Arial" w:cs="Arial"/>
          <w:sz w:val="20"/>
          <w:szCs w:val="20"/>
        </w:rPr>
        <w:t>12.4</w:t>
      </w:r>
      <w:r w:rsidRPr="00215B2F">
        <w:rPr>
          <w:rStyle w:val="OddelekZnak1"/>
          <w:rFonts w:ascii="Arial" w:eastAsia="Arial" w:hAnsi="Arial" w:cs="Arial"/>
          <w:sz w:val="20"/>
          <w:szCs w:val="20"/>
        </w:rPr>
        <w:t xml:space="preserve"> tega zakona.</w:t>
      </w:r>
    </w:p>
    <w:p w14:paraId="6159311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5BD40C2" w14:textId="77777777" w:rsidR="00D91782" w:rsidRPr="00215B2F" w:rsidRDefault="00D91782" w:rsidP="001E0BD2">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5" w:name="_Ref202960005"/>
      <w:r w:rsidRPr="00215B2F">
        <w:rPr>
          <w:rFonts w:ascii="Arial" w:eastAsia="Arial" w:hAnsi="Arial" w:cs="Arial"/>
          <w:b/>
          <w:bCs/>
          <w:sz w:val="20"/>
          <w:szCs w:val="20"/>
        </w:rPr>
        <w:t>člen</w:t>
      </w:r>
      <w:bookmarkEnd w:id="25"/>
    </w:p>
    <w:p w14:paraId="5A6FA567" w14:textId="77777777" w:rsidR="00D91782" w:rsidRPr="00215B2F" w:rsidRDefault="00D91782" w:rsidP="00FD5520">
      <w:pPr>
        <w:pStyle w:val="Slog1"/>
        <w:shd w:val="clear" w:color="auto" w:fill="FFFFFF" w:themeFill="background1"/>
        <w:rPr>
          <w:sz w:val="20"/>
          <w:szCs w:val="20"/>
        </w:rPr>
      </w:pPr>
      <w:r w:rsidRPr="00215B2F">
        <w:rPr>
          <w:sz w:val="20"/>
          <w:szCs w:val="20"/>
        </w:rPr>
        <w:t>(sodelovanje v Evropskem sistemu finančnega nadzora)</w:t>
      </w:r>
    </w:p>
    <w:p w14:paraId="082934A4" w14:textId="77777777" w:rsidR="00D91782" w:rsidRPr="00215B2F" w:rsidRDefault="00D91782" w:rsidP="00FD5520">
      <w:pPr>
        <w:pStyle w:val="Slog1"/>
        <w:shd w:val="clear" w:color="auto" w:fill="FFFFFF" w:themeFill="background1"/>
        <w:jc w:val="both"/>
        <w:rPr>
          <w:sz w:val="20"/>
          <w:szCs w:val="20"/>
        </w:rPr>
      </w:pPr>
    </w:p>
    <w:p w14:paraId="2FD5315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si pri izvajanju nalog in pristojnosti v zvezi z nadzorom nad bankami v skladu s tem zakonom in Uredbo 575/2013/EU, zlasti s sodelovanjem s pristojnimi organi držav članic in organi Evropske unije, prizadeva za oblikovanje in uveljavljanje enotnih nadzornih orodij in praks.</w:t>
      </w:r>
    </w:p>
    <w:p w14:paraId="0705423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0D2FEE6" w14:textId="139157F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Za namene iz prejšnjega odstavka Banka Slovenije sodeluje:</w:t>
      </w:r>
    </w:p>
    <w:p w14:paraId="03D6A12D" w14:textId="77777777" w:rsidR="00C37513" w:rsidRPr="00215B2F" w:rsidRDefault="00C37513" w:rsidP="00FD5520">
      <w:pPr>
        <w:shd w:val="clear" w:color="auto" w:fill="FFFFFF" w:themeFill="background1"/>
        <w:spacing w:after="0" w:line="240" w:lineRule="auto"/>
        <w:jc w:val="both"/>
        <w:rPr>
          <w:rFonts w:ascii="Arial" w:eastAsia="Arial" w:hAnsi="Arial" w:cs="Arial"/>
          <w:sz w:val="20"/>
          <w:szCs w:val="20"/>
        </w:rPr>
      </w:pPr>
    </w:p>
    <w:p w14:paraId="1A371782" w14:textId="77777777" w:rsidR="007B4BBE" w:rsidRPr="00215B2F" w:rsidRDefault="007B4BBE" w:rsidP="007B4BBE">
      <w:pPr>
        <w:pStyle w:val="tevilnatoka"/>
        <w:numPr>
          <w:ilvl w:val="0"/>
          <w:numId w:val="36"/>
        </w:numPr>
        <w:shd w:val="clear" w:color="auto" w:fill="FFFFFF" w:themeFill="background1"/>
        <w:tabs>
          <w:tab w:val="clear" w:pos="425"/>
        </w:tabs>
        <w:rPr>
          <w:rFonts w:cs="Arial"/>
          <w:bCs/>
          <w:sz w:val="20"/>
          <w:szCs w:val="20"/>
        </w:rPr>
      </w:pPr>
      <w:r w:rsidRPr="00215B2F">
        <w:rPr>
          <w:rFonts w:eastAsia="Arial" w:cs="Arial"/>
          <w:sz w:val="20"/>
          <w:szCs w:val="20"/>
        </w:rPr>
        <w:lastRenderedPageBreak/>
        <w:t>kot članica Evropskega sistema finančnega nadzora ter zlasti zagotavlja pretok ustreznih in zanesljivih informacij med člani sistema,</w:t>
      </w:r>
    </w:p>
    <w:p w14:paraId="4E8DA533" w14:textId="77777777" w:rsidR="007B4BBE" w:rsidRPr="00215B2F" w:rsidRDefault="007B4BBE" w:rsidP="007B4BBE">
      <w:pPr>
        <w:pStyle w:val="tevilnatoka"/>
        <w:numPr>
          <w:ilvl w:val="0"/>
          <w:numId w:val="36"/>
        </w:numPr>
        <w:shd w:val="clear" w:color="auto" w:fill="FFFFFF" w:themeFill="background1"/>
        <w:tabs>
          <w:tab w:val="clear" w:pos="425"/>
        </w:tabs>
        <w:rPr>
          <w:rFonts w:cs="Arial"/>
          <w:bCs/>
          <w:sz w:val="20"/>
          <w:szCs w:val="20"/>
        </w:rPr>
      </w:pPr>
      <w:r w:rsidRPr="00215B2F">
        <w:rPr>
          <w:rFonts w:eastAsia="Arial" w:cs="Arial"/>
          <w:sz w:val="20"/>
          <w:szCs w:val="20"/>
        </w:rPr>
        <w:t>pri dejavnostih Evropskega bančnega organa in po potrebi v kolegijih nadzornikov,</w:t>
      </w:r>
    </w:p>
    <w:p w14:paraId="2B07809A" w14:textId="77777777" w:rsidR="007B4BBE" w:rsidRPr="00215B2F" w:rsidRDefault="007B4BBE" w:rsidP="007B4BBE">
      <w:pPr>
        <w:pStyle w:val="tevilnatoka"/>
        <w:numPr>
          <w:ilvl w:val="0"/>
          <w:numId w:val="36"/>
        </w:numPr>
        <w:shd w:val="clear" w:color="auto" w:fill="FFFFFF" w:themeFill="background1"/>
        <w:tabs>
          <w:tab w:val="clear" w:pos="425"/>
        </w:tabs>
        <w:rPr>
          <w:rFonts w:cs="Arial"/>
          <w:bCs/>
          <w:sz w:val="20"/>
          <w:szCs w:val="20"/>
        </w:rPr>
      </w:pPr>
      <w:r w:rsidRPr="00215B2F">
        <w:rPr>
          <w:rFonts w:eastAsia="Arial" w:cs="Arial"/>
          <w:sz w:val="20"/>
          <w:szCs w:val="20"/>
        </w:rPr>
        <w:t>z Evropskim odborom za sistemska tveganja.</w:t>
      </w:r>
    </w:p>
    <w:p w14:paraId="7C30FAA9" w14:textId="77777777" w:rsidR="007B4BBE" w:rsidRPr="00215B2F" w:rsidRDefault="007B4BBE" w:rsidP="00FD5520">
      <w:pPr>
        <w:shd w:val="clear" w:color="auto" w:fill="FFFFFF" w:themeFill="background1"/>
        <w:spacing w:after="0" w:line="240" w:lineRule="auto"/>
        <w:jc w:val="both"/>
        <w:rPr>
          <w:rFonts w:ascii="Arial" w:eastAsia="Arial" w:hAnsi="Arial" w:cs="Arial"/>
          <w:sz w:val="20"/>
          <w:szCs w:val="20"/>
        </w:rPr>
      </w:pPr>
    </w:p>
    <w:p w14:paraId="44650D1B" w14:textId="3636484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odloči o uporabi smernic ali priporočil evropskega nadzornega organa, ki zadevajo subjekte, za nadzor nad katerimi je pristojna Banka Slovenije, ter lahko v celoti ali delno zavrne uporabo posameznih smernic ali priporočil, če so za to utemeljeni razlogi. Sklep o uporabi smernic ali priporočil iz prejšnjega stavka se objavi v Uradnem listu Republike Slovenije.</w:t>
      </w:r>
    </w:p>
    <w:p w14:paraId="0B903462"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3B4A996" w14:textId="45B0036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Pristojnosti Banke Slovenije po tem </w:t>
      </w:r>
      <w:r w:rsidR="00584BCC" w:rsidRPr="00215B2F">
        <w:rPr>
          <w:rFonts w:ascii="Arial" w:eastAsia="Arial" w:hAnsi="Arial" w:cs="Arial"/>
          <w:sz w:val="20"/>
          <w:szCs w:val="20"/>
        </w:rPr>
        <w:t xml:space="preserve">zakonu </w:t>
      </w:r>
      <w:r w:rsidRPr="00215B2F">
        <w:rPr>
          <w:rFonts w:ascii="Arial" w:eastAsia="Arial" w:hAnsi="Arial" w:cs="Arial"/>
          <w:sz w:val="20"/>
          <w:szCs w:val="20"/>
        </w:rPr>
        <w:t>in drugih zakonih ne smejo vplivati na izvajanje njenih nalog iz prejšnjega odstavka.</w:t>
      </w:r>
    </w:p>
    <w:p w14:paraId="74DAC51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7C80F40" w14:textId="198603FC"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2.2 SPLOŠNA NAČELA V ZVEZI Z IZVAJANJEM NADZORA</w:t>
      </w:r>
    </w:p>
    <w:p w14:paraId="20FDC286"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421C51F7" w14:textId="45539FA1"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2.2.1 Zaupne informacije</w:t>
      </w:r>
    </w:p>
    <w:p w14:paraId="53814EEA"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22BD4D36" w14:textId="77777777" w:rsidR="00D91782" w:rsidRPr="00215B2F" w:rsidRDefault="00D91782" w:rsidP="001E0BD2">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6" w:name="_Ref202960010"/>
      <w:r w:rsidRPr="00215B2F">
        <w:rPr>
          <w:rFonts w:ascii="Arial" w:eastAsia="Arial" w:hAnsi="Arial" w:cs="Arial"/>
          <w:b/>
          <w:bCs/>
          <w:sz w:val="20"/>
          <w:szCs w:val="20"/>
        </w:rPr>
        <w:t>člen</w:t>
      </w:r>
      <w:bookmarkEnd w:id="26"/>
    </w:p>
    <w:p w14:paraId="0795EC37" w14:textId="77777777" w:rsidR="00D91782" w:rsidRPr="00215B2F" w:rsidRDefault="00D91782" w:rsidP="00FD5520">
      <w:pPr>
        <w:pStyle w:val="Slog1"/>
        <w:shd w:val="clear" w:color="auto" w:fill="FFFFFF" w:themeFill="background1"/>
        <w:rPr>
          <w:sz w:val="20"/>
          <w:szCs w:val="20"/>
        </w:rPr>
      </w:pPr>
      <w:r w:rsidRPr="00215B2F">
        <w:rPr>
          <w:sz w:val="20"/>
          <w:szCs w:val="20"/>
        </w:rPr>
        <w:t>(obveznost varovanja zaupnih informacij)</w:t>
      </w:r>
    </w:p>
    <w:p w14:paraId="1D93B94C" w14:textId="77777777" w:rsidR="00D91782" w:rsidRPr="00215B2F" w:rsidRDefault="00D91782" w:rsidP="00FD5520">
      <w:pPr>
        <w:pStyle w:val="Slog1"/>
        <w:shd w:val="clear" w:color="auto" w:fill="FFFFFF" w:themeFill="background1"/>
        <w:jc w:val="both"/>
        <w:rPr>
          <w:sz w:val="20"/>
          <w:szCs w:val="20"/>
        </w:rPr>
      </w:pPr>
    </w:p>
    <w:p w14:paraId="47385EB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27" w:name="_Hlk203467586"/>
      <w:r w:rsidRPr="00215B2F">
        <w:rPr>
          <w:rFonts w:ascii="Arial" w:eastAsia="Arial" w:hAnsi="Arial" w:cs="Arial"/>
          <w:sz w:val="20"/>
          <w:szCs w:val="20"/>
        </w:rPr>
        <w:t>(1) Zaupne informacije po tem zakonu so vse informacije o posamezni banki, ki jih pri opravljanju nadzora nad banko pridobi Banka Slovenije od banke ali drugih oseb oziroma jih izdela Banka Slovenije za namene izvajanja nadzora nad posamezno banko, vključno z internimi ocenami in poročili Banke Slovenije o poslovanju posamezne banke.</w:t>
      </w:r>
    </w:p>
    <w:p w14:paraId="6053087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8977976" w14:textId="1E1B7A2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Če zakon ne določa drugače, Banka Slovenije ne sme razkriti zaupnih informacij o posamezni banki drugi osebi ali državnemu organu, razen v obliki povzetka, iz katerega ni mogoče prepoznati posameznih bank, na katere se nanašajo.</w:t>
      </w:r>
    </w:p>
    <w:p w14:paraId="7A685F15"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61B86EC" w14:textId="341FCF7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Zaposleni pri Banki Slovenije, revizorji in drugi strokovnjaki, ki delajo ali so delali po pooblastilu Banke Slovenije, morajo vse informacije, ki so jih pridobili pri opravljanju nalog za Banko Slovenije v zvezi z izvajanjem njenih nalog in pristojnosti nadzora, varovati kot zaupne in jih ne smejo razkriti nobeni drugi osebi ali državnemu organu, razen če ta zakon določa drugače.</w:t>
      </w:r>
    </w:p>
    <w:p w14:paraId="2D4E6C1B"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913EA85" w14:textId="2F7EA17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Prepoved iz drugega in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ne velja:</w:t>
      </w:r>
    </w:p>
    <w:p w14:paraId="0EFFFDAA"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bookmarkStart w:id="28" w:name="_Hlk215767602"/>
    </w:p>
    <w:p w14:paraId="32421760" w14:textId="1F2A8CD4" w:rsidR="00730AA1" w:rsidRPr="00215B2F" w:rsidRDefault="00D91782" w:rsidP="007B4BBE">
      <w:pPr>
        <w:pStyle w:val="tevilnatoka"/>
        <w:numPr>
          <w:ilvl w:val="0"/>
          <w:numId w:val="408"/>
        </w:numPr>
        <w:shd w:val="clear" w:color="auto" w:fill="FFFFFF" w:themeFill="background1"/>
        <w:tabs>
          <w:tab w:val="clear" w:pos="425"/>
        </w:tabs>
        <w:rPr>
          <w:rFonts w:cs="Arial"/>
          <w:bCs/>
          <w:sz w:val="20"/>
          <w:szCs w:val="20"/>
        </w:rPr>
      </w:pPr>
      <w:r w:rsidRPr="00215B2F">
        <w:rPr>
          <w:rFonts w:eastAsia="Arial" w:cs="Arial"/>
          <w:sz w:val="20"/>
          <w:szCs w:val="20"/>
        </w:rPr>
        <w:t>za zaupne informacije, ki so potrebne za izvedbo kazenskega, predkazenskega ali davčnega postopka;</w:t>
      </w:r>
    </w:p>
    <w:bookmarkEnd w:id="28"/>
    <w:p w14:paraId="1722ADA4" w14:textId="6BF64392" w:rsidR="00730AA1" w:rsidRPr="00215B2F" w:rsidRDefault="00D91782">
      <w:pPr>
        <w:pStyle w:val="tevilnatoka"/>
        <w:numPr>
          <w:ilvl w:val="0"/>
          <w:numId w:val="36"/>
        </w:numPr>
        <w:shd w:val="clear" w:color="auto" w:fill="FFFFFF" w:themeFill="background1"/>
        <w:tabs>
          <w:tab w:val="clear" w:pos="425"/>
        </w:tabs>
        <w:rPr>
          <w:rFonts w:cs="Arial"/>
          <w:bCs/>
          <w:sz w:val="20"/>
          <w:szCs w:val="20"/>
        </w:rPr>
      </w:pPr>
      <w:r w:rsidRPr="00215B2F">
        <w:rPr>
          <w:rFonts w:eastAsia="Arial" w:cs="Arial"/>
          <w:sz w:val="20"/>
          <w:szCs w:val="20"/>
        </w:rPr>
        <w:t>v primeru stečaja banke ali prisilne likvidacije banke</w:t>
      </w:r>
      <w:r w:rsidR="006821DB" w:rsidRPr="00215B2F">
        <w:rPr>
          <w:rFonts w:eastAsia="Arial" w:cs="Arial"/>
          <w:sz w:val="20"/>
          <w:szCs w:val="20"/>
        </w:rPr>
        <w:t xml:space="preserve"> za</w:t>
      </w:r>
      <w:r w:rsidRPr="00215B2F">
        <w:rPr>
          <w:rFonts w:eastAsia="Arial" w:cs="Arial"/>
          <w:sz w:val="20"/>
          <w:szCs w:val="20"/>
        </w:rPr>
        <w:t xml:space="preserve"> zaupn</w:t>
      </w:r>
      <w:r w:rsidR="006821DB" w:rsidRPr="00215B2F">
        <w:rPr>
          <w:rFonts w:eastAsia="Arial" w:cs="Arial"/>
          <w:sz w:val="20"/>
          <w:szCs w:val="20"/>
        </w:rPr>
        <w:t>e</w:t>
      </w:r>
      <w:r w:rsidRPr="00215B2F">
        <w:rPr>
          <w:rFonts w:eastAsia="Arial" w:cs="Arial"/>
          <w:sz w:val="20"/>
          <w:szCs w:val="20"/>
        </w:rPr>
        <w:t xml:space="preserve"> informacij</w:t>
      </w:r>
      <w:r w:rsidR="006821DB" w:rsidRPr="00215B2F">
        <w:rPr>
          <w:rFonts w:eastAsia="Arial" w:cs="Arial"/>
          <w:sz w:val="20"/>
          <w:szCs w:val="20"/>
        </w:rPr>
        <w:t>e</w:t>
      </w:r>
      <w:r w:rsidRPr="00215B2F">
        <w:rPr>
          <w:rFonts w:eastAsia="Arial" w:cs="Arial"/>
          <w:sz w:val="20"/>
          <w:szCs w:val="20"/>
        </w:rPr>
        <w:t xml:space="preserve">, ki so potrebne za uveljavljanje terjatev upnikov do banke in za izvedbo drugih dejanj v stečajnem postopku ali postopku prisilne likvidacije ter s tema postopkoma povezanih pravdnih postopkih, razen </w:t>
      </w:r>
      <w:r w:rsidR="006821DB" w:rsidRPr="00215B2F">
        <w:rPr>
          <w:rFonts w:eastAsia="Arial" w:cs="Arial"/>
          <w:sz w:val="20"/>
          <w:szCs w:val="20"/>
        </w:rPr>
        <w:t xml:space="preserve">za </w:t>
      </w:r>
      <w:r w:rsidRPr="00215B2F">
        <w:rPr>
          <w:rFonts w:eastAsia="Arial" w:cs="Arial"/>
          <w:sz w:val="20"/>
          <w:szCs w:val="20"/>
        </w:rPr>
        <w:t>informacij</w:t>
      </w:r>
      <w:r w:rsidR="006821DB" w:rsidRPr="00215B2F">
        <w:rPr>
          <w:rFonts w:eastAsia="Arial" w:cs="Arial"/>
          <w:sz w:val="20"/>
          <w:szCs w:val="20"/>
        </w:rPr>
        <w:t>e</w:t>
      </w:r>
      <w:r w:rsidRPr="00215B2F">
        <w:rPr>
          <w:rFonts w:eastAsia="Arial" w:cs="Arial"/>
          <w:sz w:val="20"/>
          <w:szCs w:val="20"/>
        </w:rPr>
        <w:t>, ki se nanašajo tudi na druge osebe, ki so bile udeležene pri poskusih reorganizacije banke;</w:t>
      </w:r>
    </w:p>
    <w:p w14:paraId="0085EDCB" w14:textId="618B2B21" w:rsidR="00730AA1" w:rsidRPr="00215B2F" w:rsidRDefault="00D91782">
      <w:pPr>
        <w:pStyle w:val="tevilnatoka"/>
        <w:numPr>
          <w:ilvl w:val="0"/>
          <w:numId w:val="36"/>
        </w:numPr>
        <w:shd w:val="clear" w:color="auto" w:fill="FFFFFF" w:themeFill="background1"/>
        <w:tabs>
          <w:tab w:val="clear" w:pos="425"/>
        </w:tabs>
        <w:rPr>
          <w:rFonts w:cs="Arial"/>
          <w:bCs/>
          <w:sz w:val="20"/>
          <w:szCs w:val="20"/>
        </w:rPr>
      </w:pPr>
      <w:r w:rsidRPr="00215B2F">
        <w:rPr>
          <w:rFonts w:eastAsia="Arial" w:cs="Arial"/>
          <w:sz w:val="20"/>
          <w:szCs w:val="20"/>
        </w:rPr>
        <w:t xml:space="preserve">za rezultate stresnih testov, ki jih izvede Banka Slovenije v skladu s petim odstavkom </w:t>
      </w:r>
      <w:r w:rsidR="00BF74AF" w:rsidRPr="00215B2F">
        <w:rPr>
          <w:rFonts w:eastAsia="Arial" w:cs="Arial"/>
          <w:sz w:val="20"/>
          <w:szCs w:val="20"/>
        </w:rPr>
        <w:t>223</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ali 32. členom Uredbe 1093/2010/EU, kadar te rezultate objavi Banka Slovenije ali jih z namenom objave po</w:t>
      </w:r>
      <w:r w:rsidR="006821DB" w:rsidRPr="00215B2F">
        <w:rPr>
          <w:rFonts w:eastAsia="Arial" w:cs="Arial"/>
          <w:sz w:val="20"/>
          <w:szCs w:val="20"/>
        </w:rPr>
        <w:t>šl</w:t>
      </w:r>
      <w:r w:rsidRPr="00215B2F">
        <w:rPr>
          <w:rFonts w:eastAsia="Arial" w:cs="Arial"/>
          <w:sz w:val="20"/>
          <w:szCs w:val="20"/>
        </w:rPr>
        <w:t>je Evropskemu bančnemu organu;</w:t>
      </w:r>
    </w:p>
    <w:p w14:paraId="0AD73615" w14:textId="59600FD6" w:rsidR="00730AA1" w:rsidRPr="00215B2F" w:rsidRDefault="00D91782">
      <w:pPr>
        <w:pStyle w:val="tevilnatoka"/>
        <w:numPr>
          <w:ilvl w:val="0"/>
          <w:numId w:val="36"/>
        </w:numPr>
        <w:shd w:val="clear" w:color="auto" w:fill="FFFFFF" w:themeFill="background1"/>
        <w:tabs>
          <w:tab w:val="clear" w:pos="425"/>
        </w:tabs>
        <w:rPr>
          <w:rFonts w:cs="Arial"/>
          <w:bCs/>
          <w:sz w:val="20"/>
          <w:szCs w:val="20"/>
        </w:rPr>
      </w:pPr>
      <w:r w:rsidRPr="00215B2F">
        <w:rPr>
          <w:rFonts w:eastAsia="Arial" w:cs="Arial"/>
          <w:sz w:val="20"/>
          <w:szCs w:val="20"/>
        </w:rPr>
        <w:t xml:space="preserve">za informacije o dovoljenjih za opravljanje bančnih, finančnih in dodatnih finančnih storitev, dovoljenjih za izdajanje hipotekarnih in komunalnih obveznic, </w:t>
      </w:r>
      <w:r w:rsidR="006821DB" w:rsidRPr="00215B2F">
        <w:rPr>
          <w:rFonts w:eastAsia="Arial" w:cs="Arial"/>
          <w:sz w:val="20"/>
          <w:szCs w:val="20"/>
        </w:rPr>
        <w:t xml:space="preserve">o </w:t>
      </w:r>
      <w:r w:rsidRPr="00215B2F">
        <w:rPr>
          <w:rFonts w:eastAsia="Arial" w:cs="Arial"/>
          <w:sz w:val="20"/>
          <w:szCs w:val="20"/>
        </w:rPr>
        <w:t xml:space="preserve">odločbah za pridobitev kvalificiranega deleža ter </w:t>
      </w:r>
      <w:r w:rsidR="006821DB" w:rsidRPr="00215B2F">
        <w:rPr>
          <w:rFonts w:eastAsia="Arial" w:cs="Arial"/>
          <w:sz w:val="20"/>
          <w:szCs w:val="20"/>
        </w:rPr>
        <w:t xml:space="preserve">o </w:t>
      </w:r>
      <w:r w:rsidRPr="00215B2F">
        <w:rPr>
          <w:rFonts w:eastAsia="Arial" w:cs="Arial"/>
          <w:sz w:val="20"/>
          <w:szCs w:val="20"/>
        </w:rPr>
        <w:t xml:space="preserve">dovoljenjih za opravljanje funkcije </w:t>
      </w:r>
      <w:r w:rsidR="00882103" w:rsidRPr="00215B2F">
        <w:rPr>
          <w:rFonts w:cs="Arial"/>
          <w:sz w:val="20"/>
          <w:szCs w:val="20"/>
        </w:rPr>
        <w:t xml:space="preserve">člana </w:t>
      </w:r>
      <w:r w:rsidR="007162E7" w:rsidRPr="00215B2F">
        <w:rPr>
          <w:rFonts w:cs="Arial"/>
          <w:sz w:val="20"/>
          <w:szCs w:val="20"/>
        </w:rPr>
        <w:t xml:space="preserve">ali članice </w:t>
      </w:r>
      <w:r w:rsidR="00882103" w:rsidRPr="00215B2F">
        <w:rPr>
          <w:rFonts w:cs="Arial"/>
          <w:sz w:val="20"/>
          <w:szCs w:val="20"/>
        </w:rPr>
        <w:t>uprave</w:t>
      </w:r>
      <w:r w:rsidRPr="00215B2F">
        <w:rPr>
          <w:rFonts w:eastAsia="Arial" w:cs="Arial"/>
          <w:sz w:val="20"/>
          <w:szCs w:val="20"/>
        </w:rPr>
        <w:t xml:space="preserve"> </w:t>
      </w:r>
      <w:r w:rsidR="007162E7" w:rsidRPr="00215B2F">
        <w:rPr>
          <w:rFonts w:eastAsia="Arial" w:cs="Arial"/>
          <w:sz w:val="20"/>
          <w:szCs w:val="20"/>
        </w:rPr>
        <w:t xml:space="preserve">(v nadaljnjem besedilu: član uprave) </w:t>
      </w:r>
      <w:r w:rsidRPr="00215B2F">
        <w:rPr>
          <w:rFonts w:eastAsia="Arial" w:cs="Arial"/>
          <w:sz w:val="20"/>
          <w:szCs w:val="20"/>
        </w:rPr>
        <w:t xml:space="preserve">in dovoljenjih za opravljanje funkcije člana </w:t>
      </w:r>
      <w:r w:rsidR="00F938A5" w:rsidRPr="00215B2F">
        <w:rPr>
          <w:rFonts w:eastAsia="Arial" w:cs="Arial"/>
          <w:sz w:val="20"/>
          <w:szCs w:val="20"/>
        </w:rPr>
        <w:t xml:space="preserve">ali članice </w:t>
      </w:r>
      <w:r w:rsidRPr="00215B2F">
        <w:rPr>
          <w:rFonts w:eastAsia="Arial" w:cs="Arial"/>
          <w:sz w:val="20"/>
          <w:szCs w:val="20"/>
        </w:rPr>
        <w:t>nadzornega sveta</w:t>
      </w:r>
      <w:r w:rsidR="00F938A5" w:rsidRPr="00215B2F">
        <w:rPr>
          <w:rFonts w:eastAsia="Arial" w:cs="Arial"/>
          <w:sz w:val="20"/>
          <w:szCs w:val="20"/>
        </w:rPr>
        <w:t xml:space="preserve"> (v nadaljnjem besedilu: član nadzornega sveta)</w:t>
      </w:r>
      <w:r w:rsidRPr="00215B2F">
        <w:rPr>
          <w:rFonts w:eastAsia="Arial" w:cs="Arial"/>
          <w:sz w:val="20"/>
          <w:szCs w:val="20"/>
        </w:rPr>
        <w:t>;</w:t>
      </w:r>
    </w:p>
    <w:p w14:paraId="76ED1BCF" w14:textId="673FF3D3" w:rsidR="00D91782" w:rsidRPr="00215B2F" w:rsidRDefault="00D91782">
      <w:pPr>
        <w:pStyle w:val="tevilnatoka"/>
        <w:numPr>
          <w:ilvl w:val="0"/>
          <w:numId w:val="36"/>
        </w:numPr>
        <w:shd w:val="clear" w:color="auto" w:fill="FFFFFF" w:themeFill="background1"/>
        <w:tabs>
          <w:tab w:val="clear" w:pos="425"/>
        </w:tabs>
        <w:rPr>
          <w:rFonts w:cs="Arial"/>
          <w:bCs/>
          <w:sz w:val="20"/>
          <w:szCs w:val="20"/>
        </w:rPr>
      </w:pPr>
      <w:r w:rsidRPr="00215B2F">
        <w:rPr>
          <w:rFonts w:eastAsia="Arial" w:cs="Arial"/>
          <w:sz w:val="20"/>
          <w:szCs w:val="20"/>
        </w:rPr>
        <w:t xml:space="preserve">v drugih primerih, ko zakon izrecno določa, da Banka Slovenije ali oseba iz </w:t>
      </w:r>
      <w:r w:rsidR="005F4BCE" w:rsidRPr="00215B2F">
        <w:rPr>
          <w:rFonts w:eastAsia="Arial" w:cs="Arial"/>
          <w:sz w:val="20"/>
          <w:szCs w:val="20"/>
        </w:rPr>
        <w:t xml:space="preserve">prejšnjega </w:t>
      </w:r>
      <w:r w:rsidR="00746E88" w:rsidRPr="00215B2F">
        <w:rPr>
          <w:rFonts w:eastAsia="Arial" w:cs="Arial"/>
          <w:sz w:val="20"/>
          <w:szCs w:val="20"/>
        </w:rPr>
        <w:t xml:space="preserve">odstavka </w:t>
      </w:r>
      <w:r w:rsidRPr="00215B2F">
        <w:rPr>
          <w:rFonts w:eastAsia="Arial" w:cs="Arial"/>
          <w:sz w:val="20"/>
          <w:szCs w:val="20"/>
        </w:rPr>
        <w:t>zaupne informacije lahko razkrije javnosti ali določenim prejemnikom.</w:t>
      </w:r>
    </w:p>
    <w:p w14:paraId="1D86D2C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150BE01" w14:textId="5A3C166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Obveznost varovanja zaupnih informacij iz tega člena velja tudi za informacije, ki jih Banka Slovenije oziroma osebe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pridobijo v okviru izmenjave informacij z Evropskim bančnim organom, Evropskim organom za vrednostne papirje in trge, Evropskim odborom za sistemska tveganja, nadzornimi organi Republike Slovenije ali pristojnimi organi drugih držav članic, vključno z Evropsko centralno banko, kadar</w:t>
      </w:r>
      <w:r w:rsidR="002512B4" w:rsidRPr="00215B2F">
        <w:rPr>
          <w:rFonts w:ascii="Arial" w:eastAsia="Arial" w:hAnsi="Arial" w:cs="Arial"/>
          <w:sz w:val="20"/>
          <w:szCs w:val="20"/>
        </w:rPr>
        <w:t xml:space="preserve"> ta</w:t>
      </w:r>
      <w:r w:rsidRPr="00215B2F">
        <w:rPr>
          <w:rFonts w:ascii="Arial" w:eastAsia="Arial" w:hAnsi="Arial" w:cs="Arial"/>
          <w:sz w:val="20"/>
          <w:szCs w:val="20"/>
        </w:rPr>
        <w:t xml:space="preserve"> izvaja pooblastila pristojnega organa v skladu z Uredbo 575/2013/EU in Uredbo (EU) 2019/2033 Evropskega parlamenta in Sveta z dne 27. novembra 2019 o </w:t>
      </w:r>
      <w:r w:rsidRPr="00215B2F">
        <w:rPr>
          <w:rFonts w:ascii="Arial" w:eastAsia="Arial" w:hAnsi="Arial" w:cs="Arial"/>
          <w:sz w:val="20"/>
          <w:szCs w:val="20"/>
        </w:rPr>
        <w:lastRenderedPageBreak/>
        <w:t>bonitetnih zahtevah za investicijska podjetja ter o spremembi uredb (EU) št. 1093/2010, (EU) št. 575/2013, (EU) št. 600/2014 in (EU) št. 806/2014</w:t>
      </w:r>
      <w:r w:rsidR="004761A7" w:rsidRPr="00215B2F">
        <w:rPr>
          <w:rFonts w:ascii="Arial" w:eastAsia="Arial" w:hAnsi="Arial" w:cs="Arial"/>
          <w:sz w:val="20"/>
          <w:szCs w:val="20"/>
        </w:rPr>
        <w:t xml:space="preserve"> (UL L št. 314 z dne 5. 12. 2019)</w:t>
      </w:r>
      <w:r w:rsidR="008C3B41" w:rsidRPr="00215B2F">
        <w:rPr>
          <w:rFonts w:ascii="Arial" w:eastAsia="Arial" w:hAnsi="Arial" w:cs="Arial"/>
          <w:sz w:val="20"/>
          <w:szCs w:val="20"/>
        </w:rPr>
        <w:t>, zadnjič spremenjeno z Uredbo (EU) 2023/2869 Evropskega parlamenta in Sveta z dne 13. decembra 2023 o spremembi nekaterih uredb glede vzpostavitve in delovanja evropske enotne točke dostopa (UL L št. 2023/2869 z dne 20. 12. 2023</w:t>
      </w:r>
      <w:r w:rsidR="005F4BCE" w:rsidRPr="00215B2F">
        <w:rPr>
          <w:rFonts w:ascii="Arial" w:eastAsia="Arial" w:hAnsi="Arial" w:cs="Arial"/>
          <w:sz w:val="20"/>
          <w:szCs w:val="20"/>
        </w:rPr>
        <w:t>)</w:t>
      </w:r>
      <w:r w:rsidRPr="00215B2F">
        <w:rPr>
          <w:rFonts w:ascii="Arial" w:eastAsia="Arial" w:hAnsi="Arial" w:cs="Arial"/>
          <w:sz w:val="20"/>
          <w:szCs w:val="20"/>
        </w:rPr>
        <w:t xml:space="preserve">; </w:t>
      </w:r>
      <w:r w:rsidR="005F4BCE" w:rsidRPr="00215B2F">
        <w:rPr>
          <w:rFonts w:ascii="Arial" w:eastAsia="Arial" w:hAnsi="Arial" w:cs="Arial"/>
          <w:sz w:val="20"/>
          <w:szCs w:val="20"/>
        </w:rPr>
        <w:t>(</w:t>
      </w:r>
      <w:r w:rsidRPr="00215B2F">
        <w:rPr>
          <w:rFonts w:ascii="Arial" w:eastAsia="Arial" w:hAnsi="Arial" w:cs="Arial"/>
          <w:sz w:val="20"/>
          <w:szCs w:val="20"/>
        </w:rPr>
        <w:t>v nadaljnjem besedilu</w:t>
      </w:r>
      <w:r w:rsidR="005F4BCE" w:rsidRPr="00215B2F">
        <w:rPr>
          <w:rFonts w:ascii="Arial" w:eastAsia="Arial" w:hAnsi="Arial" w:cs="Arial"/>
          <w:sz w:val="20"/>
          <w:szCs w:val="20"/>
        </w:rPr>
        <w:t>:</w:t>
      </w:r>
      <w:r w:rsidRPr="00215B2F">
        <w:rPr>
          <w:rFonts w:ascii="Arial" w:eastAsia="Arial" w:hAnsi="Arial" w:cs="Arial"/>
          <w:sz w:val="20"/>
          <w:szCs w:val="20"/>
        </w:rPr>
        <w:t xml:space="preserve"> Uredba 2019/2033/EU), ter organi držav članic, ki upravljajo sisteme jamstva za vloge, v skladu s tem zakonom in Uredbo 575/2013/EU.</w:t>
      </w:r>
    </w:p>
    <w:p w14:paraId="467AB1D6"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195CBC3" w14:textId="448949D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Banka Slovenije obdeluje osebne podatke, ki jih pridobi v okviru izvajanja nalog in pooblastil, določenih s tem zakonom ali Uredbo 575/2013/EU</w:t>
      </w:r>
      <w:r w:rsidR="00652137" w:rsidRPr="00215B2F">
        <w:rPr>
          <w:rFonts w:ascii="Arial" w:eastAsia="Arial" w:hAnsi="Arial" w:cs="Arial"/>
          <w:sz w:val="20"/>
          <w:szCs w:val="20"/>
        </w:rPr>
        <w:t>,</w:t>
      </w:r>
      <w:r w:rsidRPr="00215B2F">
        <w:rPr>
          <w:rFonts w:ascii="Arial" w:eastAsia="Arial" w:hAnsi="Arial" w:cs="Arial"/>
          <w:sz w:val="20"/>
          <w:szCs w:val="20"/>
        </w:rPr>
        <w:t xml:space="preserve"> in v skladu s predpisi, ki urejajo varstvo osebnih podatkov.</w:t>
      </w:r>
    </w:p>
    <w:bookmarkEnd w:id="27"/>
    <w:p w14:paraId="3AB6AF7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D75387D" w14:textId="77777777" w:rsidR="00D91782" w:rsidRPr="00215B2F" w:rsidRDefault="00D91782" w:rsidP="001E0BD2">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9" w:name="_Ref202960042"/>
      <w:r w:rsidRPr="00215B2F">
        <w:rPr>
          <w:rFonts w:ascii="Arial" w:eastAsia="Arial" w:hAnsi="Arial" w:cs="Arial"/>
          <w:b/>
          <w:bCs/>
          <w:sz w:val="20"/>
          <w:szCs w:val="20"/>
        </w:rPr>
        <w:t>člen</w:t>
      </w:r>
      <w:bookmarkEnd w:id="29"/>
    </w:p>
    <w:p w14:paraId="05F8057E" w14:textId="356AF1D1" w:rsidR="00D91782" w:rsidRPr="00215B2F" w:rsidRDefault="00D91782" w:rsidP="00FD5520">
      <w:pPr>
        <w:pStyle w:val="Slog1"/>
        <w:shd w:val="clear" w:color="auto" w:fill="FFFFFF" w:themeFill="background1"/>
        <w:rPr>
          <w:sz w:val="20"/>
          <w:szCs w:val="20"/>
        </w:rPr>
      </w:pPr>
      <w:r w:rsidRPr="00215B2F">
        <w:rPr>
          <w:sz w:val="20"/>
          <w:szCs w:val="20"/>
        </w:rPr>
        <w:t>(uporaba in po</w:t>
      </w:r>
      <w:r w:rsidR="00652137" w:rsidRPr="00215B2F">
        <w:rPr>
          <w:sz w:val="20"/>
          <w:szCs w:val="20"/>
        </w:rPr>
        <w:t>šilj</w:t>
      </w:r>
      <w:r w:rsidRPr="00215B2F">
        <w:rPr>
          <w:sz w:val="20"/>
          <w:szCs w:val="20"/>
        </w:rPr>
        <w:t>anje zaupnih informacij)</w:t>
      </w:r>
    </w:p>
    <w:p w14:paraId="16F75432" w14:textId="77777777" w:rsidR="00D91782" w:rsidRPr="00215B2F" w:rsidRDefault="00D91782" w:rsidP="00FD5520">
      <w:pPr>
        <w:pStyle w:val="Slog1"/>
        <w:shd w:val="clear" w:color="auto" w:fill="FFFFFF" w:themeFill="background1"/>
        <w:jc w:val="both"/>
        <w:rPr>
          <w:sz w:val="20"/>
          <w:szCs w:val="20"/>
        </w:rPr>
      </w:pPr>
    </w:p>
    <w:p w14:paraId="2965B61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sme zaupne informacije uporabiti samo za naslednje namene:</w:t>
      </w:r>
    </w:p>
    <w:p w14:paraId="7D4FE3A4"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70B9D94" w14:textId="77777777" w:rsidR="00730AA1" w:rsidRPr="00215B2F" w:rsidRDefault="00D91782">
      <w:pPr>
        <w:pStyle w:val="tevilnatoka"/>
        <w:numPr>
          <w:ilvl w:val="0"/>
          <w:numId w:val="37"/>
        </w:numPr>
        <w:shd w:val="clear" w:color="auto" w:fill="FFFFFF" w:themeFill="background1"/>
        <w:tabs>
          <w:tab w:val="clear" w:pos="425"/>
        </w:tabs>
        <w:rPr>
          <w:rFonts w:cs="Arial"/>
          <w:bCs/>
          <w:sz w:val="20"/>
          <w:szCs w:val="20"/>
        </w:rPr>
      </w:pPr>
      <w:r w:rsidRPr="00215B2F">
        <w:rPr>
          <w:rFonts w:eastAsia="Arial" w:cs="Arial"/>
          <w:sz w:val="20"/>
          <w:szCs w:val="20"/>
        </w:rPr>
        <w:t>da preveri pogoje za izdajo dovoljenj in soglasij, o katerih odloča na podlagi tega zakona ali Uredbe 575/2013/EU in drugih zakonov, ter da zagotovi učinkovito spremljanje poslovanja bank na posamični in konsolidirani podlagi;</w:t>
      </w:r>
    </w:p>
    <w:p w14:paraId="693F98BC" w14:textId="62CBB1A5" w:rsidR="00730AA1" w:rsidRPr="00215B2F" w:rsidRDefault="00D91782">
      <w:pPr>
        <w:pStyle w:val="tevilnatoka"/>
        <w:numPr>
          <w:ilvl w:val="0"/>
          <w:numId w:val="37"/>
        </w:numPr>
        <w:shd w:val="clear" w:color="auto" w:fill="FFFFFF" w:themeFill="background1"/>
        <w:tabs>
          <w:tab w:val="clear" w:pos="425"/>
        </w:tabs>
        <w:rPr>
          <w:rFonts w:cs="Arial"/>
          <w:bCs/>
          <w:sz w:val="20"/>
          <w:szCs w:val="20"/>
        </w:rPr>
      </w:pPr>
      <w:r w:rsidRPr="00215B2F">
        <w:rPr>
          <w:rFonts w:eastAsia="Arial" w:cs="Arial"/>
          <w:sz w:val="20"/>
          <w:szCs w:val="20"/>
        </w:rPr>
        <w:t xml:space="preserve">da izreka ukrepe nadzora </w:t>
      </w:r>
      <w:r w:rsidR="00652137" w:rsidRPr="00215B2F">
        <w:rPr>
          <w:rFonts w:eastAsia="Arial" w:cs="Arial"/>
          <w:sz w:val="20"/>
          <w:szCs w:val="20"/>
        </w:rPr>
        <w:t xml:space="preserve">in </w:t>
      </w:r>
      <w:r w:rsidRPr="00215B2F">
        <w:rPr>
          <w:rFonts w:eastAsia="Arial" w:cs="Arial"/>
          <w:sz w:val="20"/>
          <w:szCs w:val="20"/>
        </w:rPr>
        <w:t>odloča o drugih ukrepih, za katere je pooblaščena v skladu s tem ali drugim zakonom;</w:t>
      </w:r>
    </w:p>
    <w:p w14:paraId="1E5B9C67" w14:textId="506A9865" w:rsidR="00730AA1" w:rsidRPr="00215B2F" w:rsidRDefault="00D91782">
      <w:pPr>
        <w:pStyle w:val="tevilnatoka"/>
        <w:numPr>
          <w:ilvl w:val="0"/>
          <w:numId w:val="37"/>
        </w:numPr>
        <w:shd w:val="clear" w:color="auto" w:fill="FFFFFF" w:themeFill="background1"/>
        <w:tabs>
          <w:tab w:val="clear" w:pos="425"/>
        </w:tabs>
        <w:rPr>
          <w:rFonts w:cs="Arial"/>
          <w:bCs/>
          <w:sz w:val="20"/>
          <w:szCs w:val="20"/>
        </w:rPr>
      </w:pPr>
      <w:r w:rsidRPr="00215B2F">
        <w:rPr>
          <w:rFonts w:eastAsia="Arial" w:cs="Arial"/>
          <w:sz w:val="20"/>
          <w:szCs w:val="20"/>
        </w:rPr>
        <w:t>da izreka</w:t>
      </w:r>
      <w:r w:rsidR="00D35EF3" w:rsidRPr="00215B2F">
        <w:rPr>
          <w:rFonts w:eastAsia="Arial" w:cs="Arial"/>
          <w:sz w:val="20"/>
          <w:szCs w:val="20"/>
        </w:rPr>
        <w:t xml:space="preserve"> administrativne sankcije, periodične denarne kazni,</w:t>
      </w:r>
      <w:r w:rsidRPr="00215B2F">
        <w:rPr>
          <w:rFonts w:eastAsia="Arial" w:cs="Arial"/>
          <w:sz w:val="20"/>
          <w:szCs w:val="20"/>
        </w:rPr>
        <w:t xml:space="preserve"> </w:t>
      </w:r>
      <w:r w:rsidR="00D35EF3" w:rsidRPr="00215B2F">
        <w:rPr>
          <w:rFonts w:eastAsia="Arial" w:cs="Arial"/>
          <w:sz w:val="20"/>
          <w:szCs w:val="20"/>
        </w:rPr>
        <w:t>sankcije</w:t>
      </w:r>
      <w:r w:rsidRPr="00215B2F">
        <w:rPr>
          <w:rFonts w:eastAsia="Arial" w:cs="Arial"/>
          <w:sz w:val="20"/>
          <w:szCs w:val="20"/>
        </w:rPr>
        <w:t xml:space="preserve"> za prekrške </w:t>
      </w:r>
      <w:r w:rsidR="00652137" w:rsidRPr="00215B2F">
        <w:rPr>
          <w:rFonts w:eastAsia="Arial" w:cs="Arial"/>
          <w:sz w:val="20"/>
          <w:szCs w:val="20"/>
        </w:rPr>
        <w:t xml:space="preserve">in </w:t>
      </w:r>
      <w:r w:rsidRPr="00215B2F">
        <w:rPr>
          <w:rFonts w:eastAsia="Arial" w:cs="Arial"/>
          <w:sz w:val="20"/>
          <w:szCs w:val="20"/>
        </w:rPr>
        <w:t>vloži ovadbo zaradi suma storitve kaznivega dejanja;</w:t>
      </w:r>
    </w:p>
    <w:p w14:paraId="66B7A1CD" w14:textId="24BCFA05" w:rsidR="00D91782" w:rsidRPr="00215B2F" w:rsidRDefault="00D91782">
      <w:pPr>
        <w:pStyle w:val="tevilnatoka"/>
        <w:numPr>
          <w:ilvl w:val="0"/>
          <w:numId w:val="37"/>
        </w:numPr>
        <w:shd w:val="clear" w:color="auto" w:fill="FFFFFF" w:themeFill="background1"/>
        <w:tabs>
          <w:tab w:val="clear" w:pos="425"/>
        </w:tabs>
        <w:rPr>
          <w:rFonts w:cs="Arial"/>
          <w:bCs/>
          <w:sz w:val="20"/>
          <w:szCs w:val="20"/>
        </w:rPr>
      </w:pPr>
      <w:r w:rsidRPr="00215B2F">
        <w:rPr>
          <w:rFonts w:eastAsia="Arial" w:cs="Arial"/>
          <w:sz w:val="20"/>
          <w:szCs w:val="20"/>
        </w:rPr>
        <w:t>v postopkih sodnega varstva proti odločbam, ki jih je izdala, in v drugih sodnih postopkih, ki se vodijo v zvezi z izvajanjem njenih nalog in pristojnosti na podlagi tega zakona ali predpisov E</w:t>
      </w:r>
      <w:r w:rsidR="001E58FE" w:rsidRPr="00215B2F">
        <w:rPr>
          <w:rFonts w:eastAsia="Arial" w:cs="Arial"/>
          <w:sz w:val="20"/>
          <w:szCs w:val="20"/>
        </w:rPr>
        <w:t>vropske unije</w:t>
      </w:r>
      <w:r w:rsidRPr="00215B2F">
        <w:rPr>
          <w:rFonts w:eastAsia="Arial" w:cs="Arial"/>
          <w:sz w:val="20"/>
          <w:szCs w:val="20"/>
        </w:rPr>
        <w:t>.</w:t>
      </w:r>
    </w:p>
    <w:p w14:paraId="143D104E"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DC71F46" w14:textId="5002BDE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lahko zaupne informacije v zvezi s posamezno banko razkrije drugim osebam izključno pod pogoji, določenimi v zakonu.</w:t>
      </w:r>
    </w:p>
    <w:p w14:paraId="32E6817F"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B078630" w14:textId="7517F38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Določbe prejšnjega in tega člena ne preprečujejo razkritja zaupnih informacij Evropskemu parlamentu, kadar ta izvaja preiskovalne pristojnosti na podlagi 226. člena PDEU.</w:t>
      </w:r>
    </w:p>
    <w:p w14:paraId="52968FD0"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AB3BD65" w14:textId="3EF1856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Ne glede na določbe tega člena se za zahteve, ki jih Banka Slovenije prejme na podlagi zakona, ki ureja dostop do informacij javnega značaja, uporabljajo določbe zakona, ki ureja dostop do informacij javnega značaja.</w:t>
      </w:r>
    </w:p>
    <w:p w14:paraId="5C75C35A"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2CD430AF" w14:textId="77777777" w:rsidR="00D91782" w:rsidRPr="00215B2F" w:rsidRDefault="00D91782" w:rsidP="001E0BD2">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0" w:name="_Ref202960057"/>
      <w:r w:rsidRPr="00215B2F">
        <w:rPr>
          <w:rFonts w:ascii="Arial" w:eastAsia="Arial" w:hAnsi="Arial" w:cs="Arial"/>
          <w:b/>
          <w:bCs/>
          <w:sz w:val="20"/>
          <w:szCs w:val="20"/>
        </w:rPr>
        <w:t>člen</w:t>
      </w:r>
      <w:bookmarkEnd w:id="30"/>
    </w:p>
    <w:p w14:paraId="6BCED1D9" w14:textId="77777777" w:rsidR="00D91782" w:rsidRPr="00215B2F" w:rsidRDefault="00D91782" w:rsidP="00FD5520">
      <w:pPr>
        <w:pStyle w:val="Slog1"/>
        <w:shd w:val="clear" w:color="auto" w:fill="FFFFFF" w:themeFill="background1"/>
        <w:rPr>
          <w:sz w:val="20"/>
          <w:szCs w:val="20"/>
        </w:rPr>
      </w:pPr>
      <w:r w:rsidRPr="00215B2F">
        <w:rPr>
          <w:sz w:val="20"/>
          <w:szCs w:val="20"/>
        </w:rPr>
        <w:t>(razkritje zaupnih informacij)</w:t>
      </w:r>
    </w:p>
    <w:p w14:paraId="78554FCA" w14:textId="77777777" w:rsidR="00D91782" w:rsidRPr="00215B2F" w:rsidRDefault="00D91782" w:rsidP="00FD5520">
      <w:pPr>
        <w:pStyle w:val="Slog1"/>
        <w:shd w:val="clear" w:color="auto" w:fill="FFFFFF" w:themeFill="background1"/>
        <w:jc w:val="both"/>
        <w:rPr>
          <w:sz w:val="20"/>
          <w:szCs w:val="20"/>
        </w:rPr>
      </w:pPr>
    </w:p>
    <w:p w14:paraId="7BE2F031" w14:textId="732D7A3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31" w:name="_Hlk203467765"/>
      <w:r w:rsidRPr="00215B2F">
        <w:rPr>
          <w:rFonts w:ascii="Arial" w:eastAsia="Arial" w:hAnsi="Arial" w:cs="Arial"/>
          <w:sz w:val="20"/>
          <w:szCs w:val="20"/>
        </w:rPr>
        <w:t xml:space="preserve">(1) Banka Slovenije lahko razkrije zaupne informacije nadzornim organom Republike Slovenije ali pristojnim organom drugih držav članic v zvezi z izvajanjem njihovih nalog in pristojnosti nadzora ter Evropski centralni banki, kadar </w:t>
      </w:r>
      <w:r w:rsidR="002512B4" w:rsidRPr="00215B2F">
        <w:rPr>
          <w:rFonts w:ascii="Arial" w:eastAsia="Arial" w:hAnsi="Arial" w:cs="Arial"/>
          <w:sz w:val="20"/>
          <w:szCs w:val="20"/>
        </w:rPr>
        <w:t xml:space="preserve">ta </w:t>
      </w:r>
      <w:r w:rsidRPr="00215B2F">
        <w:rPr>
          <w:rFonts w:ascii="Arial" w:eastAsia="Arial" w:hAnsi="Arial" w:cs="Arial"/>
          <w:sz w:val="20"/>
          <w:szCs w:val="20"/>
        </w:rPr>
        <w:t>izvaja pooblastila pristojnega organa v skladu z Uredbo 575/2013/EU.</w:t>
      </w:r>
    </w:p>
    <w:p w14:paraId="41C85F0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C2572B9" w14:textId="114C072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lahko razkrije zaupne informacije tudi naslednjim subjektom Republike Slovenije, druge države članice ali Evropske unije v zvezi z izvajanjem njihovih nalog in pristojnosti:</w:t>
      </w:r>
    </w:p>
    <w:p w14:paraId="51DC6A94"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4AC4009" w14:textId="58F804B6" w:rsidR="00730AA1" w:rsidRPr="00215B2F" w:rsidRDefault="00D91782">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t xml:space="preserve">organom, pristojnim za nadzor </w:t>
      </w:r>
      <w:r w:rsidR="00652137" w:rsidRPr="00215B2F">
        <w:rPr>
          <w:rFonts w:eastAsia="Arial" w:cs="Arial"/>
          <w:sz w:val="20"/>
          <w:szCs w:val="20"/>
        </w:rPr>
        <w:t xml:space="preserve">nad </w:t>
      </w:r>
      <w:r w:rsidRPr="00215B2F">
        <w:rPr>
          <w:rFonts w:eastAsia="Arial" w:cs="Arial"/>
          <w:sz w:val="20"/>
          <w:szCs w:val="20"/>
        </w:rPr>
        <w:t>drugi</w:t>
      </w:r>
      <w:r w:rsidR="00652137" w:rsidRPr="00215B2F">
        <w:rPr>
          <w:rFonts w:eastAsia="Arial" w:cs="Arial"/>
          <w:sz w:val="20"/>
          <w:szCs w:val="20"/>
        </w:rPr>
        <w:t>mi</w:t>
      </w:r>
      <w:r w:rsidRPr="00215B2F">
        <w:rPr>
          <w:rFonts w:eastAsia="Arial" w:cs="Arial"/>
          <w:sz w:val="20"/>
          <w:szCs w:val="20"/>
        </w:rPr>
        <w:t xml:space="preserve"> subjekt</w:t>
      </w:r>
      <w:r w:rsidR="00652137" w:rsidRPr="00215B2F">
        <w:rPr>
          <w:rFonts w:eastAsia="Arial" w:cs="Arial"/>
          <w:sz w:val="20"/>
          <w:szCs w:val="20"/>
        </w:rPr>
        <w:t>i</w:t>
      </w:r>
      <w:r w:rsidRPr="00215B2F">
        <w:rPr>
          <w:rFonts w:eastAsia="Arial" w:cs="Arial"/>
          <w:sz w:val="20"/>
          <w:szCs w:val="20"/>
        </w:rPr>
        <w:t xml:space="preserve"> finančnega sektorja in za nadzor </w:t>
      </w:r>
      <w:r w:rsidR="00652137" w:rsidRPr="00215B2F">
        <w:rPr>
          <w:rFonts w:eastAsia="Arial" w:cs="Arial"/>
          <w:sz w:val="20"/>
          <w:szCs w:val="20"/>
        </w:rPr>
        <w:t xml:space="preserve">nad </w:t>
      </w:r>
      <w:r w:rsidRPr="00215B2F">
        <w:rPr>
          <w:rFonts w:eastAsia="Arial" w:cs="Arial"/>
          <w:sz w:val="20"/>
          <w:szCs w:val="20"/>
        </w:rPr>
        <w:t>finančni</w:t>
      </w:r>
      <w:r w:rsidR="00652137" w:rsidRPr="00215B2F">
        <w:rPr>
          <w:rFonts w:eastAsia="Arial" w:cs="Arial"/>
          <w:sz w:val="20"/>
          <w:szCs w:val="20"/>
        </w:rPr>
        <w:t>mi</w:t>
      </w:r>
      <w:r w:rsidRPr="00215B2F">
        <w:rPr>
          <w:rFonts w:eastAsia="Arial" w:cs="Arial"/>
          <w:sz w:val="20"/>
          <w:szCs w:val="20"/>
        </w:rPr>
        <w:t xml:space="preserve"> trg</w:t>
      </w:r>
      <w:r w:rsidR="00652137" w:rsidRPr="00215B2F">
        <w:rPr>
          <w:rFonts w:eastAsia="Arial" w:cs="Arial"/>
          <w:sz w:val="20"/>
          <w:szCs w:val="20"/>
        </w:rPr>
        <w:t>i</w:t>
      </w:r>
      <w:r w:rsidRPr="00215B2F">
        <w:rPr>
          <w:rFonts w:eastAsia="Arial" w:cs="Arial"/>
          <w:sz w:val="20"/>
          <w:szCs w:val="20"/>
        </w:rPr>
        <w:t>;</w:t>
      </w:r>
    </w:p>
    <w:p w14:paraId="0334710F" w14:textId="77777777" w:rsidR="00730AA1" w:rsidRPr="00215B2F" w:rsidRDefault="00D91782">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t>organom, pristojnim za izvajanje makrobonitetnega nadzora;</w:t>
      </w:r>
    </w:p>
    <w:p w14:paraId="649CC359" w14:textId="3DD9A5F1" w:rsidR="00730AA1" w:rsidRPr="00215B2F" w:rsidRDefault="00D91782">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t xml:space="preserve">organom, pristojnim za reševanje institucij, </w:t>
      </w:r>
      <w:r w:rsidR="00652137" w:rsidRPr="00215B2F">
        <w:rPr>
          <w:rFonts w:eastAsia="Arial" w:cs="Arial"/>
          <w:sz w:val="20"/>
          <w:szCs w:val="20"/>
        </w:rPr>
        <w:t xml:space="preserve">in </w:t>
      </w:r>
      <w:r w:rsidRPr="00215B2F">
        <w:rPr>
          <w:rFonts w:eastAsia="Arial" w:cs="Arial"/>
          <w:sz w:val="20"/>
          <w:szCs w:val="20"/>
        </w:rPr>
        <w:t>organom, odgovornim za ohranjanje stabilnosti finančnega sistema;</w:t>
      </w:r>
    </w:p>
    <w:p w14:paraId="4506AEA8" w14:textId="77777777" w:rsidR="00730AA1" w:rsidRPr="00215B2F" w:rsidRDefault="00D91782">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t>sodišču in drugim organom, ki opravljajo dejanja v postopku prisilne likvidacije ali stečaja banke ali v drugem podobnem postopku;</w:t>
      </w:r>
    </w:p>
    <w:p w14:paraId="13025B22" w14:textId="77777777" w:rsidR="00730AA1" w:rsidRPr="00215B2F" w:rsidRDefault="00D91782">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t>sodišču, državnemu tožilstvu ali policiji v skladu s predpisi, ki urejajo izvedbo kazenskega ali predkazenskega postopka;</w:t>
      </w:r>
    </w:p>
    <w:p w14:paraId="6F50C11B" w14:textId="77777777" w:rsidR="00730AA1" w:rsidRPr="00215B2F" w:rsidRDefault="00D91782">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t>revizorjem, ki opravljajo naloge revidiranja računovodskih izkazov kreditnih institucij, investicijskih podjetij, zavarovalnic in finančnih institucij;</w:t>
      </w:r>
    </w:p>
    <w:p w14:paraId="3B3BBB26" w14:textId="77777777" w:rsidR="00730AA1" w:rsidRPr="00215B2F" w:rsidRDefault="00D91782">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t>subjektom ali organom, ki upravljajo sisteme jamstva za vloge, glede informacij, ki jih potrebujejo za izvajanje svojih nalog;</w:t>
      </w:r>
    </w:p>
    <w:p w14:paraId="5B8753B1" w14:textId="61BFD0A3" w:rsidR="00730AA1" w:rsidRPr="00215B2F" w:rsidRDefault="00D91782">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lastRenderedPageBreak/>
        <w:t>centralni banki Evropskega sistema centralnih bank (v nadaljnjem besedilu: ESCB), Evropski centralni banki ali drugemu organu s podobnimi nalogami in pristojnostmi kot monetarne oblasti, kadar so te informacije pomembne za opravljanje njihovih zakonsko predpisanih nalog, vključno z vodenjem monetarne politike in s tem povezanim zagotavljanjem likvidnosti, pregledom nad plačili in nad delovanjem klirinških in poravnalnih sistemov ter zagotavljanjem stabilnosti finančnega sistema;</w:t>
      </w:r>
    </w:p>
    <w:p w14:paraId="791D32A9" w14:textId="77777777" w:rsidR="00730AA1" w:rsidRPr="00215B2F" w:rsidRDefault="00D91782">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t>pogodbenim ali institucionalnim shemam za zaščito vlog iz sedmega odstavka 113. člena Uredbe 575/2013/EU;</w:t>
      </w:r>
    </w:p>
    <w:p w14:paraId="64C8AF4C" w14:textId="77777777" w:rsidR="00730AA1" w:rsidRPr="00215B2F" w:rsidRDefault="00D91782">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t>organom, pristojnim za pregled nad delovanjem plačilnih sistemov;</w:t>
      </w:r>
    </w:p>
    <w:p w14:paraId="1631D4A5" w14:textId="77777777" w:rsidR="00730AA1" w:rsidRPr="00215B2F" w:rsidRDefault="00D91782">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t>Evropskemu bančnemu organu v obsegu, potrebnem za izvajanje njegovih pristojnosti in nalog v skladu z Uredbo 1093/2010/EU, Evropskemu odboru za sistemska tveganja, kadar so te informacije pomembne za opravljanje njegovih nalog v skladu z Uredbo 1092/2010/EU, Evropskemu organu za zavarovanja in poklicne pokojnine, kadar so te informacije pomembne za opravljanje njegovih nalog v skladu z Uredbo 1094/2010/EU, in Evropskemu organu za vrednostne papirje in trge, kadar so te informacije pomembne za opravljanje njegovih nalog v skladu z Uredbo 1095/2010/EU;</w:t>
      </w:r>
    </w:p>
    <w:p w14:paraId="51A84FC6" w14:textId="16B3DF00" w:rsidR="00730AA1" w:rsidRPr="00215B2F" w:rsidRDefault="00D91782">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t>organom, pristojni</w:t>
      </w:r>
      <w:r w:rsidR="00D71D90" w:rsidRPr="00215B2F">
        <w:rPr>
          <w:rFonts w:eastAsia="Arial" w:cs="Arial"/>
          <w:sz w:val="20"/>
          <w:szCs w:val="20"/>
        </w:rPr>
        <w:t>m</w:t>
      </w:r>
      <w:r w:rsidRPr="00215B2F">
        <w:rPr>
          <w:rFonts w:eastAsia="Arial" w:cs="Arial"/>
          <w:sz w:val="20"/>
          <w:szCs w:val="20"/>
        </w:rPr>
        <w:t xml:space="preserve"> za nadzor nad organi, ki opravljajo dejanja v postopku prisilne likvidacije ali stečaja banke ali v drugem podobnem postopku;</w:t>
      </w:r>
    </w:p>
    <w:p w14:paraId="1CF48C57" w14:textId="0D7EB80D" w:rsidR="00730AA1" w:rsidRPr="00215B2F" w:rsidRDefault="00D91782">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t>organom, pristojni</w:t>
      </w:r>
      <w:r w:rsidR="00D71D90" w:rsidRPr="00215B2F">
        <w:rPr>
          <w:rFonts w:eastAsia="Arial" w:cs="Arial"/>
          <w:sz w:val="20"/>
          <w:szCs w:val="20"/>
        </w:rPr>
        <w:t>m</w:t>
      </w:r>
      <w:r w:rsidRPr="00215B2F">
        <w:rPr>
          <w:rFonts w:eastAsia="Arial" w:cs="Arial"/>
          <w:sz w:val="20"/>
          <w:szCs w:val="20"/>
        </w:rPr>
        <w:t xml:space="preserve"> za nadzor nad pogodbenimi ali institucionalnimi shemami za zaščito vlog iz sedmega odstavka 113. člena Uredbe 575/2013/EU;</w:t>
      </w:r>
    </w:p>
    <w:p w14:paraId="0EE35CCA" w14:textId="51679547" w:rsidR="00730AA1" w:rsidRPr="00215B2F" w:rsidRDefault="00D91782">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t>organom, pristojni</w:t>
      </w:r>
      <w:r w:rsidR="00D71D90" w:rsidRPr="00215B2F">
        <w:rPr>
          <w:rFonts w:eastAsia="Arial" w:cs="Arial"/>
          <w:sz w:val="20"/>
          <w:szCs w:val="20"/>
        </w:rPr>
        <w:t>m</w:t>
      </w:r>
      <w:r w:rsidRPr="00215B2F">
        <w:rPr>
          <w:rFonts w:eastAsia="Arial" w:cs="Arial"/>
          <w:sz w:val="20"/>
          <w:szCs w:val="20"/>
        </w:rPr>
        <w:t xml:space="preserve"> za nadzor nad revizorji, ki opravljajo naloge revidiranja računovodskih izkazov nadzorovanih finančnih družb;</w:t>
      </w:r>
    </w:p>
    <w:p w14:paraId="46BA81FE" w14:textId="0DD6945F" w:rsidR="00730AA1" w:rsidRPr="00215B2F" w:rsidRDefault="00D91782">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t>organom, pristojni</w:t>
      </w:r>
      <w:r w:rsidR="00465A0A" w:rsidRPr="00215B2F">
        <w:rPr>
          <w:rFonts w:eastAsia="Arial" w:cs="Arial"/>
          <w:sz w:val="20"/>
          <w:szCs w:val="20"/>
        </w:rPr>
        <w:t>m</w:t>
      </w:r>
      <w:r w:rsidRPr="00215B2F">
        <w:rPr>
          <w:rFonts w:eastAsia="Arial" w:cs="Arial"/>
          <w:sz w:val="20"/>
          <w:szCs w:val="20"/>
        </w:rPr>
        <w:t xml:space="preserve"> za odkrivanje ali pregon dejanj, ki pomenijo kršitev predpisov o poslovanju gospodarskih družb, če jih potrebujejo v postopkih, ki jih vodijo v okviru svojih pristojnosti;</w:t>
      </w:r>
    </w:p>
    <w:p w14:paraId="0EDD941A" w14:textId="77777777" w:rsidR="00730AA1" w:rsidRPr="00215B2F" w:rsidRDefault="00D91782">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t>centralni klirinško-depotni družbi ali drugi klirinški družbi oziroma poravnalnemu sistemu po zakonu, ki ureja trg finančnih instrumentov, v zvezi z opravljanjem storitev izravnave in poravnave poslov, sklenjenih na enem od trgov v Republiki Sloveniji, če Banka Slovenije oceni, da so te informacije potrebne, da se zagotovi ustrezno ukrepanje te družbe glede neizpolnitve oziroma morebitne neizpolnitve obveznosti udeležencev teh trgov;</w:t>
      </w:r>
    </w:p>
    <w:p w14:paraId="09DFF2A0" w14:textId="7C06B03D" w:rsidR="00730AA1" w:rsidRPr="00215B2F" w:rsidRDefault="00D91782">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t xml:space="preserve">pritožbenemu organu ali sodišču, ki v zvezi s </w:t>
      </w:r>
      <w:r w:rsidR="00465A0A" w:rsidRPr="00215B2F">
        <w:rPr>
          <w:rFonts w:eastAsia="Arial" w:cs="Arial"/>
          <w:sz w:val="20"/>
          <w:szCs w:val="20"/>
        </w:rPr>
        <w:t>posamez</w:t>
      </w:r>
      <w:r w:rsidRPr="00215B2F">
        <w:rPr>
          <w:rFonts w:eastAsia="Arial" w:cs="Arial"/>
          <w:sz w:val="20"/>
          <w:szCs w:val="20"/>
        </w:rPr>
        <w:t>no informacijo vodi postopek na področju dostopa do informacij javnega značaja;</w:t>
      </w:r>
    </w:p>
    <w:p w14:paraId="6F1CB09D" w14:textId="77777777" w:rsidR="00730AA1" w:rsidRPr="00215B2F" w:rsidRDefault="00D91782">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t>državnemu organu, ki opravlja nadzor nad varstvom osebnih podatkov;</w:t>
      </w:r>
    </w:p>
    <w:p w14:paraId="18162F8F" w14:textId="5AFBF8FC" w:rsidR="00730AA1" w:rsidRPr="00215B2F" w:rsidRDefault="00D91782">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t>finančnim obveščevalnim enotam, k</w:t>
      </w:r>
      <w:r w:rsidR="006B0B0E" w:rsidRPr="00215B2F">
        <w:rPr>
          <w:rFonts w:eastAsia="Arial" w:cs="Arial"/>
          <w:sz w:val="20"/>
          <w:szCs w:val="20"/>
        </w:rPr>
        <w:t>akor</w:t>
      </w:r>
      <w:r w:rsidRPr="00215B2F">
        <w:rPr>
          <w:rFonts w:eastAsia="Arial" w:cs="Arial"/>
          <w:sz w:val="20"/>
          <w:szCs w:val="20"/>
        </w:rPr>
        <w:t xml:space="preserve"> so določene v zakonu, ki ureja preprečevanje pranja denarja in financiranja terorizma, </w:t>
      </w:r>
      <w:r w:rsidR="0086651A" w:rsidRPr="00215B2F">
        <w:rPr>
          <w:rFonts w:eastAsia="Arial" w:cs="Arial"/>
          <w:sz w:val="20"/>
          <w:szCs w:val="20"/>
        </w:rPr>
        <w:t xml:space="preserve">ter </w:t>
      </w:r>
      <w:r w:rsidRPr="00215B2F">
        <w:rPr>
          <w:rFonts w:eastAsia="Arial" w:cs="Arial"/>
          <w:sz w:val="20"/>
          <w:szCs w:val="20"/>
        </w:rPr>
        <w:t>drugim organom, ki opravljajo nadzor nad kreditnimi institucijami in finančnimi institucijami na podlagi predpisov, ki prenašajo Direktivo 2015/849/EU;</w:t>
      </w:r>
    </w:p>
    <w:p w14:paraId="50BBAA82" w14:textId="0F8BBD68" w:rsidR="00730AA1" w:rsidRPr="00215B2F" w:rsidRDefault="00D91782">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t>organom, pristojni</w:t>
      </w:r>
      <w:r w:rsidR="0086651A" w:rsidRPr="00215B2F">
        <w:rPr>
          <w:rFonts w:eastAsia="Arial" w:cs="Arial"/>
          <w:sz w:val="20"/>
          <w:szCs w:val="20"/>
        </w:rPr>
        <w:t>m</w:t>
      </w:r>
      <w:r w:rsidRPr="00215B2F">
        <w:rPr>
          <w:rFonts w:eastAsia="Arial" w:cs="Arial"/>
          <w:sz w:val="20"/>
          <w:szCs w:val="20"/>
        </w:rPr>
        <w:t xml:space="preserve"> in odgovorni</w:t>
      </w:r>
      <w:r w:rsidR="0086651A" w:rsidRPr="00215B2F">
        <w:rPr>
          <w:rFonts w:eastAsia="Arial" w:cs="Arial"/>
          <w:sz w:val="20"/>
          <w:szCs w:val="20"/>
        </w:rPr>
        <w:t>m</w:t>
      </w:r>
      <w:r w:rsidRPr="00215B2F">
        <w:rPr>
          <w:rFonts w:eastAsia="Arial" w:cs="Arial"/>
          <w:sz w:val="20"/>
          <w:szCs w:val="20"/>
        </w:rPr>
        <w:t xml:space="preserve"> za uporabo pravil glede strukturnega ločevanja v bančni skupini;</w:t>
      </w:r>
    </w:p>
    <w:p w14:paraId="1EE69963" w14:textId="6CA47324" w:rsidR="00BA5377" w:rsidRPr="00215B2F" w:rsidRDefault="00D91782" w:rsidP="002E340B">
      <w:pPr>
        <w:pStyle w:val="tevilnatoka"/>
        <w:numPr>
          <w:ilvl w:val="0"/>
          <w:numId w:val="38"/>
        </w:numPr>
        <w:shd w:val="clear" w:color="auto" w:fill="FFFFFF" w:themeFill="background1"/>
        <w:tabs>
          <w:tab w:val="clear" w:pos="425"/>
        </w:tabs>
        <w:rPr>
          <w:rFonts w:cs="Arial"/>
          <w:bCs/>
          <w:sz w:val="20"/>
          <w:szCs w:val="20"/>
        </w:rPr>
      </w:pPr>
      <w:r w:rsidRPr="00215B2F">
        <w:rPr>
          <w:rFonts w:eastAsia="Arial" w:cs="Arial"/>
          <w:sz w:val="20"/>
          <w:szCs w:val="20"/>
        </w:rPr>
        <w:t>davčnim organom v Republiki Sloveniji v skladu s predpisi, ki urejajo davčni postopek</w:t>
      </w:r>
      <w:r w:rsidR="002E340B" w:rsidRPr="00215B2F">
        <w:rPr>
          <w:rFonts w:eastAsia="Arial" w:cs="Arial"/>
          <w:sz w:val="20"/>
          <w:szCs w:val="20"/>
        </w:rPr>
        <w:t>.</w:t>
      </w:r>
    </w:p>
    <w:p w14:paraId="52B62FD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3DF8975" w14:textId="0ABB50E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lahko subjektom iz prvega in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razkrije le tiste zaupne informacije, ki jih organ oziroma oseba potrebuje za izvajanje svojih nalog ali pristojnosti v skladu z veljavnimi predpisi, ki urejajo njihovo delovanje in pristojnosti. Če zaupne informacije vključujejo zaupne podatke o posamezni stranki, se ti podatki po</w:t>
      </w:r>
      <w:r w:rsidR="0086651A" w:rsidRPr="00215B2F">
        <w:rPr>
          <w:rFonts w:ascii="Arial" w:eastAsia="Arial" w:hAnsi="Arial" w:cs="Arial"/>
          <w:sz w:val="20"/>
          <w:szCs w:val="20"/>
        </w:rPr>
        <w:t>šl</w:t>
      </w:r>
      <w:r w:rsidRPr="00215B2F">
        <w:rPr>
          <w:rFonts w:ascii="Arial" w:eastAsia="Arial" w:hAnsi="Arial" w:cs="Arial"/>
          <w:sz w:val="20"/>
          <w:szCs w:val="20"/>
        </w:rPr>
        <w:t xml:space="preserve">jejo subjektom iz prvega in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le, če bi zaupne podatke ob upoštevanju drugega ali tretjega odstavka </w:t>
      </w:r>
      <w:r w:rsidR="00E46F87" w:rsidRPr="00215B2F">
        <w:rPr>
          <w:rFonts w:ascii="Arial" w:eastAsia="Arial" w:hAnsi="Arial" w:cs="Arial"/>
          <w:sz w:val="20"/>
          <w:szCs w:val="20"/>
        </w:rPr>
        <w:t>175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lahko ti subjekti zahtevali tudi neposredno od banke.</w:t>
      </w:r>
    </w:p>
    <w:p w14:paraId="1326A073"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1A93161" w14:textId="2DEB087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Kadar organi iz 12., 13. ali 14. točke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izvajajo pristojnosti odkrivanja in pregona kršitev predpisov s pomočjo oseb, ki so imenovane za izvajanje posameznih nalog in niso del javnega sektorja, lahko Banka Slovenije razkrije zaupne informacije tudi tem osebam. Banka Slovenije lahko zaupne informacije razkrije samo, če te osebe predložijo sklep organa iz 12., 13. ali 14. točke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o imenovanju za izvajanje posameznih nalog ali če Banko Slovenije o imenovanju teh oseb in posameznih nalogah, za katere so bile imenovane, obvesti organ iz 12., 13. ali 14. točke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641B7919"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2D85B51" w14:textId="786A738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Subjekti, ki pridobijo zaupne informacije na podlagi tega člena, smejo te informacije uporabiti samo za izvajanje svojih pristojnosti nadzora oziroma nalog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in jih ne smejo razkriti drugi osebi ali državnemu organu, razen v primerih iz četrtega odstavka 14.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2284993F"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133D651" w14:textId="612F07F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Banka Slovenije sme zaupne informacije, ki jih je pridobila od pristojnega organa druge države članice ali pri opravljanju pregleda poslovanja podružnice banke države članice v skladu z </w:t>
      </w:r>
      <w:r w:rsidR="005B0CC7" w:rsidRPr="00215B2F">
        <w:rPr>
          <w:rFonts w:ascii="Arial" w:eastAsia="Arial" w:hAnsi="Arial" w:cs="Arial"/>
          <w:sz w:val="20"/>
          <w:szCs w:val="20"/>
        </w:rPr>
        <w:t>o</w:t>
      </w:r>
      <w:r w:rsidR="001F2C7A" w:rsidRPr="00215B2F">
        <w:rPr>
          <w:rFonts w:ascii="Arial" w:eastAsia="Arial" w:hAnsi="Arial" w:cs="Arial"/>
          <w:sz w:val="20"/>
          <w:szCs w:val="20"/>
        </w:rPr>
        <w:t>ddelkom</w:t>
      </w:r>
      <w:r w:rsidRPr="00215B2F">
        <w:rPr>
          <w:rFonts w:ascii="Arial" w:eastAsia="Arial" w:hAnsi="Arial" w:cs="Arial"/>
          <w:sz w:val="20"/>
          <w:szCs w:val="20"/>
        </w:rPr>
        <w:t xml:space="preserve"> </w:t>
      </w:r>
      <w:r w:rsidR="00807C81" w:rsidRPr="00215B2F">
        <w:rPr>
          <w:rFonts w:ascii="Arial" w:eastAsia="Arial" w:hAnsi="Arial" w:cs="Arial"/>
          <w:sz w:val="20"/>
          <w:szCs w:val="20"/>
        </w:rPr>
        <w:t>12.2</w:t>
      </w:r>
      <w:r w:rsidRPr="00215B2F">
        <w:rPr>
          <w:rFonts w:ascii="Arial" w:eastAsia="Arial" w:hAnsi="Arial" w:cs="Arial"/>
          <w:sz w:val="20"/>
          <w:szCs w:val="20"/>
        </w:rPr>
        <w:t xml:space="preserve"> tega zakona, razkriti subjektom iz 12. do 21. točke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le z izrecnim soglasjem pristojnega organa druge države članice, od katerega jih je pridobila.</w:t>
      </w:r>
    </w:p>
    <w:bookmarkEnd w:id="31"/>
    <w:p w14:paraId="7CB1BB7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972A7FD" w14:textId="77777777" w:rsidR="00D91782" w:rsidRPr="00215B2F" w:rsidRDefault="00D91782" w:rsidP="00CE4AE9">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2" w:name="_Ref202960079"/>
      <w:r w:rsidRPr="00215B2F">
        <w:rPr>
          <w:rFonts w:ascii="Arial" w:eastAsia="Arial" w:hAnsi="Arial" w:cs="Arial"/>
          <w:b/>
          <w:bCs/>
          <w:sz w:val="20"/>
          <w:szCs w:val="20"/>
        </w:rPr>
        <w:t>člen</w:t>
      </w:r>
      <w:bookmarkEnd w:id="32"/>
    </w:p>
    <w:p w14:paraId="7154F0F8" w14:textId="77777777" w:rsidR="00D91782" w:rsidRPr="00215B2F" w:rsidRDefault="00D91782" w:rsidP="00FD5520">
      <w:pPr>
        <w:pStyle w:val="Slog1"/>
        <w:shd w:val="clear" w:color="auto" w:fill="FFFFFF" w:themeFill="background1"/>
        <w:rPr>
          <w:sz w:val="20"/>
          <w:szCs w:val="20"/>
        </w:rPr>
      </w:pPr>
      <w:r w:rsidRPr="00215B2F">
        <w:rPr>
          <w:sz w:val="20"/>
          <w:szCs w:val="20"/>
        </w:rPr>
        <w:t>(razkritje zaupnih informacij drugim organom Republike Slovenije)</w:t>
      </w:r>
    </w:p>
    <w:p w14:paraId="62AD4191" w14:textId="77777777" w:rsidR="00D91782" w:rsidRPr="00215B2F" w:rsidRDefault="00D91782" w:rsidP="00FD5520">
      <w:pPr>
        <w:pStyle w:val="Slog1"/>
        <w:shd w:val="clear" w:color="auto" w:fill="FFFFFF" w:themeFill="background1"/>
        <w:jc w:val="both"/>
        <w:rPr>
          <w:sz w:val="20"/>
          <w:szCs w:val="20"/>
        </w:rPr>
      </w:pPr>
    </w:p>
    <w:p w14:paraId="2BB95209" w14:textId="16E2CEE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lahko zaupne informacije razkrije Vladi Republike Slovenije oziroma drugemu državnemu organu Republike Slovenije, ki je odgovoren za pripravo zakonodaje </w:t>
      </w:r>
      <w:r w:rsidR="00996972" w:rsidRPr="00215B2F">
        <w:rPr>
          <w:rFonts w:ascii="Arial" w:eastAsia="Arial" w:hAnsi="Arial" w:cs="Arial"/>
          <w:sz w:val="20"/>
          <w:szCs w:val="20"/>
        </w:rPr>
        <w:t xml:space="preserve">o </w:t>
      </w:r>
      <w:r w:rsidRPr="00215B2F">
        <w:rPr>
          <w:rFonts w:ascii="Arial" w:eastAsia="Arial" w:hAnsi="Arial" w:cs="Arial"/>
          <w:sz w:val="20"/>
          <w:szCs w:val="20"/>
        </w:rPr>
        <w:t>nadzor</w:t>
      </w:r>
      <w:r w:rsidR="00996972" w:rsidRPr="00215B2F">
        <w:rPr>
          <w:rFonts w:ascii="Arial" w:eastAsia="Arial" w:hAnsi="Arial" w:cs="Arial"/>
          <w:sz w:val="20"/>
          <w:szCs w:val="20"/>
        </w:rPr>
        <w:t>u</w:t>
      </w:r>
      <w:r w:rsidRPr="00215B2F">
        <w:rPr>
          <w:rFonts w:ascii="Arial" w:eastAsia="Arial" w:hAnsi="Arial" w:cs="Arial"/>
          <w:sz w:val="20"/>
          <w:szCs w:val="20"/>
        </w:rPr>
        <w:t xml:space="preserve"> nad bankami, investicijskimi podjetji, finančnimi institucijami in zavarovalnicami, kadar je tako razkritje nujno za izvedbo ukrepov za stabilizacijo banke.</w:t>
      </w:r>
    </w:p>
    <w:p w14:paraId="42B596DC"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F8CEE7E" w14:textId="1627959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lahko zaupne informacije razkrije Državnemu zboru Republike Slovenije, kadar ta v skladu z zakonsko določenimi pooblastili izvaja nadzor nad delovanjem Banke Slovenije v zvezi z izvajanjem njenih nalog in pooblastil pri opravljanju nadzora, in le v obsegu, ko je po</w:t>
      </w:r>
      <w:r w:rsidR="00996972" w:rsidRPr="00215B2F">
        <w:rPr>
          <w:rFonts w:ascii="Arial" w:eastAsia="Arial" w:hAnsi="Arial" w:cs="Arial"/>
          <w:sz w:val="20"/>
          <w:szCs w:val="20"/>
        </w:rPr>
        <w:t>šilj</w:t>
      </w:r>
      <w:r w:rsidRPr="00215B2F">
        <w:rPr>
          <w:rFonts w:ascii="Arial" w:eastAsia="Arial" w:hAnsi="Arial" w:cs="Arial"/>
          <w:sz w:val="20"/>
          <w:szCs w:val="20"/>
        </w:rPr>
        <w:t>anje posameznih zaupnih informacij nujno za izvajanje pooblastil nadzora nad delovanjem Banke Slovenije.</w:t>
      </w:r>
    </w:p>
    <w:p w14:paraId="3C45EAF0"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CA66610" w14:textId="7171566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Subjekti, ki pridobijo zaupne informacije na podlagi prvega ali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morajo te informacije varovati kot zaupne in jih ne smejo razkriti drugi osebi ali državnemu organu, razen v primerih iz četrtega odstavka 14.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435D326B"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6A64B40" w14:textId="07A25B0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sme zaupne informacije, ki jih je pridobila od pristojnega organa druge države članice ali pri opravljanju pregleda poslovanja podružnice banke države članice v skladu z </w:t>
      </w:r>
      <w:r w:rsidR="005B0CC7" w:rsidRPr="00215B2F">
        <w:rPr>
          <w:rFonts w:ascii="Arial" w:eastAsia="Arial" w:hAnsi="Arial" w:cs="Arial"/>
          <w:sz w:val="20"/>
          <w:szCs w:val="20"/>
        </w:rPr>
        <w:t>o</w:t>
      </w:r>
      <w:r w:rsidR="001F2C7A" w:rsidRPr="00215B2F">
        <w:rPr>
          <w:rFonts w:ascii="Arial" w:eastAsia="Arial" w:hAnsi="Arial" w:cs="Arial"/>
          <w:sz w:val="20"/>
          <w:szCs w:val="20"/>
        </w:rPr>
        <w:t>ddelkom</w:t>
      </w:r>
      <w:r w:rsidRPr="00215B2F">
        <w:rPr>
          <w:rFonts w:ascii="Arial" w:eastAsia="Arial" w:hAnsi="Arial" w:cs="Arial"/>
          <w:sz w:val="20"/>
          <w:szCs w:val="20"/>
        </w:rPr>
        <w:t xml:space="preserve"> </w:t>
      </w:r>
      <w:r w:rsidR="00121343" w:rsidRPr="00215B2F">
        <w:rPr>
          <w:rFonts w:ascii="Arial" w:eastAsia="Arial" w:hAnsi="Arial" w:cs="Arial"/>
          <w:sz w:val="20"/>
          <w:szCs w:val="20"/>
        </w:rPr>
        <w:t>12.2</w:t>
      </w:r>
      <w:r w:rsidRPr="00215B2F">
        <w:rPr>
          <w:rFonts w:ascii="Arial" w:eastAsia="Arial" w:hAnsi="Arial" w:cs="Arial"/>
          <w:sz w:val="20"/>
          <w:szCs w:val="20"/>
        </w:rPr>
        <w:t xml:space="preserve"> tega zakona, razkriti subjektom iz prvega in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samo s soglasjem pristojnega organa te države članice in za namen, za katerega je bilo to soglasje dano.</w:t>
      </w:r>
    </w:p>
    <w:p w14:paraId="64A1D57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F8793A5" w14:textId="77777777" w:rsidR="00D91782" w:rsidRPr="00215B2F" w:rsidRDefault="00D91782" w:rsidP="00CE4AE9">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3" w:name="_Ref202960086"/>
      <w:r w:rsidRPr="00215B2F">
        <w:rPr>
          <w:rFonts w:ascii="Arial" w:eastAsia="Arial" w:hAnsi="Arial" w:cs="Arial"/>
          <w:b/>
          <w:bCs/>
          <w:sz w:val="20"/>
          <w:szCs w:val="20"/>
        </w:rPr>
        <w:t>člen</w:t>
      </w:r>
      <w:bookmarkEnd w:id="33"/>
    </w:p>
    <w:p w14:paraId="2029CD03" w14:textId="77777777" w:rsidR="00D91782" w:rsidRPr="00215B2F" w:rsidRDefault="00D91782" w:rsidP="00FD5520">
      <w:pPr>
        <w:pStyle w:val="Slog1"/>
        <w:shd w:val="clear" w:color="auto" w:fill="FFFFFF" w:themeFill="background1"/>
        <w:rPr>
          <w:sz w:val="20"/>
          <w:szCs w:val="20"/>
        </w:rPr>
      </w:pPr>
      <w:r w:rsidRPr="00215B2F">
        <w:rPr>
          <w:sz w:val="20"/>
          <w:szCs w:val="20"/>
        </w:rPr>
        <w:t>(razkritje informacij mednarodnim organom)</w:t>
      </w:r>
    </w:p>
    <w:p w14:paraId="7EAAC015" w14:textId="77777777" w:rsidR="00D91782" w:rsidRPr="00215B2F" w:rsidRDefault="00D91782" w:rsidP="00FD5520">
      <w:pPr>
        <w:pStyle w:val="Slog1"/>
        <w:shd w:val="clear" w:color="auto" w:fill="FFFFFF" w:themeFill="background1"/>
        <w:jc w:val="both"/>
        <w:rPr>
          <w:sz w:val="20"/>
          <w:szCs w:val="20"/>
        </w:rPr>
      </w:pPr>
    </w:p>
    <w:p w14:paraId="7797D738" w14:textId="7A8B1CF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lahko na podlagi pisne zahteve razkrije ali po</w:t>
      </w:r>
      <w:r w:rsidR="00996972" w:rsidRPr="00215B2F">
        <w:rPr>
          <w:rFonts w:ascii="Arial" w:eastAsia="Arial" w:hAnsi="Arial" w:cs="Arial"/>
          <w:sz w:val="20"/>
          <w:szCs w:val="20"/>
        </w:rPr>
        <w:t>šl</w:t>
      </w:r>
      <w:r w:rsidRPr="00215B2F">
        <w:rPr>
          <w:rFonts w:ascii="Arial" w:eastAsia="Arial" w:hAnsi="Arial" w:cs="Arial"/>
          <w:sz w:val="20"/>
          <w:szCs w:val="20"/>
        </w:rPr>
        <w:t>je zaupne informacije Mednarodnemu denarnemu skladu, Svetovni banki, Banki za mednarodne poravnave in Odboru za finančno stabilnost (mednarodni).</w:t>
      </w:r>
    </w:p>
    <w:p w14:paraId="51FB1F9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7286746" w14:textId="45E23DF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Razkritje ali po</w:t>
      </w:r>
      <w:r w:rsidR="00996972" w:rsidRPr="00215B2F">
        <w:rPr>
          <w:rFonts w:ascii="Arial" w:eastAsia="Arial" w:hAnsi="Arial" w:cs="Arial"/>
          <w:sz w:val="20"/>
          <w:szCs w:val="20"/>
        </w:rPr>
        <w:t>šilj</w:t>
      </w:r>
      <w:r w:rsidRPr="00215B2F">
        <w:rPr>
          <w:rFonts w:ascii="Arial" w:eastAsia="Arial" w:hAnsi="Arial" w:cs="Arial"/>
          <w:sz w:val="20"/>
          <w:szCs w:val="20"/>
        </w:rPr>
        <w:t>anje zaupnih informacij iz prejšnjega odstavka je dopustno, če so izpolnjeni vsi naslednji pogoji:</w:t>
      </w:r>
    </w:p>
    <w:p w14:paraId="09188F69" w14:textId="77777777" w:rsidR="00730AA1" w:rsidRPr="00215B2F" w:rsidRDefault="00730AA1" w:rsidP="00FD5520">
      <w:pPr>
        <w:shd w:val="clear" w:color="auto" w:fill="FFFFFF" w:themeFill="background1"/>
        <w:spacing w:after="0" w:line="240" w:lineRule="auto"/>
        <w:jc w:val="both"/>
        <w:rPr>
          <w:rFonts w:ascii="Arial" w:eastAsia="Arial" w:hAnsi="Arial" w:cs="Arial"/>
          <w:sz w:val="20"/>
          <w:szCs w:val="20"/>
        </w:rPr>
      </w:pPr>
    </w:p>
    <w:p w14:paraId="3ADFC5EB" w14:textId="7E5F7680" w:rsidR="00730AA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mednarodni organ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informacije pridobiva za namen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2C49C884" w14:textId="6D92EA98" w:rsidR="00730AA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pisna zahteva </w:t>
      </w:r>
      <w:r w:rsidR="00A36A08" w:rsidRPr="00215B2F">
        <w:rPr>
          <w:rFonts w:ascii="Arial" w:eastAsia="Arial" w:hAnsi="Arial" w:cs="Arial"/>
          <w:sz w:val="20"/>
          <w:szCs w:val="20"/>
        </w:rPr>
        <w:t xml:space="preserve">je </w:t>
      </w:r>
      <w:r w:rsidRPr="00215B2F">
        <w:rPr>
          <w:rFonts w:ascii="Arial" w:eastAsia="Arial" w:hAnsi="Arial" w:cs="Arial"/>
          <w:sz w:val="20"/>
          <w:szCs w:val="20"/>
        </w:rPr>
        <w:t xml:space="preserve">upravičena zaradi posamičnih nalog, ki jih mednarodni organ opravlja v skladu s svojimi pooblastili, in </w:t>
      </w:r>
      <w:r w:rsidR="0061451E" w:rsidRPr="00215B2F">
        <w:rPr>
          <w:rFonts w:ascii="Arial" w:eastAsia="Arial" w:hAnsi="Arial" w:cs="Arial"/>
          <w:sz w:val="20"/>
          <w:szCs w:val="20"/>
        </w:rPr>
        <w:t xml:space="preserve">obsega </w:t>
      </w:r>
      <w:r w:rsidRPr="00215B2F">
        <w:rPr>
          <w:rFonts w:ascii="Arial" w:eastAsia="Arial" w:hAnsi="Arial" w:cs="Arial"/>
          <w:sz w:val="20"/>
          <w:szCs w:val="20"/>
        </w:rPr>
        <w:t xml:space="preserve">vse podatke iz četrtega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4313C801" w14:textId="6053B7D0" w:rsidR="00730AA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zahtevane informacije </w:t>
      </w:r>
      <w:r w:rsidR="00A36A08" w:rsidRPr="00215B2F">
        <w:rPr>
          <w:rFonts w:ascii="Arial" w:eastAsia="Arial" w:hAnsi="Arial" w:cs="Arial"/>
          <w:sz w:val="20"/>
          <w:szCs w:val="20"/>
        </w:rPr>
        <w:t xml:space="preserve">so </w:t>
      </w:r>
      <w:r w:rsidRPr="00215B2F">
        <w:rPr>
          <w:rFonts w:ascii="Arial" w:eastAsia="Arial" w:hAnsi="Arial" w:cs="Arial"/>
          <w:sz w:val="20"/>
          <w:szCs w:val="20"/>
        </w:rPr>
        <w:t xml:space="preserve">potrebne zgolj za opravljanje posamičnih nalog mednarodnega organa in ne presegajo nalog, ki jih v skladu z aktom o delovanju organa </w:t>
      </w:r>
      <w:r w:rsidR="00A36A08" w:rsidRPr="00215B2F">
        <w:rPr>
          <w:rFonts w:ascii="Arial" w:eastAsia="Arial" w:hAnsi="Arial" w:cs="Arial"/>
          <w:sz w:val="20"/>
          <w:szCs w:val="20"/>
        </w:rPr>
        <w:t>ta</w:t>
      </w:r>
      <w:r w:rsidRPr="00215B2F">
        <w:rPr>
          <w:rFonts w:ascii="Arial" w:eastAsia="Arial" w:hAnsi="Arial" w:cs="Arial"/>
          <w:sz w:val="20"/>
          <w:szCs w:val="20"/>
        </w:rPr>
        <w:t xml:space="preserve"> opravlja;</w:t>
      </w:r>
    </w:p>
    <w:p w14:paraId="7D87E97C" w14:textId="06BF7EFB" w:rsidR="00730AA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za navedene mednarodne organe in osebe, ki bodo prejele informacije, </w:t>
      </w:r>
      <w:r w:rsidR="00A36A08" w:rsidRPr="00215B2F">
        <w:rPr>
          <w:rFonts w:ascii="Arial" w:eastAsia="Arial" w:hAnsi="Arial" w:cs="Arial"/>
          <w:sz w:val="20"/>
          <w:szCs w:val="20"/>
        </w:rPr>
        <w:t xml:space="preserve">se </w:t>
      </w:r>
      <w:r w:rsidRPr="00215B2F">
        <w:rPr>
          <w:rFonts w:ascii="Arial" w:eastAsia="Arial" w:hAnsi="Arial" w:cs="Arial"/>
          <w:sz w:val="20"/>
          <w:szCs w:val="20"/>
        </w:rPr>
        <w:t xml:space="preserve">uporabljajo pravila o obveznosti varovanja zaupnih informacij z vsebino, določeno v 14. in 15. </w:t>
      </w:r>
      <w:r w:rsidR="001F2C7A" w:rsidRPr="00215B2F">
        <w:rPr>
          <w:rFonts w:ascii="Arial" w:eastAsia="Arial" w:hAnsi="Arial" w:cs="Arial"/>
          <w:sz w:val="20"/>
          <w:szCs w:val="20"/>
        </w:rPr>
        <w:t>členu tega zakona</w:t>
      </w:r>
      <w:r w:rsidRPr="00215B2F">
        <w:rPr>
          <w:rFonts w:ascii="Arial" w:eastAsia="Arial" w:hAnsi="Arial" w:cs="Arial"/>
          <w:sz w:val="20"/>
          <w:szCs w:val="20"/>
        </w:rPr>
        <w:t>;</w:t>
      </w:r>
    </w:p>
    <w:p w14:paraId="2DE1034C" w14:textId="1534351B"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mednarodni organ in osebe, ki bodo prejele informacije, pri obdelavi osebnih podatkov upoštevajo zahteve </w:t>
      </w:r>
      <w:r w:rsidR="00A36A08" w:rsidRPr="00215B2F">
        <w:rPr>
          <w:rFonts w:ascii="Arial" w:eastAsia="Arial" w:hAnsi="Arial" w:cs="Arial"/>
          <w:sz w:val="20"/>
          <w:szCs w:val="20"/>
        </w:rPr>
        <w:t xml:space="preserve">iz </w:t>
      </w:r>
      <w:r w:rsidRPr="00215B2F">
        <w:rPr>
          <w:rFonts w:ascii="Arial" w:eastAsia="Arial" w:hAnsi="Arial" w:cs="Arial"/>
          <w:sz w:val="20"/>
          <w:szCs w:val="20"/>
        </w:rPr>
        <w:t>Uredbe 2016/679/EU.</w:t>
      </w:r>
    </w:p>
    <w:p w14:paraId="72EBD82B"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C484DC8" w14:textId="1A5FAC0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Mednarodni organi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lahko zaupne informacije pridobijo samo za naslednje namene:</w:t>
      </w:r>
    </w:p>
    <w:p w14:paraId="651A878B" w14:textId="77777777" w:rsidR="00730AA1" w:rsidRPr="00215B2F" w:rsidRDefault="00730AA1" w:rsidP="00FD5520">
      <w:pPr>
        <w:shd w:val="clear" w:color="auto" w:fill="FFFFFF" w:themeFill="background1"/>
        <w:spacing w:after="0" w:line="240" w:lineRule="auto"/>
        <w:jc w:val="both"/>
        <w:rPr>
          <w:rFonts w:ascii="Arial" w:eastAsia="Arial" w:hAnsi="Arial" w:cs="Arial"/>
          <w:sz w:val="20"/>
          <w:szCs w:val="20"/>
        </w:rPr>
      </w:pPr>
    </w:p>
    <w:p w14:paraId="262CD454" w14:textId="77777777" w:rsidR="00730AA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Mednarodni denarni sklad in Svetovna banka za namene ocenjevanja v okviru Programa za oceno finančnih sektorjev;</w:t>
      </w:r>
    </w:p>
    <w:p w14:paraId="17DB2128" w14:textId="77777777" w:rsidR="00730AA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Banka za mednarodne povezave za namene kvantitativnih ocen učinka;</w:t>
      </w:r>
    </w:p>
    <w:p w14:paraId="0ED1D7CE" w14:textId="7B77238B"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Odbor za finančno stabilnost za namene nadzora.</w:t>
      </w:r>
    </w:p>
    <w:p w14:paraId="6D17AA8C"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350A5D2" w14:textId="24654E3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Zahteva iz </w:t>
      </w:r>
      <w:r w:rsidR="006C45C9" w:rsidRPr="00215B2F">
        <w:rPr>
          <w:rFonts w:ascii="Arial" w:eastAsia="Arial" w:hAnsi="Arial" w:cs="Arial"/>
          <w:sz w:val="20"/>
          <w:szCs w:val="20"/>
        </w:rPr>
        <w:t xml:space="preserve">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mora</w:t>
      </w:r>
      <w:r w:rsidR="006C45C9" w:rsidRPr="00215B2F">
        <w:rPr>
          <w:rFonts w:ascii="Arial" w:eastAsia="Arial" w:hAnsi="Arial" w:cs="Arial"/>
          <w:sz w:val="20"/>
          <w:szCs w:val="20"/>
        </w:rPr>
        <w:t xml:space="preserve"> vključevati</w:t>
      </w:r>
      <w:r w:rsidRPr="00215B2F">
        <w:rPr>
          <w:rFonts w:ascii="Arial" w:eastAsia="Arial" w:hAnsi="Arial" w:cs="Arial"/>
          <w:sz w:val="20"/>
          <w:szCs w:val="20"/>
        </w:rPr>
        <w:t xml:space="preserve"> vsaj:</w:t>
      </w:r>
    </w:p>
    <w:p w14:paraId="5B2A64C0" w14:textId="77777777" w:rsidR="00730AA1" w:rsidRPr="00215B2F" w:rsidRDefault="00730AA1" w:rsidP="00FD5520">
      <w:pPr>
        <w:shd w:val="clear" w:color="auto" w:fill="FFFFFF" w:themeFill="background1"/>
        <w:spacing w:after="0" w:line="240" w:lineRule="auto"/>
        <w:jc w:val="both"/>
        <w:rPr>
          <w:rFonts w:ascii="Arial" w:eastAsia="Arial" w:hAnsi="Arial" w:cs="Arial"/>
          <w:sz w:val="20"/>
          <w:szCs w:val="20"/>
        </w:rPr>
      </w:pPr>
    </w:p>
    <w:p w14:paraId="6DEDE5D3" w14:textId="7E7641E8" w:rsidR="00730AA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natančno opredeljeno naravo, obseg in obliko zahtevanih informacij ter način njihovega razkritja ali po</w:t>
      </w:r>
      <w:r w:rsidR="00A36A08" w:rsidRPr="00215B2F">
        <w:rPr>
          <w:rFonts w:ascii="Arial" w:eastAsia="Arial" w:hAnsi="Arial" w:cs="Arial"/>
          <w:sz w:val="20"/>
          <w:szCs w:val="20"/>
        </w:rPr>
        <w:t>šilj</w:t>
      </w:r>
      <w:r w:rsidRPr="00215B2F">
        <w:rPr>
          <w:rFonts w:ascii="Arial" w:eastAsia="Arial" w:hAnsi="Arial" w:cs="Arial"/>
          <w:sz w:val="20"/>
          <w:szCs w:val="20"/>
        </w:rPr>
        <w:t>anja,</w:t>
      </w:r>
    </w:p>
    <w:p w14:paraId="6B4F539E" w14:textId="4ACE7867"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navedbo oseb, ki so neposredno povezane z opravljanjem posebne naloge.</w:t>
      </w:r>
    </w:p>
    <w:p w14:paraId="29B58CC2"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D47C9E2" w14:textId="5BA09A9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Zahtevane informacije se lahko po</w:t>
      </w:r>
      <w:r w:rsidR="00A36A08" w:rsidRPr="00215B2F">
        <w:rPr>
          <w:rFonts w:ascii="Arial" w:eastAsia="Arial" w:hAnsi="Arial" w:cs="Arial"/>
          <w:sz w:val="20"/>
          <w:szCs w:val="20"/>
        </w:rPr>
        <w:t>šl</w:t>
      </w:r>
      <w:r w:rsidRPr="00215B2F">
        <w:rPr>
          <w:rFonts w:ascii="Arial" w:eastAsia="Arial" w:hAnsi="Arial" w:cs="Arial"/>
          <w:sz w:val="20"/>
          <w:szCs w:val="20"/>
        </w:rPr>
        <w:t xml:space="preserve">jejo ali razkrijejo le osebam, ki so neposredno povezane z opravljanjem posamične naloge iz druge alineje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1806786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618DC1D" w14:textId="3B56835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Informacije iz tega člena, ki niso zbirne ali anonimizirane, se organom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ne smejo pos</w:t>
      </w:r>
      <w:r w:rsidR="00A36A08" w:rsidRPr="00215B2F">
        <w:rPr>
          <w:rFonts w:ascii="Arial" w:eastAsia="Arial" w:hAnsi="Arial" w:cs="Arial"/>
          <w:sz w:val="20"/>
          <w:szCs w:val="20"/>
        </w:rPr>
        <w:t>l</w:t>
      </w:r>
      <w:r w:rsidRPr="00215B2F">
        <w:rPr>
          <w:rFonts w:ascii="Arial" w:eastAsia="Arial" w:hAnsi="Arial" w:cs="Arial"/>
          <w:sz w:val="20"/>
          <w:szCs w:val="20"/>
        </w:rPr>
        <w:t>ati, razkrijejo pa se lahko le v prostorih Banke Slovenije.</w:t>
      </w:r>
    </w:p>
    <w:p w14:paraId="22C1056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1F9E59C" w14:textId="77777777" w:rsidR="00D91782" w:rsidRPr="00215B2F" w:rsidRDefault="00D91782" w:rsidP="00FC403B">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4" w:name="_Ref202960095"/>
      <w:r w:rsidRPr="00215B2F">
        <w:rPr>
          <w:rFonts w:ascii="Arial" w:eastAsia="Arial" w:hAnsi="Arial" w:cs="Arial"/>
          <w:b/>
          <w:bCs/>
          <w:sz w:val="20"/>
          <w:szCs w:val="20"/>
        </w:rPr>
        <w:t>člen</w:t>
      </w:r>
      <w:bookmarkEnd w:id="34"/>
    </w:p>
    <w:p w14:paraId="22897FF5" w14:textId="77777777" w:rsidR="00D91782" w:rsidRPr="00215B2F" w:rsidRDefault="00D91782" w:rsidP="00FD5520">
      <w:pPr>
        <w:pStyle w:val="Slog1"/>
        <w:shd w:val="clear" w:color="auto" w:fill="FFFFFF" w:themeFill="background1"/>
        <w:rPr>
          <w:sz w:val="20"/>
          <w:szCs w:val="20"/>
        </w:rPr>
      </w:pPr>
      <w:r w:rsidRPr="00215B2F">
        <w:rPr>
          <w:sz w:val="20"/>
          <w:szCs w:val="20"/>
        </w:rPr>
        <w:t>(obveščanje v primeru kriznih razmer)</w:t>
      </w:r>
    </w:p>
    <w:p w14:paraId="0FFE9533" w14:textId="77777777" w:rsidR="00D91782" w:rsidRPr="00215B2F" w:rsidRDefault="00D91782" w:rsidP="00FD5520">
      <w:pPr>
        <w:pStyle w:val="Slog1"/>
        <w:shd w:val="clear" w:color="auto" w:fill="FFFFFF" w:themeFill="background1"/>
        <w:jc w:val="both"/>
        <w:rPr>
          <w:sz w:val="20"/>
          <w:szCs w:val="20"/>
        </w:rPr>
      </w:pPr>
    </w:p>
    <w:p w14:paraId="34AE8C09" w14:textId="00FA8D1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v primeru kriznih razmer v Republiki Sloveniji, ki vključujejo tudi primere, določene v 18. členu Uredbe 1093/2010/EU, ali ob drugih neugodnih </w:t>
      </w:r>
      <w:r w:rsidR="002A7234" w:rsidRPr="00215B2F">
        <w:rPr>
          <w:rFonts w:ascii="Arial" w:eastAsia="Arial" w:hAnsi="Arial" w:cs="Arial"/>
          <w:sz w:val="20"/>
          <w:szCs w:val="20"/>
        </w:rPr>
        <w:t>gibanj</w:t>
      </w:r>
      <w:r w:rsidRPr="00215B2F">
        <w:rPr>
          <w:rFonts w:ascii="Arial" w:eastAsia="Arial" w:hAnsi="Arial" w:cs="Arial"/>
          <w:sz w:val="20"/>
          <w:szCs w:val="20"/>
        </w:rPr>
        <w:t>ih na finančnih trgih, ki lahko ogrozijo likvidnost trga ali stabilnost finančnega sistema v drugi državi članici, zlasti v primerih, ko so te razmere povezane s poslovanjem pomembne podružnice banke ali subjektov v skupini v drugi državi članici, o tem nemudoma obvesti pristojni organ te države članice, Evropski bančni organ, centralne banke ESCB ter Evropski odbor za sistemska tveganja.</w:t>
      </w:r>
    </w:p>
    <w:p w14:paraId="2E15A63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73F0C30" w14:textId="27023F1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Kadar Banka Slovenije pridobi zaupne informacije v zvezi z okoliščinami iz prejšnjega odstavka od pristojnega organa druge države članice ali drugega organa iz prejšnjega odstavka, o tem nemudoma obvesti ministrstvo, pristojno za finance, kadar je tako razkritje nujno, da se zagotovi učinkovit nadzor ter izvedejo ukrepi za reševanje ali prenehanje kreditnih institucij.</w:t>
      </w:r>
    </w:p>
    <w:p w14:paraId="1A04E1F3"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8C35BE3" w14:textId="363F86A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Ne glede na četrti odstavek 17.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sme Banka Slovenije razkriti zaupne informacije, ki jih pridobi v zvezi z okoliščinami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ministrstvu, pristojnemu za finance, tudi brez soglasja pristojnega organa države članice, če je razkritje nujno za izvedbo ukrepov za stabilizacijo banke.</w:t>
      </w:r>
    </w:p>
    <w:p w14:paraId="39A8F42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1AA2F3E"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5" w:name="_Ref202960101"/>
      <w:r w:rsidRPr="00215B2F">
        <w:rPr>
          <w:rFonts w:ascii="Arial" w:eastAsia="Arial" w:hAnsi="Arial" w:cs="Arial"/>
          <w:b/>
          <w:bCs/>
          <w:sz w:val="20"/>
          <w:szCs w:val="20"/>
        </w:rPr>
        <w:t>člen</w:t>
      </w:r>
      <w:bookmarkEnd w:id="35"/>
    </w:p>
    <w:p w14:paraId="5B495093" w14:textId="5E05F4DC" w:rsidR="00D91782" w:rsidRPr="00215B2F" w:rsidRDefault="00D91782" w:rsidP="00FD5520">
      <w:pPr>
        <w:pStyle w:val="Slog1"/>
        <w:shd w:val="clear" w:color="auto" w:fill="FFFFFF" w:themeFill="background1"/>
        <w:rPr>
          <w:sz w:val="20"/>
          <w:szCs w:val="20"/>
        </w:rPr>
      </w:pPr>
      <w:r w:rsidRPr="00215B2F">
        <w:rPr>
          <w:sz w:val="20"/>
          <w:szCs w:val="20"/>
        </w:rPr>
        <w:t>(</w:t>
      </w:r>
      <w:r w:rsidR="0061451E" w:rsidRPr="00215B2F">
        <w:rPr>
          <w:sz w:val="20"/>
          <w:szCs w:val="20"/>
        </w:rPr>
        <w:t>razkritje</w:t>
      </w:r>
      <w:r w:rsidRPr="00215B2F">
        <w:rPr>
          <w:sz w:val="20"/>
          <w:szCs w:val="20"/>
        </w:rPr>
        <w:t xml:space="preserve"> zaupnih informacij osebam </w:t>
      </w:r>
      <w:r w:rsidR="00D41577" w:rsidRPr="00215B2F">
        <w:rPr>
          <w:sz w:val="20"/>
          <w:szCs w:val="20"/>
        </w:rPr>
        <w:t xml:space="preserve">iz </w:t>
      </w:r>
      <w:r w:rsidRPr="00215B2F">
        <w:rPr>
          <w:sz w:val="20"/>
          <w:szCs w:val="20"/>
        </w:rPr>
        <w:t>tretje države)</w:t>
      </w:r>
    </w:p>
    <w:p w14:paraId="26A4FBF5" w14:textId="77777777" w:rsidR="00D91782" w:rsidRPr="00215B2F" w:rsidRDefault="00D91782" w:rsidP="00FD5520">
      <w:pPr>
        <w:pStyle w:val="Slog1"/>
        <w:shd w:val="clear" w:color="auto" w:fill="FFFFFF" w:themeFill="background1"/>
        <w:jc w:val="both"/>
        <w:rPr>
          <w:sz w:val="20"/>
          <w:szCs w:val="20"/>
        </w:rPr>
      </w:pPr>
    </w:p>
    <w:p w14:paraId="2262B6B4" w14:textId="1D22676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lahko razkrije zaupne informacije osebam iz tretje države, ki imajo v tretji državi položaj pristojnega organa ali subjekta iz 1. do 6. točke ter 12. do 14. točke drugega odstavka 16. </w:t>
      </w:r>
      <w:r w:rsidR="001F2C7A" w:rsidRPr="00215B2F">
        <w:rPr>
          <w:rFonts w:ascii="Arial" w:eastAsia="Arial" w:hAnsi="Arial" w:cs="Arial"/>
          <w:sz w:val="20"/>
          <w:szCs w:val="20"/>
        </w:rPr>
        <w:t>člena tega zakona</w:t>
      </w:r>
      <w:r w:rsidRPr="00215B2F">
        <w:rPr>
          <w:rFonts w:ascii="Arial" w:eastAsia="Arial" w:hAnsi="Arial" w:cs="Arial"/>
          <w:sz w:val="20"/>
          <w:szCs w:val="20"/>
        </w:rPr>
        <w:t>, če so izpolnjeni naslednji pogoji:</w:t>
      </w:r>
    </w:p>
    <w:p w14:paraId="3C265846"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1C8CFCB" w14:textId="7588E1EA" w:rsidR="00730AA1" w:rsidRPr="00215B2F" w:rsidRDefault="00D91782">
      <w:pPr>
        <w:pStyle w:val="tevilnatoka"/>
        <w:numPr>
          <w:ilvl w:val="0"/>
          <w:numId w:val="39"/>
        </w:numPr>
        <w:shd w:val="clear" w:color="auto" w:fill="FFFFFF" w:themeFill="background1"/>
        <w:tabs>
          <w:tab w:val="clear" w:pos="425"/>
        </w:tabs>
        <w:rPr>
          <w:rFonts w:cs="Arial"/>
          <w:bCs/>
          <w:sz w:val="20"/>
          <w:szCs w:val="20"/>
        </w:rPr>
      </w:pPr>
      <w:r w:rsidRPr="00215B2F">
        <w:rPr>
          <w:rFonts w:eastAsia="Arial" w:cs="Arial"/>
          <w:sz w:val="20"/>
          <w:szCs w:val="20"/>
        </w:rPr>
        <w:t xml:space="preserve">če je tretja država evidentirana v javnem registru tretjih držav in </w:t>
      </w:r>
      <w:r w:rsidR="00560D52" w:rsidRPr="00215B2F">
        <w:rPr>
          <w:rFonts w:eastAsia="Arial" w:cs="Arial"/>
          <w:sz w:val="20"/>
          <w:szCs w:val="20"/>
        </w:rPr>
        <w:t>organov</w:t>
      </w:r>
      <w:r w:rsidRPr="00215B2F">
        <w:rPr>
          <w:rFonts w:eastAsia="Arial" w:cs="Arial"/>
          <w:sz w:val="20"/>
          <w:szCs w:val="20"/>
        </w:rPr>
        <w:t xml:space="preserve"> tretjih držav, ki ga na podlagi četrtega odstavka 48.b člena Direktive 2013/36/EU objavi Evropski bančni organ; </w:t>
      </w:r>
    </w:p>
    <w:p w14:paraId="2CB29E6B" w14:textId="6D1BBC49" w:rsidR="00730AA1" w:rsidRPr="00215B2F" w:rsidRDefault="00D91782">
      <w:pPr>
        <w:pStyle w:val="tevilnatoka"/>
        <w:numPr>
          <w:ilvl w:val="0"/>
          <w:numId w:val="39"/>
        </w:numPr>
        <w:shd w:val="clear" w:color="auto" w:fill="FFFFFF" w:themeFill="background1"/>
        <w:tabs>
          <w:tab w:val="clear" w:pos="425"/>
        </w:tabs>
        <w:rPr>
          <w:rFonts w:cs="Arial"/>
          <w:bCs/>
          <w:sz w:val="20"/>
          <w:szCs w:val="20"/>
        </w:rPr>
      </w:pPr>
      <w:r w:rsidRPr="00215B2F">
        <w:rPr>
          <w:rFonts w:eastAsia="Arial" w:cs="Arial"/>
          <w:sz w:val="20"/>
          <w:szCs w:val="20"/>
        </w:rPr>
        <w:t xml:space="preserve">če se za navedene osebe </w:t>
      </w:r>
      <w:r w:rsidR="00D41577" w:rsidRPr="00215B2F">
        <w:rPr>
          <w:rFonts w:eastAsia="Arial" w:cs="Arial"/>
          <w:sz w:val="20"/>
          <w:szCs w:val="20"/>
        </w:rPr>
        <w:t xml:space="preserve">iz </w:t>
      </w:r>
      <w:r w:rsidRPr="00215B2F">
        <w:rPr>
          <w:rFonts w:eastAsia="Arial" w:cs="Arial"/>
          <w:sz w:val="20"/>
          <w:szCs w:val="20"/>
        </w:rPr>
        <w:t xml:space="preserve">tretje države v tej državi uporabljajo pravila o obveznosti varovanja zaupnih informacij, z vsebino, določeno v 14. in 15. </w:t>
      </w:r>
      <w:r w:rsidR="001F2C7A" w:rsidRPr="00215B2F">
        <w:rPr>
          <w:rFonts w:eastAsia="Arial" w:cs="Arial"/>
          <w:sz w:val="20"/>
          <w:szCs w:val="20"/>
        </w:rPr>
        <w:t>členu tega zakona</w:t>
      </w:r>
      <w:r w:rsidRPr="00215B2F">
        <w:rPr>
          <w:rFonts w:eastAsia="Arial" w:cs="Arial"/>
          <w:sz w:val="20"/>
          <w:szCs w:val="20"/>
        </w:rPr>
        <w:t>;</w:t>
      </w:r>
    </w:p>
    <w:p w14:paraId="54A58215" w14:textId="19127F8D" w:rsidR="00D91782" w:rsidRPr="00215B2F" w:rsidRDefault="00D91782">
      <w:pPr>
        <w:pStyle w:val="tevilnatoka"/>
        <w:numPr>
          <w:ilvl w:val="0"/>
          <w:numId w:val="39"/>
        </w:numPr>
        <w:shd w:val="clear" w:color="auto" w:fill="FFFFFF" w:themeFill="background1"/>
        <w:tabs>
          <w:tab w:val="clear" w:pos="425"/>
        </w:tabs>
        <w:rPr>
          <w:rFonts w:cs="Arial"/>
          <w:bCs/>
          <w:sz w:val="20"/>
          <w:szCs w:val="20"/>
        </w:rPr>
      </w:pPr>
      <w:r w:rsidRPr="00215B2F">
        <w:rPr>
          <w:rFonts w:eastAsia="Arial" w:cs="Arial"/>
          <w:sz w:val="20"/>
          <w:szCs w:val="20"/>
        </w:rPr>
        <w:t xml:space="preserve">če je informacija, ki je predmet razkritja osebi </w:t>
      </w:r>
      <w:r w:rsidR="00880CD1" w:rsidRPr="00215B2F">
        <w:rPr>
          <w:rFonts w:eastAsia="Arial" w:cs="Arial"/>
          <w:sz w:val="20"/>
          <w:szCs w:val="20"/>
        </w:rPr>
        <w:t xml:space="preserve">iz </w:t>
      </w:r>
      <w:r w:rsidRPr="00215B2F">
        <w:rPr>
          <w:rFonts w:eastAsia="Arial" w:cs="Arial"/>
          <w:sz w:val="20"/>
          <w:szCs w:val="20"/>
        </w:rPr>
        <w:t xml:space="preserve">tretje države, namenjena samo </w:t>
      </w:r>
      <w:r w:rsidR="00FF1E3C" w:rsidRPr="00215B2F">
        <w:rPr>
          <w:rFonts w:eastAsia="Arial" w:cs="Arial"/>
          <w:sz w:val="20"/>
          <w:szCs w:val="20"/>
        </w:rPr>
        <w:t xml:space="preserve">za </w:t>
      </w:r>
      <w:r w:rsidRPr="00215B2F">
        <w:rPr>
          <w:rFonts w:eastAsia="Arial" w:cs="Arial"/>
          <w:sz w:val="20"/>
          <w:szCs w:val="20"/>
        </w:rPr>
        <w:t>potreb</w:t>
      </w:r>
      <w:r w:rsidR="00FF1E3C" w:rsidRPr="00215B2F">
        <w:rPr>
          <w:rFonts w:eastAsia="Arial" w:cs="Arial"/>
          <w:sz w:val="20"/>
          <w:szCs w:val="20"/>
        </w:rPr>
        <w:t>e</w:t>
      </w:r>
      <w:r w:rsidRPr="00215B2F">
        <w:rPr>
          <w:rFonts w:eastAsia="Arial" w:cs="Arial"/>
          <w:sz w:val="20"/>
          <w:szCs w:val="20"/>
        </w:rPr>
        <w:t xml:space="preserve"> izvajanja nalog pristojnega organa ali nalog subjektov iz 1. do 6. točke ter 12. do 14. točke drugega odstavka 16. </w:t>
      </w:r>
      <w:r w:rsidR="001F2C7A" w:rsidRPr="00215B2F">
        <w:rPr>
          <w:rFonts w:eastAsia="Arial" w:cs="Arial"/>
          <w:sz w:val="20"/>
          <w:szCs w:val="20"/>
        </w:rPr>
        <w:t>člena tega zakona</w:t>
      </w:r>
      <w:r w:rsidRPr="00215B2F">
        <w:rPr>
          <w:rFonts w:eastAsia="Arial" w:cs="Arial"/>
          <w:sz w:val="20"/>
          <w:szCs w:val="20"/>
        </w:rPr>
        <w:t>.</w:t>
      </w:r>
    </w:p>
    <w:p w14:paraId="68234BA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C7C3306" w14:textId="5855A18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sme zaupne informacije, ki jih je pridobila od pristojnega organa druge države članice ali pri opravljanju pregleda poslovanja podružnice banke države članice v skladu s tem zakonom, razkriti osebam iz prejšnjega odstavka samo s soglasjem pristojnega organa te države članice.</w:t>
      </w:r>
    </w:p>
    <w:p w14:paraId="73BE4D6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6ABB17E" w14:textId="75B40735"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2.2.2 Odgovornost za izvajanje nadzora</w:t>
      </w:r>
    </w:p>
    <w:p w14:paraId="63C5299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DD907CE"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6" w:name="_Ref202960107"/>
      <w:r w:rsidRPr="00215B2F">
        <w:rPr>
          <w:rFonts w:ascii="Arial" w:eastAsia="Arial" w:hAnsi="Arial" w:cs="Arial"/>
          <w:b/>
          <w:bCs/>
          <w:sz w:val="20"/>
          <w:szCs w:val="20"/>
        </w:rPr>
        <w:t>člen</w:t>
      </w:r>
      <w:bookmarkEnd w:id="36"/>
    </w:p>
    <w:p w14:paraId="5851E7E2" w14:textId="77777777" w:rsidR="00D91782" w:rsidRPr="00215B2F" w:rsidRDefault="00D91782" w:rsidP="00FD5520">
      <w:pPr>
        <w:pStyle w:val="Slog1"/>
        <w:shd w:val="clear" w:color="auto" w:fill="FFFFFF" w:themeFill="background1"/>
        <w:rPr>
          <w:sz w:val="20"/>
          <w:szCs w:val="20"/>
        </w:rPr>
      </w:pPr>
      <w:r w:rsidRPr="00215B2F">
        <w:rPr>
          <w:sz w:val="20"/>
          <w:szCs w:val="20"/>
        </w:rPr>
        <w:t>(odgovornost v zvezi z izvajanjem nadzora)</w:t>
      </w:r>
    </w:p>
    <w:p w14:paraId="5939AC3B" w14:textId="77777777" w:rsidR="00D91782" w:rsidRPr="00215B2F" w:rsidRDefault="00D91782" w:rsidP="00FD5520">
      <w:pPr>
        <w:pStyle w:val="Slog1"/>
        <w:shd w:val="clear" w:color="auto" w:fill="FFFFFF" w:themeFill="background1"/>
        <w:jc w:val="both"/>
        <w:rPr>
          <w:sz w:val="20"/>
          <w:szCs w:val="20"/>
        </w:rPr>
      </w:pPr>
    </w:p>
    <w:p w14:paraId="14913930" w14:textId="0D5797F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in osebe, ki delujejo v njenem imenu ali po njenem pooblastilu, pri izvajanju pristojnosti nadzora na podlagi tega zakona ravnajo s </w:t>
      </w:r>
      <w:r w:rsidR="002D7513" w:rsidRPr="00215B2F">
        <w:rPr>
          <w:rFonts w:ascii="Arial" w:eastAsia="Arial" w:hAnsi="Arial" w:cs="Arial"/>
          <w:sz w:val="20"/>
          <w:szCs w:val="20"/>
        </w:rPr>
        <w:t xml:space="preserve">profesionalno </w:t>
      </w:r>
      <w:r w:rsidRPr="00215B2F">
        <w:rPr>
          <w:rFonts w:ascii="Arial" w:eastAsia="Arial" w:hAnsi="Arial" w:cs="Arial"/>
          <w:sz w:val="20"/>
          <w:szCs w:val="20"/>
        </w:rPr>
        <w:t>skrbnostjo.</w:t>
      </w:r>
    </w:p>
    <w:p w14:paraId="08B9BB5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24BB38A" w14:textId="5984DD6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Šteje se, da je Banka Slovenije pri izrekanju ukrepov nadzora in izvajanju drugih pristojnosti na podlagi tega zakona ravnala z ustrezno </w:t>
      </w:r>
      <w:r w:rsidR="002D7513" w:rsidRPr="00215B2F">
        <w:rPr>
          <w:rFonts w:ascii="Arial" w:eastAsia="Arial" w:hAnsi="Arial" w:cs="Arial"/>
          <w:sz w:val="20"/>
          <w:szCs w:val="20"/>
        </w:rPr>
        <w:t xml:space="preserve">profesionalno </w:t>
      </w:r>
      <w:r w:rsidRPr="00215B2F">
        <w:rPr>
          <w:rFonts w:ascii="Arial" w:eastAsia="Arial" w:hAnsi="Arial" w:cs="Arial"/>
          <w:sz w:val="20"/>
          <w:szCs w:val="20"/>
        </w:rPr>
        <w:t>skrbnostjo, če je ob upoštevanju dejstev in okoliščin, s katerimi je razpolagala v času odločanja, lahko upravičeno štela, da so izpolnjeni pogoji za izrekanje ukrepov nadzora ali za izvajanje drugih pristojnosti v skladu s tem zakonom in da so izrečeni ukrepi zakoniti.</w:t>
      </w:r>
    </w:p>
    <w:p w14:paraId="2560A96B"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D338B73" w14:textId="168564E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je odgovorna za ravnanj</w:t>
      </w:r>
      <w:r w:rsidR="00AD0200" w:rsidRPr="00215B2F">
        <w:rPr>
          <w:rFonts w:ascii="Arial" w:eastAsia="Arial" w:hAnsi="Arial" w:cs="Arial"/>
          <w:sz w:val="20"/>
          <w:szCs w:val="20"/>
        </w:rPr>
        <w:t>e</w:t>
      </w:r>
      <w:r w:rsidRPr="00215B2F">
        <w:rPr>
          <w:rFonts w:ascii="Arial" w:eastAsia="Arial" w:hAnsi="Arial" w:cs="Arial"/>
          <w:sz w:val="20"/>
          <w:szCs w:val="20"/>
        </w:rPr>
        <w:t xml:space="preserve"> oseb, ki so pri izvajanju nadzora in drugih pristojnosti Banke Slovenije v skladu s tem zakonom delovale na podlagi pooblastila Banke Slovenije po pravilih, ki urejajo odgovornost delodajalcev za škodo, ki jo pri delu ali v zvezi z delom tretjim osebam povzročijo </w:t>
      </w:r>
      <w:r w:rsidRPr="00215B2F">
        <w:rPr>
          <w:rFonts w:ascii="Arial" w:eastAsia="Arial" w:hAnsi="Arial" w:cs="Arial"/>
          <w:sz w:val="20"/>
          <w:szCs w:val="20"/>
        </w:rPr>
        <w:lastRenderedPageBreak/>
        <w:t>zaposleni. Če zaradi ravnanja osebe, ki je delovala na podlagi pooblastila Banke Slovenije, nastane škoda, lahko oškodovanec ne glede na določbe drugih zakonov zahteva povračilo škode izključno od Banke Slovenije.</w:t>
      </w:r>
    </w:p>
    <w:p w14:paraId="610B4A88"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D799E35" w14:textId="3686DC2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Šteje se, da je oseba, ki je delovala v imenu Banke Slovenije pri izvajanju pristojnosti nadzora v skladu s tem zakonom, ravnala z ustrezno </w:t>
      </w:r>
      <w:r w:rsidR="002D7513" w:rsidRPr="00215B2F">
        <w:rPr>
          <w:rFonts w:ascii="Arial" w:eastAsia="Arial" w:hAnsi="Arial" w:cs="Arial"/>
          <w:sz w:val="20"/>
          <w:szCs w:val="20"/>
        </w:rPr>
        <w:t xml:space="preserve">profesionalno </w:t>
      </w:r>
      <w:r w:rsidRPr="00215B2F">
        <w:rPr>
          <w:rFonts w:ascii="Arial" w:eastAsia="Arial" w:hAnsi="Arial" w:cs="Arial"/>
          <w:sz w:val="20"/>
          <w:szCs w:val="20"/>
        </w:rPr>
        <w:t>skrbnostjo, če je ob upoštevanju dejstev in okoliščin, s katerimi je razpolagala v času svojega delovanja, ravnala kot dober strokovnjak.</w:t>
      </w:r>
    </w:p>
    <w:p w14:paraId="62203C52"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DB73284" w14:textId="167DCED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Zaposleni v Banki Slovenije so neodvisni in imajo strokovno znanje, vire, operativno sposobnost in pooblastila v skladu s tem ali drugim zakonom za opravljanje funkcij in nalog v zvezi z bonitetnim nadzorom, pregledi poslovanja, nalaganjem periodičnih denarnih kazni in administrativnih sankcij iz tega zakona in Uredbe 575/2013</w:t>
      </w:r>
      <w:r w:rsidR="0061482B" w:rsidRPr="00215B2F">
        <w:rPr>
          <w:rFonts w:ascii="Arial" w:eastAsia="Arial" w:hAnsi="Arial" w:cs="Arial"/>
          <w:sz w:val="20"/>
          <w:szCs w:val="20"/>
        </w:rPr>
        <w:t>/EU</w:t>
      </w:r>
      <w:r w:rsidRPr="00215B2F">
        <w:rPr>
          <w:rFonts w:ascii="Arial" w:eastAsia="Arial" w:hAnsi="Arial" w:cs="Arial"/>
          <w:sz w:val="20"/>
          <w:szCs w:val="20"/>
        </w:rPr>
        <w:t>.</w:t>
      </w:r>
    </w:p>
    <w:p w14:paraId="096ABB10" w14:textId="77777777" w:rsidR="00D91CBF" w:rsidRPr="00215B2F" w:rsidRDefault="00D91CBF" w:rsidP="00FD5520">
      <w:pPr>
        <w:shd w:val="clear" w:color="auto" w:fill="FFFFFF" w:themeFill="background1"/>
        <w:spacing w:after="0" w:line="240" w:lineRule="auto"/>
        <w:jc w:val="both"/>
        <w:rPr>
          <w:rFonts w:ascii="Arial" w:eastAsia="Arial" w:hAnsi="Arial" w:cs="Arial"/>
          <w:i/>
          <w:iCs/>
          <w:sz w:val="20"/>
          <w:szCs w:val="20"/>
        </w:rPr>
      </w:pPr>
    </w:p>
    <w:p w14:paraId="0819D4F0" w14:textId="7375A3F0"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2.2.3 Nadzorniška neodvisnost Banke Slovenije</w:t>
      </w:r>
    </w:p>
    <w:p w14:paraId="620AACA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E8DE4EC" w14:textId="09B70CEE"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7" w:name="_Ref202960136"/>
      <w:r w:rsidRPr="00215B2F">
        <w:rPr>
          <w:rFonts w:ascii="Arial" w:eastAsia="Arial" w:hAnsi="Arial" w:cs="Arial"/>
          <w:b/>
          <w:bCs/>
          <w:sz w:val="20"/>
          <w:szCs w:val="20"/>
        </w:rPr>
        <w:t>člen</w:t>
      </w:r>
      <w:bookmarkEnd w:id="37"/>
    </w:p>
    <w:p w14:paraId="2DE8FF72" w14:textId="77777777" w:rsidR="00D91782" w:rsidRPr="00215B2F" w:rsidRDefault="00D91782" w:rsidP="00FD5520">
      <w:pPr>
        <w:pStyle w:val="Slog1"/>
        <w:shd w:val="clear" w:color="auto" w:fill="FFFFFF" w:themeFill="background1"/>
        <w:rPr>
          <w:sz w:val="20"/>
          <w:szCs w:val="20"/>
        </w:rPr>
      </w:pPr>
      <w:r w:rsidRPr="00215B2F">
        <w:rPr>
          <w:sz w:val="20"/>
          <w:szCs w:val="20"/>
        </w:rPr>
        <w:t>(funkcionalna neodvisnost)</w:t>
      </w:r>
    </w:p>
    <w:p w14:paraId="5E9C9686" w14:textId="77777777" w:rsidR="00D91782" w:rsidRPr="00215B2F" w:rsidRDefault="00D91782" w:rsidP="00FD5520">
      <w:pPr>
        <w:pStyle w:val="Slog1"/>
        <w:shd w:val="clear" w:color="auto" w:fill="FFFFFF" w:themeFill="background1"/>
        <w:jc w:val="both"/>
        <w:rPr>
          <w:sz w:val="20"/>
          <w:szCs w:val="20"/>
        </w:rPr>
      </w:pPr>
    </w:p>
    <w:p w14:paraId="10524DAA" w14:textId="1579E815" w:rsidR="0061451E"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w:t>
      </w:r>
      <w:r w:rsidR="003C21E5" w:rsidRPr="00215B2F">
        <w:rPr>
          <w:rFonts w:ascii="Arial" w:eastAsia="Arial" w:hAnsi="Arial" w:cs="Arial"/>
          <w:sz w:val="20"/>
          <w:szCs w:val="20"/>
        </w:rPr>
        <w:t>,</w:t>
      </w:r>
      <w:r w:rsidRPr="00215B2F">
        <w:rPr>
          <w:rFonts w:ascii="Arial" w:eastAsia="Arial" w:hAnsi="Arial" w:cs="Arial"/>
          <w:sz w:val="20"/>
          <w:szCs w:val="20"/>
        </w:rPr>
        <w:t xml:space="preserve"> člani </w:t>
      </w:r>
      <w:r w:rsidR="005335A4" w:rsidRPr="00215B2F">
        <w:rPr>
          <w:rFonts w:ascii="Arial" w:eastAsia="Arial" w:hAnsi="Arial" w:cs="Arial"/>
          <w:sz w:val="20"/>
          <w:szCs w:val="20"/>
        </w:rPr>
        <w:t>Sveta Banke Slovenije</w:t>
      </w:r>
      <w:r w:rsidRPr="00215B2F">
        <w:rPr>
          <w:rFonts w:ascii="Arial" w:eastAsia="Arial" w:hAnsi="Arial" w:cs="Arial"/>
          <w:sz w:val="20"/>
          <w:szCs w:val="20"/>
        </w:rPr>
        <w:t xml:space="preserve"> in njeni zaposleni so pri izvajanju nadzora neodvisni </w:t>
      </w:r>
      <w:r w:rsidR="003C21E5" w:rsidRPr="00215B2F">
        <w:rPr>
          <w:rFonts w:ascii="Arial" w:eastAsia="Arial" w:hAnsi="Arial" w:cs="Arial"/>
          <w:sz w:val="20"/>
          <w:szCs w:val="20"/>
        </w:rPr>
        <w:t xml:space="preserve">ter </w:t>
      </w:r>
      <w:r w:rsidRPr="00215B2F">
        <w:rPr>
          <w:rFonts w:ascii="Arial" w:eastAsia="Arial" w:hAnsi="Arial" w:cs="Arial"/>
          <w:sz w:val="20"/>
          <w:szCs w:val="20"/>
        </w:rPr>
        <w:t xml:space="preserve">pri opravljanju nalog po tem zakonu ravnajo objektivno </w:t>
      </w:r>
      <w:r w:rsidR="003C21E5" w:rsidRPr="00215B2F">
        <w:rPr>
          <w:rFonts w:ascii="Arial" w:eastAsia="Arial" w:hAnsi="Arial" w:cs="Arial"/>
          <w:sz w:val="20"/>
          <w:szCs w:val="20"/>
        </w:rPr>
        <w:t xml:space="preserve">in </w:t>
      </w:r>
      <w:r w:rsidRPr="00215B2F">
        <w:rPr>
          <w:rFonts w:ascii="Arial" w:eastAsia="Arial" w:hAnsi="Arial" w:cs="Arial"/>
          <w:sz w:val="20"/>
          <w:szCs w:val="20"/>
        </w:rPr>
        <w:t>niso vezani na</w:t>
      </w:r>
      <w:r w:rsidR="00724F59" w:rsidRPr="00215B2F">
        <w:rPr>
          <w:rFonts w:ascii="Arial" w:eastAsia="Arial" w:hAnsi="Arial" w:cs="Arial"/>
          <w:sz w:val="20"/>
          <w:szCs w:val="20"/>
        </w:rPr>
        <w:t>, niti jih ne smejo zaprositi za</w:t>
      </w:r>
      <w:r w:rsidRPr="00215B2F">
        <w:rPr>
          <w:rFonts w:ascii="Arial" w:eastAsia="Arial" w:hAnsi="Arial" w:cs="Arial"/>
          <w:sz w:val="20"/>
          <w:szCs w:val="20"/>
        </w:rPr>
        <w:t xml:space="preserve"> sklepe, stališča in navodila nadzorovanih institucij, </w:t>
      </w:r>
      <w:r w:rsidR="003C21E5" w:rsidRPr="00215B2F">
        <w:rPr>
          <w:rFonts w:ascii="Arial" w:eastAsia="Arial" w:hAnsi="Arial" w:cs="Arial"/>
          <w:sz w:val="20"/>
          <w:szCs w:val="20"/>
        </w:rPr>
        <w:t>V</w:t>
      </w:r>
      <w:r w:rsidRPr="00215B2F">
        <w:rPr>
          <w:rFonts w:ascii="Arial" w:eastAsia="Arial" w:hAnsi="Arial" w:cs="Arial"/>
          <w:sz w:val="20"/>
          <w:szCs w:val="20"/>
        </w:rPr>
        <w:t>lade Republike Slovenije, katerega</w:t>
      </w:r>
      <w:r w:rsidR="003C21E5" w:rsidRPr="00215B2F">
        <w:rPr>
          <w:rFonts w:ascii="Arial" w:eastAsia="Arial" w:hAnsi="Arial" w:cs="Arial"/>
          <w:sz w:val="20"/>
          <w:szCs w:val="20"/>
        </w:rPr>
        <w:t xml:space="preserve"> </w:t>
      </w:r>
      <w:r w:rsidRPr="00215B2F">
        <w:rPr>
          <w:rFonts w:ascii="Arial" w:eastAsia="Arial" w:hAnsi="Arial" w:cs="Arial"/>
          <w:sz w:val="20"/>
          <w:szCs w:val="20"/>
        </w:rPr>
        <w:t>koli organa Evropske unije, katere</w:t>
      </w:r>
      <w:r w:rsidR="003C21E5" w:rsidRPr="00215B2F">
        <w:rPr>
          <w:rFonts w:ascii="Arial" w:eastAsia="Arial" w:hAnsi="Arial" w:cs="Arial"/>
          <w:sz w:val="20"/>
          <w:szCs w:val="20"/>
        </w:rPr>
        <w:t xml:space="preserve"> </w:t>
      </w:r>
      <w:r w:rsidRPr="00215B2F">
        <w:rPr>
          <w:rFonts w:ascii="Arial" w:eastAsia="Arial" w:hAnsi="Arial" w:cs="Arial"/>
          <w:sz w:val="20"/>
          <w:szCs w:val="20"/>
        </w:rPr>
        <w:t>koli vlade države članice in državnih organov ali katerega</w:t>
      </w:r>
      <w:r w:rsidR="003C21E5" w:rsidRPr="00215B2F">
        <w:rPr>
          <w:rFonts w:ascii="Arial" w:eastAsia="Arial" w:hAnsi="Arial" w:cs="Arial"/>
          <w:sz w:val="20"/>
          <w:szCs w:val="20"/>
        </w:rPr>
        <w:t xml:space="preserve"> </w:t>
      </w:r>
      <w:r w:rsidRPr="00215B2F">
        <w:rPr>
          <w:rFonts w:ascii="Arial" w:eastAsia="Arial" w:hAnsi="Arial" w:cs="Arial"/>
          <w:sz w:val="20"/>
          <w:szCs w:val="20"/>
        </w:rPr>
        <w:t>koli drugega javnega ali zasebnega subjekta, državnih ali katerih</w:t>
      </w:r>
      <w:r w:rsidR="003C21E5" w:rsidRPr="00215B2F">
        <w:rPr>
          <w:rFonts w:ascii="Arial" w:eastAsia="Arial" w:hAnsi="Arial" w:cs="Arial"/>
          <w:sz w:val="20"/>
          <w:szCs w:val="20"/>
        </w:rPr>
        <w:t xml:space="preserve"> </w:t>
      </w:r>
      <w:r w:rsidRPr="00215B2F">
        <w:rPr>
          <w:rFonts w:ascii="Arial" w:eastAsia="Arial" w:hAnsi="Arial" w:cs="Arial"/>
          <w:sz w:val="20"/>
          <w:szCs w:val="20"/>
        </w:rPr>
        <w:t>koli organov</w:t>
      </w:r>
      <w:r w:rsidR="00724F59" w:rsidRPr="00215B2F">
        <w:rPr>
          <w:rFonts w:ascii="Arial" w:eastAsia="Arial" w:hAnsi="Arial" w:cs="Arial"/>
          <w:sz w:val="20"/>
          <w:szCs w:val="20"/>
        </w:rPr>
        <w:t>,</w:t>
      </w:r>
      <w:r w:rsidRPr="00215B2F">
        <w:rPr>
          <w:rFonts w:ascii="Arial" w:eastAsia="Arial" w:hAnsi="Arial" w:cs="Arial"/>
          <w:sz w:val="20"/>
          <w:szCs w:val="20"/>
        </w:rPr>
        <w:t xml:space="preserve"> </w:t>
      </w:r>
      <w:r w:rsidR="0061451E" w:rsidRPr="00215B2F">
        <w:rPr>
          <w:rFonts w:ascii="Arial" w:eastAsia="Arial" w:hAnsi="Arial" w:cs="Arial"/>
          <w:sz w:val="20"/>
          <w:szCs w:val="20"/>
        </w:rPr>
        <w:t xml:space="preserve">ali od njih prejeti </w:t>
      </w:r>
      <w:r w:rsidR="00724F59" w:rsidRPr="00215B2F">
        <w:rPr>
          <w:rFonts w:ascii="Arial" w:eastAsia="Arial" w:hAnsi="Arial" w:cs="Arial"/>
          <w:sz w:val="20"/>
          <w:szCs w:val="20"/>
        </w:rPr>
        <w:t xml:space="preserve">sklepov, stališč in navodil, ter </w:t>
      </w:r>
      <w:r w:rsidR="0061451E" w:rsidRPr="00215B2F">
        <w:rPr>
          <w:rFonts w:ascii="Arial" w:eastAsia="Arial" w:hAnsi="Arial" w:cs="Arial"/>
          <w:sz w:val="20"/>
          <w:szCs w:val="20"/>
        </w:rPr>
        <w:t xml:space="preserve">se </w:t>
      </w:r>
      <w:r w:rsidR="00724F59" w:rsidRPr="00215B2F">
        <w:rPr>
          <w:rFonts w:ascii="Arial" w:eastAsia="Arial" w:hAnsi="Arial" w:cs="Arial"/>
          <w:sz w:val="20"/>
          <w:szCs w:val="20"/>
        </w:rPr>
        <w:t xml:space="preserve">nanje </w:t>
      </w:r>
      <w:r w:rsidR="0061451E" w:rsidRPr="00215B2F">
        <w:rPr>
          <w:rFonts w:ascii="Arial" w:eastAsia="Arial" w:hAnsi="Arial" w:cs="Arial"/>
          <w:sz w:val="20"/>
          <w:szCs w:val="20"/>
        </w:rPr>
        <w:t>ne smejo obračati po navodil</w:t>
      </w:r>
      <w:r w:rsidR="00724F59" w:rsidRPr="00215B2F">
        <w:rPr>
          <w:rFonts w:ascii="Arial" w:eastAsia="Arial" w:hAnsi="Arial" w:cs="Arial"/>
          <w:sz w:val="20"/>
          <w:szCs w:val="20"/>
        </w:rPr>
        <w:t>a</w:t>
      </w:r>
      <w:r w:rsidR="0061451E" w:rsidRPr="00215B2F">
        <w:rPr>
          <w:rFonts w:ascii="Arial" w:eastAsia="Arial" w:hAnsi="Arial" w:cs="Arial"/>
          <w:sz w:val="20"/>
          <w:szCs w:val="20"/>
        </w:rPr>
        <w:t xml:space="preserve"> za svoje delo ali usmeritve.</w:t>
      </w:r>
    </w:p>
    <w:p w14:paraId="00B0597A" w14:textId="77777777" w:rsidR="0061451E" w:rsidRPr="00215B2F" w:rsidRDefault="0061451E" w:rsidP="00FD5520">
      <w:pPr>
        <w:shd w:val="clear" w:color="auto" w:fill="FFFFFF" w:themeFill="background1"/>
        <w:spacing w:after="0" w:line="240" w:lineRule="auto"/>
        <w:jc w:val="both"/>
        <w:rPr>
          <w:rFonts w:ascii="Arial" w:eastAsia="Arial" w:hAnsi="Arial" w:cs="Arial"/>
          <w:sz w:val="20"/>
          <w:szCs w:val="20"/>
        </w:rPr>
      </w:pPr>
    </w:p>
    <w:p w14:paraId="33F7F75B" w14:textId="608AC409" w:rsidR="00A90A3B" w:rsidRPr="00215B2F" w:rsidRDefault="00A90A3B" w:rsidP="00FD5520">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(2) Zahteve iz tega poglavja se uresničujejo glede na vlogo in </w:t>
      </w:r>
      <w:r w:rsidR="00B7135B" w:rsidRPr="00215B2F">
        <w:rPr>
          <w:rFonts w:ascii="Arial" w:hAnsi="Arial" w:cs="Arial"/>
          <w:sz w:val="20"/>
          <w:szCs w:val="20"/>
        </w:rPr>
        <w:t xml:space="preserve">odgovornosti </w:t>
      </w:r>
      <w:r w:rsidRPr="00215B2F">
        <w:rPr>
          <w:rFonts w:ascii="Arial" w:hAnsi="Arial" w:cs="Arial"/>
          <w:sz w:val="20"/>
          <w:szCs w:val="20"/>
        </w:rPr>
        <w:t xml:space="preserve">članov Sveta Banke Slovenije in zaposlenih (načelo sorazmernosti). </w:t>
      </w:r>
    </w:p>
    <w:p w14:paraId="4AD92E15" w14:textId="77777777" w:rsidR="00A90A3B" w:rsidRPr="00215B2F" w:rsidRDefault="00A90A3B" w:rsidP="00FD5520">
      <w:pPr>
        <w:shd w:val="clear" w:color="auto" w:fill="FFFFFF" w:themeFill="background1"/>
        <w:spacing w:after="0" w:line="240" w:lineRule="auto"/>
        <w:jc w:val="both"/>
        <w:rPr>
          <w:rFonts w:ascii="Arial" w:hAnsi="Arial" w:cs="Arial"/>
          <w:sz w:val="20"/>
          <w:szCs w:val="20"/>
        </w:rPr>
      </w:pPr>
    </w:p>
    <w:p w14:paraId="08C9B52C" w14:textId="7851CCC7" w:rsidR="00A90A3B" w:rsidRPr="00215B2F" w:rsidRDefault="00A90A3B" w:rsidP="00FD5520">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(3) Določbe tega poglavja ne posegajo v zahteve glede obravnave nasprotja interesov (vključno s poročanjem o osebnih interesih), prepovedi o zasebnih finančnih poslih ter glede mirovanja, ki za člane Sveta Banke Slovenije in zaposlene veljajo na podlagi drugih </w:t>
      </w:r>
      <w:r w:rsidR="007E3C01" w:rsidRPr="00215B2F">
        <w:rPr>
          <w:rFonts w:ascii="Arial" w:hAnsi="Arial" w:cs="Arial"/>
          <w:sz w:val="20"/>
          <w:szCs w:val="20"/>
        </w:rPr>
        <w:t>predpisov</w:t>
      </w:r>
      <w:r w:rsidRPr="00215B2F">
        <w:rPr>
          <w:rFonts w:ascii="Arial" w:hAnsi="Arial" w:cs="Arial"/>
          <w:sz w:val="20"/>
          <w:szCs w:val="20"/>
        </w:rPr>
        <w:t xml:space="preserve"> in na njihovi podlagi sprejetih notranjih aktov.</w:t>
      </w:r>
    </w:p>
    <w:p w14:paraId="54CA991D" w14:textId="77777777" w:rsidR="00A90A3B" w:rsidRPr="00215B2F" w:rsidRDefault="00A90A3B" w:rsidP="00FD5520">
      <w:pPr>
        <w:shd w:val="clear" w:color="auto" w:fill="FFFFFF" w:themeFill="background1"/>
        <w:spacing w:after="0" w:line="240" w:lineRule="auto"/>
        <w:jc w:val="both"/>
        <w:rPr>
          <w:rFonts w:ascii="Arial" w:eastAsia="Arial" w:hAnsi="Arial" w:cs="Arial"/>
          <w:sz w:val="20"/>
          <w:szCs w:val="20"/>
        </w:rPr>
      </w:pPr>
    </w:p>
    <w:p w14:paraId="576FD0CC"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8" w:name="_Ref202960162"/>
      <w:r w:rsidRPr="00215B2F">
        <w:rPr>
          <w:rFonts w:ascii="Arial" w:eastAsia="Arial" w:hAnsi="Arial" w:cs="Arial"/>
          <w:b/>
          <w:bCs/>
          <w:sz w:val="20"/>
          <w:szCs w:val="20"/>
        </w:rPr>
        <w:t>člen</w:t>
      </w:r>
      <w:bookmarkEnd w:id="38"/>
    </w:p>
    <w:p w14:paraId="4F55E966" w14:textId="77777777" w:rsidR="00D91782" w:rsidRPr="00215B2F" w:rsidRDefault="00D91782" w:rsidP="00FD5520">
      <w:pPr>
        <w:pStyle w:val="Slog1"/>
        <w:shd w:val="clear" w:color="auto" w:fill="FFFFFF" w:themeFill="background1"/>
        <w:rPr>
          <w:sz w:val="20"/>
          <w:szCs w:val="20"/>
        </w:rPr>
      </w:pPr>
      <w:r w:rsidRPr="00215B2F">
        <w:rPr>
          <w:sz w:val="20"/>
          <w:szCs w:val="20"/>
        </w:rPr>
        <w:t>(preprečevanje nasprotja interesov)</w:t>
      </w:r>
    </w:p>
    <w:p w14:paraId="135F5F4E" w14:textId="77777777" w:rsidR="00A90A3B" w:rsidRPr="00215B2F" w:rsidRDefault="00A90A3B" w:rsidP="00FD5520">
      <w:pPr>
        <w:pStyle w:val="Slog1"/>
        <w:shd w:val="clear" w:color="auto" w:fill="FFFFFF" w:themeFill="background1"/>
        <w:jc w:val="both"/>
        <w:rPr>
          <w:sz w:val="20"/>
          <w:szCs w:val="20"/>
        </w:rPr>
      </w:pPr>
    </w:p>
    <w:p w14:paraId="4A8B048F" w14:textId="4090DF7C" w:rsidR="00A90A3B" w:rsidRPr="00215B2F" w:rsidRDefault="00A90A3B" w:rsidP="00FD5520">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Slovenije z notranjim aktom, ki ga sprejme Svet Banke Slovenije, določi zahteve, postopke in ukrepe za preprečevanje nastanka nasprotja interesov pri članih Sveta Banke Slovenije in </w:t>
      </w:r>
      <w:r w:rsidR="0071794C" w:rsidRPr="00215B2F">
        <w:rPr>
          <w:rFonts w:ascii="Arial" w:hAnsi="Arial" w:cs="Arial"/>
          <w:sz w:val="20"/>
          <w:szCs w:val="20"/>
        </w:rPr>
        <w:t>drug</w:t>
      </w:r>
      <w:r w:rsidRPr="00215B2F">
        <w:rPr>
          <w:rFonts w:ascii="Arial" w:hAnsi="Arial" w:cs="Arial"/>
          <w:sz w:val="20"/>
          <w:szCs w:val="20"/>
        </w:rPr>
        <w:t>ih zaposlenih v zvezi z opravljanjem njihovih poklicnih zadolžitev v Banki Slovenije, z upoštevanjem načela sorazmernosti glede na vlogo in odgovornosti pri izvajanju pristojnosti in nalog Banke Slovenije na podlagi zakona.</w:t>
      </w:r>
    </w:p>
    <w:p w14:paraId="2D2E38B9"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3C43493" w14:textId="77777777" w:rsidR="00D91CBF" w:rsidRPr="00215B2F" w:rsidRDefault="00D91CBF"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9" w:name="_Ref202960171"/>
      <w:r w:rsidRPr="00215B2F">
        <w:rPr>
          <w:rFonts w:ascii="Arial" w:eastAsia="Arial" w:hAnsi="Arial" w:cs="Arial"/>
          <w:b/>
          <w:bCs/>
          <w:sz w:val="20"/>
          <w:szCs w:val="20"/>
        </w:rPr>
        <w:t>člen</w:t>
      </w:r>
      <w:bookmarkEnd w:id="39"/>
    </w:p>
    <w:p w14:paraId="584E6C40" w14:textId="49BC1EC6"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(prepoved trgovanja s finančnimi instrumenti)</w:t>
      </w:r>
    </w:p>
    <w:p w14:paraId="1A628B71" w14:textId="77777777" w:rsidR="00D91CBF" w:rsidRPr="00215B2F" w:rsidRDefault="00D91CBF" w:rsidP="00FD5520">
      <w:pPr>
        <w:shd w:val="clear" w:color="auto" w:fill="FFFFFF" w:themeFill="background1"/>
        <w:spacing w:after="0" w:line="240" w:lineRule="auto"/>
        <w:jc w:val="center"/>
        <w:rPr>
          <w:rFonts w:ascii="Arial" w:eastAsia="Arial" w:hAnsi="Arial" w:cs="Arial"/>
          <w:sz w:val="20"/>
          <w:szCs w:val="20"/>
        </w:rPr>
      </w:pPr>
    </w:p>
    <w:p w14:paraId="0B08F1E3" w14:textId="77777777" w:rsidR="00A90A3B" w:rsidRPr="00215B2F" w:rsidRDefault="00A90A3B" w:rsidP="00FD5520">
      <w:pPr>
        <w:shd w:val="clear" w:color="auto" w:fill="FFFFFF" w:themeFill="background1"/>
        <w:spacing w:after="0" w:line="240" w:lineRule="auto"/>
        <w:jc w:val="center"/>
        <w:rPr>
          <w:rFonts w:ascii="Arial" w:eastAsia="Arial" w:hAnsi="Arial" w:cs="Arial"/>
          <w:sz w:val="20"/>
          <w:szCs w:val="20"/>
        </w:rPr>
      </w:pPr>
    </w:p>
    <w:p w14:paraId="3F83BC03" w14:textId="5AFCDBEF" w:rsidR="00A90A3B" w:rsidRPr="00215B2F" w:rsidRDefault="00A90A3B" w:rsidP="00FD5520">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(1) Člani Sveta Banke Slovenije in zaposleni v Banki Slovenije ne smejo trgovati s finančnimi instrumenti, ki so jih izdale </w:t>
      </w:r>
      <w:r w:rsidR="003C21E5" w:rsidRPr="00215B2F">
        <w:rPr>
          <w:rFonts w:ascii="Arial" w:hAnsi="Arial" w:cs="Arial"/>
          <w:sz w:val="20"/>
          <w:szCs w:val="20"/>
        </w:rPr>
        <w:t xml:space="preserve">institucije </w:t>
      </w:r>
      <w:r w:rsidRPr="00215B2F">
        <w:rPr>
          <w:rFonts w:ascii="Arial" w:hAnsi="Arial" w:cs="Arial"/>
          <w:sz w:val="20"/>
          <w:szCs w:val="20"/>
        </w:rPr>
        <w:t>ali ki se nanašajo na institucije, vključno z neposredno ali posredno nadrejenimi osebami, podrejenimi družbami ali povezanimi družbami, razen z:</w:t>
      </w:r>
    </w:p>
    <w:p w14:paraId="71E66B32" w14:textId="77777777" w:rsidR="00A90A3B" w:rsidRPr="00215B2F" w:rsidRDefault="00A90A3B" w:rsidP="00FD5520">
      <w:pPr>
        <w:shd w:val="clear" w:color="auto" w:fill="FFFFFF" w:themeFill="background1"/>
        <w:spacing w:after="0" w:line="240" w:lineRule="auto"/>
        <w:jc w:val="both"/>
        <w:rPr>
          <w:rFonts w:ascii="Arial" w:hAnsi="Arial" w:cs="Arial"/>
          <w:sz w:val="20"/>
          <w:szCs w:val="20"/>
        </w:rPr>
      </w:pPr>
    </w:p>
    <w:p w14:paraId="6EC27B8A" w14:textId="35531F4B" w:rsidR="00A90A3B" w:rsidRPr="00215B2F" w:rsidRDefault="00A90A3B" w:rsidP="003D4DE0">
      <w:pPr>
        <w:pStyle w:val="tevilnatoka"/>
        <w:numPr>
          <w:ilvl w:val="0"/>
          <w:numId w:val="351"/>
        </w:numPr>
        <w:shd w:val="clear" w:color="auto" w:fill="FFFFFF" w:themeFill="background1"/>
        <w:tabs>
          <w:tab w:val="clear" w:pos="425"/>
        </w:tabs>
        <w:rPr>
          <w:rFonts w:cs="Arial"/>
          <w:bCs/>
          <w:sz w:val="20"/>
          <w:szCs w:val="20"/>
        </w:rPr>
      </w:pPr>
      <w:r w:rsidRPr="00215B2F">
        <w:rPr>
          <w:rFonts w:cs="Arial"/>
          <w:sz w:val="20"/>
          <w:szCs w:val="20"/>
        </w:rPr>
        <w:t xml:space="preserve">instrumenti, </w:t>
      </w:r>
      <w:r w:rsidR="00B402DF" w:rsidRPr="00215B2F">
        <w:rPr>
          <w:rFonts w:cs="Arial"/>
          <w:sz w:val="20"/>
          <w:szCs w:val="20"/>
        </w:rPr>
        <w:t xml:space="preserve">s katerimi </w:t>
      </w:r>
      <w:r w:rsidRPr="00215B2F">
        <w:rPr>
          <w:rFonts w:cs="Arial"/>
          <w:sz w:val="20"/>
          <w:szCs w:val="20"/>
        </w:rPr>
        <w:t xml:space="preserve">upravljajo tretje osebe, pod pogojem, da je lastniku teh instrumentov prepovedano posegati v upravljanje portfelja in tretja oseba ne vlaga pretežno v instrumente, ki so jih izdale </w:t>
      </w:r>
      <w:r w:rsidR="003C21E5" w:rsidRPr="00215B2F">
        <w:rPr>
          <w:rFonts w:cs="Arial"/>
          <w:sz w:val="20"/>
          <w:szCs w:val="20"/>
        </w:rPr>
        <w:t xml:space="preserve">institucije </w:t>
      </w:r>
      <w:r w:rsidRPr="00215B2F">
        <w:rPr>
          <w:rFonts w:cs="Arial"/>
          <w:sz w:val="20"/>
          <w:szCs w:val="20"/>
        </w:rPr>
        <w:t>ali se nanašajo</w:t>
      </w:r>
      <w:r w:rsidR="003C21E5" w:rsidRPr="00215B2F">
        <w:rPr>
          <w:rFonts w:cs="Arial"/>
          <w:sz w:val="20"/>
          <w:szCs w:val="20"/>
        </w:rPr>
        <w:t xml:space="preserve"> nanje</w:t>
      </w:r>
      <w:r w:rsidRPr="00215B2F">
        <w:rPr>
          <w:rFonts w:cs="Arial"/>
          <w:sz w:val="20"/>
          <w:szCs w:val="20"/>
        </w:rPr>
        <w:t>, ali</w:t>
      </w:r>
    </w:p>
    <w:p w14:paraId="73C12F60" w14:textId="3ADCA9DF" w:rsidR="00A90A3B" w:rsidRPr="00215B2F" w:rsidRDefault="00A90A3B" w:rsidP="003D4DE0">
      <w:pPr>
        <w:pStyle w:val="tevilnatoka"/>
        <w:numPr>
          <w:ilvl w:val="0"/>
          <w:numId w:val="351"/>
        </w:numPr>
        <w:shd w:val="clear" w:color="auto" w:fill="FFFFFF" w:themeFill="background1"/>
        <w:tabs>
          <w:tab w:val="clear" w:pos="425"/>
        </w:tabs>
        <w:rPr>
          <w:rFonts w:cs="Arial"/>
          <w:bCs/>
          <w:sz w:val="20"/>
          <w:szCs w:val="20"/>
        </w:rPr>
      </w:pPr>
      <w:r w:rsidRPr="00215B2F">
        <w:rPr>
          <w:rFonts w:cs="Arial"/>
          <w:sz w:val="20"/>
          <w:szCs w:val="20"/>
        </w:rPr>
        <w:t xml:space="preserve">enotami kolektivnih naložbenih podjemov, pod pogojem, da zadevni kolektivni naložbeni podjemi ne vlagajo pretežno v instrumente, ki so jih izdale </w:t>
      </w:r>
      <w:r w:rsidR="003C21E5" w:rsidRPr="00215B2F">
        <w:rPr>
          <w:rFonts w:cs="Arial"/>
          <w:sz w:val="20"/>
          <w:szCs w:val="20"/>
        </w:rPr>
        <w:t xml:space="preserve">institucije </w:t>
      </w:r>
      <w:r w:rsidRPr="00215B2F">
        <w:rPr>
          <w:rFonts w:cs="Arial"/>
          <w:sz w:val="20"/>
          <w:szCs w:val="20"/>
        </w:rPr>
        <w:t>ali se nanašajo na</w:t>
      </w:r>
      <w:r w:rsidR="003C21E5" w:rsidRPr="00215B2F">
        <w:rPr>
          <w:rFonts w:cs="Arial"/>
          <w:sz w:val="20"/>
          <w:szCs w:val="20"/>
        </w:rPr>
        <w:t>nje</w:t>
      </w:r>
      <w:r w:rsidRPr="00215B2F">
        <w:rPr>
          <w:rFonts w:cs="Arial"/>
          <w:sz w:val="20"/>
          <w:szCs w:val="20"/>
        </w:rPr>
        <w:t>.</w:t>
      </w:r>
    </w:p>
    <w:p w14:paraId="6B959ADE" w14:textId="77777777" w:rsidR="00A90A3B" w:rsidRPr="00215B2F" w:rsidRDefault="00A90A3B" w:rsidP="00FD5520">
      <w:pPr>
        <w:shd w:val="clear" w:color="auto" w:fill="FFFFFF" w:themeFill="background1"/>
        <w:spacing w:after="0" w:line="240" w:lineRule="auto"/>
        <w:jc w:val="both"/>
        <w:rPr>
          <w:rFonts w:ascii="Arial" w:hAnsi="Arial" w:cs="Arial"/>
          <w:sz w:val="20"/>
          <w:szCs w:val="20"/>
        </w:rPr>
      </w:pPr>
    </w:p>
    <w:p w14:paraId="14109D50" w14:textId="1C0E59A1" w:rsidR="00A90A3B" w:rsidRPr="00215B2F" w:rsidRDefault="00A90A3B" w:rsidP="00FD5520">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(2) Banka Slovenije v notranjem aktu, ki ga sprejme Svet Banke Slovenije, določi podrobnejše zahteve, postopke poročanja in ukrepe glede imetništva finančni</w:t>
      </w:r>
      <w:r w:rsidR="003C21E5" w:rsidRPr="00215B2F">
        <w:rPr>
          <w:rFonts w:ascii="Arial" w:hAnsi="Arial" w:cs="Arial"/>
          <w:sz w:val="20"/>
          <w:szCs w:val="20"/>
        </w:rPr>
        <w:t>h</w:t>
      </w:r>
      <w:r w:rsidRPr="00215B2F">
        <w:rPr>
          <w:rFonts w:ascii="Arial" w:hAnsi="Arial" w:cs="Arial"/>
          <w:sz w:val="20"/>
          <w:szCs w:val="20"/>
        </w:rPr>
        <w:t xml:space="preserve"> instrument</w:t>
      </w:r>
      <w:r w:rsidR="003C21E5" w:rsidRPr="00215B2F">
        <w:rPr>
          <w:rFonts w:ascii="Arial" w:hAnsi="Arial" w:cs="Arial"/>
          <w:sz w:val="20"/>
          <w:szCs w:val="20"/>
        </w:rPr>
        <w:t>ov</w:t>
      </w:r>
      <w:r w:rsidRPr="00215B2F">
        <w:rPr>
          <w:rFonts w:ascii="Arial" w:hAnsi="Arial" w:cs="Arial"/>
          <w:sz w:val="20"/>
          <w:szCs w:val="20"/>
        </w:rPr>
        <w:t xml:space="preserve"> iz prejšnjega odstavka</w:t>
      </w:r>
      <w:r w:rsidR="003C21E5" w:rsidRPr="00215B2F">
        <w:rPr>
          <w:rFonts w:ascii="Arial" w:hAnsi="Arial" w:cs="Arial"/>
          <w:sz w:val="20"/>
          <w:szCs w:val="20"/>
        </w:rPr>
        <w:t xml:space="preserve"> in razpolaganja z njimi</w:t>
      </w:r>
      <w:r w:rsidRPr="00215B2F">
        <w:rPr>
          <w:rFonts w:ascii="Arial" w:hAnsi="Arial" w:cs="Arial"/>
          <w:sz w:val="20"/>
          <w:szCs w:val="20"/>
        </w:rPr>
        <w:t xml:space="preserve">. </w:t>
      </w:r>
    </w:p>
    <w:p w14:paraId="6512F5FE" w14:textId="77777777" w:rsidR="006350D3" w:rsidRPr="00215B2F" w:rsidRDefault="006350D3" w:rsidP="00FD5520">
      <w:pPr>
        <w:pStyle w:val="Slog1"/>
        <w:shd w:val="clear" w:color="auto" w:fill="FFFFFF" w:themeFill="background1"/>
        <w:jc w:val="both"/>
        <w:rPr>
          <w:sz w:val="20"/>
          <w:szCs w:val="20"/>
        </w:rPr>
      </w:pPr>
    </w:p>
    <w:p w14:paraId="1FED422D"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0" w:name="_Ref202960198"/>
      <w:r w:rsidRPr="00215B2F">
        <w:rPr>
          <w:rFonts w:ascii="Arial" w:eastAsia="Arial" w:hAnsi="Arial" w:cs="Arial"/>
          <w:b/>
          <w:bCs/>
          <w:sz w:val="20"/>
          <w:szCs w:val="20"/>
        </w:rPr>
        <w:lastRenderedPageBreak/>
        <w:t>člen</w:t>
      </w:r>
      <w:bookmarkEnd w:id="40"/>
    </w:p>
    <w:p w14:paraId="62DC99B9" w14:textId="77777777" w:rsidR="00A90A3B" w:rsidRPr="00215B2F" w:rsidRDefault="00A90A3B" w:rsidP="00FD5520">
      <w:pPr>
        <w:shd w:val="clear" w:color="auto" w:fill="FFFFFF" w:themeFill="background1"/>
        <w:spacing w:after="0" w:line="240" w:lineRule="auto"/>
        <w:jc w:val="center"/>
        <w:rPr>
          <w:rFonts w:ascii="Arial" w:hAnsi="Arial" w:cs="Arial"/>
          <w:b/>
          <w:bCs/>
          <w:sz w:val="20"/>
          <w:szCs w:val="20"/>
        </w:rPr>
      </w:pPr>
      <w:r w:rsidRPr="00215B2F">
        <w:rPr>
          <w:rFonts w:ascii="Arial" w:hAnsi="Arial" w:cs="Arial"/>
          <w:b/>
          <w:bCs/>
          <w:sz w:val="20"/>
          <w:szCs w:val="20"/>
        </w:rPr>
        <w:t>(obdobje mirovanja)</w:t>
      </w:r>
    </w:p>
    <w:p w14:paraId="44024737" w14:textId="77777777" w:rsidR="00A90A3B" w:rsidRPr="00215B2F" w:rsidRDefault="00A90A3B" w:rsidP="00FD5520">
      <w:pPr>
        <w:shd w:val="clear" w:color="auto" w:fill="FFFFFF" w:themeFill="background1"/>
        <w:spacing w:after="0" w:line="240" w:lineRule="auto"/>
        <w:jc w:val="both"/>
        <w:rPr>
          <w:rFonts w:ascii="Arial" w:hAnsi="Arial" w:cs="Arial"/>
          <w:sz w:val="20"/>
          <w:szCs w:val="20"/>
        </w:rPr>
      </w:pPr>
    </w:p>
    <w:p w14:paraId="2672F03C" w14:textId="6D912956" w:rsidR="00A90A3B" w:rsidRPr="00215B2F" w:rsidRDefault="00A90A3B" w:rsidP="00FD5520">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(1) Člani Sveta Banke Slovenije in zaposleni, ki so neposredno vključeni v </w:t>
      </w:r>
      <w:r w:rsidR="00560D52" w:rsidRPr="00215B2F">
        <w:rPr>
          <w:rFonts w:ascii="Arial" w:hAnsi="Arial" w:cs="Arial"/>
          <w:sz w:val="20"/>
          <w:szCs w:val="20"/>
        </w:rPr>
        <w:t>odločanje</w:t>
      </w:r>
      <w:r w:rsidRPr="00215B2F">
        <w:rPr>
          <w:rFonts w:ascii="Arial" w:hAnsi="Arial" w:cs="Arial"/>
          <w:sz w:val="20"/>
          <w:szCs w:val="20"/>
        </w:rPr>
        <w:t xml:space="preserve"> ali izvajanje nalog nadzora po tem zakonu, se v obdobju mirovanja ne smejo </w:t>
      </w:r>
      <w:r w:rsidR="0071794C" w:rsidRPr="00215B2F">
        <w:rPr>
          <w:rFonts w:ascii="Arial" w:hAnsi="Arial" w:cs="Arial"/>
          <w:sz w:val="20"/>
          <w:szCs w:val="20"/>
        </w:rPr>
        <w:t xml:space="preserve">ne </w:t>
      </w:r>
      <w:r w:rsidRPr="00215B2F">
        <w:rPr>
          <w:rFonts w:ascii="Arial" w:hAnsi="Arial" w:cs="Arial"/>
          <w:sz w:val="20"/>
          <w:szCs w:val="20"/>
        </w:rPr>
        <w:t xml:space="preserve">zaposliti </w:t>
      </w:r>
      <w:r w:rsidR="00773A74" w:rsidRPr="00215B2F">
        <w:rPr>
          <w:rFonts w:ascii="Arial" w:hAnsi="Arial" w:cs="Arial"/>
          <w:sz w:val="20"/>
          <w:szCs w:val="20"/>
        </w:rPr>
        <w:t xml:space="preserve">ne </w:t>
      </w:r>
      <w:r w:rsidRPr="00215B2F">
        <w:rPr>
          <w:rFonts w:ascii="Arial" w:hAnsi="Arial" w:cs="Arial"/>
          <w:sz w:val="20"/>
          <w:szCs w:val="20"/>
        </w:rPr>
        <w:t>sprejeti katere</w:t>
      </w:r>
      <w:r w:rsidR="00773A74" w:rsidRPr="00215B2F">
        <w:rPr>
          <w:rFonts w:ascii="Arial" w:hAnsi="Arial" w:cs="Arial"/>
          <w:sz w:val="20"/>
          <w:szCs w:val="20"/>
        </w:rPr>
        <w:t xml:space="preserve"> </w:t>
      </w:r>
      <w:r w:rsidRPr="00215B2F">
        <w:rPr>
          <w:rFonts w:ascii="Arial" w:hAnsi="Arial" w:cs="Arial"/>
          <w:sz w:val="20"/>
          <w:szCs w:val="20"/>
        </w:rPr>
        <w:t>koli pogodbe za opravljanje poklicnih storitev, vsaj v katerem</w:t>
      </w:r>
      <w:r w:rsidR="00773A74" w:rsidRPr="00215B2F">
        <w:rPr>
          <w:rFonts w:ascii="Arial" w:hAnsi="Arial" w:cs="Arial"/>
          <w:sz w:val="20"/>
          <w:szCs w:val="20"/>
        </w:rPr>
        <w:t xml:space="preserve"> </w:t>
      </w:r>
      <w:r w:rsidRPr="00215B2F">
        <w:rPr>
          <w:rFonts w:ascii="Arial" w:hAnsi="Arial" w:cs="Arial"/>
          <w:sz w:val="20"/>
          <w:szCs w:val="20"/>
        </w:rPr>
        <w:t xml:space="preserve">koli od naslednjih subjektov: </w:t>
      </w:r>
    </w:p>
    <w:p w14:paraId="2276ECD0" w14:textId="77777777" w:rsidR="00A90A3B" w:rsidRPr="00215B2F" w:rsidRDefault="00A90A3B" w:rsidP="00FD5520">
      <w:pPr>
        <w:shd w:val="clear" w:color="auto" w:fill="FFFFFF" w:themeFill="background1"/>
        <w:spacing w:after="0" w:line="240" w:lineRule="auto"/>
        <w:jc w:val="both"/>
        <w:rPr>
          <w:rFonts w:ascii="Arial" w:hAnsi="Arial" w:cs="Arial"/>
          <w:sz w:val="20"/>
          <w:szCs w:val="20"/>
        </w:rPr>
      </w:pPr>
    </w:p>
    <w:p w14:paraId="4767B82F" w14:textId="74EBBCC1" w:rsidR="00A90A3B" w:rsidRPr="00215B2F" w:rsidRDefault="00A90A3B" w:rsidP="003D4DE0">
      <w:pPr>
        <w:numPr>
          <w:ilvl w:val="0"/>
          <w:numId w:val="300"/>
        </w:numPr>
        <w:shd w:val="clear" w:color="auto" w:fill="FFFFFF" w:themeFill="background1"/>
        <w:spacing w:after="0" w:line="240" w:lineRule="auto"/>
        <w:ind w:left="357" w:hanging="357"/>
        <w:jc w:val="both"/>
        <w:rPr>
          <w:rFonts w:ascii="Arial" w:hAnsi="Arial" w:cs="Arial"/>
          <w:sz w:val="20"/>
          <w:szCs w:val="20"/>
        </w:rPr>
      </w:pPr>
      <w:r w:rsidRPr="00215B2F">
        <w:rPr>
          <w:rFonts w:ascii="Arial" w:hAnsi="Arial" w:cs="Arial"/>
          <w:sz w:val="20"/>
          <w:szCs w:val="20"/>
        </w:rPr>
        <w:t>institucij</w:t>
      </w:r>
      <w:r w:rsidR="00773A74" w:rsidRPr="00215B2F">
        <w:rPr>
          <w:rFonts w:ascii="Arial" w:hAnsi="Arial" w:cs="Arial"/>
          <w:sz w:val="20"/>
          <w:szCs w:val="20"/>
        </w:rPr>
        <w:t>e</w:t>
      </w:r>
      <w:r w:rsidRPr="00215B2F">
        <w:rPr>
          <w:rFonts w:ascii="Arial" w:hAnsi="Arial" w:cs="Arial"/>
          <w:sz w:val="20"/>
          <w:szCs w:val="20"/>
        </w:rPr>
        <w:t xml:space="preserve"> s sedežem v Republiki Sloveniji, vključno z neposredno ali posredno nadrejenimi osebami, podrejenimi družbami ali povezanimi družbami navedenih institucij, </w:t>
      </w:r>
    </w:p>
    <w:p w14:paraId="7111CDFF" w14:textId="4A197162" w:rsidR="00A90A3B" w:rsidRPr="00215B2F" w:rsidRDefault="00A90A3B" w:rsidP="003D4DE0">
      <w:pPr>
        <w:numPr>
          <w:ilvl w:val="0"/>
          <w:numId w:val="300"/>
        </w:numPr>
        <w:shd w:val="clear" w:color="auto" w:fill="FFFFFF" w:themeFill="background1"/>
        <w:spacing w:after="0" w:line="240" w:lineRule="auto"/>
        <w:ind w:left="357" w:hanging="357"/>
        <w:jc w:val="both"/>
        <w:rPr>
          <w:rFonts w:ascii="Arial" w:hAnsi="Arial" w:cs="Arial"/>
          <w:sz w:val="20"/>
          <w:szCs w:val="20"/>
        </w:rPr>
      </w:pPr>
      <w:r w:rsidRPr="00215B2F">
        <w:rPr>
          <w:rFonts w:ascii="Arial" w:hAnsi="Arial" w:cs="Arial"/>
          <w:sz w:val="20"/>
          <w:szCs w:val="20"/>
        </w:rPr>
        <w:t>institucij</w:t>
      </w:r>
      <w:r w:rsidR="00773A74" w:rsidRPr="00215B2F">
        <w:rPr>
          <w:rFonts w:ascii="Arial" w:hAnsi="Arial" w:cs="Arial"/>
          <w:sz w:val="20"/>
          <w:szCs w:val="20"/>
        </w:rPr>
        <w:t>e</w:t>
      </w:r>
      <w:r w:rsidRPr="00215B2F">
        <w:rPr>
          <w:rFonts w:ascii="Arial" w:hAnsi="Arial" w:cs="Arial"/>
          <w:sz w:val="20"/>
          <w:szCs w:val="20"/>
        </w:rPr>
        <w:t xml:space="preserve"> s sedežem v drugih državah članicah, s katerimi je zaposleni neposredno sodeloval za namene nadzora oziroma odločanja, vključno z neposredno ali posredno nadrejenimi osebami, podrejenimi družbami ali povezanimi družbami navedenih institucij</w:t>
      </w:r>
      <w:r w:rsidR="00773A74" w:rsidRPr="00215B2F">
        <w:rPr>
          <w:rFonts w:ascii="Arial" w:hAnsi="Arial" w:cs="Arial"/>
          <w:sz w:val="20"/>
          <w:szCs w:val="20"/>
        </w:rPr>
        <w:t>,</w:t>
      </w:r>
    </w:p>
    <w:p w14:paraId="53189131" w14:textId="4E612D61" w:rsidR="00A90A3B" w:rsidRPr="00215B2F" w:rsidRDefault="00A90A3B" w:rsidP="003D4DE0">
      <w:pPr>
        <w:numPr>
          <w:ilvl w:val="0"/>
          <w:numId w:val="300"/>
        </w:numPr>
        <w:shd w:val="clear" w:color="auto" w:fill="FFFFFF" w:themeFill="background1"/>
        <w:spacing w:after="0" w:line="240" w:lineRule="auto"/>
        <w:ind w:left="357" w:hanging="357"/>
        <w:jc w:val="both"/>
        <w:rPr>
          <w:rFonts w:ascii="Arial" w:hAnsi="Arial" w:cs="Arial"/>
          <w:sz w:val="20"/>
          <w:szCs w:val="20"/>
        </w:rPr>
      </w:pPr>
      <w:r w:rsidRPr="00215B2F">
        <w:rPr>
          <w:rFonts w:ascii="Arial" w:hAnsi="Arial" w:cs="Arial"/>
          <w:sz w:val="20"/>
          <w:szCs w:val="20"/>
        </w:rPr>
        <w:t>subjekti, ki opravljajo storitve za katere</w:t>
      </w:r>
      <w:r w:rsidR="00773A74" w:rsidRPr="00215B2F">
        <w:rPr>
          <w:rFonts w:ascii="Arial" w:hAnsi="Arial" w:cs="Arial"/>
          <w:sz w:val="20"/>
          <w:szCs w:val="20"/>
        </w:rPr>
        <w:t xml:space="preserve"> </w:t>
      </w:r>
      <w:r w:rsidRPr="00215B2F">
        <w:rPr>
          <w:rFonts w:ascii="Arial" w:hAnsi="Arial" w:cs="Arial"/>
          <w:sz w:val="20"/>
          <w:szCs w:val="20"/>
        </w:rPr>
        <w:t>koli subjekte iz prve ali druge ali</w:t>
      </w:r>
      <w:r w:rsidR="005A1ACB" w:rsidRPr="00215B2F">
        <w:rPr>
          <w:rFonts w:ascii="Arial" w:hAnsi="Arial" w:cs="Arial"/>
          <w:sz w:val="20"/>
          <w:szCs w:val="20"/>
        </w:rPr>
        <w:t>neje</w:t>
      </w:r>
      <w:r w:rsidR="00120745" w:rsidRPr="00215B2F">
        <w:rPr>
          <w:rFonts w:ascii="Arial" w:hAnsi="Arial" w:cs="Arial"/>
          <w:sz w:val="20"/>
          <w:szCs w:val="20"/>
        </w:rPr>
        <w:t xml:space="preserve"> tega odstavka</w:t>
      </w:r>
      <w:r w:rsidRPr="00215B2F">
        <w:rPr>
          <w:rFonts w:ascii="Arial" w:hAnsi="Arial" w:cs="Arial"/>
          <w:sz w:val="20"/>
          <w:szCs w:val="20"/>
        </w:rPr>
        <w:t>, razen če je zaposlenemu v obdobju mirovanja strogo prepovedano sodelovati pri opravljanju navedenih storitev</w:t>
      </w:r>
      <w:r w:rsidR="00773A74" w:rsidRPr="00215B2F">
        <w:rPr>
          <w:rFonts w:ascii="Arial" w:hAnsi="Arial" w:cs="Arial"/>
          <w:sz w:val="20"/>
          <w:szCs w:val="20"/>
        </w:rPr>
        <w:t>,</w:t>
      </w:r>
    </w:p>
    <w:p w14:paraId="7086F1D2" w14:textId="4D90874A" w:rsidR="00A90A3B" w:rsidRPr="00215B2F" w:rsidRDefault="00A90A3B" w:rsidP="003D4DE0">
      <w:pPr>
        <w:numPr>
          <w:ilvl w:val="0"/>
          <w:numId w:val="300"/>
        </w:numPr>
        <w:shd w:val="clear" w:color="auto" w:fill="FFFFFF" w:themeFill="background1"/>
        <w:spacing w:after="0" w:line="240" w:lineRule="auto"/>
        <w:ind w:left="357" w:hanging="357"/>
        <w:jc w:val="both"/>
        <w:rPr>
          <w:rFonts w:ascii="Arial" w:hAnsi="Arial" w:cs="Arial"/>
          <w:sz w:val="20"/>
          <w:szCs w:val="20"/>
        </w:rPr>
      </w:pPr>
      <w:r w:rsidRPr="00215B2F">
        <w:rPr>
          <w:rFonts w:ascii="Arial" w:hAnsi="Arial" w:cs="Arial"/>
          <w:sz w:val="20"/>
          <w:szCs w:val="20"/>
        </w:rPr>
        <w:t>subjekti, ki izvajajo dejavnosti lobiranja in zastopanja interesov pri Banki Slovenije v zvezi z zadevami, za katere je bil med svojo zaposlitvijo v Banki Slovenije odgovoren zaposleni</w:t>
      </w:r>
      <w:r w:rsidR="00832D7D" w:rsidRPr="00215B2F">
        <w:rPr>
          <w:rFonts w:ascii="Arial" w:hAnsi="Arial" w:cs="Arial"/>
          <w:sz w:val="20"/>
          <w:szCs w:val="20"/>
        </w:rPr>
        <w:t xml:space="preserve"> ali član Sveta Banke Slovenije</w:t>
      </w:r>
      <w:r w:rsidRPr="00215B2F">
        <w:rPr>
          <w:rFonts w:ascii="Arial" w:hAnsi="Arial" w:cs="Arial"/>
          <w:sz w:val="20"/>
          <w:szCs w:val="20"/>
        </w:rPr>
        <w:t xml:space="preserve">. </w:t>
      </w:r>
    </w:p>
    <w:p w14:paraId="03F7EA26" w14:textId="77777777" w:rsidR="00A90A3B" w:rsidRPr="00215B2F" w:rsidRDefault="00A90A3B" w:rsidP="00FD5520">
      <w:pPr>
        <w:shd w:val="clear" w:color="auto" w:fill="FFFFFF" w:themeFill="background1"/>
        <w:spacing w:after="0" w:line="240" w:lineRule="auto"/>
        <w:jc w:val="both"/>
        <w:rPr>
          <w:rFonts w:ascii="Arial" w:hAnsi="Arial" w:cs="Arial"/>
          <w:sz w:val="20"/>
          <w:szCs w:val="20"/>
        </w:rPr>
      </w:pPr>
    </w:p>
    <w:p w14:paraId="58DE53CC" w14:textId="3F858547" w:rsidR="00A90A3B" w:rsidRPr="00215B2F" w:rsidRDefault="00A90A3B" w:rsidP="00FD5520">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(2) Obdobje mirovanja se začne z dnem, ko članu Sveta Banke Slovenije preneha funkcija člana Sveta Banke Slovenije oziroma ko zaposleni preneha neposredno sodelovati pri odločanju ali izvajanju nalog nadzora nad subjekti iz prve in druge alineje </w:t>
      </w:r>
      <w:r w:rsidR="00995F3B" w:rsidRPr="00215B2F">
        <w:rPr>
          <w:rFonts w:ascii="Arial" w:hAnsi="Arial" w:cs="Arial"/>
          <w:sz w:val="20"/>
          <w:szCs w:val="20"/>
        </w:rPr>
        <w:t xml:space="preserve">prejšnjega </w:t>
      </w:r>
      <w:r w:rsidR="00746E88" w:rsidRPr="00215B2F">
        <w:rPr>
          <w:rFonts w:ascii="Arial" w:hAnsi="Arial" w:cs="Arial"/>
          <w:sz w:val="20"/>
          <w:szCs w:val="20"/>
        </w:rPr>
        <w:t>odstavka</w:t>
      </w:r>
      <w:r w:rsidR="00773A74" w:rsidRPr="00215B2F">
        <w:rPr>
          <w:rFonts w:ascii="Arial" w:hAnsi="Arial" w:cs="Arial"/>
          <w:sz w:val="20"/>
          <w:szCs w:val="20"/>
        </w:rPr>
        <w:t>,</w:t>
      </w:r>
      <w:r w:rsidRPr="00215B2F">
        <w:rPr>
          <w:rFonts w:ascii="Arial" w:hAnsi="Arial" w:cs="Arial"/>
          <w:sz w:val="20"/>
          <w:szCs w:val="20"/>
        </w:rPr>
        <w:t xml:space="preserve"> in traja vsaj: </w:t>
      </w:r>
    </w:p>
    <w:p w14:paraId="6441A873" w14:textId="77777777" w:rsidR="00A90A3B" w:rsidRPr="00215B2F" w:rsidRDefault="00A90A3B" w:rsidP="00FD5520">
      <w:pPr>
        <w:shd w:val="clear" w:color="auto" w:fill="FFFFFF" w:themeFill="background1"/>
        <w:spacing w:after="0" w:line="240" w:lineRule="auto"/>
        <w:jc w:val="both"/>
        <w:rPr>
          <w:rFonts w:ascii="Arial" w:hAnsi="Arial" w:cs="Arial"/>
          <w:sz w:val="20"/>
          <w:szCs w:val="20"/>
        </w:rPr>
      </w:pPr>
    </w:p>
    <w:p w14:paraId="088951D3" w14:textId="3DFB0950" w:rsidR="000F0BBC" w:rsidRPr="00215B2F" w:rsidRDefault="00A90A3B" w:rsidP="000F0BBC">
      <w:pPr>
        <w:numPr>
          <w:ilvl w:val="0"/>
          <w:numId w:val="300"/>
        </w:numPr>
        <w:shd w:val="clear" w:color="auto" w:fill="FFFFFF" w:themeFill="background1"/>
        <w:spacing w:after="0" w:line="240" w:lineRule="auto"/>
        <w:ind w:left="357" w:hanging="357"/>
        <w:jc w:val="both"/>
        <w:rPr>
          <w:rFonts w:ascii="Arial" w:hAnsi="Arial" w:cs="Arial"/>
          <w:sz w:val="20"/>
          <w:szCs w:val="20"/>
        </w:rPr>
      </w:pPr>
      <w:r w:rsidRPr="00215B2F">
        <w:rPr>
          <w:rFonts w:ascii="Arial" w:hAnsi="Arial" w:cs="Arial"/>
          <w:sz w:val="20"/>
          <w:szCs w:val="20"/>
        </w:rPr>
        <w:t xml:space="preserve">za člane Sveta Banke Slovenije: </w:t>
      </w:r>
      <w:r w:rsidR="00120745" w:rsidRPr="00215B2F">
        <w:rPr>
          <w:rFonts w:ascii="Arial" w:hAnsi="Arial" w:cs="Arial"/>
          <w:sz w:val="20"/>
          <w:szCs w:val="20"/>
        </w:rPr>
        <w:t xml:space="preserve">12 </w:t>
      </w:r>
      <w:r w:rsidRPr="00215B2F">
        <w:rPr>
          <w:rFonts w:ascii="Arial" w:hAnsi="Arial" w:cs="Arial"/>
          <w:sz w:val="20"/>
          <w:szCs w:val="20"/>
        </w:rPr>
        <w:t xml:space="preserve">mesecev za zaposlitev v subjektih iz prve, druge ali tretje alineje </w:t>
      </w:r>
      <w:r w:rsidR="00995F3B" w:rsidRPr="00215B2F">
        <w:rPr>
          <w:rFonts w:ascii="Arial" w:hAnsi="Arial" w:cs="Arial"/>
          <w:sz w:val="20"/>
          <w:szCs w:val="20"/>
        </w:rPr>
        <w:t xml:space="preserve">prejšnjega </w:t>
      </w:r>
      <w:r w:rsidR="00746E88" w:rsidRPr="00215B2F">
        <w:rPr>
          <w:rFonts w:ascii="Arial" w:hAnsi="Arial" w:cs="Arial"/>
          <w:sz w:val="20"/>
          <w:szCs w:val="20"/>
        </w:rPr>
        <w:t xml:space="preserve">odstavka </w:t>
      </w:r>
      <w:r w:rsidRPr="00215B2F">
        <w:rPr>
          <w:rFonts w:ascii="Arial" w:hAnsi="Arial" w:cs="Arial"/>
          <w:sz w:val="20"/>
          <w:szCs w:val="20"/>
        </w:rPr>
        <w:t xml:space="preserve">in </w:t>
      </w:r>
      <w:r w:rsidR="00B402DF" w:rsidRPr="00215B2F">
        <w:rPr>
          <w:rFonts w:ascii="Arial" w:hAnsi="Arial" w:cs="Arial"/>
          <w:sz w:val="20"/>
          <w:szCs w:val="20"/>
        </w:rPr>
        <w:t>tri</w:t>
      </w:r>
      <w:r w:rsidRPr="00215B2F">
        <w:rPr>
          <w:rFonts w:ascii="Arial" w:hAnsi="Arial" w:cs="Arial"/>
          <w:sz w:val="20"/>
          <w:szCs w:val="20"/>
        </w:rPr>
        <w:t xml:space="preserve"> mesece za zaposlitev v subjektih iz četrte alineje </w:t>
      </w:r>
      <w:r w:rsidR="00995F3B" w:rsidRPr="00215B2F">
        <w:rPr>
          <w:rFonts w:ascii="Arial" w:hAnsi="Arial" w:cs="Arial"/>
          <w:sz w:val="20"/>
          <w:szCs w:val="20"/>
        </w:rPr>
        <w:t xml:space="preserve">prejšnjega </w:t>
      </w:r>
      <w:r w:rsidR="00746E88" w:rsidRPr="00215B2F">
        <w:rPr>
          <w:rFonts w:ascii="Arial" w:hAnsi="Arial" w:cs="Arial"/>
          <w:sz w:val="20"/>
          <w:szCs w:val="20"/>
        </w:rPr>
        <w:t>odstavka</w:t>
      </w:r>
      <w:r w:rsidRPr="00215B2F">
        <w:rPr>
          <w:rFonts w:ascii="Arial" w:hAnsi="Arial" w:cs="Arial"/>
          <w:sz w:val="20"/>
          <w:szCs w:val="20"/>
        </w:rPr>
        <w:t>;</w:t>
      </w:r>
    </w:p>
    <w:p w14:paraId="7A0C0B49" w14:textId="62A12437" w:rsidR="00A90A3B" w:rsidRPr="00215B2F" w:rsidRDefault="00A90A3B" w:rsidP="000F0BBC">
      <w:pPr>
        <w:numPr>
          <w:ilvl w:val="0"/>
          <w:numId w:val="300"/>
        </w:numPr>
        <w:shd w:val="clear" w:color="auto" w:fill="FFFFFF" w:themeFill="background1"/>
        <w:spacing w:after="0" w:line="240" w:lineRule="auto"/>
        <w:ind w:left="357" w:hanging="357"/>
        <w:jc w:val="both"/>
        <w:rPr>
          <w:rFonts w:ascii="Arial" w:hAnsi="Arial" w:cs="Arial"/>
          <w:sz w:val="20"/>
          <w:szCs w:val="20"/>
        </w:rPr>
      </w:pPr>
      <w:r w:rsidRPr="00215B2F">
        <w:rPr>
          <w:rFonts w:ascii="Arial" w:hAnsi="Arial" w:cs="Arial"/>
          <w:sz w:val="20"/>
          <w:szCs w:val="20"/>
        </w:rPr>
        <w:t xml:space="preserve">za </w:t>
      </w:r>
      <w:r w:rsidR="00C6260F" w:rsidRPr="00215B2F">
        <w:rPr>
          <w:rFonts w:ascii="Arial" w:hAnsi="Arial" w:cs="Arial"/>
          <w:sz w:val="20"/>
          <w:szCs w:val="20"/>
        </w:rPr>
        <w:t>drug</w:t>
      </w:r>
      <w:r w:rsidRPr="00215B2F">
        <w:rPr>
          <w:rFonts w:ascii="Arial" w:hAnsi="Arial" w:cs="Arial"/>
          <w:sz w:val="20"/>
          <w:szCs w:val="20"/>
        </w:rPr>
        <w:t xml:space="preserve">e zaposlene, ki so neposredno vključeni v izvajanje nalog nadzora: </w:t>
      </w:r>
      <w:r w:rsidR="00060998" w:rsidRPr="00215B2F">
        <w:rPr>
          <w:rFonts w:ascii="Arial" w:hAnsi="Arial" w:cs="Arial"/>
          <w:sz w:val="20"/>
          <w:szCs w:val="20"/>
        </w:rPr>
        <w:t xml:space="preserve">šest </w:t>
      </w:r>
      <w:r w:rsidRPr="00215B2F">
        <w:rPr>
          <w:rFonts w:ascii="Arial" w:hAnsi="Arial" w:cs="Arial"/>
          <w:sz w:val="20"/>
          <w:szCs w:val="20"/>
        </w:rPr>
        <w:t xml:space="preserve">mesecev za zaposlitev v subjektih iz prve, druge ali tretje alineje </w:t>
      </w:r>
      <w:r w:rsidR="00231B31" w:rsidRPr="00215B2F">
        <w:rPr>
          <w:rFonts w:ascii="Arial" w:hAnsi="Arial" w:cs="Arial"/>
          <w:sz w:val="20"/>
          <w:szCs w:val="20"/>
        </w:rPr>
        <w:t xml:space="preserve">prejšnjega </w:t>
      </w:r>
      <w:r w:rsidR="00746E88" w:rsidRPr="00215B2F">
        <w:rPr>
          <w:rFonts w:ascii="Arial" w:hAnsi="Arial" w:cs="Arial"/>
          <w:sz w:val="20"/>
          <w:szCs w:val="20"/>
        </w:rPr>
        <w:t>odstavka</w:t>
      </w:r>
      <w:r w:rsidRPr="00215B2F">
        <w:rPr>
          <w:rFonts w:ascii="Arial" w:hAnsi="Arial" w:cs="Arial"/>
          <w:sz w:val="20"/>
          <w:szCs w:val="20"/>
        </w:rPr>
        <w:t xml:space="preserve"> ter </w:t>
      </w:r>
      <w:r w:rsidR="00060998" w:rsidRPr="00215B2F">
        <w:rPr>
          <w:rFonts w:ascii="Arial" w:hAnsi="Arial" w:cs="Arial"/>
          <w:sz w:val="20"/>
          <w:szCs w:val="20"/>
        </w:rPr>
        <w:t xml:space="preserve">tri </w:t>
      </w:r>
      <w:r w:rsidRPr="00215B2F">
        <w:rPr>
          <w:rFonts w:ascii="Arial" w:hAnsi="Arial" w:cs="Arial"/>
          <w:sz w:val="20"/>
          <w:szCs w:val="20"/>
        </w:rPr>
        <w:t xml:space="preserve">mesece za zaposlitev v subjektih iz četrte alineje </w:t>
      </w:r>
      <w:r w:rsidR="00231B31" w:rsidRPr="00215B2F">
        <w:rPr>
          <w:rFonts w:ascii="Arial" w:hAnsi="Arial" w:cs="Arial"/>
          <w:sz w:val="20"/>
          <w:szCs w:val="20"/>
        </w:rPr>
        <w:t xml:space="preserve">prejšnjega </w:t>
      </w:r>
      <w:r w:rsidR="00746E88" w:rsidRPr="00215B2F">
        <w:rPr>
          <w:rFonts w:ascii="Arial" w:hAnsi="Arial" w:cs="Arial"/>
          <w:sz w:val="20"/>
          <w:szCs w:val="20"/>
        </w:rPr>
        <w:t>odstavka</w:t>
      </w:r>
      <w:r w:rsidRPr="00215B2F">
        <w:rPr>
          <w:rFonts w:ascii="Arial" w:hAnsi="Arial" w:cs="Arial"/>
          <w:sz w:val="20"/>
          <w:szCs w:val="20"/>
        </w:rPr>
        <w:t xml:space="preserve">. </w:t>
      </w:r>
    </w:p>
    <w:p w14:paraId="3B19DC8A" w14:textId="77777777" w:rsidR="00A90A3B" w:rsidRPr="00215B2F" w:rsidRDefault="00A90A3B" w:rsidP="00FD5520">
      <w:pPr>
        <w:shd w:val="clear" w:color="auto" w:fill="FFFFFF" w:themeFill="background1"/>
        <w:spacing w:after="0" w:line="240" w:lineRule="auto"/>
        <w:jc w:val="both"/>
        <w:rPr>
          <w:rFonts w:ascii="Arial" w:hAnsi="Arial" w:cs="Arial"/>
          <w:sz w:val="20"/>
          <w:szCs w:val="20"/>
        </w:rPr>
      </w:pPr>
    </w:p>
    <w:p w14:paraId="6A2E7F0F" w14:textId="502C2F1F" w:rsidR="00A90A3B" w:rsidRPr="00215B2F" w:rsidRDefault="00A90A3B"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Članom Sveta Banke Slovenije in zaposlenim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Banka Slovenije v obdobju mirovanja onemogoči dostop do zaupnih ali občutljivih informacij v zvezi s subjekti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71D9B37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7C7DB30"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1" w:name="_Ref202960209"/>
      <w:r w:rsidRPr="00215B2F">
        <w:rPr>
          <w:rFonts w:ascii="Arial" w:eastAsia="Arial" w:hAnsi="Arial" w:cs="Arial"/>
          <w:b/>
          <w:bCs/>
          <w:sz w:val="20"/>
          <w:szCs w:val="20"/>
        </w:rPr>
        <w:t>člen</w:t>
      </w:r>
      <w:bookmarkEnd w:id="41"/>
    </w:p>
    <w:p w14:paraId="2503BDE6" w14:textId="77777777" w:rsidR="00A90A3B" w:rsidRPr="00215B2F" w:rsidRDefault="00A90A3B" w:rsidP="00FD5520">
      <w:pPr>
        <w:shd w:val="clear" w:color="auto" w:fill="FFFFFF" w:themeFill="background1"/>
        <w:spacing w:after="0" w:line="240" w:lineRule="auto"/>
        <w:jc w:val="center"/>
        <w:rPr>
          <w:rFonts w:ascii="Arial" w:hAnsi="Arial" w:cs="Arial"/>
          <w:b/>
          <w:bCs/>
          <w:sz w:val="20"/>
          <w:szCs w:val="20"/>
        </w:rPr>
      </w:pPr>
      <w:r w:rsidRPr="00215B2F">
        <w:rPr>
          <w:rFonts w:ascii="Arial" w:hAnsi="Arial" w:cs="Arial"/>
          <w:b/>
          <w:bCs/>
          <w:sz w:val="20"/>
          <w:szCs w:val="20"/>
        </w:rPr>
        <w:t>(nadomestilo za mirovanje)</w:t>
      </w:r>
    </w:p>
    <w:p w14:paraId="1B98F766" w14:textId="77777777" w:rsidR="00A90A3B" w:rsidRPr="00215B2F" w:rsidRDefault="00A90A3B" w:rsidP="00FD5520">
      <w:pPr>
        <w:shd w:val="clear" w:color="auto" w:fill="FFFFFF" w:themeFill="background1"/>
        <w:spacing w:after="0" w:line="240" w:lineRule="auto"/>
        <w:jc w:val="both"/>
        <w:rPr>
          <w:rFonts w:ascii="Arial" w:hAnsi="Arial" w:cs="Arial"/>
          <w:sz w:val="20"/>
          <w:szCs w:val="20"/>
        </w:rPr>
      </w:pPr>
    </w:p>
    <w:p w14:paraId="5657CB89" w14:textId="0BEEAB07" w:rsidR="00A90A3B" w:rsidRPr="00215B2F" w:rsidRDefault="00A90A3B" w:rsidP="00FD5520">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(1) Člani Sveta Banke Slovenije in zaposleni, za katere velja obdobje mirovanja iz </w:t>
      </w:r>
      <w:r w:rsidR="00746E88" w:rsidRPr="00215B2F">
        <w:rPr>
          <w:rFonts w:ascii="Arial" w:hAnsi="Arial" w:cs="Arial"/>
          <w:sz w:val="20"/>
          <w:szCs w:val="20"/>
        </w:rPr>
        <w:t>prejšnjega člena</w:t>
      </w:r>
      <w:r w:rsidRPr="00215B2F">
        <w:rPr>
          <w:rFonts w:ascii="Arial" w:hAnsi="Arial" w:cs="Arial"/>
          <w:sz w:val="20"/>
          <w:szCs w:val="20"/>
        </w:rPr>
        <w:t xml:space="preserve">, so po prenehanju zaposlitve v Banki Slovenije upravičeni do ustreznega denarnega nadomestila za spoštovanje omejitev pri novi zaposlitvi in v zvezi z opravljanjem dela ali storitev v obdobju mirovanja (nadomestilo za mirovanje). </w:t>
      </w:r>
    </w:p>
    <w:p w14:paraId="01282B8D" w14:textId="77777777" w:rsidR="00A90A3B" w:rsidRPr="00215B2F" w:rsidRDefault="00A90A3B" w:rsidP="00FD5520">
      <w:pPr>
        <w:shd w:val="clear" w:color="auto" w:fill="FFFFFF" w:themeFill="background1"/>
        <w:spacing w:after="0" w:line="240" w:lineRule="auto"/>
        <w:jc w:val="both"/>
        <w:rPr>
          <w:rFonts w:ascii="Arial" w:hAnsi="Arial" w:cs="Arial"/>
          <w:sz w:val="20"/>
          <w:szCs w:val="20"/>
        </w:rPr>
      </w:pPr>
    </w:p>
    <w:p w14:paraId="7D1B7F75" w14:textId="222A9CA4" w:rsidR="00A90A3B" w:rsidRPr="00215B2F" w:rsidRDefault="00A90A3B" w:rsidP="00FD5520">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(2) Če član Sveta Banke Slovenije ali zaposleni v obdobju mirovanju krši omejitve iz </w:t>
      </w:r>
      <w:r w:rsidR="00746E88" w:rsidRPr="00215B2F">
        <w:rPr>
          <w:rFonts w:ascii="Arial" w:hAnsi="Arial" w:cs="Arial"/>
          <w:sz w:val="20"/>
          <w:szCs w:val="20"/>
        </w:rPr>
        <w:t>prejšnjega člena</w:t>
      </w:r>
      <w:r w:rsidR="00C6260F" w:rsidRPr="00215B2F">
        <w:rPr>
          <w:rFonts w:ascii="Arial" w:hAnsi="Arial" w:cs="Arial"/>
          <w:sz w:val="20"/>
          <w:szCs w:val="20"/>
        </w:rPr>
        <w:t>,</w:t>
      </w:r>
      <w:r w:rsidRPr="00215B2F">
        <w:rPr>
          <w:rFonts w:ascii="Arial" w:hAnsi="Arial" w:cs="Arial"/>
          <w:sz w:val="20"/>
          <w:szCs w:val="20"/>
        </w:rPr>
        <w:t xml:space="preserve"> Banki Slovenije vrne sorazmerni del nadomestila.</w:t>
      </w:r>
    </w:p>
    <w:p w14:paraId="22F5B766" w14:textId="77777777" w:rsidR="00A90A3B" w:rsidRPr="00215B2F" w:rsidRDefault="00A90A3B" w:rsidP="00FD5520">
      <w:pPr>
        <w:shd w:val="clear" w:color="auto" w:fill="FFFFFF" w:themeFill="background1"/>
        <w:spacing w:after="0" w:line="240" w:lineRule="auto"/>
        <w:jc w:val="both"/>
        <w:rPr>
          <w:rFonts w:ascii="Arial" w:hAnsi="Arial" w:cs="Arial"/>
          <w:sz w:val="20"/>
          <w:szCs w:val="20"/>
        </w:rPr>
      </w:pPr>
    </w:p>
    <w:p w14:paraId="478987DD" w14:textId="1A1F0AFB" w:rsidR="00A90A3B" w:rsidRPr="00215B2F" w:rsidRDefault="00A90A3B" w:rsidP="00FD5520">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(3) Banka Slovenije v notranjem aktu, ki ga sprejme Svet Banke Slovenije</w:t>
      </w:r>
      <w:r w:rsidR="00FD20CD" w:rsidRPr="00215B2F">
        <w:rPr>
          <w:rFonts w:ascii="Arial" w:hAnsi="Arial" w:cs="Arial"/>
          <w:sz w:val="20"/>
          <w:szCs w:val="20"/>
        </w:rPr>
        <w:t>,</w:t>
      </w:r>
      <w:r w:rsidRPr="00215B2F">
        <w:rPr>
          <w:rFonts w:ascii="Arial" w:hAnsi="Arial" w:cs="Arial"/>
          <w:sz w:val="20"/>
          <w:szCs w:val="20"/>
        </w:rPr>
        <w:t xml:space="preserve"> določi višino nadomestila za mirovanje, postopke za uveljavitev in izplačevanje nadomestila, poročanje o spoštovanju omejitev glede mirovanja ter vračilo nadomestila v primeru ugotovljenih kršitev v obdobju mirovanja.</w:t>
      </w:r>
    </w:p>
    <w:p w14:paraId="2F020F3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D0EC629"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2" w:name="_Ref202960220"/>
      <w:r w:rsidRPr="00215B2F">
        <w:rPr>
          <w:rFonts w:ascii="Arial" w:eastAsia="Arial" w:hAnsi="Arial" w:cs="Arial"/>
          <w:b/>
          <w:bCs/>
          <w:sz w:val="20"/>
          <w:szCs w:val="20"/>
        </w:rPr>
        <w:t>člen</w:t>
      </w:r>
      <w:bookmarkEnd w:id="42"/>
    </w:p>
    <w:p w14:paraId="1B0CC2B7" w14:textId="77777777" w:rsidR="00A90A3B" w:rsidRPr="00215B2F" w:rsidRDefault="00A90A3B" w:rsidP="00FD5520">
      <w:pPr>
        <w:shd w:val="clear" w:color="auto" w:fill="FFFFFF" w:themeFill="background1"/>
        <w:spacing w:after="0" w:line="240" w:lineRule="auto"/>
        <w:jc w:val="center"/>
        <w:rPr>
          <w:rFonts w:ascii="Arial" w:hAnsi="Arial" w:cs="Arial"/>
          <w:b/>
          <w:bCs/>
          <w:sz w:val="20"/>
          <w:szCs w:val="20"/>
        </w:rPr>
      </w:pPr>
      <w:r w:rsidRPr="00215B2F">
        <w:rPr>
          <w:rFonts w:ascii="Arial" w:hAnsi="Arial" w:cs="Arial"/>
          <w:b/>
          <w:bCs/>
          <w:sz w:val="20"/>
          <w:szCs w:val="20"/>
        </w:rPr>
        <w:t>(izjava o osebnih interesih)</w:t>
      </w:r>
    </w:p>
    <w:p w14:paraId="5396995B" w14:textId="77777777" w:rsidR="00A90A3B" w:rsidRPr="00215B2F" w:rsidRDefault="00A90A3B" w:rsidP="00FD5520">
      <w:pPr>
        <w:shd w:val="clear" w:color="auto" w:fill="FFFFFF" w:themeFill="background1"/>
        <w:spacing w:after="0" w:line="240" w:lineRule="auto"/>
        <w:jc w:val="center"/>
        <w:rPr>
          <w:rFonts w:ascii="Arial" w:hAnsi="Arial" w:cs="Arial"/>
          <w:b/>
          <w:bCs/>
          <w:sz w:val="20"/>
          <w:szCs w:val="20"/>
        </w:rPr>
      </w:pPr>
    </w:p>
    <w:p w14:paraId="53861EB6" w14:textId="5D770AB8" w:rsidR="00A90A3B" w:rsidRPr="00215B2F" w:rsidRDefault="00A90A3B" w:rsidP="00FD5520">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(1) Člani Sveta Banke Slovenije in zaposleni v Banki Slovenije morajo pred </w:t>
      </w:r>
      <w:r w:rsidR="00832D7D" w:rsidRPr="00215B2F">
        <w:rPr>
          <w:rFonts w:ascii="Arial" w:hAnsi="Arial" w:cs="Arial"/>
          <w:sz w:val="20"/>
          <w:szCs w:val="20"/>
        </w:rPr>
        <w:t xml:space="preserve">nastopom funkcije </w:t>
      </w:r>
      <w:r w:rsidRPr="00215B2F">
        <w:rPr>
          <w:rFonts w:ascii="Arial" w:hAnsi="Arial" w:cs="Arial"/>
          <w:sz w:val="20"/>
          <w:szCs w:val="20"/>
        </w:rPr>
        <w:t xml:space="preserve">oziroma pred zaposlitvijo in nato enkrat letno predložiti izjavo o </w:t>
      </w:r>
      <w:r w:rsidR="00CD2AAF" w:rsidRPr="00215B2F">
        <w:rPr>
          <w:rFonts w:ascii="Arial" w:hAnsi="Arial" w:cs="Arial"/>
          <w:sz w:val="20"/>
          <w:szCs w:val="20"/>
        </w:rPr>
        <w:t xml:space="preserve">osebnih </w:t>
      </w:r>
      <w:r w:rsidRPr="00215B2F">
        <w:rPr>
          <w:rFonts w:ascii="Arial" w:hAnsi="Arial" w:cs="Arial"/>
          <w:sz w:val="20"/>
          <w:szCs w:val="20"/>
        </w:rPr>
        <w:t xml:space="preserve">interesih. </w:t>
      </w:r>
    </w:p>
    <w:p w14:paraId="5B55001C" w14:textId="77777777" w:rsidR="00A90A3B" w:rsidRPr="00215B2F" w:rsidRDefault="00A90A3B" w:rsidP="00FD5520">
      <w:pPr>
        <w:shd w:val="clear" w:color="auto" w:fill="FFFFFF" w:themeFill="background1"/>
        <w:spacing w:after="0" w:line="240" w:lineRule="auto"/>
        <w:jc w:val="both"/>
        <w:rPr>
          <w:rFonts w:ascii="Arial" w:hAnsi="Arial" w:cs="Arial"/>
          <w:sz w:val="20"/>
          <w:szCs w:val="20"/>
        </w:rPr>
      </w:pPr>
    </w:p>
    <w:p w14:paraId="66F223C3" w14:textId="0D4045CE" w:rsidR="00A90A3B" w:rsidRPr="00215B2F" w:rsidRDefault="00A90A3B" w:rsidP="00FD5520">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(2) Podrobnejšo vsebino</w:t>
      </w:r>
      <w:r w:rsidR="00832D7D" w:rsidRPr="00215B2F">
        <w:rPr>
          <w:rFonts w:ascii="Arial" w:hAnsi="Arial" w:cs="Arial"/>
          <w:sz w:val="20"/>
          <w:szCs w:val="20"/>
        </w:rPr>
        <w:t xml:space="preserve"> in način predložitve</w:t>
      </w:r>
      <w:r w:rsidRPr="00215B2F">
        <w:rPr>
          <w:rFonts w:ascii="Arial" w:hAnsi="Arial" w:cs="Arial"/>
          <w:sz w:val="20"/>
          <w:szCs w:val="20"/>
        </w:rPr>
        <w:t xml:space="preserve"> izjave iz prejšnjega odstavka določi Bank</w:t>
      </w:r>
      <w:r w:rsidR="00D55BED" w:rsidRPr="00215B2F">
        <w:rPr>
          <w:rFonts w:ascii="Arial" w:hAnsi="Arial" w:cs="Arial"/>
          <w:sz w:val="20"/>
          <w:szCs w:val="20"/>
        </w:rPr>
        <w:t>a</w:t>
      </w:r>
      <w:r w:rsidRPr="00215B2F">
        <w:rPr>
          <w:rFonts w:ascii="Arial" w:hAnsi="Arial" w:cs="Arial"/>
          <w:sz w:val="20"/>
          <w:szCs w:val="20"/>
        </w:rPr>
        <w:t xml:space="preserve"> Slovenije v notranjem aktu, ki ga sprejme Svet Banke Slovenije. Izjava vsebuje vsaj informacije o deležih v obliki delnic, lastniških finančnih instrument</w:t>
      </w:r>
      <w:r w:rsidR="00FD20CD" w:rsidRPr="00215B2F">
        <w:rPr>
          <w:rFonts w:ascii="Arial" w:hAnsi="Arial" w:cs="Arial"/>
          <w:sz w:val="20"/>
          <w:szCs w:val="20"/>
        </w:rPr>
        <w:t>ov</w:t>
      </w:r>
      <w:r w:rsidRPr="00215B2F">
        <w:rPr>
          <w:rFonts w:ascii="Arial" w:hAnsi="Arial" w:cs="Arial"/>
          <w:sz w:val="20"/>
          <w:szCs w:val="20"/>
        </w:rPr>
        <w:t>, obveznic vzajemnih skladov, investicijskih skladov, mešanih skladov, hedge skladov in investicijskih skladov, s katerimi se trguje na borzi, ki bi lahko pomenili nasprotje interesov za Banko Slovenije.</w:t>
      </w:r>
    </w:p>
    <w:p w14:paraId="7252D7C3" w14:textId="77777777" w:rsidR="00A90A3B" w:rsidRPr="00215B2F" w:rsidRDefault="00A90A3B" w:rsidP="00FD5520">
      <w:pPr>
        <w:shd w:val="clear" w:color="auto" w:fill="FFFFFF" w:themeFill="background1"/>
        <w:spacing w:after="0" w:line="240" w:lineRule="auto"/>
        <w:jc w:val="both"/>
        <w:rPr>
          <w:rFonts w:ascii="Arial" w:hAnsi="Arial" w:cs="Arial"/>
          <w:sz w:val="20"/>
          <w:szCs w:val="20"/>
        </w:rPr>
      </w:pPr>
    </w:p>
    <w:p w14:paraId="6F2C5191" w14:textId="07026F78" w:rsidR="00A90A3B" w:rsidRPr="00215B2F" w:rsidRDefault="00A90A3B" w:rsidP="00FD5520">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lastRenderedPageBreak/>
        <w:t>(3) Kadar imajo člani Sveta Banke Slovenije ali drugi zaposleni ob zaposlitvi ali kadar</w:t>
      </w:r>
      <w:r w:rsidR="00FD20CD" w:rsidRPr="00215B2F">
        <w:rPr>
          <w:rFonts w:ascii="Arial" w:hAnsi="Arial" w:cs="Arial"/>
          <w:sz w:val="20"/>
          <w:szCs w:val="20"/>
        </w:rPr>
        <w:t xml:space="preserve"> </w:t>
      </w:r>
      <w:r w:rsidRPr="00215B2F">
        <w:rPr>
          <w:rFonts w:ascii="Arial" w:hAnsi="Arial" w:cs="Arial"/>
          <w:sz w:val="20"/>
          <w:szCs w:val="20"/>
        </w:rPr>
        <w:t xml:space="preserve">koli pozneje v lasti finančne instrumente, ki bi lahko pomenili nasprotje interesov, lahko Banka Slovenije za vsak primer posebej določi ukrepe, ki jih mora glede imetništva </w:t>
      </w:r>
      <w:r w:rsidR="0071794C" w:rsidRPr="00215B2F">
        <w:rPr>
          <w:rFonts w:ascii="Arial" w:hAnsi="Arial" w:cs="Arial"/>
          <w:sz w:val="20"/>
          <w:szCs w:val="20"/>
        </w:rPr>
        <w:t xml:space="preserve">finančnih instrumentov </w:t>
      </w:r>
      <w:r w:rsidRPr="00215B2F">
        <w:rPr>
          <w:rFonts w:ascii="Arial" w:hAnsi="Arial" w:cs="Arial"/>
          <w:sz w:val="20"/>
          <w:szCs w:val="20"/>
        </w:rPr>
        <w:t xml:space="preserve">ali razpolaganja </w:t>
      </w:r>
      <w:r w:rsidR="0071794C" w:rsidRPr="00215B2F">
        <w:rPr>
          <w:rFonts w:ascii="Arial" w:hAnsi="Arial" w:cs="Arial"/>
          <w:sz w:val="20"/>
          <w:szCs w:val="20"/>
        </w:rPr>
        <w:t>z njimi</w:t>
      </w:r>
      <w:r w:rsidRPr="00215B2F">
        <w:rPr>
          <w:rFonts w:ascii="Arial" w:hAnsi="Arial" w:cs="Arial"/>
          <w:sz w:val="20"/>
          <w:szCs w:val="20"/>
        </w:rPr>
        <w:t xml:space="preserve"> upoštevati član Sveta Banke Slovenije ali zaposleni, vključno z zahtevo, da se ti instrumenti v razumnem roku prodajo ali odsvojijo in da imetnik pred razpolaganjem pridobi dovoljenje Banke Slovenije. </w:t>
      </w:r>
    </w:p>
    <w:p w14:paraId="5FE3BE39" w14:textId="77777777" w:rsidR="00D91782" w:rsidRPr="00215B2F" w:rsidRDefault="00D91782" w:rsidP="00FD5520">
      <w:pPr>
        <w:shd w:val="clear" w:color="auto" w:fill="FFFFFF" w:themeFill="background1"/>
        <w:spacing w:after="0" w:line="240" w:lineRule="auto"/>
        <w:jc w:val="both"/>
        <w:rPr>
          <w:rFonts w:ascii="Arial" w:eastAsia="Arial" w:hAnsi="Arial" w:cs="Arial"/>
          <w:i/>
          <w:iCs/>
          <w:sz w:val="20"/>
          <w:szCs w:val="20"/>
        </w:rPr>
      </w:pPr>
    </w:p>
    <w:p w14:paraId="3F056BBF" w14:textId="2C757C49"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2.2.</w:t>
      </w:r>
      <w:r w:rsidR="0044147E" w:rsidRPr="00215B2F">
        <w:rPr>
          <w:rFonts w:ascii="Arial" w:eastAsia="Arial" w:hAnsi="Arial" w:cs="Arial"/>
          <w:i/>
          <w:iCs/>
          <w:sz w:val="20"/>
          <w:szCs w:val="20"/>
        </w:rPr>
        <w:t>4</w:t>
      </w:r>
      <w:r w:rsidRPr="00215B2F">
        <w:rPr>
          <w:rFonts w:ascii="Arial" w:eastAsia="Arial" w:hAnsi="Arial" w:cs="Arial"/>
          <w:i/>
          <w:iCs/>
          <w:sz w:val="20"/>
          <w:szCs w:val="20"/>
        </w:rPr>
        <w:t xml:space="preserve"> Sodelovanje med nadzornimi organi</w:t>
      </w:r>
    </w:p>
    <w:p w14:paraId="4E034C76"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F992F0B"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3" w:name="_Ref202960230"/>
      <w:r w:rsidRPr="00215B2F">
        <w:rPr>
          <w:rFonts w:ascii="Arial" w:eastAsia="Arial" w:hAnsi="Arial" w:cs="Arial"/>
          <w:b/>
          <w:bCs/>
          <w:sz w:val="20"/>
          <w:szCs w:val="20"/>
        </w:rPr>
        <w:t>člen</w:t>
      </w:r>
      <w:bookmarkEnd w:id="43"/>
    </w:p>
    <w:p w14:paraId="632C14E6" w14:textId="77777777" w:rsidR="00D91782" w:rsidRPr="00215B2F" w:rsidRDefault="00D91782" w:rsidP="00FD5520">
      <w:pPr>
        <w:pStyle w:val="Slog1"/>
        <w:shd w:val="clear" w:color="auto" w:fill="FFFFFF" w:themeFill="background1"/>
        <w:rPr>
          <w:sz w:val="20"/>
          <w:szCs w:val="20"/>
        </w:rPr>
      </w:pPr>
      <w:r w:rsidRPr="00215B2F">
        <w:rPr>
          <w:sz w:val="20"/>
          <w:szCs w:val="20"/>
        </w:rPr>
        <w:t>(sodelovanje med nadzornimi organi Republike Slovenije)</w:t>
      </w:r>
    </w:p>
    <w:p w14:paraId="2D2A971E" w14:textId="77777777" w:rsidR="00D91782" w:rsidRPr="00215B2F" w:rsidRDefault="00D91782" w:rsidP="00FD5520">
      <w:pPr>
        <w:pStyle w:val="Slog1"/>
        <w:shd w:val="clear" w:color="auto" w:fill="FFFFFF" w:themeFill="background1"/>
        <w:jc w:val="both"/>
        <w:rPr>
          <w:sz w:val="20"/>
          <w:szCs w:val="20"/>
        </w:rPr>
      </w:pPr>
    </w:p>
    <w:p w14:paraId="55F4326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in nadzorni organi Republike Slovenije sodelujejo pri izvajanju svojih nalog in pooblastil pri opravljanju nadzora ter si skupno prizadevajo za učinkovit nadzor na ravni finančnega sistema.</w:t>
      </w:r>
    </w:p>
    <w:p w14:paraId="0DA4979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43DEDAA" w14:textId="22DBC0B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in nadzorni organi Republike Slovenije si v največji možni meri prizadevajo za poenotenje nadzorniških praks ter v tem okviru tudi za primerljivost metodolo</w:t>
      </w:r>
      <w:r w:rsidR="00722B22" w:rsidRPr="00215B2F">
        <w:rPr>
          <w:rFonts w:ascii="Arial" w:eastAsia="Arial" w:hAnsi="Arial" w:cs="Arial"/>
          <w:sz w:val="20"/>
          <w:szCs w:val="20"/>
        </w:rPr>
        <w:t>gij</w:t>
      </w:r>
      <w:r w:rsidRPr="00215B2F">
        <w:rPr>
          <w:rFonts w:ascii="Arial" w:eastAsia="Arial" w:hAnsi="Arial" w:cs="Arial"/>
          <w:sz w:val="20"/>
          <w:szCs w:val="20"/>
        </w:rPr>
        <w:t xml:space="preserve"> pri nadzoru </w:t>
      </w:r>
      <w:r w:rsidR="00722B22" w:rsidRPr="00215B2F">
        <w:rPr>
          <w:rFonts w:ascii="Arial" w:eastAsia="Arial" w:hAnsi="Arial" w:cs="Arial"/>
          <w:sz w:val="20"/>
          <w:szCs w:val="20"/>
        </w:rPr>
        <w:t xml:space="preserve">nad </w:t>
      </w:r>
      <w:r w:rsidRPr="00215B2F">
        <w:rPr>
          <w:rFonts w:ascii="Arial" w:eastAsia="Arial" w:hAnsi="Arial" w:cs="Arial"/>
          <w:sz w:val="20"/>
          <w:szCs w:val="20"/>
        </w:rPr>
        <w:t>upravljanj</w:t>
      </w:r>
      <w:r w:rsidR="00722B22" w:rsidRPr="00215B2F">
        <w:rPr>
          <w:rFonts w:ascii="Arial" w:eastAsia="Arial" w:hAnsi="Arial" w:cs="Arial"/>
          <w:sz w:val="20"/>
          <w:szCs w:val="20"/>
        </w:rPr>
        <w:t>em</w:t>
      </w:r>
      <w:r w:rsidRPr="00215B2F">
        <w:rPr>
          <w:rFonts w:ascii="Arial" w:eastAsia="Arial" w:hAnsi="Arial" w:cs="Arial"/>
          <w:sz w:val="20"/>
          <w:szCs w:val="20"/>
        </w:rPr>
        <w:t xml:space="preserve"> tveganj.</w:t>
      </w:r>
    </w:p>
    <w:p w14:paraId="74C89E70"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6D3433D" w14:textId="637D5F8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in nadzorni organi Republike Slovenije morajo na zahtevo posameznega nadzornega organa pos</w:t>
      </w:r>
      <w:r w:rsidR="00722B22" w:rsidRPr="00215B2F">
        <w:rPr>
          <w:rFonts w:ascii="Arial" w:eastAsia="Arial" w:hAnsi="Arial" w:cs="Arial"/>
          <w:sz w:val="20"/>
          <w:szCs w:val="20"/>
        </w:rPr>
        <w:t>l</w:t>
      </w:r>
      <w:r w:rsidRPr="00215B2F">
        <w:rPr>
          <w:rFonts w:ascii="Arial" w:eastAsia="Arial" w:hAnsi="Arial" w:cs="Arial"/>
          <w:sz w:val="20"/>
          <w:szCs w:val="20"/>
        </w:rPr>
        <w:t>ati temu organu vse podatke glede nadzorovanega subjekta, ki jih organ potrebuje v postopku opravljanja nalog nadzora, v postopku v zvezi z izdajo dovoljenj ali pri odločanju o drugih posamičnih zadevah v skladu z zakonom.</w:t>
      </w:r>
    </w:p>
    <w:p w14:paraId="26569608"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1C742A5" w14:textId="72943BA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in nadzorni organi Republike Slovenije </w:t>
      </w:r>
      <w:r w:rsidR="006773F5" w:rsidRPr="00215B2F">
        <w:rPr>
          <w:rFonts w:ascii="Arial" w:eastAsia="Arial" w:hAnsi="Arial" w:cs="Arial"/>
          <w:sz w:val="20"/>
          <w:szCs w:val="20"/>
        </w:rPr>
        <w:t xml:space="preserve">se </w:t>
      </w:r>
      <w:r w:rsidRPr="00215B2F">
        <w:rPr>
          <w:rFonts w:ascii="Arial" w:eastAsia="Arial" w:hAnsi="Arial" w:cs="Arial"/>
          <w:sz w:val="20"/>
          <w:szCs w:val="20"/>
        </w:rPr>
        <w:t xml:space="preserve">morajo </w:t>
      </w:r>
      <w:r w:rsidR="006773F5" w:rsidRPr="00215B2F">
        <w:rPr>
          <w:rFonts w:ascii="Arial" w:eastAsia="Arial" w:hAnsi="Arial" w:cs="Arial"/>
          <w:sz w:val="20"/>
          <w:szCs w:val="20"/>
        </w:rPr>
        <w:t>medsebojno</w:t>
      </w:r>
      <w:r w:rsidRPr="00215B2F">
        <w:rPr>
          <w:rFonts w:ascii="Arial" w:eastAsia="Arial" w:hAnsi="Arial" w:cs="Arial"/>
          <w:sz w:val="20"/>
          <w:szCs w:val="20"/>
        </w:rPr>
        <w:t xml:space="preserve"> na lastno pobudo obveščati o nepravilnostih ali drugih okoliščinah, ki jih ugotovijo pri opravljanju nadzora ali drugih svojih nalog in pristojnosti, če te ugotovitve vplivajo ali bi lahko vplivale na izvajanje nalog tega nadzornega organa pri opravljanju nadzora, zlasti informacije o:</w:t>
      </w:r>
    </w:p>
    <w:p w14:paraId="774DCA85"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E961A71" w14:textId="24D91F9C" w:rsidR="00730AA1" w:rsidRPr="00215B2F" w:rsidRDefault="00D91782">
      <w:pPr>
        <w:pStyle w:val="tevilnatoka"/>
        <w:numPr>
          <w:ilvl w:val="0"/>
          <w:numId w:val="40"/>
        </w:numPr>
        <w:shd w:val="clear" w:color="auto" w:fill="FFFFFF" w:themeFill="background1"/>
        <w:tabs>
          <w:tab w:val="clear" w:pos="425"/>
        </w:tabs>
        <w:rPr>
          <w:rFonts w:cs="Arial"/>
          <w:bCs/>
          <w:sz w:val="20"/>
          <w:szCs w:val="20"/>
        </w:rPr>
      </w:pPr>
      <w:r w:rsidRPr="00215B2F">
        <w:rPr>
          <w:rFonts w:eastAsia="Arial" w:cs="Arial"/>
          <w:sz w:val="20"/>
          <w:szCs w:val="20"/>
        </w:rPr>
        <w:t xml:space="preserve">ugotovljenih neugodnih </w:t>
      </w:r>
      <w:r w:rsidR="000158EB" w:rsidRPr="00215B2F">
        <w:rPr>
          <w:rFonts w:eastAsia="Arial" w:cs="Arial"/>
          <w:sz w:val="20"/>
          <w:szCs w:val="20"/>
        </w:rPr>
        <w:t xml:space="preserve">trendih </w:t>
      </w:r>
      <w:r w:rsidRPr="00215B2F">
        <w:rPr>
          <w:rFonts w:eastAsia="Arial" w:cs="Arial"/>
          <w:sz w:val="20"/>
          <w:szCs w:val="20"/>
        </w:rPr>
        <w:t>v poslovanju nadzorovanega subjekta, zlasti glede izpolnjevanja bonitetnih zahtev, ki bi lahko resno vplivali na druge nadzorovane subjekte;</w:t>
      </w:r>
    </w:p>
    <w:p w14:paraId="56B3F2A9" w14:textId="685CE3A5" w:rsidR="00D91782" w:rsidRPr="00215B2F" w:rsidRDefault="00D91782">
      <w:pPr>
        <w:pStyle w:val="tevilnatoka"/>
        <w:numPr>
          <w:ilvl w:val="0"/>
          <w:numId w:val="40"/>
        </w:numPr>
        <w:shd w:val="clear" w:color="auto" w:fill="FFFFFF" w:themeFill="background1"/>
        <w:tabs>
          <w:tab w:val="clear" w:pos="425"/>
        </w:tabs>
        <w:rPr>
          <w:rFonts w:cs="Arial"/>
          <w:bCs/>
          <w:sz w:val="20"/>
          <w:szCs w:val="20"/>
        </w:rPr>
      </w:pPr>
      <w:r w:rsidRPr="00215B2F">
        <w:rPr>
          <w:rFonts w:eastAsia="Arial" w:cs="Arial"/>
          <w:sz w:val="20"/>
          <w:szCs w:val="20"/>
        </w:rPr>
        <w:t>pomembnejših kaznih in ukrepih nadzora, ki jih izreče nadzorni organ v okviru svojih pristojnosti.</w:t>
      </w:r>
    </w:p>
    <w:p w14:paraId="3E54E9B9"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07122EC" w14:textId="3488F7C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Podrobnejšo vsebino in način medsebojnega sodelovanja Banke Slovenije in nadzornih organov Republike Slovenije določi minister, pristoj</w:t>
      </w:r>
      <w:r w:rsidR="00120745" w:rsidRPr="00215B2F">
        <w:rPr>
          <w:rFonts w:ascii="Arial" w:eastAsia="Arial" w:hAnsi="Arial" w:cs="Arial"/>
          <w:sz w:val="20"/>
          <w:szCs w:val="20"/>
        </w:rPr>
        <w:t>e</w:t>
      </w:r>
      <w:r w:rsidRPr="00215B2F">
        <w:rPr>
          <w:rFonts w:ascii="Arial" w:eastAsia="Arial" w:hAnsi="Arial" w:cs="Arial"/>
          <w:sz w:val="20"/>
          <w:szCs w:val="20"/>
        </w:rPr>
        <w:t>n za finance</w:t>
      </w:r>
      <w:r w:rsidR="00722B22" w:rsidRPr="00215B2F">
        <w:rPr>
          <w:rFonts w:ascii="Arial" w:eastAsia="Arial" w:hAnsi="Arial" w:cs="Arial"/>
          <w:sz w:val="20"/>
          <w:szCs w:val="20"/>
        </w:rPr>
        <w:t xml:space="preserve"> (v nadaljnjem besedilu: minister)</w:t>
      </w:r>
      <w:r w:rsidRPr="00215B2F">
        <w:rPr>
          <w:rFonts w:ascii="Arial" w:eastAsia="Arial" w:hAnsi="Arial" w:cs="Arial"/>
          <w:sz w:val="20"/>
          <w:szCs w:val="20"/>
        </w:rPr>
        <w:t xml:space="preserve">, </w:t>
      </w:r>
      <w:r w:rsidR="000F0BBC" w:rsidRPr="00215B2F">
        <w:rPr>
          <w:rFonts w:ascii="Arial" w:eastAsia="Arial" w:hAnsi="Arial" w:cs="Arial"/>
          <w:sz w:val="20"/>
          <w:szCs w:val="20"/>
        </w:rPr>
        <w:t>po predhodnem</w:t>
      </w:r>
      <w:r w:rsidRPr="00215B2F">
        <w:rPr>
          <w:rFonts w:ascii="Arial" w:eastAsia="Arial" w:hAnsi="Arial" w:cs="Arial"/>
          <w:sz w:val="20"/>
          <w:szCs w:val="20"/>
        </w:rPr>
        <w:t xml:space="preserve"> mnenj</w:t>
      </w:r>
      <w:r w:rsidR="000F0BBC" w:rsidRPr="00215B2F">
        <w:rPr>
          <w:rFonts w:ascii="Arial" w:eastAsia="Arial" w:hAnsi="Arial" w:cs="Arial"/>
          <w:sz w:val="20"/>
          <w:szCs w:val="20"/>
        </w:rPr>
        <w:t>u</w:t>
      </w:r>
      <w:r w:rsidRPr="00215B2F">
        <w:rPr>
          <w:rFonts w:ascii="Arial" w:eastAsia="Arial" w:hAnsi="Arial" w:cs="Arial"/>
          <w:sz w:val="20"/>
          <w:szCs w:val="20"/>
        </w:rPr>
        <w:t xml:space="preserve"> Banke Slovenije in nadzornih organov Republike Slovenije.</w:t>
      </w:r>
    </w:p>
    <w:p w14:paraId="1F55964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1739DEE"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4" w:name="_Ref202960250"/>
      <w:r w:rsidRPr="00215B2F">
        <w:rPr>
          <w:rFonts w:ascii="Arial" w:eastAsia="Arial" w:hAnsi="Arial" w:cs="Arial"/>
          <w:b/>
          <w:bCs/>
          <w:sz w:val="20"/>
          <w:szCs w:val="20"/>
        </w:rPr>
        <w:t>člen</w:t>
      </w:r>
      <w:bookmarkEnd w:id="44"/>
    </w:p>
    <w:p w14:paraId="7C84A83E" w14:textId="77777777" w:rsidR="00D91782" w:rsidRPr="00215B2F" w:rsidRDefault="00D91782" w:rsidP="00FD5520">
      <w:pPr>
        <w:pStyle w:val="Slog1"/>
        <w:shd w:val="clear" w:color="auto" w:fill="FFFFFF" w:themeFill="background1"/>
        <w:rPr>
          <w:sz w:val="20"/>
          <w:szCs w:val="20"/>
        </w:rPr>
      </w:pPr>
      <w:r w:rsidRPr="00215B2F">
        <w:rPr>
          <w:sz w:val="20"/>
          <w:szCs w:val="20"/>
        </w:rPr>
        <w:t>(sodelovanje s pristojnimi organi držav članic in tretjih držav)</w:t>
      </w:r>
    </w:p>
    <w:p w14:paraId="08374CF6" w14:textId="77777777" w:rsidR="00D91782" w:rsidRPr="00215B2F" w:rsidRDefault="00D91782" w:rsidP="00FD5520">
      <w:pPr>
        <w:pStyle w:val="Slog1"/>
        <w:shd w:val="clear" w:color="auto" w:fill="FFFFFF" w:themeFill="background1"/>
        <w:jc w:val="both"/>
        <w:rPr>
          <w:sz w:val="20"/>
          <w:szCs w:val="20"/>
        </w:rPr>
      </w:pPr>
    </w:p>
    <w:p w14:paraId="4C90255A" w14:textId="207B6E1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sodeluje </w:t>
      </w:r>
      <w:r w:rsidR="00011CE5" w:rsidRPr="00215B2F">
        <w:rPr>
          <w:rFonts w:ascii="Arial" w:eastAsia="Arial" w:hAnsi="Arial" w:cs="Arial"/>
          <w:sz w:val="20"/>
          <w:szCs w:val="20"/>
        </w:rPr>
        <w:t>z</w:t>
      </w:r>
      <w:r w:rsidRPr="00215B2F">
        <w:rPr>
          <w:rFonts w:ascii="Arial" w:eastAsia="Arial" w:hAnsi="Arial" w:cs="Arial"/>
          <w:sz w:val="20"/>
          <w:szCs w:val="20"/>
        </w:rPr>
        <w:t xml:space="preserve"> organi držav članic, ki so pristojni za nadzor </w:t>
      </w:r>
      <w:r w:rsidR="00011CE5" w:rsidRPr="00215B2F">
        <w:rPr>
          <w:rFonts w:ascii="Arial" w:eastAsia="Arial" w:hAnsi="Arial" w:cs="Arial"/>
          <w:sz w:val="20"/>
          <w:szCs w:val="20"/>
        </w:rPr>
        <w:t xml:space="preserve">nad </w:t>
      </w:r>
      <w:r w:rsidRPr="00215B2F">
        <w:rPr>
          <w:rFonts w:ascii="Arial" w:eastAsia="Arial" w:hAnsi="Arial" w:cs="Arial"/>
          <w:sz w:val="20"/>
          <w:szCs w:val="20"/>
        </w:rPr>
        <w:t>kreditni</w:t>
      </w:r>
      <w:r w:rsidR="00011CE5" w:rsidRPr="00215B2F">
        <w:rPr>
          <w:rFonts w:ascii="Arial" w:eastAsia="Arial" w:hAnsi="Arial" w:cs="Arial"/>
          <w:sz w:val="20"/>
          <w:szCs w:val="20"/>
        </w:rPr>
        <w:t>mi</w:t>
      </w:r>
      <w:r w:rsidRPr="00215B2F">
        <w:rPr>
          <w:rFonts w:ascii="Arial" w:eastAsia="Arial" w:hAnsi="Arial" w:cs="Arial"/>
          <w:sz w:val="20"/>
          <w:szCs w:val="20"/>
        </w:rPr>
        <w:t xml:space="preserve"> institucij</w:t>
      </w:r>
      <w:r w:rsidR="00011CE5" w:rsidRPr="00215B2F">
        <w:rPr>
          <w:rFonts w:ascii="Arial" w:eastAsia="Arial" w:hAnsi="Arial" w:cs="Arial"/>
          <w:sz w:val="20"/>
          <w:szCs w:val="20"/>
        </w:rPr>
        <w:t>ami</w:t>
      </w:r>
      <w:r w:rsidRPr="00215B2F">
        <w:rPr>
          <w:rFonts w:ascii="Arial" w:eastAsia="Arial" w:hAnsi="Arial" w:cs="Arial"/>
          <w:sz w:val="20"/>
          <w:szCs w:val="20"/>
        </w:rPr>
        <w:t>, glede nadzora nad poslovanjem kreditnih institucij, ki poslujejo v Republiki Sloveniji in drugih državah članicah, v katerih nimajo sedeža, zlasti prek podružnice.</w:t>
      </w:r>
    </w:p>
    <w:p w14:paraId="0D93405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0F5B913" w14:textId="07E23EE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sodeluje s pristojnimi organi drugih držav članic zlasti z izmenjavo vseh informacij, s katerimi bi se lahko olajšal nadzor nad kreditnimi institucijami, vključno s preverjanjem pogojev za izdajo dovoljenj, spremljanjem izpolnjevanja bonitetnih zahtev ter presojo ugleda in izkušenj članov upravljalnih organov ter primernosti imetnikov kvalificiranih deležev.</w:t>
      </w:r>
    </w:p>
    <w:p w14:paraId="7B0EF53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DC9DD66" w14:textId="231BC2D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pristojnemu organu v državi članici:</w:t>
      </w:r>
    </w:p>
    <w:p w14:paraId="67C75898"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6DBBE6C" w14:textId="77777777" w:rsidR="00730AA1" w:rsidRPr="00215B2F" w:rsidRDefault="00D91782">
      <w:pPr>
        <w:pStyle w:val="tevilnatoka"/>
        <w:numPr>
          <w:ilvl w:val="0"/>
          <w:numId w:val="41"/>
        </w:numPr>
        <w:shd w:val="clear" w:color="auto" w:fill="FFFFFF" w:themeFill="background1"/>
        <w:tabs>
          <w:tab w:val="clear" w:pos="425"/>
        </w:tabs>
        <w:rPr>
          <w:rFonts w:cs="Arial"/>
          <w:bCs/>
          <w:sz w:val="20"/>
          <w:szCs w:val="20"/>
        </w:rPr>
      </w:pPr>
      <w:r w:rsidRPr="00215B2F">
        <w:rPr>
          <w:rFonts w:eastAsia="Arial" w:cs="Arial"/>
          <w:sz w:val="20"/>
          <w:szCs w:val="20"/>
        </w:rPr>
        <w:t>na njegovo zahtevo predloži informacije iz prejšnjega odstavka;</w:t>
      </w:r>
    </w:p>
    <w:p w14:paraId="543FB224" w14:textId="3A3C4C7E" w:rsidR="00D91782" w:rsidRPr="00215B2F" w:rsidRDefault="00D91782">
      <w:pPr>
        <w:pStyle w:val="tevilnatoka"/>
        <w:numPr>
          <w:ilvl w:val="0"/>
          <w:numId w:val="41"/>
        </w:numPr>
        <w:shd w:val="clear" w:color="auto" w:fill="FFFFFF" w:themeFill="background1"/>
        <w:tabs>
          <w:tab w:val="clear" w:pos="425"/>
        </w:tabs>
        <w:rPr>
          <w:rFonts w:cs="Arial"/>
          <w:bCs/>
          <w:sz w:val="20"/>
          <w:szCs w:val="20"/>
        </w:rPr>
      </w:pPr>
      <w:r w:rsidRPr="00215B2F">
        <w:rPr>
          <w:rFonts w:eastAsia="Arial" w:cs="Arial"/>
          <w:sz w:val="20"/>
          <w:szCs w:val="20"/>
        </w:rPr>
        <w:t>na lastno pobudo po</w:t>
      </w:r>
      <w:r w:rsidR="00011CE5" w:rsidRPr="00215B2F">
        <w:rPr>
          <w:rFonts w:eastAsia="Arial" w:cs="Arial"/>
          <w:sz w:val="20"/>
          <w:szCs w:val="20"/>
        </w:rPr>
        <w:t>šl</w:t>
      </w:r>
      <w:r w:rsidRPr="00215B2F">
        <w:rPr>
          <w:rFonts w:eastAsia="Arial" w:cs="Arial"/>
          <w:sz w:val="20"/>
          <w:szCs w:val="20"/>
        </w:rPr>
        <w:t>je vse informacije, ki so po mnenju Banke Slovenije bistvene za izvajanje nalog nadzora tega pristojnega organa.</w:t>
      </w:r>
    </w:p>
    <w:p w14:paraId="15068698" w14:textId="77777777" w:rsidR="003757F3" w:rsidRPr="00215B2F" w:rsidRDefault="003757F3" w:rsidP="00FD5520">
      <w:pPr>
        <w:shd w:val="clear" w:color="auto" w:fill="FFFFFF" w:themeFill="background1"/>
        <w:spacing w:after="0" w:line="240" w:lineRule="auto"/>
        <w:jc w:val="both"/>
        <w:rPr>
          <w:rFonts w:ascii="Arial" w:eastAsia="Arial" w:hAnsi="Arial" w:cs="Arial"/>
          <w:sz w:val="20"/>
          <w:szCs w:val="20"/>
        </w:rPr>
      </w:pPr>
    </w:p>
    <w:p w14:paraId="2AA1F655" w14:textId="344F0B4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Informacija se šteje za bistveno po prejšnjem odstavku, če bi lahko imela pomemben vpliv </w:t>
      </w:r>
      <w:r w:rsidR="00BA77A7" w:rsidRPr="00215B2F">
        <w:rPr>
          <w:rFonts w:ascii="Arial" w:eastAsia="Arial" w:hAnsi="Arial" w:cs="Arial"/>
          <w:sz w:val="20"/>
          <w:szCs w:val="20"/>
        </w:rPr>
        <w:t>na</w:t>
      </w:r>
      <w:r w:rsidRPr="00215B2F">
        <w:rPr>
          <w:rFonts w:ascii="Arial" w:eastAsia="Arial" w:hAnsi="Arial" w:cs="Arial"/>
          <w:sz w:val="20"/>
          <w:szCs w:val="20"/>
        </w:rPr>
        <w:t xml:space="preserve"> oceno finančne trdnosti banke države članice.</w:t>
      </w:r>
    </w:p>
    <w:p w14:paraId="5474E255"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273D9E5" w14:textId="29C3CA3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(5) Kadar je Banka Slovenije pristojna za nadzor podružnic</w:t>
      </w:r>
      <w:r w:rsidR="000158EB" w:rsidRPr="00215B2F">
        <w:rPr>
          <w:rFonts w:ascii="Arial" w:eastAsia="Arial" w:hAnsi="Arial" w:cs="Arial"/>
          <w:sz w:val="20"/>
          <w:szCs w:val="20"/>
        </w:rPr>
        <w:t>e</w:t>
      </w:r>
      <w:r w:rsidRPr="00215B2F">
        <w:rPr>
          <w:rFonts w:ascii="Arial" w:eastAsia="Arial" w:hAnsi="Arial" w:cs="Arial"/>
          <w:sz w:val="20"/>
          <w:szCs w:val="20"/>
        </w:rPr>
        <w:t xml:space="preserve"> banke tretje države ali za nadzor bank</w:t>
      </w:r>
      <w:r w:rsidR="000158EB" w:rsidRPr="00215B2F">
        <w:rPr>
          <w:rFonts w:ascii="Arial" w:eastAsia="Arial" w:hAnsi="Arial" w:cs="Arial"/>
          <w:sz w:val="20"/>
          <w:szCs w:val="20"/>
        </w:rPr>
        <w:t>e</w:t>
      </w:r>
      <w:r w:rsidRPr="00215B2F">
        <w:rPr>
          <w:rFonts w:ascii="Arial" w:eastAsia="Arial" w:hAnsi="Arial" w:cs="Arial"/>
          <w:sz w:val="20"/>
          <w:szCs w:val="20"/>
        </w:rPr>
        <w:t>, ki je del iste skupine kot podružnica banke tretje države, tesno sodeluje s pristojnimi organi držav članic za podružnice banke ali institucije, ki so del iste skupine iz tretje države,</w:t>
      </w:r>
      <w:r w:rsidR="00011CE5" w:rsidRPr="00215B2F">
        <w:rPr>
          <w:rFonts w:ascii="Arial" w:eastAsia="Arial" w:hAnsi="Arial" w:cs="Arial"/>
          <w:sz w:val="20"/>
          <w:szCs w:val="20"/>
        </w:rPr>
        <w:t xml:space="preserve"> </w:t>
      </w:r>
      <w:r w:rsidR="000158EB" w:rsidRPr="00215B2F">
        <w:rPr>
          <w:rFonts w:ascii="Arial" w:eastAsia="Arial" w:hAnsi="Arial" w:cs="Arial"/>
          <w:sz w:val="20"/>
          <w:szCs w:val="20"/>
        </w:rPr>
        <w:t xml:space="preserve">z namenom </w:t>
      </w:r>
      <w:r w:rsidR="00011CE5" w:rsidRPr="00215B2F">
        <w:rPr>
          <w:rFonts w:ascii="Arial" w:eastAsia="Arial" w:hAnsi="Arial" w:cs="Arial"/>
          <w:sz w:val="20"/>
          <w:szCs w:val="20"/>
        </w:rPr>
        <w:t>da</w:t>
      </w:r>
      <w:r w:rsidRPr="00215B2F">
        <w:rPr>
          <w:rFonts w:ascii="Arial" w:eastAsia="Arial" w:hAnsi="Arial" w:cs="Arial"/>
          <w:sz w:val="20"/>
          <w:szCs w:val="20"/>
        </w:rPr>
        <w:t>:</w:t>
      </w:r>
    </w:p>
    <w:p w14:paraId="5F816C83" w14:textId="77777777" w:rsidR="00730AA1" w:rsidRPr="00215B2F" w:rsidRDefault="00730AA1" w:rsidP="00FD5520">
      <w:pPr>
        <w:shd w:val="clear" w:color="auto" w:fill="FFFFFF" w:themeFill="background1"/>
        <w:spacing w:after="0" w:line="240" w:lineRule="auto"/>
        <w:jc w:val="both"/>
        <w:rPr>
          <w:rFonts w:ascii="Arial" w:eastAsia="Arial" w:hAnsi="Arial" w:cs="Arial"/>
          <w:sz w:val="20"/>
          <w:szCs w:val="20"/>
        </w:rPr>
      </w:pPr>
    </w:p>
    <w:p w14:paraId="30E3E399" w14:textId="042A13B0" w:rsidR="00730AA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se zagotovi, da so vse dejavnosti te skupine iz tretje države v Evropski uniji predmet celovitega nadzora,</w:t>
      </w:r>
    </w:p>
    <w:p w14:paraId="537F1B55" w14:textId="5D41F82A" w:rsidR="00730AA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se prepreči izogibanje zahtevam, ki se uporabljajo za skupine iz tretjih držav na podlagi tega zakona, Direktive 2013/36/EU in Uredbe 575/2013/EU, ter</w:t>
      </w:r>
    </w:p>
    <w:p w14:paraId="50909A9A" w14:textId="46DA4A0F"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se preprečijo škodljive posledice za finančno stabilnost Evropske unije.</w:t>
      </w:r>
    </w:p>
    <w:p w14:paraId="1BD4A0A9"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687F2F7" w14:textId="27F68E0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Banka Slovenije sklepa sporazume o sodelovanju s pristojnimi organi tretjih držav glede opravljanja nalog nadzora nad bankami, ki opravljajo storitve v tretji državi v skladu s tem zakonom, ter glede opravljanja nalog nadzora nad podružnicami iz tretje države, ki so pridobile dovoljenje za opravljanje storitev na območju Republike Slovenije v skladu s tem zakonom.</w:t>
      </w:r>
    </w:p>
    <w:p w14:paraId="2030C839"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880D296" w14:textId="7812686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(7) Banka Slovenije tesno sodeluje in si izmenjuje informacije s finančnimi obveščevalnimi enotami in drugimi organi držav članic, pristojnimi za nadzor nad kreditnimi institucijami</w:t>
      </w:r>
      <w:r w:rsidR="00011CE5" w:rsidRPr="00215B2F">
        <w:rPr>
          <w:rFonts w:ascii="Arial" w:eastAsia="Arial" w:hAnsi="Arial" w:cs="Arial"/>
          <w:sz w:val="20"/>
          <w:szCs w:val="20"/>
        </w:rPr>
        <w:t xml:space="preserve"> </w:t>
      </w:r>
      <w:r w:rsidR="00B27F34" w:rsidRPr="00215B2F">
        <w:rPr>
          <w:rFonts w:ascii="Arial" w:eastAsia="Arial" w:hAnsi="Arial" w:cs="Arial"/>
          <w:sz w:val="20"/>
          <w:szCs w:val="20"/>
        </w:rPr>
        <w:t xml:space="preserve">ali </w:t>
      </w:r>
      <w:r w:rsidRPr="00215B2F">
        <w:rPr>
          <w:rFonts w:ascii="Arial" w:eastAsia="Arial" w:hAnsi="Arial" w:cs="Arial"/>
          <w:sz w:val="20"/>
          <w:szCs w:val="20"/>
        </w:rPr>
        <w:t>finančnimi institucijami na podlagi predpisov, ki prenašajo Direktivo 2015/849/EU, če:</w:t>
      </w:r>
    </w:p>
    <w:p w14:paraId="09A9B587" w14:textId="77777777" w:rsidR="003757F3" w:rsidRPr="00215B2F" w:rsidRDefault="003757F3" w:rsidP="00FD5520">
      <w:pPr>
        <w:shd w:val="clear" w:color="auto" w:fill="FFFFFF" w:themeFill="background1"/>
        <w:spacing w:after="0" w:line="240" w:lineRule="auto"/>
        <w:jc w:val="both"/>
        <w:rPr>
          <w:rFonts w:ascii="Arial" w:eastAsia="Arial" w:hAnsi="Arial" w:cs="Arial"/>
          <w:sz w:val="20"/>
          <w:szCs w:val="20"/>
        </w:rPr>
      </w:pPr>
    </w:p>
    <w:p w14:paraId="7583C89B" w14:textId="2B506D49" w:rsidR="00730AA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je to potrebno za opravljanje nalog v skladu s tem zakonom, </w:t>
      </w:r>
      <w:r w:rsidR="0061405D" w:rsidRPr="00215B2F">
        <w:rPr>
          <w:rFonts w:ascii="Arial" w:hAnsi="Arial" w:cs="Arial"/>
          <w:sz w:val="20"/>
          <w:szCs w:val="20"/>
        </w:rPr>
        <w:t>zakonom, ki ureja preprečevanje pranja denarja in financiranje terorizma,</w:t>
      </w:r>
      <w:r w:rsidR="0061405D" w:rsidRPr="00215B2F">
        <w:rPr>
          <w:rFonts w:ascii="Arial" w:eastAsia="Arial" w:hAnsi="Arial" w:cs="Arial"/>
          <w:sz w:val="20"/>
          <w:szCs w:val="20"/>
        </w:rPr>
        <w:t xml:space="preserve"> </w:t>
      </w:r>
      <w:r w:rsidRPr="00215B2F">
        <w:rPr>
          <w:rFonts w:ascii="Arial" w:eastAsia="Arial" w:hAnsi="Arial" w:cs="Arial"/>
          <w:sz w:val="20"/>
          <w:szCs w:val="20"/>
        </w:rPr>
        <w:t>Direktivo 2013/36/EU, Uredbo 575/2013/EU ali Direktivo 2015/849/EU in</w:t>
      </w:r>
    </w:p>
    <w:p w14:paraId="58A4D66F" w14:textId="3F580362"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če tako sodelovanje in izmenjava informacij ne posegata v poizvedovanje, preiskavo ali postopek, ki poteka v skladu s kazenskim ali upravnim pravom Republike Slovenije.</w:t>
      </w:r>
    </w:p>
    <w:p w14:paraId="4DD8ED35"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6C33F42" w14:textId="63B80B9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(8) Kadar so za reševanje pooblaščeni organi, ki niso pristojni organi, Banka Slovenije tesno sodeluje in se posvetuje tudi z organi, pooblaščenimi za reševanje, zlasti glede priprave načrtov sodelovanja ter v drugih primerih, kadar tako sodelovanje zahteva ta zakon, </w:t>
      </w:r>
      <w:r w:rsidR="0061405D" w:rsidRPr="00215B2F">
        <w:rPr>
          <w:rFonts w:ascii="Arial" w:hAnsi="Arial" w:cs="Arial"/>
          <w:sz w:val="20"/>
          <w:szCs w:val="20"/>
        </w:rPr>
        <w:t>zakon, ki ureja preprečevanje pranja denarja in financiranje terorizma,</w:t>
      </w:r>
      <w:r w:rsidR="0061405D" w:rsidRPr="00215B2F">
        <w:rPr>
          <w:rFonts w:ascii="Arial" w:eastAsia="Arial" w:hAnsi="Arial" w:cs="Arial"/>
          <w:sz w:val="20"/>
          <w:szCs w:val="20"/>
        </w:rPr>
        <w:t xml:space="preserve"> </w:t>
      </w:r>
      <w:r w:rsidRPr="00215B2F">
        <w:rPr>
          <w:rFonts w:ascii="Arial" w:eastAsia="Arial" w:hAnsi="Arial" w:cs="Arial"/>
          <w:sz w:val="20"/>
          <w:szCs w:val="20"/>
        </w:rPr>
        <w:t>Uredba 575/2013/EU ali Direktiva 2014/59/EU.</w:t>
      </w:r>
    </w:p>
    <w:p w14:paraId="4B5EA62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9185A6B"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5" w:name="_Ref202960259"/>
      <w:r w:rsidRPr="00215B2F">
        <w:rPr>
          <w:rFonts w:ascii="Arial" w:eastAsia="Arial" w:hAnsi="Arial" w:cs="Arial"/>
          <w:b/>
          <w:bCs/>
          <w:sz w:val="20"/>
          <w:szCs w:val="20"/>
        </w:rPr>
        <w:t>člen</w:t>
      </w:r>
      <w:bookmarkEnd w:id="45"/>
    </w:p>
    <w:p w14:paraId="2C856B87" w14:textId="77777777" w:rsidR="00D91782" w:rsidRPr="00215B2F" w:rsidRDefault="00D91782" w:rsidP="00FD5520">
      <w:pPr>
        <w:pStyle w:val="Slog1"/>
        <w:shd w:val="clear" w:color="auto" w:fill="FFFFFF" w:themeFill="background1"/>
        <w:rPr>
          <w:sz w:val="20"/>
          <w:szCs w:val="20"/>
        </w:rPr>
      </w:pPr>
      <w:r w:rsidRPr="00215B2F">
        <w:rPr>
          <w:sz w:val="20"/>
          <w:szCs w:val="20"/>
        </w:rPr>
        <w:t>(sodelovanje z Evropskim bančnim organom)</w:t>
      </w:r>
    </w:p>
    <w:p w14:paraId="157AE101" w14:textId="77777777" w:rsidR="00D91782" w:rsidRPr="00215B2F" w:rsidRDefault="00D91782" w:rsidP="00FD5520">
      <w:pPr>
        <w:pStyle w:val="Slog1"/>
        <w:shd w:val="clear" w:color="auto" w:fill="FFFFFF" w:themeFill="background1"/>
        <w:jc w:val="both"/>
        <w:rPr>
          <w:sz w:val="20"/>
          <w:szCs w:val="20"/>
        </w:rPr>
      </w:pPr>
    </w:p>
    <w:p w14:paraId="2616975E" w14:textId="23B8B93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v zvezi z izvajanjem nalog nadzora nad bankami sodeluje z Evropskim bančnim organom in mu predloži vse informacije, potrebne za izvajanje njegovih nalog v skladu </w:t>
      </w:r>
      <w:r w:rsidR="00120745" w:rsidRPr="00215B2F">
        <w:rPr>
          <w:rFonts w:ascii="Arial" w:eastAsia="Arial" w:hAnsi="Arial" w:cs="Arial"/>
          <w:sz w:val="20"/>
          <w:szCs w:val="20"/>
        </w:rPr>
        <w:t>s</w:t>
      </w:r>
      <w:r w:rsidRPr="00215B2F">
        <w:rPr>
          <w:rFonts w:ascii="Arial" w:eastAsia="Arial" w:hAnsi="Arial" w:cs="Arial"/>
          <w:sz w:val="20"/>
          <w:szCs w:val="20"/>
        </w:rPr>
        <w:t xml:space="preserve"> 35.</w:t>
      </w:r>
      <w:r w:rsidR="00E07503" w:rsidRPr="00215B2F">
        <w:rPr>
          <w:rFonts w:ascii="Arial" w:eastAsia="Arial" w:hAnsi="Arial" w:cs="Arial"/>
          <w:sz w:val="20"/>
          <w:szCs w:val="20"/>
        </w:rPr>
        <w:t> </w:t>
      </w:r>
      <w:r w:rsidR="00120745" w:rsidRPr="00215B2F">
        <w:rPr>
          <w:rFonts w:ascii="Arial" w:eastAsia="Arial" w:hAnsi="Arial" w:cs="Arial"/>
          <w:sz w:val="20"/>
          <w:szCs w:val="20"/>
        </w:rPr>
        <w:t xml:space="preserve">členom </w:t>
      </w:r>
      <w:r w:rsidRPr="00215B2F">
        <w:rPr>
          <w:rFonts w:ascii="Arial" w:eastAsia="Arial" w:hAnsi="Arial" w:cs="Arial"/>
          <w:sz w:val="20"/>
          <w:szCs w:val="20"/>
        </w:rPr>
        <w:t>Uredbe 1093/2010/EU.</w:t>
      </w:r>
    </w:p>
    <w:p w14:paraId="253A8BAA"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BB9A6DF" w14:textId="00A5381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w:t>
      </w:r>
      <w:r w:rsidR="00120745" w:rsidRPr="00215B2F">
        <w:rPr>
          <w:rFonts w:ascii="Arial" w:eastAsia="Arial" w:hAnsi="Arial" w:cs="Arial"/>
          <w:sz w:val="20"/>
          <w:szCs w:val="20"/>
        </w:rPr>
        <w:t xml:space="preserve">v skladu z 19. členom Uredbe 1093/2010/EU </w:t>
      </w:r>
      <w:r w:rsidRPr="00215B2F">
        <w:rPr>
          <w:rFonts w:ascii="Arial" w:eastAsia="Arial" w:hAnsi="Arial" w:cs="Arial"/>
          <w:sz w:val="20"/>
          <w:szCs w:val="20"/>
        </w:rPr>
        <w:t>obvesti Evropski bančni organ, če pristojni organ druge države članice Banki Slovenije ne predloži bistvenih informacij za izvajanje nadzora nad bankami in glede poslovanja bank držav članic v Republiki Sloveniji ali če zavrne zahtevo Banke Slovenije za sodelovanje, zlasti glede izmenjave pomembnih informacij v zvezi z opravljanjem nadzora, oziroma če se na tako zahtevo Banke Slovenije ne odzove v razumnem roku.</w:t>
      </w:r>
    </w:p>
    <w:p w14:paraId="2C439BE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8C15738"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6" w:name="_Ref202960265"/>
      <w:r w:rsidRPr="00215B2F">
        <w:rPr>
          <w:rFonts w:ascii="Arial" w:eastAsia="Arial" w:hAnsi="Arial" w:cs="Arial"/>
          <w:b/>
          <w:bCs/>
          <w:sz w:val="20"/>
          <w:szCs w:val="20"/>
        </w:rPr>
        <w:t>člen</w:t>
      </w:r>
      <w:bookmarkEnd w:id="46"/>
    </w:p>
    <w:p w14:paraId="4EF95264" w14:textId="77777777" w:rsidR="00D91782" w:rsidRPr="00215B2F" w:rsidRDefault="00D91782" w:rsidP="00FD5520">
      <w:pPr>
        <w:pStyle w:val="Slog1"/>
        <w:shd w:val="clear" w:color="auto" w:fill="FFFFFF" w:themeFill="background1"/>
        <w:rPr>
          <w:sz w:val="20"/>
          <w:szCs w:val="20"/>
        </w:rPr>
      </w:pPr>
      <w:r w:rsidRPr="00215B2F">
        <w:rPr>
          <w:sz w:val="20"/>
          <w:szCs w:val="20"/>
        </w:rPr>
        <w:t>(obveščanje organov Evropske unije)</w:t>
      </w:r>
    </w:p>
    <w:p w14:paraId="4DDAB466" w14:textId="77777777" w:rsidR="00D91782" w:rsidRPr="00215B2F" w:rsidRDefault="00D91782" w:rsidP="00FD5520">
      <w:pPr>
        <w:pStyle w:val="Slog1"/>
        <w:shd w:val="clear" w:color="auto" w:fill="FFFFFF" w:themeFill="background1"/>
        <w:jc w:val="both"/>
        <w:rPr>
          <w:sz w:val="20"/>
          <w:szCs w:val="20"/>
        </w:rPr>
      </w:pPr>
    </w:p>
    <w:p w14:paraId="5A478060" w14:textId="4966C9F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Slovenije obvešča Komisijo, Evropski odbor</w:t>
      </w:r>
      <w:r w:rsidR="000067FA" w:rsidRPr="00215B2F">
        <w:rPr>
          <w:rFonts w:ascii="Arial" w:eastAsia="Arial" w:hAnsi="Arial" w:cs="Arial"/>
          <w:sz w:val="20"/>
          <w:szCs w:val="20"/>
        </w:rPr>
        <w:t xml:space="preserve"> za bančništvo</w:t>
      </w:r>
      <w:r w:rsidRPr="00215B2F">
        <w:rPr>
          <w:rFonts w:ascii="Arial" w:eastAsia="Arial" w:hAnsi="Arial" w:cs="Arial"/>
          <w:sz w:val="20"/>
          <w:szCs w:val="20"/>
        </w:rPr>
        <w:t>, Evropski bančni organ, Evropsko centralno banko in druge organe Evropske unije v skladu s predpisi Evropske unije.</w:t>
      </w:r>
    </w:p>
    <w:p w14:paraId="0414BC1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A818B30"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r w:rsidRPr="00215B2F">
        <w:rPr>
          <w:rFonts w:ascii="Arial" w:eastAsia="Arial" w:hAnsi="Arial" w:cs="Arial"/>
          <w:sz w:val="20"/>
          <w:szCs w:val="20"/>
        </w:rPr>
        <w:t xml:space="preserve">3. POGLAVJE: </w:t>
      </w:r>
      <w:r w:rsidRPr="00215B2F">
        <w:rPr>
          <w:rFonts w:ascii="Arial" w:eastAsia="Arial" w:hAnsi="Arial" w:cs="Arial"/>
          <w:sz w:val="20"/>
          <w:szCs w:val="20"/>
        </w:rPr>
        <w:br/>
        <w:t>STATUSNI USTROJ BANKE</w:t>
      </w:r>
    </w:p>
    <w:p w14:paraId="46C5846F"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2276618E" w14:textId="075E17F8" w:rsidR="00D91782" w:rsidRPr="00215B2F" w:rsidRDefault="00D91782" w:rsidP="00FD5520">
      <w:pPr>
        <w:pStyle w:val="Slog2"/>
        <w:shd w:val="clear" w:color="auto" w:fill="FFFFFF" w:themeFill="background1"/>
        <w:rPr>
          <w:sz w:val="20"/>
          <w:szCs w:val="20"/>
        </w:rPr>
      </w:pPr>
      <w:r w:rsidRPr="00215B2F">
        <w:rPr>
          <w:sz w:val="20"/>
          <w:szCs w:val="20"/>
        </w:rPr>
        <w:t>3.1 SPLOŠNE DOLOČBE</w:t>
      </w:r>
    </w:p>
    <w:p w14:paraId="32894626"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754F72C"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7" w:name="_Ref202960270"/>
      <w:r w:rsidRPr="00215B2F">
        <w:rPr>
          <w:rFonts w:ascii="Arial" w:eastAsia="Arial" w:hAnsi="Arial" w:cs="Arial"/>
          <w:b/>
          <w:bCs/>
          <w:sz w:val="20"/>
          <w:szCs w:val="20"/>
        </w:rPr>
        <w:t>člen</w:t>
      </w:r>
      <w:bookmarkEnd w:id="47"/>
    </w:p>
    <w:p w14:paraId="67E2BA08" w14:textId="77777777" w:rsidR="00D91782" w:rsidRPr="00215B2F" w:rsidRDefault="00D91782" w:rsidP="00FD5520">
      <w:pPr>
        <w:pStyle w:val="Slog1"/>
        <w:shd w:val="clear" w:color="auto" w:fill="FFFFFF" w:themeFill="background1"/>
        <w:rPr>
          <w:sz w:val="20"/>
          <w:szCs w:val="20"/>
        </w:rPr>
      </w:pPr>
      <w:r w:rsidRPr="00215B2F">
        <w:rPr>
          <w:sz w:val="20"/>
          <w:szCs w:val="20"/>
        </w:rPr>
        <w:t>(organiziranost kot delniška družba)</w:t>
      </w:r>
    </w:p>
    <w:p w14:paraId="0007AD23" w14:textId="77777777" w:rsidR="00D91782" w:rsidRPr="00215B2F" w:rsidRDefault="00D91782" w:rsidP="00FD5520">
      <w:pPr>
        <w:pStyle w:val="Slog1"/>
        <w:shd w:val="clear" w:color="auto" w:fill="FFFFFF" w:themeFill="background1"/>
        <w:jc w:val="both"/>
        <w:rPr>
          <w:sz w:val="20"/>
          <w:szCs w:val="20"/>
        </w:rPr>
      </w:pPr>
    </w:p>
    <w:p w14:paraId="4189BE3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mora biti organizirana v pravnoorganizacijski obliki delniške družbe ali evropske delniške družbe.</w:t>
      </w:r>
    </w:p>
    <w:p w14:paraId="3CC6ADAB"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C539ED9" w14:textId="3FCA2A6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(2) Za banko se uporabljajo določbe ZGD-1, ki veljajo za delniške družbe ali evropske delniške družbe, če ni s tem zakonom določeno</w:t>
      </w:r>
      <w:r w:rsidR="00E07503" w:rsidRPr="00215B2F">
        <w:rPr>
          <w:rFonts w:ascii="Arial" w:eastAsia="Arial" w:hAnsi="Arial" w:cs="Arial"/>
          <w:sz w:val="20"/>
          <w:szCs w:val="20"/>
        </w:rPr>
        <w:t xml:space="preserve"> drugače</w:t>
      </w:r>
      <w:r w:rsidRPr="00215B2F">
        <w:rPr>
          <w:rFonts w:ascii="Arial" w:eastAsia="Arial" w:hAnsi="Arial" w:cs="Arial"/>
          <w:sz w:val="20"/>
          <w:szCs w:val="20"/>
        </w:rPr>
        <w:t>.</w:t>
      </w:r>
    </w:p>
    <w:p w14:paraId="0F01C1E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17870F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8" w:name="_Ref202960279"/>
      <w:r w:rsidRPr="00215B2F">
        <w:rPr>
          <w:rFonts w:ascii="Arial" w:eastAsia="Arial" w:hAnsi="Arial" w:cs="Arial"/>
          <w:b/>
          <w:bCs/>
          <w:sz w:val="20"/>
          <w:szCs w:val="20"/>
        </w:rPr>
        <w:t>člen</w:t>
      </w:r>
      <w:bookmarkEnd w:id="48"/>
    </w:p>
    <w:p w14:paraId="3298DB75" w14:textId="77777777" w:rsidR="00D91782" w:rsidRPr="00215B2F" w:rsidRDefault="00D91782" w:rsidP="00FD5520">
      <w:pPr>
        <w:pStyle w:val="Slog1"/>
        <w:shd w:val="clear" w:color="auto" w:fill="FFFFFF" w:themeFill="background1"/>
        <w:rPr>
          <w:sz w:val="20"/>
          <w:szCs w:val="20"/>
        </w:rPr>
      </w:pPr>
      <w:r w:rsidRPr="00215B2F">
        <w:rPr>
          <w:sz w:val="20"/>
          <w:szCs w:val="20"/>
        </w:rPr>
        <w:t>(uporaba imena)</w:t>
      </w:r>
    </w:p>
    <w:p w14:paraId="2D27F278" w14:textId="77777777" w:rsidR="00D91782" w:rsidRPr="00215B2F" w:rsidRDefault="00D91782" w:rsidP="00FD5520">
      <w:pPr>
        <w:pStyle w:val="Slog1"/>
        <w:shd w:val="clear" w:color="auto" w:fill="FFFFFF" w:themeFill="background1"/>
        <w:jc w:val="both"/>
        <w:rPr>
          <w:sz w:val="20"/>
          <w:szCs w:val="20"/>
        </w:rPr>
      </w:pPr>
    </w:p>
    <w:p w14:paraId="708DACB3" w14:textId="26311EF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V sodni register se ne sme vpisati firma, ki vsebuje besede »banka«, »kreditna institucija« ali »hranilnica« ali izpeljanke iz teh besed, če pravna oseba ni pridobila dovoljenja pristojnega organa za opravljanje bančnih storitev</w:t>
      </w:r>
      <w:r w:rsidR="00120745" w:rsidRPr="00215B2F">
        <w:rPr>
          <w:rFonts w:ascii="Arial" w:eastAsia="Arial" w:hAnsi="Arial" w:cs="Arial"/>
          <w:sz w:val="20"/>
          <w:szCs w:val="20"/>
        </w:rPr>
        <w:t xml:space="preserve"> v skladu s tem zakonom</w:t>
      </w:r>
      <w:r w:rsidRPr="00215B2F">
        <w:rPr>
          <w:rFonts w:ascii="Arial" w:eastAsia="Arial" w:hAnsi="Arial" w:cs="Arial"/>
          <w:sz w:val="20"/>
          <w:szCs w:val="20"/>
        </w:rPr>
        <w:t>.</w:t>
      </w:r>
    </w:p>
    <w:p w14:paraId="5B740286"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6273755" w14:textId="176D697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V sodni register se ne sme vpisati firma, ki vsebuje besedi »kreditna družba« ali izpeljanke iz teh besed, če pravna oseba ni pridobila dovoljenja pristojnega organa za opravljanje investicijskih storitev in poslov kot kreditna družba.</w:t>
      </w:r>
    </w:p>
    <w:p w14:paraId="7F4BBBB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982655D" w14:textId="71EF2AD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Če uporaba firme ali druge oznake banke države članice, ki opravlja storitve v Republiki Sloveniji, ustvarja ali bi lahko ustvarila zmedo med uporabniki, lahko Banka Slovenije od te banke zahteva, da uporabi dodatne znake, s katerimi se odpravijo nejasnosti.</w:t>
      </w:r>
    </w:p>
    <w:p w14:paraId="6A3798D6"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A775E15" w14:textId="49C9C327" w:rsidR="00D91782" w:rsidRPr="00215B2F" w:rsidRDefault="00D91CBF"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3.2 USTANOVNI KAPITAL IN DELNICE BANKE</w:t>
      </w:r>
    </w:p>
    <w:p w14:paraId="64D2AFA9" w14:textId="77777777" w:rsidR="00D91CBF" w:rsidRPr="00215B2F" w:rsidRDefault="00D91CBF" w:rsidP="00FD5520">
      <w:pPr>
        <w:shd w:val="clear" w:color="auto" w:fill="FFFFFF" w:themeFill="background1"/>
        <w:spacing w:after="0" w:line="240" w:lineRule="auto"/>
        <w:jc w:val="center"/>
        <w:rPr>
          <w:rFonts w:ascii="Arial" w:eastAsia="Arial" w:hAnsi="Arial" w:cs="Arial"/>
          <w:sz w:val="20"/>
          <w:szCs w:val="20"/>
        </w:rPr>
      </w:pPr>
    </w:p>
    <w:p w14:paraId="41C05C28"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9" w:name="_Ref202960289"/>
      <w:r w:rsidRPr="00215B2F">
        <w:rPr>
          <w:rFonts w:ascii="Arial" w:eastAsia="Arial" w:hAnsi="Arial" w:cs="Arial"/>
          <w:b/>
          <w:bCs/>
          <w:sz w:val="20"/>
          <w:szCs w:val="20"/>
        </w:rPr>
        <w:t>člen</w:t>
      </w:r>
      <w:bookmarkEnd w:id="49"/>
    </w:p>
    <w:p w14:paraId="04D543BD" w14:textId="77777777" w:rsidR="00D91782" w:rsidRPr="00215B2F" w:rsidRDefault="00D91782" w:rsidP="00FD5520">
      <w:pPr>
        <w:pStyle w:val="Slog1"/>
        <w:shd w:val="clear" w:color="auto" w:fill="FFFFFF" w:themeFill="background1"/>
        <w:rPr>
          <w:sz w:val="20"/>
          <w:szCs w:val="20"/>
        </w:rPr>
      </w:pPr>
      <w:r w:rsidRPr="00215B2F">
        <w:rPr>
          <w:sz w:val="20"/>
          <w:szCs w:val="20"/>
        </w:rPr>
        <w:t>(ustanovni kapital banke)</w:t>
      </w:r>
    </w:p>
    <w:p w14:paraId="049467C8" w14:textId="77777777" w:rsidR="00D91782" w:rsidRPr="00215B2F" w:rsidRDefault="00D91782" w:rsidP="00FD5520">
      <w:pPr>
        <w:pStyle w:val="Slog1"/>
        <w:shd w:val="clear" w:color="auto" w:fill="FFFFFF" w:themeFill="background1"/>
        <w:jc w:val="both"/>
        <w:rPr>
          <w:sz w:val="20"/>
          <w:szCs w:val="20"/>
        </w:rPr>
      </w:pPr>
    </w:p>
    <w:p w14:paraId="4C5E070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Najnižji znesek ustanovnega kapitala banke je 5.000.000 eurov.</w:t>
      </w:r>
    </w:p>
    <w:p w14:paraId="4039CC5A"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E4040D4" w14:textId="6A4665E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Ustanovni kapital banke vključuje eno ali več postavk iz točk (a) do (e) prvega odstavka 26. člena Uredbe 575/2013/EU.</w:t>
      </w:r>
    </w:p>
    <w:p w14:paraId="1203E21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A04E3AC"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0" w:name="_Ref202960295"/>
      <w:r w:rsidRPr="00215B2F">
        <w:rPr>
          <w:rFonts w:ascii="Arial" w:eastAsia="Arial" w:hAnsi="Arial" w:cs="Arial"/>
          <w:b/>
          <w:bCs/>
          <w:sz w:val="20"/>
          <w:szCs w:val="20"/>
        </w:rPr>
        <w:t>člen</w:t>
      </w:r>
      <w:bookmarkEnd w:id="50"/>
    </w:p>
    <w:p w14:paraId="36AE2699" w14:textId="77777777" w:rsidR="00D91782" w:rsidRPr="00215B2F" w:rsidRDefault="00D91782" w:rsidP="00FD5520">
      <w:pPr>
        <w:pStyle w:val="Slog1"/>
        <w:shd w:val="clear" w:color="auto" w:fill="FFFFFF" w:themeFill="background1"/>
        <w:rPr>
          <w:sz w:val="20"/>
          <w:szCs w:val="20"/>
        </w:rPr>
      </w:pPr>
      <w:r w:rsidRPr="00215B2F">
        <w:rPr>
          <w:sz w:val="20"/>
          <w:szCs w:val="20"/>
        </w:rPr>
        <w:t>(delnice banke)</w:t>
      </w:r>
    </w:p>
    <w:p w14:paraId="520B895B" w14:textId="77777777" w:rsidR="00D91782" w:rsidRPr="00215B2F" w:rsidRDefault="00D91782" w:rsidP="00FD5520">
      <w:pPr>
        <w:pStyle w:val="Slog1"/>
        <w:shd w:val="clear" w:color="auto" w:fill="FFFFFF" w:themeFill="background1"/>
        <w:jc w:val="both"/>
        <w:rPr>
          <w:sz w:val="20"/>
          <w:szCs w:val="20"/>
        </w:rPr>
      </w:pPr>
    </w:p>
    <w:p w14:paraId="1FA156B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Delnice banke se lahko glasijo le na ime.</w:t>
      </w:r>
    </w:p>
    <w:p w14:paraId="40347585"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B890247" w14:textId="60C3522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Delnice banke se lahko vplačajo samo v denarju.</w:t>
      </w:r>
    </w:p>
    <w:p w14:paraId="4C39CEE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2291611" w14:textId="062B752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Prejšnji odstavek se ne uporablja v primeru:</w:t>
      </w:r>
    </w:p>
    <w:p w14:paraId="57A8EA25"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327CCC7" w14:textId="77777777" w:rsidR="00730AA1" w:rsidRPr="00215B2F" w:rsidRDefault="00D91782">
      <w:pPr>
        <w:pStyle w:val="tevilnatoka"/>
        <w:numPr>
          <w:ilvl w:val="0"/>
          <w:numId w:val="42"/>
        </w:numPr>
        <w:shd w:val="clear" w:color="auto" w:fill="FFFFFF" w:themeFill="background1"/>
        <w:tabs>
          <w:tab w:val="clear" w:pos="425"/>
        </w:tabs>
        <w:rPr>
          <w:rFonts w:cs="Arial"/>
          <w:bCs/>
          <w:sz w:val="20"/>
          <w:szCs w:val="20"/>
        </w:rPr>
      </w:pPr>
      <w:r w:rsidRPr="00215B2F">
        <w:rPr>
          <w:rFonts w:eastAsia="Arial" w:cs="Arial"/>
          <w:sz w:val="20"/>
          <w:szCs w:val="20"/>
        </w:rPr>
        <w:t>ustanovitve banke ali povečanja osnovnega kapitala banke zaradi izvedbe združitve ali delitve;</w:t>
      </w:r>
    </w:p>
    <w:p w14:paraId="0BE0C8D1" w14:textId="77777777" w:rsidR="00730AA1" w:rsidRPr="00215B2F" w:rsidRDefault="00D91782">
      <w:pPr>
        <w:pStyle w:val="tevilnatoka"/>
        <w:numPr>
          <w:ilvl w:val="0"/>
          <w:numId w:val="42"/>
        </w:numPr>
        <w:shd w:val="clear" w:color="auto" w:fill="FFFFFF" w:themeFill="background1"/>
        <w:tabs>
          <w:tab w:val="clear" w:pos="425"/>
        </w:tabs>
        <w:rPr>
          <w:rFonts w:cs="Arial"/>
          <w:bCs/>
          <w:sz w:val="20"/>
          <w:szCs w:val="20"/>
        </w:rPr>
      </w:pPr>
      <w:r w:rsidRPr="00215B2F">
        <w:rPr>
          <w:rFonts w:eastAsia="Arial" w:cs="Arial"/>
          <w:sz w:val="20"/>
          <w:szCs w:val="20"/>
        </w:rPr>
        <w:t>povečanja osnovnega kapitala banke iz sredstev banke;</w:t>
      </w:r>
    </w:p>
    <w:p w14:paraId="252A216D" w14:textId="77777777" w:rsidR="00730AA1" w:rsidRPr="00215B2F" w:rsidRDefault="00D91782">
      <w:pPr>
        <w:pStyle w:val="tevilnatoka"/>
        <w:numPr>
          <w:ilvl w:val="0"/>
          <w:numId w:val="42"/>
        </w:numPr>
        <w:shd w:val="clear" w:color="auto" w:fill="FFFFFF" w:themeFill="background1"/>
        <w:tabs>
          <w:tab w:val="clear" w:pos="425"/>
        </w:tabs>
        <w:rPr>
          <w:rFonts w:cs="Arial"/>
          <w:bCs/>
          <w:sz w:val="20"/>
          <w:szCs w:val="20"/>
        </w:rPr>
      </w:pPr>
      <w:r w:rsidRPr="00215B2F">
        <w:rPr>
          <w:rFonts w:eastAsia="Arial" w:cs="Arial"/>
          <w:sz w:val="20"/>
          <w:szCs w:val="20"/>
        </w:rPr>
        <w:t>povečanja osnovnega kapitala banke na podlagi ukrepov zgodnjega posredovanja v skladu s tem zakonom;</w:t>
      </w:r>
    </w:p>
    <w:p w14:paraId="752402A5" w14:textId="5C50942B" w:rsidR="00D91782" w:rsidRPr="00215B2F" w:rsidRDefault="00D91782">
      <w:pPr>
        <w:pStyle w:val="tevilnatoka"/>
        <w:numPr>
          <w:ilvl w:val="0"/>
          <w:numId w:val="42"/>
        </w:numPr>
        <w:shd w:val="clear" w:color="auto" w:fill="FFFFFF" w:themeFill="background1"/>
        <w:tabs>
          <w:tab w:val="clear" w:pos="425"/>
        </w:tabs>
        <w:rPr>
          <w:rFonts w:cs="Arial"/>
          <w:bCs/>
          <w:sz w:val="20"/>
          <w:szCs w:val="20"/>
        </w:rPr>
      </w:pPr>
      <w:r w:rsidRPr="00215B2F">
        <w:rPr>
          <w:rFonts w:eastAsia="Arial" w:cs="Arial"/>
          <w:sz w:val="20"/>
          <w:szCs w:val="20"/>
        </w:rPr>
        <w:t>povečanja osnovnega kapitala banke na podlagi ukrepov za reševanje banke v skladu z zakonom, ki ureja reševanje in postopke prenehanja bank.</w:t>
      </w:r>
    </w:p>
    <w:p w14:paraId="239592A6"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18657E6" w14:textId="78EF108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Kot stvarni vložek pri povečanju osnovnega kapitala banke se za namen</w:t>
      </w:r>
      <w:r w:rsidR="00021182" w:rsidRPr="00215B2F">
        <w:rPr>
          <w:rFonts w:ascii="Arial" w:eastAsia="Arial" w:hAnsi="Arial" w:cs="Arial"/>
          <w:sz w:val="20"/>
          <w:szCs w:val="20"/>
        </w:rPr>
        <w:t>e</w:t>
      </w:r>
      <w:r w:rsidRPr="00215B2F">
        <w:rPr>
          <w:rFonts w:ascii="Arial" w:eastAsia="Arial" w:hAnsi="Arial" w:cs="Arial"/>
          <w:sz w:val="20"/>
          <w:szCs w:val="20"/>
        </w:rPr>
        <w:t xml:space="preserve"> tega zakona ne šteje</w:t>
      </w:r>
      <w:r w:rsidR="00021182" w:rsidRPr="00215B2F">
        <w:rPr>
          <w:rFonts w:ascii="Arial" w:eastAsia="Arial" w:hAnsi="Arial" w:cs="Arial"/>
          <w:sz w:val="20"/>
          <w:szCs w:val="20"/>
        </w:rPr>
        <w:t>jo</w:t>
      </w:r>
      <w:r w:rsidRPr="00215B2F">
        <w:rPr>
          <w:rFonts w:ascii="Arial" w:eastAsia="Arial" w:hAnsi="Arial" w:cs="Arial"/>
          <w:sz w:val="20"/>
          <w:szCs w:val="20"/>
        </w:rPr>
        <w:t>:</w:t>
      </w:r>
    </w:p>
    <w:p w14:paraId="7272387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6510D9F" w14:textId="222FC7BB" w:rsidR="00730AA1" w:rsidRPr="00215B2F" w:rsidRDefault="00D91782">
      <w:pPr>
        <w:pStyle w:val="tevilnatoka"/>
        <w:numPr>
          <w:ilvl w:val="0"/>
          <w:numId w:val="43"/>
        </w:numPr>
        <w:shd w:val="clear" w:color="auto" w:fill="FFFFFF" w:themeFill="background1"/>
        <w:tabs>
          <w:tab w:val="clear" w:pos="425"/>
        </w:tabs>
        <w:rPr>
          <w:rFonts w:cs="Arial"/>
          <w:bCs/>
          <w:sz w:val="20"/>
          <w:szCs w:val="20"/>
        </w:rPr>
      </w:pPr>
      <w:r w:rsidRPr="00215B2F">
        <w:rPr>
          <w:rFonts w:eastAsia="Arial" w:cs="Arial"/>
          <w:sz w:val="20"/>
          <w:szCs w:val="20"/>
        </w:rPr>
        <w:t>izročitev zamenljivih kapitalskih instrumentov, ki jih je izdala banka in ki izpolnjujejo pogoje v skladu z Uredb</w:t>
      </w:r>
      <w:r w:rsidR="00120745" w:rsidRPr="00215B2F">
        <w:rPr>
          <w:rFonts w:eastAsia="Arial" w:cs="Arial"/>
          <w:sz w:val="20"/>
          <w:szCs w:val="20"/>
        </w:rPr>
        <w:t>o</w:t>
      </w:r>
      <w:r w:rsidRPr="00215B2F">
        <w:rPr>
          <w:rFonts w:eastAsia="Arial" w:cs="Arial"/>
          <w:sz w:val="20"/>
          <w:szCs w:val="20"/>
        </w:rPr>
        <w:t xml:space="preserve"> 575/2013/EU, če so bili kapitalski instrumenti vplačani v denarju;</w:t>
      </w:r>
    </w:p>
    <w:p w14:paraId="4713DDE3" w14:textId="445830B3" w:rsidR="00D91782" w:rsidRPr="00215B2F" w:rsidRDefault="00D91782" w:rsidP="00543D80">
      <w:pPr>
        <w:pStyle w:val="tevilnatoka"/>
        <w:rPr>
          <w:rFonts w:cs="Arial"/>
          <w:bCs/>
          <w:sz w:val="20"/>
          <w:szCs w:val="20"/>
        </w:rPr>
      </w:pPr>
      <w:r w:rsidRPr="00215B2F">
        <w:rPr>
          <w:rFonts w:eastAsia="Arial" w:cs="Arial"/>
          <w:sz w:val="20"/>
          <w:szCs w:val="20"/>
        </w:rPr>
        <w:t>denarne terjatve, ki pripadajo zaposlenim iz naslova izplačila variabilnega dela prejemkov, ki jim jih zagotavlja banka v skladu s tem zakonom.</w:t>
      </w:r>
    </w:p>
    <w:p w14:paraId="04553BEB"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0342B29" w14:textId="4494322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Delnice banke morajo biti v celoti vplačane pred vpisom ustanovitve oziroma povečanja osnovnega kapitala v sodni register.</w:t>
      </w:r>
    </w:p>
    <w:p w14:paraId="6EA4D535"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C68B662" w14:textId="3532885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Za delnice banke, ki so delnice z nominalnim zneskom, se ne uporablja določba drugega odstavka 172. člena ZGD-1, ki določa, da se morajo delnice z nominalnim zneskom glasiti najmanj na en euro ali njegov večkratnik, za kosovne delnice banke pa se ne uporablja določba tretjega odstavka 172. člena ZGD-1, ki določa, da znesek v osnovnem kapitalu, ki pripada posamezni kosovni delnici, ne sme biti nižji od enega eura.</w:t>
      </w:r>
    </w:p>
    <w:p w14:paraId="2488F52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829BC6B" w14:textId="581F5DD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(7) Banka Slovenije</w:t>
      </w:r>
      <w:r w:rsidR="00162392" w:rsidRPr="00215B2F">
        <w:rPr>
          <w:rFonts w:ascii="Arial" w:eastAsia="Arial" w:hAnsi="Arial" w:cs="Arial"/>
          <w:sz w:val="20"/>
          <w:szCs w:val="20"/>
        </w:rPr>
        <w:t xml:space="preserve"> lahko</w:t>
      </w:r>
      <w:r w:rsidRPr="00215B2F">
        <w:rPr>
          <w:rFonts w:ascii="Arial" w:eastAsia="Arial" w:hAnsi="Arial" w:cs="Arial"/>
          <w:sz w:val="20"/>
          <w:szCs w:val="20"/>
        </w:rPr>
        <w:t xml:space="preserve"> predpiše merila za stvarne vložke, ki se upoštevajo pri povečanju osnovnega kapitala banke v skladu s 3. točko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31DFC2C5" w14:textId="77777777" w:rsidR="003E05E7" w:rsidRPr="00215B2F" w:rsidRDefault="003E05E7" w:rsidP="00FD5520">
      <w:pPr>
        <w:shd w:val="clear" w:color="auto" w:fill="FFFFFF" w:themeFill="background1"/>
        <w:spacing w:after="0" w:line="240" w:lineRule="auto"/>
        <w:jc w:val="both"/>
        <w:rPr>
          <w:rFonts w:ascii="Arial" w:eastAsia="Arial" w:hAnsi="Arial" w:cs="Arial"/>
          <w:sz w:val="20"/>
          <w:szCs w:val="20"/>
        </w:rPr>
      </w:pPr>
    </w:p>
    <w:p w14:paraId="242E4783" w14:textId="0D63347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(8) Statut banke lahko določi pooblastilo upravi za povečanje osnovnega kapitala banke (odobreni kapital), pri čemer se ne uporabljata zahtevi iz ZGD-1, da znesek odobrenega kapitala ne sme preseči polovice osnovnega kapitala, ki je obstajal v času, ko je bil statut spremenjen. Statut banke lahko določi tudi pogoje povečanja osnovnega kapitala z odobrenim kapitalom.</w:t>
      </w:r>
    </w:p>
    <w:p w14:paraId="005B8164"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E7A42FC" w14:textId="1F151BD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(9) Ne glede na ZGD-1 sme pri pogojnem povečanju osnovnega kapitala banke najmanjši emisijski znesek delnic, izdanih v postopku pogojnega povečanja osnovnega kapitala, preseči polovico osnovnega kapitala, ki obstaja med sklepanjem o pogojnem povečanju kapitala.</w:t>
      </w:r>
    </w:p>
    <w:p w14:paraId="5368819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B40084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1" w:name="_Ref202960307"/>
      <w:r w:rsidRPr="00215B2F">
        <w:rPr>
          <w:rFonts w:ascii="Arial" w:eastAsia="Arial" w:hAnsi="Arial" w:cs="Arial"/>
          <w:b/>
          <w:bCs/>
          <w:sz w:val="20"/>
          <w:szCs w:val="20"/>
        </w:rPr>
        <w:t>člen</w:t>
      </w:r>
      <w:bookmarkEnd w:id="51"/>
    </w:p>
    <w:p w14:paraId="58575DAD" w14:textId="77777777" w:rsidR="00D91782" w:rsidRPr="00215B2F" w:rsidRDefault="00D91782" w:rsidP="00FD5520">
      <w:pPr>
        <w:pStyle w:val="Slog1"/>
        <w:shd w:val="clear" w:color="auto" w:fill="FFFFFF" w:themeFill="background1"/>
        <w:rPr>
          <w:sz w:val="20"/>
          <w:szCs w:val="20"/>
        </w:rPr>
      </w:pPr>
      <w:r w:rsidRPr="00215B2F">
        <w:rPr>
          <w:sz w:val="20"/>
          <w:szCs w:val="20"/>
        </w:rPr>
        <w:t>(ničnost skupščinskih sklepov)</w:t>
      </w:r>
    </w:p>
    <w:p w14:paraId="2AB1AAE3" w14:textId="77777777" w:rsidR="00D91782" w:rsidRPr="00215B2F" w:rsidRDefault="00D91782" w:rsidP="00FD5520">
      <w:pPr>
        <w:pStyle w:val="Slog1"/>
        <w:shd w:val="clear" w:color="auto" w:fill="FFFFFF" w:themeFill="background1"/>
        <w:jc w:val="both"/>
        <w:rPr>
          <w:sz w:val="20"/>
          <w:szCs w:val="20"/>
        </w:rPr>
      </w:pPr>
    </w:p>
    <w:p w14:paraId="7CF595A9" w14:textId="37B03B2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Poleg primerov, določenih v ZGD-1, je sklep skupščine ničen, če je v nasprotju z ukrepom, ki ga na podlagi tega zakona ali Uredbe 1024/2013/EU banki izreče Banka Slovenije ali Evropska centralna banka kot pristojni organ, ali če se s skupščinskim sklepom zmanjšujejo učinki ali zaobide namen takega ukrepa.</w:t>
      </w:r>
    </w:p>
    <w:p w14:paraId="6C8F05A0"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47B745F" w14:textId="7284D29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Ničnost skupščinskega sklepa zaradi razlogov iz prejšnjega odstavka lahko v šestih mesecih od vpisa sklepa skupščine v sodni register uveljavlja Banka Slovenije v zvezi z ukrepi nadzora na podlagi tega zakona ali Evropska centralna banka, kadar je izrekla ukrepe nadzora na podlagi Uredbe 1024/2013/EU.</w:t>
      </w:r>
    </w:p>
    <w:p w14:paraId="5D64790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F2C43A4" w14:textId="606BC08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Za banke, nadrejene finančne holdinge Republike Slovenije</w:t>
      </w:r>
      <w:r w:rsidR="00A704ED" w:rsidRPr="00215B2F">
        <w:rPr>
          <w:rFonts w:ascii="Arial" w:eastAsia="Arial" w:hAnsi="Arial" w:cs="Arial"/>
          <w:sz w:val="20"/>
          <w:szCs w:val="20"/>
        </w:rPr>
        <w:t xml:space="preserve">, </w:t>
      </w:r>
      <w:r w:rsidRPr="00215B2F">
        <w:rPr>
          <w:rFonts w:ascii="Arial" w:eastAsia="Arial" w:hAnsi="Arial" w:cs="Arial"/>
          <w:sz w:val="20"/>
          <w:szCs w:val="20"/>
        </w:rPr>
        <w:t>nadrejene mešane finančne holdinge Republike Slovenije</w:t>
      </w:r>
      <w:r w:rsidR="00A704ED" w:rsidRPr="00215B2F">
        <w:rPr>
          <w:rFonts w:ascii="Arial" w:eastAsia="Arial" w:hAnsi="Arial" w:cs="Arial"/>
          <w:sz w:val="20"/>
          <w:szCs w:val="20"/>
        </w:rPr>
        <w:t xml:space="preserve">, EU nadrejene finančne holdinge s sedežem v Republiki Sloveniji in </w:t>
      </w:r>
      <w:r w:rsidRPr="00215B2F">
        <w:rPr>
          <w:rFonts w:ascii="Arial" w:eastAsia="Arial" w:hAnsi="Arial" w:cs="Arial"/>
          <w:sz w:val="20"/>
          <w:szCs w:val="20"/>
        </w:rPr>
        <w:t>EU nadrejen</w:t>
      </w:r>
      <w:r w:rsidR="00A704ED" w:rsidRPr="00215B2F">
        <w:rPr>
          <w:rFonts w:ascii="Arial" w:eastAsia="Arial" w:hAnsi="Arial" w:cs="Arial"/>
          <w:sz w:val="20"/>
          <w:szCs w:val="20"/>
        </w:rPr>
        <w:t>e</w:t>
      </w:r>
      <w:r w:rsidRPr="00215B2F">
        <w:rPr>
          <w:rFonts w:ascii="Arial" w:eastAsia="Arial" w:hAnsi="Arial" w:cs="Arial"/>
          <w:sz w:val="20"/>
          <w:szCs w:val="20"/>
        </w:rPr>
        <w:t xml:space="preserve"> mešan</w:t>
      </w:r>
      <w:r w:rsidR="00A704ED" w:rsidRPr="00215B2F">
        <w:rPr>
          <w:rFonts w:ascii="Arial" w:eastAsia="Arial" w:hAnsi="Arial" w:cs="Arial"/>
          <w:sz w:val="20"/>
          <w:szCs w:val="20"/>
        </w:rPr>
        <w:t>e</w:t>
      </w:r>
      <w:r w:rsidRPr="00215B2F">
        <w:rPr>
          <w:rFonts w:ascii="Arial" w:eastAsia="Arial" w:hAnsi="Arial" w:cs="Arial"/>
          <w:sz w:val="20"/>
          <w:szCs w:val="20"/>
        </w:rPr>
        <w:t xml:space="preserve"> finančn</w:t>
      </w:r>
      <w:r w:rsidR="00A704ED" w:rsidRPr="00215B2F">
        <w:rPr>
          <w:rFonts w:ascii="Arial" w:eastAsia="Arial" w:hAnsi="Arial" w:cs="Arial"/>
          <w:sz w:val="20"/>
          <w:szCs w:val="20"/>
        </w:rPr>
        <w:t>e</w:t>
      </w:r>
      <w:r w:rsidRPr="00215B2F">
        <w:rPr>
          <w:rFonts w:ascii="Arial" w:eastAsia="Arial" w:hAnsi="Arial" w:cs="Arial"/>
          <w:sz w:val="20"/>
          <w:szCs w:val="20"/>
        </w:rPr>
        <w:t xml:space="preserve"> holding</w:t>
      </w:r>
      <w:r w:rsidR="00A704ED" w:rsidRPr="00215B2F">
        <w:rPr>
          <w:rFonts w:ascii="Arial" w:eastAsia="Arial" w:hAnsi="Arial" w:cs="Arial"/>
          <w:sz w:val="20"/>
          <w:szCs w:val="20"/>
        </w:rPr>
        <w:t>e</w:t>
      </w:r>
      <w:r w:rsidRPr="00215B2F">
        <w:rPr>
          <w:rFonts w:ascii="Arial" w:eastAsia="Arial" w:hAnsi="Arial" w:cs="Arial"/>
          <w:sz w:val="20"/>
          <w:szCs w:val="20"/>
        </w:rPr>
        <w:t xml:space="preserve"> s sedežem v Republiki Sloveniji se ne uporablja 399. člen ZGD-1.</w:t>
      </w:r>
    </w:p>
    <w:p w14:paraId="202BD06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BE6F9DA" w14:textId="7EDA26D9" w:rsidR="00D91782" w:rsidRPr="00215B2F" w:rsidRDefault="00D91782" w:rsidP="00FD5520">
      <w:pPr>
        <w:pStyle w:val="Slog3"/>
        <w:shd w:val="clear" w:color="auto" w:fill="FFFFFF" w:themeFill="background1"/>
        <w:rPr>
          <w:sz w:val="20"/>
          <w:szCs w:val="20"/>
        </w:rPr>
      </w:pPr>
      <w:r w:rsidRPr="00215B2F">
        <w:rPr>
          <w:sz w:val="20"/>
          <w:szCs w:val="20"/>
        </w:rPr>
        <w:t>3.3 DEJAVNOST BANKE</w:t>
      </w:r>
    </w:p>
    <w:p w14:paraId="770BF263"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205ECA2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2" w:name="_Ref202960315"/>
      <w:r w:rsidRPr="00215B2F">
        <w:rPr>
          <w:rFonts w:ascii="Arial" w:eastAsia="Arial" w:hAnsi="Arial" w:cs="Arial"/>
          <w:b/>
          <w:bCs/>
          <w:sz w:val="20"/>
          <w:szCs w:val="20"/>
        </w:rPr>
        <w:t>člen</w:t>
      </w:r>
      <w:bookmarkEnd w:id="52"/>
    </w:p>
    <w:p w14:paraId="35C33118" w14:textId="77777777" w:rsidR="00D91782" w:rsidRPr="00215B2F" w:rsidRDefault="00D91782" w:rsidP="00FD5520">
      <w:pPr>
        <w:pStyle w:val="Slog1"/>
        <w:shd w:val="clear" w:color="auto" w:fill="FFFFFF" w:themeFill="background1"/>
        <w:rPr>
          <w:sz w:val="20"/>
          <w:szCs w:val="20"/>
        </w:rPr>
      </w:pPr>
      <w:r w:rsidRPr="00215B2F">
        <w:rPr>
          <w:sz w:val="20"/>
          <w:szCs w:val="20"/>
        </w:rPr>
        <w:t>(opravljanje storitev)</w:t>
      </w:r>
    </w:p>
    <w:p w14:paraId="1C3F3F8F" w14:textId="77777777" w:rsidR="00D91782" w:rsidRPr="00215B2F" w:rsidRDefault="00D91782" w:rsidP="00FD5520">
      <w:pPr>
        <w:pStyle w:val="Slog1"/>
        <w:shd w:val="clear" w:color="auto" w:fill="FFFFFF" w:themeFill="background1"/>
        <w:jc w:val="both"/>
        <w:rPr>
          <w:sz w:val="20"/>
          <w:szCs w:val="20"/>
        </w:rPr>
      </w:pPr>
    </w:p>
    <w:p w14:paraId="4176229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lahko opravlja bančne storitve, finančne storitve in dodatne finančne storitve.</w:t>
      </w:r>
    </w:p>
    <w:p w14:paraId="1CDF33B4"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C1B0726" w14:textId="2582901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lahko začne opravljati storitve iz prejšnjega odstavka, ko pridobi dovoljenje za opravljanje teh storitev v skladu s tem zakonom in Uredbo 1024/2013/EU.</w:t>
      </w:r>
    </w:p>
    <w:p w14:paraId="1FA961C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8A1D3F9" w14:textId="3AF950D3" w:rsidR="00CA2A99" w:rsidRPr="00215B2F" w:rsidRDefault="00CA2A99" w:rsidP="00CA2A99">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lahko za družbe, ki so del skupine in za druge kreditne institucije, opravlja tudi storitve, iz točke (b) 18. točke prvega odstavka 4. člena Uredbe 575/2013/EU (v nadaljnjem besedilu: pomožne storitve). </w:t>
      </w:r>
    </w:p>
    <w:p w14:paraId="19123B7E" w14:textId="77777777" w:rsidR="00CA2A99" w:rsidRPr="00215B2F" w:rsidRDefault="00CA2A99" w:rsidP="00FD5520">
      <w:pPr>
        <w:shd w:val="clear" w:color="auto" w:fill="FFFFFF" w:themeFill="background1"/>
        <w:spacing w:after="0" w:line="240" w:lineRule="auto"/>
        <w:jc w:val="both"/>
        <w:rPr>
          <w:rFonts w:ascii="Arial" w:eastAsia="Arial" w:hAnsi="Arial" w:cs="Arial"/>
          <w:sz w:val="20"/>
          <w:szCs w:val="20"/>
        </w:rPr>
      </w:pPr>
    </w:p>
    <w:p w14:paraId="4AEF6D36" w14:textId="240795F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ne sme opravljati drugih dejavnosti in storitev, razen storitev iz prvega in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5E3D853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92C453A"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3" w:name="_Ref202960320"/>
      <w:r w:rsidRPr="00215B2F">
        <w:rPr>
          <w:rFonts w:ascii="Arial" w:eastAsia="Arial" w:hAnsi="Arial" w:cs="Arial"/>
          <w:b/>
          <w:bCs/>
          <w:sz w:val="20"/>
          <w:szCs w:val="20"/>
        </w:rPr>
        <w:t>člen</w:t>
      </w:r>
      <w:bookmarkEnd w:id="53"/>
    </w:p>
    <w:p w14:paraId="751D69C3" w14:textId="2A75211F" w:rsidR="00D91782" w:rsidRPr="00215B2F" w:rsidRDefault="00D91782" w:rsidP="00FD5520">
      <w:pPr>
        <w:pStyle w:val="Slog1"/>
        <w:shd w:val="clear" w:color="auto" w:fill="FFFFFF" w:themeFill="background1"/>
        <w:rPr>
          <w:sz w:val="20"/>
          <w:szCs w:val="20"/>
        </w:rPr>
      </w:pPr>
      <w:r w:rsidRPr="00215B2F">
        <w:rPr>
          <w:sz w:val="20"/>
          <w:szCs w:val="20"/>
        </w:rPr>
        <w:t>(prepoved kreditiranja in fiktivni</w:t>
      </w:r>
      <w:r w:rsidR="000158EB" w:rsidRPr="00215B2F">
        <w:rPr>
          <w:sz w:val="20"/>
          <w:szCs w:val="20"/>
        </w:rPr>
        <w:t>h</w:t>
      </w:r>
      <w:r w:rsidRPr="00215B2F">
        <w:rPr>
          <w:sz w:val="20"/>
          <w:szCs w:val="20"/>
        </w:rPr>
        <w:t xml:space="preserve"> posl</w:t>
      </w:r>
      <w:r w:rsidR="000158EB" w:rsidRPr="00215B2F">
        <w:rPr>
          <w:sz w:val="20"/>
          <w:szCs w:val="20"/>
        </w:rPr>
        <w:t>ov</w:t>
      </w:r>
      <w:r w:rsidRPr="00215B2F">
        <w:rPr>
          <w:sz w:val="20"/>
          <w:szCs w:val="20"/>
        </w:rPr>
        <w:t>)</w:t>
      </w:r>
    </w:p>
    <w:p w14:paraId="046F6743" w14:textId="77777777" w:rsidR="00D91782" w:rsidRPr="00215B2F" w:rsidRDefault="00D91782" w:rsidP="00FD5520">
      <w:pPr>
        <w:pStyle w:val="Slog1"/>
        <w:shd w:val="clear" w:color="auto" w:fill="FFFFFF" w:themeFill="background1"/>
        <w:jc w:val="both"/>
        <w:rPr>
          <w:sz w:val="20"/>
          <w:szCs w:val="20"/>
        </w:rPr>
      </w:pPr>
    </w:p>
    <w:p w14:paraId="40D92DE9" w14:textId="3D6934E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ne sme posredno ali neposredno kreditirati in dajati jamstev za nakup lastnih delnic ali delnic oziroma deležev družb, v katerih je udeležena z najmanj 20</w:t>
      </w:r>
      <w:r w:rsidRPr="00215B2F">
        <w:rPr>
          <w:rFonts w:ascii="Arial" w:eastAsia="Arial" w:hAnsi="Arial" w:cs="Arial"/>
          <w:sz w:val="20"/>
          <w:szCs w:val="20"/>
        </w:rPr>
        <w:noBreakHyphen/>
        <w:t>odstotnim deležem v kapitalu ali glasovalnih pravicah.</w:t>
      </w:r>
    </w:p>
    <w:p w14:paraId="0A8C0114"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6C322CD" w14:textId="0DE7A40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Za kreditiranje iz prejšnjega odstavka se štejejo tudi drugi pravni posli, ki so po svojem ekonomskem namenu enaki kreditu.</w:t>
      </w:r>
    </w:p>
    <w:p w14:paraId="26BBCE5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71B0689" w14:textId="4124D40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Prepoved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velja tudi za kapitalske in druge instrumente, katerih izdajatelj je banka oziroma družba, v kateri je banka udeležena z najmanj 20-odstotnim deležem v kapitalu ali glasovalnih pravicah</w:t>
      </w:r>
      <w:r w:rsidR="00450787" w:rsidRPr="00215B2F">
        <w:rPr>
          <w:rFonts w:ascii="Arial" w:eastAsia="Arial" w:hAnsi="Arial" w:cs="Arial"/>
          <w:sz w:val="20"/>
          <w:szCs w:val="20"/>
        </w:rPr>
        <w:t>,</w:t>
      </w:r>
      <w:r w:rsidRPr="00215B2F">
        <w:rPr>
          <w:rFonts w:ascii="Arial" w:eastAsia="Arial" w:hAnsi="Arial" w:cs="Arial"/>
          <w:sz w:val="20"/>
          <w:szCs w:val="20"/>
        </w:rPr>
        <w:t xml:space="preserve"> in ki se glede na svoje lastnosti lahko upoštevajo pri izračunu kapitala banke oziroma teh družb.</w:t>
      </w:r>
    </w:p>
    <w:p w14:paraId="19CC41BF"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2D69D79" w14:textId="23589EA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Za terjatve delničarja do banke iz naslova vloge na podlagi pogodbe o vodenju transakcijskega računa, hranilne vloge, denarnega depozita ali drugih pozitivnih stanj, ki so posledica običajnih bančnih transakcij in na podlagi katerih mora banka delničarju vrniti denarna sredstva, ki jih je pri banki vplačal delničar banke ali tretja oseba za račun delničarja, se ne uporablja četrti odstavek 227. člena ZGD-1.</w:t>
      </w:r>
    </w:p>
    <w:p w14:paraId="4E63ED6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A98002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4" w:name="_Ref202960327"/>
      <w:r w:rsidRPr="00215B2F">
        <w:rPr>
          <w:rFonts w:ascii="Arial" w:eastAsia="Arial" w:hAnsi="Arial" w:cs="Arial"/>
          <w:b/>
          <w:bCs/>
          <w:sz w:val="20"/>
          <w:szCs w:val="20"/>
        </w:rPr>
        <w:t>člen</w:t>
      </w:r>
      <w:bookmarkEnd w:id="54"/>
    </w:p>
    <w:p w14:paraId="0102F453" w14:textId="77777777" w:rsidR="00D91782" w:rsidRPr="00215B2F" w:rsidRDefault="00D91782" w:rsidP="00FD5520">
      <w:pPr>
        <w:pStyle w:val="Slog1"/>
        <w:shd w:val="clear" w:color="auto" w:fill="FFFFFF" w:themeFill="background1"/>
        <w:rPr>
          <w:sz w:val="20"/>
          <w:szCs w:val="20"/>
        </w:rPr>
      </w:pPr>
      <w:r w:rsidRPr="00215B2F">
        <w:rPr>
          <w:sz w:val="20"/>
          <w:szCs w:val="20"/>
        </w:rPr>
        <w:t>(sodelovanje banke pri finančnem prestrukturiranju)</w:t>
      </w:r>
    </w:p>
    <w:p w14:paraId="6963D21E" w14:textId="77777777" w:rsidR="00D91782" w:rsidRPr="00215B2F" w:rsidRDefault="00D91782" w:rsidP="00FD5520">
      <w:pPr>
        <w:pStyle w:val="Slog1"/>
        <w:shd w:val="clear" w:color="auto" w:fill="FFFFFF" w:themeFill="background1"/>
        <w:jc w:val="both"/>
        <w:rPr>
          <w:sz w:val="20"/>
          <w:szCs w:val="20"/>
        </w:rPr>
      </w:pPr>
    </w:p>
    <w:p w14:paraId="3580AB0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ki v okviru finančnega prestrukturiranja z dolžnikom, ki je pravna oseba, sklene dogovor o delnem odpustu dolga, lahko v postopku zaradi insolventnosti, ki je začet zoper tega dolžnika v 12 mesecih po sklenitvi dogovora o odpustu dolga, uveljavlja poplačilo celotnega dolga, kot da dogovor o odpustu dolga ne bi bil sklenjen.</w:t>
      </w:r>
    </w:p>
    <w:p w14:paraId="4D6B2ADF"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42F1B71" w14:textId="49F2AE1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Posojilo, ki ga banka zagotovi dolžniku, v katerem je pridobila delež v kapitalu z namenom finančnega prestrukturiranja, se v </w:t>
      </w:r>
      <w:r w:rsidR="003D43F1" w:rsidRPr="00215B2F">
        <w:rPr>
          <w:rFonts w:ascii="Arial" w:eastAsia="Arial" w:hAnsi="Arial" w:cs="Arial"/>
          <w:sz w:val="20"/>
          <w:szCs w:val="20"/>
        </w:rPr>
        <w:t>poz</w:t>
      </w:r>
      <w:r w:rsidRPr="00215B2F">
        <w:rPr>
          <w:rFonts w:ascii="Arial" w:eastAsia="Arial" w:hAnsi="Arial" w:cs="Arial"/>
          <w:sz w:val="20"/>
          <w:szCs w:val="20"/>
        </w:rPr>
        <w:t>nejšem stečajnem postopku ali postopku prisilne poravnave nad tem dolžnikom ne šteje kot premoženje družbe.</w:t>
      </w:r>
    </w:p>
    <w:p w14:paraId="3E3C9258"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34C72112" w14:textId="7E0E5E8E" w:rsidR="00D91782" w:rsidRPr="00215B2F" w:rsidRDefault="00D91782" w:rsidP="00FD5520">
      <w:pPr>
        <w:pStyle w:val="Slog3"/>
        <w:shd w:val="clear" w:color="auto" w:fill="FFFFFF" w:themeFill="background1"/>
        <w:rPr>
          <w:sz w:val="20"/>
          <w:szCs w:val="20"/>
        </w:rPr>
      </w:pPr>
      <w:r w:rsidRPr="00215B2F">
        <w:rPr>
          <w:sz w:val="20"/>
          <w:szCs w:val="20"/>
        </w:rPr>
        <w:t>3.4 SISTEM UPRAVLJANJA BANKE</w:t>
      </w:r>
    </w:p>
    <w:p w14:paraId="564C86FB"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0E3240C" w14:textId="084E6D7E"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3.4.1 Skupne določbe za upravljalni organ banke</w:t>
      </w:r>
    </w:p>
    <w:p w14:paraId="34EACA89"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2E68AC02"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5" w:name="_Ref202960331"/>
      <w:r w:rsidRPr="00215B2F">
        <w:rPr>
          <w:rFonts w:ascii="Arial" w:eastAsia="Arial" w:hAnsi="Arial" w:cs="Arial"/>
          <w:b/>
          <w:bCs/>
          <w:sz w:val="20"/>
          <w:szCs w:val="20"/>
        </w:rPr>
        <w:t>člen</w:t>
      </w:r>
      <w:bookmarkEnd w:id="55"/>
    </w:p>
    <w:p w14:paraId="6B4002CC" w14:textId="77777777" w:rsidR="00D91782" w:rsidRPr="00215B2F" w:rsidRDefault="00D91782" w:rsidP="00FD5520">
      <w:pPr>
        <w:pStyle w:val="Slog1"/>
        <w:shd w:val="clear" w:color="auto" w:fill="FFFFFF" w:themeFill="background1"/>
        <w:rPr>
          <w:sz w:val="20"/>
          <w:szCs w:val="20"/>
        </w:rPr>
      </w:pPr>
      <w:r w:rsidRPr="00215B2F">
        <w:rPr>
          <w:sz w:val="20"/>
          <w:szCs w:val="20"/>
        </w:rPr>
        <w:t>(sistem upravljanja banke)</w:t>
      </w:r>
    </w:p>
    <w:p w14:paraId="11B83DC8" w14:textId="77777777" w:rsidR="00D91782" w:rsidRPr="00215B2F" w:rsidRDefault="00D91782" w:rsidP="00FD5520">
      <w:pPr>
        <w:pStyle w:val="Slog1"/>
        <w:shd w:val="clear" w:color="auto" w:fill="FFFFFF" w:themeFill="background1"/>
        <w:jc w:val="both"/>
        <w:rPr>
          <w:sz w:val="20"/>
          <w:szCs w:val="20"/>
        </w:rPr>
      </w:pPr>
    </w:p>
    <w:p w14:paraId="6426CF7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56" w:name="_Hlk203470431"/>
      <w:r w:rsidRPr="00215B2F">
        <w:rPr>
          <w:rFonts w:ascii="Arial" w:eastAsia="Arial" w:hAnsi="Arial" w:cs="Arial"/>
          <w:sz w:val="20"/>
          <w:szCs w:val="20"/>
        </w:rPr>
        <w:t>(1) Banka lahko izbere dvotirni sistem upravljanja banke z upravo in nadzornim svetom ali enotirni sistem upravljanja banke z upravnim odborom.</w:t>
      </w:r>
    </w:p>
    <w:p w14:paraId="7920A29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FF0D4DA" w14:textId="46A9BF6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Za upravni odbor banke z enotirnim sistemom upravljanja se smiselno uporabljajo določbe tega zakona o nadzornem svetu banke, za izvršne direktorje pa določbe tega zakona o upravi banke.</w:t>
      </w:r>
    </w:p>
    <w:p w14:paraId="639E3024"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5228EE2" w14:textId="6C2BB3D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Za banke z enotirnim sistemom upravljanja veljajo naslednja posebna pravila:</w:t>
      </w:r>
    </w:p>
    <w:p w14:paraId="118D135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2A250C7" w14:textId="2EA9A4E8" w:rsidR="00730AA1" w:rsidRPr="00215B2F" w:rsidRDefault="00D91782">
      <w:pPr>
        <w:pStyle w:val="tevilnatoka"/>
        <w:numPr>
          <w:ilvl w:val="0"/>
          <w:numId w:val="44"/>
        </w:numPr>
        <w:shd w:val="clear" w:color="auto" w:fill="FFFFFF" w:themeFill="background1"/>
        <w:tabs>
          <w:tab w:val="clear" w:pos="425"/>
        </w:tabs>
        <w:rPr>
          <w:rFonts w:cs="Arial"/>
          <w:bCs/>
          <w:sz w:val="20"/>
          <w:szCs w:val="20"/>
        </w:rPr>
      </w:pPr>
      <w:r w:rsidRPr="00215B2F">
        <w:rPr>
          <w:rFonts w:eastAsia="Arial" w:cs="Arial"/>
          <w:sz w:val="20"/>
          <w:szCs w:val="20"/>
        </w:rPr>
        <w:t xml:space="preserve">upravni odbor banke mora imenovati najmanj dva izvršna direktorja izmed članov upravnega odbora, pri čemer se izvršni direktor oziroma direktorica (v nadaljnjem besedilu: izvršni direktor) lahko imenuje samo </w:t>
      </w:r>
      <w:r w:rsidR="00713E35" w:rsidRPr="00215B2F">
        <w:rPr>
          <w:rFonts w:eastAsia="Arial" w:cs="Arial"/>
          <w:sz w:val="20"/>
          <w:szCs w:val="20"/>
        </w:rPr>
        <w:t xml:space="preserve">izmed </w:t>
      </w:r>
      <w:r w:rsidRPr="00215B2F">
        <w:rPr>
          <w:rFonts w:eastAsia="Arial" w:cs="Arial"/>
          <w:sz w:val="20"/>
          <w:szCs w:val="20"/>
        </w:rPr>
        <w:t>članov upravnega odbora;</w:t>
      </w:r>
    </w:p>
    <w:p w14:paraId="3965008E" w14:textId="77777777" w:rsidR="00730AA1" w:rsidRPr="00215B2F" w:rsidRDefault="00D91782">
      <w:pPr>
        <w:pStyle w:val="tevilnatoka"/>
        <w:numPr>
          <w:ilvl w:val="0"/>
          <w:numId w:val="44"/>
        </w:numPr>
        <w:shd w:val="clear" w:color="auto" w:fill="FFFFFF" w:themeFill="background1"/>
        <w:tabs>
          <w:tab w:val="clear" w:pos="425"/>
        </w:tabs>
        <w:rPr>
          <w:rFonts w:cs="Arial"/>
          <w:bCs/>
          <w:sz w:val="20"/>
          <w:szCs w:val="20"/>
        </w:rPr>
      </w:pPr>
      <w:r w:rsidRPr="00215B2F">
        <w:rPr>
          <w:rFonts w:eastAsia="Arial" w:cs="Arial"/>
          <w:sz w:val="20"/>
          <w:szCs w:val="20"/>
        </w:rPr>
        <w:t>za izvršne direktorje je lahko imenovana največ polovica članov upravnega odbora banke;</w:t>
      </w:r>
    </w:p>
    <w:p w14:paraId="38680F6F" w14:textId="77777777" w:rsidR="00730AA1" w:rsidRPr="00215B2F" w:rsidRDefault="00D91782">
      <w:pPr>
        <w:pStyle w:val="tevilnatoka"/>
        <w:numPr>
          <w:ilvl w:val="0"/>
          <w:numId w:val="44"/>
        </w:numPr>
        <w:shd w:val="clear" w:color="auto" w:fill="FFFFFF" w:themeFill="background1"/>
        <w:tabs>
          <w:tab w:val="clear" w:pos="425"/>
        </w:tabs>
        <w:rPr>
          <w:rFonts w:cs="Arial"/>
          <w:bCs/>
          <w:sz w:val="20"/>
          <w:szCs w:val="20"/>
        </w:rPr>
      </w:pPr>
      <w:r w:rsidRPr="00215B2F">
        <w:rPr>
          <w:rFonts w:eastAsia="Arial" w:cs="Arial"/>
          <w:sz w:val="20"/>
          <w:szCs w:val="20"/>
        </w:rPr>
        <w:t>člani upravnega odbora, ki niso izvršni direktorji, ne smejo voditi poslov banke;</w:t>
      </w:r>
    </w:p>
    <w:p w14:paraId="494A6CFA" w14:textId="2F87946C" w:rsidR="00D91782" w:rsidRPr="00215B2F" w:rsidRDefault="00D91782">
      <w:pPr>
        <w:pStyle w:val="tevilnatoka"/>
        <w:numPr>
          <w:ilvl w:val="0"/>
          <w:numId w:val="44"/>
        </w:numPr>
        <w:shd w:val="clear" w:color="auto" w:fill="FFFFFF" w:themeFill="background1"/>
        <w:tabs>
          <w:tab w:val="clear" w:pos="425"/>
        </w:tabs>
        <w:rPr>
          <w:rFonts w:cs="Arial"/>
          <w:bCs/>
          <w:sz w:val="20"/>
          <w:szCs w:val="20"/>
        </w:rPr>
      </w:pPr>
      <w:r w:rsidRPr="00215B2F">
        <w:rPr>
          <w:rFonts w:eastAsia="Arial" w:cs="Arial"/>
          <w:sz w:val="20"/>
          <w:szCs w:val="20"/>
        </w:rPr>
        <w:t xml:space="preserve">predsednik oziroma predsednica upravljalnega organa v nadzorniški funkciji ne more biti imenovan za izvršnega direktorja v isti banki. </w:t>
      </w:r>
    </w:p>
    <w:bookmarkEnd w:id="56"/>
    <w:p w14:paraId="474390C8"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061619F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7" w:name="_Ref202960348"/>
      <w:r w:rsidRPr="00215B2F">
        <w:rPr>
          <w:rFonts w:ascii="Arial" w:eastAsia="Arial" w:hAnsi="Arial" w:cs="Arial"/>
          <w:b/>
          <w:bCs/>
          <w:sz w:val="20"/>
          <w:szCs w:val="20"/>
        </w:rPr>
        <w:t>člen</w:t>
      </w:r>
      <w:bookmarkEnd w:id="57"/>
    </w:p>
    <w:p w14:paraId="11133E0E" w14:textId="77777777" w:rsidR="00D91782" w:rsidRPr="00215B2F" w:rsidRDefault="00D91782" w:rsidP="00FD5520">
      <w:pPr>
        <w:pStyle w:val="Slog1"/>
        <w:shd w:val="clear" w:color="auto" w:fill="FFFFFF" w:themeFill="background1"/>
        <w:rPr>
          <w:sz w:val="20"/>
          <w:szCs w:val="20"/>
        </w:rPr>
      </w:pPr>
      <w:r w:rsidRPr="00215B2F">
        <w:rPr>
          <w:sz w:val="20"/>
          <w:szCs w:val="20"/>
        </w:rPr>
        <w:t>(sestava upravljalnega organa)</w:t>
      </w:r>
    </w:p>
    <w:p w14:paraId="2A4068F8" w14:textId="77777777" w:rsidR="00D91782" w:rsidRPr="00215B2F" w:rsidRDefault="00D91782" w:rsidP="00FD5520">
      <w:pPr>
        <w:pStyle w:val="Slog1"/>
        <w:shd w:val="clear" w:color="auto" w:fill="FFFFFF" w:themeFill="background1"/>
        <w:jc w:val="both"/>
        <w:rPr>
          <w:sz w:val="20"/>
          <w:szCs w:val="20"/>
        </w:rPr>
      </w:pPr>
    </w:p>
    <w:p w14:paraId="65B579E3" w14:textId="37D8AB14" w:rsidR="00D91CBF"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je odgovorna, da je njen upravljalni organ sestavljen tako, da imajo člani upravljalnega organa kot celota ves čas dober ugled, ravnajo odkrito, pošteno in neodvisno ter imajo ustrezno znanje, spretnosti in izkušnje, da lahko poglobljeno razume</w:t>
      </w:r>
      <w:r w:rsidR="00713E35" w:rsidRPr="00215B2F">
        <w:rPr>
          <w:rFonts w:ascii="Arial" w:eastAsia="Arial" w:hAnsi="Arial" w:cs="Arial"/>
          <w:sz w:val="20"/>
          <w:szCs w:val="20"/>
        </w:rPr>
        <w:t>jo</w:t>
      </w:r>
      <w:r w:rsidRPr="00215B2F">
        <w:rPr>
          <w:rFonts w:ascii="Arial" w:eastAsia="Arial" w:hAnsi="Arial" w:cs="Arial"/>
          <w:sz w:val="20"/>
          <w:szCs w:val="20"/>
        </w:rPr>
        <w:t xml:space="preserve"> dejavnosti banke in tveganja, ki jim je izpostavljena, ter izpolnjujejo </w:t>
      </w:r>
      <w:r w:rsidR="00162392" w:rsidRPr="00215B2F">
        <w:rPr>
          <w:rFonts w:ascii="Arial" w:eastAsia="Arial" w:hAnsi="Arial" w:cs="Arial"/>
          <w:sz w:val="20"/>
          <w:szCs w:val="20"/>
        </w:rPr>
        <w:t>pogoje</w:t>
      </w:r>
      <w:r w:rsidRPr="00215B2F">
        <w:rPr>
          <w:rFonts w:ascii="Arial" w:eastAsia="Arial" w:hAnsi="Arial" w:cs="Arial"/>
          <w:sz w:val="20"/>
          <w:szCs w:val="20"/>
        </w:rPr>
        <w:t xml:space="preserve"> iz 4</w:t>
      </w:r>
      <w:r w:rsidR="00B27F34" w:rsidRPr="00215B2F">
        <w:rPr>
          <w:rFonts w:ascii="Arial" w:eastAsia="Arial" w:hAnsi="Arial" w:cs="Arial"/>
          <w:sz w:val="20"/>
          <w:szCs w:val="20"/>
        </w:rPr>
        <w:t>7</w:t>
      </w:r>
      <w:r w:rsidRPr="00215B2F">
        <w:rPr>
          <w:rFonts w:ascii="Arial" w:eastAsia="Arial" w:hAnsi="Arial" w:cs="Arial"/>
          <w:sz w:val="20"/>
          <w:szCs w:val="20"/>
        </w:rPr>
        <w:t xml:space="preserve">. oziroma </w:t>
      </w:r>
      <w:r w:rsidR="00B27F34" w:rsidRPr="00215B2F">
        <w:rPr>
          <w:rFonts w:ascii="Arial" w:eastAsia="Arial" w:hAnsi="Arial" w:cs="Arial"/>
          <w:sz w:val="20"/>
          <w:szCs w:val="20"/>
        </w:rPr>
        <w:t>62</w:t>
      </w:r>
      <w:r w:rsidRPr="00215B2F">
        <w:rPr>
          <w:rFonts w:ascii="Arial" w:eastAsia="Arial" w:hAnsi="Arial" w:cs="Arial"/>
          <w:sz w:val="20"/>
          <w:szCs w:val="20"/>
        </w:rPr>
        <w:t>. člena tega zakon</w:t>
      </w:r>
      <w:r w:rsidR="00A31B3B" w:rsidRPr="00215B2F">
        <w:rPr>
          <w:rFonts w:ascii="Arial" w:eastAsia="Arial" w:hAnsi="Arial" w:cs="Arial"/>
          <w:sz w:val="20"/>
          <w:szCs w:val="20"/>
        </w:rPr>
        <w:t>a</w:t>
      </w:r>
      <w:r w:rsidRPr="00215B2F">
        <w:rPr>
          <w:rFonts w:ascii="Arial" w:eastAsia="Arial" w:hAnsi="Arial" w:cs="Arial"/>
          <w:sz w:val="20"/>
          <w:szCs w:val="20"/>
        </w:rPr>
        <w:t>.</w:t>
      </w:r>
    </w:p>
    <w:p w14:paraId="1FD3CC54" w14:textId="77777777" w:rsidR="00560D52" w:rsidRPr="00215B2F" w:rsidRDefault="00560D52" w:rsidP="00FD5520">
      <w:pPr>
        <w:shd w:val="clear" w:color="auto" w:fill="FFFFFF" w:themeFill="background1"/>
        <w:spacing w:after="0" w:line="240" w:lineRule="auto"/>
        <w:jc w:val="both"/>
        <w:rPr>
          <w:rFonts w:ascii="Arial" w:eastAsia="Arial" w:hAnsi="Arial" w:cs="Arial"/>
          <w:sz w:val="20"/>
          <w:szCs w:val="20"/>
        </w:rPr>
      </w:pPr>
    </w:p>
    <w:p w14:paraId="34F75D3F" w14:textId="0DF0B0A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Organi banke, ki so pristojni za izbor in imenovanje članov upravljalnega organa, morajo vzpostaviti in izvajati ustrezno politiko izbora primernih kandidatov, ki zagotavlja:</w:t>
      </w:r>
    </w:p>
    <w:p w14:paraId="6D9BD2BE"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CF3A5F3" w14:textId="2AA58ECD" w:rsidR="00730AA1" w:rsidRPr="00215B2F" w:rsidRDefault="00D91782">
      <w:pPr>
        <w:pStyle w:val="tevilnatoka"/>
        <w:numPr>
          <w:ilvl w:val="0"/>
          <w:numId w:val="45"/>
        </w:numPr>
        <w:shd w:val="clear" w:color="auto" w:fill="FFFFFF" w:themeFill="background1"/>
        <w:tabs>
          <w:tab w:val="clear" w:pos="425"/>
        </w:tabs>
        <w:rPr>
          <w:rFonts w:cs="Arial"/>
          <w:bCs/>
          <w:sz w:val="20"/>
          <w:szCs w:val="20"/>
        </w:rPr>
      </w:pPr>
      <w:r w:rsidRPr="00215B2F">
        <w:rPr>
          <w:rFonts w:eastAsia="Arial" w:cs="Arial"/>
          <w:sz w:val="20"/>
          <w:szCs w:val="20"/>
        </w:rPr>
        <w:t>da upravljalni organ kot celota upošteva ustrezno širok nabor znanja, spretnosti in izkušenj ter odlik in sposobnosti članov upravljalnega organa banke, ki omogoča poglobljeno razumevanje dejavnosti banke in tveganj, ki jim je banka izpostavljena;</w:t>
      </w:r>
    </w:p>
    <w:p w14:paraId="605B352D" w14:textId="2C8BE0A3" w:rsidR="00730AA1" w:rsidRPr="00215B2F" w:rsidRDefault="00D91782">
      <w:pPr>
        <w:pStyle w:val="tevilnatoka"/>
        <w:numPr>
          <w:ilvl w:val="0"/>
          <w:numId w:val="45"/>
        </w:numPr>
        <w:shd w:val="clear" w:color="auto" w:fill="FFFFFF" w:themeFill="background1"/>
        <w:tabs>
          <w:tab w:val="clear" w:pos="425"/>
        </w:tabs>
        <w:rPr>
          <w:rFonts w:cs="Arial"/>
          <w:bCs/>
          <w:sz w:val="20"/>
          <w:szCs w:val="20"/>
        </w:rPr>
      </w:pPr>
      <w:r w:rsidRPr="00215B2F">
        <w:rPr>
          <w:rFonts w:eastAsia="Arial" w:cs="Arial"/>
          <w:sz w:val="20"/>
          <w:szCs w:val="20"/>
        </w:rPr>
        <w:t>sorazmerne spodbude za doseganje raznolikosti v okviru upravljalnega organa, vključno z uravnoteženo zastopanost</w:t>
      </w:r>
      <w:r w:rsidR="003379AF" w:rsidRPr="00215B2F">
        <w:rPr>
          <w:rFonts w:eastAsia="Arial" w:cs="Arial"/>
          <w:sz w:val="20"/>
          <w:szCs w:val="20"/>
        </w:rPr>
        <w:t>jo</w:t>
      </w:r>
      <w:r w:rsidRPr="00215B2F">
        <w:rPr>
          <w:rFonts w:eastAsia="Arial" w:cs="Arial"/>
          <w:sz w:val="20"/>
          <w:szCs w:val="20"/>
        </w:rPr>
        <w:t xml:space="preserve"> spolov v upravljalnem organu, </w:t>
      </w:r>
      <w:r w:rsidR="000158EB" w:rsidRPr="00215B2F">
        <w:rPr>
          <w:rFonts w:eastAsia="Arial" w:cs="Arial"/>
          <w:sz w:val="20"/>
          <w:szCs w:val="20"/>
        </w:rPr>
        <w:t xml:space="preserve">vključno </w:t>
      </w:r>
      <w:r w:rsidRPr="00215B2F">
        <w:rPr>
          <w:rFonts w:eastAsia="Arial" w:cs="Arial"/>
          <w:sz w:val="20"/>
          <w:szCs w:val="20"/>
        </w:rPr>
        <w:t>s politikami, da se za dosego teh ciljev poveča število predstavnikov premalo zastopanega spola v upravljalnem organu;</w:t>
      </w:r>
    </w:p>
    <w:p w14:paraId="74DA4957" w14:textId="51828814" w:rsidR="00D91782" w:rsidRPr="00215B2F" w:rsidRDefault="00D91782">
      <w:pPr>
        <w:pStyle w:val="tevilnatoka"/>
        <w:numPr>
          <w:ilvl w:val="0"/>
          <w:numId w:val="45"/>
        </w:numPr>
        <w:shd w:val="clear" w:color="auto" w:fill="FFFFFF" w:themeFill="background1"/>
        <w:rPr>
          <w:rFonts w:cs="Arial"/>
          <w:bCs/>
          <w:sz w:val="20"/>
          <w:szCs w:val="20"/>
        </w:rPr>
      </w:pPr>
      <w:r w:rsidRPr="00215B2F">
        <w:rPr>
          <w:rFonts w:eastAsia="Arial" w:cs="Arial"/>
          <w:sz w:val="20"/>
          <w:szCs w:val="20"/>
        </w:rPr>
        <w:t>opredelitev pogojev za opravljanje posamezne funkcije, vključno z zahtevanim profilom članov upravljalnega organa, še preden so ti imenovani.</w:t>
      </w:r>
    </w:p>
    <w:p w14:paraId="07153674"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53C867D" w14:textId="6DBC796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mora politiko izbora primernih kandidatov in njeno izvajanje v skladu s prejšnjim odstavkom ustrezno dokumentirati </w:t>
      </w:r>
      <w:r w:rsidR="003379AF" w:rsidRPr="00215B2F">
        <w:rPr>
          <w:rFonts w:ascii="Arial" w:eastAsia="Arial" w:hAnsi="Arial" w:cs="Arial"/>
          <w:sz w:val="20"/>
          <w:szCs w:val="20"/>
        </w:rPr>
        <w:t xml:space="preserve">ter </w:t>
      </w:r>
      <w:r w:rsidRPr="00215B2F">
        <w:rPr>
          <w:rFonts w:ascii="Arial" w:eastAsia="Arial" w:hAnsi="Arial" w:cs="Arial"/>
          <w:sz w:val="20"/>
          <w:szCs w:val="20"/>
        </w:rPr>
        <w:t>objaviti v skladu s točko (c) drugega odstavka 435. člena Uredbe 575/2013/EU.</w:t>
      </w:r>
    </w:p>
    <w:p w14:paraId="4FFC29CE"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E005B3A" w14:textId="6864C25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zbira informacije iz prejšnjega odstavka z namenom primerjave praks glede raznolikosti v upravljalnih organih bank </w:t>
      </w:r>
      <w:r w:rsidR="003379AF" w:rsidRPr="00215B2F">
        <w:rPr>
          <w:rFonts w:ascii="Arial" w:eastAsia="Arial" w:hAnsi="Arial" w:cs="Arial"/>
          <w:sz w:val="20"/>
          <w:szCs w:val="20"/>
        </w:rPr>
        <w:t xml:space="preserve">in </w:t>
      </w:r>
      <w:r w:rsidRPr="00215B2F">
        <w:rPr>
          <w:rFonts w:ascii="Arial" w:eastAsia="Arial" w:hAnsi="Arial" w:cs="Arial"/>
          <w:sz w:val="20"/>
          <w:szCs w:val="20"/>
        </w:rPr>
        <w:t>te podatke po</w:t>
      </w:r>
      <w:r w:rsidR="003379AF" w:rsidRPr="00215B2F">
        <w:rPr>
          <w:rFonts w:ascii="Arial" w:eastAsia="Arial" w:hAnsi="Arial" w:cs="Arial"/>
          <w:sz w:val="20"/>
          <w:szCs w:val="20"/>
        </w:rPr>
        <w:t>šl</w:t>
      </w:r>
      <w:r w:rsidRPr="00215B2F">
        <w:rPr>
          <w:rFonts w:ascii="Arial" w:eastAsia="Arial" w:hAnsi="Arial" w:cs="Arial"/>
          <w:sz w:val="20"/>
          <w:szCs w:val="20"/>
        </w:rPr>
        <w:t>je Evropskemu bančnemu organu.</w:t>
      </w:r>
    </w:p>
    <w:p w14:paraId="0B2C2C0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EB8969C" w14:textId="512169F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mora zagotoviti ustrezne kadrovske in finančne pogoje za uvajanje in usposabljanje članov upravljalnega organa, tudi </w:t>
      </w:r>
      <w:r w:rsidR="00321B1A" w:rsidRPr="00215B2F">
        <w:rPr>
          <w:rFonts w:ascii="Arial" w:eastAsia="Arial" w:hAnsi="Arial" w:cs="Arial"/>
          <w:sz w:val="20"/>
          <w:szCs w:val="20"/>
        </w:rPr>
        <w:t xml:space="preserve">v zvezi z </w:t>
      </w:r>
      <w:r w:rsidR="000158EB" w:rsidRPr="00215B2F">
        <w:rPr>
          <w:rFonts w:ascii="Arial" w:eastAsia="Arial" w:hAnsi="Arial" w:cs="Arial"/>
          <w:sz w:val="20"/>
          <w:szCs w:val="20"/>
        </w:rPr>
        <w:t xml:space="preserve">učinki in </w:t>
      </w:r>
      <w:r w:rsidRPr="00215B2F">
        <w:rPr>
          <w:rFonts w:ascii="Arial" w:eastAsia="Arial" w:hAnsi="Arial" w:cs="Arial"/>
          <w:sz w:val="20"/>
          <w:szCs w:val="20"/>
        </w:rPr>
        <w:t>tveganj</w:t>
      </w:r>
      <w:r w:rsidR="00161D0A" w:rsidRPr="00215B2F">
        <w:rPr>
          <w:rFonts w:ascii="Arial" w:eastAsia="Arial" w:hAnsi="Arial" w:cs="Arial"/>
          <w:sz w:val="20"/>
          <w:szCs w:val="20"/>
        </w:rPr>
        <w:t>i</w:t>
      </w:r>
      <w:r w:rsidRPr="00215B2F">
        <w:rPr>
          <w:rFonts w:ascii="Arial" w:eastAsia="Arial" w:hAnsi="Arial" w:cs="Arial"/>
          <w:sz w:val="20"/>
          <w:szCs w:val="20"/>
        </w:rPr>
        <w:t xml:space="preserve"> </w:t>
      </w:r>
      <w:r w:rsidR="000158EB" w:rsidRPr="00215B2F">
        <w:rPr>
          <w:rFonts w:ascii="Arial" w:eastAsia="Arial" w:hAnsi="Arial" w:cs="Arial"/>
          <w:sz w:val="20"/>
          <w:szCs w:val="20"/>
        </w:rPr>
        <w:t xml:space="preserve">ESG, kakor so opredeljena v 52.d točki prvega odstavka 4. člena Uredbe 575/2013/EU ter </w:t>
      </w:r>
      <w:r w:rsidRPr="00215B2F">
        <w:rPr>
          <w:rFonts w:ascii="Arial" w:eastAsia="Arial" w:hAnsi="Arial" w:cs="Arial"/>
          <w:sz w:val="20"/>
          <w:szCs w:val="20"/>
        </w:rPr>
        <w:t>učink</w:t>
      </w:r>
      <w:r w:rsidR="00161D0A" w:rsidRPr="00215B2F">
        <w:rPr>
          <w:rFonts w:ascii="Arial" w:eastAsia="Arial" w:hAnsi="Arial" w:cs="Arial"/>
          <w:sz w:val="20"/>
          <w:szCs w:val="20"/>
        </w:rPr>
        <w:t>i</w:t>
      </w:r>
      <w:r w:rsidRPr="00215B2F">
        <w:rPr>
          <w:rFonts w:ascii="Arial" w:eastAsia="Arial" w:hAnsi="Arial" w:cs="Arial"/>
          <w:sz w:val="20"/>
          <w:szCs w:val="20"/>
        </w:rPr>
        <w:t xml:space="preserve"> </w:t>
      </w:r>
      <w:r w:rsidR="000158EB" w:rsidRPr="00215B2F">
        <w:rPr>
          <w:rFonts w:ascii="Arial" w:eastAsia="Arial" w:hAnsi="Arial" w:cs="Arial"/>
          <w:sz w:val="20"/>
          <w:szCs w:val="20"/>
        </w:rPr>
        <w:t>in</w:t>
      </w:r>
      <w:r w:rsidRPr="00215B2F">
        <w:rPr>
          <w:rFonts w:ascii="Arial" w:eastAsia="Arial" w:hAnsi="Arial" w:cs="Arial"/>
          <w:sz w:val="20"/>
          <w:szCs w:val="20"/>
        </w:rPr>
        <w:t xml:space="preserve"> tveganj</w:t>
      </w:r>
      <w:r w:rsidR="00161D0A" w:rsidRPr="00215B2F">
        <w:rPr>
          <w:rFonts w:ascii="Arial" w:eastAsia="Arial" w:hAnsi="Arial" w:cs="Arial"/>
          <w:sz w:val="20"/>
          <w:szCs w:val="20"/>
        </w:rPr>
        <w:t>i,</w:t>
      </w:r>
      <w:r w:rsidRPr="00215B2F">
        <w:rPr>
          <w:rFonts w:ascii="Arial" w:eastAsia="Arial" w:hAnsi="Arial" w:cs="Arial"/>
          <w:sz w:val="20"/>
          <w:szCs w:val="20"/>
        </w:rPr>
        <w:t xml:space="preserve"> povezan</w:t>
      </w:r>
      <w:r w:rsidR="00161D0A" w:rsidRPr="00215B2F">
        <w:rPr>
          <w:rFonts w:ascii="Arial" w:eastAsia="Arial" w:hAnsi="Arial" w:cs="Arial"/>
          <w:sz w:val="20"/>
          <w:szCs w:val="20"/>
        </w:rPr>
        <w:t>imi</w:t>
      </w:r>
      <w:r w:rsidR="00321B1A" w:rsidRPr="00215B2F">
        <w:rPr>
          <w:rFonts w:ascii="Arial" w:eastAsia="Arial" w:hAnsi="Arial" w:cs="Arial"/>
          <w:sz w:val="20"/>
          <w:szCs w:val="20"/>
        </w:rPr>
        <w:t xml:space="preserve"> z informacijsko in komunikacijsko tehnologijo (</w:t>
      </w:r>
      <w:r w:rsidR="00924D19" w:rsidRPr="00215B2F">
        <w:rPr>
          <w:rFonts w:ascii="Arial" w:eastAsia="Arial" w:hAnsi="Arial" w:cs="Arial"/>
          <w:sz w:val="20"/>
          <w:szCs w:val="20"/>
        </w:rPr>
        <w:t xml:space="preserve">v nadaljnjem besedilu: </w:t>
      </w:r>
      <w:r w:rsidRPr="00215B2F">
        <w:rPr>
          <w:rFonts w:ascii="Arial" w:eastAsia="Arial" w:hAnsi="Arial" w:cs="Arial"/>
          <w:sz w:val="20"/>
          <w:szCs w:val="20"/>
        </w:rPr>
        <w:t>IKT</w:t>
      </w:r>
      <w:r w:rsidR="00321B1A" w:rsidRPr="00215B2F">
        <w:rPr>
          <w:rFonts w:ascii="Arial" w:eastAsia="Arial" w:hAnsi="Arial" w:cs="Arial"/>
          <w:sz w:val="20"/>
          <w:szCs w:val="20"/>
        </w:rPr>
        <w:t>)</w:t>
      </w:r>
      <w:r w:rsidRPr="00215B2F">
        <w:rPr>
          <w:rFonts w:ascii="Arial" w:eastAsia="Arial" w:hAnsi="Arial" w:cs="Arial"/>
          <w:sz w:val="20"/>
          <w:szCs w:val="20"/>
        </w:rPr>
        <w:t>, kakor so opredeljena 52.c točki prvega odstavka 4. člena Uredbe 575/2013/EU.</w:t>
      </w:r>
    </w:p>
    <w:p w14:paraId="42E608F0"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EDEF179" w14:textId="42A73C77" w:rsidR="00D91CBF"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Za izpolnjevanje zahtev glede </w:t>
      </w:r>
      <w:r w:rsidR="00560D52" w:rsidRPr="00215B2F">
        <w:rPr>
          <w:rFonts w:ascii="Arial" w:eastAsia="Arial" w:hAnsi="Arial" w:cs="Arial"/>
          <w:sz w:val="20"/>
          <w:szCs w:val="20"/>
        </w:rPr>
        <w:t>dobrega</w:t>
      </w:r>
      <w:r w:rsidRPr="00215B2F">
        <w:rPr>
          <w:rFonts w:ascii="Arial" w:eastAsia="Arial" w:hAnsi="Arial" w:cs="Arial"/>
          <w:sz w:val="20"/>
          <w:szCs w:val="20"/>
        </w:rPr>
        <w:t xml:space="preserve"> ugleda, odkritosti in poštenosti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ne zadošča, da član upravljalnega organa ni bil obsojen za kaznivo dejanje ali da ni v kazenskem postopku. </w:t>
      </w:r>
    </w:p>
    <w:p w14:paraId="43C03956" w14:textId="77777777" w:rsidR="00161D0A" w:rsidRPr="00215B2F" w:rsidRDefault="00161D0A" w:rsidP="00FD5520">
      <w:pPr>
        <w:shd w:val="clear" w:color="auto" w:fill="FFFFFF" w:themeFill="background1"/>
        <w:spacing w:after="0" w:line="240" w:lineRule="auto"/>
        <w:jc w:val="both"/>
        <w:rPr>
          <w:rFonts w:ascii="Arial" w:eastAsia="Arial" w:hAnsi="Arial" w:cs="Arial"/>
          <w:sz w:val="20"/>
          <w:szCs w:val="20"/>
        </w:rPr>
      </w:pPr>
    </w:p>
    <w:p w14:paraId="6C2336A0" w14:textId="5D80B76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Prvi </w:t>
      </w:r>
      <w:r w:rsidR="00746E88" w:rsidRPr="00215B2F">
        <w:rPr>
          <w:rFonts w:ascii="Arial" w:eastAsia="Arial" w:hAnsi="Arial" w:cs="Arial"/>
          <w:sz w:val="20"/>
          <w:szCs w:val="20"/>
        </w:rPr>
        <w:t>odstavek tega člena</w:t>
      </w:r>
      <w:r w:rsidRPr="00215B2F">
        <w:rPr>
          <w:rFonts w:ascii="Arial" w:eastAsia="Arial" w:hAnsi="Arial" w:cs="Arial"/>
          <w:sz w:val="20"/>
          <w:szCs w:val="20"/>
        </w:rPr>
        <w:t xml:space="preserve"> se ne uporablja za posebne pooblaščence, ki jih imenuje pristojni organ na podlagi tega zakona oziroma Direktive 2014/59/EU</w:t>
      </w:r>
      <w:r w:rsidR="00161D0A" w:rsidRPr="00215B2F">
        <w:rPr>
          <w:rFonts w:ascii="Arial" w:eastAsia="Arial" w:hAnsi="Arial" w:cs="Arial"/>
          <w:sz w:val="20"/>
          <w:szCs w:val="20"/>
        </w:rPr>
        <w:t>,</w:t>
      </w:r>
      <w:r w:rsidRPr="00215B2F">
        <w:rPr>
          <w:rFonts w:ascii="Arial" w:eastAsia="Arial" w:hAnsi="Arial" w:cs="Arial"/>
          <w:sz w:val="20"/>
          <w:szCs w:val="20"/>
        </w:rPr>
        <w:t xml:space="preserve"> ali člane izredne uprave, ki jih imenuje organ za reševanje na podlagi zakona, ki ureja reševanje in prisilno prenehanje bank</w:t>
      </w:r>
      <w:r w:rsidR="00161D0A" w:rsidRPr="00215B2F">
        <w:rPr>
          <w:rFonts w:ascii="Arial" w:eastAsia="Arial" w:hAnsi="Arial" w:cs="Arial"/>
          <w:sz w:val="20"/>
          <w:szCs w:val="20"/>
        </w:rPr>
        <w:t>,</w:t>
      </w:r>
      <w:r w:rsidRPr="00215B2F">
        <w:rPr>
          <w:rFonts w:ascii="Arial" w:eastAsia="Arial" w:hAnsi="Arial" w:cs="Arial"/>
          <w:sz w:val="20"/>
          <w:szCs w:val="20"/>
        </w:rPr>
        <w:t xml:space="preserve"> oziroma Direktive 2014/59/EU.</w:t>
      </w:r>
    </w:p>
    <w:p w14:paraId="342F162C"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277E8AB" w14:textId="77777777" w:rsidR="00D91CBF" w:rsidRPr="00215B2F" w:rsidRDefault="00D91CBF"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8" w:name="_Ref202960368"/>
      <w:r w:rsidRPr="00215B2F">
        <w:rPr>
          <w:rFonts w:ascii="Arial" w:eastAsia="Arial" w:hAnsi="Arial" w:cs="Arial"/>
          <w:b/>
          <w:bCs/>
          <w:sz w:val="20"/>
          <w:szCs w:val="20"/>
        </w:rPr>
        <w:t>člen</w:t>
      </w:r>
      <w:bookmarkEnd w:id="58"/>
    </w:p>
    <w:p w14:paraId="20F1B0B0" w14:textId="7F55B69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(posamične izjave o vlogah in nalogah)</w:t>
      </w:r>
    </w:p>
    <w:p w14:paraId="73140DD3"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3635934" w14:textId="588C8D7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Brez poseganja v splošno kolektivno odgovornost upravljalnega organa banka pripravi, vzdržuje in posodablja:</w:t>
      </w:r>
    </w:p>
    <w:p w14:paraId="1CF7D74E"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E986C86" w14:textId="2DFF0D57" w:rsidR="00730AA1" w:rsidRPr="00215B2F" w:rsidRDefault="00D91782" w:rsidP="003D4DE0">
      <w:pPr>
        <w:pStyle w:val="tevilnatoka"/>
        <w:numPr>
          <w:ilvl w:val="0"/>
          <w:numId w:val="360"/>
        </w:numPr>
        <w:shd w:val="clear" w:color="auto" w:fill="FFFFFF" w:themeFill="background1"/>
        <w:rPr>
          <w:rFonts w:cs="Arial"/>
          <w:sz w:val="20"/>
          <w:szCs w:val="20"/>
        </w:rPr>
      </w:pPr>
      <w:r w:rsidRPr="00215B2F">
        <w:rPr>
          <w:rFonts w:eastAsia="Arial" w:cs="Arial"/>
          <w:sz w:val="20"/>
          <w:szCs w:val="20"/>
        </w:rPr>
        <w:t>posamične izjave o vlogah in nalogah vsakega člana uprave, višjega vodstva in nosilca ključnih funkcij,</w:t>
      </w:r>
    </w:p>
    <w:p w14:paraId="4B0C88BA" w14:textId="611E173A" w:rsidR="00D91782" w:rsidRPr="00215B2F" w:rsidRDefault="00D91782" w:rsidP="003D4DE0">
      <w:pPr>
        <w:pStyle w:val="Odstavekseznama"/>
        <w:numPr>
          <w:ilvl w:val="0"/>
          <w:numId w:val="360"/>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razporeditev nalog med osebami iz prejšnje alineje, vključno s podrobnostmi o sistemih poročanja in sistemih odgovornosti</w:t>
      </w:r>
      <w:r w:rsidR="00161D0A" w:rsidRPr="00215B2F">
        <w:rPr>
          <w:rFonts w:ascii="Arial" w:eastAsia="Arial" w:hAnsi="Arial" w:cs="Arial"/>
          <w:sz w:val="20"/>
          <w:szCs w:val="20"/>
        </w:rPr>
        <w:t>,</w:t>
      </w:r>
      <w:r w:rsidRPr="00215B2F">
        <w:rPr>
          <w:rFonts w:ascii="Arial" w:eastAsia="Arial" w:hAnsi="Arial" w:cs="Arial"/>
          <w:sz w:val="20"/>
          <w:szCs w:val="20"/>
        </w:rPr>
        <w:t xml:space="preserve"> </w:t>
      </w:r>
      <w:r w:rsidR="00161D0A" w:rsidRPr="00215B2F">
        <w:rPr>
          <w:rFonts w:ascii="Arial" w:eastAsia="Arial" w:hAnsi="Arial" w:cs="Arial"/>
          <w:sz w:val="20"/>
          <w:szCs w:val="20"/>
        </w:rPr>
        <w:t xml:space="preserve">ter </w:t>
      </w:r>
      <w:r w:rsidRPr="00215B2F">
        <w:rPr>
          <w:rFonts w:ascii="Arial" w:eastAsia="Arial" w:hAnsi="Arial" w:cs="Arial"/>
          <w:sz w:val="20"/>
          <w:szCs w:val="20"/>
        </w:rPr>
        <w:t>seznam oseb, ki so del stabilne ureditve notranjega upravljanja, k</w:t>
      </w:r>
      <w:r w:rsidR="00EB484E" w:rsidRPr="00215B2F">
        <w:rPr>
          <w:rFonts w:ascii="Arial" w:eastAsia="Arial" w:hAnsi="Arial" w:cs="Arial"/>
          <w:sz w:val="20"/>
          <w:szCs w:val="20"/>
        </w:rPr>
        <w:t>akor</w:t>
      </w:r>
      <w:r w:rsidRPr="00215B2F">
        <w:rPr>
          <w:rFonts w:ascii="Arial" w:eastAsia="Arial" w:hAnsi="Arial" w:cs="Arial"/>
          <w:sz w:val="20"/>
          <w:szCs w:val="20"/>
        </w:rPr>
        <w:t xml:space="preserve"> je opredeljena v </w:t>
      </w:r>
      <w:r w:rsidR="000F4B14" w:rsidRPr="00215B2F">
        <w:rPr>
          <w:rFonts w:ascii="Arial" w:eastAsia="Arial" w:hAnsi="Arial" w:cs="Arial"/>
          <w:sz w:val="20"/>
          <w:szCs w:val="20"/>
        </w:rPr>
        <w:t>177</w:t>
      </w:r>
      <w:r w:rsidRPr="00215B2F">
        <w:rPr>
          <w:rFonts w:ascii="Arial" w:eastAsia="Arial" w:hAnsi="Arial" w:cs="Arial"/>
          <w:sz w:val="20"/>
          <w:szCs w:val="20"/>
        </w:rPr>
        <w:t xml:space="preserve">. </w:t>
      </w:r>
      <w:r w:rsidR="001F2C7A" w:rsidRPr="00215B2F">
        <w:rPr>
          <w:rFonts w:ascii="Arial" w:eastAsia="Arial" w:hAnsi="Arial" w:cs="Arial"/>
          <w:sz w:val="20"/>
          <w:szCs w:val="20"/>
        </w:rPr>
        <w:t>členu tega zakona</w:t>
      </w:r>
      <w:r w:rsidRPr="00215B2F">
        <w:rPr>
          <w:rFonts w:ascii="Arial" w:eastAsia="Arial" w:hAnsi="Arial" w:cs="Arial"/>
          <w:sz w:val="20"/>
          <w:szCs w:val="20"/>
        </w:rPr>
        <w:t>, in njihovih nalog.</w:t>
      </w:r>
    </w:p>
    <w:p w14:paraId="3AE6186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8439A56" w14:textId="48196AC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zagotovi, da so izjave, razporeditev nalog in seznam oseb iz prejšnjega odstavka ves čas na voljo</w:t>
      </w:r>
      <w:r w:rsidR="00161D0A" w:rsidRPr="00215B2F">
        <w:rPr>
          <w:rFonts w:ascii="Arial" w:eastAsia="Arial" w:hAnsi="Arial" w:cs="Arial"/>
          <w:sz w:val="20"/>
          <w:szCs w:val="20"/>
        </w:rPr>
        <w:t>,</w:t>
      </w:r>
      <w:r w:rsidRPr="00215B2F">
        <w:rPr>
          <w:rFonts w:ascii="Arial" w:eastAsia="Arial" w:hAnsi="Arial" w:cs="Arial"/>
          <w:sz w:val="20"/>
          <w:szCs w:val="20"/>
        </w:rPr>
        <w:t xml:space="preserve"> </w:t>
      </w:r>
      <w:r w:rsidR="00161D0A" w:rsidRPr="00215B2F">
        <w:rPr>
          <w:rFonts w:ascii="Arial" w:eastAsia="Arial" w:hAnsi="Arial" w:cs="Arial"/>
          <w:sz w:val="20"/>
          <w:szCs w:val="20"/>
        </w:rPr>
        <w:t xml:space="preserve">ter </w:t>
      </w:r>
      <w:r w:rsidRPr="00215B2F">
        <w:rPr>
          <w:rFonts w:ascii="Arial" w:eastAsia="Arial" w:hAnsi="Arial" w:cs="Arial"/>
          <w:sz w:val="20"/>
          <w:szCs w:val="20"/>
        </w:rPr>
        <w:t>jih na zahtevo po</w:t>
      </w:r>
      <w:r w:rsidR="00161D0A" w:rsidRPr="00215B2F">
        <w:rPr>
          <w:rFonts w:ascii="Arial" w:eastAsia="Arial" w:hAnsi="Arial" w:cs="Arial"/>
          <w:sz w:val="20"/>
          <w:szCs w:val="20"/>
        </w:rPr>
        <w:t>šl</w:t>
      </w:r>
      <w:r w:rsidRPr="00215B2F">
        <w:rPr>
          <w:rFonts w:ascii="Arial" w:eastAsia="Arial" w:hAnsi="Arial" w:cs="Arial"/>
          <w:sz w:val="20"/>
          <w:szCs w:val="20"/>
        </w:rPr>
        <w:t>je Banki Slovenije.</w:t>
      </w:r>
    </w:p>
    <w:p w14:paraId="4484AA7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08B5252"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9" w:name="_Ref202960375"/>
      <w:r w:rsidRPr="00215B2F">
        <w:rPr>
          <w:rFonts w:ascii="Arial" w:eastAsia="Arial" w:hAnsi="Arial" w:cs="Arial"/>
          <w:b/>
          <w:bCs/>
          <w:sz w:val="20"/>
          <w:szCs w:val="20"/>
        </w:rPr>
        <w:t>člen</w:t>
      </w:r>
      <w:bookmarkEnd w:id="59"/>
    </w:p>
    <w:p w14:paraId="5360A270" w14:textId="0AEAC93F" w:rsidR="00D91782" w:rsidRPr="00215B2F" w:rsidRDefault="00D91782" w:rsidP="00FD5520">
      <w:pPr>
        <w:pStyle w:val="Slog1"/>
        <w:shd w:val="clear" w:color="auto" w:fill="FFFFFF" w:themeFill="background1"/>
        <w:rPr>
          <w:sz w:val="20"/>
          <w:szCs w:val="20"/>
        </w:rPr>
      </w:pPr>
      <w:r w:rsidRPr="00215B2F">
        <w:rPr>
          <w:sz w:val="20"/>
          <w:szCs w:val="20"/>
        </w:rPr>
        <w:t>(predstavniki delavcev v upravlja</w:t>
      </w:r>
      <w:r w:rsidR="00B34D40" w:rsidRPr="00215B2F">
        <w:rPr>
          <w:sz w:val="20"/>
          <w:szCs w:val="20"/>
        </w:rPr>
        <w:t>l</w:t>
      </w:r>
      <w:r w:rsidRPr="00215B2F">
        <w:rPr>
          <w:sz w:val="20"/>
          <w:szCs w:val="20"/>
        </w:rPr>
        <w:t>nem organu)</w:t>
      </w:r>
    </w:p>
    <w:p w14:paraId="3D44891D" w14:textId="77777777" w:rsidR="00D91782" w:rsidRPr="00215B2F" w:rsidRDefault="00D91782" w:rsidP="00FD5520">
      <w:pPr>
        <w:pStyle w:val="Slog1"/>
        <w:shd w:val="clear" w:color="auto" w:fill="FFFFFF" w:themeFill="background1"/>
        <w:jc w:val="both"/>
        <w:rPr>
          <w:sz w:val="20"/>
          <w:szCs w:val="20"/>
        </w:rPr>
      </w:pPr>
    </w:p>
    <w:p w14:paraId="094D02FE" w14:textId="199251E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60" w:name="_Hlk203470867"/>
      <w:r w:rsidRPr="00215B2F">
        <w:rPr>
          <w:rFonts w:ascii="Arial" w:eastAsia="Arial" w:hAnsi="Arial" w:cs="Arial"/>
          <w:sz w:val="20"/>
          <w:szCs w:val="20"/>
        </w:rPr>
        <w:t xml:space="preserve">(1) Določbe tega zakona, ki </w:t>
      </w:r>
      <w:r w:rsidR="00A31B3B" w:rsidRPr="00215B2F">
        <w:rPr>
          <w:rFonts w:ascii="Arial" w:eastAsia="Arial" w:hAnsi="Arial" w:cs="Arial"/>
          <w:sz w:val="20"/>
          <w:szCs w:val="20"/>
        </w:rPr>
        <w:t xml:space="preserve">se uporabljajo </w:t>
      </w:r>
      <w:r w:rsidRPr="00215B2F">
        <w:rPr>
          <w:rFonts w:ascii="Arial" w:eastAsia="Arial" w:hAnsi="Arial" w:cs="Arial"/>
          <w:sz w:val="20"/>
          <w:szCs w:val="20"/>
        </w:rPr>
        <w:t xml:space="preserve">za člane upravljalnih organov, </w:t>
      </w:r>
      <w:r w:rsidR="00A31B3B" w:rsidRPr="00215B2F">
        <w:rPr>
          <w:rFonts w:ascii="Arial" w:eastAsia="Arial" w:hAnsi="Arial" w:cs="Arial"/>
          <w:sz w:val="20"/>
          <w:szCs w:val="20"/>
        </w:rPr>
        <w:t xml:space="preserve">se uporabljajo </w:t>
      </w:r>
      <w:r w:rsidRPr="00215B2F">
        <w:rPr>
          <w:rFonts w:ascii="Arial" w:eastAsia="Arial" w:hAnsi="Arial" w:cs="Arial"/>
          <w:sz w:val="20"/>
          <w:szCs w:val="20"/>
        </w:rPr>
        <w:t>tudi za člane, ki so predstavniki delavcev na podlagi zakona, ki ureja sodelovanje delavcev pri upravljanju gospodarskih družb.</w:t>
      </w:r>
    </w:p>
    <w:p w14:paraId="55EA1FC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A787B80" w14:textId="5193674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Drugi in tretji </w:t>
      </w:r>
      <w:r w:rsidR="00746E88" w:rsidRPr="00215B2F">
        <w:rPr>
          <w:rFonts w:ascii="Arial" w:eastAsia="Arial" w:hAnsi="Arial" w:cs="Arial"/>
          <w:sz w:val="20"/>
          <w:szCs w:val="20"/>
        </w:rPr>
        <w:t xml:space="preserve">odstavek </w:t>
      </w:r>
      <w:r w:rsidR="00AE48E9" w:rsidRPr="00215B2F">
        <w:rPr>
          <w:rFonts w:ascii="Arial" w:eastAsia="Arial" w:hAnsi="Arial" w:cs="Arial"/>
          <w:sz w:val="20"/>
          <w:szCs w:val="20"/>
        </w:rPr>
        <w:t>41. člena tega zakona</w:t>
      </w:r>
      <w:r w:rsidRPr="00215B2F">
        <w:rPr>
          <w:rFonts w:ascii="Arial" w:eastAsia="Arial" w:hAnsi="Arial" w:cs="Arial"/>
          <w:sz w:val="20"/>
          <w:szCs w:val="20"/>
        </w:rPr>
        <w:t xml:space="preserve"> se smiselno uporabljata tudi za imenovanje predstavnikov delavcev v upravljalne organe. Organ, pristojen za izb</w:t>
      </w:r>
      <w:r w:rsidR="002807A7" w:rsidRPr="00215B2F">
        <w:rPr>
          <w:rFonts w:ascii="Arial" w:eastAsia="Arial" w:hAnsi="Arial" w:cs="Arial"/>
          <w:sz w:val="20"/>
          <w:szCs w:val="20"/>
        </w:rPr>
        <w:t>i</w:t>
      </w:r>
      <w:r w:rsidRPr="00215B2F">
        <w:rPr>
          <w:rFonts w:ascii="Arial" w:eastAsia="Arial" w:hAnsi="Arial" w:cs="Arial"/>
          <w:sz w:val="20"/>
          <w:szCs w:val="20"/>
        </w:rPr>
        <w:t>r</w:t>
      </w:r>
      <w:r w:rsidR="002807A7" w:rsidRPr="00215B2F">
        <w:rPr>
          <w:rFonts w:ascii="Arial" w:eastAsia="Arial" w:hAnsi="Arial" w:cs="Arial"/>
          <w:sz w:val="20"/>
          <w:szCs w:val="20"/>
        </w:rPr>
        <w:t>o</w:t>
      </w:r>
      <w:r w:rsidRPr="00215B2F">
        <w:rPr>
          <w:rFonts w:ascii="Arial" w:eastAsia="Arial" w:hAnsi="Arial" w:cs="Arial"/>
          <w:sz w:val="20"/>
          <w:szCs w:val="20"/>
        </w:rPr>
        <w:t xml:space="preserve"> in imenovanje predstavnikov delavcev, mora v poslovniku opredeliti ključne zahteve za posamezne člane upravljalnega organa </w:t>
      </w:r>
      <w:r w:rsidR="002807A7" w:rsidRPr="00215B2F">
        <w:rPr>
          <w:rFonts w:ascii="Arial" w:eastAsia="Arial" w:hAnsi="Arial" w:cs="Arial"/>
          <w:sz w:val="20"/>
          <w:szCs w:val="20"/>
        </w:rPr>
        <w:t xml:space="preserve">ter </w:t>
      </w:r>
      <w:r w:rsidRPr="00215B2F">
        <w:rPr>
          <w:rFonts w:ascii="Arial" w:eastAsia="Arial" w:hAnsi="Arial" w:cs="Arial"/>
          <w:sz w:val="20"/>
          <w:szCs w:val="20"/>
        </w:rPr>
        <w:t xml:space="preserve">postopke v zvezi z ocenjevanjem primernosti, imenovanjem in predčasno razrešitvijo predstavnikov delavcev v upravljalnem organu banke ter v dogovoru s pristojnimi organi banke način nepretrganega zagotavljanja primernosti upravljalnega organa kot celote. Svet delavcev mora pri tem upoštevati tudi podzakonske akte, ki jih izda Banka Slovenije na podlagi </w:t>
      </w:r>
      <w:r w:rsidR="000F4B14" w:rsidRPr="00215B2F">
        <w:rPr>
          <w:rFonts w:ascii="Arial" w:eastAsia="Arial" w:hAnsi="Arial" w:cs="Arial"/>
          <w:sz w:val="20"/>
          <w:szCs w:val="20"/>
        </w:rPr>
        <w:t>78</w:t>
      </w:r>
      <w:r w:rsidRPr="00215B2F">
        <w:rPr>
          <w:rFonts w:ascii="Arial" w:eastAsia="Arial" w:hAnsi="Arial" w:cs="Arial"/>
          <w:sz w:val="20"/>
          <w:szCs w:val="20"/>
        </w:rPr>
        <w:t xml:space="preserve">. in </w:t>
      </w:r>
      <w:r w:rsidR="000F4B14" w:rsidRPr="00215B2F">
        <w:rPr>
          <w:rFonts w:ascii="Arial" w:eastAsia="Arial" w:hAnsi="Arial" w:cs="Arial"/>
          <w:sz w:val="20"/>
          <w:szCs w:val="20"/>
        </w:rPr>
        <w:t>184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04E4B9D5"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B26C44E" w14:textId="7837310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in svet delavcev sporazumno opredelita način nepretrganega zagotavljanja primernosti upravljalnega organa kot celote v skladu s prvim </w:t>
      </w:r>
      <w:r w:rsidR="00746E88" w:rsidRPr="00215B2F">
        <w:rPr>
          <w:rFonts w:ascii="Arial" w:eastAsia="Arial" w:hAnsi="Arial" w:cs="Arial"/>
          <w:sz w:val="20"/>
          <w:szCs w:val="20"/>
        </w:rPr>
        <w:t xml:space="preserve">odstavkom </w:t>
      </w:r>
      <w:r w:rsidR="00AE48E9" w:rsidRPr="00215B2F">
        <w:rPr>
          <w:rFonts w:ascii="Arial" w:eastAsia="Arial" w:hAnsi="Arial" w:cs="Arial"/>
          <w:sz w:val="20"/>
          <w:szCs w:val="20"/>
        </w:rPr>
        <w:t xml:space="preserve">41. </w:t>
      </w:r>
      <w:r w:rsidR="00746E88" w:rsidRPr="00215B2F">
        <w:rPr>
          <w:rFonts w:ascii="Arial" w:eastAsia="Arial" w:hAnsi="Arial" w:cs="Arial"/>
          <w:sz w:val="20"/>
          <w:szCs w:val="20"/>
        </w:rPr>
        <w:t>člena</w:t>
      </w:r>
      <w:r w:rsidR="00AE48E9" w:rsidRPr="00215B2F">
        <w:rPr>
          <w:rFonts w:ascii="Arial" w:eastAsia="Arial" w:hAnsi="Arial" w:cs="Arial"/>
          <w:sz w:val="20"/>
          <w:szCs w:val="20"/>
        </w:rPr>
        <w:t xml:space="preserve"> tega zakona</w:t>
      </w:r>
      <w:r w:rsidRPr="00215B2F">
        <w:rPr>
          <w:rFonts w:ascii="Arial" w:eastAsia="Arial" w:hAnsi="Arial" w:cs="Arial"/>
          <w:sz w:val="20"/>
          <w:szCs w:val="20"/>
        </w:rPr>
        <w:t>.</w:t>
      </w:r>
    </w:p>
    <w:p w14:paraId="60A49853"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9459FE8" w14:textId="5B08B87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mora zagotoviti ustrezne kadrovske in finančne pogoje za uvajanje in usposabljanje članov upravljalnega organa, ki so predstavniki delavcev.</w:t>
      </w:r>
    </w:p>
    <w:p w14:paraId="6E49BA90"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F144A44" w14:textId="39F6B1B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(5) Ne glede na določbe drugih zakonov </w:t>
      </w:r>
      <w:r w:rsidR="002807A7" w:rsidRPr="00215B2F">
        <w:rPr>
          <w:rFonts w:ascii="Arial" w:eastAsia="Arial" w:hAnsi="Arial" w:cs="Arial"/>
          <w:sz w:val="20"/>
          <w:szCs w:val="20"/>
        </w:rPr>
        <w:t xml:space="preserve">imajo </w:t>
      </w:r>
      <w:r w:rsidRPr="00215B2F">
        <w:rPr>
          <w:rFonts w:ascii="Arial" w:eastAsia="Arial" w:hAnsi="Arial" w:cs="Arial"/>
          <w:sz w:val="20"/>
          <w:szCs w:val="20"/>
        </w:rPr>
        <w:t>predstavniki delavcev, ki so člani upravljalnega organa banke, dolžn</w:t>
      </w:r>
      <w:r w:rsidR="002807A7" w:rsidRPr="00215B2F">
        <w:rPr>
          <w:rFonts w:ascii="Arial" w:eastAsia="Arial" w:hAnsi="Arial" w:cs="Arial"/>
          <w:sz w:val="20"/>
          <w:szCs w:val="20"/>
        </w:rPr>
        <w:t>ost</w:t>
      </w:r>
      <w:r w:rsidRPr="00215B2F">
        <w:rPr>
          <w:rFonts w:ascii="Arial" w:eastAsia="Arial" w:hAnsi="Arial" w:cs="Arial"/>
          <w:sz w:val="20"/>
          <w:szCs w:val="20"/>
        </w:rPr>
        <w:t xml:space="preserve"> varovati zaupne informacije in poslovne skrivnosti banke, za katere izvejo pri opravljanju funkcije člana upravljalnega organa ali v povezavi z opravljanjem te funkcije in po prenehanju opravljanja funkcije člana upravljalnega organa. Dolžnost varovanja zaupnih informacij in poslovnih skrivnosti predstavnikov delavcev velja tudi v odnosu do sveta delavcev in morebitnih drugih zainteresiranih deležnikov. Svet delavcev v soglasju z banko sprejme politiko o izmenjavi različnih vrst informacij med predstavniki delavcev v upravljalnem organu in svetom delavcev ter </w:t>
      </w:r>
      <w:r w:rsidR="002807A7" w:rsidRPr="00215B2F">
        <w:rPr>
          <w:rFonts w:ascii="Arial" w:eastAsia="Arial" w:hAnsi="Arial" w:cs="Arial"/>
          <w:sz w:val="20"/>
          <w:szCs w:val="20"/>
        </w:rPr>
        <w:t xml:space="preserve">med </w:t>
      </w:r>
      <w:r w:rsidRPr="00215B2F">
        <w:rPr>
          <w:rFonts w:ascii="Arial" w:eastAsia="Arial" w:hAnsi="Arial" w:cs="Arial"/>
          <w:sz w:val="20"/>
          <w:szCs w:val="20"/>
        </w:rPr>
        <w:t>drugimi zainteresiranimi deležniki in postopke v zvezi s tem.</w:t>
      </w:r>
    </w:p>
    <w:bookmarkEnd w:id="60"/>
    <w:p w14:paraId="27C58890" w14:textId="77777777" w:rsidR="00D91782" w:rsidRPr="00215B2F" w:rsidRDefault="00D91782" w:rsidP="00FD5520">
      <w:pPr>
        <w:shd w:val="clear" w:color="auto" w:fill="FFFFFF" w:themeFill="background1"/>
        <w:spacing w:after="0" w:line="240" w:lineRule="auto"/>
        <w:jc w:val="both"/>
        <w:rPr>
          <w:rFonts w:ascii="Arial" w:eastAsia="Arial" w:hAnsi="Arial" w:cs="Arial"/>
          <w:strike/>
          <w:sz w:val="20"/>
          <w:szCs w:val="20"/>
        </w:rPr>
      </w:pPr>
    </w:p>
    <w:p w14:paraId="6014CB5C"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61" w:name="_Ref202960389"/>
      <w:r w:rsidRPr="00215B2F">
        <w:rPr>
          <w:rFonts w:ascii="Arial" w:eastAsia="Arial" w:hAnsi="Arial" w:cs="Arial"/>
          <w:b/>
          <w:bCs/>
          <w:sz w:val="20"/>
          <w:szCs w:val="20"/>
        </w:rPr>
        <w:t>člen</w:t>
      </w:r>
      <w:bookmarkEnd w:id="61"/>
    </w:p>
    <w:p w14:paraId="2AC8EC3E" w14:textId="77777777" w:rsidR="00D91782" w:rsidRPr="00215B2F" w:rsidRDefault="00D91782" w:rsidP="00FD5520">
      <w:pPr>
        <w:pStyle w:val="Slog1"/>
        <w:shd w:val="clear" w:color="auto" w:fill="FFFFFF" w:themeFill="background1"/>
        <w:rPr>
          <w:sz w:val="20"/>
          <w:szCs w:val="20"/>
        </w:rPr>
      </w:pPr>
      <w:r w:rsidRPr="00215B2F">
        <w:rPr>
          <w:sz w:val="20"/>
          <w:szCs w:val="20"/>
        </w:rPr>
        <w:t>(ocenjevanje primernosti članov upravljalnega organa)</w:t>
      </w:r>
    </w:p>
    <w:p w14:paraId="791BC529" w14:textId="77777777" w:rsidR="00D91782" w:rsidRPr="00215B2F" w:rsidRDefault="00D91782" w:rsidP="00FD5520">
      <w:pPr>
        <w:pStyle w:val="Slog1"/>
        <w:shd w:val="clear" w:color="auto" w:fill="FFFFFF" w:themeFill="background1"/>
        <w:rPr>
          <w:sz w:val="20"/>
          <w:szCs w:val="20"/>
        </w:rPr>
      </w:pPr>
    </w:p>
    <w:p w14:paraId="3967B067" w14:textId="0EC147F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mora vzpostaviti in izvajati p</w:t>
      </w:r>
      <w:r w:rsidR="00124B97" w:rsidRPr="00215B2F">
        <w:rPr>
          <w:rFonts w:ascii="Arial" w:eastAsia="Arial" w:hAnsi="Arial" w:cs="Arial"/>
          <w:sz w:val="20"/>
          <w:szCs w:val="20"/>
        </w:rPr>
        <w:t>ostopek</w:t>
      </w:r>
      <w:r w:rsidRPr="00215B2F">
        <w:rPr>
          <w:rFonts w:ascii="Arial" w:eastAsia="Arial" w:hAnsi="Arial" w:cs="Arial"/>
          <w:sz w:val="20"/>
          <w:szCs w:val="20"/>
        </w:rPr>
        <w:t xml:space="preserve"> ocenjevanja primernosti članov upravljalnega organa pred imenovanjem in nato redno izv</w:t>
      </w:r>
      <w:r w:rsidR="00CA165A" w:rsidRPr="00215B2F">
        <w:rPr>
          <w:rFonts w:ascii="Arial" w:eastAsia="Arial" w:hAnsi="Arial" w:cs="Arial"/>
          <w:sz w:val="20"/>
          <w:szCs w:val="20"/>
        </w:rPr>
        <w:t>ajati</w:t>
      </w:r>
      <w:r w:rsidRPr="00215B2F">
        <w:rPr>
          <w:rFonts w:ascii="Arial" w:eastAsia="Arial" w:hAnsi="Arial" w:cs="Arial"/>
          <w:sz w:val="20"/>
          <w:szCs w:val="20"/>
        </w:rPr>
        <w:t xml:space="preserve"> ponovno ocenjevanje primernosti, k</w:t>
      </w:r>
      <w:r w:rsidR="00CA165A" w:rsidRPr="00215B2F">
        <w:rPr>
          <w:rFonts w:ascii="Arial" w:eastAsia="Arial" w:hAnsi="Arial" w:cs="Arial"/>
          <w:sz w:val="20"/>
          <w:szCs w:val="20"/>
        </w:rPr>
        <w:t>akor</w:t>
      </w:r>
      <w:r w:rsidRPr="00215B2F">
        <w:rPr>
          <w:rFonts w:ascii="Arial" w:eastAsia="Arial" w:hAnsi="Arial" w:cs="Arial"/>
          <w:sz w:val="20"/>
          <w:szCs w:val="20"/>
        </w:rPr>
        <w:t xml:space="preserve"> je določeno v tem zakonu, predpisih</w:t>
      </w:r>
      <w:r w:rsidR="00F455AB" w:rsidRPr="00215B2F">
        <w:rPr>
          <w:rFonts w:ascii="Arial" w:eastAsia="Arial" w:hAnsi="Arial" w:cs="Arial"/>
          <w:sz w:val="20"/>
          <w:szCs w:val="20"/>
        </w:rPr>
        <w:t>,</w:t>
      </w:r>
      <w:r w:rsidRPr="00215B2F">
        <w:rPr>
          <w:rFonts w:ascii="Arial" w:eastAsia="Arial" w:hAnsi="Arial" w:cs="Arial"/>
          <w:sz w:val="20"/>
          <w:szCs w:val="20"/>
        </w:rPr>
        <w:t xml:space="preserve"> sprejetih na njegovi podlagi</w:t>
      </w:r>
      <w:r w:rsidR="00F455AB" w:rsidRPr="00215B2F">
        <w:rPr>
          <w:rFonts w:ascii="Arial" w:eastAsia="Arial" w:hAnsi="Arial" w:cs="Arial"/>
          <w:sz w:val="20"/>
          <w:szCs w:val="20"/>
        </w:rPr>
        <w:t>,</w:t>
      </w:r>
      <w:r w:rsidRPr="00215B2F">
        <w:rPr>
          <w:rFonts w:ascii="Arial" w:eastAsia="Arial" w:hAnsi="Arial" w:cs="Arial"/>
          <w:sz w:val="20"/>
          <w:szCs w:val="20"/>
        </w:rPr>
        <w:t xml:space="preserve"> in notranjih politikah banke glede primernosti, najmanj pa enkrat letno (</w:t>
      </w:r>
      <w:r w:rsidR="001B2A64" w:rsidRPr="00215B2F">
        <w:rPr>
          <w:rFonts w:ascii="Arial" w:eastAsia="Arial" w:hAnsi="Arial" w:cs="Arial"/>
          <w:sz w:val="20"/>
          <w:szCs w:val="20"/>
        </w:rPr>
        <w:t>v nadaljnjem besedilu:</w:t>
      </w:r>
      <w:r w:rsidRPr="00215B2F">
        <w:rPr>
          <w:rFonts w:ascii="Arial" w:eastAsia="Arial" w:hAnsi="Arial" w:cs="Arial"/>
          <w:sz w:val="20"/>
          <w:szCs w:val="20"/>
        </w:rPr>
        <w:t xml:space="preserve"> notranja ocena primernosti).</w:t>
      </w:r>
    </w:p>
    <w:p w14:paraId="7F6251CE"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9E738A8" w14:textId="0DA5939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izvede ponovno notranj</w:t>
      </w:r>
      <w:r w:rsidR="00023640" w:rsidRPr="00215B2F">
        <w:rPr>
          <w:rFonts w:ascii="Arial" w:eastAsia="Arial" w:hAnsi="Arial" w:cs="Arial"/>
          <w:sz w:val="20"/>
          <w:szCs w:val="20"/>
        </w:rPr>
        <w:t>e</w:t>
      </w:r>
      <w:r w:rsidRPr="00215B2F">
        <w:rPr>
          <w:rFonts w:ascii="Arial" w:eastAsia="Arial" w:hAnsi="Arial" w:cs="Arial"/>
          <w:sz w:val="20"/>
          <w:szCs w:val="20"/>
        </w:rPr>
        <w:t xml:space="preserve"> ocen</w:t>
      </w:r>
      <w:r w:rsidR="00581018" w:rsidRPr="00215B2F">
        <w:rPr>
          <w:rFonts w:ascii="Arial" w:eastAsia="Arial" w:hAnsi="Arial" w:cs="Arial"/>
          <w:sz w:val="20"/>
          <w:szCs w:val="20"/>
        </w:rPr>
        <w:t>jevanje</w:t>
      </w:r>
      <w:r w:rsidRPr="00215B2F">
        <w:rPr>
          <w:rFonts w:ascii="Arial" w:eastAsia="Arial" w:hAnsi="Arial" w:cs="Arial"/>
          <w:sz w:val="20"/>
          <w:szCs w:val="20"/>
        </w:rPr>
        <w:t xml:space="preserve"> primernosti, takoj ko so znana nova dejstva ali druge okoliščine, ki bi lahko vplivale na primernost članov upravljalnega organa. Banka o </w:t>
      </w:r>
      <w:r w:rsidR="00F455AB" w:rsidRPr="00215B2F">
        <w:rPr>
          <w:rFonts w:ascii="Arial" w:eastAsia="Arial" w:hAnsi="Arial" w:cs="Arial"/>
          <w:sz w:val="20"/>
          <w:szCs w:val="20"/>
        </w:rPr>
        <w:t>ponovn</w:t>
      </w:r>
      <w:r w:rsidR="000158EB" w:rsidRPr="00215B2F">
        <w:rPr>
          <w:rFonts w:ascii="Arial" w:eastAsia="Arial" w:hAnsi="Arial" w:cs="Arial"/>
          <w:sz w:val="20"/>
          <w:szCs w:val="20"/>
        </w:rPr>
        <w:t>i</w:t>
      </w:r>
      <w:r w:rsidR="00F455AB" w:rsidRPr="00215B2F">
        <w:rPr>
          <w:rFonts w:ascii="Arial" w:eastAsia="Arial" w:hAnsi="Arial" w:cs="Arial"/>
          <w:sz w:val="20"/>
          <w:szCs w:val="20"/>
        </w:rPr>
        <w:t xml:space="preserve"> </w:t>
      </w:r>
      <w:r w:rsidR="00CA165A" w:rsidRPr="00215B2F">
        <w:rPr>
          <w:rFonts w:ascii="Arial" w:eastAsia="Arial" w:hAnsi="Arial" w:cs="Arial"/>
          <w:sz w:val="20"/>
          <w:szCs w:val="20"/>
        </w:rPr>
        <w:t>notranj</w:t>
      </w:r>
      <w:r w:rsidR="000158EB" w:rsidRPr="00215B2F">
        <w:rPr>
          <w:rFonts w:ascii="Arial" w:eastAsia="Arial" w:hAnsi="Arial" w:cs="Arial"/>
          <w:sz w:val="20"/>
          <w:szCs w:val="20"/>
        </w:rPr>
        <w:t>i</w:t>
      </w:r>
      <w:r w:rsidR="00CA165A" w:rsidRPr="00215B2F">
        <w:rPr>
          <w:rFonts w:ascii="Arial" w:eastAsia="Arial" w:hAnsi="Arial" w:cs="Arial"/>
          <w:sz w:val="20"/>
          <w:szCs w:val="20"/>
        </w:rPr>
        <w:t xml:space="preserve"> </w:t>
      </w:r>
      <w:r w:rsidRPr="00215B2F">
        <w:rPr>
          <w:rFonts w:ascii="Arial" w:eastAsia="Arial" w:hAnsi="Arial" w:cs="Arial"/>
          <w:sz w:val="20"/>
          <w:szCs w:val="20"/>
        </w:rPr>
        <w:t>ocen</w:t>
      </w:r>
      <w:r w:rsidR="000158EB" w:rsidRPr="00215B2F">
        <w:rPr>
          <w:rFonts w:ascii="Arial" w:eastAsia="Arial" w:hAnsi="Arial" w:cs="Arial"/>
          <w:sz w:val="20"/>
          <w:szCs w:val="20"/>
        </w:rPr>
        <w:t>i</w:t>
      </w:r>
      <w:r w:rsidRPr="00215B2F">
        <w:rPr>
          <w:rFonts w:ascii="Arial" w:eastAsia="Arial" w:hAnsi="Arial" w:cs="Arial"/>
          <w:sz w:val="20"/>
          <w:szCs w:val="20"/>
        </w:rPr>
        <w:t xml:space="preserve"> primernosti nemudoma obvesti Banko Slovenije. </w:t>
      </w:r>
    </w:p>
    <w:p w14:paraId="17F126C8"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6756BB0" w14:textId="58CDC2D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V primeru ocenjevanja primernosti člana upravljalnega organa, ki je predstavnik delavcev v upravljalnem organu, se mora svet delavcev opredeliti do </w:t>
      </w:r>
      <w:r w:rsidR="00CA165A" w:rsidRPr="00215B2F">
        <w:rPr>
          <w:rFonts w:ascii="Arial" w:eastAsia="Arial" w:hAnsi="Arial" w:cs="Arial"/>
          <w:sz w:val="20"/>
          <w:szCs w:val="20"/>
        </w:rPr>
        <w:t xml:space="preserve">notranje </w:t>
      </w:r>
      <w:r w:rsidRPr="00215B2F">
        <w:rPr>
          <w:rFonts w:ascii="Arial" w:eastAsia="Arial" w:hAnsi="Arial" w:cs="Arial"/>
          <w:sz w:val="20"/>
          <w:szCs w:val="20"/>
        </w:rPr>
        <w:t xml:space="preserve">ocene primernosti člana upravljalnega organa, ki jo je v skladu s </w:t>
      </w:r>
      <w:r w:rsidR="006B6A15" w:rsidRPr="00215B2F">
        <w:rPr>
          <w:rFonts w:ascii="Arial" w:eastAsia="Arial" w:hAnsi="Arial" w:cs="Arial"/>
          <w:sz w:val="20"/>
          <w:szCs w:val="20"/>
        </w:rPr>
        <w:t xml:space="preserve">prvim </w:t>
      </w:r>
      <w:r w:rsidRPr="00215B2F">
        <w:rPr>
          <w:rFonts w:ascii="Arial" w:eastAsia="Arial" w:hAnsi="Arial" w:cs="Arial"/>
          <w:sz w:val="20"/>
          <w:szCs w:val="20"/>
        </w:rPr>
        <w:t>odstavkom</w:t>
      </w:r>
      <w:r w:rsidR="00A31B3B" w:rsidRPr="00215B2F">
        <w:rPr>
          <w:rFonts w:ascii="Arial" w:eastAsia="Arial" w:hAnsi="Arial" w:cs="Arial"/>
          <w:sz w:val="20"/>
          <w:szCs w:val="20"/>
        </w:rPr>
        <w:t xml:space="preserve"> tega člena</w:t>
      </w:r>
      <w:r w:rsidRPr="00215B2F">
        <w:rPr>
          <w:rFonts w:ascii="Arial" w:eastAsia="Arial" w:hAnsi="Arial" w:cs="Arial"/>
          <w:sz w:val="20"/>
          <w:szCs w:val="20"/>
        </w:rPr>
        <w:t xml:space="preserve"> pripravila banka.</w:t>
      </w:r>
    </w:p>
    <w:p w14:paraId="77B10F52"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1B0EC92" w14:textId="154A61E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Kadar pri izvedbi ocenjevanja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sodeluje posameznik, ki je zaposlen v banki, mora banka zagotoviti ustrezno zaščito te osebe pred morebitnimi povračilnimi ukrepi.</w:t>
      </w:r>
    </w:p>
    <w:p w14:paraId="083744D0"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B706844" w14:textId="07D91E8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Če iz notranje ocene primernosti izhaja, da kandidat za člana upravljalnega organa ali član upravljalnega organa ne izpolnjuje meril in </w:t>
      </w:r>
      <w:r w:rsidR="000F0BBC" w:rsidRPr="00215B2F">
        <w:rPr>
          <w:rFonts w:ascii="Arial" w:eastAsia="Arial" w:hAnsi="Arial" w:cs="Arial"/>
          <w:sz w:val="20"/>
          <w:szCs w:val="20"/>
        </w:rPr>
        <w:t>pogojev</w:t>
      </w:r>
      <w:r w:rsidRPr="00215B2F">
        <w:rPr>
          <w:rFonts w:ascii="Arial" w:eastAsia="Arial" w:hAnsi="Arial" w:cs="Arial"/>
          <w:sz w:val="20"/>
          <w:szCs w:val="20"/>
        </w:rPr>
        <w:t xml:space="preserve"> iz prvega odstavka </w:t>
      </w:r>
      <w:r w:rsidR="000F4B14" w:rsidRPr="00215B2F">
        <w:rPr>
          <w:rFonts w:ascii="Arial" w:eastAsia="Arial" w:hAnsi="Arial" w:cs="Arial"/>
          <w:sz w:val="20"/>
          <w:szCs w:val="20"/>
        </w:rPr>
        <w:t>41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00256D7F" w:rsidRPr="00215B2F">
        <w:rPr>
          <w:rFonts w:ascii="Arial" w:eastAsia="Arial" w:hAnsi="Arial" w:cs="Arial"/>
          <w:sz w:val="20"/>
          <w:szCs w:val="20"/>
        </w:rPr>
        <w:t>,</w:t>
      </w:r>
      <w:r w:rsidRPr="00215B2F">
        <w:rPr>
          <w:rFonts w:ascii="Arial" w:eastAsia="Arial" w:hAnsi="Arial" w:cs="Arial"/>
          <w:sz w:val="20"/>
          <w:szCs w:val="20"/>
        </w:rPr>
        <w:t xml:space="preserve"> banka:</w:t>
      </w:r>
    </w:p>
    <w:p w14:paraId="425A4DEE" w14:textId="77777777" w:rsidR="003E05E7" w:rsidRPr="00215B2F" w:rsidRDefault="003E05E7" w:rsidP="00FD5520">
      <w:pPr>
        <w:shd w:val="clear" w:color="auto" w:fill="FFFFFF" w:themeFill="background1"/>
        <w:spacing w:after="0" w:line="240" w:lineRule="auto"/>
        <w:jc w:val="both"/>
        <w:rPr>
          <w:rFonts w:ascii="Arial" w:eastAsia="Arial" w:hAnsi="Arial" w:cs="Arial"/>
          <w:sz w:val="20"/>
          <w:szCs w:val="20"/>
        </w:rPr>
      </w:pPr>
    </w:p>
    <w:p w14:paraId="6CAD01FD" w14:textId="4DD77E27" w:rsidR="00730AA1" w:rsidRPr="00215B2F" w:rsidRDefault="00256D7F">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če</w:t>
      </w:r>
      <w:r w:rsidR="00D91782" w:rsidRPr="00215B2F">
        <w:rPr>
          <w:rFonts w:ascii="Arial" w:eastAsia="Arial" w:hAnsi="Arial" w:cs="Arial"/>
          <w:sz w:val="20"/>
          <w:szCs w:val="20"/>
        </w:rPr>
        <w:t xml:space="preserve"> kandidat še ni nastopil funkcije člana upravljalnega organa, zagotovi, da funkcije ne nastopi,</w:t>
      </w:r>
    </w:p>
    <w:p w14:paraId="06884693" w14:textId="5FDF9380" w:rsidR="00730AA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pravočasno razreši člana upravljalnega organa, ki ne izpolnjuje pogojev</w:t>
      </w:r>
      <w:r w:rsidR="00CA165A" w:rsidRPr="00215B2F">
        <w:rPr>
          <w:rFonts w:ascii="Arial" w:eastAsia="Arial" w:hAnsi="Arial" w:cs="Arial"/>
          <w:sz w:val="20"/>
          <w:szCs w:val="20"/>
        </w:rPr>
        <w:t>,</w:t>
      </w:r>
      <w:r w:rsidRPr="00215B2F">
        <w:rPr>
          <w:rFonts w:ascii="Arial" w:eastAsia="Arial" w:hAnsi="Arial" w:cs="Arial"/>
          <w:sz w:val="20"/>
          <w:szCs w:val="20"/>
        </w:rPr>
        <w:t xml:space="preserve"> ali</w:t>
      </w:r>
    </w:p>
    <w:p w14:paraId="50941E53" w14:textId="64615F0C"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pravočasno sprejme dodatne ukrepe, s katerimi zagotovi primernost člana upravljanega organa oziroma kandidata za člana upravljalnega organa. </w:t>
      </w:r>
    </w:p>
    <w:p w14:paraId="188D8E58"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D5C4053" w14:textId="6BAE4B5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Banka zagotavlja, da so informacije o primernosti članov upravljalnega organa in notranja ocena primernosti vedno posodobljene. Banka te informacije in notranjo oceno primernosti na zahtevo predloži Banki Slovenije. </w:t>
      </w:r>
    </w:p>
    <w:p w14:paraId="6C9A0492"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71C98C1" w14:textId="22584F9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Banka mora v petih dneh po sprejetju sklepa nadzornega sveta o imenovanju ali razrešitvi članov uprave oziroma o potrditvi ustreznosti kandidatov za člane </w:t>
      </w:r>
      <w:r w:rsidR="00354135" w:rsidRPr="00215B2F">
        <w:rPr>
          <w:rFonts w:ascii="Arial" w:hAnsi="Arial" w:cs="Arial"/>
          <w:sz w:val="20"/>
          <w:szCs w:val="20"/>
        </w:rPr>
        <w:t>nadzornega sveta</w:t>
      </w:r>
      <w:r w:rsidRPr="00215B2F">
        <w:rPr>
          <w:rFonts w:ascii="Arial" w:eastAsia="Arial" w:hAnsi="Arial" w:cs="Arial"/>
          <w:sz w:val="20"/>
          <w:szCs w:val="20"/>
        </w:rPr>
        <w:t xml:space="preserve"> obvestiti Banko Slovenije. V zvezi z imenovanjem člana uprave ali nadzornega sveta mora banka predložiti oceno primernosti kandidatov, ki jo je izvedla.</w:t>
      </w:r>
    </w:p>
    <w:p w14:paraId="5F1CED7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3CEE7C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62" w:name="_Ref202960400"/>
      <w:r w:rsidRPr="00215B2F">
        <w:rPr>
          <w:rFonts w:ascii="Arial" w:eastAsia="Arial" w:hAnsi="Arial" w:cs="Arial"/>
          <w:b/>
          <w:bCs/>
          <w:sz w:val="20"/>
          <w:szCs w:val="20"/>
        </w:rPr>
        <w:t>člen</w:t>
      </w:r>
      <w:bookmarkEnd w:id="62"/>
    </w:p>
    <w:p w14:paraId="42ABE4D5" w14:textId="77777777" w:rsidR="00D91782" w:rsidRPr="00215B2F" w:rsidRDefault="00D91782" w:rsidP="00FD5520">
      <w:pPr>
        <w:pStyle w:val="Slog1"/>
        <w:shd w:val="clear" w:color="auto" w:fill="FFFFFF" w:themeFill="background1"/>
        <w:rPr>
          <w:sz w:val="20"/>
          <w:szCs w:val="20"/>
        </w:rPr>
      </w:pPr>
      <w:r w:rsidRPr="00215B2F">
        <w:rPr>
          <w:sz w:val="20"/>
          <w:szCs w:val="20"/>
        </w:rPr>
        <w:t>(nezdružljivost opravljanja drugih direktorskih funkcij)</w:t>
      </w:r>
    </w:p>
    <w:p w14:paraId="57769997" w14:textId="77777777" w:rsidR="00D91782" w:rsidRPr="00215B2F" w:rsidRDefault="00D91782" w:rsidP="00FD5520">
      <w:pPr>
        <w:pStyle w:val="Slog1"/>
        <w:shd w:val="clear" w:color="auto" w:fill="FFFFFF" w:themeFill="background1"/>
        <w:jc w:val="both"/>
        <w:rPr>
          <w:sz w:val="20"/>
          <w:szCs w:val="20"/>
        </w:rPr>
      </w:pPr>
    </w:p>
    <w:p w14:paraId="7BEF2A5E" w14:textId="1526B6D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63" w:name="_Hlk203655895"/>
      <w:r w:rsidRPr="00215B2F">
        <w:rPr>
          <w:rFonts w:ascii="Arial" w:eastAsia="Arial" w:hAnsi="Arial" w:cs="Arial"/>
          <w:sz w:val="20"/>
          <w:szCs w:val="20"/>
        </w:rPr>
        <w:t>(1) Banka mora pri določanju števila direktorskih funkcij, ki jih lahko istočasno opravlja posamezni član upravljalnega organa v drugih družbah in organizacijah hkrati z opravljanjem funkcije člana upravljalnega organa banke, upoštevati posamične okoliščine v zvezi z banko in članom, zlasti z vidika časa, ki ga mora ta nameniti opravljanju svoje funkcije, ter naravo, obsegom in zapletenostjo dejavnosti, ki jih opravlja banka.</w:t>
      </w:r>
    </w:p>
    <w:p w14:paraId="1B07324E"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139434C" w14:textId="526F832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Kot direktorska funkcija v drugi družbi in organizaciji se za namene tega člena šteje:</w:t>
      </w:r>
    </w:p>
    <w:p w14:paraId="471D8476"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D920068" w14:textId="77777777" w:rsidR="00730AA1" w:rsidRPr="00215B2F" w:rsidRDefault="00D91782">
      <w:pPr>
        <w:pStyle w:val="tevilnatoka"/>
        <w:numPr>
          <w:ilvl w:val="0"/>
          <w:numId w:val="46"/>
        </w:numPr>
        <w:shd w:val="clear" w:color="auto" w:fill="FFFFFF" w:themeFill="background1"/>
        <w:tabs>
          <w:tab w:val="clear" w:pos="425"/>
        </w:tabs>
        <w:rPr>
          <w:rFonts w:cs="Arial"/>
          <w:bCs/>
          <w:sz w:val="20"/>
          <w:szCs w:val="20"/>
        </w:rPr>
      </w:pPr>
      <w:r w:rsidRPr="00215B2F">
        <w:rPr>
          <w:rFonts w:eastAsia="Arial" w:cs="Arial"/>
          <w:sz w:val="20"/>
          <w:szCs w:val="20"/>
        </w:rPr>
        <w:t>funkcija vodenja, v okviru katere je oseba pooblaščena za vodenje poslov in zastopanje družbe, vključno s samostojnim podjetnikom posameznikom (v nadaljnjem besedilu: izvršna direktorska funkcija);</w:t>
      </w:r>
    </w:p>
    <w:p w14:paraId="63F6E200" w14:textId="04FA9E27" w:rsidR="00D91782" w:rsidRPr="00215B2F" w:rsidRDefault="00D91782">
      <w:pPr>
        <w:pStyle w:val="tevilnatoka"/>
        <w:numPr>
          <w:ilvl w:val="0"/>
          <w:numId w:val="46"/>
        </w:numPr>
        <w:shd w:val="clear" w:color="auto" w:fill="FFFFFF" w:themeFill="background1"/>
        <w:tabs>
          <w:tab w:val="clear" w:pos="425"/>
        </w:tabs>
        <w:rPr>
          <w:rFonts w:cs="Arial"/>
          <w:bCs/>
          <w:sz w:val="20"/>
          <w:szCs w:val="20"/>
        </w:rPr>
      </w:pPr>
      <w:r w:rsidRPr="00215B2F">
        <w:rPr>
          <w:rFonts w:eastAsia="Arial" w:cs="Arial"/>
          <w:sz w:val="20"/>
          <w:szCs w:val="20"/>
        </w:rPr>
        <w:lastRenderedPageBreak/>
        <w:t>funkcija nadzora, v okviru katere je oseba pooblaščena in odgovorna za nadzorovanje in spremljanje vodenja poslov družbe (v nadaljnjem besedilu: neizvršna direktorska funkcija).</w:t>
      </w:r>
    </w:p>
    <w:p w14:paraId="04AF7A36"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149102A" w14:textId="6800AE1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Člani upravljalnega organa pomembne banke lahko istočasno opravljajo več direktorskih funkcij v drugih družbah in organizacijah z upoštevanjem zahteve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če gre vključno s funkcijo v banki, za eno od naslednjih kombinacij:</w:t>
      </w:r>
    </w:p>
    <w:p w14:paraId="0011ACBE"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F2B8F7D" w14:textId="77777777" w:rsidR="00730AA1" w:rsidRPr="00215B2F" w:rsidRDefault="00D91782">
      <w:pPr>
        <w:pStyle w:val="tevilnatoka"/>
        <w:numPr>
          <w:ilvl w:val="0"/>
          <w:numId w:val="47"/>
        </w:numPr>
        <w:shd w:val="clear" w:color="auto" w:fill="FFFFFF" w:themeFill="background1"/>
        <w:tabs>
          <w:tab w:val="clear" w:pos="425"/>
        </w:tabs>
        <w:rPr>
          <w:rFonts w:eastAsiaTheme="minorHAnsi" w:cs="Arial"/>
          <w:bCs/>
          <w:sz w:val="20"/>
          <w:szCs w:val="20"/>
        </w:rPr>
      </w:pPr>
      <w:r w:rsidRPr="00215B2F">
        <w:rPr>
          <w:rFonts w:eastAsia="Arial" w:cs="Arial"/>
          <w:sz w:val="20"/>
          <w:szCs w:val="20"/>
        </w:rPr>
        <w:t>izvršna direktorska funkcija z največ dvema neizvršnima direktorskima funkcijama ali</w:t>
      </w:r>
    </w:p>
    <w:p w14:paraId="3883165B" w14:textId="7EA30609" w:rsidR="00D91782" w:rsidRPr="00215B2F" w:rsidRDefault="00D91782">
      <w:pPr>
        <w:pStyle w:val="tevilnatoka"/>
        <w:numPr>
          <w:ilvl w:val="0"/>
          <w:numId w:val="47"/>
        </w:numPr>
        <w:shd w:val="clear" w:color="auto" w:fill="FFFFFF" w:themeFill="background1"/>
        <w:tabs>
          <w:tab w:val="clear" w:pos="425"/>
        </w:tabs>
        <w:rPr>
          <w:rFonts w:eastAsiaTheme="minorHAnsi" w:cs="Arial"/>
          <w:bCs/>
          <w:sz w:val="20"/>
          <w:szCs w:val="20"/>
        </w:rPr>
      </w:pPr>
      <w:r w:rsidRPr="00215B2F">
        <w:rPr>
          <w:rFonts w:eastAsia="Arial" w:cs="Arial"/>
          <w:sz w:val="20"/>
          <w:szCs w:val="20"/>
        </w:rPr>
        <w:t>največ štiri neizvršne direktorske funkcije.</w:t>
      </w:r>
    </w:p>
    <w:p w14:paraId="11328FE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7FD6373" w14:textId="725DBD4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Za namene iz prejšnjega odstavka se kot ena sama direktorska funkcija štejejo:</w:t>
      </w:r>
    </w:p>
    <w:p w14:paraId="65FC1FEC"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45BBF37" w14:textId="77777777" w:rsidR="008A1E82" w:rsidRPr="00215B2F" w:rsidRDefault="00D91782" w:rsidP="008A1E82">
      <w:pPr>
        <w:pStyle w:val="tevilnatoka"/>
        <w:numPr>
          <w:ilvl w:val="0"/>
          <w:numId w:val="48"/>
        </w:numPr>
        <w:shd w:val="clear" w:color="auto" w:fill="FFFFFF" w:themeFill="background1"/>
        <w:tabs>
          <w:tab w:val="clear" w:pos="425"/>
        </w:tabs>
        <w:rPr>
          <w:rFonts w:cs="Arial"/>
          <w:bCs/>
          <w:sz w:val="20"/>
          <w:szCs w:val="20"/>
        </w:rPr>
      </w:pPr>
      <w:r w:rsidRPr="00215B2F">
        <w:rPr>
          <w:rFonts w:eastAsia="Arial" w:cs="Arial"/>
          <w:sz w:val="20"/>
          <w:szCs w:val="20"/>
        </w:rPr>
        <w:t>izvršne ali neizvršne direktorske funkcije v družbah znotraj iste skupine;</w:t>
      </w:r>
    </w:p>
    <w:p w14:paraId="2B1861AF" w14:textId="589056B8" w:rsidR="00D91782" w:rsidRPr="00215B2F" w:rsidRDefault="00D91782" w:rsidP="008A1E82">
      <w:pPr>
        <w:pStyle w:val="tevilnatoka"/>
        <w:numPr>
          <w:ilvl w:val="0"/>
          <w:numId w:val="48"/>
        </w:numPr>
        <w:shd w:val="clear" w:color="auto" w:fill="FFFFFF" w:themeFill="background1"/>
        <w:tabs>
          <w:tab w:val="clear" w:pos="425"/>
        </w:tabs>
        <w:rPr>
          <w:rFonts w:cs="Arial"/>
          <w:bCs/>
          <w:sz w:val="20"/>
          <w:szCs w:val="20"/>
        </w:rPr>
      </w:pPr>
      <w:r w:rsidRPr="00215B2F">
        <w:rPr>
          <w:rFonts w:eastAsia="Arial" w:cs="Arial"/>
          <w:sz w:val="20"/>
          <w:szCs w:val="20"/>
        </w:rPr>
        <w:t>izvršne ali neizvršne direktorske funkcije v:</w:t>
      </w:r>
    </w:p>
    <w:p w14:paraId="5E6E8B33" w14:textId="25ED252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kreditnih institucijah, finančnih holdingih ali mešanih finančnih holdingih, ki so pridobili odobritev v skladu s </w:t>
      </w:r>
      <w:r w:rsidR="000F4B14" w:rsidRPr="00215B2F">
        <w:rPr>
          <w:rFonts w:ascii="Arial" w:eastAsia="Arial" w:hAnsi="Arial" w:cs="Arial"/>
          <w:sz w:val="20"/>
          <w:szCs w:val="20"/>
        </w:rPr>
        <w:t>111</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ali </w:t>
      </w:r>
      <w:r w:rsidR="009300AF" w:rsidRPr="00215B2F">
        <w:rPr>
          <w:rFonts w:ascii="Arial" w:eastAsia="Arial" w:hAnsi="Arial" w:cs="Arial"/>
          <w:sz w:val="20"/>
          <w:szCs w:val="20"/>
        </w:rPr>
        <w:t xml:space="preserve">prvega odstavka </w:t>
      </w:r>
      <w:r w:rsidRPr="00215B2F">
        <w:rPr>
          <w:rFonts w:ascii="Arial" w:eastAsia="Arial" w:hAnsi="Arial" w:cs="Arial"/>
          <w:sz w:val="20"/>
          <w:szCs w:val="20"/>
        </w:rPr>
        <w:t>21</w:t>
      </w:r>
      <w:r w:rsidR="00827EFA" w:rsidRPr="00215B2F">
        <w:rPr>
          <w:rFonts w:ascii="Arial" w:eastAsia="Arial" w:hAnsi="Arial" w:cs="Arial"/>
          <w:sz w:val="20"/>
          <w:szCs w:val="20"/>
        </w:rPr>
        <w:t>.</w:t>
      </w:r>
      <w:r w:rsidRPr="00215B2F">
        <w:rPr>
          <w:rFonts w:ascii="Arial" w:eastAsia="Arial" w:hAnsi="Arial" w:cs="Arial"/>
          <w:sz w:val="20"/>
          <w:szCs w:val="20"/>
        </w:rPr>
        <w:t>a člen</w:t>
      </w:r>
      <w:r w:rsidR="009300AF" w:rsidRPr="00215B2F">
        <w:rPr>
          <w:rFonts w:ascii="Arial" w:eastAsia="Arial" w:hAnsi="Arial" w:cs="Arial"/>
          <w:sz w:val="20"/>
          <w:szCs w:val="20"/>
        </w:rPr>
        <w:t>a</w:t>
      </w:r>
      <w:r w:rsidRPr="00215B2F">
        <w:rPr>
          <w:rFonts w:ascii="Arial" w:eastAsia="Arial" w:hAnsi="Arial" w:cs="Arial"/>
          <w:sz w:val="20"/>
          <w:szCs w:val="20"/>
        </w:rPr>
        <w:t xml:space="preserve"> Direktive 2013/36/EU, ki so člani iste institucionalne sheme za zaščito vlog, če so izpolnjeni pogoji iz sedmega odstavka 113. člena Uredbe 575/2013/EU, ali subjekt</w:t>
      </w:r>
      <w:r w:rsidR="008A1E82" w:rsidRPr="00215B2F">
        <w:rPr>
          <w:rFonts w:ascii="Arial" w:eastAsia="Arial" w:hAnsi="Arial" w:cs="Arial"/>
          <w:sz w:val="20"/>
          <w:szCs w:val="20"/>
        </w:rPr>
        <w:t>ih</w:t>
      </w:r>
      <w:r w:rsidRPr="00215B2F">
        <w:rPr>
          <w:rFonts w:ascii="Arial" w:eastAsia="Arial" w:hAnsi="Arial" w:cs="Arial"/>
          <w:sz w:val="20"/>
          <w:szCs w:val="20"/>
        </w:rPr>
        <w:t>, v katerih ima ista institucionalna shema za zaščito vlog kvalificiran</w:t>
      </w:r>
      <w:r w:rsidR="00F06422" w:rsidRPr="00215B2F">
        <w:rPr>
          <w:rFonts w:ascii="Arial" w:eastAsia="Arial" w:hAnsi="Arial" w:cs="Arial"/>
          <w:sz w:val="20"/>
          <w:szCs w:val="20"/>
        </w:rPr>
        <w:t>i</w:t>
      </w:r>
      <w:r w:rsidRPr="00215B2F">
        <w:rPr>
          <w:rFonts w:ascii="Arial" w:eastAsia="Arial" w:hAnsi="Arial" w:cs="Arial"/>
          <w:sz w:val="20"/>
          <w:szCs w:val="20"/>
        </w:rPr>
        <w:t xml:space="preserve"> delež</w:t>
      </w:r>
      <w:r w:rsidR="00F06422" w:rsidRPr="00215B2F">
        <w:rPr>
          <w:rFonts w:ascii="Arial" w:eastAsia="Arial" w:hAnsi="Arial" w:cs="Arial"/>
          <w:sz w:val="20"/>
          <w:szCs w:val="20"/>
        </w:rPr>
        <w:t>,</w:t>
      </w:r>
      <w:r w:rsidRPr="00215B2F">
        <w:rPr>
          <w:rFonts w:ascii="Arial" w:eastAsia="Arial" w:hAnsi="Arial" w:cs="Arial"/>
          <w:sz w:val="20"/>
          <w:szCs w:val="20"/>
        </w:rPr>
        <w:t xml:space="preserve"> ali</w:t>
      </w:r>
    </w:p>
    <w:p w14:paraId="77D0DBF9" w14:textId="4BB3B146"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družbah, vključno z nefinančnimi subjekti, v katerih ima banka kvalificiran</w:t>
      </w:r>
      <w:r w:rsidR="00F06422" w:rsidRPr="00215B2F">
        <w:rPr>
          <w:rFonts w:ascii="Arial" w:eastAsia="Arial" w:hAnsi="Arial" w:cs="Arial"/>
          <w:sz w:val="20"/>
          <w:szCs w:val="20"/>
        </w:rPr>
        <w:t>i</w:t>
      </w:r>
      <w:r w:rsidRPr="00215B2F">
        <w:rPr>
          <w:rFonts w:ascii="Arial" w:eastAsia="Arial" w:hAnsi="Arial" w:cs="Arial"/>
          <w:sz w:val="20"/>
          <w:szCs w:val="20"/>
        </w:rPr>
        <w:t xml:space="preserve"> delež.</w:t>
      </w:r>
    </w:p>
    <w:p w14:paraId="157D775E" w14:textId="77777777" w:rsidR="00F06422" w:rsidRPr="00215B2F" w:rsidRDefault="00F06422" w:rsidP="00FD5520">
      <w:pPr>
        <w:shd w:val="clear" w:color="auto" w:fill="FFFFFF" w:themeFill="background1"/>
        <w:spacing w:after="0" w:line="240" w:lineRule="auto"/>
        <w:jc w:val="both"/>
        <w:rPr>
          <w:rFonts w:ascii="Arial" w:eastAsia="Arial" w:hAnsi="Arial" w:cs="Arial"/>
          <w:sz w:val="20"/>
          <w:szCs w:val="20"/>
        </w:rPr>
      </w:pPr>
    </w:p>
    <w:p w14:paraId="2293D638" w14:textId="47A4B9E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Za namene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se ne upoštevajo direktorske funkcije, ki jih posamezni član upravljalnega organa banke opravlja v družbah in organizacijah, katerih prevladujoča dejavnost je nepridobitne narave.</w:t>
      </w:r>
    </w:p>
    <w:p w14:paraId="0E3044D8" w14:textId="77777777" w:rsidR="00EE696B" w:rsidRPr="00215B2F" w:rsidRDefault="00EE696B" w:rsidP="00FD5520">
      <w:pPr>
        <w:shd w:val="clear" w:color="auto" w:fill="FFFFFF" w:themeFill="background1"/>
        <w:spacing w:after="0" w:line="240" w:lineRule="auto"/>
        <w:jc w:val="both"/>
        <w:rPr>
          <w:rFonts w:ascii="Arial" w:eastAsia="Arial" w:hAnsi="Arial" w:cs="Arial"/>
          <w:sz w:val="20"/>
          <w:szCs w:val="20"/>
        </w:rPr>
      </w:pPr>
    </w:p>
    <w:p w14:paraId="1C8DF870" w14:textId="72E58F1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Za namene 1. točke četrtega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skupina pomeni skupino podjeti</w:t>
      </w:r>
      <w:r w:rsidR="00C26069" w:rsidRPr="00215B2F">
        <w:rPr>
          <w:rFonts w:ascii="Arial" w:eastAsia="Arial" w:hAnsi="Arial" w:cs="Arial"/>
          <w:sz w:val="20"/>
          <w:szCs w:val="20"/>
        </w:rPr>
        <w:t>j</w:t>
      </w:r>
      <w:r w:rsidRPr="00215B2F">
        <w:rPr>
          <w:rFonts w:ascii="Arial" w:eastAsia="Arial" w:hAnsi="Arial" w:cs="Arial"/>
          <w:sz w:val="20"/>
          <w:szCs w:val="20"/>
        </w:rPr>
        <w:t xml:space="preserve">, ki so medsebojno povezana, kakor je določeno v 56. členu ZGD-1 oziroma 22. členu Direktive 2013/34/EU ali skupino podjetij, ki so podrejene družbe istega finančnega holdinga ali mešanega finančnega holdinga. </w:t>
      </w:r>
    </w:p>
    <w:p w14:paraId="1286BCAA"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D80AF37" w14:textId="0580B67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Ne glede na 1. točko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lahko Banka Slovenije na zahtevo banke dovoli, da samostojno opravljanje pridobitne dejavnosti v okviru organiziranega podjetja (samostojni podjetnik posameznik) ne šteje kot direktorska funkcija. Banka Slovenije pri presoji upošteva zlasti obseg poslovanja podjetja, funkcijo člana upravljanega organa v podjetju </w:t>
      </w:r>
      <w:r w:rsidR="00C26069" w:rsidRPr="00215B2F">
        <w:rPr>
          <w:rFonts w:ascii="Arial" w:eastAsia="Arial" w:hAnsi="Arial" w:cs="Arial"/>
          <w:sz w:val="20"/>
          <w:szCs w:val="20"/>
        </w:rPr>
        <w:t xml:space="preserve">in </w:t>
      </w:r>
      <w:r w:rsidRPr="00215B2F">
        <w:rPr>
          <w:rFonts w:ascii="Arial" w:eastAsia="Arial" w:hAnsi="Arial" w:cs="Arial"/>
          <w:sz w:val="20"/>
          <w:szCs w:val="20"/>
        </w:rPr>
        <w:t>čas, ki ga član upravljalnega organa nameni tej funkciji.</w:t>
      </w:r>
    </w:p>
    <w:p w14:paraId="30202CEF"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CCE923F" w14:textId="013EE38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(8) Na podlagi zahteve banke lahko Banka Slovenije z upoštevanjem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posameznemu članu dovoli opravljati dodatno neizvršno direktorsko funkcijo. </w:t>
      </w:r>
    </w:p>
    <w:p w14:paraId="6C0C6F43"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BCD3661" w14:textId="65D8F1D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F27750" w:rsidRPr="00215B2F">
        <w:rPr>
          <w:rFonts w:ascii="Arial" w:eastAsia="Arial" w:hAnsi="Arial" w:cs="Arial"/>
          <w:sz w:val="20"/>
          <w:szCs w:val="20"/>
        </w:rPr>
        <w:t>9</w:t>
      </w:r>
      <w:r w:rsidRPr="00215B2F">
        <w:rPr>
          <w:rFonts w:ascii="Arial" w:eastAsia="Arial" w:hAnsi="Arial" w:cs="Arial"/>
          <w:sz w:val="20"/>
          <w:szCs w:val="20"/>
        </w:rPr>
        <w:t>) Član upravljalnega organa mora pred imenovanjem in ves čas trajanja opravljanja funkcije člana upravljalnega organa banko pisno obveščati o vseh direktorskih funkcijah, ki jih opravlja oziroma jih je začel opravljati v drugih družbah in organizacijah</w:t>
      </w:r>
      <w:r w:rsidR="00C26069" w:rsidRPr="00215B2F">
        <w:rPr>
          <w:rFonts w:ascii="Arial" w:eastAsia="Arial" w:hAnsi="Arial" w:cs="Arial"/>
          <w:sz w:val="20"/>
          <w:szCs w:val="20"/>
        </w:rPr>
        <w:t>,</w:t>
      </w:r>
      <w:r w:rsidRPr="00215B2F">
        <w:rPr>
          <w:rFonts w:ascii="Arial" w:eastAsia="Arial" w:hAnsi="Arial" w:cs="Arial"/>
          <w:sz w:val="20"/>
          <w:szCs w:val="20"/>
        </w:rPr>
        <w:t xml:space="preserve"> ter o prenehanju opravljanja teh funkcij.</w:t>
      </w:r>
    </w:p>
    <w:bookmarkEnd w:id="63"/>
    <w:p w14:paraId="6C2B6B38"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AAC099E" w14:textId="7810EA7F"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3.4.2 Uprava banke</w:t>
      </w:r>
    </w:p>
    <w:p w14:paraId="44F9DF3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0F4511D"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64" w:name="_Ref202960411"/>
      <w:r w:rsidRPr="00215B2F">
        <w:rPr>
          <w:rFonts w:ascii="Arial" w:eastAsia="Arial" w:hAnsi="Arial" w:cs="Arial"/>
          <w:b/>
          <w:bCs/>
          <w:sz w:val="20"/>
          <w:szCs w:val="20"/>
        </w:rPr>
        <w:t>člen</w:t>
      </w:r>
      <w:bookmarkEnd w:id="64"/>
    </w:p>
    <w:p w14:paraId="4B502417" w14:textId="77777777" w:rsidR="00D91782" w:rsidRPr="00215B2F" w:rsidRDefault="00D91782" w:rsidP="00FD5520">
      <w:pPr>
        <w:pStyle w:val="Slog1"/>
        <w:shd w:val="clear" w:color="auto" w:fill="FFFFFF" w:themeFill="background1"/>
        <w:rPr>
          <w:sz w:val="20"/>
          <w:szCs w:val="20"/>
        </w:rPr>
      </w:pPr>
      <w:r w:rsidRPr="00215B2F">
        <w:rPr>
          <w:sz w:val="20"/>
          <w:szCs w:val="20"/>
        </w:rPr>
        <w:t>(sestava uprave)</w:t>
      </w:r>
    </w:p>
    <w:p w14:paraId="5C856FEE" w14:textId="77777777" w:rsidR="00D91782" w:rsidRPr="00215B2F" w:rsidRDefault="00D91782" w:rsidP="00FD5520">
      <w:pPr>
        <w:pStyle w:val="Slog1"/>
        <w:shd w:val="clear" w:color="auto" w:fill="FFFFFF" w:themeFill="background1"/>
        <w:jc w:val="both"/>
        <w:rPr>
          <w:sz w:val="20"/>
          <w:szCs w:val="20"/>
        </w:rPr>
      </w:pPr>
    </w:p>
    <w:p w14:paraId="0623D4A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Uprava banke mora imeti najmanj dva člana, ki banko skupaj zastopata in predstavljata v pravnem prometu.</w:t>
      </w:r>
    </w:p>
    <w:p w14:paraId="114C9203"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7A2DB2C" w14:textId="6851D7E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Uprava mora imeti ustrezno kolektivno znanje, spretnosti in izkušnje, da lahko razume dejavnosti banke in povezana tveganja, ki jim je banka izpostavljena ob upoštevanju ESG dejavnikov, ter kratkoročne, srednjeročne in dolgoročne učinke, ki jih to povzroča. Uprava je sestavljena dovolj raznoliko, da ima ustrezno širok nabor izkušenj.</w:t>
      </w:r>
    </w:p>
    <w:p w14:paraId="6004874F"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DBEF729" w14:textId="2C6B730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CD1AF7" w:rsidRPr="00215B2F">
        <w:rPr>
          <w:rFonts w:ascii="Arial" w:eastAsia="Arial" w:hAnsi="Arial" w:cs="Arial"/>
          <w:sz w:val="20"/>
          <w:szCs w:val="20"/>
        </w:rPr>
        <w:t>3</w:t>
      </w:r>
      <w:r w:rsidRPr="00215B2F">
        <w:rPr>
          <w:rFonts w:ascii="Arial" w:eastAsia="Arial" w:hAnsi="Arial" w:cs="Arial"/>
          <w:sz w:val="20"/>
          <w:szCs w:val="20"/>
        </w:rPr>
        <w:t>) Posamezni član uprave ali prokurist ne sme biti pooblaščen za samostojno zastopanje banke za celotn</w:t>
      </w:r>
      <w:r w:rsidR="00C26069" w:rsidRPr="00215B2F">
        <w:rPr>
          <w:rFonts w:ascii="Arial" w:eastAsia="Arial" w:hAnsi="Arial" w:cs="Arial"/>
          <w:sz w:val="20"/>
          <w:szCs w:val="20"/>
        </w:rPr>
        <w:t>i</w:t>
      </w:r>
      <w:r w:rsidRPr="00215B2F">
        <w:rPr>
          <w:rFonts w:ascii="Arial" w:eastAsia="Arial" w:hAnsi="Arial" w:cs="Arial"/>
          <w:sz w:val="20"/>
          <w:szCs w:val="20"/>
        </w:rPr>
        <w:t xml:space="preserve"> obseg poslov iz dejavnosti banke.</w:t>
      </w:r>
    </w:p>
    <w:p w14:paraId="00601160"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21CA103" w14:textId="799AFE4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CD1AF7" w:rsidRPr="00215B2F">
        <w:rPr>
          <w:rFonts w:ascii="Arial" w:eastAsia="Arial" w:hAnsi="Arial" w:cs="Arial"/>
          <w:sz w:val="20"/>
          <w:szCs w:val="20"/>
        </w:rPr>
        <w:t>4</w:t>
      </w:r>
      <w:r w:rsidRPr="00215B2F">
        <w:rPr>
          <w:rFonts w:ascii="Arial" w:eastAsia="Arial" w:hAnsi="Arial" w:cs="Arial"/>
          <w:sz w:val="20"/>
          <w:szCs w:val="20"/>
        </w:rPr>
        <w:t>) Člani uprave morajo opravljati posle vodenja banke na podlagi pogodbe o zaposlitvi, sklenjene za polni delovni čas.</w:t>
      </w:r>
    </w:p>
    <w:p w14:paraId="3E6E10B0"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F599DA5" w14:textId="35048EA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CD1AF7" w:rsidRPr="00215B2F">
        <w:rPr>
          <w:rFonts w:ascii="Arial" w:eastAsia="Arial" w:hAnsi="Arial" w:cs="Arial"/>
          <w:sz w:val="20"/>
          <w:szCs w:val="20"/>
        </w:rPr>
        <w:t>5</w:t>
      </w:r>
      <w:r w:rsidRPr="00215B2F">
        <w:rPr>
          <w:rFonts w:ascii="Arial" w:eastAsia="Arial" w:hAnsi="Arial" w:cs="Arial"/>
          <w:sz w:val="20"/>
          <w:szCs w:val="20"/>
        </w:rPr>
        <w:t xml:space="preserve">) Najmanj en član uprave mora imeti zadostno znanje slovenskega jezika, primerno za opravljanje dolžnosti </w:t>
      </w:r>
      <w:r w:rsidR="00882103" w:rsidRPr="00215B2F">
        <w:rPr>
          <w:rFonts w:ascii="Arial" w:hAnsi="Arial" w:cs="Arial"/>
          <w:sz w:val="20"/>
          <w:szCs w:val="20"/>
        </w:rPr>
        <w:t>člana uprave</w:t>
      </w:r>
      <w:r w:rsidRPr="00215B2F">
        <w:rPr>
          <w:rFonts w:ascii="Arial" w:eastAsia="Arial" w:hAnsi="Arial" w:cs="Arial"/>
          <w:sz w:val="20"/>
          <w:szCs w:val="20"/>
        </w:rPr>
        <w:t>.</w:t>
      </w:r>
    </w:p>
    <w:p w14:paraId="7908D7F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C01AD90" w14:textId="73B940F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CD1AF7" w:rsidRPr="00215B2F">
        <w:rPr>
          <w:rFonts w:ascii="Arial" w:eastAsia="Arial" w:hAnsi="Arial" w:cs="Arial"/>
          <w:sz w:val="20"/>
          <w:szCs w:val="20"/>
        </w:rPr>
        <w:t>6</w:t>
      </w:r>
      <w:r w:rsidRPr="00215B2F">
        <w:rPr>
          <w:rFonts w:ascii="Arial" w:eastAsia="Arial" w:hAnsi="Arial" w:cs="Arial"/>
          <w:sz w:val="20"/>
          <w:szCs w:val="20"/>
        </w:rPr>
        <w:t>) Uprava banke mora voditi posle banke v Republiki Sloveniji.</w:t>
      </w:r>
    </w:p>
    <w:p w14:paraId="032465B3"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A94D493" w14:textId="77777777" w:rsidR="00D91CBF" w:rsidRPr="00215B2F" w:rsidRDefault="00D91CBF"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65" w:name="_Ref202963029"/>
      <w:r w:rsidRPr="00215B2F">
        <w:rPr>
          <w:rFonts w:ascii="Arial" w:eastAsia="Arial" w:hAnsi="Arial" w:cs="Arial"/>
          <w:b/>
          <w:bCs/>
          <w:sz w:val="20"/>
          <w:szCs w:val="20"/>
        </w:rPr>
        <w:t>člen</w:t>
      </w:r>
      <w:bookmarkEnd w:id="65"/>
    </w:p>
    <w:p w14:paraId="22AFD549"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(pogoji za imenovanje člana uprave)</w:t>
      </w:r>
    </w:p>
    <w:p w14:paraId="0E8EEF3F"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E9622D1" w14:textId="2852A5E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Za </w:t>
      </w:r>
      <w:r w:rsidR="00882103" w:rsidRPr="00215B2F">
        <w:rPr>
          <w:rFonts w:ascii="Arial" w:hAnsi="Arial" w:cs="Arial"/>
          <w:sz w:val="20"/>
          <w:szCs w:val="20"/>
        </w:rPr>
        <w:t>člana uprave</w:t>
      </w:r>
      <w:r w:rsidRPr="00215B2F">
        <w:rPr>
          <w:rFonts w:ascii="Arial" w:eastAsia="Arial" w:hAnsi="Arial" w:cs="Arial"/>
          <w:sz w:val="20"/>
          <w:szCs w:val="20"/>
        </w:rPr>
        <w:t xml:space="preserve"> je lahko imenovana oseba</w:t>
      </w:r>
      <w:r w:rsidR="006C2447" w:rsidRPr="00215B2F">
        <w:rPr>
          <w:rFonts w:ascii="Arial" w:eastAsia="Arial" w:hAnsi="Arial" w:cs="Arial"/>
          <w:sz w:val="20"/>
          <w:szCs w:val="20"/>
        </w:rPr>
        <w:t>, ki</w:t>
      </w:r>
      <w:r w:rsidRPr="00215B2F">
        <w:rPr>
          <w:rFonts w:ascii="Arial" w:eastAsia="Arial" w:hAnsi="Arial" w:cs="Arial"/>
          <w:sz w:val="20"/>
          <w:szCs w:val="20"/>
        </w:rPr>
        <w:t>:</w:t>
      </w:r>
    </w:p>
    <w:p w14:paraId="0A43F362"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FB4CD49" w14:textId="376CEF24" w:rsidR="00730AA1" w:rsidRPr="00215B2F" w:rsidRDefault="00D91782">
      <w:pPr>
        <w:pStyle w:val="tevilnatoka"/>
        <w:numPr>
          <w:ilvl w:val="0"/>
          <w:numId w:val="49"/>
        </w:numPr>
        <w:shd w:val="clear" w:color="auto" w:fill="FFFFFF" w:themeFill="background1"/>
        <w:tabs>
          <w:tab w:val="clear" w:pos="425"/>
        </w:tabs>
        <w:rPr>
          <w:rFonts w:cs="Arial"/>
          <w:bCs/>
          <w:sz w:val="20"/>
          <w:szCs w:val="20"/>
        </w:rPr>
      </w:pPr>
      <w:r w:rsidRPr="00215B2F">
        <w:rPr>
          <w:rFonts w:eastAsia="Arial" w:cs="Arial"/>
          <w:sz w:val="20"/>
          <w:szCs w:val="20"/>
        </w:rPr>
        <w:t>ima znanje, spretnosti in izkušnje za vodenje poslov banke ali družbe primerljive velikosti in dejavnosti kot banka oziroma drugih primerljivih poslov;</w:t>
      </w:r>
    </w:p>
    <w:p w14:paraId="7DA43F34" w14:textId="691EFC56" w:rsidR="00730AA1" w:rsidRPr="00215B2F" w:rsidRDefault="00D91782">
      <w:pPr>
        <w:pStyle w:val="tevilnatoka"/>
        <w:numPr>
          <w:ilvl w:val="0"/>
          <w:numId w:val="49"/>
        </w:numPr>
        <w:shd w:val="clear" w:color="auto" w:fill="FFFFFF" w:themeFill="background1"/>
        <w:tabs>
          <w:tab w:val="clear" w:pos="425"/>
        </w:tabs>
        <w:rPr>
          <w:rFonts w:cs="Arial"/>
          <w:bCs/>
          <w:sz w:val="20"/>
          <w:szCs w:val="20"/>
        </w:rPr>
      </w:pPr>
      <w:r w:rsidRPr="00215B2F">
        <w:rPr>
          <w:rFonts w:eastAsia="Arial" w:cs="Arial"/>
          <w:sz w:val="20"/>
          <w:szCs w:val="20"/>
        </w:rPr>
        <w:t>ima dober ugled in lastnosti za vodenje poslov banke ter njeno ravnanje ne vzbuja dvoma o njeni zmožnosti za zagotovitev varnega in skrbnega vodenja poslov banke v skladu s pravili o upravljanju tveganj, profesionalno skrbnostjo in najvišjimi etičnimi standardi ter preprečevanja nasprotja interesov;</w:t>
      </w:r>
    </w:p>
    <w:p w14:paraId="0822F767" w14:textId="64C35B49" w:rsidR="00730AA1" w:rsidRPr="00215B2F" w:rsidRDefault="00D91782">
      <w:pPr>
        <w:pStyle w:val="tevilnatoka"/>
        <w:numPr>
          <w:ilvl w:val="0"/>
          <w:numId w:val="49"/>
        </w:numPr>
        <w:shd w:val="clear" w:color="auto" w:fill="FFFFFF" w:themeFill="background1"/>
        <w:tabs>
          <w:tab w:val="clear" w:pos="425"/>
        </w:tabs>
        <w:rPr>
          <w:rFonts w:cs="Arial"/>
          <w:bCs/>
          <w:sz w:val="20"/>
          <w:szCs w:val="20"/>
        </w:rPr>
      </w:pPr>
      <w:r w:rsidRPr="00215B2F">
        <w:rPr>
          <w:rFonts w:eastAsia="Arial" w:cs="Arial"/>
          <w:sz w:val="20"/>
          <w:szCs w:val="20"/>
        </w:rPr>
        <w:t xml:space="preserve">ravna odkrito, pošteno in neodvisno </w:t>
      </w:r>
      <w:r w:rsidR="006C2447" w:rsidRPr="00215B2F">
        <w:rPr>
          <w:rFonts w:eastAsia="Arial" w:cs="Arial"/>
          <w:sz w:val="20"/>
          <w:szCs w:val="20"/>
        </w:rPr>
        <w:t xml:space="preserve">ter </w:t>
      </w:r>
      <w:r w:rsidRPr="00215B2F">
        <w:rPr>
          <w:rFonts w:eastAsia="Arial" w:cs="Arial"/>
          <w:sz w:val="20"/>
          <w:szCs w:val="20"/>
        </w:rPr>
        <w:t>lahko po potrebi učinkovito oceni in izpodbija odločitve uprave ter učinkovito nadzoruje in spremlja sprejemanje odločitev v zvezi z upravljanjem;</w:t>
      </w:r>
    </w:p>
    <w:p w14:paraId="7A42B0AF" w14:textId="3591FCE0" w:rsidR="00D91782" w:rsidRPr="00215B2F" w:rsidRDefault="00D91782">
      <w:pPr>
        <w:pStyle w:val="tevilnatoka"/>
        <w:numPr>
          <w:ilvl w:val="0"/>
          <w:numId w:val="49"/>
        </w:numPr>
        <w:shd w:val="clear" w:color="auto" w:fill="FFFFFF" w:themeFill="background1"/>
        <w:tabs>
          <w:tab w:val="clear" w:pos="425"/>
        </w:tabs>
        <w:rPr>
          <w:rFonts w:cs="Arial"/>
          <w:bCs/>
          <w:sz w:val="20"/>
          <w:szCs w:val="20"/>
        </w:rPr>
      </w:pPr>
      <w:r w:rsidRPr="00215B2F">
        <w:rPr>
          <w:rFonts w:eastAsia="Arial" w:cs="Arial"/>
          <w:sz w:val="20"/>
          <w:szCs w:val="20"/>
        </w:rPr>
        <w:t xml:space="preserve">ne krši </w:t>
      </w:r>
      <w:r w:rsidR="008069C3" w:rsidRPr="00215B2F">
        <w:rPr>
          <w:rFonts w:eastAsia="Arial" w:cs="Arial"/>
          <w:sz w:val="20"/>
          <w:szCs w:val="20"/>
        </w:rPr>
        <w:t>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ali so bila dana zagotovila, da se bo kandidat oziroma kandidatka (v nadaljnjem besedilu: kandidat) uskladil s temi zahtevami v roku iz drugega odstavka </w:t>
      </w:r>
      <w:r w:rsidR="00E740E3" w:rsidRPr="00215B2F">
        <w:rPr>
          <w:rFonts w:eastAsia="Arial" w:cs="Arial"/>
          <w:sz w:val="20"/>
          <w:szCs w:val="20"/>
        </w:rPr>
        <w:t>52</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3ADB8909"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B81279A" w14:textId="080820B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Šteje se, da oseba nima ugleda in lastnosti za vodenje poslov banke, če je bila pravnomočno obsojena zaradi kaznivega dejanja in obsodba še ni bila izbrisana.</w:t>
      </w:r>
    </w:p>
    <w:p w14:paraId="54D92CD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A9B061C"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66" w:name="_Ref202963036"/>
      <w:r w:rsidRPr="00215B2F">
        <w:rPr>
          <w:rFonts w:ascii="Arial" w:eastAsia="Arial" w:hAnsi="Arial" w:cs="Arial"/>
          <w:b/>
          <w:bCs/>
          <w:sz w:val="20"/>
          <w:szCs w:val="20"/>
        </w:rPr>
        <w:t>člen</w:t>
      </w:r>
      <w:bookmarkEnd w:id="66"/>
    </w:p>
    <w:p w14:paraId="559D1FC2" w14:textId="36FE7E10" w:rsidR="00D91782" w:rsidRPr="00215B2F" w:rsidRDefault="00D91782" w:rsidP="00FD5520">
      <w:pPr>
        <w:pStyle w:val="Slog1"/>
        <w:shd w:val="clear" w:color="auto" w:fill="FFFFFF" w:themeFill="background1"/>
        <w:rPr>
          <w:sz w:val="20"/>
          <w:szCs w:val="20"/>
        </w:rPr>
      </w:pPr>
      <w:r w:rsidRPr="00215B2F">
        <w:rPr>
          <w:sz w:val="20"/>
          <w:szCs w:val="20"/>
        </w:rPr>
        <w:t xml:space="preserve">(opravljanje funkcije </w:t>
      </w:r>
      <w:r w:rsidR="00882103" w:rsidRPr="00215B2F">
        <w:rPr>
          <w:sz w:val="20"/>
          <w:szCs w:val="20"/>
        </w:rPr>
        <w:t>člana uprave</w:t>
      </w:r>
      <w:r w:rsidRPr="00215B2F">
        <w:rPr>
          <w:sz w:val="20"/>
          <w:szCs w:val="20"/>
        </w:rPr>
        <w:t>)</w:t>
      </w:r>
    </w:p>
    <w:p w14:paraId="07D830E5" w14:textId="77777777" w:rsidR="00D91782" w:rsidRPr="00215B2F" w:rsidRDefault="00D91782" w:rsidP="00FD5520">
      <w:pPr>
        <w:pStyle w:val="Slog1"/>
        <w:shd w:val="clear" w:color="auto" w:fill="FFFFFF" w:themeFill="background1"/>
        <w:jc w:val="both"/>
        <w:rPr>
          <w:sz w:val="20"/>
          <w:szCs w:val="20"/>
        </w:rPr>
      </w:pPr>
    </w:p>
    <w:p w14:paraId="0BD86563" w14:textId="430C49E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67" w:name="_Hlk203649248"/>
      <w:r w:rsidRPr="00215B2F">
        <w:rPr>
          <w:rFonts w:ascii="Arial" w:eastAsia="Arial" w:hAnsi="Arial" w:cs="Arial"/>
          <w:sz w:val="20"/>
          <w:szCs w:val="20"/>
        </w:rPr>
        <w:t xml:space="preserve">(1) Funkcijo </w:t>
      </w:r>
      <w:r w:rsidR="00882103" w:rsidRPr="00215B2F">
        <w:rPr>
          <w:rFonts w:ascii="Arial" w:hAnsi="Arial" w:cs="Arial"/>
          <w:sz w:val="20"/>
          <w:szCs w:val="20"/>
        </w:rPr>
        <w:t>člana uprave</w:t>
      </w:r>
      <w:r w:rsidRPr="00215B2F">
        <w:rPr>
          <w:rFonts w:ascii="Arial" w:eastAsia="Arial" w:hAnsi="Arial" w:cs="Arial"/>
          <w:sz w:val="20"/>
          <w:szCs w:val="20"/>
        </w:rPr>
        <w:t xml:space="preserve"> lahko opravlja le oseba, ki pridobi dovoljenje za opravljanje funkcije člana uprave te banke v skladu s tem zakonom.</w:t>
      </w:r>
    </w:p>
    <w:p w14:paraId="196D0FE9"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7B6302E" w14:textId="1E4AF83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Nadzorni svet mora odločiti o imenovanju določene osebe za </w:t>
      </w:r>
      <w:r w:rsidR="00882103" w:rsidRPr="00215B2F">
        <w:rPr>
          <w:rFonts w:ascii="Arial" w:hAnsi="Arial" w:cs="Arial"/>
          <w:sz w:val="20"/>
          <w:szCs w:val="20"/>
        </w:rPr>
        <w:t>člana uprave</w:t>
      </w:r>
      <w:r w:rsidRPr="00215B2F">
        <w:rPr>
          <w:rFonts w:ascii="Arial" w:eastAsia="Arial" w:hAnsi="Arial" w:cs="Arial"/>
          <w:sz w:val="20"/>
          <w:szCs w:val="20"/>
        </w:rPr>
        <w:t xml:space="preserve"> pred vložitvijo zahteve za izdajo dovoljenja za opravljanje te funkcije, pri čemer se mora seznaniti tudi z oceno komisije za imenovanja glede primernosti te osebe za </w:t>
      </w:r>
      <w:r w:rsidR="00882103" w:rsidRPr="00215B2F">
        <w:rPr>
          <w:rFonts w:ascii="Arial" w:hAnsi="Arial" w:cs="Arial"/>
          <w:sz w:val="20"/>
          <w:szCs w:val="20"/>
        </w:rPr>
        <w:t>člana uprave</w:t>
      </w:r>
      <w:r w:rsidRPr="00215B2F">
        <w:rPr>
          <w:rFonts w:ascii="Arial" w:eastAsia="Arial" w:hAnsi="Arial" w:cs="Arial"/>
          <w:sz w:val="20"/>
          <w:szCs w:val="20"/>
        </w:rPr>
        <w:t>.</w:t>
      </w:r>
    </w:p>
    <w:p w14:paraId="2256296C"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3630470" w14:textId="1443F47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Sklep nadzornega sveta o imenovanju določene osebe za </w:t>
      </w:r>
      <w:r w:rsidR="00882103" w:rsidRPr="00215B2F">
        <w:rPr>
          <w:rFonts w:ascii="Arial" w:hAnsi="Arial" w:cs="Arial"/>
          <w:sz w:val="20"/>
          <w:szCs w:val="20"/>
        </w:rPr>
        <w:t>člana uprave</w:t>
      </w:r>
      <w:r w:rsidRPr="00215B2F">
        <w:rPr>
          <w:rFonts w:ascii="Arial" w:eastAsia="Arial" w:hAnsi="Arial" w:cs="Arial"/>
          <w:sz w:val="20"/>
          <w:szCs w:val="20"/>
        </w:rPr>
        <w:t xml:space="preserve"> učinkuje:</w:t>
      </w:r>
    </w:p>
    <w:p w14:paraId="6C4D670A"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388AA26" w14:textId="38D53249" w:rsidR="00730AA1" w:rsidRPr="00215B2F" w:rsidRDefault="00D91782">
      <w:pPr>
        <w:pStyle w:val="tevilnatoka"/>
        <w:numPr>
          <w:ilvl w:val="0"/>
          <w:numId w:val="50"/>
        </w:numPr>
        <w:shd w:val="clear" w:color="auto" w:fill="FFFFFF" w:themeFill="background1"/>
        <w:tabs>
          <w:tab w:val="clear" w:pos="425"/>
        </w:tabs>
        <w:rPr>
          <w:rFonts w:cs="Arial"/>
          <w:bCs/>
          <w:sz w:val="20"/>
          <w:szCs w:val="20"/>
        </w:rPr>
      </w:pPr>
      <w:r w:rsidRPr="00215B2F">
        <w:rPr>
          <w:rFonts w:eastAsia="Arial" w:cs="Arial"/>
          <w:sz w:val="20"/>
          <w:szCs w:val="20"/>
        </w:rPr>
        <w:t>pod odložnim pogojem, ki nastopi, če ta oseba pridobi dovoljenje za opravljanje te funkcije</w:t>
      </w:r>
      <w:r w:rsidR="00D65245" w:rsidRPr="00215B2F">
        <w:rPr>
          <w:rFonts w:eastAsia="Arial" w:cs="Arial"/>
          <w:sz w:val="20"/>
          <w:szCs w:val="20"/>
        </w:rPr>
        <w:t>,</w:t>
      </w:r>
      <w:r w:rsidRPr="00215B2F">
        <w:rPr>
          <w:rFonts w:eastAsia="Arial" w:cs="Arial"/>
          <w:sz w:val="20"/>
          <w:szCs w:val="20"/>
        </w:rPr>
        <w:t xml:space="preserve"> in</w:t>
      </w:r>
    </w:p>
    <w:p w14:paraId="0DB0BC08" w14:textId="28753540" w:rsidR="00D91782" w:rsidRPr="00215B2F" w:rsidRDefault="00D91782">
      <w:pPr>
        <w:pStyle w:val="tevilnatoka"/>
        <w:numPr>
          <w:ilvl w:val="0"/>
          <w:numId w:val="50"/>
        </w:numPr>
        <w:shd w:val="clear" w:color="auto" w:fill="FFFFFF" w:themeFill="background1"/>
        <w:tabs>
          <w:tab w:val="clear" w:pos="425"/>
        </w:tabs>
        <w:rPr>
          <w:rFonts w:cs="Arial"/>
          <w:bCs/>
          <w:sz w:val="20"/>
          <w:szCs w:val="20"/>
        </w:rPr>
      </w:pPr>
      <w:r w:rsidRPr="00215B2F">
        <w:rPr>
          <w:rFonts w:eastAsia="Arial" w:cs="Arial"/>
          <w:sz w:val="20"/>
          <w:szCs w:val="20"/>
        </w:rPr>
        <w:t>pod razveznim pogojem, ki nastopi:</w:t>
      </w:r>
    </w:p>
    <w:p w14:paraId="68EE4E5A" w14:textId="3E66F76A"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če banka v 15 dneh po prejemu sklepa o imenovanju za </w:t>
      </w:r>
      <w:r w:rsidR="00882103" w:rsidRPr="00215B2F">
        <w:rPr>
          <w:rFonts w:ascii="Arial" w:hAnsi="Arial" w:cs="Arial"/>
          <w:sz w:val="20"/>
          <w:szCs w:val="20"/>
        </w:rPr>
        <w:t>člana uprave</w:t>
      </w:r>
      <w:r w:rsidRPr="00215B2F">
        <w:rPr>
          <w:rFonts w:ascii="Arial" w:eastAsia="Arial" w:hAnsi="Arial" w:cs="Arial"/>
          <w:sz w:val="20"/>
          <w:szCs w:val="20"/>
        </w:rPr>
        <w:t xml:space="preserve"> ne vloži zahteve za izdajo dovoljenja za opravljanje te funkcije ali če tako zahtevo umakne ali</w:t>
      </w:r>
    </w:p>
    <w:p w14:paraId="7F0F3D6F" w14:textId="06828D8A"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če je zahteva za izdajo dovoljenja za opravljanje funkcije </w:t>
      </w:r>
      <w:r w:rsidR="00882103" w:rsidRPr="00215B2F">
        <w:rPr>
          <w:rFonts w:ascii="Arial" w:hAnsi="Arial" w:cs="Arial"/>
          <w:sz w:val="20"/>
          <w:szCs w:val="20"/>
        </w:rPr>
        <w:t>člana uprave</w:t>
      </w:r>
      <w:r w:rsidRPr="00215B2F">
        <w:rPr>
          <w:rFonts w:ascii="Arial" w:eastAsia="Arial" w:hAnsi="Arial" w:cs="Arial"/>
          <w:sz w:val="20"/>
          <w:szCs w:val="20"/>
        </w:rPr>
        <w:t xml:space="preserve"> zavržena ali zavrnjena.</w:t>
      </w:r>
    </w:p>
    <w:p w14:paraId="483D8634"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6B4B820" w14:textId="093E8FF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Član uprave se lahko vpiše v sodni register, </w:t>
      </w:r>
      <w:r w:rsidR="00D65245" w:rsidRPr="00215B2F">
        <w:rPr>
          <w:rFonts w:ascii="Arial" w:eastAsia="Arial" w:hAnsi="Arial" w:cs="Arial"/>
          <w:sz w:val="20"/>
          <w:szCs w:val="20"/>
        </w:rPr>
        <w:t xml:space="preserve">potem </w:t>
      </w:r>
      <w:r w:rsidRPr="00215B2F">
        <w:rPr>
          <w:rFonts w:ascii="Arial" w:eastAsia="Arial" w:hAnsi="Arial" w:cs="Arial"/>
          <w:sz w:val="20"/>
          <w:szCs w:val="20"/>
        </w:rPr>
        <w:t xml:space="preserve">ko pridobi dovoljenje za opravljanje funkcije </w:t>
      </w:r>
      <w:r w:rsidR="00882103" w:rsidRPr="00215B2F">
        <w:rPr>
          <w:rFonts w:ascii="Arial" w:hAnsi="Arial" w:cs="Arial"/>
          <w:sz w:val="20"/>
          <w:szCs w:val="20"/>
        </w:rPr>
        <w:t>člana uprave</w:t>
      </w:r>
      <w:r w:rsidRPr="00215B2F">
        <w:rPr>
          <w:rFonts w:ascii="Arial" w:eastAsia="Arial" w:hAnsi="Arial" w:cs="Arial"/>
          <w:sz w:val="20"/>
          <w:szCs w:val="20"/>
        </w:rPr>
        <w:t>, razen če je imenovan kot nadomestni član uprave</w:t>
      </w:r>
      <w:r w:rsidR="00D65245" w:rsidRPr="00215B2F">
        <w:rPr>
          <w:rFonts w:ascii="Arial" w:eastAsia="Arial" w:hAnsi="Arial" w:cs="Arial"/>
          <w:sz w:val="20"/>
          <w:szCs w:val="20"/>
        </w:rPr>
        <w:t xml:space="preserve"> </w:t>
      </w:r>
      <w:r w:rsidRPr="00215B2F">
        <w:rPr>
          <w:rFonts w:ascii="Arial" w:eastAsia="Arial" w:hAnsi="Arial" w:cs="Arial"/>
          <w:sz w:val="20"/>
          <w:szCs w:val="20"/>
        </w:rPr>
        <w:t>v skladu s petim odstavkom tega člena.</w:t>
      </w:r>
    </w:p>
    <w:p w14:paraId="0CFE44A9"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E084D35" w14:textId="662658E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V primeru, ko posameznemu članu uprave preneha funkcija ali ko zaradi drugih okoliščin ne opravlja ali verjetno ne bo opravljal funkcije </w:t>
      </w:r>
      <w:r w:rsidR="00882103" w:rsidRPr="00215B2F">
        <w:rPr>
          <w:rFonts w:ascii="Arial" w:hAnsi="Arial" w:cs="Arial"/>
          <w:sz w:val="20"/>
          <w:szCs w:val="20"/>
        </w:rPr>
        <w:t>člana uprave</w:t>
      </w:r>
      <w:r w:rsidR="00D65245" w:rsidRPr="00215B2F">
        <w:rPr>
          <w:rFonts w:ascii="Arial" w:eastAsia="Arial" w:hAnsi="Arial" w:cs="Arial"/>
          <w:sz w:val="20"/>
          <w:szCs w:val="20"/>
        </w:rPr>
        <w:t xml:space="preserve"> </w:t>
      </w:r>
      <w:r w:rsidRPr="00215B2F">
        <w:rPr>
          <w:rFonts w:ascii="Arial" w:eastAsia="Arial" w:hAnsi="Arial" w:cs="Arial"/>
          <w:sz w:val="20"/>
          <w:szCs w:val="20"/>
        </w:rPr>
        <w:t xml:space="preserve">skupno več kakor dva meseca in uprava banke zato deluje ali bo delovala le z enim članom uprave, mora nadzorni svet nemudoma imenovati novega </w:t>
      </w:r>
      <w:r w:rsidR="00882103" w:rsidRPr="00215B2F">
        <w:rPr>
          <w:rFonts w:ascii="Arial" w:hAnsi="Arial" w:cs="Arial"/>
          <w:sz w:val="20"/>
          <w:szCs w:val="20"/>
        </w:rPr>
        <w:t>člana uprave</w:t>
      </w:r>
      <w:r w:rsidR="00D65245" w:rsidRPr="00215B2F">
        <w:rPr>
          <w:rFonts w:ascii="Arial" w:eastAsia="Arial" w:hAnsi="Arial" w:cs="Arial"/>
          <w:sz w:val="20"/>
          <w:szCs w:val="20"/>
        </w:rPr>
        <w:t xml:space="preserve"> </w:t>
      </w:r>
      <w:r w:rsidRPr="00215B2F">
        <w:rPr>
          <w:rFonts w:ascii="Arial" w:eastAsia="Arial" w:hAnsi="Arial" w:cs="Arial"/>
          <w:sz w:val="20"/>
          <w:szCs w:val="20"/>
        </w:rPr>
        <w:t xml:space="preserve">ali osebo, ki pri vodenju in zastopanju banke nadomesti manjkajočega člana oziroma članico uprave </w:t>
      </w:r>
      <w:r w:rsidR="00D65245" w:rsidRPr="00215B2F">
        <w:rPr>
          <w:rFonts w:ascii="Arial" w:eastAsia="Arial" w:hAnsi="Arial" w:cs="Arial"/>
          <w:sz w:val="20"/>
          <w:szCs w:val="20"/>
        </w:rPr>
        <w:t xml:space="preserve">banke </w:t>
      </w:r>
      <w:r w:rsidRPr="00215B2F">
        <w:rPr>
          <w:rFonts w:ascii="Arial" w:eastAsia="Arial" w:hAnsi="Arial" w:cs="Arial"/>
          <w:sz w:val="20"/>
          <w:szCs w:val="20"/>
        </w:rPr>
        <w:t xml:space="preserve">(v nadaljnjem besedilu: nadomestni član uprave). Pri imenovanju nadomestnega člana uprave mora nadzorni svet upoštevati pogoje iz </w:t>
      </w:r>
      <w:r w:rsidR="00746E88" w:rsidRPr="00215B2F">
        <w:rPr>
          <w:rFonts w:ascii="Arial" w:eastAsia="Arial" w:hAnsi="Arial" w:cs="Arial"/>
          <w:sz w:val="20"/>
          <w:szCs w:val="20"/>
        </w:rPr>
        <w:t>prejšnjega člena</w:t>
      </w:r>
      <w:r w:rsidRPr="00215B2F">
        <w:rPr>
          <w:rFonts w:ascii="Arial" w:eastAsia="Arial" w:hAnsi="Arial" w:cs="Arial"/>
          <w:sz w:val="20"/>
          <w:szCs w:val="20"/>
        </w:rPr>
        <w:t>.</w:t>
      </w:r>
    </w:p>
    <w:p w14:paraId="4072D9AE"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F86E32F" w14:textId="341D561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Ne glede na prvi </w:t>
      </w:r>
      <w:r w:rsidR="00746E88" w:rsidRPr="00215B2F">
        <w:rPr>
          <w:rFonts w:ascii="Arial" w:eastAsia="Arial" w:hAnsi="Arial" w:cs="Arial"/>
          <w:sz w:val="20"/>
          <w:szCs w:val="20"/>
        </w:rPr>
        <w:t>odstavek tega člena</w:t>
      </w:r>
      <w:r w:rsidRPr="00215B2F">
        <w:rPr>
          <w:rFonts w:ascii="Arial" w:eastAsia="Arial" w:hAnsi="Arial" w:cs="Arial"/>
          <w:sz w:val="20"/>
          <w:szCs w:val="20"/>
        </w:rPr>
        <w:t xml:space="preserve"> lahko nadomestni član uprave opravlja funkcijo </w:t>
      </w:r>
      <w:r w:rsidR="00882103" w:rsidRPr="00215B2F">
        <w:rPr>
          <w:rFonts w:ascii="Arial" w:hAnsi="Arial" w:cs="Arial"/>
          <w:sz w:val="20"/>
          <w:szCs w:val="20"/>
        </w:rPr>
        <w:t>člana uprave</w:t>
      </w:r>
      <w:r w:rsidRPr="00215B2F">
        <w:rPr>
          <w:rFonts w:ascii="Arial" w:eastAsia="Arial" w:hAnsi="Arial" w:cs="Arial"/>
          <w:sz w:val="20"/>
          <w:szCs w:val="20"/>
        </w:rPr>
        <w:t xml:space="preserve"> brez dovoljenja za opravljanje funkcije </w:t>
      </w:r>
      <w:r w:rsidR="00882103" w:rsidRPr="00215B2F">
        <w:rPr>
          <w:rFonts w:ascii="Arial" w:hAnsi="Arial" w:cs="Arial"/>
          <w:sz w:val="20"/>
          <w:szCs w:val="20"/>
        </w:rPr>
        <w:t>člana uprave</w:t>
      </w:r>
      <w:r w:rsidRPr="00215B2F">
        <w:rPr>
          <w:rFonts w:ascii="Arial" w:eastAsia="Arial" w:hAnsi="Arial" w:cs="Arial"/>
          <w:sz w:val="20"/>
          <w:szCs w:val="20"/>
        </w:rPr>
        <w:t xml:space="preserve"> največ šest mesecev od dneva imenovanja.</w:t>
      </w:r>
    </w:p>
    <w:p w14:paraId="7C35D2D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4C688B8" w14:textId="7E1AF0D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Za </w:t>
      </w:r>
      <w:r w:rsidR="00882103" w:rsidRPr="00215B2F">
        <w:rPr>
          <w:rFonts w:ascii="Arial" w:hAnsi="Arial" w:cs="Arial"/>
          <w:sz w:val="20"/>
          <w:szCs w:val="20"/>
        </w:rPr>
        <w:t>člana uprave</w:t>
      </w:r>
      <w:r w:rsidRPr="00215B2F">
        <w:rPr>
          <w:rFonts w:ascii="Arial" w:eastAsia="Arial" w:hAnsi="Arial" w:cs="Arial"/>
          <w:sz w:val="20"/>
          <w:szCs w:val="20"/>
        </w:rPr>
        <w:t xml:space="preserve">, ki ga je v skladu z 256. členom ZGD-1 imenovalo sodišče, se smiselno uporabljajo določbe četrtega do šestega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bookmarkEnd w:id="67"/>
    <w:p w14:paraId="7F77E46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582B42A"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68" w:name="_Ref202963052"/>
      <w:bookmarkStart w:id="69" w:name="_Hlk211985605"/>
      <w:r w:rsidRPr="00215B2F">
        <w:rPr>
          <w:rFonts w:ascii="Arial" w:eastAsia="Arial" w:hAnsi="Arial" w:cs="Arial"/>
          <w:b/>
          <w:bCs/>
          <w:sz w:val="20"/>
          <w:szCs w:val="20"/>
        </w:rPr>
        <w:lastRenderedPageBreak/>
        <w:t>člen</w:t>
      </w:r>
      <w:bookmarkEnd w:id="68"/>
    </w:p>
    <w:p w14:paraId="14CD2F5D" w14:textId="6E178AB0" w:rsidR="00D91782" w:rsidRPr="00215B2F" w:rsidRDefault="00D91782" w:rsidP="00FD5520">
      <w:pPr>
        <w:pStyle w:val="Slog1"/>
        <w:shd w:val="clear" w:color="auto" w:fill="FFFFFF" w:themeFill="background1"/>
        <w:rPr>
          <w:sz w:val="20"/>
          <w:szCs w:val="20"/>
        </w:rPr>
      </w:pPr>
      <w:r w:rsidRPr="00215B2F">
        <w:rPr>
          <w:sz w:val="20"/>
          <w:szCs w:val="20"/>
        </w:rPr>
        <w:t xml:space="preserve">(zahteva za izdajo dovoljenja za opravljanje funkcije </w:t>
      </w:r>
      <w:r w:rsidR="00882103" w:rsidRPr="00215B2F">
        <w:rPr>
          <w:sz w:val="20"/>
          <w:szCs w:val="20"/>
        </w:rPr>
        <w:t>člana uprave</w:t>
      </w:r>
      <w:r w:rsidRPr="00215B2F">
        <w:rPr>
          <w:sz w:val="20"/>
          <w:szCs w:val="20"/>
        </w:rPr>
        <w:t>)</w:t>
      </w:r>
    </w:p>
    <w:p w14:paraId="1E9EC027" w14:textId="77777777" w:rsidR="00D91782" w:rsidRPr="00215B2F" w:rsidRDefault="00D91782" w:rsidP="00FD5520">
      <w:pPr>
        <w:pStyle w:val="Slog1"/>
        <w:shd w:val="clear" w:color="auto" w:fill="FFFFFF" w:themeFill="background1"/>
        <w:jc w:val="both"/>
        <w:rPr>
          <w:sz w:val="20"/>
          <w:szCs w:val="20"/>
        </w:rPr>
      </w:pPr>
    </w:p>
    <w:p w14:paraId="4B3E68F1" w14:textId="2C1F128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70" w:name="_Hlk203471555"/>
      <w:r w:rsidRPr="00215B2F">
        <w:rPr>
          <w:rFonts w:ascii="Arial" w:eastAsia="Arial" w:hAnsi="Arial" w:cs="Arial"/>
          <w:sz w:val="20"/>
          <w:szCs w:val="20"/>
        </w:rPr>
        <w:t xml:space="preserve">(1) Zahtevo za izdajo dovoljenja za opravljanje funkcije </w:t>
      </w:r>
      <w:r w:rsidR="00882103" w:rsidRPr="00215B2F">
        <w:rPr>
          <w:rFonts w:ascii="Arial" w:hAnsi="Arial" w:cs="Arial"/>
          <w:sz w:val="20"/>
          <w:szCs w:val="20"/>
        </w:rPr>
        <w:t>člana uprave</w:t>
      </w:r>
      <w:r w:rsidRPr="00215B2F">
        <w:rPr>
          <w:rFonts w:ascii="Arial" w:eastAsia="Arial" w:hAnsi="Arial" w:cs="Arial"/>
          <w:sz w:val="20"/>
          <w:szCs w:val="20"/>
        </w:rPr>
        <w:t xml:space="preserve"> v imenu in za račun kandidata vloži banka. Zahtevi za izdajo dovoljenja za opravljanje funkcije </w:t>
      </w:r>
      <w:r w:rsidR="00882103" w:rsidRPr="00215B2F">
        <w:rPr>
          <w:rFonts w:ascii="Arial" w:hAnsi="Arial" w:cs="Arial"/>
          <w:sz w:val="20"/>
          <w:szCs w:val="20"/>
        </w:rPr>
        <w:t>člana uprave</w:t>
      </w:r>
      <w:r w:rsidRPr="00215B2F">
        <w:rPr>
          <w:rFonts w:ascii="Arial" w:eastAsia="Arial" w:hAnsi="Arial" w:cs="Arial"/>
          <w:sz w:val="20"/>
          <w:szCs w:val="20"/>
        </w:rPr>
        <w:t xml:space="preserve"> mora banka priložiti: </w:t>
      </w:r>
    </w:p>
    <w:p w14:paraId="2C8581F0"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44CB80C" w14:textId="351BA6D6" w:rsidR="00D91782" w:rsidRPr="00215B2F" w:rsidRDefault="00D91782">
      <w:pPr>
        <w:pStyle w:val="tevilnatoka"/>
        <w:numPr>
          <w:ilvl w:val="0"/>
          <w:numId w:val="51"/>
        </w:numPr>
        <w:shd w:val="clear" w:color="auto" w:fill="FFFFFF" w:themeFill="background1"/>
        <w:tabs>
          <w:tab w:val="clear" w:pos="425"/>
        </w:tabs>
        <w:rPr>
          <w:rFonts w:cs="Arial"/>
          <w:bCs/>
          <w:sz w:val="20"/>
          <w:szCs w:val="20"/>
        </w:rPr>
      </w:pPr>
      <w:r w:rsidRPr="00215B2F">
        <w:rPr>
          <w:rFonts w:eastAsia="Arial" w:cs="Arial"/>
          <w:sz w:val="20"/>
          <w:szCs w:val="20"/>
        </w:rPr>
        <w:t xml:space="preserve">osebne podatke kandidata, vključno z: </w:t>
      </w:r>
    </w:p>
    <w:p w14:paraId="5AE53283" w14:textId="77777777" w:rsidR="008A1E82" w:rsidRPr="00215B2F" w:rsidRDefault="008A1E82" w:rsidP="008A1E82">
      <w:pPr>
        <w:pStyle w:val="tevilnatoka"/>
        <w:numPr>
          <w:ilvl w:val="0"/>
          <w:numId w:val="0"/>
        </w:numPr>
        <w:shd w:val="clear" w:color="auto" w:fill="FFFFFF" w:themeFill="background1"/>
        <w:ind w:left="357" w:hanging="357"/>
        <w:rPr>
          <w:rFonts w:eastAsia="Arial" w:cs="Arial"/>
          <w:sz w:val="20"/>
          <w:szCs w:val="20"/>
        </w:rPr>
      </w:pPr>
    </w:p>
    <w:p w14:paraId="2395DCF1" w14:textId="77777777" w:rsidR="008A1E82" w:rsidRPr="00215B2F" w:rsidRDefault="00D91782" w:rsidP="008A1E82">
      <w:pPr>
        <w:pStyle w:val="Odstavekseznama"/>
        <w:numPr>
          <w:ilvl w:val="0"/>
          <w:numId w:val="329"/>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izpolnjenim vprašalnikom za ocenjevanje sposobnosti in primernosti, ki ga določi Banka Slovenije s podzakonskim aktom;</w:t>
      </w:r>
    </w:p>
    <w:p w14:paraId="60DC03AF" w14:textId="77777777" w:rsidR="008A1E82" w:rsidRPr="00215B2F" w:rsidRDefault="00D91782" w:rsidP="008A1E82">
      <w:pPr>
        <w:pStyle w:val="Odstavekseznama"/>
        <w:numPr>
          <w:ilvl w:val="0"/>
          <w:numId w:val="329"/>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kopijo osebnega dokumenta;</w:t>
      </w:r>
    </w:p>
    <w:p w14:paraId="1B3042CA" w14:textId="77777777" w:rsidR="008A1E82" w:rsidRPr="00215B2F" w:rsidRDefault="00D91782" w:rsidP="008A1E82">
      <w:pPr>
        <w:pStyle w:val="Odstavekseznama"/>
        <w:numPr>
          <w:ilvl w:val="0"/>
          <w:numId w:val="329"/>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življenjepisom;</w:t>
      </w:r>
    </w:p>
    <w:p w14:paraId="41A28189" w14:textId="77777777" w:rsidR="008A1E82" w:rsidRPr="00215B2F" w:rsidRDefault="00D91782" w:rsidP="008A1E82">
      <w:pPr>
        <w:pStyle w:val="Odstavekseznama"/>
        <w:numPr>
          <w:ilvl w:val="0"/>
          <w:numId w:val="329"/>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kopijo dokazil o pridobljeni strokovni izobrazbi;</w:t>
      </w:r>
    </w:p>
    <w:p w14:paraId="46C000EC" w14:textId="77777777" w:rsidR="008A1E82" w:rsidRPr="00215B2F" w:rsidRDefault="00D91782" w:rsidP="008A1E82">
      <w:pPr>
        <w:pStyle w:val="Odstavekseznama"/>
        <w:numPr>
          <w:ilvl w:val="0"/>
          <w:numId w:val="329"/>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kopijo morebitnih priporočil delodajalcev;</w:t>
      </w:r>
    </w:p>
    <w:p w14:paraId="6D7AF35D" w14:textId="55774053" w:rsidR="008A1E82" w:rsidRPr="00215B2F" w:rsidRDefault="00D91782" w:rsidP="008A1E82">
      <w:pPr>
        <w:pStyle w:val="Odstavekseznama"/>
        <w:numPr>
          <w:ilvl w:val="0"/>
          <w:numId w:val="329"/>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sklepom nadzornega sveta oziroma skupščine o imenovanju za </w:t>
      </w:r>
      <w:r w:rsidR="00882103" w:rsidRPr="00215B2F">
        <w:rPr>
          <w:rFonts w:ascii="Arial" w:hAnsi="Arial" w:cs="Arial"/>
          <w:sz w:val="20"/>
          <w:szCs w:val="20"/>
        </w:rPr>
        <w:t>člana uprave</w:t>
      </w:r>
      <w:r w:rsidRPr="00215B2F">
        <w:rPr>
          <w:rFonts w:ascii="Arial" w:eastAsia="Arial" w:hAnsi="Arial" w:cs="Arial"/>
          <w:sz w:val="20"/>
          <w:szCs w:val="20"/>
        </w:rPr>
        <w:t xml:space="preserve"> iz tretjega odstavka </w:t>
      </w:r>
      <w:r w:rsidR="007F734B"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člena</w:t>
      </w:r>
      <w:r w:rsidRPr="00215B2F">
        <w:rPr>
          <w:rFonts w:ascii="Arial" w:eastAsia="Arial" w:hAnsi="Arial" w:cs="Arial"/>
          <w:sz w:val="20"/>
          <w:szCs w:val="20"/>
        </w:rPr>
        <w:t>;</w:t>
      </w:r>
    </w:p>
    <w:p w14:paraId="0271D4BB" w14:textId="77777777" w:rsidR="008A1E82" w:rsidRPr="00215B2F" w:rsidRDefault="00D91782" w:rsidP="008A1E82">
      <w:pPr>
        <w:pStyle w:val="Odstavekseznama"/>
        <w:numPr>
          <w:ilvl w:val="0"/>
          <w:numId w:val="329"/>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izpisom iz sistem</w:t>
      </w:r>
      <w:r w:rsidR="008F1219" w:rsidRPr="00215B2F">
        <w:rPr>
          <w:rFonts w:ascii="Arial" w:eastAsia="Arial" w:hAnsi="Arial" w:cs="Arial"/>
          <w:sz w:val="20"/>
          <w:szCs w:val="20"/>
        </w:rPr>
        <w:t>a</w:t>
      </w:r>
      <w:r w:rsidRPr="00215B2F">
        <w:rPr>
          <w:rFonts w:ascii="Arial" w:eastAsia="Arial" w:hAnsi="Arial" w:cs="Arial"/>
          <w:sz w:val="20"/>
          <w:szCs w:val="20"/>
        </w:rPr>
        <w:t xml:space="preserve"> izmenjave informacij o boniteti strank (SISBON) ali druge ustrezne zbirke osebnih podatkov iz tujine, če ta obstaja; </w:t>
      </w:r>
    </w:p>
    <w:p w14:paraId="455E4C60" w14:textId="77777777" w:rsidR="008A1E82" w:rsidRPr="00215B2F" w:rsidRDefault="00540823" w:rsidP="008A1E82">
      <w:pPr>
        <w:pStyle w:val="Odstavekseznama"/>
        <w:numPr>
          <w:ilvl w:val="0"/>
          <w:numId w:val="329"/>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izpis iz kazenske evidence ali druge ustrezne zbirke osebnih podatkov iz tujine, če ta obstaja;</w:t>
      </w:r>
    </w:p>
    <w:p w14:paraId="2579BE4B" w14:textId="7BD56A5C" w:rsidR="00540823" w:rsidRPr="00215B2F" w:rsidRDefault="00540823" w:rsidP="008A1E82">
      <w:pPr>
        <w:pStyle w:val="Odstavekseznama"/>
        <w:numPr>
          <w:ilvl w:val="0"/>
          <w:numId w:val="329"/>
        </w:numPr>
        <w:shd w:val="clear" w:color="auto" w:fill="FFFFFF" w:themeFill="background1"/>
        <w:spacing w:after="0" w:line="240" w:lineRule="auto"/>
        <w:jc w:val="both"/>
        <w:rPr>
          <w:rFonts w:ascii="Arial" w:hAnsi="Arial" w:cs="Arial"/>
          <w:bCs/>
          <w:sz w:val="20"/>
          <w:szCs w:val="20"/>
        </w:rPr>
      </w:pPr>
      <w:r w:rsidRPr="00215B2F">
        <w:rPr>
          <w:rFonts w:ascii="Arial" w:hAnsi="Arial" w:cs="Arial"/>
          <w:sz w:val="20"/>
          <w:szCs w:val="20"/>
        </w:rPr>
        <w:t>dokazilo, da zoper to osebo ni bila vložena pravnomočna obtožnica zaradi kaznivega dejanja, ki se preganja po uradni dolžnosti in za katerega se lahko izreče kazen zapora eno leto ali več;</w:t>
      </w:r>
    </w:p>
    <w:p w14:paraId="261193F1" w14:textId="26E64634" w:rsidR="00730AA1" w:rsidRPr="00215B2F" w:rsidRDefault="00D91782" w:rsidP="006455BC">
      <w:pPr>
        <w:pStyle w:val="tevilnatoka"/>
        <w:rPr>
          <w:rFonts w:cs="Arial"/>
          <w:bCs/>
          <w:sz w:val="20"/>
          <w:szCs w:val="20"/>
        </w:rPr>
      </w:pPr>
      <w:r w:rsidRPr="00215B2F">
        <w:rPr>
          <w:rFonts w:eastAsia="Arial" w:cs="Arial"/>
          <w:sz w:val="20"/>
          <w:szCs w:val="20"/>
        </w:rPr>
        <w:t xml:space="preserve">dokaze o izpolnjevanju pogojev iz </w:t>
      </w:r>
      <w:r w:rsidR="00E740E3" w:rsidRPr="00215B2F">
        <w:rPr>
          <w:rFonts w:eastAsia="Arial" w:cs="Arial"/>
          <w:sz w:val="20"/>
          <w:szCs w:val="20"/>
        </w:rPr>
        <w:t>47</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235DD6FD" w14:textId="63053930" w:rsidR="00D91782" w:rsidRPr="00215B2F" w:rsidRDefault="00D91782" w:rsidP="009F7F70">
      <w:pPr>
        <w:pStyle w:val="tevilnatoka"/>
        <w:rPr>
          <w:rFonts w:cs="Arial"/>
          <w:bCs/>
          <w:sz w:val="20"/>
          <w:szCs w:val="20"/>
        </w:rPr>
      </w:pPr>
      <w:r w:rsidRPr="00215B2F">
        <w:rPr>
          <w:rFonts w:eastAsia="Arial" w:cs="Arial"/>
          <w:sz w:val="20"/>
          <w:szCs w:val="20"/>
        </w:rPr>
        <w:t xml:space="preserve">strategijo kandidata glede vodenja poslov banke. </w:t>
      </w:r>
    </w:p>
    <w:p w14:paraId="1F4B44B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20D6DD1" w14:textId="0673762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Zahteva za izdajo dovoljenja za opravljanje funkcije </w:t>
      </w:r>
      <w:r w:rsidR="00882103" w:rsidRPr="00215B2F">
        <w:rPr>
          <w:rFonts w:ascii="Arial" w:hAnsi="Arial" w:cs="Arial"/>
          <w:sz w:val="20"/>
          <w:szCs w:val="20"/>
        </w:rPr>
        <w:t>člana uprave</w:t>
      </w:r>
      <w:r w:rsidRPr="00215B2F">
        <w:rPr>
          <w:rFonts w:ascii="Arial" w:eastAsia="Arial" w:hAnsi="Arial" w:cs="Arial"/>
          <w:sz w:val="20"/>
          <w:szCs w:val="20"/>
        </w:rPr>
        <w:t xml:space="preserve"> se vloži pri Banki Slovenije. Kadar pristojnosti in naloge nadzora iz točke (e) prvega odstavka 4. člena Uredbe 1024/2013/EU v zvezi s to banko izvaja Evropska centralna banka, se postopek nadaljuje v skladu </w:t>
      </w:r>
      <w:r w:rsidR="00091BC8" w:rsidRPr="00215B2F">
        <w:rPr>
          <w:rFonts w:ascii="Arial" w:eastAsia="Arial" w:hAnsi="Arial" w:cs="Arial"/>
          <w:sz w:val="20"/>
          <w:szCs w:val="20"/>
        </w:rPr>
        <w:t xml:space="preserve"> z navedeno uredbo</w:t>
      </w:r>
      <w:r w:rsidRPr="00215B2F">
        <w:rPr>
          <w:rFonts w:ascii="Arial" w:eastAsia="Arial" w:hAnsi="Arial" w:cs="Arial"/>
          <w:sz w:val="20"/>
          <w:szCs w:val="20"/>
        </w:rPr>
        <w:t>.</w:t>
      </w:r>
    </w:p>
    <w:p w14:paraId="011259C0"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83AD6D3" w14:textId="3198FE1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w:t>
      </w:r>
      <w:r w:rsidR="001E58A1" w:rsidRPr="00215B2F">
        <w:rPr>
          <w:rFonts w:ascii="Arial" w:eastAsia="Arial" w:hAnsi="Arial" w:cs="Arial"/>
          <w:sz w:val="20"/>
          <w:szCs w:val="20"/>
        </w:rPr>
        <w:t xml:space="preserve"> Banka Slovenije lahko po uradni dolžnosti pridobi informacije glede izpolnjevanja pogojev za opravljanje funkcije člana uprave neposredno od </w:t>
      </w:r>
      <w:r w:rsidR="00173A5D" w:rsidRPr="00215B2F">
        <w:rPr>
          <w:rFonts w:ascii="Arial" w:eastAsia="Arial" w:hAnsi="Arial" w:cs="Arial"/>
          <w:sz w:val="20"/>
          <w:szCs w:val="20"/>
        </w:rPr>
        <w:t xml:space="preserve">drugih pristojnih organov, </w:t>
      </w:r>
      <w:r w:rsidR="001E58A1" w:rsidRPr="00215B2F">
        <w:rPr>
          <w:rFonts w:ascii="Arial" w:eastAsia="Arial" w:hAnsi="Arial" w:cs="Arial"/>
          <w:sz w:val="20"/>
          <w:szCs w:val="20"/>
        </w:rPr>
        <w:t>nadzornih organov, organov</w:t>
      </w:r>
      <w:r w:rsidR="007F734B" w:rsidRPr="00215B2F">
        <w:rPr>
          <w:rFonts w:ascii="Arial" w:eastAsia="Arial" w:hAnsi="Arial" w:cs="Arial"/>
          <w:sz w:val="20"/>
          <w:szCs w:val="20"/>
        </w:rPr>
        <w:t>,</w:t>
      </w:r>
      <w:r w:rsidR="001E58A1" w:rsidRPr="00215B2F">
        <w:rPr>
          <w:rFonts w:ascii="Arial" w:eastAsia="Arial" w:hAnsi="Arial" w:cs="Arial"/>
          <w:sz w:val="20"/>
          <w:szCs w:val="20"/>
        </w:rPr>
        <w:t xml:space="preserve"> pristojnih za nadzor na podlagi Direktive </w:t>
      </w:r>
      <w:r w:rsidR="00173A5D" w:rsidRPr="00215B2F">
        <w:rPr>
          <w:rFonts w:ascii="Arial" w:eastAsia="Arial" w:hAnsi="Arial" w:cs="Arial"/>
          <w:sz w:val="20"/>
          <w:szCs w:val="20"/>
        </w:rPr>
        <w:t>2015/849/EU</w:t>
      </w:r>
      <w:r w:rsidR="007F734B" w:rsidRPr="00215B2F">
        <w:rPr>
          <w:rFonts w:ascii="Arial" w:eastAsia="Arial" w:hAnsi="Arial" w:cs="Arial"/>
          <w:sz w:val="20"/>
          <w:szCs w:val="20"/>
        </w:rPr>
        <w:t>,</w:t>
      </w:r>
      <w:r w:rsidR="001E58A1" w:rsidRPr="00215B2F">
        <w:rPr>
          <w:rFonts w:ascii="Arial" w:eastAsia="Arial" w:hAnsi="Arial" w:cs="Arial"/>
          <w:sz w:val="20"/>
          <w:szCs w:val="20"/>
        </w:rPr>
        <w:t xml:space="preserve"> in drugih organov, ki bi upoštevaje preteklo delovanje kandidata lahko razpolagali z informacijami</w:t>
      </w:r>
      <w:r w:rsidR="007F734B" w:rsidRPr="00215B2F">
        <w:rPr>
          <w:rFonts w:ascii="Arial" w:eastAsia="Arial" w:hAnsi="Arial" w:cs="Arial"/>
          <w:sz w:val="20"/>
          <w:szCs w:val="20"/>
        </w:rPr>
        <w:t>,</w:t>
      </w:r>
      <w:r w:rsidR="001E58A1" w:rsidRPr="00215B2F">
        <w:rPr>
          <w:rFonts w:ascii="Arial" w:eastAsia="Arial" w:hAnsi="Arial" w:cs="Arial"/>
          <w:sz w:val="20"/>
          <w:szCs w:val="20"/>
        </w:rPr>
        <w:t xml:space="preserve"> pomembni</w:t>
      </w:r>
      <w:r w:rsidR="007F734B" w:rsidRPr="00215B2F">
        <w:rPr>
          <w:rFonts w:ascii="Arial" w:eastAsia="Arial" w:hAnsi="Arial" w:cs="Arial"/>
          <w:sz w:val="20"/>
          <w:szCs w:val="20"/>
        </w:rPr>
        <w:t>mi</w:t>
      </w:r>
      <w:r w:rsidR="001E58A1" w:rsidRPr="00215B2F">
        <w:rPr>
          <w:rFonts w:ascii="Arial" w:eastAsia="Arial" w:hAnsi="Arial" w:cs="Arial"/>
          <w:sz w:val="20"/>
          <w:szCs w:val="20"/>
        </w:rPr>
        <w:t xml:space="preserve"> za oceno primernosti</w:t>
      </w:r>
      <w:r w:rsidR="007F734B" w:rsidRPr="00215B2F">
        <w:rPr>
          <w:rFonts w:ascii="Arial" w:eastAsia="Arial" w:hAnsi="Arial" w:cs="Arial"/>
          <w:sz w:val="20"/>
          <w:szCs w:val="20"/>
        </w:rPr>
        <w:t>.</w:t>
      </w:r>
      <w:r w:rsidR="00173A5D" w:rsidRPr="00215B2F">
        <w:rPr>
          <w:rFonts w:ascii="Arial" w:eastAsia="Arial" w:hAnsi="Arial" w:cs="Arial"/>
          <w:sz w:val="20"/>
          <w:szCs w:val="20"/>
        </w:rPr>
        <w:t xml:space="preserve"> </w:t>
      </w:r>
      <w:r w:rsidR="001E58A1" w:rsidRPr="00215B2F">
        <w:rPr>
          <w:rFonts w:ascii="Arial" w:eastAsia="Arial" w:hAnsi="Arial" w:cs="Arial"/>
          <w:sz w:val="20"/>
          <w:szCs w:val="20"/>
        </w:rPr>
        <w:t xml:space="preserve">ter </w:t>
      </w:r>
      <w:r w:rsidR="00173A5D" w:rsidRPr="00215B2F">
        <w:rPr>
          <w:rFonts w:ascii="Arial" w:eastAsia="Arial" w:hAnsi="Arial" w:cs="Arial"/>
          <w:sz w:val="20"/>
          <w:szCs w:val="20"/>
        </w:rPr>
        <w:t xml:space="preserve">vpogleda oziroma </w:t>
      </w:r>
      <w:r w:rsidR="001E58A1" w:rsidRPr="00215B2F">
        <w:rPr>
          <w:rFonts w:ascii="Arial" w:eastAsia="Arial" w:hAnsi="Arial" w:cs="Arial"/>
          <w:sz w:val="20"/>
          <w:szCs w:val="20"/>
        </w:rPr>
        <w:t xml:space="preserve">zahteva izpis </w:t>
      </w:r>
      <w:r w:rsidR="00173A5D" w:rsidRPr="00215B2F">
        <w:rPr>
          <w:rFonts w:ascii="Arial" w:eastAsia="Arial" w:hAnsi="Arial" w:cs="Arial"/>
          <w:sz w:val="20"/>
          <w:szCs w:val="20"/>
        </w:rPr>
        <w:t xml:space="preserve">ali predložitev izpisa </w:t>
      </w:r>
      <w:r w:rsidR="001E58A1" w:rsidRPr="00215B2F">
        <w:rPr>
          <w:rFonts w:ascii="Arial" w:eastAsia="Arial" w:hAnsi="Arial" w:cs="Arial"/>
          <w:sz w:val="20"/>
          <w:szCs w:val="20"/>
        </w:rPr>
        <w:t>iz</w:t>
      </w:r>
      <w:r w:rsidR="00173A5D" w:rsidRPr="00215B2F">
        <w:rPr>
          <w:rFonts w:ascii="Arial" w:eastAsia="Arial" w:hAnsi="Arial" w:cs="Arial"/>
          <w:sz w:val="20"/>
          <w:szCs w:val="20"/>
        </w:rPr>
        <w:t xml:space="preserve"> </w:t>
      </w:r>
      <w:r w:rsidR="001E58A1" w:rsidRPr="00215B2F">
        <w:rPr>
          <w:rFonts w:ascii="Arial" w:eastAsia="Arial" w:hAnsi="Arial" w:cs="Arial"/>
          <w:sz w:val="20"/>
          <w:szCs w:val="20"/>
        </w:rPr>
        <w:t xml:space="preserve">kazenske </w:t>
      </w:r>
      <w:r w:rsidR="00173A5D" w:rsidRPr="00215B2F">
        <w:rPr>
          <w:rFonts w:ascii="Arial" w:eastAsia="Arial" w:hAnsi="Arial" w:cs="Arial"/>
          <w:sz w:val="20"/>
          <w:szCs w:val="20"/>
        </w:rPr>
        <w:t xml:space="preserve">evidence oziroma primerljive </w:t>
      </w:r>
      <w:r w:rsidR="001E58A1" w:rsidRPr="00215B2F">
        <w:rPr>
          <w:rFonts w:ascii="Arial" w:eastAsia="Arial" w:hAnsi="Arial" w:cs="Arial"/>
          <w:sz w:val="20"/>
          <w:szCs w:val="20"/>
        </w:rPr>
        <w:t>evidence</w:t>
      </w:r>
      <w:r w:rsidR="00173A5D" w:rsidRPr="00215B2F">
        <w:rPr>
          <w:rFonts w:ascii="Arial" w:eastAsia="Arial" w:hAnsi="Arial" w:cs="Arial"/>
          <w:sz w:val="20"/>
          <w:szCs w:val="20"/>
        </w:rPr>
        <w:t xml:space="preserve"> v tujini, </w:t>
      </w:r>
      <w:r w:rsidR="001E58A1" w:rsidRPr="00215B2F">
        <w:rPr>
          <w:rFonts w:ascii="Arial" w:eastAsia="Arial" w:hAnsi="Arial" w:cs="Arial"/>
          <w:sz w:val="20"/>
          <w:szCs w:val="20"/>
        </w:rPr>
        <w:t>evidence o prekrških</w:t>
      </w:r>
      <w:r w:rsidR="00173A5D" w:rsidRPr="00215B2F">
        <w:rPr>
          <w:rFonts w:ascii="Arial" w:eastAsia="Arial" w:hAnsi="Arial" w:cs="Arial"/>
          <w:sz w:val="20"/>
          <w:szCs w:val="20"/>
        </w:rPr>
        <w:t>, sistema izmenjave informacij Evropskega bančnega organa na podlagi Uredbe 1093/2010/EU, osrednje podatkovne zbirke na področju pranja denarja in financiranja terorizma iz Uredbe 2024/1620/EU ali druge primerljive zbirke</w:t>
      </w:r>
      <w:r w:rsidR="001E58A1" w:rsidRPr="00215B2F">
        <w:rPr>
          <w:rFonts w:ascii="Arial" w:eastAsia="Arial" w:hAnsi="Arial" w:cs="Arial"/>
          <w:sz w:val="20"/>
          <w:szCs w:val="20"/>
        </w:rPr>
        <w:t xml:space="preserve">. </w:t>
      </w:r>
    </w:p>
    <w:bookmarkEnd w:id="69"/>
    <w:p w14:paraId="3AC7DCD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45025B5" w14:textId="48EEF53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lahko na podlagi zahteve za izdajo dovoljenja za opravljanje funkcije </w:t>
      </w:r>
      <w:r w:rsidR="00882103" w:rsidRPr="00215B2F">
        <w:rPr>
          <w:rFonts w:ascii="Arial" w:hAnsi="Arial" w:cs="Arial"/>
          <w:sz w:val="20"/>
          <w:szCs w:val="20"/>
        </w:rPr>
        <w:t>člana uprave</w:t>
      </w:r>
      <w:r w:rsidRPr="00215B2F">
        <w:rPr>
          <w:rFonts w:ascii="Arial" w:eastAsia="Arial" w:hAnsi="Arial" w:cs="Arial"/>
          <w:sz w:val="20"/>
          <w:szCs w:val="20"/>
        </w:rPr>
        <w:t xml:space="preserve"> od banke zahteva, da </w:t>
      </w:r>
      <w:r w:rsidR="008F1219" w:rsidRPr="00215B2F">
        <w:rPr>
          <w:rFonts w:ascii="Arial" w:eastAsia="Arial" w:hAnsi="Arial" w:cs="Arial"/>
          <w:sz w:val="20"/>
          <w:szCs w:val="20"/>
        </w:rPr>
        <w:t xml:space="preserve">ji </w:t>
      </w:r>
      <w:r w:rsidRPr="00215B2F">
        <w:rPr>
          <w:rFonts w:ascii="Arial" w:eastAsia="Arial" w:hAnsi="Arial" w:cs="Arial"/>
          <w:sz w:val="20"/>
          <w:szCs w:val="20"/>
        </w:rPr>
        <w:t>v določenem roku predloži oceno primernosti kandidata.</w:t>
      </w:r>
    </w:p>
    <w:bookmarkEnd w:id="70"/>
    <w:p w14:paraId="51C36E6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16FB44B"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71" w:name="_Ref202963065"/>
      <w:r w:rsidRPr="00215B2F">
        <w:rPr>
          <w:rFonts w:ascii="Arial" w:eastAsia="Arial" w:hAnsi="Arial" w:cs="Arial"/>
          <w:b/>
          <w:bCs/>
          <w:sz w:val="20"/>
          <w:szCs w:val="20"/>
        </w:rPr>
        <w:t>člen</w:t>
      </w:r>
      <w:bookmarkEnd w:id="71"/>
    </w:p>
    <w:p w14:paraId="3DC10AE9" w14:textId="6EF54ECB" w:rsidR="00D91782" w:rsidRPr="00215B2F" w:rsidRDefault="00D91782" w:rsidP="008A1E82">
      <w:pPr>
        <w:pStyle w:val="Slog1"/>
        <w:shd w:val="clear" w:color="auto" w:fill="FFFFFF" w:themeFill="background1"/>
        <w:rPr>
          <w:sz w:val="20"/>
          <w:szCs w:val="20"/>
        </w:rPr>
      </w:pPr>
      <w:r w:rsidRPr="00215B2F">
        <w:rPr>
          <w:sz w:val="20"/>
          <w:szCs w:val="20"/>
        </w:rPr>
        <w:t>(ustni razgovor</w:t>
      </w:r>
      <w:r w:rsidR="008A1E82" w:rsidRPr="00215B2F">
        <w:rPr>
          <w:sz w:val="20"/>
          <w:szCs w:val="20"/>
        </w:rPr>
        <w:t xml:space="preserve"> s kandidatom za člana uprave</w:t>
      </w:r>
      <w:r w:rsidRPr="00215B2F">
        <w:rPr>
          <w:sz w:val="20"/>
          <w:szCs w:val="20"/>
        </w:rPr>
        <w:t>)</w:t>
      </w:r>
    </w:p>
    <w:p w14:paraId="31CC649D" w14:textId="77777777" w:rsidR="00D91782" w:rsidRPr="00215B2F" w:rsidRDefault="00D91782" w:rsidP="00FD5520">
      <w:pPr>
        <w:pStyle w:val="Slog1"/>
        <w:shd w:val="clear" w:color="auto" w:fill="FFFFFF" w:themeFill="background1"/>
        <w:jc w:val="both"/>
        <w:rPr>
          <w:sz w:val="20"/>
          <w:szCs w:val="20"/>
        </w:rPr>
      </w:pPr>
    </w:p>
    <w:p w14:paraId="093C97F5" w14:textId="6F17392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72" w:name="_Hlk203649440"/>
      <w:r w:rsidRPr="00215B2F">
        <w:rPr>
          <w:rFonts w:ascii="Arial" w:eastAsia="Arial" w:hAnsi="Arial" w:cs="Arial"/>
          <w:sz w:val="20"/>
          <w:szCs w:val="20"/>
        </w:rPr>
        <w:t xml:space="preserve">(1) Banka Slovenije lahko odloči, da se v postopku izdaje dovoljenja za opravljanje funkcije </w:t>
      </w:r>
      <w:r w:rsidR="00882103" w:rsidRPr="00215B2F">
        <w:rPr>
          <w:rFonts w:ascii="Arial" w:hAnsi="Arial" w:cs="Arial"/>
          <w:sz w:val="20"/>
          <w:szCs w:val="20"/>
        </w:rPr>
        <w:t>člana uprave</w:t>
      </w:r>
      <w:r w:rsidRPr="00215B2F">
        <w:rPr>
          <w:rFonts w:ascii="Arial" w:eastAsia="Arial" w:hAnsi="Arial" w:cs="Arial"/>
          <w:sz w:val="20"/>
          <w:szCs w:val="20"/>
        </w:rPr>
        <w:t xml:space="preserve"> opravi ustni razgovor, na katerem se kandidat za </w:t>
      </w:r>
      <w:r w:rsidR="00882103" w:rsidRPr="00215B2F">
        <w:rPr>
          <w:rFonts w:ascii="Arial" w:hAnsi="Arial" w:cs="Arial"/>
          <w:sz w:val="20"/>
          <w:szCs w:val="20"/>
        </w:rPr>
        <w:t>člana uprave</w:t>
      </w:r>
      <w:r w:rsidR="005134A8" w:rsidRPr="00215B2F">
        <w:rPr>
          <w:rFonts w:ascii="Arial" w:eastAsia="Arial" w:hAnsi="Arial" w:cs="Arial"/>
          <w:sz w:val="20"/>
          <w:szCs w:val="20"/>
        </w:rPr>
        <w:t xml:space="preserve"> </w:t>
      </w:r>
      <w:r w:rsidRPr="00215B2F">
        <w:rPr>
          <w:rFonts w:ascii="Arial" w:eastAsia="Arial" w:hAnsi="Arial" w:cs="Arial"/>
          <w:sz w:val="20"/>
          <w:szCs w:val="20"/>
        </w:rPr>
        <w:t>povabi, da podrobneje predstavi okoliščine, ki so po mnenju Banke Slovenije pomembne za odločitev o izdaji dovoljenja.</w:t>
      </w:r>
    </w:p>
    <w:p w14:paraId="676B1B5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49E38F7" w14:textId="6800FEC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Razgovor se zvočno snema. Pred začetkom razgovora komisija kandidata seznani, da se razgovor zvočno snema. Posnetek mora vsebovati podatke</w:t>
      </w:r>
      <w:r w:rsidR="00364AF2" w:rsidRPr="00215B2F">
        <w:rPr>
          <w:rFonts w:ascii="Arial" w:eastAsia="Arial" w:hAnsi="Arial" w:cs="Arial"/>
          <w:sz w:val="20"/>
          <w:szCs w:val="20"/>
        </w:rPr>
        <w:t xml:space="preserve"> o</w:t>
      </w:r>
      <w:r w:rsidRPr="00215B2F">
        <w:rPr>
          <w:rFonts w:ascii="Arial" w:eastAsia="Arial" w:hAnsi="Arial" w:cs="Arial"/>
          <w:sz w:val="20"/>
          <w:szCs w:val="20"/>
        </w:rPr>
        <w:t xml:space="preserve"> uradn</w:t>
      </w:r>
      <w:r w:rsidR="00364AF2" w:rsidRPr="00215B2F">
        <w:rPr>
          <w:rFonts w:ascii="Arial" w:eastAsia="Arial" w:hAnsi="Arial" w:cs="Arial"/>
          <w:sz w:val="20"/>
          <w:szCs w:val="20"/>
        </w:rPr>
        <w:t>i</w:t>
      </w:r>
      <w:r w:rsidRPr="00215B2F">
        <w:rPr>
          <w:rFonts w:ascii="Arial" w:eastAsia="Arial" w:hAnsi="Arial" w:cs="Arial"/>
          <w:sz w:val="20"/>
          <w:szCs w:val="20"/>
        </w:rPr>
        <w:t xml:space="preserve"> oseb</w:t>
      </w:r>
      <w:r w:rsidR="00364AF2" w:rsidRPr="00215B2F">
        <w:rPr>
          <w:rFonts w:ascii="Arial" w:eastAsia="Arial" w:hAnsi="Arial" w:cs="Arial"/>
          <w:sz w:val="20"/>
          <w:szCs w:val="20"/>
        </w:rPr>
        <w:t>i</w:t>
      </w:r>
      <w:r w:rsidR="00622A33" w:rsidRPr="00215B2F">
        <w:rPr>
          <w:rFonts w:ascii="Arial" w:eastAsia="Arial" w:hAnsi="Arial" w:cs="Arial"/>
          <w:sz w:val="20"/>
          <w:szCs w:val="20"/>
        </w:rPr>
        <w:t>, ki vodi postopek (ime in priimek ter delovno mesto)</w:t>
      </w:r>
      <w:r w:rsidRPr="00215B2F">
        <w:rPr>
          <w:rFonts w:ascii="Arial" w:eastAsia="Arial" w:hAnsi="Arial" w:cs="Arial"/>
          <w:sz w:val="20"/>
          <w:szCs w:val="20"/>
        </w:rPr>
        <w:t>, sestav</w:t>
      </w:r>
      <w:r w:rsidR="00364AF2" w:rsidRPr="00215B2F">
        <w:rPr>
          <w:rFonts w:ascii="Arial" w:eastAsia="Arial" w:hAnsi="Arial" w:cs="Arial"/>
          <w:sz w:val="20"/>
          <w:szCs w:val="20"/>
        </w:rPr>
        <w:t>i</w:t>
      </w:r>
      <w:r w:rsidRPr="00215B2F">
        <w:rPr>
          <w:rFonts w:ascii="Arial" w:eastAsia="Arial" w:hAnsi="Arial" w:cs="Arial"/>
          <w:sz w:val="20"/>
          <w:szCs w:val="20"/>
        </w:rPr>
        <w:t xml:space="preserve"> komisije, kraj</w:t>
      </w:r>
      <w:r w:rsidR="00364AF2" w:rsidRPr="00215B2F">
        <w:rPr>
          <w:rFonts w:ascii="Arial" w:eastAsia="Arial" w:hAnsi="Arial" w:cs="Arial"/>
          <w:sz w:val="20"/>
          <w:szCs w:val="20"/>
        </w:rPr>
        <w:t>u</w:t>
      </w:r>
      <w:r w:rsidRPr="00215B2F">
        <w:rPr>
          <w:rFonts w:ascii="Arial" w:eastAsia="Arial" w:hAnsi="Arial" w:cs="Arial"/>
          <w:sz w:val="20"/>
          <w:szCs w:val="20"/>
        </w:rPr>
        <w:t>, datum</w:t>
      </w:r>
      <w:r w:rsidR="00364AF2" w:rsidRPr="00215B2F">
        <w:rPr>
          <w:rFonts w:ascii="Arial" w:eastAsia="Arial" w:hAnsi="Arial" w:cs="Arial"/>
          <w:sz w:val="20"/>
          <w:szCs w:val="20"/>
        </w:rPr>
        <w:t>u</w:t>
      </w:r>
      <w:r w:rsidRPr="00215B2F">
        <w:rPr>
          <w:rFonts w:ascii="Arial" w:eastAsia="Arial" w:hAnsi="Arial" w:cs="Arial"/>
          <w:sz w:val="20"/>
          <w:szCs w:val="20"/>
        </w:rPr>
        <w:t xml:space="preserve"> in ur</w:t>
      </w:r>
      <w:r w:rsidR="00364AF2" w:rsidRPr="00215B2F">
        <w:rPr>
          <w:rFonts w:ascii="Arial" w:eastAsia="Arial" w:hAnsi="Arial" w:cs="Arial"/>
          <w:sz w:val="20"/>
          <w:szCs w:val="20"/>
        </w:rPr>
        <w:t>i</w:t>
      </w:r>
      <w:r w:rsidRPr="00215B2F">
        <w:rPr>
          <w:rFonts w:ascii="Arial" w:eastAsia="Arial" w:hAnsi="Arial" w:cs="Arial"/>
          <w:sz w:val="20"/>
          <w:szCs w:val="20"/>
        </w:rPr>
        <w:t xml:space="preserve"> razgovora, zadev</w:t>
      </w:r>
      <w:r w:rsidR="00364AF2" w:rsidRPr="00215B2F">
        <w:rPr>
          <w:rFonts w:ascii="Arial" w:eastAsia="Arial" w:hAnsi="Arial" w:cs="Arial"/>
          <w:sz w:val="20"/>
          <w:szCs w:val="20"/>
        </w:rPr>
        <w:t>i</w:t>
      </w:r>
      <w:r w:rsidRPr="00215B2F">
        <w:rPr>
          <w:rFonts w:ascii="Arial" w:eastAsia="Arial" w:hAnsi="Arial" w:cs="Arial"/>
          <w:sz w:val="20"/>
          <w:szCs w:val="20"/>
        </w:rPr>
        <w:t xml:space="preserve"> ter podatke </w:t>
      </w:r>
      <w:r w:rsidR="00622A33" w:rsidRPr="00215B2F">
        <w:rPr>
          <w:rFonts w:ascii="Arial" w:eastAsia="Arial" w:hAnsi="Arial" w:cs="Arial"/>
          <w:sz w:val="20"/>
          <w:szCs w:val="20"/>
        </w:rPr>
        <w:t xml:space="preserve">o </w:t>
      </w:r>
      <w:r w:rsidRPr="00215B2F">
        <w:rPr>
          <w:rFonts w:ascii="Arial" w:eastAsia="Arial" w:hAnsi="Arial" w:cs="Arial"/>
          <w:sz w:val="20"/>
          <w:szCs w:val="20"/>
        </w:rPr>
        <w:t>drugih oseb</w:t>
      </w:r>
      <w:r w:rsidR="00622A33" w:rsidRPr="00215B2F">
        <w:rPr>
          <w:rFonts w:ascii="Arial" w:eastAsia="Arial" w:hAnsi="Arial" w:cs="Arial"/>
          <w:sz w:val="20"/>
          <w:szCs w:val="20"/>
        </w:rPr>
        <w:t>ah (ime in priimek ter delovno mesto)</w:t>
      </w:r>
      <w:r w:rsidRPr="00215B2F">
        <w:rPr>
          <w:rFonts w:ascii="Arial" w:eastAsia="Arial" w:hAnsi="Arial" w:cs="Arial"/>
          <w:sz w:val="20"/>
          <w:szCs w:val="20"/>
        </w:rPr>
        <w:t>, ki so prisotne na razgovoru. Iz posnetka se mora jasno prepoznati, kdo je dal posamezno izjavo.</w:t>
      </w:r>
    </w:p>
    <w:p w14:paraId="55F6EF6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4FC46F3" w14:textId="2DB00DE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Na podlagi zvočnega posnetka uradna oseba sestavi zapisnik, ki vsebuje prepis razgovora. V zapisniku je treba zapisati, da je bil razgovor posnet z napravo za zvočno snemanje, da so bili kandidat in drugi udeleženci obveščeni o snemanju, da je bil posnetek na zahtevo kandidata reproduciran, in kraj hrambe posnetka, če ni priložen zapisniku.</w:t>
      </w:r>
    </w:p>
    <w:p w14:paraId="674FD2D4"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D3AD5C9" w14:textId="135831A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Uradna oseba iz prejšnjega odstavka sestavi zapisnik v osmih dneh po razgovoru. Ne glede na tretji odstavek </w:t>
      </w:r>
      <w:r w:rsidR="00437223" w:rsidRPr="00215B2F">
        <w:rPr>
          <w:rFonts w:ascii="Arial" w:eastAsia="Arial" w:hAnsi="Arial" w:cs="Arial"/>
          <w:sz w:val="20"/>
          <w:szCs w:val="20"/>
        </w:rPr>
        <w:t>446</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se zapisnik o razgovoru vroči kandidatu. Kandidat ima v nadaljnjih </w:t>
      </w:r>
      <w:r w:rsidRPr="00215B2F">
        <w:rPr>
          <w:rFonts w:ascii="Arial" w:eastAsia="Arial" w:hAnsi="Arial" w:cs="Arial"/>
          <w:sz w:val="20"/>
          <w:szCs w:val="20"/>
        </w:rPr>
        <w:lastRenderedPageBreak/>
        <w:t>treh dneh pravico do poslušanja zvočnega posnetka razgovora in pravico do pisnega ugovora zoper morebitno nepravilnost zapisa.</w:t>
      </w:r>
    </w:p>
    <w:p w14:paraId="6E6B753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5283D17" w14:textId="1EB4693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O ugovoru kandidata zoper zapisnik odloči uradna oseba, ki vodi postopek</w:t>
      </w:r>
      <w:r w:rsidR="007F734B" w:rsidRPr="00215B2F">
        <w:rPr>
          <w:rFonts w:ascii="Arial" w:eastAsia="Arial" w:hAnsi="Arial" w:cs="Arial"/>
          <w:sz w:val="20"/>
          <w:szCs w:val="20"/>
        </w:rPr>
        <w:t>,</w:t>
      </w:r>
      <w:r w:rsidRPr="00215B2F">
        <w:rPr>
          <w:rFonts w:ascii="Arial" w:eastAsia="Arial" w:hAnsi="Arial" w:cs="Arial"/>
          <w:sz w:val="20"/>
          <w:szCs w:val="20"/>
        </w:rPr>
        <w:t xml:space="preserve"> s sklepom. Zoper sklep o ugovoru ni posebnega sodnega varstva, lahko pa kandidat odločitev o ugovoru izpodbija s pravnim sredstvom zoper odločitev o zahtevi za izdajo dovoljenja za opravljanje funkcije </w:t>
      </w:r>
      <w:r w:rsidR="00882103" w:rsidRPr="00215B2F">
        <w:rPr>
          <w:rFonts w:ascii="Arial" w:hAnsi="Arial" w:cs="Arial"/>
          <w:sz w:val="20"/>
          <w:szCs w:val="20"/>
        </w:rPr>
        <w:t>člana uprave</w:t>
      </w:r>
      <w:r w:rsidRPr="00215B2F">
        <w:rPr>
          <w:rFonts w:ascii="Arial" w:eastAsia="Arial" w:hAnsi="Arial" w:cs="Arial"/>
          <w:sz w:val="20"/>
          <w:szCs w:val="20"/>
        </w:rPr>
        <w:t>.</w:t>
      </w:r>
    </w:p>
    <w:p w14:paraId="612052BF"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3BC5042" w14:textId="23466BE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Banka Slovenije hrani zvočne posnetke razgovora do pravnomočnosti odločitve o zahtevi za izdajo dovoljenja za opravljanje funkcije </w:t>
      </w:r>
      <w:r w:rsidR="00882103" w:rsidRPr="00215B2F">
        <w:rPr>
          <w:rFonts w:ascii="Arial" w:hAnsi="Arial" w:cs="Arial"/>
          <w:sz w:val="20"/>
          <w:szCs w:val="20"/>
        </w:rPr>
        <w:t>člana uprave</w:t>
      </w:r>
      <w:r w:rsidRPr="00215B2F">
        <w:rPr>
          <w:rFonts w:ascii="Arial" w:eastAsia="Arial" w:hAnsi="Arial" w:cs="Arial"/>
          <w:sz w:val="20"/>
          <w:szCs w:val="20"/>
        </w:rPr>
        <w:t>. Banka Slovenije nato posnetke uniči.</w:t>
      </w:r>
    </w:p>
    <w:bookmarkEnd w:id="72"/>
    <w:p w14:paraId="3A5FB098"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04068F0A"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73" w:name="_Ref202963074"/>
      <w:r w:rsidRPr="00215B2F">
        <w:rPr>
          <w:rFonts w:ascii="Arial" w:eastAsia="Arial" w:hAnsi="Arial" w:cs="Arial"/>
          <w:b/>
          <w:bCs/>
          <w:sz w:val="20"/>
          <w:szCs w:val="20"/>
        </w:rPr>
        <w:t>člen</w:t>
      </w:r>
      <w:bookmarkEnd w:id="73"/>
    </w:p>
    <w:p w14:paraId="3BD8599B" w14:textId="77777777" w:rsidR="00D91782" w:rsidRPr="00215B2F" w:rsidRDefault="00D91782" w:rsidP="00FD5520">
      <w:pPr>
        <w:pStyle w:val="Slog1"/>
        <w:shd w:val="clear" w:color="auto" w:fill="FFFFFF" w:themeFill="background1"/>
        <w:rPr>
          <w:sz w:val="20"/>
          <w:szCs w:val="20"/>
        </w:rPr>
      </w:pPr>
      <w:r w:rsidRPr="00215B2F">
        <w:rPr>
          <w:sz w:val="20"/>
          <w:szCs w:val="20"/>
        </w:rPr>
        <w:t>(odločanje o zahtevi za opravljanje funkcije člana uprave)</w:t>
      </w:r>
    </w:p>
    <w:p w14:paraId="75F2536A" w14:textId="77777777" w:rsidR="00D91782" w:rsidRPr="00215B2F" w:rsidRDefault="00D91782" w:rsidP="00FD5520">
      <w:pPr>
        <w:pStyle w:val="Slog1"/>
        <w:shd w:val="clear" w:color="auto" w:fill="FFFFFF" w:themeFill="background1"/>
        <w:jc w:val="both"/>
        <w:rPr>
          <w:sz w:val="20"/>
          <w:szCs w:val="20"/>
        </w:rPr>
      </w:pPr>
    </w:p>
    <w:p w14:paraId="6C770DFB" w14:textId="4666A92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na podlagi zahteve in dokumentacije ter predstavitve kandidata za člana uprave oceni izpolnjevanje pogojev iz prvega odstavka </w:t>
      </w:r>
      <w:r w:rsidR="00F378C4" w:rsidRPr="00215B2F">
        <w:rPr>
          <w:rFonts w:ascii="Arial" w:eastAsia="Arial" w:hAnsi="Arial" w:cs="Arial"/>
          <w:sz w:val="20"/>
          <w:szCs w:val="20"/>
        </w:rPr>
        <w:t>41</w:t>
      </w:r>
      <w:r w:rsidRPr="00215B2F">
        <w:rPr>
          <w:rFonts w:ascii="Arial" w:eastAsia="Arial" w:hAnsi="Arial" w:cs="Arial"/>
          <w:sz w:val="20"/>
          <w:szCs w:val="20"/>
        </w:rPr>
        <w:t xml:space="preserve">. člena, prvega odstavka </w:t>
      </w:r>
      <w:r w:rsidR="00F378C4" w:rsidRPr="00215B2F">
        <w:rPr>
          <w:rFonts w:ascii="Arial" w:eastAsia="Arial" w:hAnsi="Arial" w:cs="Arial"/>
          <w:sz w:val="20"/>
          <w:szCs w:val="20"/>
        </w:rPr>
        <w:t>45</w:t>
      </w:r>
      <w:r w:rsidRPr="00215B2F">
        <w:rPr>
          <w:rFonts w:ascii="Arial" w:eastAsia="Arial" w:hAnsi="Arial" w:cs="Arial"/>
          <w:sz w:val="20"/>
          <w:szCs w:val="20"/>
        </w:rPr>
        <w:t xml:space="preserve">. člena in </w:t>
      </w:r>
      <w:r w:rsidR="00F378C4" w:rsidRPr="00215B2F">
        <w:rPr>
          <w:rFonts w:ascii="Arial" w:eastAsia="Arial" w:hAnsi="Arial" w:cs="Arial"/>
          <w:sz w:val="20"/>
          <w:szCs w:val="20"/>
        </w:rPr>
        <w:t>47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zlasti glede ustreznosti postopka izbora in imenovanja kandidata, ki ga je izvedla banka, ter glede strategije vodenja poslov banke, ki jo je predložil kandidat, za varno in skrbno upravljanje banke.</w:t>
      </w:r>
    </w:p>
    <w:p w14:paraId="3CC31828"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E60356B" w14:textId="320A794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podatke, ki jih potrebuje v postopku odločanja o izdaji dovoljenja za opravljanje funkcije člana uprave, po uradni dolžnosti brezplačno pridobi od pristojnih državnih organov oziroma nosilcev javnih pooblastil. Za presojo ugleda in izkušenj posameznega kandidata Banka Slovenije pridobi tudi informacije, ki jih obdeluje Evropski bančni organ glede </w:t>
      </w:r>
      <w:r w:rsidR="00540823" w:rsidRPr="00215B2F">
        <w:rPr>
          <w:rFonts w:ascii="Arial" w:eastAsia="Arial" w:hAnsi="Arial" w:cs="Arial"/>
          <w:sz w:val="20"/>
          <w:szCs w:val="20"/>
        </w:rPr>
        <w:t>preteklega delovanja kandidata</w:t>
      </w:r>
      <w:r w:rsidRPr="00215B2F">
        <w:rPr>
          <w:rFonts w:ascii="Arial" w:eastAsia="Arial" w:hAnsi="Arial" w:cs="Arial"/>
          <w:sz w:val="20"/>
          <w:szCs w:val="20"/>
        </w:rPr>
        <w:t>.</w:t>
      </w:r>
    </w:p>
    <w:p w14:paraId="003DE683"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BEE1E9E" w14:textId="4E0E320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se o zahtevi za izdajo dovoljenja za opravljanje funkcije </w:t>
      </w:r>
      <w:r w:rsidR="00882103" w:rsidRPr="00215B2F">
        <w:rPr>
          <w:rFonts w:ascii="Arial" w:hAnsi="Arial" w:cs="Arial"/>
          <w:sz w:val="20"/>
          <w:szCs w:val="20"/>
        </w:rPr>
        <w:t>člana uprave</w:t>
      </w:r>
      <w:r w:rsidRPr="00215B2F">
        <w:rPr>
          <w:rFonts w:ascii="Arial" w:eastAsia="Arial" w:hAnsi="Arial" w:cs="Arial"/>
          <w:sz w:val="20"/>
          <w:szCs w:val="20"/>
        </w:rPr>
        <w:t>, ki je v skladu s tem zakonom vključena v nadzor bank</w:t>
      </w:r>
      <w:r w:rsidR="006D6C5C" w:rsidRPr="00215B2F">
        <w:rPr>
          <w:rFonts w:ascii="Arial" w:eastAsia="Arial" w:hAnsi="Arial" w:cs="Arial"/>
          <w:sz w:val="20"/>
          <w:szCs w:val="20"/>
        </w:rPr>
        <w:t>e</w:t>
      </w:r>
      <w:r w:rsidRPr="00215B2F">
        <w:rPr>
          <w:rFonts w:ascii="Arial" w:eastAsia="Arial" w:hAnsi="Arial" w:cs="Arial"/>
          <w:sz w:val="20"/>
          <w:szCs w:val="20"/>
        </w:rPr>
        <w:t xml:space="preserve"> države članice na konsolidirani podlagi, posvetuje s pristojnimi organi držav članic, ki sodelujejo pri nadzoru na konsolidirani podlagi, če odločitev o zahtevi za izdajo dovoljenja vpliva ali bi lahko vplivala na izvajanje nalog pristojnega organa druge države članice v zvezi z banko države članice.</w:t>
      </w:r>
    </w:p>
    <w:p w14:paraId="676C15EA" w14:textId="77777777" w:rsidR="003E05E7" w:rsidRPr="00215B2F" w:rsidRDefault="003E05E7" w:rsidP="00FD5520">
      <w:pPr>
        <w:shd w:val="clear" w:color="auto" w:fill="FFFFFF" w:themeFill="background1"/>
        <w:spacing w:after="0" w:line="240" w:lineRule="auto"/>
        <w:jc w:val="both"/>
        <w:rPr>
          <w:rFonts w:ascii="Arial" w:eastAsia="Arial" w:hAnsi="Arial" w:cs="Arial"/>
          <w:sz w:val="20"/>
          <w:szCs w:val="20"/>
        </w:rPr>
      </w:pPr>
    </w:p>
    <w:p w14:paraId="39195795" w14:textId="09E0E76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lahko pri odločanju o zahtevi za opravljanje funkcije </w:t>
      </w:r>
      <w:r w:rsidR="00882103" w:rsidRPr="00215B2F">
        <w:rPr>
          <w:rFonts w:ascii="Arial" w:hAnsi="Arial" w:cs="Arial"/>
          <w:sz w:val="20"/>
          <w:szCs w:val="20"/>
        </w:rPr>
        <w:t>člana uprave</w:t>
      </w:r>
      <w:r w:rsidRPr="00215B2F">
        <w:rPr>
          <w:rFonts w:ascii="Arial" w:eastAsia="Arial" w:hAnsi="Arial" w:cs="Arial"/>
          <w:sz w:val="20"/>
          <w:szCs w:val="20"/>
        </w:rPr>
        <w:t>:</w:t>
      </w:r>
    </w:p>
    <w:p w14:paraId="74FD811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8288C00" w14:textId="77777777" w:rsidR="00730AA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upošteva tudi informacije, ki jih je pridobila kot pristojni nadzorni organ na podlagi zakona, ki ureja preprečevanje pranja denarja in financiranje terorizma, </w:t>
      </w:r>
    </w:p>
    <w:p w14:paraId="35A535C0" w14:textId="57B27F84" w:rsidR="00730AA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o kandidatu za člana uprave pridobi informacije od Urada </w:t>
      </w:r>
      <w:r w:rsidR="000063BE" w:rsidRPr="00215B2F">
        <w:rPr>
          <w:rFonts w:ascii="Arial" w:eastAsia="Arial" w:hAnsi="Arial" w:cs="Arial"/>
          <w:sz w:val="20"/>
          <w:szCs w:val="20"/>
        </w:rPr>
        <w:t xml:space="preserve">Republike Slovenije </w:t>
      </w:r>
      <w:r w:rsidRPr="00215B2F">
        <w:rPr>
          <w:rFonts w:ascii="Arial" w:eastAsia="Arial" w:hAnsi="Arial" w:cs="Arial"/>
          <w:sz w:val="20"/>
          <w:szCs w:val="20"/>
        </w:rPr>
        <w:t xml:space="preserve">za preprečevanje pranja denarja oziroma pristojnega organa na podlagi Direktive 2015/849/EU </w:t>
      </w:r>
      <w:r w:rsidR="001A633C" w:rsidRPr="00215B2F">
        <w:rPr>
          <w:rFonts w:ascii="Arial" w:eastAsia="Arial" w:hAnsi="Arial" w:cs="Arial"/>
          <w:sz w:val="20"/>
          <w:szCs w:val="20"/>
        </w:rPr>
        <w:t>ali</w:t>
      </w:r>
    </w:p>
    <w:p w14:paraId="7D247B30" w14:textId="6CEC73DC"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zahteva dostop do osrednje podatkovne </w:t>
      </w:r>
      <w:r w:rsidR="001A633C" w:rsidRPr="00215B2F">
        <w:rPr>
          <w:rFonts w:ascii="Arial" w:eastAsia="Arial" w:hAnsi="Arial" w:cs="Arial"/>
          <w:sz w:val="20"/>
          <w:szCs w:val="20"/>
        </w:rPr>
        <w:t>zbirk</w:t>
      </w:r>
      <w:r w:rsidRPr="00215B2F">
        <w:rPr>
          <w:rFonts w:ascii="Arial" w:eastAsia="Arial" w:hAnsi="Arial" w:cs="Arial"/>
          <w:sz w:val="20"/>
          <w:szCs w:val="20"/>
        </w:rPr>
        <w:t xml:space="preserve">e na področju pranja denarja in financiranja terorizma iz Uredbe 2024/1620/EU. O dostopu do navedene </w:t>
      </w:r>
      <w:r w:rsidR="001A633C" w:rsidRPr="00215B2F">
        <w:rPr>
          <w:rFonts w:ascii="Arial" w:eastAsia="Arial" w:hAnsi="Arial" w:cs="Arial"/>
          <w:sz w:val="20"/>
          <w:szCs w:val="20"/>
        </w:rPr>
        <w:t>podatkovne zbirk</w:t>
      </w:r>
      <w:r w:rsidRPr="00215B2F">
        <w:rPr>
          <w:rFonts w:ascii="Arial" w:eastAsia="Arial" w:hAnsi="Arial" w:cs="Arial"/>
          <w:sz w:val="20"/>
          <w:szCs w:val="20"/>
        </w:rPr>
        <w:t xml:space="preserve">e odloči Organ za preprečevanje pranja denarja in financiranje terorizma, ustanovljen z navedeno uredbo. </w:t>
      </w:r>
    </w:p>
    <w:p w14:paraId="1C1BB76F" w14:textId="77777777" w:rsidR="00560D52" w:rsidRPr="00215B2F" w:rsidRDefault="00560D52" w:rsidP="00FD5520">
      <w:pPr>
        <w:shd w:val="clear" w:color="auto" w:fill="FFFFFF" w:themeFill="background1"/>
        <w:spacing w:after="0" w:line="240" w:lineRule="auto"/>
        <w:jc w:val="both"/>
        <w:rPr>
          <w:rFonts w:ascii="Arial" w:eastAsia="Arial" w:hAnsi="Arial" w:cs="Arial"/>
          <w:sz w:val="20"/>
          <w:szCs w:val="20"/>
        </w:rPr>
      </w:pPr>
    </w:p>
    <w:p w14:paraId="67235AAA" w14:textId="5EFF080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Če Banka Slovenije na podlagi obvestila banke iz sedmega odstavka </w:t>
      </w:r>
      <w:r w:rsidR="00F378C4" w:rsidRPr="00215B2F">
        <w:rPr>
          <w:rFonts w:ascii="Arial" w:eastAsia="Arial" w:hAnsi="Arial" w:cs="Arial"/>
          <w:sz w:val="20"/>
          <w:szCs w:val="20"/>
        </w:rPr>
        <w:t>44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v zvezi z imenovanjem </w:t>
      </w:r>
      <w:r w:rsidR="00882103" w:rsidRPr="00215B2F">
        <w:rPr>
          <w:rFonts w:ascii="Arial" w:hAnsi="Arial" w:cs="Arial"/>
          <w:sz w:val="20"/>
          <w:szCs w:val="20"/>
        </w:rPr>
        <w:t>člana uprave</w:t>
      </w:r>
      <w:r w:rsidRPr="00215B2F">
        <w:rPr>
          <w:rFonts w:ascii="Arial" w:eastAsia="Arial" w:hAnsi="Arial" w:cs="Arial"/>
          <w:sz w:val="20"/>
          <w:szCs w:val="20"/>
        </w:rPr>
        <w:t xml:space="preserve"> ugotovi, da banka v postopku izbora in ocenjevanja primernosti kandidata ni ravnala v skladu s tem zakonom ali pravili banke, Banka Slovenije zavrže zahtevo kandidata za </w:t>
      </w:r>
      <w:r w:rsidR="00882103" w:rsidRPr="00215B2F">
        <w:rPr>
          <w:rFonts w:ascii="Arial" w:hAnsi="Arial" w:cs="Arial"/>
          <w:sz w:val="20"/>
          <w:szCs w:val="20"/>
        </w:rPr>
        <w:t>člana uprave</w:t>
      </w:r>
      <w:r w:rsidRPr="00215B2F">
        <w:rPr>
          <w:rFonts w:ascii="Arial" w:eastAsia="Arial" w:hAnsi="Arial" w:cs="Arial"/>
          <w:sz w:val="20"/>
          <w:szCs w:val="20"/>
        </w:rPr>
        <w:t xml:space="preserve"> in odredi banki, da ponovi postopek izbora kandidata za člana uprave.</w:t>
      </w:r>
    </w:p>
    <w:p w14:paraId="525A166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5197348"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74" w:name="_Ref202963087"/>
      <w:r w:rsidRPr="00215B2F">
        <w:rPr>
          <w:rFonts w:ascii="Arial" w:eastAsia="Arial" w:hAnsi="Arial" w:cs="Arial"/>
          <w:b/>
          <w:bCs/>
          <w:sz w:val="20"/>
          <w:szCs w:val="20"/>
        </w:rPr>
        <w:t>člen</w:t>
      </w:r>
      <w:bookmarkEnd w:id="74"/>
    </w:p>
    <w:p w14:paraId="72300D01" w14:textId="77777777" w:rsidR="00D91782" w:rsidRPr="00215B2F" w:rsidRDefault="00D91782" w:rsidP="00FD5520">
      <w:pPr>
        <w:pStyle w:val="Slog1"/>
        <w:shd w:val="clear" w:color="auto" w:fill="FFFFFF" w:themeFill="background1"/>
        <w:rPr>
          <w:sz w:val="20"/>
          <w:szCs w:val="20"/>
        </w:rPr>
      </w:pPr>
      <w:r w:rsidRPr="00215B2F">
        <w:rPr>
          <w:sz w:val="20"/>
          <w:szCs w:val="20"/>
        </w:rPr>
        <w:t>(zavrnitev zahteve za izdajo dovoljenja za opravljanje funkcije člana uprave)</w:t>
      </w:r>
    </w:p>
    <w:p w14:paraId="386FE244" w14:textId="77777777" w:rsidR="00D91782" w:rsidRPr="00215B2F" w:rsidRDefault="00D91782" w:rsidP="00FD5520">
      <w:pPr>
        <w:pStyle w:val="Slog1"/>
        <w:shd w:val="clear" w:color="auto" w:fill="FFFFFF" w:themeFill="background1"/>
        <w:jc w:val="both"/>
        <w:rPr>
          <w:sz w:val="20"/>
          <w:szCs w:val="20"/>
        </w:rPr>
      </w:pPr>
    </w:p>
    <w:p w14:paraId="37480AC5" w14:textId="6B81E4A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zavrne zahtevo za izdajo dovoljenja za opravljanje funkcije </w:t>
      </w:r>
      <w:r w:rsidR="00882103" w:rsidRPr="00215B2F">
        <w:rPr>
          <w:rFonts w:ascii="Arial" w:hAnsi="Arial" w:cs="Arial"/>
          <w:sz w:val="20"/>
          <w:szCs w:val="20"/>
        </w:rPr>
        <w:t>člana uprave</w:t>
      </w:r>
      <w:r w:rsidRPr="00215B2F">
        <w:rPr>
          <w:rFonts w:ascii="Arial" w:eastAsia="Arial" w:hAnsi="Arial" w:cs="Arial"/>
          <w:sz w:val="20"/>
          <w:szCs w:val="20"/>
        </w:rPr>
        <w:t xml:space="preserve">, če kandidat ne izpolnjuje pogojev za imenovanje za člana uprave iz </w:t>
      </w:r>
      <w:r w:rsidR="00F378C4" w:rsidRPr="00215B2F">
        <w:rPr>
          <w:rFonts w:ascii="Arial" w:eastAsia="Arial" w:hAnsi="Arial" w:cs="Arial"/>
          <w:sz w:val="20"/>
          <w:szCs w:val="20"/>
        </w:rPr>
        <w:t>47</w:t>
      </w:r>
      <w:r w:rsidRPr="00215B2F">
        <w:rPr>
          <w:rFonts w:ascii="Arial" w:eastAsia="Arial" w:hAnsi="Arial" w:cs="Arial"/>
          <w:sz w:val="20"/>
          <w:szCs w:val="20"/>
        </w:rPr>
        <w:t>.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0EFEFBAB"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1D1E6A7" w14:textId="6C72F66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Če pri kandidatu v času odločanja o izdaji dovoljenja za opravljanje funkcije člana uprave niso podani razlogi za zavrnitev zahteve iz prejšnjega odstavka, </w:t>
      </w:r>
      <w:r w:rsidR="00BB7392" w:rsidRPr="00215B2F">
        <w:rPr>
          <w:rFonts w:ascii="Arial" w:eastAsia="Arial" w:hAnsi="Arial" w:cs="Arial"/>
          <w:sz w:val="20"/>
          <w:szCs w:val="20"/>
        </w:rPr>
        <w:t>obstajajo pa razlogi za nezdružljivost</w:t>
      </w:r>
      <w:r w:rsidRPr="00215B2F">
        <w:rPr>
          <w:rFonts w:ascii="Arial" w:eastAsia="Arial" w:hAnsi="Arial" w:cs="Arial"/>
          <w:sz w:val="20"/>
          <w:szCs w:val="20"/>
        </w:rPr>
        <w:t xml:space="preserve"> </w:t>
      </w:r>
      <w:r w:rsidR="00F53E10" w:rsidRPr="00215B2F">
        <w:rPr>
          <w:rFonts w:ascii="Arial" w:eastAsia="Arial" w:hAnsi="Arial" w:cs="Arial"/>
          <w:sz w:val="20"/>
          <w:szCs w:val="20"/>
        </w:rPr>
        <w:t xml:space="preserve">z </w:t>
      </w:r>
      <w:r w:rsidRPr="00215B2F">
        <w:rPr>
          <w:rFonts w:ascii="Arial" w:eastAsia="Arial" w:hAnsi="Arial" w:cs="Arial"/>
          <w:sz w:val="20"/>
          <w:szCs w:val="20"/>
        </w:rPr>
        <w:t>opravljanj</w:t>
      </w:r>
      <w:r w:rsidR="00F53E10" w:rsidRPr="00215B2F">
        <w:rPr>
          <w:rFonts w:ascii="Arial" w:eastAsia="Arial" w:hAnsi="Arial" w:cs="Arial"/>
          <w:sz w:val="20"/>
          <w:szCs w:val="20"/>
        </w:rPr>
        <w:t>em</w:t>
      </w:r>
      <w:r w:rsidRPr="00215B2F">
        <w:rPr>
          <w:rFonts w:ascii="Arial" w:eastAsia="Arial" w:hAnsi="Arial" w:cs="Arial"/>
          <w:sz w:val="20"/>
          <w:szCs w:val="20"/>
        </w:rPr>
        <w:t xml:space="preserve"> funkcije </w:t>
      </w:r>
      <w:r w:rsidR="00882103" w:rsidRPr="00215B2F">
        <w:rPr>
          <w:rFonts w:ascii="Arial" w:hAnsi="Arial" w:cs="Arial"/>
          <w:sz w:val="20"/>
          <w:szCs w:val="20"/>
        </w:rPr>
        <w:t>člana uprave</w:t>
      </w:r>
      <w:r w:rsidRPr="00215B2F">
        <w:rPr>
          <w:rFonts w:ascii="Arial" w:eastAsia="Arial" w:hAnsi="Arial" w:cs="Arial"/>
          <w:sz w:val="20"/>
          <w:szCs w:val="20"/>
        </w:rPr>
        <w:t xml:space="preserve"> iz </w:t>
      </w:r>
      <w:r w:rsidR="00F378C4" w:rsidRPr="00215B2F">
        <w:rPr>
          <w:rFonts w:ascii="Arial" w:eastAsia="Arial" w:hAnsi="Arial" w:cs="Arial"/>
          <w:sz w:val="20"/>
          <w:szCs w:val="20"/>
        </w:rPr>
        <w:t>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zaradi opravljanja direktorskih funkcij v drugih družbah in organizacijah, Banka Slovenije izda dovoljenje za opravljanje funkcije </w:t>
      </w:r>
      <w:r w:rsidR="00882103" w:rsidRPr="00215B2F">
        <w:rPr>
          <w:rFonts w:ascii="Arial" w:hAnsi="Arial" w:cs="Arial"/>
          <w:sz w:val="20"/>
          <w:szCs w:val="20"/>
        </w:rPr>
        <w:t>člana uprave</w:t>
      </w:r>
      <w:r w:rsidRPr="00215B2F">
        <w:rPr>
          <w:rFonts w:ascii="Arial" w:eastAsia="Arial" w:hAnsi="Arial" w:cs="Arial"/>
          <w:sz w:val="20"/>
          <w:szCs w:val="20"/>
        </w:rPr>
        <w:t xml:space="preserve"> in določi rok, ki ne sme biti krajši od 30 dni in ne daljši od treh mesecev, v katerem </w:t>
      </w:r>
      <w:r w:rsidR="00695BAE" w:rsidRPr="00215B2F">
        <w:rPr>
          <w:rFonts w:ascii="Arial" w:eastAsia="Arial" w:hAnsi="Arial" w:cs="Arial"/>
          <w:sz w:val="20"/>
          <w:szCs w:val="20"/>
        </w:rPr>
        <w:t xml:space="preserve">se </w:t>
      </w:r>
      <w:r w:rsidRPr="00215B2F">
        <w:rPr>
          <w:rFonts w:ascii="Arial" w:eastAsia="Arial" w:hAnsi="Arial" w:cs="Arial"/>
          <w:sz w:val="20"/>
          <w:szCs w:val="20"/>
        </w:rPr>
        <w:t xml:space="preserve">mora član uprave </w:t>
      </w:r>
      <w:r w:rsidR="00695BAE" w:rsidRPr="00215B2F">
        <w:rPr>
          <w:rFonts w:ascii="Arial" w:eastAsia="Arial" w:hAnsi="Arial" w:cs="Arial"/>
          <w:sz w:val="20"/>
          <w:szCs w:val="20"/>
        </w:rPr>
        <w:t xml:space="preserve">uskladiti z </w:t>
      </w:r>
      <w:r w:rsidRPr="00215B2F">
        <w:rPr>
          <w:rFonts w:ascii="Arial" w:eastAsia="Arial" w:hAnsi="Arial" w:cs="Arial"/>
          <w:sz w:val="20"/>
          <w:szCs w:val="20"/>
        </w:rPr>
        <w:t>zahtev</w:t>
      </w:r>
      <w:r w:rsidR="00695BAE" w:rsidRPr="00215B2F">
        <w:rPr>
          <w:rFonts w:ascii="Arial" w:eastAsia="Arial" w:hAnsi="Arial" w:cs="Arial"/>
          <w:sz w:val="20"/>
          <w:szCs w:val="20"/>
        </w:rPr>
        <w:t>ami</w:t>
      </w:r>
      <w:r w:rsidRPr="00215B2F">
        <w:rPr>
          <w:rFonts w:ascii="Arial" w:eastAsia="Arial" w:hAnsi="Arial" w:cs="Arial"/>
          <w:sz w:val="20"/>
          <w:szCs w:val="20"/>
        </w:rPr>
        <w:t xml:space="preserve"> iz </w:t>
      </w:r>
      <w:r w:rsidR="00F378C4" w:rsidRPr="00215B2F">
        <w:rPr>
          <w:rFonts w:ascii="Arial" w:eastAsia="Arial" w:hAnsi="Arial" w:cs="Arial"/>
          <w:sz w:val="20"/>
          <w:szCs w:val="20"/>
        </w:rPr>
        <w:t>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40B52C92"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C8A929F" w14:textId="1C37BC4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Član uprave lahko v primeru iz prejšnjega odstavka začne opravljati funkcijo člana uprave, </w:t>
      </w:r>
      <w:r w:rsidR="007F734B" w:rsidRPr="00215B2F">
        <w:rPr>
          <w:rFonts w:ascii="Arial" w:eastAsia="Arial" w:hAnsi="Arial" w:cs="Arial"/>
          <w:sz w:val="20"/>
          <w:szCs w:val="20"/>
        </w:rPr>
        <w:t xml:space="preserve">ko </w:t>
      </w:r>
      <w:r w:rsidR="00702635" w:rsidRPr="00215B2F">
        <w:rPr>
          <w:rFonts w:ascii="Arial" w:eastAsia="Arial" w:hAnsi="Arial" w:cs="Arial"/>
          <w:sz w:val="20"/>
          <w:szCs w:val="20"/>
        </w:rPr>
        <w:t xml:space="preserve">se uskladi z </w:t>
      </w:r>
      <w:r w:rsidRPr="00215B2F">
        <w:rPr>
          <w:rFonts w:ascii="Arial" w:eastAsia="Arial" w:hAnsi="Arial" w:cs="Arial"/>
          <w:sz w:val="20"/>
          <w:szCs w:val="20"/>
        </w:rPr>
        <w:t>zahtev</w:t>
      </w:r>
      <w:r w:rsidR="00702635" w:rsidRPr="00215B2F">
        <w:rPr>
          <w:rFonts w:ascii="Arial" w:eastAsia="Arial" w:hAnsi="Arial" w:cs="Arial"/>
          <w:sz w:val="20"/>
          <w:szCs w:val="20"/>
        </w:rPr>
        <w:t>ami</w:t>
      </w:r>
      <w:r w:rsidRPr="00215B2F">
        <w:rPr>
          <w:rFonts w:ascii="Arial" w:eastAsia="Arial" w:hAnsi="Arial" w:cs="Arial"/>
          <w:sz w:val="20"/>
          <w:szCs w:val="20"/>
        </w:rPr>
        <w:t xml:space="preserve"> iz </w:t>
      </w:r>
      <w:r w:rsidR="00F378C4" w:rsidRPr="00215B2F">
        <w:rPr>
          <w:rFonts w:ascii="Arial" w:eastAsia="Arial" w:hAnsi="Arial" w:cs="Arial"/>
          <w:sz w:val="20"/>
          <w:szCs w:val="20"/>
        </w:rPr>
        <w:t>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o tem obvesti Banko Slovenije.</w:t>
      </w:r>
    </w:p>
    <w:p w14:paraId="7B27C48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FACAA3E"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75" w:name="_Ref202963102"/>
      <w:r w:rsidRPr="00215B2F">
        <w:rPr>
          <w:rFonts w:ascii="Arial" w:eastAsia="Arial" w:hAnsi="Arial" w:cs="Arial"/>
          <w:b/>
          <w:bCs/>
          <w:sz w:val="20"/>
          <w:szCs w:val="20"/>
        </w:rPr>
        <w:lastRenderedPageBreak/>
        <w:t>člen</w:t>
      </w:r>
      <w:bookmarkEnd w:id="75"/>
    </w:p>
    <w:p w14:paraId="0BE73490" w14:textId="1DE93A93" w:rsidR="00D91782" w:rsidRPr="00215B2F" w:rsidRDefault="00D91782" w:rsidP="00FD5520">
      <w:pPr>
        <w:pStyle w:val="Slog1"/>
        <w:shd w:val="clear" w:color="auto" w:fill="FFFFFF" w:themeFill="background1"/>
        <w:rPr>
          <w:sz w:val="20"/>
          <w:szCs w:val="20"/>
        </w:rPr>
      </w:pPr>
      <w:r w:rsidRPr="00215B2F">
        <w:rPr>
          <w:sz w:val="20"/>
          <w:szCs w:val="20"/>
        </w:rPr>
        <w:t xml:space="preserve">(prenehanje dovoljenja za opravljanje funkcije </w:t>
      </w:r>
      <w:r w:rsidR="00882103" w:rsidRPr="00215B2F">
        <w:rPr>
          <w:sz w:val="20"/>
          <w:szCs w:val="20"/>
        </w:rPr>
        <w:t>člana uprave</w:t>
      </w:r>
      <w:r w:rsidRPr="00215B2F">
        <w:rPr>
          <w:sz w:val="20"/>
          <w:szCs w:val="20"/>
        </w:rPr>
        <w:t>)</w:t>
      </w:r>
    </w:p>
    <w:p w14:paraId="3FD81E27" w14:textId="77777777" w:rsidR="00D91782" w:rsidRPr="00215B2F" w:rsidRDefault="00D91782" w:rsidP="00FD5520">
      <w:pPr>
        <w:pStyle w:val="Slog1"/>
        <w:shd w:val="clear" w:color="auto" w:fill="FFFFFF" w:themeFill="background1"/>
        <w:jc w:val="both"/>
        <w:rPr>
          <w:sz w:val="20"/>
          <w:szCs w:val="20"/>
        </w:rPr>
      </w:pPr>
    </w:p>
    <w:p w14:paraId="61098D97" w14:textId="11EB134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Dovoljenje za opravljanje funkcije </w:t>
      </w:r>
      <w:r w:rsidR="00882103" w:rsidRPr="00215B2F">
        <w:rPr>
          <w:rFonts w:ascii="Arial" w:hAnsi="Arial" w:cs="Arial"/>
          <w:sz w:val="20"/>
          <w:szCs w:val="20"/>
        </w:rPr>
        <w:t>člana uprave</w:t>
      </w:r>
      <w:r w:rsidRPr="00215B2F">
        <w:rPr>
          <w:rFonts w:ascii="Arial" w:eastAsia="Arial" w:hAnsi="Arial" w:cs="Arial"/>
          <w:sz w:val="20"/>
          <w:szCs w:val="20"/>
        </w:rPr>
        <w:t xml:space="preserve"> preneha veljati, če:</w:t>
      </w:r>
    </w:p>
    <w:p w14:paraId="698621F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49A83F6" w14:textId="62C7E061" w:rsidR="00730AA1" w:rsidRPr="00215B2F" w:rsidRDefault="00D91782">
      <w:pPr>
        <w:pStyle w:val="tevilnatoka"/>
        <w:numPr>
          <w:ilvl w:val="0"/>
          <w:numId w:val="52"/>
        </w:numPr>
        <w:shd w:val="clear" w:color="auto" w:fill="FFFFFF" w:themeFill="background1"/>
        <w:tabs>
          <w:tab w:val="clear" w:pos="425"/>
        </w:tabs>
        <w:rPr>
          <w:rFonts w:cs="Arial"/>
          <w:bCs/>
          <w:sz w:val="20"/>
          <w:szCs w:val="20"/>
        </w:rPr>
      </w:pPr>
      <w:r w:rsidRPr="00215B2F">
        <w:rPr>
          <w:rFonts w:eastAsia="Arial" w:cs="Arial"/>
          <w:sz w:val="20"/>
          <w:szCs w:val="20"/>
        </w:rPr>
        <w:t xml:space="preserve">osebi preneha funkcija </w:t>
      </w:r>
      <w:r w:rsidR="00882103" w:rsidRPr="00215B2F">
        <w:rPr>
          <w:rFonts w:cs="Arial"/>
          <w:sz w:val="20"/>
          <w:szCs w:val="20"/>
        </w:rPr>
        <w:t>člana uprave</w:t>
      </w:r>
      <w:r w:rsidRPr="00215B2F">
        <w:rPr>
          <w:rFonts w:eastAsia="Arial" w:cs="Arial"/>
          <w:sz w:val="20"/>
          <w:szCs w:val="20"/>
        </w:rPr>
        <w:t>, na katero se dovoljenje nanaša</w:t>
      </w:r>
      <w:r w:rsidR="00F53E10" w:rsidRPr="00215B2F">
        <w:rPr>
          <w:rFonts w:eastAsia="Arial" w:cs="Arial"/>
          <w:sz w:val="20"/>
          <w:szCs w:val="20"/>
        </w:rPr>
        <w:t>,</w:t>
      </w:r>
      <w:r w:rsidRPr="00215B2F">
        <w:rPr>
          <w:rFonts w:eastAsia="Arial" w:cs="Arial"/>
          <w:sz w:val="20"/>
          <w:szCs w:val="20"/>
        </w:rPr>
        <w:t xml:space="preserve"> ali</w:t>
      </w:r>
    </w:p>
    <w:p w14:paraId="2ED8E1A5" w14:textId="46ACA63C" w:rsidR="00D91782" w:rsidRPr="00215B2F" w:rsidRDefault="00702635">
      <w:pPr>
        <w:pStyle w:val="tevilnatoka"/>
        <w:numPr>
          <w:ilvl w:val="0"/>
          <w:numId w:val="52"/>
        </w:numPr>
        <w:shd w:val="clear" w:color="auto" w:fill="FFFFFF" w:themeFill="background1"/>
        <w:tabs>
          <w:tab w:val="clear" w:pos="425"/>
        </w:tabs>
        <w:rPr>
          <w:rFonts w:cs="Arial"/>
          <w:bCs/>
          <w:sz w:val="20"/>
          <w:szCs w:val="20"/>
        </w:rPr>
      </w:pPr>
      <w:r w:rsidRPr="00215B2F">
        <w:rPr>
          <w:rFonts w:eastAsia="Arial" w:cs="Arial"/>
          <w:sz w:val="20"/>
          <w:szCs w:val="20"/>
        </w:rPr>
        <w:t xml:space="preserve">se </w:t>
      </w:r>
      <w:r w:rsidR="00D91782" w:rsidRPr="00215B2F">
        <w:rPr>
          <w:rFonts w:eastAsia="Arial" w:cs="Arial"/>
          <w:sz w:val="20"/>
          <w:szCs w:val="20"/>
        </w:rPr>
        <w:t xml:space="preserve">član uprave v roku, določenem v odločbi o izdaji dovoljenja za opravljanje funkcije člana uprave, ne </w:t>
      </w:r>
      <w:r w:rsidRPr="00215B2F">
        <w:rPr>
          <w:rFonts w:eastAsia="Arial" w:cs="Arial"/>
          <w:sz w:val="20"/>
          <w:szCs w:val="20"/>
        </w:rPr>
        <w:t xml:space="preserve">uskladi z </w:t>
      </w:r>
      <w:r w:rsidR="00D91782" w:rsidRPr="00215B2F">
        <w:rPr>
          <w:rFonts w:eastAsia="Arial" w:cs="Arial"/>
          <w:sz w:val="20"/>
          <w:szCs w:val="20"/>
        </w:rPr>
        <w:t>zahtev</w:t>
      </w:r>
      <w:r w:rsidRPr="00215B2F">
        <w:rPr>
          <w:rFonts w:eastAsia="Arial" w:cs="Arial"/>
          <w:sz w:val="20"/>
          <w:szCs w:val="20"/>
        </w:rPr>
        <w:t>ami</w:t>
      </w:r>
      <w:r w:rsidR="00D91782" w:rsidRPr="00215B2F">
        <w:rPr>
          <w:rFonts w:eastAsia="Arial" w:cs="Arial"/>
          <w:sz w:val="20"/>
          <w:szCs w:val="20"/>
        </w:rPr>
        <w:t xml:space="preserve"> iz </w:t>
      </w:r>
      <w:r w:rsidR="00F378C4" w:rsidRPr="00215B2F">
        <w:rPr>
          <w:rFonts w:eastAsia="Arial" w:cs="Arial"/>
          <w:sz w:val="20"/>
          <w:szCs w:val="20"/>
        </w:rPr>
        <w:t>45</w:t>
      </w:r>
      <w:r w:rsidR="00D91782" w:rsidRPr="00215B2F">
        <w:rPr>
          <w:rFonts w:eastAsia="Arial" w:cs="Arial"/>
          <w:sz w:val="20"/>
          <w:szCs w:val="20"/>
        </w:rPr>
        <w:t xml:space="preserve">. </w:t>
      </w:r>
      <w:r w:rsidR="001F2C7A" w:rsidRPr="00215B2F">
        <w:rPr>
          <w:rFonts w:eastAsia="Arial" w:cs="Arial"/>
          <w:sz w:val="20"/>
          <w:szCs w:val="20"/>
        </w:rPr>
        <w:t>člena tega zakona</w:t>
      </w:r>
      <w:r w:rsidR="00D91782" w:rsidRPr="00215B2F">
        <w:rPr>
          <w:rFonts w:eastAsia="Arial" w:cs="Arial"/>
          <w:sz w:val="20"/>
          <w:szCs w:val="20"/>
        </w:rPr>
        <w:t>.</w:t>
      </w:r>
    </w:p>
    <w:p w14:paraId="23B0FD06"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1553774" w14:textId="7C410F6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mora v primerih iz prejšnjega odstavka o tem, da je osebi prenehala funkcija </w:t>
      </w:r>
      <w:r w:rsidR="00882103" w:rsidRPr="00215B2F">
        <w:rPr>
          <w:rFonts w:ascii="Arial" w:hAnsi="Arial" w:cs="Arial"/>
          <w:sz w:val="20"/>
          <w:szCs w:val="20"/>
        </w:rPr>
        <w:t>člana uprave</w:t>
      </w:r>
      <w:r w:rsidRPr="00215B2F">
        <w:rPr>
          <w:rFonts w:ascii="Arial" w:eastAsia="Arial" w:hAnsi="Arial" w:cs="Arial"/>
          <w:sz w:val="20"/>
          <w:szCs w:val="20"/>
        </w:rPr>
        <w:t>, v petih delovnih dneh po prenehanju obvestiti Banko Slovenije.</w:t>
      </w:r>
    </w:p>
    <w:p w14:paraId="340D055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D3D460A" w14:textId="7F77719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v primerih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izda ugotovitveno odločbo.</w:t>
      </w:r>
    </w:p>
    <w:p w14:paraId="42B4D2D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E0A2AF9"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76" w:name="_Ref202963109"/>
      <w:r w:rsidRPr="00215B2F">
        <w:rPr>
          <w:rFonts w:ascii="Arial" w:eastAsia="Arial" w:hAnsi="Arial" w:cs="Arial"/>
          <w:b/>
          <w:bCs/>
          <w:sz w:val="20"/>
          <w:szCs w:val="20"/>
        </w:rPr>
        <w:t>člen</w:t>
      </w:r>
      <w:bookmarkEnd w:id="76"/>
    </w:p>
    <w:p w14:paraId="699647C8" w14:textId="77777777" w:rsidR="00D91782" w:rsidRPr="00215B2F" w:rsidRDefault="00D91782" w:rsidP="00FD5520">
      <w:pPr>
        <w:pStyle w:val="Slog1"/>
        <w:shd w:val="clear" w:color="auto" w:fill="FFFFFF" w:themeFill="background1"/>
        <w:rPr>
          <w:sz w:val="20"/>
          <w:szCs w:val="20"/>
        </w:rPr>
      </w:pPr>
      <w:r w:rsidRPr="00215B2F">
        <w:rPr>
          <w:sz w:val="20"/>
          <w:szCs w:val="20"/>
        </w:rPr>
        <w:t>(dolžnosti in odgovornost člana uprave)</w:t>
      </w:r>
    </w:p>
    <w:p w14:paraId="454CB792" w14:textId="77777777" w:rsidR="00D91782" w:rsidRPr="00215B2F" w:rsidRDefault="00D91782" w:rsidP="00FD5520">
      <w:pPr>
        <w:pStyle w:val="Slog1"/>
        <w:shd w:val="clear" w:color="auto" w:fill="FFFFFF" w:themeFill="background1"/>
        <w:jc w:val="both"/>
        <w:rPr>
          <w:sz w:val="20"/>
          <w:szCs w:val="20"/>
        </w:rPr>
      </w:pPr>
    </w:p>
    <w:p w14:paraId="2B2B35CE" w14:textId="4BD6FAB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Član uprave mora ves čas opravljanja funkcije izpolnjevati pogoje iz </w:t>
      </w:r>
      <w:r w:rsidR="004A7CA2" w:rsidRPr="00215B2F">
        <w:rPr>
          <w:rFonts w:ascii="Arial" w:eastAsia="Arial" w:hAnsi="Arial" w:cs="Arial"/>
          <w:sz w:val="20"/>
          <w:szCs w:val="20"/>
        </w:rPr>
        <w:t>47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r w:rsidR="00F53E10" w:rsidRPr="00215B2F">
        <w:rPr>
          <w:rFonts w:ascii="Arial" w:eastAsia="Arial" w:hAnsi="Arial" w:cs="Arial"/>
          <w:sz w:val="20"/>
          <w:szCs w:val="20"/>
        </w:rPr>
        <w:t>in</w:t>
      </w:r>
      <w:r w:rsidRPr="00215B2F">
        <w:rPr>
          <w:rFonts w:ascii="Arial" w:eastAsia="Arial" w:hAnsi="Arial" w:cs="Arial"/>
          <w:sz w:val="20"/>
          <w:szCs w:val="20"/>
        </w:rPr>
        <w:t>:</w:t>
      </w:r>
    </w:p>
    <w:p w14:paraId="5612267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1BD29BB" w14:textId="69CE3F83" w:rsidR="00730AA1" w:rsidRPr="00215B2F" w:rsidRDefault="00D91782">
      <w:pPr>
        <w:pStyle w:val="tevilnatoka"/>
        <w:numPr>
          <w:ilvl w:val="0"/>
          <w:numId w:val="53"/>
        </w:numPr>
        <w:shd w:val="clear" w:color="auto" w:fill="FFFFFF" w:themeFill="background1"/>
        <w:tabs>
          <w:tab w:val="clear" w:pos="425"/>
        </w:tabs>
        <w:rPr>
          <w:rFonts w:cs="Arial"/>
          <w:bCs/>
          <w:sz w:val="20"/>
          <w:szCs w:val="20"/>
        </w:rPr>
      </w:pPr>
      <w:r w:rsidRPr="00215B2F">
        <w:rPr>
          <w:rFonts w:eastAsia="Arial" w:cs="Arial"/>
          <w:sz w:val="20"/>
          <w:szCs w:val="20"/>
        </w:rPr>
        <w:t xml:space="preserve">ravnati v skladu s profesionalno skrbnostjo in zlasti zagotoviti, da uprava banke deluje v skladu s </w:t>
      </w:r>
      <w:r w:rsidR="004A7CA2" w:rsidRPr="00215B2F">
        <w:rPr>
          <w:rFonts w:eastAsia="Arial" w:cs="Arial"/>
          <w:sz w:val="20"/>
          <w:szCs w:val="20"/>
        </w:rPr>
        <w:t>185</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w:t>
      </w:r>
    </w:p>
    <w:p w14:paraId="74751DCD" w14:textId="77777777" w:rsidR="00730AA1" w:rsidRPr="00215B2F" w:rsidRDefault="00D91782">
      <w:pPr>
        <w:pStyle w:val="tevilnatoka"/>
        <w:numPr>
          <w:ilvl w:val="0"/>
          <w:numId w:val="53"/>
        </w:numPr>
        <w:shd w:val="clear" w:color="auto" w:fill="FFFFFF" w:themeFill="background1"/>
        <w:tabs>
          <w:tab w:val="clear" w:pos="425"/>
        </w:tabs>
        <w:rPr>
          <w:rFonts w:cs="Arial"/>
          <w:bCs/>
          <w:sz w:val="20"/>
          <w:szCs w:val="20"/>
        </w:rPr>
      </w:pPr>
      <w:r w:rsidRPr="00215B2F">
        <w:rPr>
          <w:rFonts w:eastAsia="Arial" w:cs="Arial"/>
          <w:sz w:val="20"/>
          <w:szCs w:val="20"/>
        </w:rPr>
        <w:t>ravnati odkrito, pošteno in neodvisno, da lahko učinkovito oceni in presoja odločitve višjega vodstva v zvezi z vodenjem banke ter učinkovito nadzoruje in spremlja sprejemanje odločitev v zvezi z upravljanjem banke;</w:t>
      </w:r>
    </w:p>
    <w:p w14:paraId="3222FC4C" w14:textId="77777777" w:rsidR="00730AA1" w:rsidRPr="00215B2F" w:rsidRDefault="00D91782">
      <w:pPr>
        <w:pStyle w:val="tevilnatoka"/>
        <w:numPr>
          <w:ilvl w:val="0"/>
          <w:numId w:val="53"/>
        </w:numPr>
        <w:shd w:val="clear" w:color="auto" w:fill="FFFFFF" w:themeFill="background1"/>
        <w:tabs>
          <w:tab w:val="clear" w:pos="425"/>
        </w:tabs>
        <w:rPr>
          <w:rFonts w:cs="Arial"/>
          <w:bCs/>
          <w:sz w:val="20"/>
          <w:szCs w:val="20"/>
        </w:rPr>
      </w:pPr>
      <w:r w:rsidRPr="00215B2F">
        <w:rPr>
          <w:rFonts w:eastAsia="Arial" w:cs="Arial"/>
          <w:sz w:val="20"/>
          <w:szCs w:val="20"/>
        </w:rPr>
        <w:t>ravnati v skladu z najvišjimi etičnimi standardi upravljanja, upoštevajoč preprečevanje nasprotja interesov;</w:t>
      </w:r>
    </w:p>
    <w:p w14:paraId="7F47FB04" w14:textId="2867846B" w:rsidR="00D91782" w:rsidRPr="00215B2F" w:rsidRDefault="00D91782">
      <w:pPr>
        <w:pStyle w:val="tevilnatoka"/>
        <w:numPr>
          <w:ilvl w:val="0"/>
          <w:numId w:val="53"/>
        </w:numPr>
        <w:shd w:val="clear" w:color="auto" w:fill="FFFFFF" w:themeFill="background1"/>
        <w:tabs>
          <w:tab w:val="clear" w:pos="425"/>
        </w:tabs>
        <w:rPr>
          <w:rFonts w:cs="Arial"/>
          <w:bCs/>
          <w:sz w:val="20"/>
          <w:szCs w:val="20"/>
        </w:rPr>
      </w:pPr>
      <w:r w:rsidRPr="00215B2F">
        <w:rPr>
          <w:rFonts w:eastAsia="Arial" w:cs="Arial"/>
          <w:sz w:val="20"/>
          <w:szCs w:val="20"/>
        </w:rPr>
        <w:t xml:space="preserve">opravljanju funkcije člana uprave nameniti dovolj časa, da lahko to funkcijo učinkovito opravlja, z upoštevanjem zahtev iz </w:t>
      </w:r>
      <w:r w:rsidR="004A7CA2" w:rsidRPr="00215B2F">
        <w:rPr>
          <w:rFonts w:eastAsia="Arial" w:cs="Arial"/>
          <w:sz w:val="20"/>
          <w:szCs w:val="20"/>
        </w:rPr>
        <w:t>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493E626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775CF67" w14:textId="7940E28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Dejstvo, da je nekdo član organov vodenja ali nadzora povezanih družb ali povezanih subjektov, samo po sebi ni ovira za neodvisno ravnanje v okviru 2. točke prejšnjega odstavka.</w:t>
      </w:r>
    </w:p>
    <w:p w14:paraId="64BE72A4"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DA25B23" w14:textId="2E9F878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Član uprave mora zagotoviti, da banka posluje v skladu</w:t>
      </w:r>
      <w:r w:rsidR="0050511A" w:rsidRPr="00215B2F">
        <w:rPr>
          <w:rFonts w:ascii="Arial" w:eastAsia="Arial" w:hAnsi="Arial" w:cs="Arial"/>
          <w:sz w:val="20"/>
          <w:szCs w:val="20"/>
        </w:rPr>
        <w:t xml:space="preserve"> z</w:t>
      </w:r>
      <w:r w:rsidRPr="00215B2F">
        <w:rPr>
          <w:rFonts w:ascii="Arial" w:eastAsia="Arial" w:hAnsi="Arial" w:cs="Arial"/>
          <w:sz w:val="20"/>
          <w:szCs w:val="20"/>
        </w:rPr>
        <w:t>:</w:t>
      </w:r>
    </w:p>
    <w:p w14:paraId="3C1AB896"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CB7A6DB" w14:textId="391F9273" w:rsidR="00730AA1" w:rsidRPr="00215B2F" w:rsidRDefault="00D91782">
      <w:pPr>
        <w:pStyle w:val="tevilnatoka"/>
        <w:numPr>
          <w:ilvl w:val="0"/>
          <w:numId w:val="54"/>
        </w:numPr>
        <w:shd w:val="clear" w:color="auto" w:fill="FFFFFF" w:themeFill="background1"/>
        <w:tabs>
          <w:tab w:val="clear" w:pos="425"/>
        </w:tabs>
        <w:rPr>
          <w:rFonts w:cs="Arial"/>
          <w:bCs/>
          <w:sz w:val="20"/>
          <w:szCs w:val="20"/>
        </w:rPr>
      </w:pPr>
      <w:r w:rsidRPr="00215B2F">
        <w:rPr>
          <w:rFonts w:eastAsia="Arial" w:cs="Arial"/>
          <w:sz w:val="20"/>
          <w:szCs w:val="20"/>
        </w:rPr>
        <w:t xml:space="preserve">akti iz </w:t>
      </w:r>
      <w:r w:rsidR="00702635" w:rsidRPr="00215B2F">
        <w:rPr>
          <w:rFonts w:eastAsia="Arial" w:cs="Arial"/>
          <w:sz w:val="20"/>
          <w:szCs w:val="20"/>
        </w:rPr>
        <w:t xml:space="preserve">tretjega </w:t>
      </w:r>
      <w:r w:rsidRPr="00215B2F">
        <w:rPr>
          <w:rFonts w:eastAsia="Arial" w:cs="Arial"/>
          <w:sz w:val="20"/>
          <w:szCs w:val="20"/>
        </w:rPr>
        <w:t xml:space="preserve">odstavka 9. </w:t>
      </w:r>
      <w:r w:rsidR="001F2C7A" w:rsidRPr="00215B2F">
        <w:rPr>
          <w:rFonts w:eastAsia="Arial" w:cs="Arial"/>
          <w:sz w:val="20"/>
          <w:szCs w:val="20"/>
        </w:rPr>
        <w:t>člena tega zakona</w:t>
      </w:r>
      <w:r w:rsidRPr="00215B2F">
        <w:rPr>
          <w:rFonts w:eastAsia="Arial" w:cs="Arial"/>
          <w:sz w:val="20"/>
          <w:szCs w:val="20"/>
        </w:rPr>
        <w:t>;</w:t>
      </w:r>
    </w:p>
    <w:p w14:paraId="7A08BBB5" w14:textId="03C4D4EA" w:rsidR="00730AA1" w:rsidRPr="00215B2F" w:rsidRDefault="00D91782">
      <w:pPr>
        <w:pStyle w:val="tevilnatoka"/>
        <w:numPr>
          <w:ilvl w:val="0"/>
          <w:numId w:val="54"/>
        </w:numPr>
        <w:shd w:val="clear" w:color="auto" w:fill="FFFFFF" w:themeFill="background1"/>
        <w:tabs>
          <w:tab w:val="clear" w:pos="425"/>
        </w:tabs>
        <w:rPr>
          <w:rFonts w:cs="Arial"/>
          <w:bCs/>
          <w:sz w:val="20"/>
          <w:szCs w:val="20"/>
        </w:rPr>
      </w:pPr>
      <w:r w:rsidRPr="00215B2F">
        <w:rPr>
          <w:rFonts w:eastAsia="Arial" w:cs="Arial"/>
          <w:sz w:val="20"/>
          <w:szCs w:val="20"/>
        </w:rPr>
        <w:t>drugimi akti, ki urejajo opravljanje storitev in poslov, ki jih opravlja banka, in predpisi, izdanimi na njihovi podlagi;</w:t>
      </w:r>
    </w:p>
    <w:p w14:paraId="1C10BF45" w14:textId="3128B681" w:rsidR="00D91782" w:rsidRPr="00215B2F" w:rsidRDefault="00D91782">
      <w:pPr>
        <w:pStyle w:val="tevilnatoka"/>
        <w:numPr>
          <w:ilvl w:val="0"/>
          <w:numId w:val="54"/>
        </w:numPr>
        <w:shd w:val="clear" w:color="auto" w:fill="FFFFFF" w:themeFill="background1"/>
        <w:tabs>
          <w:tab w:val="clear" w:pos="425"/>
        </w:tabs>
        <w:rPr>
          <w:rFonts w:cs="Arial"/>
          <w:bCs/>
          <w:sz w:val="20"/>
          <w:szCs w:val="20"/>
        </w:rPr>
      </w:pPr>
      <w:r w:rsidRPr="00215B2F">
        <w:rPr>
          <w:rFonts w:eastAsia="Arial" w:cs="Arial"/>
          <w:sz w:val="20"/>
          <w:szCs w:val="20"/>
        </w:rPr>
        <w:t>profesionalno skrbnostjo in z najvišjimi etičnimi standardi ter pravili dobre poslovne prakse in zaščite potrošnikov.</w:t>
      </w:r>
    </w:p>
    <w:p w14:paraId="2DABCA70"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986757C" w14:textId="02F0A04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Člani uprave banke solidarno odgovarjajo banki za škodo, ki je nastala kot posledica kršitve njihovih dolžnosti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razen če dokažejo, da so se pri izpolnjevanju svojih dolžnosti izogibali nasprotju interesov ter ravnali v skladu s predpisi in profesionalno skrbnostjo pri vodenju poslov banke.</w:t>
      </w:r>
    </w:p>
    <w:p w14:paraId="4655F17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A1D066B"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77" w:name="_Ref202963117"/>
      <w:r w:rsidRPr="00215B2F">
        <w:rPr>
          <w:rFonts w:ascii="Arial" w:eastAsia="Arial" w:hAnsi="Arial" w:cs="Arial"/>
          <w:b/>
          <w:bCs/>
          <w:sz w:val="20"/>
          <w:szCs w:val="20"/>
        </w:rPr>
        <w:t>člen</w:t>
      </w:r>
      <w:bookmarkEnd w:id="77"/>
    </w:p>
    <w:p w14:paraId="7A9FD74A" w14:textId="77777777" w:rsidR="00D91782" w:rsidRPr="00215B2F" w:rsidRDefault="00D91782" w:rsidP="00FD5520">
      <w:pPr>
        <w:pStyle w:val="Slog1"/>
        <w:shd w:val="clear" w:color="auto" w:fill="FFFFFF" w:themeFill="background1"/>
        <w:rPr>
          <w:sz w:val="20"/>
          <w:szCs w:val="20"/>
        </w:rPr>
      </w:pPr>
      <w:r w:rsidRPr="00215B2F">
        <w:rPr>
          <w:sz w:val="20"/>
          <w:szCs w:val="20"/>
        </w:rPr>
        <w:t>(obveščanje nadzornega sveta in uprave)</w:t>
      </w:r>
    </w:p>
    <w:p w14:paraId="611326D8" w14:textId="77777777" w:rsidR="00D91782" w:rsidRPr="00215B2F" w:rsidRDefault="00D91782" w:rsidP="00FD5520">
      <w:pPr>
        <w:pStyle w:val="Slog1"/>
        <w:shd w:val="clear" w:color="auto" w:fill="FFFFFF" w:themeFill="background1"/>
        <w:jc w:val="both"/>
        <w:rPr>
          <w:sz w:val="20"/>
          <w:szCs w:val="20"/>
        </w:rPr>
      </w:pPr>
    </w:p>
    <w:p w14:paraId="36C61B24" w14:textId="1B40A89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Član uprave mora nadzorni svet in Banko Slovenije, za namene preverjanja pogojev iz </w:t>
      </w:r>
      <w:r w:rsidR="004A7CA2" w:rsidRPr="00215B2F">
        <w:rPr>
          <w:rFonts w:ascii="Arial" w:eastAsia="Arial" w:hAnsi="Arial" w:cs="Arial"/>
          <w:sz w:val="20"/>
          <w:szCs w:val="20"/>
        </w:rPr>
        <w:t>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nemudoma pisno obvestiti o tem, da je bil imenovan </w:t>
      </w:r>
      <w:r w:rsidR="004B6E7F" w:rsidRPr="00215B2F">
        <w:rPr>
          <w:rFonts w:ascii="Arial" w:eastAsia="Arial" w:hAnsi="Arial" w:cs="Arial"/>
          <w:sz w:val="20"/>
          <w:szCs w:val="20"/>
        </w:rPr>
        <w:t xml:space="preserve">na </w:t>
      </w:r>
      <w:r w:rsidRPr="00215B2F">
        <w:rPr>
          <w:rFonts w:ascii="Arial" w:eastAsia="Arial" w:hAnsi="Arial" w:cs="Arial"/>
          <w:sz w:val="20"/>
          <w:szCs w:val="20"/>
        </w:rPr>
        <w:t>direktorsk</w:t>
      </w:r>
      <w:r w:rsidR="004B6E7F" w:rsidRPr="00215B2F">
        <w:rPr>
          <w:rFonts w:ascii="Arial" w:eastAsia="Arial" w:hAnsi="Arial" w:cs="Arial"/>
          <w:sz w:val="20"/>
          <w:szCs w:val="20"/>
        </w:rPr>
        <w:t>o</w:t>
      </w:r>
      <w:r w:rsidRPr="00215B2F">
        <w:rPr>
          <w:rFonts w:ascii="Arial" w:eastAsia="Arial" w:hAnsi="Arial" w:cs="Arial"/>
          <w:sz w:val="20"/>
          <w:szCs w:val="20"/>
        </w:rPr>
        <w:t xml:space="preserve"> funkcij</w:t>
      </w:r>
      <w:r w:rsidR="004B6E7F" w:rsidRPr="00215B2F">
        <w:rPr>
          <w:rFonts w:ascii="Arial" w:eastAsia="Arial" w:hAnsi="Arial" w:cs="Arial"/>
          <w:sz w:val="20"/>
          <w:szCs w:val="20"/>
        </w:rPr>
        <w:t>o</w:t>
      </w:r>
      <w:r w:rsidRPr="00215B2F">
        <w:rPr>
          <w:rFonts w:ascii="Arial" w:eastAsia="Arial" w:hAnsi="Arial" w:cs="Arial"/>
          <w:sz w:val="20"/>
          <w:szCs w:val="20"/>
        </w:rPr>
        <w:t xml:space="preserve"> v drugih družbah in organizacijah</w:t>
      </w:r>
      <w:r w:rsidR="004B6E7F" w:rsidRPr="00215B2F">
        <w:rPr>
          <w:rFonts w:ascii="Arial" w:eastAsia="Arial" w:hAnsi="Arial" w:cs="Arial"/>
          <w:sz w:val="20"/>
          <w:szCs w:val="20"/>
        </w:rPr>
        <w:t xml:space="preserve"> ali da mu je ta prenehala</w:t>
      </w:r>
      <w:r w:rsidRPr="00215B2F">
        <w:rPr>
          <w:rFonts w:ascii="Arial" w:eastAsia="Arial" w:hAnsi="Arial" w:cs="Arial"/>
          <w:sz w:val="20"/>
          <w:szCs w:val="20"/>
        </w:rPr>
        <w:t>.</w:t>
      </w:r>
    </w:p>
    <w:p w14:paraId="3E64C820"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90BF26B" w14:textId="27C0546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Član uprave mora upravo in nadzorni svet nemudoma obvestiti o okoliščinah, zaradi katerih obstaja nasprotje interesov pri izvajanju funkcije </w:t>
      </w:r>
      <w:r w:rsidR="00882103" w:rsidRPr="00215B2F">
        <w:rPr>
          <w:rFonts w:ascii="Arial" w:hAnsi="Arial" w:cs="Arial"/>
          <w:sz w:val="20"/>
          <w:szCs w:val="20"/>
        </w:rPr>
        <w:t>člana uprave</w:t>
      </w:r>
      <w:r w:rsidRPr="00215B2F">
        <w:rPr>
          <w:rFonts w:ascii="Arial" w:eastAsia="Arial" w:hAnsi="Arial" w:cs="Arial"/>
          <w:sz w:val="20"/>
          <w:szCs w:val="20"/>
        </w:rPr>
        <w:t xml:space="preserve">, ter o drugih okoliščinah, ki bi lahko vplivale na izpolnjevanje pogojev za imenovanje za </w:t>
      </w:r>
      <w:r w:rsidR="00882103" w:rsidRPr="00215B2F">
        <w:rPr>
          <w:rFonts w:ascii="Arial" w:hAnsi="Arial" w:cs="Arial"/>
          <w:sz w:val="20"/>
          <w:szCs w:val="20"/>
        </w:rPr>
        <w:t>člana uprave</w:t>
      </w:r>
      <w:r w:rsidRPr="00215B2F">
        <w:rPr>
          <w:rFonts w:ascii="Arial" w:eastAsia="Arial" w:hAnsi="Arial" w:cs="Arial"/>
          <w:sz w:val="20"/>
          <w:szCs w:val="20"/>
        </w:rPr>
        <w:t xml:space="preserve"> v skladu s tem zakonom, vključno z vsako pomembno spremembo, ki vpliva ali bi lahko vplivala na oceno banke glede njegove primernosti kot člana uprave.</w:t>
      </w:r>
    </w:p>
    <w:p w14:paraId="390BCEDB"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C1F6282" w14:textId="77777777" w:rsidR="00D91CBF" w:rsidRPr="00215B2F" w:rsidRDefault="00D91CBF"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78" w:name="_Ref202963124"/>
      <w:r w:rsidRPr="00215B2F">
        <w:rPr>
          <w:rFonts w:ascii="Arial" w:eastAsia="Arial" w:hAnsi="Arial" w:cs="Arial"/>
          <w:b/>
          <w:bCs/>
          <w:sz w:val="20"/>
          <w:szCs w:val="20"/>
        </w:rPr>
        <w:t>člen</w:t>
      </w:r>
      <w:bookmarkEnd w:id="78"/>
    </w:p>
    <w:p w14:paraId="18F52B84" w14:textId="1DB9AB7B"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 xml:space="preserve">(preverjanje izpolnjevanja pogojev za opravljanje funkcije </w:t>
      </w:r>
      <w:r w:rsidR="00882103" w:rsidRPr="00215B2F">
        <w:rPr>
          <w:rFonts w:ascii="Arial" w:hAnsi="Arial" w:cs="Arial"/>
          <w:b/>
          <w:bCs/>
          <w:sz w:val="20"/>
          <w:szCs w:val="20"/>
        </w:rPr>
        <w:t>člana uprave</w:t>
      </w:r>
      <w:r w:rsidRPr="00215B2F">
        <w:rPr>
          <w:rFonts w:ascii="Arial" w:eastAsia="Arial" w:hAnsi="Arial" w:cs="Arial"/>
          <w:b/>
          <w:bCs/>
          <w:sz w:val="20"/>
          <w:szCs w:val="20"/>
        </w:rPr>
        <w:t>)</w:t>
      </w:r>
    </w:p>
    <w:p w14:paraId="70C476EA"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0931EC7" w14:textId="37345E8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lahko kadar koli v času trajanja funkcije člana uprave izvede ponovno ocen</w:t>
      </w:r>
      <w:r w:rsidR="00023640" w:rsidRPr="00215B2F">
        <w:rPr>
          <w:rFonts w:ascii="Arial" w:eastAsia="Arial" w:hAnsi="Arial" w:cs="Arial"/>
          <w:sz w:val="20"/>
          <w:szCs w:val="20"/>
        </w:rPr>
        <w:t>jevanje</w:t>
      </w:r>
      <w:r w:rsidRPr="00215B2F">
        <w:rPr>
          <w:rFonts w:ascii="Arial" w:eastAsia="Arial" w:hAnsi="Arial" w:cs="Arial"/>
          <w:sz w:val="20"/>
          <w:szCs w:val="20"/>
        </w:rPr>
        <w:t xml:space="preserve"> primernosti, in sicer preveri, ali član uprave izpolnjuje pogoje iz </w:t>
      </w:r>
      <w:r w:rsidR="004A7CA2" w:rsidRPr="00215B2F">
        <w:rPr>
          <w:rFonts w:ascii="Arial" w:eastAsia="Arial" w:hAnsi="Arial" w:cs="Arial"/>
          <w:sz w:val="20"/>
          <w:szCs w:val="20"/>
        </w:rPr>
        <w:t>47</w:t>
      </w:r>
      <w:r w:rsidRPr="00215B2F">
        <w:rPr>
          <w:rFonts w:ascii="Arial" w:eastAsia="Arial" w:hAnsi="Arial" w:cs="Arial"/>
          <w:sz w:val="20"/>
          <w:szCs w:val="20"/>
        </w:rPr>
        <w:t xml:space="preserve">. člena in dolžnosti iz </w:t>
      </w:r>
      <w:r w:rsidR="004A7CA2" w:rsidRPr="00215B2F">
        <w:rPr>
          <w:rFonts w:ascii="Arial" w:eastAsia="Arial" w:hAnsi="Arial" w:cs="Arial"/>
          <w:sz w:val="20"/>
          <w:szCs w:val="20"/>
        </w:rPr>
        <w:t>54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r w:rsidR="008C6011" w:rsidRPr="00215B2F">
        <w:rPr>
          <w:rFonts w:ascii="Arial" w:eastAsia="Arial" w:hAnsi="Arial" w:cs="Arial"/>
          <w:sz w:val="20"/>
          <w:szCs w:val="20"/>
        </w:rPr>
        <w:t xml:space="preserve">ter </w:t>
      </w:r>
      <w:r w:rsidRPr="00215B2F">
        <w:rPr>
          <w:rFonts w:ascii="Arial" w:eastAsia="Arial" w:hAnsi="Arial" w:cs="Arial"/>
          <w:sz w:val="20"/>
          <w:szCs w:val="20"/>
        </w:rPr>
        <w:t>v ta namen zahteva informacije, dokazila in pojasnila (v nadaljnjem besedilu: ponovna ocena primernosti).</w:t>
      </w:r>
    </w:p>
    <w:p w14:paraId="3D7F5A33"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7107821" w14:textId="14C0514A" w:rsidR="00D91782" w:rsidRPr="00215B2F" w:rsidRDefault="008C6011"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w:t>
      </w:r>
      <w:r w:rsidR="005A0062" w:rsidRPr="00215B2F">
        <w:rPr>
          <w:rFonts w:ascii="Arial" w:eastAsia="Arial" w:hAnsi="Arial" w:cs="Arial"/>
          <w:sz w:val="20"/>
          <w:szCs w:val="20"/>
        </w:rPr>
        <w:t>Ponovn</w:t>
      </w:r>
      <w:r w:rsidR="00023640" w:rsidRPr="00215B2F">
        <w:rPr>
          <w:rFonts w:ascii="Arial" w:eastAsia="Arial" w:hAnsi="Arial" w:cs="Arial"/>
          <w:sz w:val="20"/>
          <w:szCs w:val="20"/>
        </w:rPr>
        <w:t>o</w:t>
      </w:r>
      <w:r w:rsidR="005A0062" w:rsidRPr="00215B2F">
        <w:rPr>
          <w:rFonts w:ascii="Arial" w:eastAsia="Arial" w:hAnsi="Arial" w:cs="Arial"/>
          <w:sz w:val="20"/>
          <w:szCs w:val="20"/>
        </w:rPr>
        <w:t xml:space="preserve"> ocen</w:t>
      </w:r>
      <w:r w:rsidR="00023640" w:rsidRPr="00215B2F">
        <w:rPr>
          <w:rFonts w:ascii="Arial" w:eastAsia="Arial" w:hAnsi="Arial" w:cs="Arial"/>
          <w:sz w:val="20"/>
          <w:szCs w:val="20"/>
        </w:rPr>
        <w:t>jevanje</w:t>
      </w:r>
      <w:r w:rsidR="005A0062" w:rsidRPr="00215B2F">
        <w:rPr>
          <w:rFonts w:ascii="Arial" w:eastAsia="Arial" w:hAnsi="Arial" w:cs="Arial"/>
          <w:sz w:val="20"/>
          <w:szCs w:val="20"/>
        </w:rPr>
        <w:t xml:space="preserve"> primernosti se izvede, če Banka Slovenije ugotovi dejstva ali okoliščine, ki vplivajo </w:t>
      </w:r>
      <w:r w:rsidR="00D91782" w:rsidRPr="00215B2F">
        <w:rPr>
          <w:rFonts w:ascii="Arial" w:eastAsia="Arial" w:hAnsi="Arial" w:cs="Arial"/>
          <w:sz w:val="20"/>
          <w:szCs w:val="20"/>
        </w:rPr>
        <w:t xml:space="preserve">na izpolnjevanje pogojev za člana uprave iz </w:t>
      </w:r>
      <w:r w:rsidR="004A7CA2" w:rsidRPr="00215B2F">
        <w:rPr>
          <w:rFonts w:ascii="Arial" w:eastAsia="Arial" w:hAnsi="Arial" w:cs="Arial"/>
          <w:sz w:val="20"/>
          <w:szCs w:val="20"/>
        </w:rPr>
        <w:t>47</w:t>
      </w:r>
      <w:r w:rsidR="00D91782" w:rsidRPr="00215B2F">
        <w:rPr>
          <w:rFonts w:ascii="Arial" w:eastAsia="Arial" w:hAnsi="Arial" w:cs="Arial"/>
          <w:sz w:val="20"/>
          <w:szCs w:val="20"/>
        </w:rPr>
        <w:t xml:space="preserve">. člena ali dolžnosti člana uprave iz </w:t>
      </w:r>
      <w:r w:rsidR="004A7CA2" w:rsidRPr="00215B2F">
        <w:rPr>
          <w:rFonts w:ascii="Arial" w:eastAsia="Arial" w:hAnsi="Arial" w:cs="Arial"/>
          <w:sz w:val="20"/>
          <w:szCs w:val="20"/>
        </w:rPr>
        <w:t>54</w:t>
      </w:r>
      <w:r w:rsidR="00D91782"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00D91782" w:rsidRPr="00215B2F">
        <w:rPr>
          <w:rFonts w:ascii="Arial" w:eastAsia="Arial" w:hAnsi="Arial" w:cs="Arial"/>
          <w:sz w:val="20"/>
          <w:szCs w:val="20"/>
        </w:rPr>
        <w:t>, zlasti pa, kadar upravičeno domneva, da poteka pranje denarja ali financiranje terorizma oziroma je do tega prišlo ali da poteka oziroma se je zgodil poskus pranja denarja ali financiranja terorizma ali da obstaja večje tveganje pranja denarja ali financiranja terorizma v povezavi z banko.</w:t>
      </w:r>
    </w:p>
    <w:p w14:paraId="496BB0F9"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DDD80E6" w14:textId="5A51B4B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V okviru ponovne</w:t>
      </w:r>
      <w:r w:rsidR="00023640" w:rsidRPr="00215B2F">
        <w:rPr>
          <w:rFonts w:ascii="Arial" w:eastAsia="Arial" w:hAnsi="Arial" w:cs="Arial"/>
          <w:sz w:val="20"/>
          <w:szCs w:val="20"/>
        </w:rPr>
        <w:t>ga</w:t>
      </w:r>
      <w:r w:rsidRPr="00215B2F">
        <w:rPr>
          <w:rFonts w:ascii="Arial" w:eastAsia="Arial" w:hAnsi="Arial" w:cs="Arial"/>
          <w:sz w:val="20"/>
          <w:szCs w:val="20"/>
        </w:rPr>
        <w:t xml:space="preserve"> ocen</w:t>
      </w:r>
      <w:r w:rsidR="00023640" w:rsidRPr="00215B2F">
        <w:rPr>
          <w:rFonts w:ascii="Arial" w:eastAsia="Arial" w:hAnsi="Arial" w:cs="Arial"/>
          <w:sz w:val="20"/>
          <w:szCs w:val="20"/>
        </w:rPr>
        <w:t>jevanja</w:t>
      </w:r>
      <w:r w:rsidRPr="00215B2F">
        <w:rPr>
          <w:rFonts w:ascii="Arial" w:eastAsia="Arial" w:hAnsi="Arial" w:cs="Arial"/>
          <w:sz w:val="20"/>
          <w:szCs w:val="20"/>
        </w:rPr>
        <w:t xml:space="preserve"> primernosti lahko Banka Slovenije odloči, da se opravi ustni razgovor, v okviru katerega člana uprave povabi, da predstavi okoliščine, ki so po mnenju Banke Slovenije pomembne za presojo izpolnjevanj</w:t>
      </w:r>
      <w:r w:rsidR="005A0062" w:rsidRPr="00215B2F">
        <w:rPr>
          <w:rFonts w:ascii="Arial" w:eastAsia="Arial" w:hAnsi="Arial" w:cs="Arial"/>
          <w:sz w:val="20"/>
          <w:szCs w:val="20"/>
        </w:rPr>
        <w:t>a</w:t>
      </w:r>
      <w:r w:rsidRPr="00215B2F">
        <w:rPr>
          <w:rFonts w:ascii="Arial" w:eastAsia="Arial" w:hAnsi="Arial" w:cs="Arial"/>
          <w:sz w:val="20"/>
          <w:szCs w:val="20"/>
        </w:rPr>
        <w:t xml:space="preserve"> predpisanih pogojev in dolžnosti.</w:t>
      </w:r>
    </w:p>
    <w:p w14:paraId="2A4F1413"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5A6DB95" w14:textId="13E32F4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Za ustni razgovor se v primerih iz prejšnjega odstavka uporablja </w:t>
      </w:r>
      <w:r w:rsidR="003B5D84" w:rsidRPr="00215B2F">
        <w:rPr>
          <w:rFonts w:ascii="Arial" w:eastAsia="Arial" w:hAnsi="Arial" w:cs="Arial"/>
          <w:sz w:val="20"/>
          <w:szCs w:val="20"/>
        </w:rPr>
        <w:t>50</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w:t>
      </w:r>
    </w:p>
    <w:p w14:paraId="2D42CFC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729C74D" w14:textId="241B3882"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3.4.3 Nadzorni svet</w:t>
      </w:r>
    </w:p>
    <w:p w14:paraId="18CFD627"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78574F56"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79" w:name="_Ref202963132"/>
      <w:r w:rsidRPr="00215B2F">
        <w:rPr>
          <w:rFonts w:ascii="Arial" w:eastAsia="Arial" w:hAnsi="Arial" w:cs="Arial"/>
          <w:b/>
          <w:bCs/>
          <w:sz w:val="20"/>
          <w:szCs w:val="20"/>
        </w:rPr>
        <w:t>člen</w:t>
      </w:r>
      <w:bookmarkEnd w:id="79"/>
    </w:p>
    <w:p w14:paraId="2BBEA044" w14:textId="1790A43C" w:rsidR="00D91782" w:rsidRPr="00215B2F" w:rsidRDefault="00D91782" w:rsidP="00FD5520">
      <w:pPr>
        <w:pStyle w:val="Slog1"/>
        <w:shd w:val="clear" w:color="auto" w:fill="FFFFFF" w:themeFill="background1"/>
        <w:rPr>
          <w:sz w:val="20"/>
          <w:szCs w:val="20"/>
        </w:rPr>
      </w:pPr>
      <w:r w:rsidRPr="00215B2F">
        <w:rPr>
          <w:sz w:val="20"/>
          <w:szCs w:val="20"/>
        </w:rPr>
        <w:t>(pristojnosti in sestava nadzornega sveta)</w:t>
      </w:r>
    </w:p>
    <w:p w14:paraId="4B1722F9" w14:textId="77777777" w:rsidR="00D91782" w:rsidRPr="00215B2F" w:rsidRDefault="00D91782" w:rsidP="00FD5520">
      <w:pPr>
        <w:pStyle w:val="Slog1"/>
        <w:shd w:val="clear" w:color="auto" w:fill="FFFFFF" w:themeFill="background1"/>
        <w:jc w:val="both"/>
        <w:rPr>
          <w:sz w:val="20"/>
          <w:szCs w:val="20"/>
        </w:rPr>
      </w:pPr>
    </w:p>
    <w:p w14:paraId="51A5953B" w14:textId="53C0339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w:t>
      </w:r>
      <w:r w:rsidR="002512B4" w:rsidRPr="00215B2F">
        <w:rPr>
          <w:rFonts w:ascii="Arial" w:eastAsia="Arial" w:hAnsi="Arial" w:cs="Arial"/>
          <w:sz w:val="20"/>
          <w:szCs w:val="20"/>
        </w:rPr>
        <w:t>Nadzorni svet ima p</w:t>
      </w:r>
      <w:r w:rsidRPr="00215B2F">
        <w:rPr>
          <w:rFonts w:ascii="Arial" w:eastAsia="Arial" w:hAnsi="Arial" w:cs="Arial"/>
          <w:sz w:val="20"/>
          <w:szCs w:val="20"/>
        </w:rPr>
        <w:t>oleg pristojnosti, ki jih ima v skladu z ZGD-1, tudi naslednje pristojnosti:</w:t>
      </w:r>
    </w:p>
    <w:p w14:paraId="55BAA6AC"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09443CE" w14:textId="77777777" w:rsidR="00730AA1" w:rsidRPr="00215B2F" w:rsidRDefault="00D91782">
      <w:pPr>
        <w:pStyle w:val="tevilnatoka"/>
        <w:numPr>
          <w:ilvl w:val="0"/>
          <w:numId w:val="55"/>
        </w:numPr>
        <w:shd w:val="clear" w:color="auto" w:fill="FFFFFF" w:themeFill="background1"/>
        <w:tabs>
          <w:tab w:val="clear" w:pos="425"/>
        </w:tabs>
        <w:rPr>
          <w:rFonts w:cs="Arial"/>
          <w:bCs/>
          <w:sz w:val="20"/>
          <w:szCs w:val="20"/>
        </w:rPr>
      </w:pPr>
      <w:r w:rsidRPr="00215B2F">
        <w:rPr>
          <w:rFonts w:eastAsia="Arial" w:cs="Arial"/>
          <w:sz w:val="20"/>
          <w:szCs w:val="20"/>
        </w:rPr>
        <w:t>daje soglasje upravi k določitvi poslovne politike banke;</w:t>
      </w:r>
    </w:p>
    <w:p w14:paraId="50890F19" w14:textId="77777777" w:rsidR="00730AA1" w:rsidRPr="00215B2F" w:rsidRDefault="00D91782">
      <w:pPr>
        <w:pStyle w:val="tevilnatoka"/>
        <w:numPr>
          <w:ilvl w:val="0"/>
          <w:numId w:val="55"/>
        </w:numPr>
        <w:shd w:val="clear" w:color="auto" w:fill="FFFFFF" w:themeFill="background1"/>
        <w:tabs>
          <w:tab w:val="clear" w:pos="425"/>
        </w:tabs>
        <w:rPr>
          <w:rFonts w:cs="Arial"/>
          <w:bCs/>
          <w:sz w:val="20"/>
          <w:szCs w:val="20"/>
        </w:rPr>
      </w:pPr>
      <w:r w:rsidRPr="00215B2F">
        <w:rPr>
          <w:rFonts w:eastAsia="Arial" w:cs="Arial"/>
          <w:sz w:val="20"/>
          <w:szCs w:val="20"/>
        </w:rPr>
        <w:t>daje soglasje upravi k določitvi finančnega načrta banke;</w:t>
      </w:r>
    </w:p>
    <w:p w14:paraId="4ADF5A38" w14:textId="77777777" w:rsidR="00730AA1" w:rsidRPr="00215B2F" w:rsidRDefault="00D91782">
      <w:pPr>
        <w:pStyle w:val="tevilnatoka"/>
        <w:numPr>
          <w:ilvl w:val="0"/>
          <w:numId w:val="55"/>
        </w:numPr>
        <w:shd w:val="clear" w:color="auto" w:fill="FFFFFF" w:themeFill="background1"/>
        <w:tabs>
          <w:tab w:val="clear" w:pos="425"/>
        </w:tabs>
        <w:rPr>
          <w:rFonts w:cs="Arial"/>
          <w:bCs/>
          <w:sz w:val="20"/>
          <w:szCs w:val="20"/>
        </w:rPr>
      </w:pPr>
      <w:r w:rsidRPr="00215B2F">
        <w:rPr>
          <w:rFonts w:eastAsia="Arial" w:cs="Arial"/>
          <w:sz w:val="20"/>
          <w:szCs w:val="20"/>
        </w:rPr>
        <w:t>daje soglasje upravi k določitvi organizacije sistema notranjih kontrol;</w:t>
      </w:r>
    </w:p>
    <w:p w14:paraId="0D99975B" w14:textId="77777777" w:rsidR="00730AA1" w:rsidRPr="00215B2F" w:rsidRDefault="00D91782">
      <w:pPr>
        <w:pStyle w:val="tevilnatoka"/>
        <w:numPr>
          <w:ilvl w:val="0"/>
          <w:numId w:val="55"/>
        </w:numPr>
        <w:shd w:val="clear" w:color="auto" w:fill="FFFFFF" w:themeFill="background1"/>
        <w:tabs>
          <w:tab w:val="clear" w:pos="425"/>
        </w:tabs>
        <w:rPr>
          <w:rFonts w:cs="Arial"/>
          <w:bCs/>
          <w:sz w:val="20"/>
          <w:szCs w:val="20"/>
        </w:rPr>
      </w:pPr>
      <w:r w:rsidRPr="00215B2F">
        <w:rPr>
          <w:rFonts w:eastAsia="Arial" w:cs="Arial"/>
          <w:sz w:val="20"/>
          <w:szCs w:val="20"/>
        </w:rPr>
        <w:t>daje soglasje upravi k določitvi okvirnega letnega programa dela službe notranje revizije;</w:t>
      </w:r>
    </w:p>
    <w:p w14:paraId="7FED962F" w14:textId="77777777" w:rsidR="00730AA1" w:rsidRPr="00215B2F" w:rsidRDefault="00D91782">
      <w:pPr>
        <w:pStyle w:val="tevilnatoka"/>
        <w:numPr>
          <w:ilvl w:val="0"/>
          <w:numId w:val="55"/>
        </w:numPr>
        <w:shd w:val="clear" w:color="auto" w:fill="FFFFFF" w:themeFill="background1"/>
        <w:tabs>
          <w:tab w:val="clear" w:pos="425"/>
        </w:tabs>
        <w:rPr>
          <w:rFonts w:cs="Arial"/>
          <w:bCs/>
          <w:sz w:val="20"/>
          <w:szCs w:val="20"/>
        </w:rPr>
      </w:pPr>
      <w:r w:rsidRPr="00215B2F">
        <w:rPr>
          <w:rFonts w:eastAsia="Arial" w:cs="Arial"/>
          <w:sz w:val="20"/>
          <w:szCs w:val="20"/>
        </w:rPr>
        <w:t>nadzira primernost postopkov in učinkovitost delovanja službe notranje revizije;</w:t>
      </w:r>
    </w:p>
    <w:p w14:paraId="0243F2A1" w14:textId="77777777" w:rsidR="00730AA1" w:rsidRPr="00215B2F" w:rsidRDefault="00D91782">
      <w:pPr>
        <w:pStyle w:val="tevilnatoka"/>
        <w:numPr>
          <w:ilvl w:val="0"/>
          <w:numId w:val="55"/>
        </w:numPr>
        <w:shd w:val="clear" w:color="auto" w:fill="FFFFFF" w:themeFill="background1"/>
        <w:tabs>
          <w:tab w:val="clear" w:pos="425"/>
        </w:tabs>
        <w:rPr>
          <w:rFonts w:cs="Arial"/>
          <w:bCs/>
          <w:sz w:val="20"/>
          <w:szCs w:val="20"/>
        </w:rPr>
      </w:pPr>
      <w:r w:rsidRPr="00215B2F">
        <w:rPr>
          <w:rFonts w:eastAsia="Arial" w:cs="Arial"/>
          <w:sz w:val="20"/>
          <w:szCs w:val="20"/>
        </w:rPr>
        <w:t>daje soglasje k imenovanju in razrešitvi vodje službe notranje revizije;</w:t>
      </w:r>
    </w:p>
    <w:p w14:paraId="52EADE62" w14:textId="77777777" w:rsidR="00730AA1" w:rsidRPr="00215B2F" w:rsidRDefault="00D91782">
      <w:pPr>
        <w:pStyle w:val="tevilnatoka"/>
        <w:numPr>
          <w:ilvl w:val="0"/>
          <w:numId w:val="55"/>
        </w:numPr>
        <w:shd w:val="clear" w:color="auto" w:fill="FFFFFF" w:themeFill="background1"/>
        <w:tabs>
          <w:tab w:val="clear" w:pos="425"/>
        </w:tabs>
        <w:rPr>
          <w:rFonts w:cs="Arial"/>
          <w:bCs/>
          <w:sz w:val="20"/>
          <w:szCs w:val="20"/>
        </w:rPr>
      </w:pPr>
      <w:r w:rsidRPr="00215B2F">
        <w:rPr>
          <w:rFonts w:eastAsia="Arial" w:cs="Arial"/>
          <w:sz w:val="20"/>
          <w:szCs w:val="20"/>
        </w:rPr>
        <w:t>sprejema in nadzira izvajanje splošnih načel politik prejemkov;</w:t>
      </w:r>
    </w:p>
    <w:p w14:paraId="095C5B96" w14:textId="3C966DC8" w:rsidR="00730AA1" w:rsidRPr="00215B2F" w:rsidRDefault="00D91782">
      <w:pPr>
        <w:pStyle w:val="tevilnatoka"/>
        <w:numPr>
          <w:ilvl w:val="0"/>
          <w:numId w:val="55"/>
        </w:numPr>
        <w:shd w:val="clear" w:color="auto" w:fill="FFFFFF" w:themeFill="background1"/>
        <w:tabs>
          <w:tab w:val="clear" w:pos="425"/>
        </w:tabs>
        <w:rPr>
          <w:rFonts w:cs="Arial"/>
          <w:bCs/>
          <w:sz w:val="20"/>
          <w:szCs w:val="20"/>
        </w:rPr>
      </w:pPr>
      <w:r w:rsidRPr="00215B2F">
        <w:rPr>
          <w:rFonts w:eastAsia="Arial" w:cs="Arial"/>
          <w:sz w:val="20"/>
          <w:szCs w:val="20"/>
        </w:rPr>
        <w:t>obravnava ugotovitve Banke Slovenije ali Evropske centralne banke, ugotovitve drugih organov, kadar se te ugotovitve nanašajo na banko, ugotovitve davčne inšpekcije in drugih nadzornih organov v postopkih nadzora nad banko;</w:t>
      </w:r>
    </w:p>
    <w:p w14:paraId="695F9770" w14:textId="6D5D82B9" w:rsidR="00730AA1" w:rsidRPr="00215B2F" w:rsidRDefault="00D91782">
      <w:pPr>
        <w:pStyle w:val="tevilnatoka"/>
        <w:numPr>
          <w:ilvl w:val="0"/>
          <w:numId w:val="55"/>
        </w:numPr>
        <w:shd w:val="clear" w:color="auto" w:fill="FFFFFF" w:themeFill="background1"/>
        <w:tabs>
          <w:tab w:val="clear" w:pos="425"/>
        </w:tabs>
        <w:rPr>
          <w:rFonts w:cs="Arial"/>
          <w:bCs/>
          <w:sz w:val="20"/>
          <w:szCs w:val="20"/>
        </w:rPr>
      </w:pPr>
      <w:r w:rsidRPr="00215B2F">
        <w:rPr>
          <w:rFonts w:eastAsia="Arial" w:cs="Arial"/>
          <w:sz w:val="20"/>
          <w:szCs w:val="20"/>
        </w:rPr>
        <w:t xml:space="preserve">preverja letna in druga finančna poročila </w:t>
      </w:r>
      <w:r w:rsidR="002512B4" w:rsidRPr="00215B2F">
        <w:rPr>
          <w:rFonts w:eastAsia="Arial" w:cs="Arial"/>
          <w:sz w:val="20"/>
          <w:szCs w:val="20"/>
        </w:rPr>
        <w:t xml:space="preserve">ter </w:t>
      </w:r>
      <w:r w:rsidRPr="00215B2F">
        <w:rPr>
          <w:rFonts w:eastAsia="Arial" w:cs="Arial"/>
          <w:sz w:val="20"/>
          <w:szCs w:val="20"/>
        </w:rPr>
        <w:t>o tem izdela pisno poročilo skupščini delničarjev banke;</w:t>
      </w:r>
    </w:p>
    <w:p w14:paraId="1572B484" w14:textId="77777777" w:rsidR="00730AA1" w:rsidRPr="00215B2F" w:rsidRDefault="00D91782">
      <w:pPr>
        <w:pStyle w:val="tevilnatoka"/>
        <w:numPr>
          <w:ilvl w:val="0"/>
          <w:numId w:val="55"/>
        </w:numPr>
        <w:shd w:val="clear" w:color="auto" w:fill="FFFFFF" w:themeFill="background1"/>
        <w:tabs>
          <w:tab w:val="clear" w:pos="425"/>
        </w:tabs>
        <w:rPr>
          <w:rFonts w:cs="Arial"/>
          <w:bCs/>
          <w:sz w:val="20"/>
          <w:szCs w:val="20"/>
        </w:rPr>
      </w:pPr>
      <w:r w:rsidRPr="00215B2F">
        <w:rPr>
          <w:rFonts w:eastAsia="Arial" w:cs="Arial"/>
          <w:sz w:val="20"/>
          <w:szCs w:val="20"/>
        </w:rPr>
        <w:t>obrazloži skupščini delničarjev svoje mnenje k letnemu poročilu službe notranje revizije in mnenje k letnemu poročilu uprave;</w:t>
      </w:r>
    </w:p>
    <w:p w14:paraId="7D662009" w14:textId="6A212AC5" w:rsidR="00D91782" w:rsidRPr="00215B2F" w:rsidRDefault="00D91782">
      <w:pPr>
        <w:pStyle w:val="tevilnatoka"/>
        <w:numPr>
          <w:ilvl w:val="0"/>
          <w:numId w:val="55"/>
        </w:numPr>
        <w:shd w:val="clear" w:color="auto" w:fill="FFFFFF" w:themeFill="background1"/>
        <w:tabs>
          <w:tab w:val="clear" w:pos="425"/>
        </w:tabs>
        <w:rPr>
          <w:rFonts w:cs="Arial"/>
          <w:bCs/>
          <w:sz w:val="20"/>
          <w:szCs w:val="20"/>
        </w:rPr>
      </w:pPr>
      <w:r w:rsidRPr="00215B2F">
        <w:rPr>
          <w:rFonts w:eastAsia="Arial" w:cs="Arial"/>
          <w:sz w:val="20"/>
          <w:szCs w:val="20"/>
        </w:rPr>
        <w:t>odloča o drugih zadevah, določenih s tem zakonom.</w:t>
      </w:r>
    </w:p>
    <w:p w14:paraId="4DCFEE6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1E7EC49" w14:textId="50A4655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Nadzorni svet mora imeti ustrezno kolektivno znanje, spretnosti in izkušnje, da lahko razume dejavnosti banke in povezana tveganja, ki jim je banka izpostavljena ob upoštevanju ESG dejavnikov, ter kratkoročne, srednjeročne in dolgoročne učinke, ki jih to povzroča. Nadzorni svet je sestavljen dovolj raznoliko, da ima ustrezno širok nabor izkušenj.</w:t>
      </w:r>
    </w:p>
    <w:p w14:paraId="49607F7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606D4FF"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80" w:name="_Ref202963139"/>
      <w:r w:rsidRPr="00215B2F">
        <w:rPr>
          <w:rFonts w:ascii="Arial" w:eastAsia="Arial" w:hAnsi="Arial" w:cs="Arial"/>
          <w:b/>
          <w:bCs/>
          <w:sz w:val="20"/>
          <w:szCs w:val="20"/>
        </w:rPr>
        <w:t>člen</w:t>
      </w:r>
      <w:bookmarkEnd w:id="80"/>
    </w:p>
    <w:p w14:paraId="0C6EE8BF" w14:textId="77777777" w:rsidR="00D91782" w:rsidRPr="00215B2F" w:rsidRDefault="00D91782" w:rsidP="00FD5520">
      <w:pPr>
        <w:pStyle w:val="Slog1"/>
        <w:shd w:val="clear" w:color="auto" w:fill="FFFFFF" w:themeFill="background1"/>
        <w:rPr>
          <w:sz w:val="20"/>
          <w:szCs w:val="20"/>
        </w:rPr>
      </w:pPr>
      <w:r w:rsidRPr="00215B2F">
        <w:rPr>
          <w:sz w:val="20"/>
          <w:szCs w:val="20"/>
        </w:rPr>
        <w:t>(komisije nadzornega sveta)</w:t>
      </w:r>
    </w:p>
    <w:p w14:paraId="15E39DDD" w14:textId="77777777" w:rsidR="00D91782" w:rsidRPr="00215B2F" w:rsidRDefault="00D91782" w:rsidP="00FD5520">
      <w:pPr>
        <w:pStyle w:val="Slog1"/>
        <w:shd w:val="clear" w:color="auto" w:fill="FFFFFF" w:themeFill="background1"/>
        <w:jc w:val="both"/>
        <w:rPr>
          <w:sz w:val="20"/>
          <w:szCs w:val="20"/>
        </w:rPr>
      </w:pPr>
    </w:p>
    <w:p w14:paraId="582BDCC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Nadzorni svet banke mora imenovati revizijsko komisijo in komisijo za tveganja.</w:t>
      </w:r>
    </w:p>
    <w:p w14:paraId="4EC40298"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5C1D906" w14:textId="4B67235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lahko na zahtevo banke, ki ni opredeljena kot pomembna banka, dovoli, da združi funkciji komisije za tveganja in revizijske komisije v eno komisijo, če imajo člani združene komisije znanje, veščine in izkušnje, ki se zahtevajo za člane revizijske komisije in komisije za tveganja.</w:t>
      </w:r>
    </w:p>
    <w:p w14:paraId="37F19ED5"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8AF7208" w14:textId="2EE590D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Komisija za tveganja mora imeti predsednika oziroma predsednico (v nadaljnjem besedilu: predsednik komisije za tveganja) in najmanj dva člana, ki so člani nadzornega sveta. Predsednik komisije za tveganja in člani komisije za tveganja morajo imeti ustrezno znanje, veščine in izkušnje za celovito razumevanje in spremljanje strategije upravljanja tveganj ter nagnjenosti banke k prevzemanju tveganj.</w:t>
      </w:r>
    </w:p>
    <w:p w14:paraId="49D56E70" w14:textId="77777777" w:rsidR="002512B4" w:rsidRPr="00215B2F" w:rsidRDefault="002512B4" w:rsidP="00FD5520">
      <w:pPr>
        <w:shd w:val="clear" w:color="auto" w:fill="FFFFFF" w:themeFill="background1"/>
        <w:spacing w:after="0" w:line="240" w:lineRule="auto"/>
        <w:jc w:val="both"/>
        <w:rPr>
          <w:rFonts w:ascii="Arial" w:eastAsia="Arial" w:hAnsi="Arial" w:cs="Arial"/>
          <w:sz w:val="20"/>
          <w:szCs w:val="20"/>
        </w:rPr>
      </w:pPr>
    </w:p>
    <w:p w14:paraId="1DB64EE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(4) Nadzorni svet pomembne banke mora imenovati tudi komisijo za prejemke in komisijo za imenovanja.</w:t>
      </w:r>
    </w:p>
    <w:p w14:paraId="359EF9E5"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5FD13DB" w14:textId="47B3E13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Komisije nadzornega sveta morajo imeti predsednika oziroma predsednico in najmanj dva člana. Ne glede na določbe ZGD-1 in ZSDU so člani komisij nadzornega sveta le člani </w:t>
      </w:r>
      <w:r w:rsidR="00354135" w:rsidRPr="00215B2F">
        <w:rPr>
          <w:rFonts w:ascii="Arial" w:hAnsi="Arial" w:cs="Arial"/>
          <w:sz w:val="20"/>
          <w:szCs w:val="20"/>
        </w:rPr>
        <w:t>nadzornega sveta</w:t>
      </w:r>
      <w:r w:rsidRPr="00215B2F">
        <w:rPr>
          <w:rFonts w:ascii="Arial" w:eastAsia="Arial" w:hAnsi="Arial" w:cs="Arial"/>
          <w:sz w:val="20"/>
          <w:szCs w:val="20"/>
        </w:rPr>
        <w:t>.</w:t>
      </w:r>
    </w:p>
    <w:p w14:paraId="3A94F603"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8EFBE02" w14:textId="5D344DA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Uprava banke mora zagotoviti, da imajo komisije nadzornega sveta zadostne kadrovske in finančne vire za izvajanje svojih nalog, vključno z možnostjo uporabe zunanjih svetovalcev.</w:t>
      </w:r>
    </w:p>
    <w:p w14:paraId="7059198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535693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81" w:name="_Ref202963149"/>
      <w:r w:rsidRPr="00215B2F">
        <w:rPr>
          <w:rFonts w:ascii="Arial" w:eastAsia="Arial" w:hAnsi="Arial" w:cs="Arial"/>
          <w:b/>
          <w:bCs/>
          <w:sz w:val="20"/>
          <w:szCs w:val="20"/>
        </w:rPr>
        <w:t>člen</w:t>
      </w:r>
      <w:bookmarkEnd w:id="81"/>
    </w:p>
    <w:p w14:paraId="7487CEED" w14:textId="77777777" w:rsidR="00D91782" w:rsidRPr="00215B2F" w:rsidRDefault="00D91782" w:rsidP="00FD5520">
      <w:pPr>
        <w:pStyle w:val="Slog1"/>
        <w:shd w:val="clear" w:color="auto" w:fill="FFFFFF" w:themeFill="background1"/>
        <w:rPr>
          <w:sz w:val="20"/>
          <w:szCs w:val="20"/>
        </w:rPr>
      </w:pPr>
      <w:r w:rsidRPr="00215B2F">
        <w:rPr>
          <w:sz w:val="20"/>
          <w:szCs w:val="20"/>
        </w:rPr>
        <w:t>(naloge komisije za imenovanja)</w:t>
      </w:r>
    </w:p>
    <w:p w14:paraId="191A585B" w14:textId="77777777" w:rsidR="00D91782" w:rsidRPr="00215B2F" w:rsidRDefault="00D91782" w:rsidP="00FD5520">
      <w:pPr>
        <w:pStyle w:val="Slog1"/>
        <w:shd w:val="clear" w:color="auto" w:fill="FFFFFF" w:themeFill="background1"/>
        <w:jc w:val="both"/>
        <w:rPr>
          <w:sz w:val="20"/>
          <w:szCs w:val="20"/>
        </w:rPr>
      </w:pPr>
    </w:p>
    <w:p w14:paraId="22BC5116" w14:textId="1641AB5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Komisija za imenovanja je posvetovalno telo nadzornega sveta </w:t>
      </w:r>
      <w:r w:rsidR="00516675" w:rsidRPr="00215B2F">
        <w:rPr>
          <w:rFonts w:ascii="Arial" w:eastAsia="Arial" w:hAnsi="Arial" w:cs="Arial"/>
          <w:sz w:val="20"/>
          <w:szCs w:val="20"/>
        </w:rPr>
        <w:t xml:space="preserve">in </w:t>
      </w:r>
      <w:r w:rsidRPr="00215B2F">
        <w:rPr>
          <w:rFonts w:ascii="Arial" w:eastAsia="Arial" w:hAnsi="Arial" w:cs="Arial"/>
          <w:sz w:val="20"/>
          <w:szCs w:val="20"/>
        </w:rPr>
        <w:t>izvaja naslednje naloge:</w:t>
      </w:r>
    </w:p>
    <w:p w14:paraId="1E7A845B"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AAE77B9" w14:textId="7F54B9C8" w:rsidR="00730AA1" w:rsidRPr="00215B2F" w:rsidRDefault="00D91782">
      <w:pPr>
        <w:pStyle w:val="tevilnatoka"/>
        <w:numPr>
          <w:ilvl w:val="0"/>
          <w:numId w:val="56"/>
        </w:numPr>
        <w:shd w:val="clear" w:color="auto" w:fill="FFFFFF" w:themeFill="background1"/>
        <w:tabs>
          <w:tab w:val="clear" w:pos="425"/>
        </w:tabs>
        <w:rPr>
          <w:rFonts w:cs="Arial"/>
          <w:bCs/>
          <w:sz w:val="20"/>
          <w:szCs w:val="20"/>
        </w:rPr>
      </w:pPr>
      <w:r w:rsidRPr="00215B2F">
        <w:rPr>
          <w:rFonts w:eastAsia="Arial" w:cs="Arial"/>
          <w:sz w:val="20"/>
          <w:szCs w:val="20"/>
        </w:rPr>
        <w:t xml:space="preserve">opredeli kandidate za člane uprave </w:t>
      </w:r>
      <w:r w:rsidR="00516675" w:rsidRPr="00215B2F">
        <w:rPr>
          <w:rFonts w:eastAsia="Arial" w:cs="Arial"/>
          <w:sz w:val="20"/>
          <w:szCs w:val="20"/>
        </w:rPr>
        <w:t xml:space="preserve">in jih priporoči nadzornemu svetu </w:t>
      </w:r>
      <w:r w:rsidRPr="00215B2F">
        <w:rPr>
          <w:rFonts w:eastAsia="Arial" w:cs="Arial"/>
          <w:sz w:val="20"/>
          <w:szCs w:val="20"/>
        </w:rPr>
        <w:t xml:space="preserve">ter opredeli kandidate za člane nadzornega sveta </w:t>
      </w:r>
      <w:r w:rsidR="00516675" w:rsidRPr="00215B2F">
        <w:rPr>
          <w:rFonts w:eastAsia="Arial" w:cs="Arial"/>
          <w:sz w:val="20"/>
          <w:szCs w:val="20"/>
        </w:rPr>
        <w:t xml:space="preserve">in jih priporoči skupščini banke </w:t>
      </w:r>
      <w:r w:rsidRPr="00215B2F">
        <w:rPr>
          <w:rFonts w:eastAsia="Arial" w:cs="Arial"/>
          <w:sz w:val="20"/>
          <w:szCs w:val="20"/>
        </w:rPr>
        <w:t xml:space="preserve">z upoštevanjem politik glede izbora primernih kandidatov iz drugega odstavka </w:t>
      </w:r>
      <w:r w:rsidR="00BB458B" w:rsidRPr="00215B2F">
        <w:rPr>
          <w:rFonts w:eastAsia="Arial" w:cs="Arial"/>
          <w:sz w:val="20"/>
          <w:szCs w:val="20"/>
        </w:rPr>
        <w:t>41</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2AC2CB86" w14:textId="690193AA" w:rsidR="00730AA1" w:rsidRPr="00215B2F" w:rsidRDefault="00D91782">
      <w:pPr>
        <w:pStyle w:val="tevilnatoka"/>
        <w:numPr>
          <w:ilvl w:val="0"/>
          <w:numId w:val="56"/>
        </w:numPr>
        <w:shd w:val="clear" w:color="auto" w:fill="FFFFFF" w:themeFill="background1"/>
        <w:tabs>
          <w:tab w:val="clear" w:pos="425"/>
        </w:tabs>
        <w:rPr>
          <w:rFonts w:cs="Arial"/>
          <w:bCs/>
          <w:sz w:val="20"/>
          <w:szCs w:val="20"/>
        </w:rPr>
      </w:pPr>
      <w:r w:rsidRPr="00215B2F">
        <w:rPr>
          <w:rFonts w:eastAsia="Arial" w:cs="Arial"/>
          <w:sz w:val="20"/>
          <w:szCs w:val="20"/>
        </w:rPr>
        <w:t xml:space="preserve">opredeli naloge in zahtevane pogoje za </w:t>
      </w:r>
      <w:r w:rsidR="00516675" w:rsidRPr="00215B2F">
        <w:rPr>
          <w:rFonts w:eastAsia="Arial" w:cs="Arial"/>
          <w:sz w:val="20"/>
          <w:szCs w:val="20"/>
        </w:rPr>
        <w:t>posamez</w:t>
      </w:r>
      <w:r w:rsidRPr="00215B2F">
        <w:rPr>
          <w:rFonts w:eastAsia="Arial" w:cs="Arial"/>
          <w:sz w:val="20"/>
          <w:szCs w:val="20"/>
        </w:rPr>
        <w:t xml:space="preserve">no imenovanje, vključno z oceno časa, ki se predvidoma zahteva za </w:t>
      </w:r>
      <w:r w:rsidR="00124B97" w:rsidRPr="00215B2F">
        <w:rPr>
          <w:rFonts w:eastAsia="Arial" w:cs="Arial"/>
          <w:sz w:val="20"/>
          <w:szCs w:val="20"/>
        </w:rPr>
        <w:t>opravlj</w:t>
      </w:r>
      <w:r w:rsidRPr="00215B2F">
        <w:rPr>
          <w:rFonts w:eastAsia="Arial" w:cs="Arial"/>
          <w:sz w:val="20"/>
          <w:szCs w:val="20"/>
        </w:rPr>
        <w:t>anje funkcije;</w:t>
      </w:r>
    </w:p>
    <w:p w14:paraId="4E36F9A2" w14:textId="0BC9945C" w:rsidR="00730AA1" w:rsidRPr="00215B2F" w:rsidRDefault="00D91782">
      <w:pPr>
        <w:pStyle w:val="tevilnatoka"/>
        <w:numPr>
          <w:ilvl w:val="0"/>
          <w:numId w:val="56"/>
        </w:numPr>
        <w:shd w:val="clear" w:color="auto" w:fill="FFFFFF" w:themeFill="background1"/>
        <w:tabs>
          <w:tab w:val="clear" w:pos="425"/>
        </w:tabs>
        <w:rPr>
          <w:rFonts w:cs="Arial"/>
          <w:bCs/>
          <w:sz w:val="20"/>
          <w:szCs w:val="20"/>
        </w:rPr>
      </w:pPr>
      <w:r w:rsidRPr="00215B2F">
        <w:rPr>
          <w:rFonts w:eastAsia="Arial" w:cs="Arial"/>
          <w:sz w:val="20"/>
          <w:szCs w:val="20"/>
        </w:rPr>
        <w:t>določi cilj zastopanosti spola, ki je v upravi in nadzornem svetu premalo zastopan, ter pripravi politiko, kako za dosego tega cilja poveča</w:t>
      </w:r>
      <w:r w:rsidR="00516675" w:rsidRPr="00215B2F">
        <w:rPr>
          <w:rFonts w:eastAsia="Arial" w:cs="Arial"/>
          <w:sz w:val="20"/>
          <w:szCs w:val="20"/>
        </w:rPr>
        <w:t>t</w:t>
      </w:r>
      <w:r w:rsidRPr="00215B2F">
        <w:rPr>
          <w:rFonts w:eastAsia="Arial" w:cs="Arial"/>
          <w:sz w:val="20"/>
          <w:szCs w:val="20"/>
        </w:rPr>
        <w:t>i število predstavnikov premalo zastopanega spola v upravi in nadzornem svetu;</w:t>
      </w:r>
    </w:p>
    <w:p w14:paraId="43ED2E92" w14:textId="77777777" w:rsidR="00730AA1" w:rsidRPr="00215B2F" w:rsidRDefault="00D91782">
      <w:pPr>
        <w:pStyle w:val="tevilnatoka"/>
        <w:numPr>
          <w:ilvl w:val="0"/>
          <w:numId w:val="56"/>
        </w:numPr>
        <w:shd w:val="clear" w:color="auto" w:fill="FFFFFF" w:themeFill="background1"/>
        <w:tabs>
          <w:tab w:val="clear" w:pos="425"/>
        </w:tabs>
        <w:rPr>
          <w:rFonts w:cs="Arial"/>
          <w:bCs/>
          <w:sz w:val="20"/>
          <w:szCs w:val="20"/>
        </w:rPr>
      </w:pPr>
      <w:r w:rsidRPr="00215B2F">
        <w:rPr>
          <w:rFonts w:eastAsia="Arial" w:cs="Arial"/>
          <w:sz w:val="20"/>
          <w:szCs w:val="20"/>
        </w:rPr>
        <w:t>vsaj enkrat na leto oceni strukturo, velikost, sestavo in uspešnost delovanja uprave in nadzornega sveta ter pripravi priporočila v zvezi z morebitnimi spremembami;</w:t>
      </w:r>
    </w:p>
    <w:p w14:paraId="52CB704A" w14:textId="77777777" w:rsidR="00730AA1" w:rsidRPr="00215B2F" w:rsidRDefault="00D91782">
      <w:pPr>
        <w:pStyle w:val="tevilnatoka"/>
        <w:numPr>
          <w:ilvl w:val="0"/>
          <w:numId w:val="56"/>
        </w:numPr>
        <w:shd w:val="clear" w:color="auto" w:fill="FFFFFF" w:themeFill="background1"/>
        <w:tabs>
          <w:tab w:val="clear" w:pos="425"/>
        </w:tabs>
        <w:rPr>
          <w:rFonts w:cs="Arial"/>
          <w:bCs/>
          <w:sz w:val="20"/>
          <w:szCs w:val="20"/>
        </w:rPr>
      </w:pPr>
      <w:r w:rsidRPr="00215B2F">
        <w:rPr>
          <w:rFonts w:eastAsia="Arial" w:cs="Arial"/>
          <w:sz w:val="20"/>
          <w:szCs w:val="20"/>
        </w:rPr>
        <w:t>vsaj enkrat na leto oceni znanje, veščine in izkušnje posameznih članov uprave in nadzornega sveta ter organa kot celote ter o tem ustrezno poroča nadzornemu svetu in upravi;</w:t>
      </w:r>
    </w:p>
    <w:p w14:paraId="03525646" w14:textId="77777777" w:rsidR="00730AA1" w:rsidRPr="00215B2F" w:rsidRDefault="00D91782">
      <w:pPr>
        <w:pStyle w:val="tevilnatoka"/>
        <w:numPr>
          <w:ilvl w:val="0"/>
          <w:numId w:val="56"/>
        </w:numPr>
        <w:shd w:val="clear" w:color="auto" w:fill="FFFFFF" w:themeFill="background1"/>
        <w:tabs>
          <w:tab w:val="clear" w:pos="425"/>
        </w:tabs>
        <w:rPr>
          <w:rFonts w:cs="Arial"/>
          <w:bCs/>
          <w:sz w:val="20"/>
          <w:szCs w:val="20"/>
        </w:rPr>
      </w:pPr>
      <w:r w:rsidRPr="00215B2F">
        <w:rPr>
          <w:rFonts w:eastAsia="Arial" w:cs="Arial"/>
          <w:sz w:val="20"/>
          <w:szCs w:val="20"/>
        </w:rPr>
        <w:t>redno pregleduje politiko uprave glede izbire in imenovanja primernih kandidatov za člane višjega vodstva banke ter pripravi priporočila v zvezi z morebitnimi spremembami;</w:t>
      </w:r>
    </w:p>
    <w:p w14:paraId="7D33DD07" w14:textId="7361A05F" w:rsidR="00D91782" w:rsidRPr="00215B2F" w:rsidRDefault="00D91782">
      <w:pPr>
        <w:pStyle w:val="tevilnatoka"/>
        <w:numPr>
          <w:ilvl w:val="0"/>
          <w:numId w:val="56"/>
        </w:numPr>
        <w:shd w:val="clear" w:color="auto" w:fill="FFFFFF" w:themeFill="background1"/>
        <w:tabs>
          <w:tab w:val="clear" w:pos="425"/>
        </w:tabs>
        <w:rPr>
          <w:rFonts w:cs="Arial"/>
          <w:bCs/>
          <w:sz w:val="20"/>
          <w:szCs w:val="20"/>
        </w:rPr>
      </w:pPr>
      <w:r w:rsidRPr="00215B2F">
        <w:rPr>
          <w:rFonts w:eastAsia="Arial" w:cs="Arial"/>
          <w:sz w:val="20"/>
          <w:szCs w:val="20"/>
        </w:rPr>
        <w:t>dejavno prispeva k izpolnjevanju odgovornosti banke za sprejetje ustreznih politik o ocenjevanju primernosti članov upravljalnega organa.</w:t>
      </w:r>
    </w:p>
    <w:p w14:paraId="13964CA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9B345B6" w14:textId="2E47CD2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Komisija za imenovanja pri opravljanju svojih nalog v največji možni meri upošteva, da pri odločanju v okviru upravljalnega organa posameznik ali ožja skupina posameznikov ne prevlada na način, ki bi škodil interesom banke.</w:t>
      </w:r>
    </w:p>
    <w:p w14:paraId="3A321476"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D862DCE" w14:textId="3637639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V banki, ki nima komisije za imenovanja, naloge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opravlja nadzorni svet.</w:t>
      </w:r>
    </w:p>
    <w:p w14:paraId="1F983E1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E937ED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82" w:name="_Ref202963170"/>
      <w:r w:rsidRPr="00215B2F">
        <w:rPr>
          <w:rFonts w:ascii="Arial" w:eastAsia="Arial" w:hAnsi="Arial" w:cs="Arial"/>
          <w:b/>
          <w:bCs/>
          <w:sz w:val="20"/>
          <w:szCs w:val="20"/>
        </w:rPr>
        <w:t>člen</w:t>
      </w:r>
      <w:bookmarkEnd w:id="82"/>
    </w:p>
    <w:p w14:paraId="13518439" w14:textId="77777777" w:rsidR="00D91782" w:rsidRPr="00215B2F" w:rsidRDefault="00D91782" w:rsidP="00FD5520">
      <w:pPr>
        <w:pStyle w:val="Slog1"/>
        <w:shd w:val="clear" w:color="auto" w:fill="FFFFFF" w:themeFill="background1"/>
        <w:rPr>
          <w:sz w:val="20"/>
          <w:szCs w:val="20"/>
        </w:rPr>
      </w:pPr>
      <w:r w:rsidRPr="00215B2F">
        <w:rPr>
          <w:sz w:val="20"/>
          <w:szCs w:val="20"/>
        </w:rPr>
        <w:t>(naloge komisije za tveganja)</w:t>
      </w:r>
    </w:p>
    <w:p w14:paraId="394A39D4" w14:textId="77777777" w:rsidR="00D91782" w:rsidRPr="00215B2F" w:rsidRDefault="00D91782" w:rsidP="00FD5520">
      <w:pPr>
        <w:pStyle w:val="Slog1"/>
        <w:shd w:val="clear" w:color="auto" w:fill="FFFFFF" w:themeFill="background1"/>
        <w:jc w:val="both"/>
        <w:rPr>
          <w:sz w:val="20"/>
          <w:szCs w:val="20"/>
        </w:rPr>
      </w:pPr>
    </w:p>
    <w:p w14:paraId="6F99398D" w14:textId="4F4D323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83" w:name="_Hlk203387015"/>
      <w:r w:rsidRPr="00215B2F">
        <w:rPr>
          <w:rFonts w:ascii="Arial" w:eastAsia="Arial" w:hAnsi="Arial" w:cs="Arial"/>
          <w:sz w:val="20"/>
          <w:szCs w:val="20"/>
        </w:rPr>
        <w:t>(1</w:t>
      </w:r>
      <w:bookmarkStart w:id="84" w:name="_Hlk203387200"/>
      <w:r w:rsidRPr="00215B2F">
        <w:rPr>
          <w:rFonts w:ascii="Arial" w:eastAsia="Arial" w:hAnsi="Arial" w:cs="Arial"/>
          <w:sz w:val="20"/>
          <w:szCs w:val="20"/>
        </w:rPr>
        <w:t xml:space="preserve">) Komisija za tveganja je posvetovalno telo nadzornega sveta </w:t>
      </w:r>
      <w:r w:rsidR="004A62E4" w:rsidRPr="00215B2F">
        <w:rPr>
          <w:rFonts w:ascii="Arial" w:eastAsia="Arial" w:hAnsi="Arial" w:cs="Arial"/>
          <w:sz w:val="20"/>
          <w:szCs w:val="20"/>
        </w:rPr>
        <w:t xml:space="preserve">in </w:t>
      </w:r>
      <w:r w:rsidRPr="00215B2F">
        <w:rPr>
          <w:rFonts w:ascii="Arial" w:eastAsia="Arial" w:hAnsi="Arial" w:cs="Arial"/>
          <w:sz w:val="20"/>
          <w:szCs w:val="20"/>
        </w:rPr>
        <w:t>izvaja naslednje naloge:</w:t>
      </w:r>
    </w:p>
    <w:p w14:paraId="5B7BA7E3"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33B2920" w14:textId="77777777" w:rsidR="00895214" w:rsidRPr="00215B2F" w:rsidRDefault="00D91782">
      <w:pPr>
        <w:pStyle w:val="tevilnatoka"/>
        <w:numPr>
          <w:ilvl w:val="0"/>
          <w:numId w:val="57"/>
        </w:numPr>
        <w:shd w:val="clear" w:color="auto" w:fill="FFFFFF" w:themeFill="background1"/>
        <w:tabs>
          <w:tab w:val="clear" w:pos="425"/>
        </w:tabs>
        <w:rPr>
          <w:rFonts w:cs="Arial"/>
          <w:bCs/>
          <w:sz w:val="20"/>
          <w:szCs w:val="20"/>
        </w:rPr>
      </w:pPr>
      <w:r w:rsidRPr="00215B2F">
        <w:rPr>
          <w:rFonts w:eastAsia="Arial" w:cs="Arial"/>
          <w:sz w:val="20"/>
          <w:szCs w:val="20"/>
        </w:rPr>
        <w:t>svetuje glede splošne sedanje in prihodnje nagnjenosti banke k prevzemanju tveganj in glede strategije upravljanja tveganj;</w:t>
      </w:r>
    </w:p>
    <w:p w14:paraId="1705D168" w14:textId="77777777" w:rsidR="00895214" w:rsidRPr="00215B2F" w:rsidRDefault="00D91782">
      <w:pPr>
        <w:pStyle w:val="tevilnatoka"/>
        <w:numPr>
          <w:ilvl w:val="0"/>
          <w:numId w:val="57"/>
        </w:numPr>
        <w:shd w:val="clear" w:color="auto" w:fill="FFFFFF" w:themeFill="background1"/>
        <w:tabs>
          <w:tab w:val="clear" w:pos="425"/>
        </w:tabs>
        <w:rPr>
          <w:rFonts w:cs="Arial"/>
          <w:bCs/>
          <w:sz w:val="20"/>
          <w:szCs w:val="20"/>
        </w:rPr>
      </w:pPr>
      <w:r w:rsidRPr="00215B2F">
        <w:rPr>
          <w:rFonts w:eastAsia="Arial" w:cs="Arial"/>
          <w:sz w:val="20"/>
          <w:szCs w:val="20"/>
        </w:rPr>
        <w:t>pomaga pri izvajanju nadzora nad višjim vodstvom glede izvajanja strategije upravljanja tveganj;</w:t>
      </w:r>
    </w:p>
    <w:p w14:paraId="58D8D68C" w14:textId="7D9A8378" w:rsidR="00895214" w:rsidRPr="00215B2F" w:rsidRDefault="00D91782">
      <w:pPr>
        <w:pStyle w:val="tevilnatoka"/>
        <w:numPr>
          <w:ilvl w:val="0"/>
          <w:numId w:val="57"/>
        </w:numPr>
        <w:shd w:val="clear" w:color="auto" w:fill="FFFFFF" w:themeFill="background1"/>
        <w:tabs>
          <w:tab w:val="clear" w:pos="425"/>
        </w:tabs>
        <w:rPr>
          <w:rFonts w:cs="Arial"/>
          <w:bCs/>
          <w:sz w:val="20"/>
          <w:szCs w:val="20"/>
        </w:rPr>
      </w:pPr>
      <w:r w:rsidRPr="00215B2F">
        <w:rPr>
          <w:rFonts w:eastAsia="Arial" w:cs="Arial"/>
          <w:sz w:val="20"/>
          <w:szCs w:val="20"/>
        </w:rPr>
        <w:t xml:space="preserve">brez poseganja v naloge komisije za prejemke preverja, ali so v spodbudah, ki jih zagotavlja sistem prejemkov, upoštevana tveganja, vključno s tistimi, ki izhajajo iz učinkov ESG dejavnikov, kapital, likvidnost ter verjetnost in časovni razpored prejemkov, </w:t>
      </w:r>
      <w:r w:rsidR="004A62E4" w:rsidRPr="00215B2F">
        <w:rPr>
          <w:rFonts w:eastAsia="Arial" w:cs="Arial"/>
          <w:sz w:val="20"/>
          <w:szCs w:val="20"/>
        </w:rPr>
        <w:t xml:space="preserve">vse </w:t>
      </w:r>
      <w:r w:rsidRPr="00215B2F">
        <w:rPr>
          <w:rFonts w:eastAsia="Arial" w:cs="Arial"/>
          <w:sz w:val="20"/>
          <w:szCs w:val="20"/>
        </w:rPr>
        <w:t>z namenom oblikovanja preudarnih politik in pr</w:t>
      </w:r>
      <w:r w:rsidR="00560D52" w:rsidRPr="00215B2F">
        <w:rPr>
          <w:rFonts w:eastAsia="Arial" w:cs="Arial"/>
          <w:sz w:val="20"/>
          <w:szCs w:val="20"/>
        </w:rPr>
        <w:t>a</w:t>
      </w:r>
      <w:r w:rsidRPr="00215B2F">
        <w:rPr>
          <w:rFonts w:eastAsia="Arial" w:cs="Arial"/>
          <w:sz w:val="20"/>
          <w:szCs w:val="20"/>
        </w:rPr>
        <w:t>ks prejemkov;</w:t>
      </w:r>
    </w:p>
    <w:p w14:paraId="35DE00DD" w14:textId="5364B0A0" w:rsidR="00D91782" w:rsidRPr="00215B2F" w:rsidRDefault="00D91782">
      <w:pPr>
        <w:pStyle w:val="tevilnatoka"/>
        <w:numPr>
          <w:ilvl w:val="0"/>
          <w:numId w:val="57"/>
        </w:numPr>
        <w:shd w:val="clear" w:color="auto" w:fill="FFFFFF" w:themeFill="background1"/>
        <w:tabs>
          <w:tab w:val="clear" w:pos="425"/>
        </w:tabs>
        <w:rPr>
          <w:rFonts w:cs="Arial"/>
          <w:bCs/>
          <w:sz w:val="20"/>
          <w:szCs w:val="20"/>
        </w:rPr>
      </w:pPr>
      <w:r w:rsidRPr="00215B2F">
        <w:rPr>
          <w:rFonts w:eastAsia="Arial" w:cs="Arial"/>
          <w:sz w:val="20"/>
          <w:szCs w:val="20"/>
        </w:rPr>
        <w:t>preverja, ali so cene produktov banke v celoti združljive s poslovnim modelom in strategijo upravljanja tveganj banke, ter v primeru ugotovljenih neskladij oblikuje predlog ukrepov za njihovo odpravo in ga predloži upravi in nadzornemu svetu banke.</w:t>
      </w:r>
    </w:p>
    <w:bookmarkEnd w:id="83"/>
    <w:p w14:paraId="5C3B03B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0D3FECC" w14:textId="5F0B554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Nadzorni svet in komisija za tveganja določita naravo, obseg, obliko in pogostost informacij o tveganjih, ki jih prejmeta. </w:t>
      </w:r>
    </w:p>
    <w:bookmarkEnd w:id="84"/>
    <w:p w14:paraId="7FE289C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0CCCE4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85" w:name="_Ref202963180"/>
      <w:r w:rsidRPr="00215B2F">
        <w:rPr>
          <w:rFonts w:ascii="Arial" w:eastAsia="Arial" w:hAnsi="Arial" w:cs="Arial"/>
          <w:b/>
          <w:bCs/>
          <w:sz w:val="20"/>
          <w:szCs w:val="20"/>
        </w:rPr>
        <w:t>člen</w:t>
      </w:r>
      <w:bookmarkEnd w:id="85"/>
    </w:p>
    <w:p w14:paraId="18276068" w14:textId="77777777" w:rsidR="00D91782" w:rsidRPr="00215B2F" w:rsidRDefault="00D91782" w:rsidP="00FD5520">
      <w:pPr>
        <w:pStyle w:val="Slog1"/>
        <w:shd w:val="clear" w:color="auto" w:fill="FFFFFF" w:themeFill="background1"/>
        <w:rPr>
          <w:sz w:val="20"/>
          <w:szCs w:val="20"/>
        </w:rPr>
      </w:pPr>
      <w:r w:rsidRPr="00215B2F">
        <w:rPr>
          <w:sz w:val="20"/>
          <w:szCs w:val="20"/>
        </w:rPr>
        <w:t>(naloge komisije za prejemke)</w:t>
      </w:r>
    </w:p>
    <w:p w14:paraId="39AA4116" w14:textId="77777777" w:rsidR="00D91782" w:rsidRPr="00215B2F" w:rsidRDefault="00D91782" w:rsidP="00FD5520">
      <w:pPr>
        <w:pStyle w:val="Slog1"/>
        <w:shd w:val="clear" w:color="auto" w:fill="FFFFFF" w:themeFill="background1"/>
        <w:jc w:val="both"/>
        <w:rPr>
          <w:sz w:val="20"/>
          <w:szCs w:val="20"/>
        </w:rPr>
      </w:pPr>
    </w:p>
    <w:p w14:paraId="538FB186" w14:textId="001DF02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(1) Komisija za prejemke je posvetovalno telo nadzornega sveta </w:t>
      </w:r>
      <w:r w:rsidR="004A62E4" w:rsidRPr="00215B2F">
        <w:rPr>
          <w:rFonts w:ascii="Arial" w:eastAsia="Arial" w:hAnsi="Arial" w:cs="Arial"/>
          <w:sz w:val="20"/>
          <w:szCs w:val="20"/>
        </w:rPr>
        <w:t xml:space="preserve">in </w:t>
      </w:r>
      <w:r w:rsidRPr="00215B2F">
        <w:rPr>
          <w:rFonts w:ascii="Arial" w:eastAsia="Arial" w:hAnsi="Arial" w:cs="Arial"/>
          <w:sz w:val="20"/>
          <w:szCs w:val="20"/>
        </w:rPr>
        <w:t>izvaja naslednje naloge:</w:t>
      </w:r>
    </w:p>
    <w:p w14:paraId="6C8B7C05"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EA29222" w14:textId="77777777" w:rsidR="00895214" w:rsidRPr="00215B2F" w:rsidRDefault="00D91782">
      <w:pPr>
        <w:pStyle w:val="tevilnatoka"/>
        <w:numPr>
          <w:ilvl w:val="0"/>
          <w:numId w:val="58"/>
        </w:numPr>
        <w:shd w:val="clear" w:color="auto" w:fill="FFFFFF" w:themeFill="background1"/>
        <w:tabs>
          <w:tab w:val="clear" w:pos="425"/>
        </w:tabs>
        <w:rPr>
          <w:rFonts w:cs="Arial"/>
          <w:bCs/>
          <w:sz w:val="20"/>
          <w:szCs w:val="20"/>
        </w:rPr>
      </w:pPr>
      <w:r w:rsidRPr="00215B2F">
        <w:rPr>
          <w:rFonts w:eastAsia="Arial" w:cs="Arial"/>
          <w:sz w:val="20"/>
          <w:szCs w:val="20"/>
        </w:rPr>
        <w:t>izvaja strokovne in neodvisne ocene politik in praks prejemkov ter na tej podlagi oblikuje pobude za ukrepe v zvezi z izboljšanjem upravljanja tveganj banke, kapitala in likvidnosti banke;</w:t>
      </w:r>
    </w:p>
    <w:p w14:paraId="2C8CDC6B" w14:textId="77777777" w:rsidR="00560D52" w:rsidRPr="00215B2F" w:rsidRDefault="00D91782">
      <w:pPr>
        <w:pStyle w:val="tevilnatoka"/>
        <w:numPr>
          <w:ilvl w:val="0"/>
          <w:numId w:val="58"/>
        </w:numPr>
        <w:shd w:val="clear" w:color="auto" w:fill="FFFFFF" w:themeFill="background1"/>
        <w:tabs>
          <w:tab w:val="clear" w:pos="425"/>
        </w:tabs>
        <w:rPr>
          <w:rFonts w:cs="Arial"/>
          <w:bCs/>
          <w:sz w:val="20"/>
          <w:szCs w:val="20"/>
        </w:rPr>
      </w:pPr>
      <w:r w:rsidRPr="00215B2F">
        <w:rPr>
          <w:rFonts w:eastAsia="Arial" w:cs="Arial"/>
          <w:sz w:val="20"/>
          <w:szCs w:val="20"/>
        </w:rPr>
        <w:t>pripravlja predloge odločitev upravljalnega organa v zvezi s prejemki, vključno s tistimi, ki vplivajo na tveganje in upravljanje tveganj banke;</w:t>
      </w:r>
      <w:bookmarkStart w:id="86" w:name="_Hlk203387494"/>
    </w:p>
    <w:p w14:paraId="3CBA2A7C" w14:textId="38AEFF81" w:rsidR="00560D52" w:rsidRPr="00215B2F" w:rsidRDefault="00D91782">
      <w:pPr>
        <w:pStyle w:val="tevilnatoka"/>
        <w:numPr>
          <w:ilvl w:val="0"/>
          <w:numId w:val="58"/>
        </w:numPr>
        <w:shd w:val="clear" w:color="auto" w:fill="FFFFFF" w:themeFill="background1"/>
        <w:tabs>
          <w:tab w:val="clear" w:pos="425"/>
        </w:tabs>
        <w:rPr>
          <w:rFonts w:cs="Arial"/>
          <w:bCs/>
          <w:sz w:val="20"/>
          <w:szCs w:val="20"/>
        </w:rPr>
      </w:pPr>
      <w:r w:rsidRPr="00215B2F">
        <w:rPr>
          <w:rFonts w:eastAsia="Arial" w:cs="Arial"/>
          <w:sz w:val="20"/>
          <w:szCs w:val="20"/>
        </w:rPr>
        <w:t>nadzoruje prejemke vodji funkcij notranje kontrole.</w:t>
      </w:r>
      <w:bookmarkEnd w:id="86"/>
    </w:p>
    <w:p w14:paraId="0DB1EECD" w14:textId="77777777" w:rsidR="00560D52" w:rsidRPr="00215B2F" w:rsidRDefault="00560D52" w:rsidP="00FD5520">
      <w:pPr>
        <w:shd w:val="clear" w:color="auto" w:fill="FFFFFF" w:themeFill="background1"/>
        <w:spacing w:after="0" w:line="240" w:lineRule="auto"/>
        <w:jc w:val="both"/>
        <w:rPr>
          <w:rFonts w:ascii="Arial" w:eastAsia="Arial" w:hAnsi="Arial" w:cs="Arial"/>
          <w:sz w:val="20"/>
          <w:szCs w:val="20"/>
        </w:rPr>
      </w:pPr>
    </w:p>
    <w:p w14:paraId="7A0760CE" w14:textId="16AD340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Pri pripravi odločitev iz prejšnjega odstavka komisija za prejemke upošteva dolgoročne interese delničarjev, vlagateljev in drugih zainteresiranih strani.</w:t>
      </w:r>
    </w:p>
    <w:p w14:paraId="4E827404"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819BB72" w14:textId="720FC9F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V banki, ki nima komisije za prejemke, naloge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opravlja nadzorni svet.</w:t>
      </w:r>
    </w:p>
    <w:p w14:paraId="5E38BA9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15AF2D8"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87" w:name="_Ref202963186"/>
      <w:r w:rsidRPr="00215B2F">
        <w:rPr>
          <w:rFonts w:ascii="Arial" w:eastAsia="Arial" w:hAnsi="Arial" w:cs="Arial"/>
          <w:b/>
          <w:bCs/>
          <w:sz w:val="20"/>
          <w:szCs w:val="20"/>
        </w:rPr>
        <w:t>člen</w:t>
      </w:r>
      <w:bookmarkEnd w:id="87"/>
    </w:p>
    <w:p w14:paraId="349A3A5B" w14:textId="0B700FC6" w:rsidR="00D91782" w:rsidRPr="00215B2F" w:rsidRDefault="00D91782" w:rsidP="00FD5520">
      <w:pPr>
        <w:pStyle w:val="Slog1"/>
        <w:shd w:val="clear" w:color="auto" w:fill="FFFFFF" w:themeFill="background1"/>
        <w:rPr>
          <w:sz w:val="20"/>
          <w:szCs w:val="20"/>
        </w:rPr>
      </w:pPr>
      <w:r w:rsidRPr="00215B2F">
        <w:rPr>
          <w:sz w:val="20"/>
          <w:szCs w:val="20"/>
        </w:rPr>
        <w:t xml:space="preserve">(pogoji za imenovanje člana </w:t>
      </w:r>
      <w:r w:rsidR="00354135" w:rsidRPr="00215B2F">
        <w:rPr>
          <w:sz w:val="20"/>
          <w:szCs w:val="20"/>
        </w:rPr>
        <w:t>nadzornega sveta</w:t>
      </w:r>
      <w:r w:rsidRPr="00215B2F">
        <w:rPr>
          <w:sz w:val="20"/>
          <w:szCs w:val="20"/>
        </w:rPr>
        <w:t>)</w:t>
      </w:r>
    </w:p>
    <w:p w14:paraId="1BBD7520" w14:textId="77777777" w:rsidR="00D91782" w:rsidRPr="00215B2F" w:rsidRDefault="00D91782" w:rsidP="00FD5520">
      <w:pPr>
        <w:pStyle w:val="Slog1"/>
        <w:shd w:val="clear" w:color="auto" w:fill="FFFFFF" w:themeFill="background1"/>
        <w:jc w:val="both"/>
        <w:rPr>
          <w:sz w:val="20"/>
          <w:szCs w:val="20"/>
        </w:rPr>
      </w:pPr>
    </w:p>
    <w:p w14:paraId="4E430BB7" w14:textId="3041C86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Za člana </w:t>
      </w:r>
      <w:r w:rsidR="00354135" w:rsidRPr="00215B2F">
        <w:rPr>
          <w:rFonts w:ascii="Arial" w:eastAsia="Arial" w:hAnsi="Arial" w:cs="Arial"/>
          <w:sz w:val="20"/>
          <w:szCs w:val="20"/>
        </w:rPr>
        <w:t>nadzornega sveta</w:t>
      </w:r>
      <w:r w:rsidRPr="00215B2F">
        <w:rPr>
          <w:rFonts w:ascii="Arial" w:eastAsia="Arial" w:hAnsi="Arial" w:cs="Arial"/>
          <w:sz w:val="20"/>
          <w:szCs w:val="20"/>
        </w:rPr>
        <w:t xml:space="preserve"> je lahko imenovana oseba</w:t>
      </w:r>
      <w:r w:rsidR="004A62E4" w:rsidRPr="00215B2F">
        <w:rPr>
          <w:rFonts w:ascii="Arial" w:eastAsia="Arial" w:hAnsi="Arial" w:cs="Arial"/>
          <w:sz w:val="20"/>
          <w:szCs w:val="20"/>
        </w:rPr>
        <w:t>, ki</w:t>
      </w:r>
      <w:r w:rsidRPr="00215B2F">
        <w:rPr>
          <w:rFonts w:ascii="Arial" w:eastAsia="Arial" w:hAnsi="Arial" w:cs="Arial"/>
          <w:sz w:val="20"/>
          <w:szCs w:val="20"/>
        </w:rPr>
        <w:t>:</w:t>
      </w:r>
    </w:p>
    <w:p w14:paraId="3EC4B9F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51F4D9B" w14:textId="1792B85A" w:rsidR="00895214" w:rsidRPr="00215B2F" w:rsidRDefault="00D91782">
      <w:pPr>
        <w:pStyle w:val="tevilnatoka"/>
        <w:numPr>
          <w:ilvl w:val="0"/>
          <w:numId w:val="59"/>
        </w:numPr>
        <w:shd w:val="clear" w:color="auto" w:fill="FFFFFF" w:themeFill="background1"/>
        <w:tabs>
          <w:tab w:val="clear" w:pos="425"/>
        </w:tabs>
        <w:rPr>
          <w:rFonts w:cs="Arial"/>
          <w:bCs/>
          <w:sz w:val="20"/>
          <w:szCs w:val="20"/>
        </w:rPr>
      </w:pPr>
      <w:r w:rsidRPr="00215B2F">
        <w:rPr>
          <w:rFonts w:eastAsia="Arial" w:cs="Arial"/>
          <w:sz w:val="20"/>
          <w:szCs w:val="20"/>
        </w:rPr>
        <w:t>ima znanje, veščine in izkušnje za nadzor</w:t>
      </w:r>
      <w:r w:rsidR="004A62E4" w:rsidRPr="00215B2F">
        <w:rPr>
          <w:rFonts w:eastAsia="Arial" w:cs="Arial"/>
          <w:sz w:val="20"/>
          <w:szCs w:val="20"/>
        </w:rPr>
        <w:t>ovanje</w:t>
      </w:r>
      <w:r w:rsidRPr="00215B2F">
        <w:rPr>
          <w:rFonts w:eastAsia="Arial" w:cs="Arial"/>
          <w:sz w:val="20"/>
          <w:szCs w:val="20"/>
        </w:rPr>
        <w:t xml:space="preserve"> in spremljanje vodenja poslov banke ali družbe primerljive velikosti in dejavnosti kot banka oziroma drugih primerljivih poslov;</w:t>
      </w:r>
    </w:p>
    <w:p w14:paraId="2CE640EC" w14:textId="72B7004D" w:rsidR="00895214" w:rsidRPr="00215B2F" w:rsidRDefault="00D91782">
      <w:pPr>
        <w:pStyle w:val="tevilnatoka"/>
        <w:numPr>
          <w:ilvl w:val="0"/>
          <w:numId w:val="59"/>
        </w:numPr>
        <w:shd w:val="clear" w:color="auto" w:fill="FFFFFF" w:themeFill="background1"/>
        <w:tabs>
          <w:tab w:val="clear" w:pos="425"/>
        </w:tabs>
        <w:rPr>
          <w:rFonts w:cs="Arial"/>
          <w:bCs/>
          <w:sz w:val="20"/>
          <w:szCs w:val="20"/>
        </w:rPr>
      </w:pPr>
      <w:r w:rsidRPr="00215B2F">
        <w:rPr>
          <w:rFonts w:eastAsia="Arial" w:cs="Arial"/>
          <w:sz w:val="20"/>
          <w:szCs w:val="20"/>
        </w:rPr>
        <w:t>ima dober ugled in lastnosti za nadzor nad vodenjem poslov banke ter njeno ravnanje ne vzbuja dvoma o njeni zmožnosti za zagotovitev varnega in skrbnega nadzora nad vodenjem poslov banke v skladu s profesionalno skrbnostjo in najvišjimi etičnimi standardi ter preprečevanjem nasprotja interesov;</w:t>
      </w:r>
    </w:p>
    <w:p w14:paraId="3AC8301D" w14:textId="71938D9A" w:rsidR="00895214" w:rsidRPr="00215B2F" w:rsidRDefault="00D91782">
      <w:pPr>
        <w:pStyle w:val="tevilnatoka"/>
        <w:numPr>
          <w:ilvl w:val="0"/>
          <w:numId w:val="59"/>
        </w:numPr>
        <w:shd w:val="clear" w:color="auto" w:fill="FFFFFF" w:themeFill="background1"/>
        <w:tabs>
          <w:tab w:val="clear" w:pos="425"/>
        </w:tabs>
        <w:rPr>
          <w:rFonts w:cs="Arial"/>
          <w:bCs/>
          <w:sz w:val="20"/>
          <w:szCs w:val="20"/>
        </w:rPr>
      </w:pPr>
      <w:r w:rsidRPr="00215B2F">
        <w:rPr>
          <w:rFonts w:eastAsia="Arial" w:cs="Arial"/>
          <w:sz w:val="20"/>
          <w:szCs w:val="20"/>
        </w:rPr>
        <w:t xml:space="preserve">ravna odkrito, pošteno in neodvisno </w:t>
      </w:r>
      <w:r w:rsidR="004A62E4" w:rsidRPr="00215B2F">
        <w:rPr>
          <w:rFonts w:eastAsia="Arial" w:cs="Arial"/>
          <w:sz w:val="20"/>
          <w:szCs w:val="20"/>
        </w:rPr>
        <w:t xml:space="preserve">ter </w:t>
      </w:r>
      <w:r w:rsidRPr="00215B2F">
        <w:rPr>
          <w:rFonts w:eastAsia="Arial" w:cs="Arial"/>
          <w:sz w:val="20"/>
          <w:szCs w:val="20"/>
        </w:rPr>
        <w:t>lahko po potrebi učinkovito oceni in izpodbija odločitve upravljalnega organa ter učinkovito nadzoruje in spremlja sprejemanje odločitev v zvezi z upravljanjem;</w:t>
      </w:r>
    </w:p>
    <w:p w14:paraId="7DB4401E" w14:textId="5C6AC08F" w:rsidR="00D91782" w:rsidRPr="00215B2F" w:rsidRDefault="00D91782">
      <w:pPr>
        <w:pStyle w:val="tevilnatoka"/>
        <w:numPr>
          <w:ilvl w:val="0"/>
          <w:numId w:val="59"/>
        </w:numPr>
        <w:shd w:val="clear" w:color="auto" w:fill="FFFFFF" w:themeFill="background1"/>
        <w:tabs>
          <w:tab w:val="clear" w:pos="425"/>
        </w:tabs>
        <w:rPr>
          <w:rFonts w:cs="Arial"/>
          <w:bCs/>
          <w:sz w:val="20"/>
          <w:szCs w:val="20"/>
        </w:rPr>
      </w:pPr>
      <w:r w:rsidRPr="00215B2F">
        <w:rPr>
          <w:rFonts w:eastAsia="Arial" w:cs="Arial"/>
          <w:sz w:val="20"/>
          <w:szCs w:val="20"/>
        </w:rPr>
        <w:t xml:space="preserve">ne krši tretjega odstavka </w:t>
      </w:r>
      <w:r w:rsidR="00BB458B" w:rsidRPr="00215B2F">
        <w:rPr>
          <w:rFonts w:eastAsia="Arial" w:cs="Arial"/>
          <w:sz w:val="20"/>
          <w:szCs w:val="20"/>
        </w:rPr>
        <w:t>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ali so bila dana zagotovila, da </w:t>
      </w:r>
      <w:r w:rsidR="003339AE" w:rsidRPr="00215B2F">
        <w:rPr>
          <w:rFonts w:eastAsia="Arial" w:cs="Arial"/>
          <w:sz w:val="20"/>
          <w:szCs w:val="20"/>
        </w:rPr>
        <w:t xml:space="preserve">se </w:t>
      </w:r>
      <w:r w:rsidRPr="00215B2F">
        <w:rPr>
          <w:rFonts w:eastAsia="Arial" w:cs="Arial"/>
          <w:sz w:val="20"/>
          <w:szCs w:val="20"/>
        </w:rPr>
        <w:t xml:space="preserve">bo </w:t>
      </w:r>
      <w:r w:rsidR="004A62E4" w:rsidRPr="00215B2F">
        <w:rPr>
          <w:rFonts w:eastAsia="Arial" w:cs="Arial"/>
          <w:sz w:val="20"/>
          <w:szCs w:val="20"/>
        </w:rPr>
        <w:t xml:space="preserve">kot </w:t>
      </w:r>
      <w:r w:rsidRPr="00215B2F">
        <w:rPr>
          <w:rFonts w:eastAsia="Arial" w:cs="Arial"/>
          <w:sz w:val="20"/>
          <w:szCs w:val="20"/>
        </w:rPr>
        <w:t xml:space="preserve">kandidat </w:t>
      </w:r>
      <w:r w:rsidR="004A62E4" w:rsidRPr="00215B2F">
        <w:rPr>
          <w:rFonts w:eastAsia="Arial" w:cs="Arial"/>
          <w:sz w:val="20"/>
          <w:szCs w:val="20"/>
        </w:rPr>
        <w:t xml:space="preserve">za funkcijo </w:t>
      </w:r>
      <w:r w:rsidR="003339AE" w:rsidRPr="00215B2F">
        <w:rPr>
          <w:rFonts w:eastAsia="Arial" w:cs="Arial"/>
          <w:sz w:val="20"/>
          <w:szCs w:val="20"/>
        </w:rPr>
        <w:t>uskladil s temi zahtevami</w:t>
      </w:r>
      <w:r w:rsidRPr="00215B2F">
        <w:rPr>
          <w:rFonts w:eastAsia="Arial" w:cs="Arial"/>
          <w:sz w:val="20"/>
          <w:szCs w:val="20"/>
        </w:rPr>
        <w:t xml:space="preserve"> v roku iz drugega odstavka </w:t>
      </w:r>
      <w:r w:rsidR="00BB458B" w:rsidRPr="00215B2F">
        <w:rPr>
          <w:rFonts w:eastAsia="Arial" w:cs="Arial"/>
          <w:sz w:val="20"/>
          <w:szCs w:val="20"/>
        </w:rPr>
        <w:t>67</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442D9024"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70CA794" w14:textId="6ACFE26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Šteje se, da oseba nima ugleda in lastnosti za nadzor nad vodenjem poslov banke, če je bila pravnomočno obsojena zaradi kaznivega dejanja in obsodba še ni bila izbrisana.</w:t>
      </w:r>
    </w:p>
    <w:p w14:paraId="0B8599B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F6760EB"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88" w:name="_Ref202963192"/>
      <w:r w:rsidRPr="00215B2F">
        <w:rPr>
          <w:rFonts w:ascii="Arial" w:eastAsia="Arial" w:hAnsi="Arial" w:cs="Arial"/>
          <w:b/>
          <w:bCs/>
          <w:sz w:val="20"/>
          <w:szCs w:val="20"/>
        </w:rPr>
        <w:t>člen</w:t>
      </w:r>
      <w:bookmarkEnd w:id="88"/>
    </w:p>
    <w:p w14:paraId="361BCD4F" w14:textId="2D7D1943" w:rsidR="00D91782" w:rsidRPr="00215B2F" w:rsidRDefault="00D91782" w:rsidP="00FD5520">
      <w:pPr>
        <w:pStyle w:val="Slog1"/>
        <w:shd w:val="clear" w:color="auto" w:fill="FFFFFF" w:themeFill="background1"/>
        <w:rPr>
          <w:sz w:val="20"/>
          <w:szCs w:val="20"/>
        </w:rPr>
      </w:pPr>
      <w:r w:rsidRPr="00215B2F">
        <w:rPr>
          <w:sz w:val="20"/>
          <w:szCs w:val="20"/>
        </w:rPr>
        <w:t xml:space="preserve">(opravljanje funkcije člana </w:t>
      </w:r>
      <w:r w:rsidR="00354135" w:rsidRPr="00215B2F">
        <w:rPr>
          <w:sz w:val="20"/>
          <w:szCs w:val="20"/>
        </w:rPr>
        <w:t>nadzornega sveta</w:t>
      </w:r>
      <w:r w:rsidRPr="00215B2F">
        <w:rPr>
          <w:sz w:val="20"/>
          <w:szCs w:val="20"/>
        </w:rPr>
        <w:t>)</w:t>
      </w:r>
    </w:p>
    <w:p w14:paraId="63A02DBB" w14:textId="77777777" w:rsidR="00D91782" w:rsidRPr="00215B2F" w:rsidRDefault="00D91782" w:rsidP="00FD5520">
      <w:pPr>
        <w:pStyle w:val="Slog1"/>
        <w:shd w:val="clear" w:color="auto" w:fill="FFFFFF" w:themeFill="background1"/>
        <w:jc w:val="both"/>
        <w:rPr>
          <w:sz w:val="20"/>
          <w:szCs w:val="20"/>
        </w:rPr>
      </w:pPr>
    </w:p>
    <w:p w14:paraId="13075D91" w14:textId="1018805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Funkcijo člana </w:t>
      </w:r>
      <w:r w:rsidR="00354135" w:rsidRPr="00215B2F">
        <w:rPr>
          <w:rFonts w:ascii="Arial" w:hAnsi="Arial" w:cs="Arial"/>
          <w:sz w:val="20"/>
          <w:szCs w:val="20"/>
        </w:rPr>
        <w:t>nadzornega sveta</w:t>
      </w:r>
      <w:r w:rsidRPr="00215B2F">
        <w:rPr>
          <w:rFonts w:ascii="Arial" w:eastAsia="Arial" w:hAnsi="Arial" w:cs="Arial"/>
          <w:sz w:val="20"/>
          <w:szCs w:val="20"/>
        </w:rPr>
        <w:t xml:space="preserve"> lahko opravlja le oseba, ki pridobi dovoljenje za opravljanje funkcije člana nadzornega sveta te banke v skladu s tem zakonom.</w:t>
      </w:r>
    </w:p>
    <w:p w14:paraId="2A99D6B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C9D361B" w14:textId="483415D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Skupščina mora odločiti o imenovanju </w:t>
      </w:r>
      <w:r w:rsidR="004A62E4" w:rsidRPr="00215B2F">
        <w:rPr>
          <w:rFonts w:ascii="Arial" w:eastAsia="Arial" w:hAnsi="Arial" w:cs="Arial"/>
          <w:sz w:val="20"/>
          <w:szCs w:val="20"/>
        </w:rPr>
        <w:t>posamez</w:t>
      </w:r>
      <w:r w:rsidRPr="00215B2F">
        <w:rPr>
          <w:rFonts w:ascii="Arial" w:eastAsia="Arial" w:hAnsi="Arial" w:cs="Arial"/>
          <w:sz w:val="20"/>
          <w:szCs w:val="20"/>
        </w:rPr>
        <w:t xml:space="preserve">ne osebe za člana </w:t>
      </w:r>
      <w:r w:rsidR="00354135" w:rsidRPr="00215B2F">
        <w:rPr>
          <w:rFonts w:ascii="Arial" w:hAnsi="Arial" w:cs="Arial"/>
          <w:sz w:val="20"/>
          <w:szCs w:val="20"/>
        </w:rPr>
        <w:t>nadzornega sveta</w:t>
      </w:r>
      <w:r w:rsidRPr="00215B2F">
        <w:rPr>
          <w:rFonts w:ascii="Arial" w:eastAsia="Arial" w:hAnsi="Arial" w:cs="Arial"/>
          <w:sz w:val="20"/>
          <w:szCs w:val="20"/>
        </w:rPr>
        <w:t xml:space="preserve"> pred vložitvijo zahteve za izdajo dovoljenja za opravljanje te funkcije, pri čemer se mora seznaniti tudi z oceno komisije za imenovanja o primernosti te osebe za člana </w:t>
      </w:r>
      <w:r w:rsidR="00354135" w:rsidRPr="00215B2F">
        <w:rPr>
          <w:rFonts w:ascii="Arial" w:hAnsi="Arial" w:cs="Arial"/>
          <w:sz w:val="20"/>
          <w:szCs w:val="20"/>
        </w:rPr>
        <w:t>nadzornega sveta</w:t>
      </w:r>
      <w:r w:rsidRPr="00215B2F">
        <w:rPr>
          <w:rFonts w:ascii="Arial" w:eastAsia="Arial" w:hAnsi="Arial" w:cs="Arial"/>
          <w:sz w:val="20"/>
          <w:szCs w:val="20"/>
        </w:rPr>
        <w:t>.</w:t>
      </w:r>
    </w:p>
    <w:p w14:paraId="5FDFAF31" w14:textId="77777777" w:rsidR="003E05E7" w:rsidRPr="00215B2F" w:rsidRDefault="003E05E7" w:rsidP="00FD5520">
      <w:pPr>
        <w:shd w:val="clear" w:color="auto" w:fill="FFFFFF" w:themeFill="background1"/>
        <w:spacing w:after="0" w:line="240" w:lineRule="auto"/>
        <w:jc w:val="both"/>
        <w:rPr>
          <w:rFonts w:ascii="Arial" w:eastAsia="Arial" w:hAnsi="Arial" w:cs="Arial"/>
          <w:sz w:val="20"/>
          <w:szCs w:val="20"/>
        </w:rPr>
      </w:pPr>
    </w:p>
    <w:p w14:paraId="563166A6" w14:textId="605ACC8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Sklep o imenovanju </w:t>
      </w:r>
      <w:r w:rsidR="004A62E4" w:rsidRPr="00215B2F">
        <w:rPr>
          <w:rFonts w:ascii="Arial" w:eastAsia="Arial" w:hAnsi="Arial" w:cs="Arial"/>
          <w:sz w:val="20"/>
          <w:szCs w:val="20"/>
        </w:rPr>
        <w:t>posamez</w:t>
      </w:r>
      <w:r w:rsidRPr="00215B2F">
        <w:rPr>
          <w:rFonts w:ascii="Arial" w:eastAsia="Arial" w:hAnsi="Arial" w:cs="Arial"/>
          <w:sz w:val="20"/>
          <w:szCs w:val="20"/>
        </w:rPr>
        <w:t xml:space="preserve">ne osebe za člana </w:t>
      </w:r>
      <w:r w:rsidR="00354135" w:rsidRPr="00215B2F">
        <w:rPr>
          <w:rFonts w:ascii="Arial" w:hAnsi="Arial" w:cs="Arial"/>
          <w:sz w:val="20"/>
          <w:szCs w:val="20"/>
        </w:rPr>
        <w:t>nadzornega sveta</w:t>
      </w:r>
      <w:r w:rsidRPr="00215B2F">
        <w:rPr>
          <w:rFonts w:ascii="Arial" w:eastAsia="Arial" w:hAnsi="Arial" w:cs="Arial"/>
          <w:sz w:val="20"/>
          <w:szCs w:val="20"/>
        </w:rPr>
        <w:t xml:space="preserve"> učinkuje:</w:t>
      </w:r>
    </w:p>
    <w:p w14:paraId="1EAD10B4"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7549E00" w14:textId="6F670046" w:rsidR="00895214" w:rsidRPr="00215B2F" w:rsidRDefault="00D91782">
      <w:pPr>
        <w:pStyle w:val="tevilnatoka"/>
        <w:numPr>
          <w:ilvl w:val="0"/>
          <w:numId w:val="60"/>
        </w:numPr>
        <w:shd w:val="clear" w:color="auto" w:fill="FFFFFF" w:themeFill="background1"/>
        <w:tabs>
          <w:tab w:val="clear" w:pos="425"/>
        </w:tabs>
        <w:rPr>
          <w:rFonts w:cs="Arial"/>
          <w:bCs/>
          <w:sz w:val="20"/>
          <w:szCs w:val="20"/>
        </w:rPr>
      </w:pPr>
      <w:r w:rsidRPr="00215B2F">
        <w:rPr>
          <w:rFonts w:eastAsia="Arial" w:cs="Arial"/>
          <w:sz w:val="20"/>
          <w:szCs w:val="20"/>
        </w:rPr>
        <w:t>pod odložnim pogojem, ki nastopi, če ta oseba pridobi dovoljenje za opravljanje te funkcije</w:t>
      </w:r>
      <w:r w:rsidR="004A62E4" w:rsidRPr="00215B2F">
        <w:rPr>
          <w:rFonts w:eastAsia="Arial" w:cs="Arial"/>
          <w:sz w:val="20"/>
          <w:szCs w:val="20"/>
        </w:rPr>
        <w:t>,</w:t>
      </w:r>
      <w:r w:rsidRPr="00215B2F">
        <w:rPr>
          <w:rFonts w:eastAsia="Arial" w:cs="Arial"/>
          <w:sz w:val="20"/>
          <w:szCs w:val="20"/>
        </w:rPr>
        <w:t xml:space="preserve"> in</w:t>
      </w:r>
    </w:p>
    <w:p w14:paraId="534E6486" w14:textId="25CCA7F8" w:rsidR="00D91782" w:rsidRPr="00215B2F" w:rsidRDefault="00D91782">
      <w:pPr>
        <w:pStyle w:val="tevilnatoka"/>
        <w:numPr>
          <w:ilvl w:val="0"/>
          <w:numId w:val="60"/>
        </w:numPr>
        <w:shd w:val="clear" w:color="auto" w:fill="FFFFFF" w:themeFill="background1"/>
        <w:tabs>
          <w:tab w:val="clear" w:pos="425"/>
        </w:tabs>
        <w:rPr>
          <w:rFonts w:cs="Arial"/>
          <w:bCs/>
          <w:sz w:val="20"/>
          <w:szCs w:val="20"/>
        </w:rPr>
      </w:pPr>
      <w:r w:rsidRPr="00215B2F">
        <w:rPr>
          <w:rFonts w:eastAsia="Arial" w:cs="Arial"/>
          <w:sz w:val="20"/>
          <w:szCs w:val="20"/>
        </w:rPr>
        <w:t>pod razveznim pogojem, ki nastopi:</w:t>
      </w:r>
    </w:p>
    <w:p w14:paraId="7DEC6900" w14:textId="42D4C27D"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če banka v 15 dneh po prejemu sklepa o imenovanju za člana </w:t>
      </w:r>
      <w:r w:rsidR="00354135" w:rsidRPr="00215B2F">
        <w:rPr>
          <w:rFonts w:ascii="Arial" w:hAnsi="Arial" w:cs="Arial"/>
          <w:sz w:val="20"/>
          <w:szCs w:val="20"/>
        </w:rPr>
        <w:t>nadzornega sveta</w:t>
      </w:r>
      <w:r w:rsidRPr="00215B2F">
        <w:rPr>
          <w:rFonts w:ascii="Arial" w:eastAsia="Arial" w:hAnsi="Arial" w:cs="Arial"/>
          <w:sz w:val="20"/>
          <w:szCs w:val="20"/>
        </w:rPr>
        <w:t xml:space="preserve"> ne vloži zahteve za izdajo dovoljenja za opravljanje te funkcije ali če tako zahtevo umakne ali</w:t>
      </w:r>
    </w:p>
    <w:p w14:paraId="3D52FF6C" w14:textId="108CA040"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če je zahteva za izdajo dovoljenja za opravljanje funkcije člana nadzornega sveta te banke zavržena ali zavrnjena.</w:t>
      </w:r>
    </w:p>
    <w:p w14:paraId="4F9EB1F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41D98E5" w14:textId="569C78A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Član nadzornega sveta se lahko vpiše v sodni register, ko pridobi dovoljenje za opravljanje funkcije člana </w:t>
      </w:r>
      <w:r w:rsidR="00354135" w:rsidRPr="00215B2F">
        <w:rPr>
          <w:rFonts w:ascii="Arial" w:hAnsi="Arial" w:cs="Arial"/>
          <w:sz w:val="20"/>
          <w:szCs w:val="20"/>
        </w:rPr>
        <w:t>nadzornega sveta</w:t>
      </w:r>
      <w:r w:rsidRPr="00215B2F">
        <w:rPr>
          <w:rFonts w:ascii="Arial" w:eastAsia="Arial" w:hAnsi="Arial" w:cs="Arial"/>
          <w:sz w:val="20"/>
          <w:szCs w:val="20"/>
        </w:rPr>
        <w:t>, razen če je imenovan kot nadomestni član nadzornega sveta v skladu s petim odstavkom tega člena.</w:t>
      </w:r>
    </w:p>
    <w:p w14:paraId="486783C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E7F5325" w14:textId="1CC90B6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V primeru, ko posameznemu članu nadzornega sveta</w:t>
      </w:r>
      <w:r w:rsidR="004A62E4" w:rsidRPr="00215B2F">
        <w:rPr>
          <w:rFonts w:ascii="Arial" w:eastAsia="Arial" w:hAnsi="Arial" w:cs="Arial"/>
          <w:sz w:val="20"/>
          <w:szCs w:val="20"/>
        </w:rPr>
        <w:t xml:space="preserve"> </w:t>
      </w:r>
      <w:r w:rsidRPr="00215B2F">
        <w:rPr>
          <w:rFonts w:ascii="Arial" w:eastAsia="Arial" w:hAnsi="Arial" w:cs="Arial"/>
          <w:sz w:val="20"/>
          <w:szCs w:val="20"/>
        </w:rPr>
        <w:t xml:space="preserve">preneha funkcija ali ko zaradi drugih okoliščin ne opravlja ali verjetno ne bo opravljal funkcije člana </w:t>
      </w:r>
      <w:r w:rsidR="00354135" w:rsidRPr="00215B2F">
        <w:rPr>
          <w:rFonts w:ascii="Arial" w:hAnsi="Arial" w:cs="Arial"/>
          <w:sz w:val="20"/>
          <w:szCs w:val="20"/>
        </w:rPr>
        <w:t>nadzornega sveta</w:t>
      </w:r>
      <w:r w:rsidR="004A62E4" w:rsidRPr="00215B2F">
        <w:rPr>
          <w:rFonts w:ascii="Arial" w:eastAsia="Arial" w:hAnsi="Arial" w:cs="Arial"/>
          <w:sz w:val="20"/>
          <w:szCs w:val="20"/>
        </w:rPr>
        <w:t xml:space="preserve"> </w:t>
      </w:r>
      <w:r w:rsidRPr="00215B2F">
        <w:rPr>
          <w:rFonts w:ascii="Arial" w:eastAsia="Arial" w:hAnsi="Arial" w:cs="Arial"/>
          <w:sz w:val="20"/>
          <w:szCs w:val="20"/>
        </w:rPr>
        <w:t>skupno več kakor dva meseca, in zato nadzorni svet banke nima zadostnega števila članov, mora skupščina, takoj ko je mogoče, imenovati novega člana nadzornega sveta (v nadaljnjem besedilu</w:t>
      </w:r>
      <w:r w:rsidR="004A62E4" w:rsidRPr="00215B2F">
        <w:rPr>
          <w:rFonts w:ascii="Arial" w:eastAsia="Arial" w:hAnsi="Arial" w:cs="Arial"/>
          <w:sz w:val="20"/>
          <w:szCs w:val="20"/>
        </w:rPr>
        <w:t>:</w:t>
      </w:r>
      <w:r w:rsidRPr="00215B2F">
        <w:rPr>
          <w:rFonts w:ascii="Arial" w:eastAsia="Arial" w:hAnsi="Arial" w:cs="Arial"/>
          <w:sz w:val="20"/>
          <w:szCs w:val="20"/>
        </w:rPr>
        <w:t xml:space="preserve"> nadomestni član nadzornega sveta). </w:t>
      </w:r>
      <w:r w:rsidRPr="00215B2F">
        <w:rPr>
          <w:rFonts w:ascii="Arial" w:eastAsia="Arial" w:hAnsi="Arial" w:cs="Arial"/>
          <w:sz w:val="20"/>
          <w:szCs w:val="20"/>
        </w:rPr>
        <w:lastRenderedPageBreak/>
        <w:t xml:space="preserve">Pri imenovanju nadomestnega člana nadzornega sveta mora skupščina upoštevati pogoje iz </w:t>
      </w:r>
      <w:r w:rsidR="00746E88" w:rsidRPr="00215B2F">
        <w:rPr>
          <w:rFonts w:ascii="Arial" w:eastAsia="Arial" w:hAnsi="Arial" w:cs="Arial"/>
          <w:sz w:val="20"/>
          <w:szCs w:val="20"/>
        </w:rPr>
        <w:t>prejšnjega člena</w:t>
      </w:r>
      <w:r w:rsidRPr="00215B2F">
        <w:rPr>
          <w:rFonts w:ascii="Arial" w:eastAsia="Arial" w:hAnsi="Arial" w:cs="Arial"/>
          <w:sz w:val="20"/>
          <w:szCs w:val="20"/>
        </w:rPr>
        <w:t>.</w:t>
      </w:r>
    </w:p>
    <w:p w14:paraId="10DEEA45"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5A596FF" w14:textId="56691AF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Ne glede na prvi </w:t>
      </w:r>
      <w:r w:rsidR="00746E88" w:rsidRPr="00215B2F">
        <w:rPr>
          <w:rFonts w:ascii="Arial" w:eastAsia="Arial" w:hAnsi="Arial" w:cs="Arial"/>
          <w:sz w:val="20"/>
          <w:szCs w:val="20"/>
        </w:rPr>
        <w:t>odstavek tega člena</w:t>
      </w:r>
      <w:r w:rsidRPr="00215B2F">
        <w:rPr>
          <w:rFonts w:ascii="Arial" w:eastAsia="Arial" w:hAnsi="Arial" w:cs="Arial"/>
          <w:sz w:val="20"/>
          <w:szCs w:val="20"/>
        </w:rPr>
        <w:t xml:space="preserve"> lahko nadomestni član nadzornega sveta opravlja funkcijo člana </w:t>
      </w:r>
      <w:r w:rsidR="00354135" w:rsidRPr="00215B2F">
        <w:rPr>
          <w:rFonts w:ascii="Arial" w:hAnsi="Arial" w:cs="Arial"/>
          <w:sz w:val="20"/>
          <w:szCs w:val="20"/>
        </w:rPr>
        <w:t>nadzornega sveta</w:t>
      </w:r>
      <w:r w:rsidRPr="00215B2F">
        <w:rPr>
          <w:rFonts w:ascii="Arial" w:eastAsia="Arial" w:hAnsi="Arial" w:cs="Arial"/>
          <w:sz w:val="20"/>
          <w:szCs w:val="20"/>
        </w:rPr>
        <w:t xml:space="preserve"> brez dovoljenja za opravljanje funkcije člana </w:t>
      </w:r>
      <w:r w:rsidR="00354135" w:rsidRPr="00215B2F">
        <w:rPr>
          <w:rFonts w:ascii="Arial" w:hAnsi="Arial" w:cs="Arial"/>
          <w:sz w:val="20"/>
          <w:szCs w:val="20"/>
        </w:rPr>
        <w:t>nadzornega sveta</w:t>
      </w:r>
      <w:r w:rsidRPr="00215B2F">
        <w:rPr>
          <w:rFonts w:ascii="Arial" w:eastAsia="Arial" w:hAnsi="Arial" w:cs="Arial"/>
          <w:sz w:val="20"/>
          <w:szCs w:val="20"/>
        </w:rPr>
        <w:t xml:space="preserve"> največ šest mesecev od dneva imenovanja.</w:t>
      </w:r>
    </w:p>
    <w:p w14:paraId="55CFD664"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C9E857C" w14:textId="673C3A1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Za člana </w:t>
      </w:r>
      <w:r w:rsidR="00354135" w:rsidRPr="00215B2F">
        <w:rPr>
          <w:rFonts w:ascii="Arial" w:hAnsi="Arial" w:cs="Arial"/>
          <w:sz w:val="20"/>
          <w:szCs w:val="20"/>
        </w:rPr>
        <w:t>nadzornega sveta</w:t>
      </w:r>
      <w:r w:rsidRPr="00215B2F">
        <w:rPr>
          <w:rFonts w:ascii="Arial" w:eastAsia="Arial" w:hAnsi="Arial" w:cs="Arial"/>
          <w:sz w:val="20"/>
          <w:szCs w:val="20"/>
        </w:rPr>
        <w:t xml:space="preserve">, ki ga je v skladu z 256. členom ZGD-1 imenovalo sodišče, se smiselno uporabljajo določbe četrtega do šestega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4873BF8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B86D9C9"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89" w:name="_Ref202963199"/>
      <w:r w:rsidRPr="00215B2F">
        <w:rPr>
          <w:rFonts w:ascii="Arial" w:eastAsia="Arial" w:hAnsi="Arial" w:cs="Arial"/>
          <w:b/>
          <w:bCs/>
          <w:sz w:val="20"/>
          <w:szCs w:val="20"/>
        </w:rPr>
        <w:t>člen</w:t>
      </w:r>
      <w:bookmarkEnd w:id="89"/>
    </w:p>
    <w:p w14:paraId="69F4C205" w14:textId="09DB5E75" w:rsidR="00D91782" w:rsidRPr="00215B2F" w:rsidRDefault="00D91782" w:rsidP="00FD5520">
      <w:pPr>
        <w:pStyle w:val="Slog1"/>
        <w:shd w:val="clear" w:color="auto" w:fill="FFFFFF" w:themeFill="background1"/>
        <w:rPr>
          <w:sz w:val="20"/>
          <w:szCs w:val="20"/>
        </w:rPr>
      </w:pPr>
      <w:r w:rsidRPr="00215B2F">
        <w:rPr>
          <w:sz w:val="20"/>
          <w:szCs w:val="20"/>
        </w:rPr>
        <w:t xml:space="preserve">(zahteva za izdajo dovoljenja za opravljanje funkcije člana </w:t>
      </w:r>
      <w:r w:rsidR="00354135" w:rsidRPr="00215B2F">
        <w:rPr>
          <w:sz w:val="20"/>
          <w:szCs w:val="20"/>
        </w:rPr>
        <w:t>nadzornega sveta</w:t>
      </w:r>
      <w:r w:rsidRPr="00215B2F">
        <w:rPr>
          <w:sz w:val="20"/>
          <w:szCs w:val="20"/>
        </w:rPr>
        <w:t>)</w:t>
      </w:r>
    </w:p>
    <w:p w14:paraId="6DC4172D" w14:textId="77777777" w:rsidR="00D91782" w:rsidRPr="00215B2F" w:rsidRDefault="00D91782" w:rsidP="00FD5520">
      <w:pPr>
        <w:pStyle w:val="Slog1"/>
        <w:shd w:val="clear" w:color="auto" w:fill="FFFFFF" w:themeFill="background1"/>
        <w:jc w:val="both"/>
        <w:rPr>
          <w:sz w:val="20"/>
          <w:szCs w:val="20"/>
        </w:rPr>
      </w:pPr>
    </w:p>
    <w:p w14:paraId="16B9FFA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Zahtevo za izdajo dovoljenja za opravljanje funkcije člana nadzornega sveta v imenu in za račun kandidata vloži banka. Zahtevi za izdajo dovoljenja za opravljanje funkcije člana nadzornega sveta mora banka priložiti: </w:t>
      </w:r>
    </w:p>
    <w:p w14:paraId="4C48605B"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89074B7" w14:textId="6294A896" w:rsidR="00D91782" w:rsidRPr="00215B2F" w:rsidRDefault="00D91782">
      <w:pPr>
        <w:pStyle w:val="tevilnatoka"/>
        <w:numPr>
          <w:ilvl w:val="0"/>
          <w:numId w:val="61"/>
        </w:numPr>
        <w:shd w:val="clear" w:color="auto" w:fill="FFFFFF" w:themeFill="background1"/>
        <w:tabs>
          <w:tab w:val="clear" w:pos="425"/>
        </w:tabs>
        <w:rPr>
          <w:rFonts w:cs="Arial"/>
          <w:bCs/>
          <w:sz w:val="20"/>
          <w:szCs w:val="20"/>
        </w:rPr>
      </w:pPr>
      <w:r w:rsidRPr="00215B2F">
        <w:rPr>
          <w:rFonts w:eastAsia="Arial" w:cs="Arial"/>
          <w:sz w:val="20"/>
          <w:szCs w:val="20"/>
        </w:rPr>
        <w:t xml:space="preserve">osebne podatke kandidata, vključno z: </w:t>
      </w:r>
    </w:p>
    <w:p w14:paraId="56C9D937" w14:textId="77777777" w:rsidR="009400AE" w:rsidRPr="00215B2F" w:rsidRDefault="00D91782" w:rsidP="009400AE">
      <w:pPr>
        <w:pStyle w:val="Odstavekseznama"/>
        <w:numPr>
          <w:ilvl w:val="0"/>
          <w:numId w:val="40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izpolnjenim vprašalnikom za ocenjevanje sposobnosti in primernosti, ki ga določi Banka Slovenije s podzakonskim aktom;</w:t>
      </w:r>
    </w:p>
    <w:p w14:paraId="18DDD6EE" w14:textId="77777777" w:rsidR="009400AE" w:rsidRPr="00215B2F" w:rsidRDefault="00D91782" w:rsidP="009400AE">
      <w:pPr>
        <w:pStyle w:val="Odstavekseznama"/>
        <w:numPr>
          <w:ilvl w:val="0"/>
          <w:numId w:val="40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kopijo osebnega dokumenta;</w:t>
      </w:r>
    </w:p>
    <w:p w14:paraId="52451B82" w14:textId="77777777" w:rsidR="009400AE" w:rsidRPr="00215B2F" w:rsidRDefault="00D91782" w:rsidP="009400AE">
      <w:pPr>
        <w:pStyle w:val="Odstavekseznama"/>
        <w:numPr>
          <w:ilvl w:val="0"/>
          <w:numId w:val="40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življenjepisom;</w:t>
      </w:r>
    </w:p>
    <w:p w14:paraId="35DB3DA2" w14:textId="77777777" w:rsidR="009400AE" w:rsidRPr="00215B2F" w:rsidRDefault="00D91782" w:rsidP="009400AE">
      <w:pPr>
        <w:pStyle w:val="Odstavekseznama"/>
        <w:numPr>
          <w:ilvl w:val="0"/>
          <w:numId w:val="40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kopijo dokazil o pridobljeni strokovni izobrazbi;</w:t>
      </w:r>
    </w:p>
    <w:p w14:paraId="42762685" w14:textId="77777777" w:rsidR="009400AE" w:rsidRPr="00215B2F" w:rsidRDefault="00D91782" w:rsidP="009400AE">
      <w:pPr>
        <w:pStyle w:val="Odstavekseznama"/>
        <w:numPr>
          <w:ilvl w:val="0"/>
          <w:numId w:val="40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sklepom </w:t>
      </w:r>
      <w:r w:rsidR="001011F5" w:rsidRPr="00215B2F">
        <w:rPr>
          <w:rFonts w:ascii="Arial" w:eastAsia="Arial" w:hAnsi="Arial" w:cs="Arial"/>
          <w:sz w:val="20"/>
          <w:szCs w:val="20"/>
        </w:rPr>
        <w:t>skupščine</w:t>
      </w:r>
      <w:r w:rsidRPr="00215B2F">
        <w:rPr>
          <w:rFonts w:ascii="Arial" w:eastAsia="Arial" w:hAnsi="Arial" w:cs="Arial"/>
          <w:sz w:val="20"/>
          <w:szCs w:val="20"/>
        </w:rPr>
        <w:t xml:space="preserve"> banke o imenovanju člana nadzornega sveta;</w:t>
      </w:r>
    </w:p>
    <w:p w14:paraId="0A707D6F" w14:textId="77777777" w:rsidR="009400AE" w:rsidRPr="00215B2F" w:rsidRDefault="00D91782" w:rsidP="009400AE">
      <w:pPr>
        <w:pStyle w:val="Odstavekseznama"/>
        <w:numPr>
          <w:ilvl w:val="0"/>
          <w:numId w:val="40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izpisom iz sistem</w:t>
      </w:r>
      <w:r w:rsidR="00834C3A" w:rsidRPr="00215B2F">
        <w:rPr>
          <w:rFonts w:ascii="Arial" w:eastAsia="Arial" w:hAnsi="Arial" w:cs="Arial"/>
          <w:sz w:val="20"/>
          <w:szCs w:val="20"/>
        </w:rPr>
        <w:t>a</w:t>
      </w:r>
      <w:r w:rsidRPr="00215B2F">
        <w:rPr>
          <w:rFonts w:ascii="Arial" w:eastAsia="Arial" w:hAnsi="Arial" w:cs="Arial"/>
          <w:sz w:val="20"/>
          <w:szCs w:val="20"/>
        </w:rPr>
        <w:t xml:space="preserve"> izmenjave informacij o boniteti strank (SISBON) ali druge ustrezne zbirke osebnih podatkov iz tujine, če ta obstaja;</w:t>
      </w:r>
    </w:p>
    <w:p w14:paraId="7A64CABC" w14:textId="77777777" w:rsidR="009400AE" w:rsidRPr="00215B2F" w:rsidRDefault="00E95F30" w:rsidP="009400AE">
      <w:pPr>
        <w:pStyle w:val="Odstavekseznama"/>
        <w:numPr>
          <w:ilvl w:val="0"/>
          <w:numId w:val="40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izpis iz kazenske evidence ali druge ustrezne zbirke osebnih podatkov iz tujine, če ta obstaja</w:t>
      </w:r>
    </w:p>
    <w:p w14:paraId="71420424" w14:textId="57D0A55D" w:rsidR="00E95F30" w:rsidRPr="00215B2F" w:rsidRDefault="00E95F30" w:rsidP="009400AE">
      <w:pPr>
        <w:pStyle w:val="Odstavekseznama"/>
        <w:numPr>
          <w:ilvl w:val="0"/>
          <w:numId w:val="40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dokazilo, da zoper to osebo ni bila vložena pravnomočna obtožnica zaradi kaznivega dejanja, ki se preganja po uradni dolžnosti in za katerega se lahko izreče kazen zapora eno leto ali več;</w:t>
      </w:r>
    </w:p>
    <w:p w14:paraId="200C8932" w14:textId="63ACB624" w:rsidR="00895214" w:rsidRPr="00215B2F" w:rsidRDefault="00D91782" w:rsidP="006455BC">
      <w:pPr>
        <w:pStyle w:val="tevilnatoka"/>
        <w:rPr>
          <w:rFonts w:cs="Arial"/>
          <w:bCs/>
          <w:sz w:val="20"/>
          <w:szCs w:val="20"/>
        </w:rPr>
      </w:pPr>
      <w:r w:rsidRPr="00215B2F">
        <w:rPr>
          <w:rFonts w:eastAsia="Arial" w:cs="Arial"/>
          <w:sz w:val="20"/>
          <w:szCs w:val="20"/>
        </w:rPr>
        <w:t xml:space="preserve">dokaze o izpolnjevanju pogojev iz </w:t>
      </w:r>
      <w:r w:rsidR="00BB458B" w:rsidRPr="00215B2F">
        <w:rPr>
          <w:rFonts w:eastAsia="Arial" w:cs="Arial"/>
          <w:sz w:val="20"/>
          <w:szCs w:val="20"/>
        </w:rPr>
        <w:t>62</w:t>
      </w:r>
      <w:r w:rsidRPr="00215B2F">
        <w:rPr>
          <w:rFonts w:eastAsia="Arial" w:cs="Arial"/>
          <w:sz w:val="20"/>
          <w:szCs w:val="20"/>
        </w:rPr>
        <w:t xml:space="preserve">. </w:t>
      </w:r>
      <w:r w:rsidR="001F2C7A" w:rsidRPr="00215B2F">
        <w:rPr>
          <w:rFonts w:eastAsia="Arial" w:cs="Arial"/>
          <w:sz w:val="20"/>
          <w:szCs w:val="20"/>
        </w:rPr>
        <w:t>člena tega zakona</w:t>
      </w:r>
    </w:p>
    <w:p w14:paraId="49C99323" w14:textId="6D9135D8" w:rsidR="00895214" w:rsidRPr="00215B2F" w:rsidRDefault="00D91782" w:rsidP="006455BC">
      <w:pPr>
        <w:pStyle w:val="tevilnatoka"/>
        <w:rPr>
          <w:rFonts w:cs="Arial"/>
          <w:bCs/>
          <w:sz w:val="20"/>
          <w:szCs w:val="20"/>
        </w:rPr>
      </w:pPr>
      <w:r w:rsidRPr="00215B2F">
        <w:rPr>
          <w:rFonts w:eastAsia="Arial" w:cs="Arial"/>
          <w:sz w:val="20"/>
          <w:szCs w:val="20"/>
        </w:rPr>
        <w:t>strategijo kandidata glede nadziranja poslov banke in</w:t>
      </w:r>
    </w:p>
    <w:p w14:paraId="74661D04" w14:textId="056A9EE7" w:rsidR="00D91782" w:rsidRPr="00215B2F" w:rsidRDefault="00D91782" w:rsidP="006455BC">
      <w:pPr>
        <w:pStyle w:val="tevilnatoka"/>
        <w:rPr>
          <w:rFonts w:cs="Arial"/>
          <w:bCs/>
          <w:sz w:val="20"/>
          <w:szCs w:val="20"/>
        </w:rPr>
      </w:pPr>
      <w:r w:rsidRPr="00215B2F">
        <w:rPr>
          <w:rFonts w:eastAsia="Arial" w:cs="Arial"/>
          <w:sz w:val="20"/>
          <w:szCs w:val="20"/>
        </w:rPr>
        <w:t>druge podatke, ki jih Banka Slovenije potrebuje za ocen</w:t>
      </w:r>
      <w:r w:rsidR="003339AE" w:rsidRPr="00215B2F">
        <w:rPr>
          <w:rFonts w:eastAsia="Arial" w:cs="Arial"/>
          <w:sz w:val="20"/>
          <w:szCs w:val="20"/>
        </w:rPr>
        <w:t>o</w:t>
      </w:r>
      <w:r w:rsidRPr="00215B2F">
        <w:rPr>
          <w:rFonts w:eastAsia="Arial" w:cs="Arial"/>
          <w:sz w:val="20"/>
          <w:szCs w:val="20"/>
        </w:rPr>
        <w:t xml:space="preserve"> primernosti kandidata in jih opredeli v podzakonskem aktu iz </w:t>
      </w:r>
      <w:r w:rsidR="00BB458B" w:rsidRPr="00215B2F">
        <w:rPr>
          <w:rFonts w:eastAsia="Arial" w:cs="Arial"/>
          <w:sz w:val="20"/>
          <w:szCs w:val="20"/>
        </w:rPr>
        <w:t>78</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79987A5C"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C741CF7" w14:textId="06E7F2D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Zahteva za izdajo dovoljenja za opravljanje funkcije člana </w:t>
      </w:r>
      <w:r w:rsidR="00354135" w:rsidRPr="00215B2F">
        <w:rPr>
          <w:rFonts w:ascii="Arial" w:hAnsi="Arial" w:cs="Arial"/>
          <w:sz w:val="20"/>
          <w:szCs w:val="20"/>
        </w:rPr>
        <w:t>nadzornega sveta</w:t>
      </w:r>
      <w:r w:rsidRPr="00215B2F">
        <w:rPr>
          <w:rFonts w:ascii="Arial" w:eastAsia="Arial" w:hAnsi="Arial" w:cs="Arial"/>
          <w:sz w:val="20"/>
          <w:szCs w:val="20"/>
        </w:rPr>
        <w:t xml:space="preserve"> se vloži pri Banki Slovenije. Kadar pristojnosti in naloge nadzora iz točke (e) prvega odstavka 4. člena Uredbe 1024/2013/EU v zvezi s to banko izvaja Evropska centralna banka, se postopek nadaljuje v skladu </w:t>
      </w:r>
      <w:r w:rsidR="00091BC8" w:rsidRPr="00215B2F">
        <w:rPr>
          <w:rFonts w:ascii="Arial" w:eastAsia="Arial" w:hAnsi="Arial" w:cs="Arial"/>
          <w:sz w:val="20"/>
          <w:szCs w:val="20"/>
        </w:rPr>
        <w:t xml:space="preserve"> z navedeno uredbo</w:t>
      </w:r>
      <w:r w:rsidRPr="00215B2F">
        <w:rPr>
          <w:rFonts w:ascii="Arial" w:eastAsia="Arial" w:hAnsi="Arial" w:cs="Arial"/>
          <w:sz w:val="20"/>
          <w:szCs w:val="20"/>
        </w:rPr>
        <w:t>.</w:t>
      </w:r>
    </w:p>
    <w:p w14:paraId="3E91961B"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D87E29B" w14:textId="5713717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w:t>
      </w:r>
      <w:r w:rsidR="00E95F30" w:rsidRPr="00215B2F">
        <w:rPr>
          <w:rFonts w:ascii="Arial" w:eastAsia="Arial" w:hAnsi="Arial" w:cs="Arial"/>
          <w:sz w:val="20"/>
          <w:szCs w:val="20"/>
        </w:rPr>
        <w:t xml:space="preserve">Banka Slovenije lahko po uradni dolžnosti pridobi informacije glede izpolnjevanja pogojev za opravljanje funkcije člana uprave neposredno od drugih pristojnih organov, nadzornih organov, organov pristojnih za nadzor na podlagi Direktive 2015/849/EU in drugih organov, ki bi upoštevaje preteklo delovanje kandidata lahko razpolagali z informacijami pomembni za oceno primernosti ter vpogleda oziroma zahteva izpis ali predložitev izpisa iz kazenske evidence oziroma primerljive evidence v tujini, evidence o prekrških, sistema izmenjave informacij Evropskega bančnega organa na podlagi Uredbe 1093/2010/EU, osrednje podatkovne zbirke na področju pranja denarja in financiranja terorizma iz Uredbe 2024/1620/EU ali druge primerljive zbirke. </w:t>
      </w:r>
    </w:p>
    <w:p w14:paraId="1B11D8AB"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10D3AF6" w14:textId="665F0B8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lahko na podlagi zahteve za izdajo dovoljenja za opravljanje funkcije člana </w:t>
      </w:r>
      <w:r w:rsidR="00354135" w:rsidRPr="00215B2F">
        <w:rPr>
          <w:rFonts w:ascii="Arial" w:hAnsi="Arial" w:cs="Arial"/>
          <w:sz w:val="20"/>
          <w:szCs w:val="20"/>
        </w:rPr>
        <w:t>nadzornega sveta</w:t>
      </w:r>
      <w:r w:rsidRPr="00215B2F">
        <w:rPr>
          <w:rFonts w:ascii="Arial" w:eastAsia="Arial" w:hAnsi="Arial" w:cs="Arial"/>
          <w:sz w:val="20"/>
          <w:szCs w:val="20"/>
        </w:rPr>
        <w:t xml:space="preserve"> od banke in</w:t>
      </w:r>
      <w:r w:rsidR="00BE60F5" w:rsidRPr="00215B2F">
        <w:rPr>
          <w:rFonts w:ascii="Arial" w:eastAsia="Arial" w:hAnsi="Arial" w:cs="Arial"/>
          <w:sz w:val="20"/>
          <w:szCs w:val="20"/>
        </w:rPr>
        <w:t xml:space="preserve">, </w:t>
      </w:r>
      <w:r w:rsidRPr="00215B2F">
        <w:rPr>
          <w:rFonts w:ascii="Arial" w:eastAsia="Arial" w:hAnsi="Arial" w:cs="Arial"/>
          <w:sz w:val="20"/>
          <w:szCs w:val="20"/>
        </w:rPr>
        <w:t>kadar je to ustrezno</w:t>
      </w:r>
      <w:r w:rsidR="00BE60F5" w:rsidRPr="00215B2F">
        <w:rPr>
          <w:rFonts w:ascii="Arial" w:eastAsia="Arial" w:hAnsi="Arial" w:cs="Arial"/>
          <w:sz w:val="20"/>
          <w:szCs w:val="20"/>
        </w:rPr>
        <w:t xml:space="preserve">, </w:t>
      </w:r>
      <w:r w:rsidRPr="00215B2F">
        <w:rPr>
          <w:rFonts w:ascii="Arial" w:eastAsia="Arial" w:hAnsi="Arial" w:cs="Arial"/>
          <w:sz w:val="20"/>
          <w:szCs w:val="20"/>
        </w:rPr>
        <w:t>organa, pristojnega za izbor in imenovanje predstavnika delavcev v nadzornem svetu, zahteva, da Banki Slovenije v določenem roku predloži oceno o primernosti kandidata.</w:t>
      </w:r>
    </w:p>
    <w:p w14:paraId="339BC35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9A2920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90" w:name="_Ref203472320"/>
      <w:r w:rsidRPr="00215B2F">
        <w:rPr>
          <w:rFonts w:ascii="Arial" w:eastAsia="Arial" w:hAnsi="Arial" w:cs="Arial"/>
          <w:b/>
          <w:bCs/>
          <w:sz w:val="20"/>
          <w:szCs w:val="20"/>
        </w:rPr>
        <w:t>člen</w:t>
      </w:r>
      <w:bookmarkEnd w:id="90"/>
    </w:p>
    <w:p w14:paraId="5ED821E5" w14:textId="66B31B05" w:rsidR="00D91782" w:rsidRPr="00215B2F" w:rsidRDefault="00D91782" w:rsidP="00FD5520">
      <w:pPr>
        <w:pStyle w:val="Slog1"/>
        <w:shd w:val="clear" w:color="auto" w:fill="FFFFFF" w:themeFill="background1"/>
        <w:rPr>
          <w:sz w:val="20"/>
          <w:szCs w:val="20"/>
        </w:rPr>
      </w:pPr>
      <w:r w:rsidRPr="00215B2F">
        <w:rPr>
          <w:sz w:val="20"/>
          <w:szCs w:val="20"/>
        </w:rPr>
        <w:t>(ustni razgovor</w:t>
      </w:r>
      <w:r w:rsidR="009400AE" w:rsidRPr="00215B2F">
        <w:rPr>
          <w:sz w:val="20"/>
          <w:szCs w:val="20"/>
        </w:rPr>
        <w:t xml:space="preserve"> s kandidatom za člana nadzornega sveta</w:t>
      </w:r>
      <w:r w:rsidRPr="00215B2F">
        <w:rPr>
          <w:sz w:val="20"/>
          <w:szCs w:val="20"/>
        </w:rPr>
        <w:t>)</w:t>
      </w:r>
    </w:p>
    <w:p w14:paraId="24992722" w14:textId="77777777" w:rsidR="00D91782" w:rsidRPr="00215B2F" w:rsidRDefault="00D91782" w:rsidP="00FD5520">
      <w:pPr>
        <w:pStyle w:val="Slog1"/>
        <w:shd w:val="clear" w:color="auto" w:fill="FFFFFF" w:themeFill="background1"/>
        <w:jc w:val="both"/>
        <w:rPr>
          <w:sz w:val="20"/>
          <w:szCs w:val="20"/>
        </w:rPr>
      </w:pPr>
    </w:p>
    <w:p w14:paraId="227F0E2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lahko odloči, da se v postopku izdaje dovoljenja za opravljanje funkcije člana nadzornega sveta opravi ustni razgovor, na katerem je kandidat za člana nadzornega sveta povabljen, da podrobneje predstavi okoliščine, ki so po mnenju Banke Slovenije pomembne za odločitev o izdaji dovoljenja.</w:t>
      </w:r>
    </w:p>
    <w:p w14:paraId="39218129"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F4DEC77" w14:textId="367604E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Za ustni razgovor iz prejšnjega odstavka se smiselno uporablja </w:t>
      </w:r>
      <w:r w:rsidR="00BB458B" w:rsidRPr="00215B2F">
        <w:rPr>
          <w:rFonts w:ascii="Arial" w:eastAsia="Arial" w:hAnsi="Arial" w:cs="Arial"/>
          <w:sz w:val="20"/>
          <w:szCs w:val="20"/>
        </w:rPr>
        <w:t>50</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w:t>
      </w:r>
    </w:p>
    <w:p w14:paraId="736A2AF4"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8512A9B" w14:textId="77777777" w:rsidR="00D91CBF" w:rsidRPr="00215B2F" w:rsidRDefault="00D91CBF"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91" w:name="_Ref203472325"/>
      <w:r w:rsidRPr="00215B2F">
        <w:rPr>
          <w:rFonts w:ascii="Arial" w:eastAsia="Arial" w:hAnsi="Arial" w:cs="Arial"/>
          <w:b/>
          <w:bCs/>
          <w:sz w:val="20"/>
          <w:szCs w:val="20"/>
        </w:rPr>
        <w:t>člen</w:t>
      </w:r>
      <w:bookmarkEnd w:id="91"/>
    </w:p>
    <w:p w14:paraId="15EF1CCE"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(odločanje o zahtevi za opravljanje funkcije člana nadzornega sveta)</w:t>
      </w:r>
    </w:p>
    <w:p w14:paraId="4C14843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130C19D" w14:textId="21FBF45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na podlagi zahteve in dokumentacije ter predstavitve kandidata za člana nadzornega sveta oceni izpolnjevanje pogojev iz prvega odstavka </w:t>
      </w:r>
      <w:r w:rsidR="003C5D14" w:rsidRPr="00215B2F">
        <w:rPr>
          <w:rFonts w:ascii="Arial" w:eastAsia="Arial" w:hAnsi="Arial" w:cs="Arial"/>
          <w:sz w:val="20"/>
          <w:szCs w:val="20"/>
        </w:rPr>
        <w:t>41</w:t>
      </w:r>
      <w:r w:rsidRPr="00215B2F">
        <w:rPr>
          <w:rFonts w:ascii="Arial" w:eastAsia="Arial" w:hAnsi="Arial" w:cs="Arial"/>
          <w:sz w:val="20"/>
          <w:szCs w:val="20"/>
        </w:rPr>
        <w:t xml:space="preserve">. člena, prvega odstavka </w:t>
      </w:r>
      <w:r w:rsidR="00BB458B" w:rsidRPr="00215B2F">
        <w:rPr>
          <w:rFonts w:ascii="Arial" w:eastAsia="Arial" w:hAnsi="Arial" w:cs="Arial"/>
          <w:sz w:val="20"/>
          <w:szCs w:val="20"/>
        </w:rPr>
        <w:t>45</w:t>
      </w:r>
      <w:r w:rsidRPr="00215B2F">
        <w:rPr>
          <w:rFonts w:ascii="Arial" w:eastAsia="Arial" w:hAnsi="Arial" w:cs="Arial"/>
          <w:sz w:val="20"/>
          <w:szCs w:val="20"/>
        </w:rPr>
        <w:t xml:space="preserve">. člena in </w:t>
      </w:r>
      <w:r w:rsidR="00BB458B" w:rsidRPr="00215B2F">
        <w:rPr>
          <w:rFonts w:ascii="Arial" w:eastAsia="Arial" w:hAnsi="Arial" w:cs="Arial"/>
          <w:sz w:val="20"/>
          <w:szCs w:val="20"/>
        </w:rPr>
        <w:t>62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49CDDAF0"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6804F0C" w14:textId="787C0B6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podatke, ki jih potrebuje v postopku odločanja o izdaji dovoljenja za opravljanje funkcije člana nadzornega sveta, po uradni dolžnosti brezplačno pridobi od pristojnih državnih organov oziroma nosilcev javnih pooblastil. Za presojo ugleda in izkušenj posameznega kandidata Banka Slovenije pridobi tudi informacije, ki jih obdeluje Evropski bančni organ glede morebitnih ukrepov in sankcij, ki so jih izrekli drugi pristojni organi.</w:t>
      </w:r>
    </w:p>
    <w:p w14:paraId="39973293"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3653CE0" w14:textId="1B28030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se o zahtevi za izdajo dovoljenja za opravljanje funkcije člana </w:t>
      </w:r>
      <w:r w:rsidR="00354135" w:rsidRPr="00215B2F">
        <w:rPr>
          <w:rFonts w:ascii="Arial" w:hAnsi="Arial" w:cs="Arial"/>
          <w:sz w:val="20"/>
          <w:szCs w:val="20"/>
        </w:rPr>
        <w:t>nadzornega sveta</w:t>
      </w:r>
      <w:r w:rsidRPr="00215B2F">
        <w:rPr>
          <w:rFonts w:ascii="Arial" w:eastAsia="Arial" w:hAnsi="Arial" w:cs="Arial"/>
          <w:sz w:val="20"/>
          <w:szCs w:val="20"/>
        </w:rPr>
        <w:t xml:space="preserve">, ki je v skladu s tem zakonom vključena v nadzor </w:t>
      </w:r>
      <w:r w:rsidR="008A5AA7" w:rsidRPr="00215B2F">
        <w:rPr>
          <w:rFonts w:ascii="Arial" w:eastAsia="Arial" w:hAnsi="Arial" w:cs="Arial"/>
          <w:sz w:val="20"/>
          <w:szCs w:val="20"/>
        </w:rPr>
        <w:t xml:space="preserve">nad </w:t>
      </w:r>
      <w:r w:rsidRPr="00215B2F">
        <w:rPr>
          <w:rFonts w:ascii="Arial" w:eastAsia="Arial" w:hAnsi="Arial" w:cs="Arial"/>
          <w:sz w:val="20"/>
          <w:szCs w:val="20"/>
        </w:rPr>
        <w:t>bank</w:t>
      </w:r>
      <w:r w:rsidR="008A5AA7" w:rsidRPr="00215B2F">
        <w:rPr>
          <w:rFonts w:ascii="Arial" w:eastAsia="Arial" w:hAnsi="Arial" w:cs="Arial"/>
          <w:sz w:val="20"/>
          <w:szCs w:val="20"/>
        </w:rPr>
        <w:t>o</w:t>
      </w:r>
      <w:r w:rsidRPr="00215B2F">
        <w:rPr>
          <w:rFonts w:ascii="Arial" w:eastAsia="Arial" w:hAnsi="Arial" w:cs="Arial"/>
          <w:sz w:val="20"/>
          <w:szCs w:val="20"/>
        </w:rPr>
        <w:t xml:space="preserve"> države članice na konsolidirani podlagi, posvetuje s pristojnimi organi držav članic, ki sodelujejo pri nadzoru na konsolidirani podlagi, če odločitev o zahtevi za izdajo dovoljenja vpliva ali bi lahko vplivala na izvajanje nalog pristojnega organa druge države članice v zvezi z banko države članice.</w:t>
      </w:r>
    </w:p>
    <w:p w14:paraId="05FD171F"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DDD3C15" w14:textId="2475857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lahko pri odločanju o zahtevi za opravljanje funkcije člana </w:t>
      </w:r>
      <w:r w:rsidR="00354135" w:rsidRPr="00215B2F">
        <w:rPr>
          <w:rFonts w:ascii="Arial" w:hAnsi="Arial" w:cs="Arial"/>
          <w:sz w:val="20"/>
          <w:szCs w:val="20"/>
        </w:rPr>
        <w:t>nadzornega sveta</w:t>
      </w:r>
      <w:r w:rsidRPr="00215B2F">
        <w:rPr>
          <w:rFonts w:ascii="Arial" w:eastAsia="Arial" w:hAnsi="Arial" w:cs="Arial"/>
          <w:sz w:val="20"/>
          <w:szCs w:val="20"/>
        </w:rPr>
        <w:t>:</w:t>
      </w:r>
    </w:p>
    <w:p w14:paraId="208F005F" w14:textId="77777777" w:rsidR="003E05E7" w:rsidRPr="00215B2F" w:rsidRDefault="003E05E7" w:rsidP="00FD5520">
      <w:pPr>
        <w:shd w:val="clear" w:color="auto" w:fill="FFFFFF" w:themeFill="background1"/>
        <w:spacing w:after="0" w:line="240" w:lineRule="auto"/>
        <w:jc w:val="both"/>
        <w:rPr>
          <w:rFonts w:ascii="Arial" w:eastAsia="Arial" w:hAnsi="Arial" w:cs="Arial"/>
          <w:sz w:val="20"/>
          <w:szCs w:val="20"/>
        </w:rPr>
      </w:pPr>
    </w:p>
    <w:p w14:paraId="3D279F0F" w14:textId="6A737864"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upošteva tudi informacije, ki jih je pridobila kot pristojni nadzorni organ na podlagi zakona, ki ureja preprečevanje pranja denarja in financiranje terorizma</w:t>
      </w:r>
      <w:r w:rsidR="00895214" w:rsidRPr="00215B2F">
        <w:rPr>
          <w:rFonts w:ascii="Arial" w:eastAsia="Arial" w:hAnsi="Arial" w:cs="Arial"/>
          <w:sz w:val="20"/>
          <w:szCs w:val="20"/>
        </w:rPr>
        <w:t>,</w:t>
      </w:r>
    </w:p>
    <w:p w14:paraId="1B652F28" w14:textId="3B273CE7"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o kandidatu za člana nadzornega sveta pridobi informacije od Urada </w:t>
      </w:r>
      <w:r w:rsidR="000063BE" w:rsidRPr="00215B2F">
        <w:rPr>
          <w:rFonts w:ascii="Arial" w:eastAsia="Arial" w:hAnsi="Arial" w:cs="Arial"/>
          <w:sz w:val="20"/>
          <w:szCs w:val="20"/>
        </w:rPr>
        <w:t xml:space="preserve">Republike Slovenije </w:t>
      </w:r>
      <w:r w:rsidRPr="00215B2F">
        <w:rPr>
          <w:rFonts w:ascii="Arial" w:eastAsia="Arial" w:hAnsi="Arial" w:cs="Arial"/>
          <w:sz w:val="20"/>
          <w:szCs w:val="20"/>
        </w:rPr>
        <w:t>za preprečevanje pranja denarja oziroma pristojnega organa na podlagi Direktive 2015/849/EU</w:t>
      </w:r>
      <w:r w:rsidR="00895214" w:rsidRPr="00215B2F">
        <w:rPr>
          <w:rFonts w:ascii="Arial" w:eastAsia="Arial" w:hAnsi="Arial" w:cs="Arial"/>
          <w:sz w:val="20"/>
          <w:szCs w:val="20"/>
        </w:rPr>
        <w:t xml:space="preserve"> ali</w:t>
      </w:r>
    </w:p>
    <w:p w14:paraId="3B5A84BA" w14:textId="025AC0BE"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zahteva dostop do osrednje podatkovne </w:t>
      </w:r>
      <w:r w:rsidR="008A5AA7" w:rsidRPr="00215B2F">
        <w:rPr>
          <w:rFonts w:ascii="Arial" w:eastAsia="Arial" w:hAnsi="Arial" w:cs="Arial"/>
          <w:sz w:val="20"/>
          <w:szCs w:val="20"/>
        </w:rPr>
        <w:t>zbirk</w:t>
      </w:r>
      <w:r w:rsidRPr="00215B2F">
        <w:rPr>
          <w:rFonts w:ascii="Arial" w:eastAsia="Arial" w:hAnsi="Arial" w:cs="Arial"/>
          <w:sz w:val="20"/>
          <w:szCs w:val="20"/>
        </w:rPr>
        <w:t xml:space="preserve">e na področju pranja denarja in financiranja terorizma iz Uredbe 2024/1620/EU. O dostopu do navedene </w:t>
      </w:r>
      <w:r w:rsidR="008A5AA7" w:rsidRPr="00215B2F">
        <w:rPr>
          <w:rFonts w:ascii="Arial" w:eastAsia="Arial" w:hAnsi="Arial" w:cs="Arial"/>
          <w:sz w:val="20"/>
          <w:szCs w:val="20"/>
        </w:rPr>
        <w:t>podatkovne zbirk</w:t>
      </w:r>
      <w:r w:rsidRPr="00215B2F">
        <w:rPr>
          <w:rFonts w:ascii="Arial" w:eastAsia="Arial" w:hAnsi="Arial" w:cs="Arial"/>
          <w:sz w:val="20"/>
          <w:szCs w:val="20"/>
        </w:rPr>
        <w:t>e odloči Organ za preprečevanje pranja denarja in financiranje terorizma</w:t>
      </w:r>
      <w:r w:rsidR="008A5AA7" w:rsidRPr="00215B2F">
        <w:rPr>
          <w:rFonts w:ascii="Arial" w:eastAsia="Arial" w:hAnsi="Arial" w:cs="Arial"/>
          <w:sz w:val="20"/>
          <w:szCs w:val="20"/>
        </w:rPr>
        <w:t>,</w:t>
      </w:r>
      <w:r w:rsidRPr="00215B2F">
        <w:rPr>
          <w:rFonts w:ascii="Arial" w:eastAsia="Arial" w:hAnsi="Arial" w:cs="Arial"/>
          <w:sz w:val="20"/>
          <w:szCs w:val="20"/>
        </w:rPr>
        <w:t xml:space="preserve"> ustanovljen z navedeno uredbo.</w:t>
      </w:r>
    </w:p>
    <w:p w14:paraId="1AA29C7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B59C40B"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92" w:name="_Ref203472329"/>
      <w:r w:rsidRPr="00215B2F">
        <w:rPr>
          <w:rFonts w:ascii="Arial" w:eastAsia="Arial" w:hAnsi="Arial" w:cs="Arial"/>
          <w:b/>
          <w:bCs/>
          <w:sz w:val="20"/>
          <w:szCs w:val="20"/>
        </w:rPr>
        <w:t>člen</w:t>
      </w:r>
      <w:bookmarkEnd w:id="92"/>
    </w:p>
    <w:p w14:paraId="6300D8E6" w14:textId="77777777" w:rsidR="00D91782" w:rsidRPr="00215B2F" w:rsidRDefault="00D91782" w:rsidP="00FD5520">
      <w:pPr>
        <w:pStyle w:val="Slog1"/>
        <w:shd w:val="clear" w:color="auto" w:fill="FFFFFF" w:themeFill="background1"/>
        <w:rPr>
          <w:sz w:val="20"/>
          <w:szCs w:val="20"/>
        </w:rPr>
      </w:pPr>
      <w:r w:rsidRPr="00215B2F">
        <w:rPr>
          <w:sz w:val="20"/>
          <w:szCs w:val="20"/>
        </w:rPr>
        <w:t>(zavrnitev zahteve za izdajo dovoljenja za opravljanje funkcije člana nadzornega sveta)</w:t>
      </w:r>
    </w:p>
    <w:p w14:paraId="328DDEF9" w14:textId="77777777" w:rsidR="00D91782" w:rsidRPr="00215B2F" w:rsidRDefault="00D91782" w:rsidP="00FD5520">
      <w:pPr>
        <w:pStyle w:val="Slog1"/>
        <w:shd w:val="clear" w:color="auto" w:fill="FFFFFF" w:themeFill="background1"/>
        <w:jc w:val="both"/>
        <w:rPr>
          <w:sz w:val="20"/>
          <w:szCs w:val="20"/>
        </w:rPr>
      </w:pPr>
    </w:p>
    <w:p w14:paraId="07AFD41F" w14:textId="764FC7C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zavrne zahtevo za izdajo dovoljenja za opravljanje funkcije člana nadzornega sveta, če kandidat ne izpolnjuje pogojev za imenovanje za člana nadzornega sveta iz </w:t>
      </w:r>
      <w:r w:rsidR="00BB458B" w:rsidRPr="00215B2F">
        <w:rPr>
          <w:rFonts w:ascii="Arial" w:eastAsia="Arial" w:hAnsi="Arial" w:cs="Arial"/>
          <w:sz w:val="20"/>
          <w:szCs w:val="20"/>
        </w:rPr>
        <w:t>62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4D66340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F695EAF" w14:textId="679CC1A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Če pri kandidatu za člana v času odločanja o izdaji dovoljenja za opravljanje funkcije člana nadzornega sveta niso podani razlogi za zavrnitev zahteve iz prejšnjega odstavka, </w:t>
      </w:r>
      <w:r w:rsidR="00102523" w:rsidRPr="00215B2F">
        <w:rPr>
          <w:rFonts w:ascii="Arial" w:eastAsia="Arial" w:hAnsi="Arial" w:cs="Arial"/>
          <w:sz w:val="20"/>
          <w:szCs w:val="20"/>
        </w:rPr>
        <w:t>obstajajo pa razlogi za nezdružljivost</w:t>
      </w:r>
      <w:r w:rsidRPr="00215B2F">
        <w:rPr>
          <w:rFonts w:ascii="Arial" w:eastAsia="Arial" w:hAnsi="Arial" w:cs="Arial"/>
          <w:sz w:val="20"/>
          <w:szCs w:val="20"/>
        </w:rPr>
        <w:t xml:space="preserve"> </w:t>
      </w:r>
      <w:r w:rsidR="00102523" w:rsidRPr="00215B2F">
        <w:rPr>
          <w:rFonts w:ascii="Arial" w:eastAsia="Arial" w:hAnsi="Arial" w:cs="Arial"/>
          <w:sz w:val="20"/>
          <w:szCs w:val="20"/>
        </w:rPr>
        <w:t xml:space="preserve">z </w:t>
      </w:r>
      <w:r w:rsidRPr="00215B2F">
        <w:rPr>
          <w:rFonts w:ascii="Arial" w:eastAsia="Arial" w:hAnsi="Arial" w:cs="Arial"/>
          <w:sz w:val="20"/>
          <w:szCs w:val="20"/>
        </w:rPr>
        <w:t>opravljanj</w:t>
      </w:r>
      <w:r w:rsidR="00102523" w:rsidRPr="00215B2F">
        <w:rPr>
          <w:rFonts w:ascii="Arial" w:eastAsia="Arial" w:hAnsi="Arial" w:cs="Arial"/>
          <w:sz w:val="20"/>
          <w:szCs w:val="20"/>
        </w:rPr>
        <w:t>em</w:t>
      </w:r>
      <w:r w:rsidRPr="00215B2F">
        <w:rPr>
          <w:rFonts w:ascii="Arial" w:eastAsia="Arial" w:hAnsi="Arial" w:cs="Arial"/>
          <w:sz w:val="20"/>
          <w:szCs w:val="20"/>
        </w:rPr>
        <w:t xml:space="preserve"> funkcije člana </w:t>
      </w:r>
      <w:r w:rsidR="00354135" w:rsidRPr="00215B2F">
        <w:rPr>
          <w:rFonts w:ascii="Arial" w:hAnsi="Arial" w:cs="Arial"/>
          <w:sz w:val="20"/>
          <w:szCs w:val="20"/>
        </w:rPr>
        <w:t>nadzornega sveta</w:t>
      </w:r>
      <w:r w:rsidRPr="00215B2F">
        <w:rPr>
          <w:rFonts w:ascii="Arial" w:eastAsia="Arial" w:hAnsi="Arial" w:cs="Arial"/>
          <w:sz w:val="20"/>
          <w:szCs w:val="20"/>
        </w:rPr>
        <w:t xml:space="preserve"> iz </w:t>
      </w:r>
      <w:r w:rsidR="00BB458B" w:rsidRPr="00215B2F">
        <w:rPr>
          <w:rFonts w:ascii="Arial" w:eastAsia="Arial" w:hAnsi="Arial" w:cs="Arial"/>
          <w:sz w:val="20"/>
          <w:szCs w:val="20"/>
        </w:rPr>
        <w:t>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zaradi opravljanja direktorskih funkcij v drugih družbah in organizacijah, Banka Slovenije izda dovoljenje za opravljanje funkcije člana </w:t>
      </w:r>
      <w:r w:rsidR="00354135" w:rsidRPr="00215B2F">
        <w:rPr>
          <w:rFonts w:ascii="Arial" w:hAnsi="Arial" w:cs="Arial"/>
          <w:sz w:val="20"/>
          <w:szCs w:val="20"/>
        </w:rPr>
        <w:t>nadzornega sveta</w:t>
      </w:r>
      <w:r w:rsidRPr="00215B2F">
        <w:rPr>
          <w:rFonts w:ascii="Arial" w:eastAsia="Arial" w:hAnsi="Arial" w:cs="Arial"/>
          <w:sz w:val="20"/>
          <w:szCs w:val="20"/>
        </w:rPr>
        <w:t xml:space="preserve"> in določi rok, ki ne sme biti krajši od 30 dni in ne daljši od treh mesecev, v katerem </w:t>
      </w:r>
      <w:r w:rsidR="004A60E7" w:rsidRPr="00215B2F">
        <w:rPr>
          <w:rFonts w:ascii="Arial" w:eastAsia="Arial" w:hAnsi="Arial" w:cs="Arial"/>
          <w:sz w:val="20"/>
          <w:szCs w:val="20"/>
        </w:rPr>
        <w:t xml:space="preserve">se </w:t>
      </w:r>
      <w:r w:rsidRPr="00215B2F">
        <w:rPr>
          <w:rFonts w:ascii="Arial" w:eastAsia="Arial" w:hAnsi="Arial" w:cs="Arial"/>
          <w:sz w:val="20"/>
          <w:szCs w:val="20"/>
        </w:rPr>
        <w:t xml:space="preserve">mora član nadzornega sveta </w:t>
      </w:r>
      <w:r w:rsidR="004A60E7" w:rsidRPr="00215B2F">
        <w:rPr>
          <w:rFonts w:ascii="Arial" w:eastAsia="Arial" w:hAnsi="Arial" w:cs="Arial"/>
          <w:sz w:val="20"/>
          <w:szCs w:val="20"/>
        </w:rPr>
        <w:t xml:space="preserve">uskladiti z </w:t>
      </w:r>
      <w:r w:rsidRPr="00215B2F">
        <w:rPr>
          <w:rFonts w:ascii="Arial" w:eastAsia="Arial" w:hAnsi="Arial" w:cs="Arial"/>
          <w:sz w:val="20"/>
          <w:szCs w:val="20"/>
        </w:rPr>
        <w:t>zahtev</w:t>
      </w:r>
      <w:r w:rsidR="004A60E7" w:rsidRPr="00215B2F">
        <w:rPr>
          <w:rFonts w:ascii="Arial" w:eastAsia="Arial" w:hAnsi="Arial" w:cs="Arial"/>
          <w:sz w:val="20"/>
          <w:szCs w:val="20"/>
        </w:rPr>
        <w:t>ami</w:t>
      </w:r>
      <w:r w:rsidRPr="00215B2F">
        <w:rPr>
          <w:rFonts w:ascii="Arial" w:eastAsia="Arial" w:hAnsi="Arial" w:cs="Arial"/>
          <w:sz w:val="20"/>
          <w:szCs w:val="20"/>
        </w:rPr>
        <w:t xml:space="preserve"> iz </w:t>
      </w:r>
      <w:r w:rsidR="00BB458B" w:rsidRPr="00215B2F">
        <w:rPr>
          <w:rFonts w:ascii="Arial" w:eastAsia="Arial" w:hAnsi="Arial" w:cs="Arial"/>
          <w:sz w:val="20"/>
          <w:szCs w:val="20"/>
        </w:rPr>
        <w:t>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4DBA8D70"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8624CF9" w14:textId="0FC1915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Član nadzornega sveta lahko v primeru iz prejšnjega odstavka začne opravljati funkcijo člana nadzornega sveta, ko </w:t>
      </w:r>
      <w:r w:rsidR="004A60E7" w:rsidRPr="00215B2F">
        <w:rPr>
          <w:rFonts w:ascii="Arial" w:eastAsia="Arial" w:hAnsi="Arial" w:cs="Arial"/>
          <w:sz w:val="20"/>
          <w:szCs w:val="20"/>
        </w:rPr>
        <w:t xml:space="preserve">se uskladi z </w:t>
      </w:r>
      <w:r w:rsidRPr="00215B2F">
        <w:rPr>
          <w:rFonts w:ascii="Arial" w:eastAsia="Arial" w:hAnsi="Arial" w:cs="Arial"/>
          <w:sz w:val="20"/>
          <w:szCs w:val="20"/>
        </w:rPr>
        <w:t>zahtev</w:t>
      </w:r>
      <w:r w:rsidR="004A60E7" w:rsidRPr="00215B2F">
        <w:rPr>
          <w:rFonts w:ascii="Arial" w:eastAsia="Arial" w:hAnsi="Arial" w:cs="Arial"/>
          <w:sz w:val="20"/>
          <w:szCs w:val="20"/>
        </w:rPr>
        <w:t>ami</w:t>
      </w:r>
      <w:r w:rsidRPr="00215B2F">
        <w:rPr>
          <w:rFonts w:ascii="Arial" w:eastAsia="Arial" w:hAnsi="Arial" w:cs="Arial"/>
          <w:sz w:val="20"/>
          <w:szCs w:val="20"/>
        </w:rPr>
        <w:t xml:space="preserve"> iz </w:t>
      </w:r>
      <w:r w:rsidR="00BB458B" w:rsidRPr="00215B2F">
        <w:rPr>
          <w:rFonts w:ascii="Arial" w:eastAsia="Arial" w:hAnsi="Arial" w:cs="Arial"/>
          <w:sz w:val="20"/>
          <w:szCs w:val="20"/>
        </w:rPr>
        <w:t>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o tem obvesti Banko Slovenije.</w:t>
      </w:r>
    </w:p>
    <w:p w14:paraId="3E2FA76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536D890"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93" w:name="_Ref203472334"/>
      <w:r w:rsidRPr="00215B2F">
        <w:rPr>
          <w:rFonts w:ascii="Arial" w:eastAsia="Arial" w:hAnsi="Arial" w:cs="Arial"/>
          <w:b/>
          <w:bCs/>
          <w:sz w:val="20"/>
          <w:szCs w:val="20"/>
        </w:rPr>
        <w:t>člen</w:t>
      </w:r>
      <w:bookmarkEnd w:id="93"/>
    </w:p>
    <w:p w14:paraId="11DA678C" w14:textId="4F3FB5D1" w:rsidR="00D91782" w:rsidRPr="00215B2F" w:rsidRDefault="00D91782" w:rsidP="00FD5520">
      <w:pPr>
        <w:pStyle w:val="Slog1"/>
        <w:shd w:val="clear" w:color="auto" w:fill="FFFFFF" w:themeFill="background1"/>
        <w:rPr>
          <w:sz w:val="20"/>
          <w:szCs w:val="20"/>
        </w:rPr>
      </w:pPr>
      <w:r w:rsidRPr="00215B2F">
        <w:rPr>
          <w:sz w:val="20"/>
          <w:szCs w:val="20"/>
        </w:rPr>
        <w:t xml:space="preserve">(prenehanje dovoljenja za opravljanje funkcije člana </w:t>
      </w:r>
      <w:r w:rsidR="00354135" w:rsidRPr="00215B2F">
        <w:rPr>
          <w:sz w:val="20"/>
          <w:szCs w:val="20"/>
        </w:rPr>
        <w:t>nadzornega sveta</w:t>
      </w:r>
      <w:r w:rsidRPr="00215B2F">
        <w:rPr>
          <w:sz w:val="20"/>
          <w:szCs w:val="20"/>
        </w:rPr>
        <w:t>)</w:t>
      </w:r>
    </w:p>
    <w:p w14:paraId="02C32AB9" w14:textId="77777777" w:rsidR="00D91782" w:rsidRPr="00215B2F" w:rsidRDefault="00D91782" w:rsidP="00FD5520">
      <w:pPr>
        <w:pStyle w:val="Slog1"/>
        <w:shd w:val="clear" w:color="auto" w:fill="FFFFFF" w:themeFill="background1"/>
        <w:jc w:val="both"/>
        <w:rPr>
          <w:sz w:val="20"/>
          <w:szCs w:val="20"/>
        </w:rPr>
      </w:pPr>
    </w:p>
    <w:p w14:paraId="144AABEA" w14:textId="556ECAA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Dovoljenje za opravljanje funkcije člana </w:t>
      </w:r>
      <w:r w:rsidR="00354135" w:rsidRPr="00215B2F">
        <w:rPr>
          <w:rFonts w:ascii="Arial" w:hAnsi="Arial" w:cs="Arial"/>
          <w:sz w:val="20"/>
          <w:szCs w:val="20"/>
        </w:rPr>
        <w:t>nadzornega sveta</w:t>
      </w:r>
      <w:r w:rsidRPr="00215B2F">
        <w:rPr>
          <w:rFonts w:ascii="Arial" w:eastAsia="Arial" w:hAnsi="Arial" w:cs="Arial"/>
          <w:sz w:val="20"/>
          <w:szCs w:val="20"/>
        </w:rPr>
        <w:t xml:space="preserve"> preneha veljati, če:</w:t>
      </w:r>
    </w:p>
    <w:p w14:paraId="0E05C7D3"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8F6E877" w14:textId="4FAE4EE0" w:rsidR="00895214" w:rsidRPr="00215B2F" w:rsidRDefault="00D91782">
      <w:pPr>
        <w:pStyle w:val="tevilnatoka"/>
        <w:numPr>
          <w:ilvl w:val="0"/>
          <w:numId w:val="62"/>
        </w:numPr>
        <w:shd w:val="clear" w:color="auto" w:fill="FFFFFF" w:themeFill="background1"/>
        <w:tabs>
          <w:tab w:val="clear" w:pos="425"/>
        </w:tabs>
        <w:rPr>
          <w:rFonts w:cs="Arial"/>
          <w:bCs/>
          <w:sz w:val="20"/>
          <w:szCs w:val="20"/>
        </w:rPr>
      </w:pPr>
      <w:r w:rsidRPr="00215B2F">
        <w:rPr>
          <w:rFonts w:eastAsia="Arial" w:cs="Arial"/>
          <w:sz w:val="20"/>
          <w:szCs w:val="20"/>
        </w:rPr>
        <w:t xml:space="preserve">osebi preneha funkcija člana </w:t>
      </w:r>
      <w:r w:rsidR="00354135" w:rsidRPr="00215B2F">
        <w:rPr>
          <w:rFonts w:cs="Arial"/>
          <w:sz w:val="20"/>
          <w:szCs w:val="20"/>
        </w:rPr>
        <w:t>nadzornega sveta</w:t>
      </w:r>
      <w:r w:rsidRPr="00215B2F">
        <w:rPr>
          <w:rFonts w:eastAsia="Arial" w:cs="Arial"/>
          <w:sz w:val="20"/>
          <w:szCs w:val="20"/>
        </w:rPr>
        <w:t>, na katero se dovoljenje nanaša, ali</w:t>
      </w:r>
    </w:p>
    <w:p w14:paraId="36D2B053" w14:textId="79F67D30" w:rsidR="00D91782" w:rsidRPr="00215B2F" w:rsidRDefault="004A60E7">
      <w:pPr>
        <w:pStyle w:val="tevilnatoka"/>
        <w:numPr>
          <w:ilvl w:val="0"/>
          <w:numId w:val="62"/>
        </w:numPr>
        <w:shd w:val="clear" w:color="auto" w:fill="FFFFFF" w:themeFill="background1"/>
        <w:tabs>
          <w:tab w:val="clear" w:pos="425"/>
        </w:tabs>
        <w:rPr>
          <w:rFonts w:cs="Arial"/>
          <w:bCs/>
          <w:sz w:val="20"/>
          <w:szCs w:val="20"/>
        </w:rPr>
      </w:pPr>
      <w:r w:rsidRPr="00215B2F">
        <w:rPr>
          <w:rFonts w:eastAsia="Arial" w:cs="Arial"/>
          <w:sz w:val="20"/>
          <w:szCs w:val="20"/>
        </w:rPr>
        <w:t xml:space="preserve">se </w:t>
      </w:r>
      <w:r w:rsidR="00D91782" w:rsidRPr="00215B2F">
        <w:rPr>
          <w:rFonts w:eastAsia="Arial" w:cs="Arial"/>
          <w:sz w:val="20"/>
          <w:szCs w:val="20"/>
        </w:rPr>
        <w:t xml:space="preserve">član nadzornega sveta v roku, določenem v odločbi o izdaji dovoljenja za opravljanje funkcije člana nadzornega sveta, ne </w:t>
      </w:r>
      <w:r w:rsidRPr="00215B2F">
        <w:rPr>
          <w:rFonts w:eastAsia="Arial" w:cs="Arial"/>
          <w:sz w:val="20"/>
          <w:szCs w:val="20"/>
        </w:rPr>
        <w:t xml:space="preserve">uskladi z </w:t>
      </w:r>
      <w:r w:rsidR="00D91782" w:rsidRPr="00215B2F">
        <w:rPr>
          <w:rFonts w:eastAsia="Arial" w:cs="Arial"/>
          <w:sz w:val="20"/>
          <w:szCs w:val="20"/>
        </w:rPr>
        <w:t>zahtev</w:t>
      </w:r>
      <w:r w:rsidRPr="00215B2F">
        <w:rPr>
          <w:rFonts w:eastAsia="Arial" w:cs="Arial"/>
          <w:sz w:val="20"/>
          <w:szCs w:val="20"/>
        </w:rPr>
        <w:t>ami</w:t>
      </w:r>
      <w:r w:rsidR="00D91782" w:rsidRPr="00215B2F">
        <w:rPr>
          <w:rFonts w:eastAsia="Arial" w:cs="Arial"/>
          <w:sz w:val="20"/>
          <w:szCs w:val="20"/>
        </w:rPr>
        <w:t xml:space="preserve"> iz </w:t>
      </w:r>
      <w:r w:rsidR="004F6126" w:rsidRPr="00215B2F">
        <w:rPr>
          <w:rFonts w:eastAsia="Arial" w:cs="Arial"/>
          <w:sz w:val="20"/>
          <w:szCs w:val="20"/>
        </w:rPr>
        <w:t>45</w:t>
      </w:r>
      <w:r w:rsidR="00D91782" w:rsidRPr="00215B2F">
        <w:rPr>
          <w:rFonts w:eastAsia="Arial" w:cs="Arial"/>
          <w:sz w:val="20"/>
          <w:szCs w:val="20"/>
        </w:rPr>
        <w:t xml:space="preserve">. </w:t>
      </w:r>
      <w:r w:rsidR="001F2C7A" w:rsidRPr="00215B2F">
        <w:rPr>
          <w:rFonts w:eastAsia="Arial" w:cs="Arial"/>
          <w:sz w:val="20"/>
          <w:szCs w:val="20"/>
        </w:rPr>
        <w:t>člena tega zakona</w:t>
      </w:r>
      <w:r w:rsidR="00D91782" w:rsidRPr="00215B2F">
        <w:rPr>
          <w:rFonts w:eastAsia="Arial" w:cs="Arial"/>
          <w:sz w:val="20"/>
          <w:szCs w:val="20"/>
        </w:rPr>
        <w:t>.</w:t>
      </w:r>
    </w:p>
    <w:p w14:paraId="25BDBCB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BC33DD0" w14:textId="714DA5A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mora v primerih iz prejšnjega odstavka o tem, da je osebi prenehala funkcija člana </w:t>
      </w:r>
      <w:r w:rsidR="00354135" w:rsidRPr="00215B2F">
        <w:rPr>
          <w:rFonts w:ascii="Arial" w:hAnsi="Arial" w:cs="Arial"/>
          <w:sz w:val="20"/>
          <w:szCs w:val="20"/>
        </w:rPr>
        <w:t>nadzornega sveta</w:t>
      </w:r>
      <w:r w:rsidRPr="00215B2F">
        <w:rPr>
          <w:rFonts w:ascii="Arial" w:eastAsia="Arial" w:hAnsi="Arial" w:cs="Arial"/>
          <w:sz w:val="20"/>
          <w:szCs w:val="20"/>
        </w:rPr>
        <w:t>, v petih delovnih dneh po prenehanju obvestiti Banko Slovenije.</w:t>
      </w:r>
    </w:p>
    <w:p w14:paraId="7ED83439"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C27305A" w14:textId="14D3DFB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(3) Banka Slovenije v primerih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izda ugotovitveno odločbo.</w:t>
      </w:r>
    </w:p>
    <w:p w14:paraId="2676B3B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2D9C7E7"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94" w:name="_Ref202963223"/>
      <w:r w:rsidRPr="00215B2F">
        <w:rPr>
          <w:rFonts w:ascii="Arial" w:eastAsia="Arial" w:hAnsi="Arial" w:cs="Arial"/>
          <w:b/>
          <w:bCs/>
          <w:sz w:val="20"/>
          <w:szCs w:val="20"/>
        </w:rPr>
        <w:t>člen</w:t>
      </w:r>
      <w:bookmarkEnd w:id="94"/>
    </w:p>
    <w:p w14:paraId="34B28162" w14:textId="588E45B6" w:rsidR="00D91782" w:rsidRPr="00215B2F" w:rsidRDefault="00D91782" w:rsidP="00FD5520">
      <w:pPr>
        <w:pStyle w:val="Slog1"/>
        <w:shd w:val="clear" w:color="auto" w:fill="FFFFFF" w:themeFill="background1"/>
        <w:rPr>
          <w:sz w:val="20"/>
          <w:szCs w:val="20"/>
        </w:rPr>
      </w:pPr>
      <w:r w:rsidRPr="00215B2F">
        <w:rPr>
          <w:sz w:val="20"/>
          <w:szCs w:val="20"/>
        </w:rPr>
        <w:t xml:space="preserve">(dolžnosti in odgovornost člana </w:t>
      </w:r>
      <w:r w:rsidR="00354135" w:rsidRPr="00215B2F">
        <w:rPr>
          <w:sz w:val="20"/>
          <w:szCs w:val="20"/>
        </w:rPr>
        <w:t>nadzornega sveta</w:t>
      </w:r>
      <w:r w:rsidRPr="00215B2F">
        <w:rPr>
          <w:sz w:val="20"/>
          <w:szCs w:val="20"/>
        </w:rPr>
        <w:t>)</w:t>
      </w:r>
    </w:p>
    <w:p w14:paraId="3F1A59EE" w14:textId="77777777" w:rsidR="00D91782" w:rsidRPr="00215B2F" w:rsidRDefault="00D91782" w:rsidP="00FD5520">
      <w:pPr>
        <w:pStyle w:val="Slog1"/>
        <w:shd w:val="clear" w:color="auto" w:fill="FFFFFF" w:themeFill="background1"/>
        <w:jc w:val="both"/>
        <w:rPr>
          <w:sz w:val="20"/>
          <w:szCs w:val="20"/>
        </w:rPr>
      </w:pPr>
    </w:p>
    <w:p w14:paraId="70F8C451" w14:textId="7854A09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Član nadzornega sveta mora ves čas opravljanja funkcije izpolnjevati pogoje za imenovanje iz </w:t>
      </w:r>
      <w:r w:rsidR="00FF290C" w:rsidRPr="00215B2F">
        <w:rPr>
          <w:rFonts w:ascii="Arial" w:eastAsia="Arial" w:hAnsi="Arial" w:cs="Arial"/>
          <w:sz w:val="20"/>
          <w:szCs w:val="20"/>
        </w:rPr>
        <w:t>62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r w:rsidR="005147D3" w:rsidRPr="00215B2F">
        <w:rPr>
          <w:rFonts w:ascii="Arial" w:eastAsia="Arial" w:hAnsi="Arial" w:cs="Arial"/>
          <w:sz w:val="20"/>
          <w:szCs w:val="20"/>
        </w:rPr>
        <w:t>in</w:t>
      </w:r>
      <w:r w:rsidRPr="00215B2F">
        <w:rPr>
          <w:rFonts w:ascii="Arial" w:eastAsia="Arial" w:hAnsi="Arial" w:cs="Arial"/>
          <w:sz w:val="20"/>
          <w:szCs w:val="20"/>
        </w:rPr>
        <w:t>:</w:t>
      </w:r>
    </w:p>
    <w:p w14:paraId="42EBF5B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CA4A264" w14:textId="107735BC" w:rsidR="00895214" w:rsidRPr="00215B2F" w:rsidRDefault="00D91782">
      <w:pPr>
        <w:pStyle w:val="tevilnatoka"/>
        <w:numPr>
          <w:ilvl w:val="0"/>
          <w:numId w:val="63"/>
        </w:numPr>
        <w:shd w:val="clear" w:color="auto" w:fill="FFFFFF" w:themeFill="background1"/>
        <w:tabs>
          <w:tab w:val="clear" w:pos="425"/>
        </w:tabs>
        <w:rPr>
          <w:rFonts w:cs="Arial"/>
          <w:bCs/>
          <w:sz w:val="20"/>
          <w:szCs w:val="20"/>
        </w:rPr>
      </w:pPr>
      <w:r w:rsidRPr="00215B2F">
        <w:rPr>
          <w:rFonts w:eastAsia="Arial" w:cs="Arial"/>
          <w:sz w:val="20"/>
          <w:szCs w:val="20"/>
        </w:rPr>
        <w:t xml:space="preserve">ravnati v skladu s profesionalno skrbnostjo in zlasti zagotoviti, da nadzorni svet deluje v skladu s </w:t>
      </w:r>
      <w:r w:rsidR="00FF290C" w:rsidRPr="00215B2F">
        <w:rPr>
          <w:rFonts w:eastAsia="Arial" w:cs="Arial"/>
          <w:sz w:val="20"/>
          <w:szCs w:val="20"/>
        </w:rPr>
        <w:t>186</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w:t>
      </w:r>
    </w:p>
    <w:p w14:paraId="1B14E12C" w14:textId="77777777" w:rsidR="00895214" w:rsidRPr="00215B2F" w:rsidRDefault="00D91782">
      <w:pPr>
        <w:pStyle w:val="tevilnatoka"/>
        <w:numPr>
          <w:ilvl w:val="0"/>
          <w:numId w:val="63"/>
        </w:numPr>
        <w:shd w:val="clear" w:color="auto" w:fill="FFFFFF" w:themeFill="background1"/>
        <w:tabs>
          <w:tab w:val="clear" w:pos="425"/>
        </w:tabs>
        <w:rPr>
          <w:rFonts w:cs="Arial"/>
          <w:bCs/>
          <w:sz w:val="20"/>
          <w:szCs w:val="20"/>
        </w:rPr>
      </w:pPr>
      <w:r w:rsidRPr="00215B2F">
        <w:rPr>
          <w:rFonts w:eastAsia="Arial" w:cs="Arial"/>
          <w:sz w:val="20"/>
          <w:szCs w:val="20"/>
        </w:rPr>
        <w:t>ravnati odkrito, pošteno in neodvisno, da lahko učinkovito spremlja in nadzira odločitve uprave in višjega vodstva v zvezi z vodenjem banke ter učinkovito nadzoruje in spremlja sprejemanje odločitev v zvezi z upravljanjem banke;</w:t>
      </w:r>
    </w:p>
    <w:p w14:paraId="277C805E" w14:textId="77777777" w:rsidR="00895214" w:rsidRPr="00215B2F" w:rsidRDefault="00D91782">
      <w:pPr>
        <w:pStyle w:val="tevilnatoka"/>
        <w:numPr>
          <w:ilvl w:val="0"/>
          <w:numId w:val="63"/>
        </w:numPr>
        <w:shd w:val="clear" w:color="auto" w:fill="FFFFFF" w:themeFill="background1"/>
        <w:tabs>
          <w:tab w:val="clear" w:pos="425"/>
        </w:tabs>
        <w:rPr>
          <w:rFonts w:cs="Arial"/>
          <w:bCs/>
          <w:sz w:val="20"/>
          <w:szCs w:val="20"/>
        </w:rPr>
      </w:pPr>
      <w:r w:rsidRPr="00215B2F">
        <w:rPr>
          <w:rFonts w:eastAsia="Arial" w:cs="Arial"/>
          <w:sz w:val="20"/>
          <w:szCs w:val="20"/>
        </w:rPr>
        <w:t>ravnati v skladu z najvišjimi etičnimi standardi upravljanja, upoštevajoč preprečevanje nasprotja interesov;</w:t>
      </w:r>
    </w:p>
    <w:p w14:paraId="1FACF607" w14:textId="6A967C04" w:rsidR="00D91782" w:rsidRPr="00215B2F" w:rsidRDefault="00D91782">
      <w:pPr>
        <w:pStyle w:val="tevilnatoka"/>
        <w:numPr>
          <w:ilvl w:val="0"/>
          <w:numId w:val="63"/>
        </w:numPr>
        <w:shd w:val="clear" w:color="auto" w:fill="FFFFFF" w:themeFill="background1"/>
        <w:tabs>
          <w:tab w:val="clear" w:pos="425"/>
        </w:tabs>
        <w:rPr>
          <w:rFonts w:cs="Arial"/>
          <w:bCs/>
          <w:sz w:val="20"/>
          <w:szCs w:val="20"/>
        </w:rPr>
      </w:pPr>
      <w:r w:rsidRPr="00215B2F">
        <w:rPr>
          <w:rFonts w:eastAsia="Arial" w:cs="Arial"/>
          <w:sz w:val="20"/>
          <w:szCs w:val="20"/>
        </w:rPr>
        <w:t xml:space="preserve">opravljanju funkcije člana </w:t>
      </w:r>
      <w:r w:rsidR="00354135" w:rsidRPr="00215B2F">
        <w:rPr>
          <w:rFonts w:cs="Arial"/>
          <w:sz w:val="20"/>
          <w:szCs w:val="20"/>
        </w:rPr>
        <w:t>nadzornega sveta</w:t>
      </w:r>
      <w:r w:rsidRPr="00215B2F">
        <w:rPr>
          <w:rFonts w:eastAsia="Arial" w:cs="Arial"/>
          <w:sz w:val="20"/>
          <w:szCs w:val="20"/>
        </w:rPr>
        <w:t xml:space="preserve"> nameniti dovolj časa, da lahko to funkcijo učinkovito opravlja, z upoštevanjem zahtev iz </w:t>
      </w:r>
      <w:r w:rsidR="00FF290C" w:rsidRPr="00215B2F">
        <w:rPr>
          <w:rFonts w:eastAsia="Arial" w:cs="Arial"/>
          <w:sz w:val="20"/>
          <w:szCs w:val="20"/>
        </w:rPr>
        <w:t>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7B7E6165"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9671FE4" w14:textId="41367C1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Dejstvo, da je nekdo član organov vodenja ali nadzora povezanih družb ali povezanih subjektov</w:t>
      </w:r>
      <w:r w:rsidR="005147D3" w:rsidRPr="00215B2F">
        <w:rPr>
          <w:rFonts w:ascii="Arial" w:eastAsia="Arial" w:hAnsi="Arial" w:cs="Arial"/>
          <w:sz w:val="20"/>
          <w:szCs w:val="20"/>
        </w:rPr>
        <w:t>,</w:t>
      </w:r>
      <w:r w:rsidRPr="00215B2F">
        <w:rPr>
          <w:rFonts w:ascii="Arial" w:eastAsia="Arial" w:hAnsi="Arial" w:cs="Arial"/>
          <w:sz w:val="20"/>
          <w:szCs w:val="20"/>
        </w:rPr>
        <w:t xml:space="preserve"> samo po sebi ni ovira za neodvisno ravnanje v okviru 2. točke prejšnjega odstavka</w:t>
      </w:r>
      <w:r w:rsidR="00603A59" w:rsidRPr="00215B2F">
        <w:rPr>
          <w:rFonts w:ascii="Arial" w:eastAsia="Arial" w:hAnsi="Arial" w:cs="Arial"/>
          <w:sz w:val="20"/>
          <w:szCs w:val="20"/>
        </w:rPr>
        <w:t>.</w:t>
      </w:r>
    </w:p>
    <w:p w14:paraId="5337300B"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43F5442" w14:textId="3D16428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Člani </w:t>
      </w:r>
      <w:r w:rsidR="00354135" w:rsidRPr="00215B2F">
        <w:rPr>
          <w:rFonts w:ascii="Arial" w:hAnsi="Arial" w:cs="Arial"/>
          <w:sz w:val="20"/>
          <w:szCs w:val="20"/>
        </w:rPr>
        <w:t>nadzornega sveta</w:t>
      </w:r>
      <w:r w:rsidRPr="00215B2F">
        <w:rPr>
          <w:rFonts w:ascii="Arial" w:eastAsia="Arial" w:hAnsi="Arial" w:cs="Arial"/>
          <w:sz w:val="20"/>
          <w:szCs w:val="20"/>
        </w:rPr>
        <w:t xml:space="preserve"> solidarno odgovarjajo banki za škodo, ki je nastala kot posledica kršitve njihovih dolžnosti, razen če dokažejo, da so se pri izpolnjevanju svojih dolžnosti izogibali nasprotju interesov ter ravnali v skladu s predpisi in profesionalno skrbnostjo glede izvajanja nadzora nad vodenjem poslov banke.</w:t>
      </w:r>
    </w:p>
    <w:p w14:paraId="5C90271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1378EC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95" w:name="_Ref202963253"/>
      <w:r w:rsidRPr="00215B2F">
        <w:rPr>
          <w:rFonts w:ascii="Arial" w:eastAsia="Arial" w:hAnsi="Arial" w:cs="Arial"/>
          <w:b/>
          <w:bCs/>
          <w:sz w:val="20"/>
          <w:szCs w:val="20"/>
        </w:rPr>
        <w:t>člen</w:t>
      </w:r>
      <w:bookmarkEnd w:id="95"/>
    </w:p>
    <w:p w14:paraId="4A40F44B" w14:textId="038C9833" w:rsidR="00D91782" w:rsidRPr="00215B2F" w:rsidRDefault="00D91782" w:rsidP="00FD5520">
      <w:pPr>
        <w:pStyle w:val="Slog1"/>
        <w:shd w:val="clear" w:color="auto" w:fill="FFFFFF" w:themeFill="background1"/>
        <w:rPr>
          <w:sz w:val="20"/>
          <w:szCs w:val="20"/>
        </w:rPr>
      </w:pPr>
      <w:r w:rsidRPr="00215B2F">
        <w:rPr>
          <w:sz w:val="20"/>
          <w:szCs w:val="20"/>
        </w:rPr>
        <w:t xml:space="preserve">(obveščanje s strani člana </w:t>
      </w:r>
      <w:r w:rsidR="00354135" w:rsidRPr="00215B2F">
        <w:rPr>
          <w:sz w:val="20"/>
          <w:szCs w:val="20"/>
        </w:rPr>
        <w:t>nadzornega sveta</w:t>
      </w:r>
      <w:r w:rsidRPr="00215B2F">
        <w:rPr>
          <w:sz w:val="20"/>
          <w:szCs w:val="20"/>
        </w:rPr>
        <w:t>)</w:t>
      </w:r>
    </w:p>
    <w:p w14:paraId="38E8CAAC" w14:textId="77777777" w:rsidR="00D91782" w:rsidRPr="00215B2F" w:rsidRDefault="00D91782" w:rsidP="00FD5520">
      <w:pPr>
        <w:pStyle w:val="Slog1"/>
        <w:shd w:val="clear" w:color="auto" w:fill="FFFFFF" w:themeFill="background1"/>
        <w:jc w:val="both"/>
        <w:rPr>
          <w:sz w:val="20"/>
          <w:szCs w:val="20"/>
        </w:rPr>
      </w:pPr>
    </w:p>
    <w:p w14:paraId="55B3F1C3" w14:textId="57ECFF7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Član nadzornega sveta mora banko, nadzorni svet in Banko Slovenije za namene preverjanja pogojev iz </w:t>
      </w:r>
      <w:r w:rsidR="00FF290C" w:rsidRPr="00215B2F">
        <w:rPr>
          <w:rFonts w:ascii="Arial" w:eastAsia="Arial" w:hAnsi="Arial" w:cs="Arial"/>
          <w:sz w:val="20"/>
          <w:szCs w:val="20"/>
        </w:rPr>
        <w:t>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nemudoma pisno obvestiti o tem, da je bil imenovan </w:t>
      </w:r>
      <w:r w:rsidR="00973B68" w:rsidRPr="00215B2F">
        <w:rPr>
          <w:rFonts w:ascii="Arial" w:eastAsia="Arial" w:hAnsi="Arial" w:cs="Arial"/>
          <w:sz w:val="20"/>
          <w:szCs w:val="20"/>
        </w:rPr>
        <w:t xml:space="preserve">na </w:t>
      </w:r>
      <w:r w:rsidRPr="00215B2F">
        <w:rPr>
          <w:rFonts w:ascii="Arial" w:eastAsia="Arial" w:hAnsi="Arial" w:cs="Arial"/>
          <w:sz w:val="20"/>
          <w:szCs w:val="20"/>
        </w:rPr>
        <w:t>direktorsk</w:t>
      </w:r>
      <w:r w:rsidR="00973B68" w:rsidRPr="00215B2F">
        <w:rPr>
          <w:rFonts w:ascii="Arial" w:eastAsia="Arial" w:hAnsi="Arial" w:cs="Arial"/>
          <w:sz w:val="20"/>
          <w:szCs w:val="20"/>
        </w:rPr>
        <w:t>o</w:t>
      </w:r>
      <w:r w:rsidRPr="00215B2F">
        <w:rPr>
          <w:rFonts w:ascii="Arial" w:eastAsia="Arial" w:hAnsi="Arial" w:cs="Arial"/>
          <w:sz w:val="20"/>
          <w:szCs w:val="20"/>
        </w:rPr>
        <w:t xml:space="preserve"> funkcij</w:t>
      </w:r>
      <w:r w:rsidR="00973B68" w:rsidRPr="00215B2F">
        <w:rPr>
          <w:rFonts w:ascii="Arial" w:eastAsia="Arial" w:hAnsi="Arial" w:cs="Arial"/>
          <w:sz w:val="20"/>
          <w:szCs w:val="20"/>
        </w:rPr>
        <w:t>o</w:t>
      </w:r>
      <w:r w:rsidRPr="00215B2F">
        <w:rPr>
          <w:rFonts w:ascii="Arial" w:eastAsia="Arial" w:hAnsi="Arial" w:cs="Arial"/>
          <w:sz w:val="20"/>
          <w:szCs w:val="20"/>
        </w:rPr>
        <w:t xml:space="preserve"> v drugih družbah in organizacijah</w:t>
      </w:r>
      <w:r w:rsidR="00973B68" w:rsidRPr="00215B2F">
        <w:rPr>
          <w:rFonts w:ascii="Arial" w:eastAsia="Arial" w:hAnsi="Arial" w:cs="Arial"/>
          <w:sz w:val="20"/>
          <w:szCs w:val="20"/>
        </w:rPr>
        <w:t xml:space="preserve"> ali da mu je </w:t>
      </w:r>
      <w:r w:rsidR="003506B0" w:rsidRPr="00215B2F">
        <w:rPr>
          <w:rFonts w:ascii="Arial" w:eastAsia="Arial" w:hAnsi="Arial" w:cs="Arial"/>
          <w:sz w:val="20"/>
          <w:szCs w:val="20"/>
        </w:rPr>
        <w:t xml:space="preserve">ta </w:t>
      </w:r>
      <w:r w:rsidR="00973B68" w:rsidRPr="00215B2F">
        <w:rPr>
          <w:rFonts w:ascii="Arial" w:eastAsia="Arial" w:hAnsi="Arial" w:cs="Arial"/>
          <w:sz w:val="20"/>
          <w:szCs w:val="20"/>
        </w:rPr>
        <w:t>prenehala</w:t>
      </w:r>
      <w:r w:rsidRPr="00215B2F">
        <w:rPr>
          <w:rFonts w:ascii="Arial" w:eastAsia="Arial" w:hAnsi="Arial" w:cs="Arial"/>
          <w:sz w:val="20"/>
          <w:szCs w:val="20"/>
        </w:rPr>
        <w:t>.</w:t>
      </w:r>
    </w:p>
    <w:p w14:paraId="00F6DDC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34EB867" w14:textId="2A38E6F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Član nadzornega sveta mora nadzorni svet nemudoma obvestiti o okoliščinah, zaradi katerih obstaja nasprotje interesov pri izvajanju funkcije člana </w:t>
      </w:r>
      <w:r w:rsidR="00354135" w:rsidRPr="00215B2F">
        <w:rPr>
          <w:rFonts w:ascii="Arial" w:hAnsi="Arial" w:cs="Arial"/>
          <w:sz w:val="20"/>
          <w:szCs w:val="20"/>
        </w:rPr>
        <w:t>nadzornega sveta</w:t>
      </w:r>
      <w:r w:rsidRPr="00215B2F">
        <w:rPr>
          <w:rFonts w:ascii="Arial" w:eastAsia="Arial" w:hAnsi="Arial" w:cs="Arial"/>
          <w:sz w:val="20"/>
          <w:szCs w:val="20"/>
        </w:rPr>
        <w:t xml:space="preserve">, ter o drugih okoliščinah, ki bi lahko vplivale na izpolnjevanje pogojev za imenovanje za člana </w:t>
      </w:r>
      <w:r w:rsidR="00354135" w:rsidRPr="00215B2F">
        <w:rPr>
          <w:rFonts w:ascii="Arial" w:hAnsi="Arial" w:cs="Arial"/>
          <w:sz w:val="20"/>
          <w:szCs w:val="20"/>
        </w:rPr>
        <w:t>nadzornega sveta</w:t>
      </w:r>
      <w:r w:rsidRPr="00215B2F">
        <w:rPr>
          <w:rFonts w:ascii="Arial" w:eastAsia="Arial" w:hAnsi="Arial" w:cs="Arial"/>
          <w:sz w:val="20"/>
          <w:szCs w:val="20"/>
        </w:rPr>
        <w:t xml:space="preserve"> v skladu s tem zakonom, vključno z vsako pomembno spremembo, ki vpliva ali bi lahko vplivala na oceno banke glede njegove primernosti kot člana </w:t>
      </w:r>
      <w:r w:rsidR="00354135" w:rsidRPr="00215B2F">
        <w:rPr>
          <w:rFonts w:ascii="Arial" w:hAnsi="Arial" w:cs="Arial"/>
          <w:sz w:val="20"/>
          <w:szCs w:val="20"/>
        </w:rPr>
        <w:t>nadzornega sveta</w:t>
      </w:r>
      <w:r w:rsidRPr="00215B2F">
        <w:rPr>
          <w:rFonts w:ascii="Arial" w:eastAsia="Arial" w:hAnsi="Arial" w:cs="Arial"/>
          <w:sz w:val="20"/>
          <w:szCs w:val="20"/>
        </w:rPr>
        <w:t>.</w:t>
      </w:r>
    </w:p>
    <w:p w14:paraId="2E053D3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A09E26A"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96" w:name="_Ref202963257"/>
      <w:r w:rsidRPr="00215B2F">
        <w:rPr>
          <w:rFonts w:ascii="Arial" w:eastAsia="Arial" w:hAnsi="Arial" w:cs="Arial"/>
          <w:b/>
          <w:bCs/>
          <w:sz w:val="20"/>
          <w:szCs w:val="20"/>
        </w:rPr>
        <w:t>člen</w:t>
      </w:r>
      <w:bookmarkEnd w:id="96"/>
    </w:p>
    <w:p w14:paraId="0DD94D86" w14:textId="1F3BFA44" w:rsidR="00D91782" w:rsidRPr="00215B2F" w:rsidRDefault="00D91782" w:rsidP="00FD5520">
      <w:pPr>
        <w:pStyle w:val="Slog1"/>
        <w:shd w:val="clear" w:color="auto" w:fill="FFFFFF" w:themeFill="background1"/>
        <w:rPr>
          <w:sz w:val="20"/>
          <w:szCs w:val="20"/>
        </w:rPr>
      </w:pPr>
      <w:r w:rsidRPr="00215B2F">
        <w:rPr>
          <w:sz w:val="20"/>
          <w:szCs w:val="20"/>
        </w:rPr>
        <w:t xml:space="preserve">(preverjanje pogojev za opravljanje funkcije člana </w:t>
      </w:r>
      <w:r w:rsidR="00354135" w:rsidRPr="00215B2F">
        <w:rPr>
          <w:sz w:val="20"/>
          <w:szCs w:val="20"/>
        </w:rPr>
        <w:t>nadzornega sveta</w:t>
      </w:r>
      <w:r w:rsidRPr="00215B2F">
        <w:rPr>
          <w:sz w:val="20"/>
          <w:szCs w:val="20"/>
        </w:rPr>
        <w:t>)</w:t>
      </w:r>
    </w:p>
    <w:p w14:paraId="647FD037" w14:textId="77777777" w:rsidR="00D91782" w:rsidRPr="00215B2F" w:rsidRDefault="00D91782" w:rsidP="00FD5520">
      <w:pPr>
        <w:pStyle w:val="Slog1"/>
        <w:shd w:val="clear" w:color="auto" w:fill="FFFFFF" w:themeFill="background1"/>
        <w:jc w:val="both"/>
        <w:rPr>
          <w:sz w:val="20"/>
          <w:szCs w:val="20"/>
        </w:rPr>
      </w:pPr>
    </w:p>
    <w:p w14:paraId="1663B336" w14:textId="0EA0FB2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lahko kadar koli med trajanjem funkcije člana nadzornega sveta izvede ponovno ocen</w:t>
      </w:r>
      <w:r w:rsidR="00023640" w:rsidRPr="00215B2F">
        <w:rPr>
          <w:rFonts w:ascii="Arial" w:eastAsia="Arial" w:hAnsi="Arial" w:cs="Arial"/>
          <w:sz w:val="20"/>
          <w:szCs w:val="20"/>
        </w:rPr>
        <w:t>jevanje</w:t>
      </w:r>
      <w:r w:rsidRPr="00215B2F">
        <w:rPr>
          <w:rFonts w:ascii="Arial" w:eastAsia="Arial" w:hAnsi="Arial" w:cs="Arial"/>
          <w:sz w:val="20"/>
          <w:szCs w:val="20"/>
        </w:rPr>
        <w:t xml:space="preserve"> primernosti, in sicer preveri, ali član nadzornega sveta izpolnjuje pogoje iz </w:t>
      </w:r>
      <w:r w:rsidR="00664576" w:rsidRPr="00215B2F">
        <w:rPr>
          <w:rFonts w:ascii="Arial" w:eastAsia="Arial" w:hAnsi="Arial" w:cs="Arial"/>
          <w:sz w:val="20"/>
          <w:szCs w:val="20"/>
        </w:rPr>
        <w:t>62</w:t>
      </w:r>
      <w:r w:rsidRPr="00215B2F">
        <w:rPr>
          <w:rFonts w:ascii="Arial" w:eastAsia="Arial" w:hAnsi="Arial" w:cs="Arial"/>
          <w:sz w:val="20"/>
          <w:szCs w:val="20"/>
        </w:rPr>
        <w:t xml:space="preserve">. člena in dolžnosti iz </w:t>
      </w:r>
      <w:r w:rsidR="00FF290C" w:rsidRPr="00215B2F">
        <w:rPr>
          <w:rFonts w:ascii="Arial" w:eastAsia="Arial" w:hAnsi="Arial" w:cs="Arial"/>
          <w:sz w:val="20"/>
          <w:szCs w:val="20"/>
        </w:rPr>
        <w:t>69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r w:rsidR="00B65982" w:rsidRPr="00215B2F">
        <w:rPr>
          <w:rFonts w:ascii="Arial" w:eastAsia="Arial" w:hAnsi="Arial" w:cs="Arial"/>
          <w:sz w:val="20"/>
          <w:szCs w:val="20"/>
        </w:rPr>
        <w:t xml:space="preserve">ter </w:t>
      </w:r>
      <w:r w:rsidRPr="00215B2F">
        <w:rPr>
          <w:rFonts w:ascii="Arial" w:eastAsia="Arial" w:hAnsi="Arial" w:cs="Arial"/>
          <w:sz w:val="20"/>
          <w:szCs w:val="20"/>
        </w:rPr>
        <w:t>v ta namen zahteva informacije, dokazila in pojasnila (v nadaljnjem besedilu: ponovna ocena primernosti člana nadzornega sveta).</w:t>
      </w:r>
    </w:p>
    <w:p w14:paraId="2DE56DF2"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9DEE14F" w14:textId="5D1AC93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Ponovn</w:t>
      </w:r>
      <w:r w:rsidR="00023640" w:rsidRPr="00215B2F">
        <w:rPr>
          <w:rFonts w:ascii="Arial" w:eastAsia="Arial" w:hAnsi="Arial" w:cs="Arial"/>
          <w:sz w:val="20"/>
          <w:szCs w:val="20"/>
        </w:rPr>
        <w:t>o</w:t>
      </w:r>
      <w:r w:rsidRPr="00215B2F">
        <w:rPr>
          <w:rFonts w:ascii="Arial" w:eastAsia="Arial" w:hAnsi="Arial" w:cs="Arial"/>
          <w:sz w:val="20"/>
          <w:szCs w:val="20"/>
        </w:rPr>
        <w:t xml:space="preserve"> ocen</w:t>
      </w:r>
      <w:r w:rsidR="00023640" w:rsidRPr="00215B2F">
        <w:rPr>
          <w:rFonts w:ascii="Arial" w:eastAsia="Arial" w:hAnsi="Arial" w:cs="Arial"/>
          <w:sz w:val="20"/>
          <w:szCs w:val="20"/>
        </w:rPr>
        <w:t>jevanje</w:t>
      </w:r>
      <w:r w:rsidRPr="00215B2F">
        <w:rPr>
          <w:rFonts w:ascii="Arial" w:eastAsia="Arial" w:hAnsi="Arial" w:cs="Arial"/>
          <w:sz w:val="20"/>
          <w:szCs w:val="20"/>
        </w:rPr>
        <w:t xml:space="preserve"> primernosti člana nadzornega sveta se izvede, če Banka Slovenije ugotovi dejstva ali okoliščine, ki vplivajo na izpolnjevanje pogojev za člana nadzornega sveta iz </w:t>
      </w:r>
      <w:r w:rsidR="00664576" w:rsidRPr="00215B2F">
        <w:rPr>
          <w:rFonts w:ascii="Arial" w:eastAsia="Arial" w:hAnsi="Arial" w:cs="Arial"/>
          <w:sz w:val="20"/>
          <w:szCs w:val="20"/>
        </w:rPr>
        <w:t>62</w:t>
      </w:r>
      <w:r w:rsidRPr="00215B2F">
        <w:rPr>
          <w:rFonts w:ascii="Arial" w:eastAsia="Arial" w:hAnsi="Arial" w:cs="Arial"/>
          <w:sz w:val="20"/>
          <w:szCs w:val="20"/>
        </w:rPr>
        <w:t xml:space="preserve">. člena ali dolžnosti člana nadzornega sveta iz </w:t>
      </w:r>
      <w:r w:rsidR="00FF290C" w:rsidRPr="00215B2F">
        <w:rPr>
          <w:rFonts w:ascii="Arial" w:eastAsia="Arial" w:hAnsi="Arial" w:cs="Arial"/>
          <w:sz w:val="20"/>
          <w:szCs w:val="20"/>
        </w:rPr>
        <w:t>69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zlasti pa, kadar upravičeno domneva, da poteka pranje denarja ali financiranje terorizma oziroma je do tega prišlo ali da poteka oziroma se je zgodil poskus pranja denarja ali financiranja terorizma ali da obstaja večje tveganje pranja denarja ali financiranja terorizma v povezavi z banko.</w:t>
      </w:r>
    </w:p>
    <w:p w14:paraId="3F4B4BA0"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6763A23" w14:textId="3F4584F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V okviru ponovne</w:t>
      </w:r>
      <w:r w:rsidR="00023640" w:rsidRPr="00215B2F">
        <w:rPr>
          <w:rFonts w:ascii="Arial" w:eastAsia="Arial" w:hAnsi="Arial" w:cs="Arial"/>
          <w:sz w:val="20"/>
          <w:szCs w:val="20"/>
        </w:rPr>
        <w:t>ga</w:t>
      </w:r>
      <w:r w:rsidRPr="00215B2F">
        <w:rPr>
          <w:rFonts w:ascii="Arial" w:eastAsia="Arial" w:hAnsi="Arial" w:cs="Arial"/>
          <w:sz w:val="20"/>
          <w:szCs w:val="20"/>
        </w:rPr>
        <w:t xml:space="preserve"> ocen</w:t>
      </w:r>
      <w:r w:rsidR="00023640" w:rsidRPr="00215B2F">
        <w:rPr>
          <w:rFonts w:ascii="Arial" w:eastAsia="Arial" w:hAnsi="Arial" w:cs="Arial"/>
          <w:sz w:val="20"/>
          <w:szCs w:val="20"/>
        </w:rPr>
        <w:t>j</w:t>
      </w:r>
      <w:r w:rsidRPr="00215B2F">
        <w:rPr>
          <w:rFonts w:ascii="Arial" w:eastAsia="Arial" w:hAnsi="Arial" w:cs="Arial"/>
          <w:sz w:val="20"/>
          <w:szCs w:val="20"/>
        </w:rPr>
        <w:t>e</w:t>
      </w:r>
      <w:r w:rsidR="00023640" w:rsidRPr="00215B2F">
        <w:rPr>
          <w:rFonts w:ascii="Arial" w:eastAsia="Arial" w:hAnsi="Arial" w:cs="Arial"/>
          <w:sz w:val="20"/>
          <w:szCs w:val="20"/>
        </w:rPr>
        <w:t>vanja</w:t>
      </w:r>
      <w:r w:rsidRPr="00215B2F">
        <w:rPr>
          <w:rFonts w:ascii="Arial" w:eastAsia="Arial" w:hAnsi="Arial" w:cs="Arial"/>
          <w:sz w:val="20"/>
          <w:szCs w:val="20"/>
        </w:rPr>
        <w:t xml:space="preserve"> primernosti člana nadzornega sveta lahko Banka Slovenije odloči, da se opravi ustni razgovor, v katerem se član nadzornega sveta povabi, da predstavi okoliščine, ki so po mnenju Banke Slovenije pomembne za presojo izpolnjevanj</w:t>
      </w:r>
      <w:r w:rsidR="005A0062" w:rsidRPr="00215B2F">
        <w:rPr>
          <w:rFonts w:ascii="Arial" w:eastAsia="Arial" w:hAnsi="Arial" w:cs="Arial"/>
          <w:sz w:val="20"/>
          <w:szCs w:val="20"/>
        </w:rPr>
        <w:t>a</w:t>
      </w:r>
      <w:r w:rsidRPr="00215B2F">
        <w:rPr>
          <w:rFonts w:ascii="Arial" w:eastAsia="Arial" w:hAnsi="Arial" w:cs="Arial"/>
          <w:sz w:val="20"/>
          <w:szCs w:val="20"/>
        </w:rPr>
        <w:t xml:space="preserve"> predpisanih pogojev iz </w:t>
      </w:r>
      <w:r w:rsidR="00664576" w:rsidRPr="00215B2F">
        <w:rPr>
          <w:rFonts w:ascii="Arial" w:eastAsia="Arial" w:hAnsi="Arial" w:cs="Arial"/>
          <w:sz w:val="20"/>
          <w:szCs w:val="20"/>
        </w:rPr>
        <w:t>62</w:t>
      </w:r>
      <w:r w:rsidRPr="00215B2F">
        <w:rPr>
          <w:rFonts w:ascii="Arial" w:eastAsia="Arial" w:hAnsi="Arial" w:cs="Arial"/>
          <w:sz w:val="20"/>
          <w:szCs w:val="20"/>
        </w:rPr>
        <w:t xml:space="preserve">. člena in dolžnosti iz </w:t>
      </w:r>
      <w:r w:rsidR="00FF290C" w:rsidRPr="00215B2F">
        <w:rPr>
          <w:rFonts w:ascii="Arial" w:eastAsia="Arial" w:hAnsi="Arial" w:cs="Arial"/>
          <w:sz w:val="20"/>
          <w:szCs w:val="20"/>
        </w:rPr>
        <w:t>69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6E1577C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0A13186" w14:textId="7E8EAB7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Za ustni razgovor se v primerih iz prejšnjega odstavka </w:t>
      </w:r>
      <w:r w:rsidR="0015355B" w:rsidRPr="00215B2F">
        <w:rPr>
          <w:rFonts w:ascii="Arial" w:eastAsia="Arial" w:hAnsi="Arial" w:cs="Arial"/>
          <w:sz w:val="20"/>
          <w:szCs w:val="20"/>
        </w:rPr>
        <w:t xml:space="preserve">smiselno </w:t>
      </w:r>
      <w:r w:rsidRPr="00215B2F">
        <w:rPr>
          <w:rFonts w:ascii="Arial" w:eastAsia="Arial" w:hAnsi="Arial" w:cs="Arial"/>
          <w:sz w:val="20"/>
          <w:szCs w:val="20"/>
        </w:rPr>
        <w:t xml:space="preserve">uporablja </w:t>
      </w:r>
      <w:r w:rsidR="00FF290C" w:rsidRPr="00215B2F">
        <w:rPr>
          <w:rFonts w:ascii="Arial" w:eastAsia="Arial" w:hAnsi="Arial" w:cs="Arial"/>
          <w:sz w:val="20"/>
          <w:szCs w:val="20"/>
        </w:rPr>
        <w:t>50</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w:t>
      </w:r>
    </w:p>
    <w:p w14:paraId="02F5AF3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6504433" w14:textId="690B2437"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3.4.</w:t>
      </w:r>
      <w:r w:rsidR="0044147E" w:rsidRPr="00215B2F">
        <w:rPr>
          <w:rFonts w:ascii="Arial" w:eastAsia="Arial" w:hAnsi="Arial" w:cs="Arial"/>
          <w:i/>
          <w:iCs/>
          <w:sz w:val="20"/>
          <w:szCs w:val="20"/>
        </w:rPr>
        <w:t>4</w:t>
      </w:r>
      <w:r w:rsidRPr="00215B2F">
        <w:rPr>
          <w:rFonts w:ascii="Arial" w:eastAsia="Arial" w:hAnsi="Arial" w:cs="Arial"/>
          <w:i/>
          <w:iCs/>
          <w:sz w:val="20"/>
          <w:szCs w:val="20"/>
        </w:rPr>
        <w:t xml:space="preserve"> Nosilci ključnih funkcij</w:t>
      </w:r>
    </w:p>
    <w:p w14:paraId="7055233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D3582F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97" w:name="_Ref202963274"/>
      <w:r w:rsidRPr="00215B2F">
        <w:rPr>
          <w:rFonts w:ascii="Arial" w:eastAsia="Arial" w:hAnsi="Arial" w:cs="Arial"/>
          <w:b/>
          <w:bCs/>
          <w:sz w:val="20"/>
          <w:szCs w:val="20"/>
        </w:rPr>
        <w:t>člen</w:t>
      </w:r>
      <w:bookmarkEnd w:id="97"/>
    </w:p>
    <w:p w14:paraId="26E73AC9" w14:textId="77777777" w:rsidR="00D91782" w:rsidRPr="00215B2F" w:rsidRDefault="00D91782" w:rsidP="00FD5520">
      <w:pPr>
        <w:pStyle w:val="Slog1"/>
        <w:shd w:val="clear" w:color="auto" w:fill="FFFFFF" w:themeFill="background1"/>
        <w:rPr>
          <w:sz w:val="20"/>
          <w:szCs w:val="20"/>
        </w:rPr>
      </w:pPr>
      <w:r w:rsidRPr="00215B2F">
        <w:rPr>
          <w:sz w:val="20"/>
          <w:szCs w:val="20"/>
        </w:rPr>
        <w:t>(pogoji za nosilce ključnih funkcij)</w:t>
      </w:r>
    </w:p>
    <w:p w14:paraId="1AEACBE7" w14:textId="77777777" w:rsidR="00D91CBF" w:rsidRPr="00215B2F" w:rsidRDefault="00D91CBF" w:rsidP="00FD5520">
      <w:pPr>
        <w:shd w:val="clear" w:color="auto" w:fill="FFFFFF" w:themeFill="background1"/>
        <w:spacing w:after="0" w:line="240" w:lineRule="auto"/>
        <w:jc w:val="center"/>
        <w:rPr>
          <w:rFonts w:ascii="Arial" w:eastAsia="Arial" w:hAnsi="Arial" w:cs="Arial"/>
          <w:sz w:val="20"/>
          <w:szCs w:val="20"/>
        </w:rPr>
      </w:pPr>
    </w:p>
    <w:p w14:paraId="5C9A6969" w14:textId="2D58A3B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je odgovorna, da</w:t>
      </w:r>
      <w:r w:rsidR="00D85473" w:rsidRPr="00215B2F">
        <w:rPr>
          <w:rFonts w:ascii="Arial" w:eastAsia="Arial" w:hAnsi="Arial" w:cs="Arial"/>
          <w:sz w:val="20"/>
          <w:szCs w:val="20"/>
        </w:rPr>
        <w:t xml:space="preserve"> imajo nosilci ključnih funkcij</w:t>
      </w:r>
      <w:r w:rsidRPr="00215B2F">
        <w:rPr>
          <w:rFonts w:ascii="Arial" w:eastAsia="Arial" w:hAnsi="Arial" w:cs="Arial"/>
          <w:sz w:val="20"/>
          <w:szCs w:val="20"/>
        </w:rPr>
        <w:t xml:space="preserve">: </w:t>
      </w:r>
    </w:p>
    <w:p w14:paraId="69013D4C"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77F9205" w14:textId="04CF24A9" w:rsidR="00895214" w:rsidRPr="00215B2F" w:rsidRDefault="009E4556">
      <w:pPr>
        <w:pStyle w:val="tevilnatoka"/>
        <w:numPr>
          <w:ilvl w:val="0"/>
          <w:numId w:val="64"/>
        </w:numPr>
        <w:shd w:val="clear" w:color="auto" w:fill="FFFFFF" w:themeFill="background1"/>
        <w:tabs>
          <w:tab w:val="clear" w:pos="425"/>
        </w:tabs>
        <w:rPr>
          <w:rFonts w:cs="Arial"/>
          <w:bCs/>
          <w:sz w:val="20"/>
          <w:szCs w:val="20"/>
        </w:rPr>
      </w:pPr>
      <w:r w:rsidRPr="00215B2F">
        <w:rPr>
          <w:rFonts w:eastAsia="Arial" w:cs="Arial"/>
          <w:sz w:val="20"/>
          <w:szCs w:val="20"/>
        </w:rPr>
        <w:t xml:space="preserve">ves čas </w:t>
      </w:r>
      <w:r w:rsidR="00D91782" w:rsidRPr="00215B2F">
        <w:rPr>
          <w:rFonts w:eastAsia="Arial" w:cs="Arial"/>
          <w:sz w:val="20"/>
          <w:szCs w:val="20"/>
        </w:rPr>
        <w:t xml:space="preserve">dober ugled, </w:t>
      </w:r>
    </w:p>
    <w:p w14:paraId="46BC187B" w14:textId="35E106AA" w:rsidR="00D85473" w:rsidRPr="00215B2F" w:rsidRDefault="00D91782">
      <w:pPr>
        <w:pStyle w:val="tevilnatoka"/>
        <w:numPr>
          <w:ilvl w:val="0"/>
          <w:numId w:val="64"/>
        </w:numPr>
        <w:shd w:val="clear" w:color="auto" w:fill="FFFFFF" w:themeFill="background1"/>
        <w:tabs>
          <w:tab w:val="clear" w:pos="425"/>
        </w:tabs>
        <w:rPr>
          <w:rFonts w:cs="Arial"/>
          <w:bCs/>
          <w:sz w:val="20"/>
          <w:szCs w:val="20"/>
        </w:rPr>
      </w:pPr>
      <w:r w:rsidRPr="00215B2F">
        <w:rPr>
          <w:rFonts w:eastAsia="Arial" w:cs="Arial"/>
          <w:sz w:val="20"/>
          <w:szCs w:val="20"/>
        </w:rPr>
        <w:t>ustrezno znanje, spretnosti in izkušnje za opravljanje svojih nalog</w:t>
      </w:r>
      <w:r w:rsidR="00D85473" w:rsidRPr="00215B2F">
        <w:rPr>
          <w:rFonts w:eastAsia="Arial" w:cs="Arial"/>
          <w:sz w:val="20"/>
          <w:szCs w:val="20"/>
        </w:rPr>
        <w:t>,</w:t>
      </w:r>
    </w:p>
    <w:p w14:paraId="20608DEE" w14:textId="722B58DA" w:rsidR="00D91782" w:rsidRPr="00215B2F" w:rsidRDefault="00D85473">
      <w:pPr>
        <w:pStyle w:val="tevilnatoka"/>
        <w:numPr>
          <w:ilvl w:val="0"/>
          <w:numId w:val="64"/>
        </w:numPr>
        <w:shd w:val="clear" w:color="auto" w:fill="FFFFFF" w:themeFill="background1"/>
        <w:tabs>
          <w:tab w:val="clear" w:pos="425"/>
        </w:tabs>
        <w:rPr>
          <w:rFonts w:cs="Arial"/>
          <w:bCs/>
          <w:sz w:val="20"/>
          <w:szCs w:val="20"/>
        </w:rPr>
      </w:pPr>
      <w:r w:rsidRPr="00215B2F">
        <w:rPr>
          <w:rFonts w:eastAsia="Arial" w:cs="Arial"/>
          <w:sz w:val="20"/>
          <w:szCs w:val="20"/>
        </w:rPr>
        <w:t>ter so odkriti in pošteni</w:t>
      </w:r>
      <w:r w:rsidR="00D91782" w:rsidRPr="00215B2F">
        <w:rPr>
          <w:rFonts w:eastAsia="Arial" w:cs="Arial"/>
          <w:sz w:val="20"/>
          <w:szCs w:val="20"/>
        </w:rPr>
        <w:t xml:space="preserve">. </w:t>
      </w:r>
    </w:p>
    <w:p w14:paraId="3331A56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2A30DE7" w14:textId="002D87B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Za izpolnjevanje </w:t>
      </w:r>
      <w:r w:rsidR="00297369" w:rsidRPr="00215B2F">
        <w:rPr>
          <w:rFonts w:ascii="Arial" w:eastAsia="Arial" w:hAnsi="Arial" w:cs="Arial"/>
          <w:sz w:val="20"/>
          <w:szCs w:val="20"/>
        </w:rPr>
        <w:t>pogojev</w:t>
      </w:r>
      <w:r w:rsidRPr="00215B2F">
        <w:rPr>
          <w:rFonts w:ascii="Arial" w:eastAsia="Arial" w:hAnsi="Arial" w:cs="Arial"/>
          <w:sz w:val="20"/>
          <w:szCs w:val="20"/>
        </w:rPr>
        <w:t xml:space="preserve"> glede dobrega ugleda, odkritosti in poštenosti ne zadošča, da nosilec ključne funkcije ni bil obsojen za kaznivo dejanje ali zoper njega ne poteka kazenski postopek. </w:t>
      </w:r>
    </w:p>
    <w:p w14:paraId="1459143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869256C" w14:textId="2040F31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sprejme vse potrebne ukrepe za ustrezno delovanje nosilcev ključnih funkcij, vključno z zamenjavo nosilca ključne funkcije, če ta ne izpolnjuje več pogojev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w:t>
      </w:r>
    </w:p>
    <w:p w14:paraId="34CD76D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955622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98" w:name="_Ref202963284"/>
      <w:r w:rsidRPr="00215B2F">
        <w:rPr>
          <w:rFonts w:ascii="Arial" w:eastAsia="Arial" w:hAnsi="Arial" w:cs="Arial"/>
          <w:b/>
          <w:bCs/>
          <w:sz w:val="20"/>
          <w:szCs w:val="20"/>
        </w:rPr>
        <w:t>člen</w:t>
      </w:r>
      <w:bookmarkEnd w:id="98"/>
    </w:p>
    <w:p w14:paraId="5966FD40" w14:textId="77777777" w:rsidR="00D91782" w:rsidRPr="00215B2F" w:rsidRDefault="00D91782" w:rsidP="00FD5520">
      <w:pPr>
        <w:pStyle w:val="Slog1"/>
        <w:shd w:val="clear" w:color="auto" w:fill="FFFFFF" w:themeFill="background1"/>
        <w:rPr>
          <w:sz w:val="20"/>
          <w:szCs w:val="20"/>
        </w:rPr>
      </w:pPr>
      <w:r w:rsidRPr="00215B2F">
        <w:rPr>
          <w:sz w:val="20"/>
          <w:szCs w:val="20"/>
        </w:rPr>
        <w:t>(ocenjevanje primernosti nosilcev ključnih funkcij)</w:t>
      </w:r>
    </w:p>
    <w:p w14:paraId="5F0E706B" w14:textId="77777777" w:rsidR="00D91782" w:rsidRPr="00215B2F" w:rsidRDefault="00D91782" w:rsidP="00FD5520">
      <w:pPr>
        <w:pStyle w:val="Slog1"/>
        <w:shd w:val="clear" w:color="auto" w:fill="FFFFFF" w:themeFill="background1"/>
        <w:jc w:val="both"/>
        <w:rPr>
          <w:sz w:val="20"/>
          <w:szCs w:val="20"/>
        </w:rPr>
      </w:pPr>
    </w:p>
    <w:p w14:paraId="47FB8F7D" w14:textId="416C368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mora vzpostaviti in izvajati p</w:t>
      </w:r>
      <w:r w:rsidR="00124B97" w:rsidRPr="00215B2F">
        <w:rPr>
          <w:rFonts w:ascii="Arial" w:eastAsia="Arial" w:hAnsi="Arial" w:cs="Arial"/>
          <w:sz w:val="20"/>
          <w:szCs w:val="20"/>
        </w:rPr>
        <w:t>ostopek</w:t>
      </w:r>
      <w:r w:rsidRPr="00215B2F">
        <w:rPr>
          <w:rFonts w:ascii="Arial" w:eastAsia="Arial" w:hAnsi="Arial" w:cs="Arial"/>
          <w:sz w:val="20"/>
          <w:szCs w:val="20"/>
        </w:rPr>
        <w:t xml:space="preserve"> ocenjevanja primernosti nosilcev ključnih funkcij pred imenovanjem in nato redno, zlasti takoj, ko nastopijo okoliščine, zaradi katerih je treba izvesti ponovno ocenjevanje primernosti, najmanj pa vsaki dve leti</w:t>
      </w:r>
      <w:r w:rsidR="00D7655A" w:rsidRPr="00215B2F">
        <w:rPr>
          <w:rFonts w:ascii="Arial" w:eastAsia="Arial" w:hAnsi="Arial" w:cs="Arial"/>
          <w:sz w:val="20"/>
          <w:szCs w:val="20"/>
        </w:rPr>
        <w:t xml:space="preserve"> (v nadaljnjem besedilu: notranja ocena primernosti)</w:t>
      </w:r>
      <w:r w:rsidR="00750995" w:rsidRPr="00215B2F">
        <w:rPr>
          <w:rFonts w:ascii="Arial" w:eastAsia="Arial" w:hAnsi="Arial" w:cs="Arial"/>
          <w:sz w:val="20"/>
          <w:szCs w:val="20"/>
        </w:rPr>
        <w:t>.</w:t>
      </w:r>
    </w:p>
    <w:p w14:paraId="6238095B"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8BC875A" w14:textId="6DBB265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Če iz </w:t>
      </w:r>
      <w:r w:rsidR="00D7655A" w:rsidRPr="00215B2F">
        <w:rPr>
          <w:rFonts w:ascii="Arial" w:eastAsia="Arial" w:hAnsi="Arial" w:cs="Arial"/>
          <w:sz w:val="20"/>
          <w:szCs w:val="20"/>
        </w:rPr>
        <w:t xml:space="preserve">notranje </w:t>
      </w:r>
      <w:r w:rsidRPr="00215B2F">
        <w:rPr>
          <w:rFonts w:ascii="Arial" w:eastAsia="Arial" w:hAnsi="Arial" w:cs="Arial"/>
          <w:sz w:val="20"/>
          <w:szCs w:val="20"/>
        </w:rPr>
        <w:t>ocene</w:t>
      </w:r>
      <w:r w:rsidR="004F5AE6" w:rsidRPr="00215B2F">
        <w:rPr>
          <w:rFonts w:ascii="Arial" w:eastAsia="Arial" w:hAnsi="Arial" w:cs="Arial"/>
          <w:sz w:val="20"/>
          <w:szCs w:val="20"/>
        </w:rPr>
        <w:t xml:space="preserve"> </w:t>
      </w:r>
      <w:r w:rsidRPr="00215B2F">
        <w:rPr>
          <w:rFonts w:ascii="Arial" w:eastAsia="Arial" w:hAnsi="Arial" w:cs="Arial"/>
          <w:sz w:val="20"/>
          <w:szCs w:val="20"/>
        </w:rPr>
        <w:t xml:space="preserve">primernosti izhaja, da kandidat za nosilca ključne funkcije ali nosilec ključne funkcije ne izpolnjuje </w:t>
      </w:r>
      <w:r w:rsidR="00297369" w:rsidRPr="00215B2F">
        <w:rPr>
          <w:rFonts w:ascii="Arial" w:eastAsia="Arial" w:hAnsi="Arial" w:cs="Arial"/>
          <w:sz w:val="20"/>
          <w:szCs w:val="20"/>
        </w:rPr>
        <w:t>pogojev</w:t>
      </w:r>
      <w:r w:rsidRPr="00215B2F">
        <w:rPr>
          <w:rFonts w:ascii="Arial" w:eastAsia="Arial" w:hAnsi="Arial" w:cs="Arial"/>
          <w:sz w:val="20"/>
          <w:szCs w:val="20"/>
        </w:rPr>
        <w:t xml:space="preserve"> iz</w:t>
      </w:r>
      <w:r w:rsidR="00CA40E4" w:rsidRPr="00215B2F">
        <w:rPr>
          <w:rFonts w:ascii="Arial" w:eastAsia="Arial" w:hAnsi="Arial" w:cs="Arial"/>
          <w:sz w:val="20"/>
          <w:szCs w:val="20"/>
        </w:rPr>
        <w:t xml:space="preserve"> 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člena</w:t>
      </w:r>
      <w:r w:rsidRPr="00215B2F">
        <w:rPr>
          <w:rFonts w:ascii="Arial" w:eastAsia="Arial" w:hAnsi="Arial" w:cs="Arial"/>
          <w:sz w:val="20"/>
          <w:szCs w:val="20"/>
        </w:rPr>
        <w:t>, banka:</w:t>
      </w:r>
    </w:p>
    <w:p w14:paraId="6BC42716"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47D1903" w14:textId="3F6A09F2" w:rsidR="00895214" w:rsidRPr="00215B2F" w:rsidRDefault="00256D7F">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če </w:t>
      </w:r>
      <w:r w:rsidR="00D91782" w:rsidRPr="00215B2F">
        <w:rPr>
          <w:rFonts w:ascii="Arial" w:eastAsia="Arial" w:hAnsi="Arial" w:cs="Arial"/>
          <w:sz w:val="20"/>
          <w:szCs w:val="20"/>
        </w:rPr>
        <w:t>kandidat še ni imenovan za nosilca ključne funkcije, kandidata ne imenuje,</w:t>
      </w:r>
    </w:p>
    <w:p w14:paraId="16F195F4" w14:textId="620C5A70"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pravočasno razreši osebo kot nosilca ključne funkcije ali</w:t>
      </w:r>
    </w:p>
    <w:p w14:paraId="417A226B" w14:textId="166AB6C0"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pravočasno sprejme dodatne ukrepe, s katerimi zagotovi primernost kandidata za nosilca ključne funkcije ali nosilca ključne funkcije.</w:t>
      </w:r>
    </w:p>
    <w:p w14:paraId="31D24553" w14:textId="77777777" w:rsidR="001011F5" w:rsidRPr="00215B2F" w:rsidRDefault="001011F5" w:rsidP="00FD5520">
      <w:pPr>
        <w:shd w:val="clear" w:color="auto" w:fill="FFFFFF" w:themeFill="background1"/>
        <w:spacing w:after="0" w:line="240" w:lineRule="auto"/>
        <w:jc w:val="both"/>
        <w:rPr>
          <w:rFonts w:ascii="Arial" w:eastAsia="Arial" w:hAnsi="Arial" w:cs="Arial"/>
          <w:sz w:val="20"/>
          <w:szCs w:val="20"/>
        </w:rPr>
      </w:pPr>
    </w:p>
    <w:p w14:paraId="2EA9F561" w14:textId="7A152E8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zagotavlja, da so informacije o primernosti nosilcev ključnih funkcij in </w:t>
      </w:r>
      <w:r w:rsidR="008349BC" w:rsidRPr="00215B2F">
        <w:rPr>
          <w:rFonts w:ascii="Arial" w:eastAsia="Arial" w:hAnsi="Arial" w:cs="Arial"/>
          <w:sz w:val="20"/>
          <w:szCs w:val="20"/>
        </w:rPr>
        <w:t xml:space="preserve">notranja </w:t>
      </w:r>
      <w:r w:rsidRPr="00215B2F">
        <w:rPr>
          <w:rFonts w:ascii="Arial" w:eastAsia="Arial" w:hAnsi="Arial" w:cs="Arial"/>
          <w:sz w:val="20"/>
          <w:szCs w:val="20"/>
        </w:rPr>
        <w:t>ocena primernosti</w:t>
      </w:r>
      <w:r w:rsidR="004F5AE6" w:rsidRPr="00215B2F">
        <w:rPr>
          <w:rFonts w:ascii="Arial" w:eastAsia="Arial" w:hAnsi="Arial" w:cs="Arial"/>
          <w:sz w:val="20"/>
          <w:szCs w:val="20"/>
        </w:rPr>
        <w:t xml:space="preserve"> </w:t>
      </w:r>
      <w:r w:rsidRPr="00215B2F">
        <w:rPr>
          <w:rFonts w:ascii="Arial" w:eastAsia="Arial" w:hAnsi="Arial" w:cs="Arial"/>
          <w:sz w:val="20"/>
          <w:szCs w:val="20"/>
        </w:rPr>
        <w:t xml:space="preserve">vedno posodobljene. Banka te informacije in notranjo oceno primernosti na zahtevo predloži Banki Slovenije. </w:t>
      </w:r>
    </w:p>
    <w:p w14:paraId="493754A4" w14:textId="77777777" w:rsidR="00683EBF" w:rsidRPr="00215B2F" w:rsidRDefault="00683EBF" w:rsidP="00FD5520">
      <w:pPr>
        <w:shd w:val="clear" w:color="auto" w:fill="FFFFFF" w:themeFill="background1"/>
        <w:spacing w:after="0" w:line="240" w:lineRule="auto"/>
        <w:jc w:val="center"/>
        <w:rPr>
          <w:rFonts w:ascii="Arial" w:eastAsia="Arial" w:hAnsi="Arial" w:cs="Arial"/>
          <w:sz w:val="20"/>
          <w:szCs w:val="20"/>
        </w:rPr>
      </w:pPr>
    </w:p>
    <w:p w14:paraId="6AB6FF94"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99" w:name="_Ref202963306"/>
      <w:r w:rsidRPr="00215B2F">
        <w:rPr>
          <w:rFonts w:ascii="Arial" w:eastAsia="Arial" w:hAnsi="Arial" w:cs="Arial"/>
          <w:b/>
          <w:bCs/>
          <w:sz w:val="20"/>
          <w:szCs w:val="20"/>
        </w:rPr>
        <w:t>člen</w:t>
      </w:r>
      <w:bookmarkEnd w:id="99"/>
    </w:p>
    <w:p w14:paraId="4F854638" w14:textId="77777777" w:rsidR="00D91782" w:rsidRPr="00215B2F" w:rsidRDefault="00D91782" w:rsidP="00FD5520">
      <w:pPr>
        <w:pStyle w:val="Slog1"/>
        <w:shd w:val="clear" w:color="auto" w:fill="FFFFFF" w:themeFill="background1"/>
        <w:rPr>
          <w:sz w:val="20"/>
          <w:szCs w:val="20"/>
        </w:rPr>
      </w:pPr>
      <w:r w:rsidRPr="00215B2F">
        <w:rPr>
          <w:sz w:val="20"/>
          <w:szCs w:val="20"/>
        </w:rPr>
        <w:t>(obvestilo o imenovanju nosilca ključne funkcije)</w:t>
      </w:r>
    </w:p>
    <w:p w14:paraId="46E3C10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A7074CC" w14:textId="453690D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naj</w:t>
      </w:r>
      <w:r w:rsidR="00AF105D" w:rsidRPr="00215B2F">
        <w:rPr>
          <w:rFonts w:ascii="Arial" w:eastAsia="Arial" w:hAnsi="Arial" w:cs="Arial"/>
          <w:sz w:val="20"/>
          <w:szCs w:val="20"/>
        </w:rPr>
        <w:t>poz</w:t>
      </w:r>
      <w:r w:rsidRPr="00215B2F">
        <w:rPr>
          <w:rFonts w:ascii="Arial" w:eastAsia="Arial" w:hAnsi="Arial" w:cs="Arial"/>
          <w:sz w:val="20"/>
          <w:szCs w:val="20"/>
        </w:rPr>
        <w:t xml:space="preserve">neje v petih dneh po imenovanju nosilca ključne funkcije o tem obvesti Banko Slovenije in obvestilu priloži </w:t>
      </w:r>
      <w:r w:rsidR="008349BC" w:rsidRPr="00215B2F">
        <w:rPr>
          <w:rFonts w:ascii="Arial" w:eastAsia="Arial" w:hAnsi="Arial" w:cs="Arial"/>
          <w:sz w:val="20"/>
          <w:szCs w:val="20"/>
        </w:rPr>
        <w:t xml:space="preserve">notranjo </w:t>
      </w:r>
      <w:r w:rsidRPr="00215B2F">
        <w:rPr>
          <w:rFonts w:ascii="Arial" w:eastAsia="Arial" w:hAnsi="Arial" w:cs="Arial"/>
          <w:sz w:val="20"/>
          <w:szCs w:val="20"/>
        </w:rPr>
        <w:t xml:space="preserve">oceno primernosti. </w:t>
      </w:r>
    </w:p>
    <w:p w14:paraId="373D6E6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4E8B3C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E4596E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00" w:name="_Ref202963314"/>
      <w:r w:rsidRPr="00215B2F">
        <w:rPr>
          <w:rFonts w:ascii="Arial" w:eastAsia="Arial" w:hAnsi="Arial" w:cs="Arial"/>
          <w:b/>
          <w:bCs/>
          <w:sz w:val="20"/>
          <w:szCs w:val="20"/>
        </w:rPr>
        <w:t>člen</w:t>
      </w:r>
      <w:bookmarkEnd w:id="100"/>
    </w:p>
    <w:p w14:paraId="6A7A5BC9" w14:textId="77777777" w:rsidR="00D91782" w:rsidRPr="00215B2F" w:rsidRDefault="00D91782" w:rsidP="00FD5520">
      <w:pPr>
        <w:pStyle w:val="Slog1"/>
        <w:shd w:val="clear" w:color="auto" w:fill="FFFFFF" w:themeFill="background1"/>
        <w:rPr>
          <w:sz w:val="20"/>
          <w:szCs w:val="20"/>
        </w:rPr>
      </w:pPr>
      <w:r w:rsidRPr="00215B2F">
        <w:rPr>
          <w:sz w:val="20"/>
          <w:szCs w:val="20"/>
        </w:rPr>
        <w:t>(obveščanje s strani nosilcev ključnih funkcij)</w:t>
      </w:r>
    </w:p>
    <w:p w14:paraId="73202ED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4B11158" w14:textId="5330D23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Nosilec ključne funkcije mora banko za namene preverjanja pogojev iz </w:t>
      </w:r>
      <w:r w:rsidR="00C8728D" w:rsidRPr="00215B2F">
        <w:rPr>
          <w:rFonts w:ascii="Arial" w:eastAsia="Arial" w:hAnsi="Arial" w:cs="Arial"/>
          <w:sz w:val="20"/>
          <w:szCs w:val="20"/>
        </w:rPr>
        <w:t>72.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nemudoma pisno obvestiti o okoliščinah, ki bi lahko vplivale na izpolnjevanje pogojev za nosilca ključne funkcije. </w:t>
      </w:r>
    </w:p>
    <w:p w14:paraId="07F33BE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94DEC14"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01" w:name="_Ref202963320"/>
      <w:r w:rsidRPr="00215B2F">
        <w:rPr>
          <w:rFonts w:ascii="Arial" w:eastAsia="Arial" w:hAnsi="Arial" w:cs="Arial"/>
          <w:b/>
          <w:bCs/>
          <w:sz w:val="20"/>
          <w:szCs w:val="20"/>
        </w:rPr>
        <w:t>člen</w:t>
      </w:r>
      <w:bookmarkEnd w:id="101"/>
    </w:p>
    <w:p w14:paraId="41A1536E" w14:textId="77777777" w:rsidR="00D91782" w:rsidRPr="00215B2F" w:rsidRDefault="00D91782" w:rsidP="00FD5520">
      <w:pPr>
        <w:pStyle w:val="Slog1"/>
        <w:shd w:val="clear" w:color="auto" w:fill="FFFFFF" w:themeFill="background1"/>
        <w:rPr>
          <w:sz w:val="20"/>
          <w:szCs w:val="20"/>
        </w:rPr>
      </w:pPr>
      <w:r w:rsidRPr="00215B2F">
        <w:rPr>
          <w:sz w:val="20"/>
          <w:szCs w:val="20"/>
        </w:rPr>
        <w:t>(preverjanje pogojev nosilcev ključnih funkcij)</w:t>
      </w:r>
    </w:p>
    <w:p w14:paraId="650A8BC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0A17C47" w14:textId="1C6021D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lahko z namenom preverjanja, ali nosilec ključne funkcije banke izpolnjuje pogoje iz </w:t>
      </w:r>
      <w:r w:rsidR="00C8728D" w:rsidRPr="00215B2F">
        <w:rPr>
          <w:rFonts w:ascii="Arial" w:eastAsia="Arial" w:hAnsi="Arial" w:cs="Arial"/>
          <w:sz w:val="20"/>
          <w:szCs w:val="20"/>
        </w:rPr>
        <w:t>72.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od banke zahteva dodatne informacije in dokumentacijo ali z nosilcem ključne funkcije opravi ustni razgovor, na katerem nosilca ključne funkcije povabi, da podrobneje predstavi okoliščine, ki so po mnenju Banke Slovenije pomembne za presojo izpolnjevanja pogojev za nosilca ključne funkcije banke. </w:t>
      </w:r>
    </w:p>
    <w:p w14:paraId="2E299CF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D777C29" w14:textId="2AFB2D1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(2) Za ustni razgovor se v primerih iz prejšnjega odstavka smiselno uporablja </w:t>
      </w:r>
      <w:r w:rsidR="00C8728D" w:rsidRPr="00215B2F">
        <w:rPr>
          <w:rFonts w:ascii="Arial" w:eastAsia="Arial" w:hAnsi="Arial" w:cs="Arial"/>
          <w:sz w:val="20"/>
          <w:szCs w:val="20"/>
        </w:rPr>
        <w:t>50</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 xml:space="preserve">. </w:t>
      </w:r>
    </w:p>
    <w:p w14:paraId="3BE2EED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BF2501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02" w:name="_Ref202963326"/>
      <w:r w:rsidRPr="00215B2F">
        <w:rPr>
          <w:rFonts w:ascii="Arial" w:eastAsia="Arial" w:hAnsi="Arial" w:cs="Arial"/>
          <w:b/>
          <w:bCs/>
          <w:sz w:val="20"/>
          <w:szCs w:val="20"/>
        </w:rPr>
        <w:t>člen</w:t>
      </w:r>
      <w:bookmarkEnd w:id="102"/>
    </w:p>
    <w:p w14:paraId="400EC5D8" w14:textId="77777777" w:rsidR="00D91782" w:rsidRPr="00215B2F" w:rsidRDefault="00D91782" w:rsidP="00FD5520">
      <w:pPr>
        <w:pStyle w:val="Slog1"/>
        <w:shd w:val="clear" w:color="auto" w:fill="FFFFFF" w:themeFill="background1"/>
        <w:rPr>
          <w:sz w:val="20"/>
          <w:szCs w:val="20"/>
        </w:rPr>
      </w:pPr>
      <w:r w:rsidRPr="00215B2F">
        <w:rPr>
          <w:sz w:val="20"/>
          <w:szCs w:val="20"/>
        </w:rPr>
        <w:t>(dodatne zahteve za vodje funkcij notranje kontrole in finančne direktorje velikih institucij)</w:t>
      </w:r>
    </w:p>
    <w:p w14:paraId="11C8C0EB" w14:textId="77777777" w:rsidR="00D91782" w:rsidRPr="00215B2F" w:rsidRDefault="00D91782" w:rsidP="00FD5520">
      <w:pPr>
        <w:pStyle w:val="Slog1"/>
        <w:shd w:val="clear" w:color="auto" w:fill="FFFFFF" w:themeFill="background1"/>
        <w:jc w:val="both"/>
        <w:rPr>
          <w:sz w:val="20"/>
          <w:szCs w:val="20"/>
        </w:rPr>
      </w:pPr>
    </w:p>
    <w:p w14:paraId="073C9B27" w14:textId="2EFF274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Ta člen se uporablja za vodje funkcije notranje kontrole in finančne direktorje v naslednjih subjektih (</w:t>
      </w:r>
      <w:r w:rsidR="001B2A64" w:rsidRPr="00215B2F">
        <w:rPr>
          <w:rFonts w:ascii="Arial" w:eastAsia="Arial" w:hAnsi="Arial" w:cs="Arial"/>
          <w:sz w:val="20"/>
          <w:szCs w:val="20"/>
        </w:rPr>
        <w:t>v nadaljnjem besedilu:</w:t>
      </w:r>
      <w:r w:rsidRPr="00215B2F">
        <w:rPr>
          <w:rFonts w:ascii="Arial" w:eastAsia="Arial" w:hAnsi="Arial" w:cs="Arial"/>
          <w:sz w:val="20"/>
          <w:szCs w:val="20"/>
        </w:rPr>
        <w:t xml:space="preserve"> pomembni nosilci ključnih funkcij): </w:t>
      </w:r>
    </w:p>
    <w:p w14:paraId="0072547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D9994E9" w14:textId="77777777" w:rsidR="008612B7" w:rsidRPr="00215B2F" w:rsidRDefault="00D91782" w:rsidP="003D4DE0">
      <w:pPr>
        <w:pStyle w:val="Odstavekseznama"/>
        <w:numPr>
          <w:ilvl w:val="0"/>
          <w:numId w:val="30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EU nadrejenih bankah, ki se štejejo za velike institucije;</w:t>
      </w:r>
    </w:p>
    <w:p w14:paraId="0F30B056" w14:textId="77777777" w:rsidR="008612B7" w:rsidRPr="00215B2F" w:rsidRDefault="00D91782" w:rsidP="003D4DE0">
      <w:pPr>
        <w:pStyle w:val="Odstavekseznama"/>
        <w:numPr>
          <w:ilvl w:val="0"/>
          <w:numId w:val="30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nadrejenih bankah Republike Slovenije, ki se štejejo za velike institucije, razen kadar so povezane s centralnim organom;</w:t>
      </w:r>
    </w:p>
    <w:p w14:paraId="2D056710" w14:textId="77777777" w:rsidR="008612B7" w:rsidRPr="00215B2F" w:rsidRDefault="00D91782" w:rsidP="003D4DE0">
      <w:pPr>
        <w:pStyle w:val="Odstavekseznama"/>
        <w:numPr>
          <w:ilvl w:val="0"/>
          <w:numId w:val="30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centralnih organih, ki se štejejo za velike institucije ali ki nadzorujejo z njimi povezane velike institucije;</w:t>
      </w:r>
    </w:p>
    <w:p w14:paraId="34F0D400" w14:textId="441A1721" w:rsidR="00407046" w:rsidRPr="00215B2F" w:rsidRDefault="00407046" w:rsidP="00407046">
      <w:pPr>
        <w:shd w:val="clear" w:color="auto" w:fill="FFFFFF" w:themeFill="background1"/>
        <w:spacing w:after="0" w:line="240" w:lineRule="auto"/>
        <w:jc w:val="both"/>
        <w:rPr>
          <w:rFonts w:ascii="Arial" w:hAnsi="Arial" w:cs="Arial"/>
          <w:bCs/>
          <w:sz w:val="20"/>
          <w:szCs w:val="20"/>
        </w:rPr>
      </w:pPr>
      <w:r w:rsidRPr="00215B2F">
        <w:rPr>
          <w:rFonts w:ascii="Arial" w:hAnsi="Arial" w:cs="Arial"/>
          <w:bCs/>
          <w:sz w:val="20"/>
          <w:szCs w:val="20"/>
        </w:rPr>
        <w:t xml:space="preserve">č)   </w:t>
      </w:r>
      <w:r w:rsidRPr="00215B2F">
        <w:rPr>
          <w:rFonts w:ascii="Arial" w:eastAsia="Arial" w:hAnsi="Arial" w:cs="Arial"/>
          <w:sz w:val="20"/>
          <w:szCs w:val="20"/>
        </w:rPr>
        <w:t>samostojnih bankah v Uniji, ki se štejejo za velike institucije;</w:t>
      </w:r>
    </w:p>
    <w:p w14:paraId="3CA3D077" w14:textId="1D8BB8B0" w:rsidR="009B0D42" w:rsidRPr="00215B2F" w:rsidRDefault="00D91782" w:rsidP="003D4DE0">
      <w:pPr>
        <w:pStyle w:val="Odstavekseznama"/>
        <w:numPr>
          <w:ilvl w:val="0"/>
          <w:numId w:val="30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velikih podrejenih družbah, kakor so opredeljene v 147. točki prvega odstavka 4. člena Uredbe 575/2013/EU;</w:t>
      </w:r>
    </w:p>
    <w:p w14:paraId="659AD6F1" w14:textId="76C4411F" w:rsidR="00691620" w:rsidRPr="00215B2F" w:rsidRDefault="00D91782" w:rsidP="003D4DE0">
      <w:pPr>
        <w:pStyle w:val="Odstavekseznama"/>
        <w:numPr>
          <w:ilvl w:val="0"/>
          <w:numId w:val="30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nadrejenih finančnih holdingih, nadrejenih mešanih finančnih holdingih, EU nadrejenih finančnih holdingih in EU nadrejenih mešanih finančnih holdingih, ki imajo sedež v Republiki Slovenije in ki imajo znotraj svoje skupine veliko institucijo, razen tistih, ki jim je bilo odobreno izvzetje v skladu s </w:t>
      </w:r>
      <w:r w:rsidR="00E64EE8" w:rsidRPr="00215B2F">
        <w:rPr>
          <w:rFonts w:ascii="Arial" w:eastAsia="Arial" w:hAnsi="Arial" w:cs="Arial"/>
          <w:sz w:val="20"/>
          <w:szCs w:val="20"/>
        </w:rPr>
        <w:t>113</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ali četrtim odstavkom 21.a člena Direktive 2013/36/EU.</w:t>
      </w:r>
    </w:p>
    <w:p w14:paraId="0034BD7C" w14:textId="77777777" w:rsidR="00691620" w:rsidRPr="00215B2F" w:rsidRDefault="00691620" w:rsidP="00543D80">
      <w:pPr>
        <w:pStyle w:val="Odstavekseznama"/>
        <w:shd w:val="clear" w:color="auto" w:fill="FFFFFF" w:themeFill="background1"/>
        <w:spacing w:after="0" w:line="240" w:lineRule="auto"/>
        <w:ind w:left="357"/>
        <w:jc w:val="both"/>
        <w:rPr>
          <w:rFonts w:ascii="Arial" w:hAnsi="Arial" w:cs="Arial"/>
          <w:bCs/>
          <w:sz w:val="20"/>
          <w:szCs w:val="20"/>
        </w:rPr>
      </w:pPr>
    </w:p>
    <w:p w14:paraId="447DFC79" w14:textId="37B2FB51" w:rsidR="00D91782" w:rsidRPr="00215B2F" w:rsidRDefault="00D91782" w:rsidP="00543D80">
      <w:p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(2) Banka za pomembne nosilce ključnih funkcij izvede </w:t>
      </w:r>
      <w:r w:rsidR="008349BC" w:rsidRPr="00215B2F">
        <w:rPr>
          <w:rFonts w:ascii="Arial" w:eastAsia="Arial" w:hAnsi="Arial" w:cs="Arial"/>
          <w:sz w:val="20"/>
          <w:szCs w:val="20"/>
        </w:rPr>
        <w:t xml:space="preserve">njihovo </w:t>
      </w:r>
      <w:r w:rsidRPr="00215B2F">
        <w:rPr>
          <w:rFonts w:ascii="Arial" w:eastAsia="Arial" w:hAnsi="Arial" w:cs="Arial"/>
          <w:sz w:val="20"/>
          <w:szCs w:val="20"/>
        </w:rPr>
        <w:t>ponovno ocen</w:t>
      </w:r>
      <w:r w:rsidR="00023640" w:rsidRPr="00215B2F">
        <w:rPr>
          <w:rFonts w:ascii="Arial" w:eastAsia="Arial" w:hAnsi="Arial" w:cs="Arial"/>
          <w:sz w:val="20"/>
          <w:szCs w:val="20"/>
        </w:rPr>
        <w:t>jevanje</w:t>
      </w:r>
      <w:r w:rsidRPr="00215B2F">
        <w:rPr>
          <w:rFonts w:ascii="Arial" w:eastAsia="Arial" w:hAnsi="Arial" w:cs="Arial"/>
          <w:sz w:val="20"/>
          <w:szCs w:val="20"/>
        </w:rPr>
        <w:t xml:space="preserve"> primernosti, takoj ko so znana nova dejstva ali druge okoliščine, ki bi lahko vplivale na primernost nosilcev ključnih funkcij. Banka o izveden</w:t>
      </w:r>
      <w:r w:rsidR="00023640" w:rsidRPr="00215B2F">
        <w:rPr>
          <w:rFonts w:ascii="Arial" w:eastAsia="Arial" w:hAnsi="Arial" w:cs="Arial"/>
          <w:sz w:val="20"/>
          <w:szCs w:val="20"/>
        </w:rPr>
        <w:t>em</w:t>
      </w:r>
      <w:r w:rsidRPr="00215B2F">
        <w:rPr>
          <w:rFonts w:ascii="Arial" w:eastAsia="Arial" w:hAnsi="Arial" w:cs="Arial"/>
          <w:sz w:val="20"/>
          <w:szCs w:val="20"/>
        </w:rPr>
        <w:t xml:space="preserve"> ponovn</w:t>
      </w:r>
      <w:r w:rsidR="00023640" w:rsidRPr="00215B2F">
        <w:rPr>
          <w:rFonts w:ascii="Arial" w:eastAsia="Arial" w:hAnsi="Arial" w:cs="Arial"/>
          <w:sz w:val="20"/>
          <w:szCs w:val="20"/>
        </w:rPr>
        <w:t>em</w:t>
      </w:r>
      <w:r w:rsidRPr="00215B2F">
        <w:rPr>
          <w:rFonts w:ascii="Arial" w:eastAsia="Arial" w:hAnsi="Arial" w:cs="Arial"/>
          <w:sz w:val="20"/>
          <w:szCs w:val="20"/>
        </w:rPr>
        <w:t xml:space="preserve"> ocen</w:t>
      </w:r>
      <w:r w:rsidR="00023640" w:rsidRPr="00215B2F">
        <w:rPr>
          <w:rFonts w:ascii="Arial" w:eastAsia="Arial" w:hAnsi="Arial" w:cs="Arial"/>
          <w:sz w:val="20"/>
          <w:szCs w:val="20"/>
        </w:rPr>
        <w:t>jevanju</w:t>
      </w:r>
      <w:r w:rsidRPr="00215B2F">
        <w:rPr>
          <w:rFonts w:ascii="Arial" w:eastAsia="Arial" w:hAnsi="Arial" w:cs="Arial"/>
          <w:sz w:val="20"/>
          <w:szCs w:val="20"/>
        </w:rPr>
        <w:t xml:space="preserve"> primernosti </w:t>
      </w:r>
      <w:r w:rsidR="00C27AF0" w:rsidRPr="00215B2F">
        <w:rPr>
          <w:rFonts w:ascii="Arial" w:eastAsia="Arial" w:hAnsi="Arial" w:cs="Arial"/>
          <w:sz w:val="20"/>
          <w:szCs w:val="20"/>
        </w:rPr>
        <w:t xml:space="preserve">v </w:t>
      </w:r>
      <w:r w:rsidR="00665044" w:rsidRPr="00215B2F">
        <w:rPr>
          <w:rFonts w:ascii="Arial" w:eastAsia="Arial" w:hAnsi="Arial" w:cs="Arial"/>
          <w:sz w:val="20"/>
          <w:szCs w:val="20"/>
        </w:rPr>
        <w:t>petih</w:t>
      </w:r>
      <w:r w:rsidR="00C27AF0" w:rsidRPr="00215B2F">
        <w:rPr>
          <w:rFonts w:ascii="Arial" w:eastAsia="Arial" w:hAnsi="Arial" w:cs="Arial"/>
          <w:sz w:val="20"/>
          <w:szCs w:val="20"/>
        </w:rPr>
        <w:t xml:space="preserve"> delovnih </w:t>
      </w:r>
      <w:r w:rsidR="00665044" w:rsidRPr="00215B2F">
        <w:rPr>
          <w:rFonts w:ascii="Arial" w:eastAsia="Arial" w:hAnsi="Arial" w:cs="Arial"/>
          <w:sz w:val="20"/>
          <w:szCs w:val="20"/>
        </w:rPr>
        <w:t xml:space="preserve">dneh </w:t>
      </w:r>
      <w:r w:rsidRPr="00215B2F">
        <w:rPr>
          <w:rFonts w:ascii="Arial" w:eastAsia="Arial" w:hAnsi="Arial" w:cs="Arial"/>
          <w:sz w:val="20"/>
          <w:szCs w:val="20"/>
        </w:rPr>
        <w:t>obvesti Banko Slovenije.</w:t>
      </w:r>
    </w:p>
    <w:p w14:paraId="304B978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F01139F" w14:textId="3FBB4C7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na podlagi obvestila iz </w:t>
      </w:r>
      <w:r w:rsidR="00E64EE8" w:rsidRPr="00215B2F">
        <w:rPr>
          <w:rFonts w:ascii="Arial" w:eastAsia="Arial" w:hAnsi="Arial" w:cs="Arial"/>
          <w:sz w:val="20"/>
          <w:szCs w:val="20"/>
        </w:rPr>
        <w:t>74.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dokumentacije oceni</w:t>
      </w:r>
      <w:r w:rsidR="00581018" w:rsidRPr="00215B2F">
        <w:rPr>
          <w:rFonts w:ascii="Arial" w:eastAsia="Arial" w:hAnsi="Arial" w:cs="Arial"/>
          <w:sz w:val="20"/>
          <w:szCs w:val="20"/>
        </w:rPr>
        <w:t>,</w:t>
      </w:r>
      <w:r w:rsidRPr="00215B2F">
        <w:rPr>
          <w:rFonts w:ascii="Arial" w:eastAsia="Arial" w:hAnsi="Arial" w:cs="Arial"/>
          <w:sz w:val="20"/>
          <w:szCs w:val="20"/>
        </w:rPr>
        <w:t xml:space="preserve"> ali pomembn</w:t>
      </w:r>
      <w:r w:rsidR="00581018" w:rsidRPr="00215B2F">
        <w:rPr>
          <w:rFonts w:ascii="Arial" w:eastAsia="Arial" w:hAnsi="Arial" w:cs="Arial"/>
          <w:sz w:val="20"/>
          <w:szCs w:val="20"/>
        </w:rPr>
        <w:t>i</w:t>
      </w:r>
      <w:r w:rsidRPr="00215B2F">
        <w:rPr>
          <w:rFonts w:ascii="Arial" w:eastAsia="Arial" w:hAnsi="Arial" w:cs="Arial"/>
          <w:sz w:val="20"/>
          <w:szCs w:val="20"/>
        </w:rPr>
        <w:t xml:space="preserve"> nosilec ključne funkcije izpolnjuje pogoje iz </w:t>
      </w:r>
      <w:r w:rsidR="00E64EE8" w:rsidRPr="00215B2F">
        <w:rPr>
          <w:rFonts w:ascii="Arial" w:eastAsia="Arial" w:hAnsi="Arial" w:cs="Arial"/>
          <w:sz w:val="20"/>
          <w:szCs w:val="20"/>
        </w:rPr>
        <w:t>72.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(v nadaljnjem besedilu: ocena primernosti). </w:t>
      </w:r>
    </w:p>
    <w:p w14:paraId="475AA51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B7C0D2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lahko pri oceni primernosti pomembnih nosilcev ključnih funkcij:</w:t>
      </w:r>
    </w:p>
    <w:p w14:paraId="6722581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09A517F" w14:textId="7B677EE0"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upošteva tudi informacije, ki jih je pridobila kot pristojni nadzorni organ na podlagi zakona, ki ureja preprečevanje pranja denarja in financiranje terorizma</w:t>
      </w:r>
      <w:r w:rsidR="00581018" w:rsidRPr="00215B2F">
        <w:rPr>
          <w:rFonts w:ascii="Arial" w:eastAsia="Arial" w:hAnsi="Arial" w:cs="Arial"/>
          <w:sz w:val="20"/>
          <w:szCs w:val="20"/>
        </w:rPr>
        <w:t>;</w:t>
      </w:r>
    </w:p>
    <w:p w14:paraId="3FB73A63" w14:textId="705F9D43"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o pomembnem nosilcu ključne funkcije pridobi informacije od Urada </w:t>
      </w:r>
      <w:r w:rsidR="000063BE" w:rsidRPr="00215B2F">
        <w:rPr>
          <w:rFonts w:ascii="Arial" w:eastAsia="Arial" w:hAnsi="Arial" w:cs="Arial"/>
          <w:sz w:val="20"/>
          <w:szCs w:val="20"/>
        </w:rPr>
        <w:t xml:space="preserve">Republike Slovenije </w:t>
      </w:r>
      <w:r w:rsidRPr="00215B2F">
        <w:rPr>
          <w:rFonts w:ascii="Arial" w:eastAsia="Arial" w:hAnsi="Arial" w:cs="Arial"/>
          <w:sz w:val="20"/>
          <w:szCs w:val="20"/>
        </w:rPr>
        <w:t>za preprečevanje pranja denarja oziroma pristojnega organa na podlagi Direktive 2015/849/EU</w:t>
      </w:r>
      <w:r w:rsidR="00581018" w:rsidRPr="00215B2F">
        <w:rPr>
          <w:rFonts w:ascii="Arial" w:eastAsia="Arial" w:hAnsi="Arial" w:cs="Arial"/>
          <w:sz w:val="20"/>
          <w:szCs w:val="20"/>
        </w:rPr>
        <w:t xml:space="preserve"> ali</w:t>
      </w:r>
      <w:r w:rsidRPr="00215B2F">
        <w:rPr>
          <w:rFonts w:ascii="Arial" w:eastAsia="Arial" w:hAnsi="Arial" w:cs="Arial"/>
          <w:sz w:val="20"/>
          <w:szCs w:val="20"/>
        </w:rPr>
        <w:t xml:space="preserve"> </w:t>
      </w:r>
    </w:p>
    <w:p w14:paraId="558D8B79" w14:textId="60502117"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zahteva dostop do osrednje podatkovne </w:t>
      </w:r>
      <w:r w:rsidR="00581018" w:rsidRPr="00215B2F">
        <w:rPr>
          <w:rFonts w:ascii="Arial" w:eastAsia="Arial" w:hAnsi="Arial" w:cs="Arial"/>
          <w:sz w:val="20"/>
          <w:szCs w:val="20"/>
        </w:rPr>
        <w:t>zbirk</w:t>
      </w:r>
      <w:r w:rsidRPr="00215B2F">
        <w:rPr>
          <w:rFonts w:ascii="Arial" w:eastAsia="Arial" w:hAnsi="Arial" w:cs="Arial"/>
          <w:sz w:val="20"/>
          <w:szCs w:val="20"/>
        </w:rPr>
        <w:t xml:space="preserve">e na področju pranja denarja in financiranja terorizma iz Uredbe 2024/1620/EU. O dostopu do navedene </w:t>
      </w:r>
      <w:r w:rsidR="00581018" w:rsidRPr="00215B2F">
        <w:rPr>
          <w:rFonts w:ascii="Arial" w:eastAsia="Arial" w:hAnsi="Arial" w:cs="Arial"/>
          <w:sz w:val="20"/>
          <w:szCs w:val="20"/>
        </w:rPr>
        <w:t>podatkovne zbirk</w:t>
      </w:r>
      <w:r w:rsidRPr="00215B2F">
        <w:rPr>
          <w:rFonts w:ascii="Arial" w:eastAsia="Arial" w:hAnsi="Arial" w:cs="Arial"/>
          <w:sz w:val="20"/>
          <w:szCs w:val="20"/>
        </w:rPr>
        <w:t>e odloči Organ za preprečevanje pranja denarja in financiranje terorizma</w:t>
      </w:r>
      <w:r w:rsidR="00581018" w:rsidRPr="00215B2F">
        <w:rPr>
          <w:rFonts w:ascii="Arial" w:eastAsia="Arial" w:hAnsi="Arial" w:cs="Arial"/>
          <w:sz w:val="20"/>
          <w:szCs w:val="20"/>
        </w:rPr>
        <w:t>,</w:t>
      </w:r>
      <w:r w:rsidRPr="00215B2F">
        <w:rPr>
          <w:rFonts w:ascii="Arial" w:eastAsia="Arial" w:hAnsi="Arial" w:cs="Arial"/>
          <w:sz w:val="20"/>
          <w:szCs w:val="20"/>
        </w:rPr>
        <w:t xml:space="preserve"> ustanovljen z navedeno uredbo.</w:t>
      </w:r>
    </w:p>
    <w:p w14:paraId="322C88E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753567E" w14:textId="42580BC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Če Banka Slovenije ugotovi dejstva ali okoliščine, ki vplivajo na izpolnjevanje pogojev iz </w:t>
      </w:r>
      <w:r w:rsidR="00E64EE8" w:rsidRPr="00215B2F">
        <w:rPr>
          <w:rFonts w:ascii="Arial" w:eastAsia="Arial" w:hAnsi="Arial" w:cs="Arial"/>
          <w:sz w:val="20"/>
          <w:szCs w:val="20"/>
        </w:rPr>
        <w:t>72.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izvede ponovno ocen</w:t>
      </w:r>
      <w:r w:rsidR="00023640" w:rsidRPr="00215B2F">
        <w:rPr>
          <w:rFonts w:ascii="Arial" w:eastAsia="Arial" w:hAnsi="Arial" w:cs="Arial"/>
          <w:sz w:val="20"/>
          <w:szCs w:val="20"/>
        </w:rPr>
        <w:t>jevanje</w:t>
      </w:r>
      <w:r w:rsidRPr="00215B2F">
        <w:rPr>
          <w:rFonts w:ascii="Arial" w:eastAsia="Arial" w:hAnsi="Arial" w:cs="Arial"/>
          <w:sz w:val="20"/>
          <w:szCs w:val="20"/>
        </w:rPr>
        <w:t xml:space="preserve"> primernosti in preveri, ali pomembn</w:t>
      </w:r>
      <w:r w:rsidR="00581018" w:rsidRPr="00215B2F">
        <w:rPr>
          <w:rFonts w:ascii="Arial" w:eastAsia="Arial" w:hAnsi="Arial" w:cs="Arial"/>
          <w:sz w:val="20"/>
          <w:szCs w:val="20"/>
        </w:rPr>
        <w:t>i</w:t>
      </w:r>
      <w:r w:rsidRPr="00215B2F">
        <w:rPr>
          <w:rFonts w:ascii="Arial" w:eastAsia="Arial" w:hAnsi="Arial" w:cs="Arial"/>
          <w:sz w:val="20"/>
          <w:szCs w:val="20"/>
        </w:rPr>
        <w:t xml:space="preserve"> nosilec ključne funkcije še izpolnjuje pogoje za nosilca ključne funkcije iz </w:t>
      </w:r>
      <w:r w:rsidR="00E64EE8" w:rsidRPr="00215B2F">
        <w:rPr>
          <w:rFonts w:ascii="Arial" w:eastAsia="Arial" w:hAnsi="Arial" w:cs="Arial"/>
          <w:sz w:val="20"/>
          <w:szCs w:val="20"/>
        </w:rPr>
        <w:t>72.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p>
    <w:p w14:paraId="4329E7C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9ADAC7D" w14:textId="56F0125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V okviru ponovne</w:t>
      </w:r>
      <w:r w:rsidR="00023640" w:rsidRPr="00215B2F">
        <w:rPr>
          <w:rFonts w:ascii="Arial" w:eastAsia="Arial" w:hAnsi="Arial" w:cs="Arial"/>
          <w:sz w:val="20"/>
          <w:szCs w:val="20"/>
        </w:rPr>
        <w:t>ga</w:t>
      </w:r>
      <w:r w:rsidRPr="00215B2F">
        <w:rPr>
          <w:rFonts w:ascii="Arial" w:eastAsia="Arial" w:hAnsi="Arial" w:cs="Arial"/>
          <w:sz w:val="20"/>
          <w:szCs w:val="20"/>
        </w:rPr>
        <w:t xml:space="preserve"> ocen</w:t>
      </w:r>
      <w:r w:rsidR="00023640" w:rsidRPr="00215B2F">
        <w:rPr>
          <w:rFonts w:ascii="Arial" w:eastAsia="Arial" w:hAnsi="Arial" w:cs="Arial"/>
          <w:sz w:val="20"/>
          <w:szCs w:val="20"/>
        </w:rPr>
        <w:t>jevanja</w:t>
      </w:r>
      <w:r w:rsidRPr="00215B2F">
        <w:rPr>
          <w:rFonts w:ascii="Arial" w:eastAsia="Arial" w:hAnsi="Arial" w:cs="Arial"/>
          <w:sz w:val="20"/>
          <w:szCs w:val="20"/>
        </w:rPr>
        <w:t xml:space="preserve"> primernosti lahko Banka Slovenije s pomembnim nosilcem ključne funkcije opravi ustni razgovor, v okviru katerega pomembnega nosilca ključne funkcije povabi, da predstavi okoliščine, ki so po mnenju Banke Slovenije pomembne za presojo izpolnjevanj</w:t>
      </w:r>
      <w:r w:rsidR="005A0062" w:rsidRPr="00215B2F">
        <w:rPr>
          <w:rFonts w:ascii="Arial" w:eastAsia="Arial" w:hAnsi="Arial" w:cs="Arial"/>
          <w:sz w:val="20"/>
          <w:szCs w:val="20"/>
        </w:rPr>
        <w:t>a</w:t>
      </w:r>
      <w:r w:rsidRPr="00215B2F">
        <w:rPr>
          <w:rFonts w:ascii="Arial" w:eastAsia="Arial" w:hAnsi="Arial" w:cs="Arial"/>
          <w:sz w:val="20"/>
          <w:szCs w:val="20"/>
        </w:rPr>
        <w:t xml:space="preserve"> predpisanih meril in zahtev. Za ustni razgovor se smiselno uporablja </w:t>
      </w:r>
      <w:r w:rsidR="00E64EE8" w:rsidRPr="00215B2F">
        <w:rPr>
          <w:rFonts w:ascii="Arial" w:eastAsia="Arial" w:hAnsi="Arial" w:cs="Arial"/>
          <w:sz w:val="20"/>
          <w:szCs w:val="20"/>
        </w:rPr>
        <w:t>50</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 xml:space="preserve">. </w:t>
      </w:r>
    </w:p>
    <w:p w14:paraId="56BF002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8763368" w14:textId="3CE682F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(7) Banka Slovenije ocen</w:t>
      </w:r>
      <w:r w:rsidR="00023640" w:rsidRPr="00215B2F">
        <w:rPr>
          <w:rFonts w:ascii="Arial" w:eastAsia="Arial" w:hAnsi="Arial" w:cs="Arial"/>
          <w:sz w:val="20"/>
          <w:szCs w:val="20"/>
        </w:rPr>
        <w:t>jevanje</w:t>
      </w:r>
      <w:r w:rsidRPr="00215B2F">
        <w:rPr>
          <w:rFonts w:ascii="Arial" w:eastAsia="Arial" w:hAnsi="Arial" w:cs="Arial"/>
          <w:sz w:val="20"/>
          <w:szCs w:val="20"/>
        </w:rPr>
        <w:t xml:space="preserve"> primernosti pomembnega nosilca ključne funkcije izvede v </w:t>
      </w:r>
      <w:r w:rsidR="008838C6" w:rsidRPr="00215B2F">
        <w:rPr>
          <w:rFonts w:ascii="Arial" w:eastAsia="Arial" w:hAnsi="Arial" w:cs="Arial"/>
          <w:sz w:val="20"/>
          <w:szCs w:val="20"/>
        </w:rPr>
        <w:t>štirih</w:t>
      </w:r>
      <w:r w:rsidRPr="00215B2F">
        <w:rPr>
          <w:rFonts w:ascii="Arial" w:eastAsia="Arial" w:hAnsi="Arial" w:cs="Arial"/>
          <w:sz w:val="20"/>
          <w:szCs w:val="20"/>
        </w:rPr>
        <w:t xml:space="preserve"> mesecih od prejema obvestila iz </w:t>
      </w:r>
      <w:r w:rsidR="00E64EE8" w:rsidRPr="00215B2F">
        <w:rPr>
          <w:rFonts w:ascii="Arial" w:eastAsia="Arial" w:hAnsi="Arial" w:cs="Arial"/>
          <w:sz w:val="20"/>
          <w:szCs w:val="20"/>
        </w:rPr>
        <w:t>74.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o </w:t>
      </w:r>
      <w:r w:rsidR="00C27AF0" w:rsidRPr="00215B2F">
        <w:rPr>
          <w:rFonts w:ascii="Arial" w:eastAsia="Arial" w:hAnsi="Arial" w:cs="Arial"/>
          <w:sz w:val="20"/>
          <w:szCs w:val="20"/>
        </w:rPr>
        <w:t xml:space="preserve">zaključku </w:t>
      </w:r>
      <w:r w:rsidRPr="00215B2F">
        <w:rPr>
          <w:rFonts w:ascii="Arial" w:eastAsia="Arial" w:hAnsi="Arial" w:cs="Arial"/>
          <w:sz w:val="20"/>
          <w:szCs w:val="20"/>
        </w:rPr>
        <w:t>ocen</w:t>
      </w:r>
      <w:r w:rsidR="00C27AF0" w:rsidRPr="00215B2F">
        <w:rPr>
          <w:rFonts w:ascii="Arial" w:eastAsia="Arial" w:hAnsi="Arial" w:cs="Arial"/>
          <w:sz w:val="20"/>
          <w:szCs w:val="20"/>
        </w:rPr>
        <w:t>jevanja</w:t>
      </w:r>
      <w:r w:rsidRPr="00215B2F">
        <w:rPr>
          <w:rFonts w:ascii="Arial" w:eastAsia="Arial" w:hAnsi="Arial" w:cs="Arial"/>
          <w:sz w:val="20"/>
          <w:szCs w:val="20"/>
        </w:rPr>
        <w:t xml:space="preserve"> primernosti pisno obvesti banko. Navedeni rok lahko Banka Slovenije zlasti v primeru pridobivanja dodatnih informacij in dokumentacije ter ustnega razgovora po potrebi podaljša. </w:t>
      </w:r>
    </w:p>
    <w:p w14:paraId="699F090D"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152B23B2" w14:textId="2E15D2B8"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3.4.</w:t>
      </w:r>
      <w:r w:rsidR="0044147E" w:rsidRPr="00215B2F">
        <w:rPr>
          <w:rFonts w:ascii="Arial" w:eastAsia="Arial" w:hAnsi="Arial" w:cs="Arial"/>
          <w:i/>
          <w:iCs/>
          <w:sz w:val="20"/>
          <w:szCs w:val="20"/>
        </w:rPr>
        <w:t>5</w:t>
      </w:r>
      <w:r w:rsidRPr="00215B2F">
        <w:rPr>
          <w:rFonts w:ascii="Arial" w:eastAsia="Arial" w:hAnsi="Arial" w:cs="Arial"/>
          <w:i/>
          <w:iCs/>
          <w:sz w:val="20"/>
          <w:szCs w:val="20"/>
        </w:rPr>
        <w:t xml:space="preserve"> Podzakonski predpisi v zvezi z delovanjem upravljalnega organa in nosilcev ključnih funkcij</w:t>
      </w:r>
    </w:p>
    <w:p w14:paraId="330533B0"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99CC079"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03" w:name="_Ref202963340"/>
      <w:r w:rsidRPr="00215B2F">
        <w:rPr>
          <w:rFonts w:ascii="Arial" w:eastAsia="Arial" w:hAnsi="Arial" w:cs="Arial"/>
          <w:b/>
          <w:bCs/>
          <w:sz w:val="20"/>
          <w:szCs w:val="20"/>
        </w:rPr>
        <w:t>člen</w:t>
      </w:r>
      <w:bookmarkEnd w:id="103"/>
    </w:p>
    <w:p w14:paraId="7A9A2C8E" w14:textId="77777777" w:rsidR="00D91782" w:rsidRPr="00215B2F" w:rsidRDefault="00D91782" w:rsidP="00FD5520">
      <w:pPr>
        <w:pStyle w:val="Slog1"/>
        <w:shd w:val="clear" w:color="auto" w:fill="FFFFFF" w:themeFill="background1"/>
        <w:rPr>
          <w:sz w:val="20"/>
          <w:szCs w:val="20"/>
        </w:rPr>
      </w:pPr>
      <w:r w:rsidRPr="00215B2F">
        <w:rPr>
          <w:sz w:val="20"/>
          <w:szCs w:val="20"/>
        </w:rPr>
        <w:t>(predpisi o upravljalnem organu)</w:t>
      </w:r>
    </w:p>
    <w:p w14:paraId="07AC36AE" w14:textId="77777777" w:rsidR="00D91782" w:rsidRPr="00215B2F" w:rsidRDefault="00D91782" w:rsidP="00FD5520">
      <w:pPr>
        <w:pStyle w:val="Slog1"/>
        <w:shd w:val="clear" w:color="auto" w:fill="FFFFFF" w:themeFill="background1"/>
        <w:jc w:val="both"/>
        <w:rPr>
          <w:sz w:val="20"/>
          <w:szCs w:val="20"/>
        </w:rPr>
      </w:pPr>
    </w:p>
    <w:p w14:paraId="74BA64A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Slovenije predpiše:</w:t>
      </w:r>
    </w:p>
    <w:p w14:paraId="15FE8C96"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9E0CC10" w14:textId="204DE0B0" w:rsidR="00895214" w:rsidRPr="00215B2F" w:rsidRDefault="00D91782">
      <w:pPr>
        <w:pStyle w:val="tevilnatoka"/>
        <w:numPr>
          <w:ilvl w:val="0"/>
          <w:numId w:val="65"/>
        </w:numPr>
        <w:shd w:val="clear" w:color="auto" w:fill="FFFFFF" w:themeFill="background1"/>
        <w:tabs>
          <w:tab w:val="clear" w:pos="425"/>
        </w:tabs>
        <w:rPr>
          <w:rFonts w:cs="Arial"/>
          <w:bCs/>
          <w:sz w:val="20"/>
          <w:szCs w:val="20"/>
        </w:rPr>
      </w:pPr>
      <w:r w:rsidRPr="00215B2F">
        <w:rPr>
          <w:rFonts w:eastAsia="Arial" w:cs="Arial"/>
          <w:sz w:val="20"/>
          <w:szCs w:val="20"/>
        </w:rPr>
        <w:lastRenderedPageBreak/>
        <w:t xml:space="preserve">podrobnejša pravila glede delovanja upravljalnega organa in njegovih komisij ter ravnanja njegovih članov v skladu s standardi ustrezne profesionalne skrbnosti in najvišjimi etičnimi standardi ter </w:t>
      </w:r>
      <w:r w:rsidR="00023640" w:rsidRPr="00215B2F">
        <w:rPr>
          <w:rFonts w:eastAsia="Arial" w:cs="Arial"/>
          <w:sz w:val="20"/>
          <w:szCs w:val="20"/>
        </w:rPr>
        <w:t xml:space="preserve">glede </w:t>
      </w:r>
      <w:r w:rsidRPr="00215B2F">
        <w:rPr>
          <w:rFonts w:eastAsia="Arial" w:cs="Arial"/>
          <w:sz w:val="20"/>
          <w:szCs w:val="20"/>
        </w:rPr>
        <w:t>preprečevanja nasprotja interesov;</w:t>
      </w:r>
    </w:p>
    <w:p w14:paraId="733F7B92" w14:textId="1EBED235" w:rsidR="00895214" w:rsidRPr="00215B2F" w:rsidRDefault="00D91782">
      <w:pPr>
        <w:pStyle w:val="tevilnatoka"/>
        <w:numPr>
          <w:ilvl w:val="0"/>
          <w:numId w:val="65"/>
        </w:numPr>
        <w:shd w:val="clear" w:color="auto" w:fill="FFFFFF" w:themeFill="background1"/>
        <w:tabs>
          <w:tab w:val="clear" w:pos="425"/>
        </w:tabs>
        <w:rPr>
          <w:rFonts w:cs="Arial"/>
          <w:bCs/>
          <w:sz w:val="20"/>
          <w:szCs w:val="20"/>
        </w:rPr>
      </w:pPr>
      <w:r w:rsidRPr="00215B2F">
        <w:rPr>
          <w:rFonts w:eastAsia="Arial" w:cs="Arial"/>
          <w:sz w:val="20"/>
          <w:szCs w:val="20"/>
        </w:rPr>
        <w:t xml:space="preserve">podrobnejšo vsebino meril za ocenjevanje ustreznosti kandidata za opravljanje funkcije člana uprave in podrobnejšo vsebino dokumentacije, ki jo </w:t>
      </w:r>
      <w:r w:rsidR="00F26C82" w:rsidRPr="00215B2F">
        <w:rPr>
          <w:rFonts w:eastAsia="Arial" w:cs="Arial"/>
          <w:sz w:val="20"/>
          <w:szCs w:val="20"/>
        </w:rPr>
        <w:t xml:space="preserve">priloži </w:t>
      </w:r>
      <w:r w:rsidRPr="00215B2F">
        <w:rPr>
          <w:rFonts w:eastAsia="Arial" w:cs="Arial"/>
          <w:sz w:val="20"/>
          <w:szCs w:val="20"/>
        </w:rPr>
        <w:t xml:space="preserve">kandidat za </w:t>
      </w:r>
      <w:r w:rsidR="00882103" w:rsidRPr="00215B2F">
        <w:rPr>
          <w:rFonts w:cs="Arial"/>
          <w:sz w:val="20"/>
          <w:szCs w:val="20"/>
        </w:rPr>
        <w:t>člana uprave</w:t>
      </w:r>
      <w:r w:rsidRPr="00215B2F">
        <w:rPr>
          <w:rFonts w:eastAsia="Arial" w:cs="Arial"/>
          <w:sz w:val="20"/>
          <w:szCs w:val="20"/>
        </w:rPr>
        <w:t xml:space="preserve"> zahtevi za izdajo dovoljenja za opravljanje funkcije </w:t>
      </w:r>
      <w:r w:rsidR="00882103" w:rsidRPr="00215B2F">
        <w:rPr>
          <w:rFonts w:cs="Arial"/>
          <w:sz w:val="20"/>
          <w:szCs w:val="20"/>
        </w:rPr>
        <w:t>člana uprave</w:t>
      </w:r>
      <w:r w:rsidRPr="00215B2F">
        <w:rPr>
          <w:rFonts w:eastAsia="Arial" w:cs="Arial"/>
          <w:sz w:val="20"/>
          <w:szCs w:val="20"/>
        </w:rPr>
        <w:t xml:space="preserve"> v zvezi z izpolnjevanjem pogojev iz </w:t>
      </w:r>
      <w:r w:rsidR="002A6DBF" w:rsidRPr="00215B2F">
        <w:rPr>
          <w:rFonts w:eastAsia="Arial" w:cs="Arial"/>
          <w:sz w:val="20"/>
          <w:szCs w:val="20"/>
        </w:rPr>
        <w:t>47</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3945C64D" w14:textId="7674A7F2" w:rsidR="00895214" w:rsidRPr="00215B2F" w:rsidRDefault="00D91782">
      <w:pPr>
        <w:pStyle w:val="tevilnatoka"/>
        <w:numPr>
          <w:ilvl w:val="0"/>
          <w:numId w:val="65"/>
        </w:numPr>
        <w:shd w:val="clear" w:color="auto" w:fill="FFFFFF" w:themeFill="background1"/>
        <w:tabs>
          <w:tab w:val="clear" w:pos="425"/>
        </w:tabs>
        <w:rPr>
          <w:rFonts w:cs="Arial"/>
          <w:bCs/>
          <w:sz w:val="20"/>
          <w:szCs w:val="20"/>
        </w:rPr>
      </w:pPr>
      <w:r w:rsidRPr="00215B2F">
        <w:rPr>
          <w:rFonts w:eastAsia="Arial" w:cs="Arial"/>
          <w:sz w:val="20"/>
          <w:szCs w:val="20"/>
        </w:rPr>
        <w:t xml:space="preserve">podrobnejšo vsebino meril za ocenjevanje ustreznosti kandidata za opravljanje funkcije člana </w:t>
      </w:r>
      <w:r w:rsidR="00354135" w:rsidRPr="00215B2F">
        <w:rPr>
          <w:rFonts w:cs="Arial"/>
          <w:sz w:val="20"/>
          <w:szCs w:val="20"/>
        </w:rPr>
        <w:t>nadzornega sveta</w:t>
      </w:r>
      <w:r w:rsidRPr="00215B2F">
        <w:rPr>
          <w:rFonts w:eastAsia="Arial" w:cs="Arial"/>
          <w:sz w:val="20"/>
          <w:szCs w:val="20"/>
        </w:rPr>
        <w:t xml:space="preserve"> in podrobnejšo vsebino dokumentacije, ki jo je treba priložiti zahtevi za izdajo dovoljenja za opravljanje funkcije člana </w:t>
      </w:r>
      <w:r w:rsidR="00354135" w:rsidRPr="00215B2F">
        <w:rPr>
          <w:rFonts w:cs="Arial"/>
          <w:sz w:val="20"/>
          <w:szCs w:val="20"/>
        </w:rPr>
        <w:t>nadzornega sveta</w:t>
      </w:r>
      <w:r w:rsidRPr="00215B2F">
        <w:rPr>
          <w:rFonts w:eastAsia="Arial" w:cs="Arial"/>
          <w:sz w:val="20"/>
          <w:szCs w:val="20"/>
        </w:rPr>
        <w:t xml:space="preserve"> v zvezi z izpolnjevanjem pogojev iz </w:t>
      </w:r>
      <w:r w:rsidR="002A6DBF" w:rsidRPr="00215B2F">
        <w:rPr>
          <w:rFonts w:eastAsia="Arial" w:cs="Arial"/>
          <w:sz w:val="20"/>
          <w:szCs w:val="20"/>
        </w:rPr>
        <w:t>62</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3590262B" w14:textId="3FDBAFB9" w:rsidR="00D91782" w:rsidRPr="00215B2F" w:rsidRDefault="00D91782">
      <w:pPr>
        <w:pStyle w:val="tevilnatoka"/>
        <w:numPr>
          <w:ilvl w:val="0"/>
          <w:numId w:val="65"/>
        </w:numPr>
        <w:shd w:val="clear" w:color="auto" w:fill="FFFFFF" w:themeFill="background1"/>
        <w:tabs>
          <w:tab w:val="clear" w:pos="425"/>
        </w:tabs>
        <w:rPr>
          <w:rFonts w:cs="Arial"/>
          <w:bCs/>
          <w:sz w:val="20"/>
          <w:szCs w:val="20"/>
        </w:rPr>
      </w:pPr>
      <w:r w:rsidRPr="00215B2F">
        <w:rPr>
          <w:rFonts w:eastAsia="Arial" w:cs="Arial"/>
          <w:sz w:val="20"/>
          <w:szCs w:val="20"/>
        </w:rPr>
        <w:t xml:space="preserve">podrobnejšo vsebino meril za ocenjevanje nosilcev ključnih funkcij banke in podrobnejšo vsebino dokumentacije, ki jo je treba priložiti obvestilu o imenovanju nosilca ključne funkcije v zvezi z izpolnjevanjem pogojev iz </w:t>
      </w:r>
      <w:r w:rsidR="002A6DBF" w:rsidRPr="00215B2F">
        <w:rPr>
          <w:rFonts w:eastAsia="Arial" w:cs="Arial"/>
          <w:sz w:val="20"/>
          <w:szCs w:val="20"/>
        </w:rPr>
        <w:t>72.</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76150C6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08A6C0B" w14:textId="745BEE24"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3.4.</w:t>
      </w:r>
      <w:r w:rsidR="0044147E" w:rsidRPr="00215B2F">
        <w:rPr>
          <w:rFonts w:ascii="Arial" w:eastAsia="Arial" w:hAnsi="Arial" w:cs="Arial"/>
          <w:i/>
          <w:iCs/>
          <w:sz w:val="20"/>
          <w:szCs w:val="20"/>
        </w:rPr>
        <w:t>6</w:t>
      </w:r>
      <w:r w:rsidRPr="00215B2F">
        <w:rPr>
          <w:rFonts w:ascii="Arial" w:eastAsia="Arial" w:hAnsi="Arial" w:cs="Arial"/>
          <w:i/>
          <w:iCs/>
          <w:sz w:val="20"/>
          <w:szCs w:val="20"/>
        </w:rPr>
        <w:t xml:space="preserve"> Uporaba določ</w:t>
      </w:r>
      <w:r w:rsidR="00D91CBF" w:rsidRPr="00215B2F">
        <w:rPr>
          <w:rFonts w:ascii="Arial" w:eastAsia="Arial" w:hAnsi="Arial" w:cs="Arial"/>
          <w:i/>
          <w:iCs/>
          <w:sz w:val="20"/>
          <w:szCs w:val="20"/>
        </w:rPr>
        <w:t>b</w:t>
      </w:r>
      <w:r w:rsidRPr="00215B2F">
        <w:rPr>
          <w:rFonts w:ascii="Arial" w:eastAsia="Arial" w:hAnsi="Arial" w:cs="Arial"/>
          <w:i/>
          <w:iCs/>
          <w:sz w:val="20"/>
          <w:szCs w:val="20"/>
        </w:rPr>
        <w:t xml:space="preserve"> </w:t>
      </w:r>
      <w:r w:rsidR="002538A4" w:rsidRPr="00215B2F">
        <w:rPr>
          <w:rFonts w:ascii="Arial" w:eastAsia="Arial" w:hAnsi="Arial" w:cs="Arial"/>
          <w:i/>
          <w:iCs/>
          <w:sz w:val="20"/>
          <w:szCs w:val="20"/>
        </w:rPr>
        <w:t>oddelka</w:t>
      </w:r>
      <w:r w:rsidRPr="00215B2F">
        <w:rPr>
          <w:rFonts w:ascii="Arial" w:eastAsia="Arial" w:hAnsi="Arial" w:cs="Arial"/>
          <w:i/>
          <w:iCs/>
          <w:sz w:val="20"/>
          <w:szCs w:val="20"/>
        </w:rPr>
        <w:t xml:space="preserve"> 3.4 za finančne holdinge in mešane finančne holdinge</w:t>
      </w:r>
    </w:p>
    <w:p w14:paraId="795FAF8B"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6DE679F"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04" w:name="_Ref202963356"/>
      <w:r w:rsidRPr="00215B2F">
        <w:rPr>
          <w:rFonts w:ascii="Arial" w:eastAsia="Arial" w:hAnsi="Arial" w:cs="Arial"/>
          <w:b/>
          <w:bCs/>
          <w:sz w:val="20"/>
          <w:szCs w:val="20"/>
        </w:rPr>
        <w:t>člen</w:t>
      </w:r>
      <w:bookmarkEnd w:id="104"/>
    </w:p>
    <w:p w14:paraId="3C4F7545" w14:textId="77777777" w:rsidR="00D91782" w:rsidRPr="00215B2F" w:rsidRDefault="00D91782" w:rsidP="00FD5520">
      <w:pPr>
        <w:pStyle w:val="Slog1"/>
        <w:shd w:val="clear" w:color="auto" w:fill="FFFFFF" w:themeFill="background1"/>
        <w:rPr>
          <w:sz w:val="20"/>
          <w:szCs w:val="20"/>
        </w:rPr>
      </w:pPr>
      <w:r w:rsidRPr="00215B2F">
        <w:rPr>
          <w:sz w:val="20"/>
          <w:szCs w:val="20"/>
        </w:rPr>
        <w:t>(upravljalni organi finančnih holdingov in mešanih finančnih holdingov)</w:t>
      </w:r>
    </w:p>
    <w:p w14:paraId="4F529DD3" w14:textId="77777777" w:rsidR="00D91782" w:rsidRPr="00215B2F" w:rsidRDefault="00D91782" w:rsidP="00FD5520">
      <w:pPr>
        <w:pStyle w:val="Slog1"/>
        <w:shd w:val="clear" w:color="auto" w:fill="FFFFFF" w:themeFill="background1"/>
        <w:jc w:val="both"/>
        <w:rPr>
          <w:sz w:val="20"/>
          <w:szCs w:val="20"/>
        </w:rPr>
      </w:pPr>
    </w:p>
    <w:p w14:paraId="2F7D859D" w14:textId="738D983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Določbe </w:t>
      </w:r>
      <w:r w:rsidR="002538A4" w:rsidRPr="00215B2F">
        <w:rPr>
          <w:rFonts w:ascii="Arial" w:eastAsia="Arial" w:hAnsi="Arial" w:cs="Arial"/>
          <w:sz w:val="20"/>
          <w:szCs w:val="20"/>
        </w:rPr>
        <w:t>oddelka</w:t>
      </w:r>
      <w:r w:rsidR="001F2C7A" w:rsidRPr="00215B2F">
        <w:rPr>
          <w:rFonts w:ascii="Arial" w:eastAsia="Arial" w:hAnsi="Arial" w:cs="Arial"/>
          <w:sz w:val="20"/>
          <w:szCs w:val="20"/>
        </w:rPr>
        <w:t xml:space="preserve"> </w:t>
      </w:r>
      <w:r w:rsidR="00023640" w:rsidRPr="00215B2F">
        <w:rPr>
          <w:rFonts w:ascii="Arial" w:eastAsia="Arial" w:hAnsi="Arial" w:cs="Arial"/>
          <w:sz w:val="20"/>
          <w:szCs w:val="20"/>
        </w:rPr>
        <w:t xml:space="preserve">3.4 </w:t>
      </w:r>
      <w:r w:rsidR="001F2C7A" w:rsidRPr="00215B2F">
        <w:rPr>
          <w:rFonts w:ascii="Arial" w:eastAsia="Arial" w:hAnsi="Arial" w:cs="Arial"/>
          <w:sz w:val="20"/>
          <w:szCs w:val="20"/>
        </w:rPr>
        <w:t>tega zakona</w:t>
      </w:r>
      <w:r w:rsidRPr="00215B2F">
        <w:rPr>
          <w:rFonts w:ascii="Arial" w:eastAsia="Arial" w:hAnsi="Arial" w:cs="Arial"/>
          <w:sz w:val="20"/>
          <w:szCs w:val="20"/>
        </w:rPr>
        <w:t xml:space="preserve"> se smis</w:t>
      </w:r>
      <w:r w:rsidR="008A48F0" w:rsidRPr="00215B2F">
        <w:rPr>
          <w:rFonts w:ascii="Arial" w:eastAsia="Arial" w:hAnsi="Arial" w:cs="Arial"/>
          <w:sz w:val="20"/>
          <w:szCs w:val="20"/>
        </w:rPr>
        <w:t>e</w:t>
      </w:r>
      <w:r w:rsidRPr="00215B2F">
        <w:rPr>
          <w:rFonts w:ascii="Arial" w:eastAsia="Arial" w:hAnsi="Arial" w:cs="Arial"/>
          <w:sz w:val="20"/>
          <w:szCs w:val="20"/>
        </w:rPr>
        <w:t>lno up</w:t>
      </w:r>
      <w:r w:rsidR="008A48F0" w:rsidRPr="00215B2F">
        <w:rPr>
          <w:rFonts w:ascii="Arial" w:eastAsia="Arial" w:hAnsi="Arial" w:cs="Arial"/>
          <w:sz w:val="20"/>
          <w:szCs w:val="20"/>
        </w:rPr>
        <w:t>o</w:t>
      </w:r>
      <w:r w:rsidRPr="00215B2F">
        <w:rPr>
          <w:rFonts w:ascii="Arial" w:eastAsia="Arial" w:hAnsi="Arial" w:cs="Arial"/>
          <w:sz w:val="20"/>
          <w:szCs w:val="20"/>
        </w:rPr>
        <w:t>rabljajo tudi za upravljalne org</w:t>
      </w:r>
      <w:r w:rsidR="004D039A" w:rsidRPr="00215B2F">
        <w:rPr>
          <w:rFonts w:ascii="Arial" w:eastAsia="Arial" w:hAnsi="Arial" w:cs="Arial"/>
          <w:sz w:val="20"/>
          <w:szCs w:val="20"/>
        </w:rPr>
        <w:t>a</w:t>
      </w:r>
      <w:r w:rsidRPr="00215B2F">
        <w:rPr>
          <w:rFonts w:ascii="Arial" w:eastAsia="Arial" w:hAnsi="Arial" w:cs="Arial"/>
          <w:sz w:val="20"/>
          <w:szCs w:val="20"/>
        </w:rPr>
        <w:t xml:space="preserve">ne finančnih holdingov in mešanih finančnih holdingov, ki so pridobili odobritev v skladu s </w:t>
      </w:r>
      <w:r w:rsidR="002A6DBF" w:rsidRPr="00215B2F">
        <w:rPr>
          <w:rFonts w:ascii="Arial" w:eastAsia="Arial" w:hAnsi="Arial" w:cs="Arial"/>
          <w:sz w:val="20"/>
          <w:szCs w:val="20"/>
        </w:rPr>
        <w:t>111</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razen če ta zakon izrecno določa drugače. </w:t>
      </w:r>
    </w:p>
    <w:p w14:paraId="57BCF87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D7BA954" w14:textId="7F29D0E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Za ocen</w:t>
      </w:r>
      <w:r w:rsidR="00023640" w:rsidRPr="00215B2F">
        <w:rPr>
          <w:rFonts w:ascii="Arial" w:eastAsia="Arial" w:hAnsi="Arial" w:cs="Arial"/>
          <w:sz w:val="20"/>
          <w:szCs w:val="20"/>
        </w:rPr>
        <w:t>jevanje</w:t>
      </w:r>
      <w:r w:rsidRPr="00215B2F">
        <w:rPr>
          <w:rFonts w:ascii="Arial" w:eastAsia="Arial" w:hAnsi="Arial" w:cs="Arial"/>
          <w:sz w:val="20"/>
          <w:szCs w:val="20"/>
        </w:rPr>
        <w:t xml:space="preserve"> nosilca ključne funkcije finančnega holdinga ali mešanega finančnega holdinga, ki ima sedež v drugi državi članici kot institucija</w:t>
      </w:r>
      <w:r w:rsidR="00DE50D5" w:rsidRPr="00215B2F">
        <w:rPr>
          <w:rFonts w:ascii="Arial" w:eastAsia="Arial" w:hAnsi="Arial" w:cs="Arial"/>
          <w:sz w:val="20"/>
          <w:szCs w:val="20"/>
        </w:rPr>
        <w:t>,</w:t>
      </w:r>
      <w:r w:rsidRPr="00215B2F">
        <w:rPr>
          <w:rFonts w:ascii="Arial" w:eastAsia="Arial" w:hAnsi="Arial" w:cs="Arial"/>
          <w:sz w:val="20"/>
          <w:szCs w:val="20"/>
        </w:rPr>
        <w:t xml:space="preserve"> je pristojen nadzorni organ države članice, v kateri ima sedež finančni holding ali mešani finančni holding. </w:t>
      </w:r>
    </w:p>
    <w:p w14:paraId="0C1BFEC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90A6E37" w14:textId="0241059E" w:rsidR="00D91782" w:rsidRPr="00215B2F" w:rsidRDefault="00D91782" w:rsidP="00FD5520">
      <w:pPr>
        <w:pStyle w:val="Slog3"/>
        <w:shd w:val="clear" w:color="auto" w:fill="FFFFFF" w:themeFill="background1"/>
        <w:rPr>
          <w:sz w:val="20"/>
          <w:szCs w:val="20"/>
        </w:rPr>
      </w:pPr>
      <w:r w:rsidRPr="00215B2F">
        <w:rPr>
          <w:sz w:val="20"/>
          <w:szCs w:val="20"/>
        </w:rPr>
        <w:t>3.5 DELNIČARSKI SPORAZUMI IN KVALIFICIRANI DELEŽI</w:t>
      </w:r>
    </w:p>
    <w:p w14:paraId="1032FDDD"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0F41BE8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05" w:name="_Ref202963366"/>
      <w:r w:rsidRPr="00215B2F">
        <w:rPr>
          <w:rFonts w:ascii="Arial" w:eastAsia="Arial" w:hAnsi="Arial" w:cs="Arial"/>
          <w:b/>
          <w:bCs/>
          <w:sz w:val="20"/>
          <w:szCs w:val="20"/>
        </w:rPr>
        <w:t>člen</w:t>
      </w:r>
      <w:bookmarkEnd w:id="105"/>
    </w:p>
    <w:p w14:paraId="078FD584" w14:textId="77777777" w:rsidR="00D91782" w:rsidRPr="00215B2F" w:rsidRDefault="00D91782" w:rsidP="00FD5520">
      <w:pPr>
        <w:pStyle w:val="Slog1"/>
        <w:shd w:val="clear" w:color="auto" w:fill="FFFFFF" w:themeFill="background1"/>
        <w:rPr>
          <w:sz w:val="20"/>
          <w:szCs w:val="20"/>
        </w:rPr>
      </w:pPr>
      <w:r w:rsidRPr="00215B2F">
        <w:rPr>
          <w:sz w:val="20"/>
          <w:szCs w:val="20"/>
        </w:rPr>
        <w:t>(delničarski sporazum)</w:t>
      </w:r>
    </w:p>
    <w:p w14:paraId="33FEE38C" w14:textId="77777777" w:rsidR="00D91782" w:rsidRPr="00215B2F" w:rsidRDefault="00D91782" w:rsidP="00FD5520">
      <w:pPr>
        <w:pStyle w:val="Slog1"/>
        <w:shd w:val="clear" w:color="auto" w:fill="FFFFFF" w:themeFill="background1"/>
        <w:jc w:val="both"/>
        <w:rPr>
          <w:sz w:val="20"/>
          <w:szCs w:val="20"/>
        </w:rPr>
      </w:pPr>
    </w:p>
    <w:p w14:paraId="546C4D5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Delničarji banke, ki so skupno imetniki delnic, na podlagi katerih ne dosegajo kvalificiranega deleža v banki, in ki sklenejo sporazum o usklajenem izvrševanju upravljavskih upravičenj iz teh delnic (v nadaljnjem besedilu: delničarski sporazum), morajo v osmih dneh po sklenitvi sporazuma o tem obvestiti Banko Slovenije.</w:t>
      </w:r>
    </w:p>
    <w:p w14:paraId="7C487C1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9E020DA" w14:textId="1F21D6B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Kot delničarski sporazum šteje tudi</w:t>
      </w:r>
      <w:r w:rsidR="00A3510B" w:rsidRPr="00215B2F">
        <w:rPr>
          <w:rFonts w:ascii="Arial" w:eastAsia="Arial" w:hAnsi="Arial" w:cs="Arial"/>
          <w:sz w:val="20"/>
          <w:szCs w:val="20"/>
        </w:rPr>
        <w:t>,</w:t>
      </w:r>
      <w:r w:rsidRPr="00215B2F">
        <w:rPr>
          <w:rFonts w:ascii="Arial" w:eastAsia="Arial" w:hAnsi="Arial" w:cs="Arial"/>
          <w:sz w:val="20"/>
          <w:szCs w:val="20"/>
        </w:rPr>
        <w:t xml:space="preserve"> kadar neposredni ali posredni imetniki deleža sklepajo sporazume v zvezi z upravljanjem banke ali glede upravljanja banke delujejo usklajeno. </w:t>
      </w:r>
    </w:p>
    <w:p w14:paraId="06593D0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886728F"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06" w:name="_Ref202963371"/>
      <w:r w:rsidRPr="00215B2F">
        <w:rPr>
          <w:rFonts w:ascii="Arial" w:eastAsia="Arial" w:hAnsi="Arial" w:cs="Arial"/>
          <w:b/>
          <w:bCs/>
          <w:sz w:val="20"/>
          <w:szCs w:val="20"/>
        </w:rPr>
        <w:t>člen</w:t>
      </w:r>
      <w:bookmarkEnd w:id="106"/>
    </w:p>
    <w:p w14:paraId="2CA93DAA" w14:textId="77777777" w:rsidR="00D91782" w:rsidRPr="00215B2F" w:rsidRDefault="00D91782" w:rsidP="00FD5520">
      <w:pPr>
        <w:pStyle w:val="Slog1"/>
        <w:shd w:val="clear" w:color="auto" w:fill="FFFFFF" w:themeFill="background1"/>
        <w:rPr>
          <w:sz w:val="20"/>
          <w:szCs w:val="20"/>
        </w:rPr>
      </w:pPr>
      <w:r w:rsidRPr="00215B2F">
        <w:rPr>
          <w:sz w:val="20"/>
          <w:szCs w:val="20"/>
        </w:rPr>
        <w:t>(pridobitev kvalificiranega deleža)</w:t>
      </w:r>
    </w:p>
    <w:p w14:paraId="73AF601F" w14:textId="77777777" w:rsidR="00D91782" w:rsidRPr="00215B2F" w:rsidRDefault="00D91782" w:rsidP="00FD5520">
      <w:pPr>
        <w:pStyle w:val="Slog1"/>
        <w:shd w:val="clear" w:color="auto" w:fill="FFFFFF" w:themeFill="background1"/>
        <w:jc w:val="both"/>
        <w:rPr>
          <w:sz w:val="20"/>
          <w:szCs w:val="20"/>
        </w:rPr>
      </w:pPr>
    </w:p>
    <w:p w14:paraId="2A077C66" w14:textId="1381391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Oseba, ki namerava neposredno ali posredno pridobiti kvalificirani delež v banki (v nadaljnjem besedilu: bodoči kvalificirani imetnik), mora pred pridobitvijo takega deleža vložiti zahtevo za oceno primernosti v skladu </w:t>
      </w:r>
      <w:r w:rsidR="00C20E3C" w:rsidRPr="00215B2F">
        <w:rPr>
          <w:rFonts w:ascii="Arial" w:eastAsia="Arial" w:hAnsi="Arial" w:cs="Arial"/>
          <w:sz w:val="20"/>
          <w:szCs w:val="20"/>
        </w:rPr>
        <w:t xml:space="preserve">s </w:t>
      </w:r>
      <w:r w:rsidR="002A6DBF" w:rsidRPr="00215B2F">
        <w:rPr>
          <w:rFonts w:ascii="Arial" w:eastAsia="Arial" w:hAnsi="Arial" w:cs="Arial"/>
          <w:sz w:val="20"/>
          <w:szCs w:val="20"/>
        </w:rPr>
        <w:t>85</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in pridobiti odločitev o nenasprotovanju za pridobitev kvalificiranega deleža v banki iz </w:t>
      </w:r>
      <w:r w:rsidR="002A6DBF" w:rsidRPr="00215B2F">
        <w:rPr>
          <w:rFonts w:ascii="Arial" w:eastAsia="Arial" w:hAnsi="Arial" w:cs="Arial"/>
          <w:sz w:val="20"/>
          <w:szCs w:val="20"/>
        </w:rPr>
        <w:t>91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(v nadaljnjem besedilu: odločitev o nenasprotovanju).</w:t>
      </w:r>
    </w:p>
    <w:p w14:paraId="59E28D48"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C3C27B2" w14:textId="66C970F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Osebe, ki so se sporazumele, da bodo delovale usklajeno pri pridobivanju kvalificiranega deleža v banki z namenom sklenitve delničarskega sporazuma (v nadaljnjem besedilu: bodoči skupni kvalificirani imetniki)</w:t>
      </w:r>
      <w:r w:rsidR="00C20E3C" w:rsidRPr="00215B2F">
        <w:rPr>
          <w:rFonts w:ascii="Arial" w:eastAsia="Arial" w:hAnsi="Arial" w:cs="Arial"/>
          <w:sz w:val="20"/>
          <w:szCs w:val="20"/>
        </w:rPr>
        <w:t>,</w:t>
      </w:r>
      <w:r w:rsidRPr="00215B2F">
        <w:rPr>
          <w:rFonts w:ascii="Arial" w:eastAsia="Arial" w:hAnsi="Arial" w:cs="Arial"/>
          <w:sz w:val="20"/>
          <w:szCs w:val="20"/>
        </w:rPr>
        <w:t xml:space="preserve"> in nameravajo pridobiti delež, na podlagi katerega bi skupno dosegle ali presegle kvalificirani delež, morajo pred pridobitvijo takega deleža pridobiti odločitev o nenasprotovanju.</w:t>
      </w:r>
    </w:p>
    <w:p w14:paraId="427F9008"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ACBE548" w14:textId="146A5E0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Imetniki deležev v banki, ki so skupno že imetniki deležev v banki, na podlagi katerih dosegajo ali presegajo kvalificirani delež v banki, in ki nameravajo skleniti delničarski sporazum (v nadaljnjem besedilu: kvalificirani delničarski sporazum), morajo pred sklenitvijo takega sporazuma pridobiti odločitev o nenasprotovanju.</w:t>
      </w:r>
    </w:p>
    <w:p w14:paraId="51856ED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B27BA52" w14:textId="5F7723A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(4) Udeleženci kvalificiranega delničarskega sporazuma morajo pred vsakim nadaljnjim povečanjem deleža v banki, na podlagi katerega skupni delež udeležencev delniškega sporazuma preseže razpon iz </w:t>
      </w:r>
      <w:r w:rsidR="002A6DBF" w:rsidRPr="00215B2F">
        <w:rPr>
          <w:rFonts w:ascii="Arial" w:eastAsia="Arial" w:hAnsi="Arial" w:cs="Arial"/>
          <w:sz w:val="20"/>
          <w:szCs w:val="20"/>
        </w:rPr>
        <w:t>91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za katerega velja že izdano dovoljenje za pridobitev kvalificiranega deleža, pridobiti novo odločitev o nenasprotovanju.</w:t>
      </w:r>
    </w:p>
    <w:p w14:paraId="4046C88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E23BA59" w14:textId="73D667C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Prejšnji odstavek se smiselno uporablja tudi, če namerava h kvalificiranemu delničarskemu sporazumu pristopiti nov udeleženec.</w:t>
      </w:r>
    </w:p>
    <w:p w14:paraId="1954F3C9"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BB0CB29" w14:textId="0195299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Šteje se, če se ne dokaže drugače, da delujejo kot bodoči skupni kvalificirani imetniki ali so sklenili kvalificiran</w:t>
      </w:r>
      <w:r w:rsidR="003E05EB" w:rsidRPr="00215B2F">
        <w:rPr>
          <w:rFonts w:ascii="Arial" w:eastAsia="Arial" w:hAnsi="Arial" w:cs="Arial"/>
          <w:sz w:val="20"/>
          <w:szCs w:val="20"/>
        </w:rPr>
        <w:t>i</w:t>
      </w:r>
      <w:r w:rsidRPr="00215B2F">
        <w:rPr>
          <w:rFonts w:ascii="Arial" w:eastAsia="Arial" w:hAnsi="Arial" w:cs="Arial"/>
          <w:sz w:val="20"/>
          <w:szCs w:val="20"/>
        </w:rPr>
        <w:t xml:space="preserve"> delničarski sporazum:</w:t>
      </w:r>
    </w:p>
    <w:p w14:paraId="0980BAF5"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C554B00" w14:textId="77777777" w:rsidR="00895214" w:rsidRPr="00215B2F" w:rsidRDefault="00D91782">
      <w:pPr>
        <w:pStyle w:val="tevilnatoka"/>
        <w:numPr>
          <w:ilvl w:val="0"/>
          <w:numId w:val="66"/>
        </w:numPr>
        <w:shd w:val="clear" w:color="auto" w:fill="FFFFFF" w:themeFill="background1"/>
        <w:tabs>
          <w:tab w:val="clear" w:pos="425"/>
        </w:tabs>
        <w:rPr>
          <w:rFonts w:cs="Arial"/>
          <w:bCs/>
          <w:sz w:val="20"/>
          <w:szCs w:val="20"/>
        </w:rPr>
      </w:pPr>
      <w:r w:rsidRPr="00215B2F">
        <w:rPr>
          <w:rFonts w:eastAsia="Arial" w:cs="Arial"/>
          <w:sz w:val="20"/>
          <w:szCs w:val="20"/>
        </w:rPr>
        <w:t>člani organa vodenja ali nadzora s pravnimi osebami, v katerih opravljajo to funkcijo;</w:t>
      </w:r>
    </w:p>
    <w:p w14:paraId="76FE4BCA" w14:textId="77777777" w:rsidR="00895214" w:rsidRPr="00215B2F" w:rsidRDefault="00D91782">
      <w:pPr>
        <w:pStyle w:val="tevilnatoka"/>
        <w:numPr>
          <w:ilvl w:val="0"/>
          <w:numId w:val="66"/>
        </w:numPr>
        <w:shd w:val="clear" w:color="auto" w:fill="FFFFFF" w:themeFill="background1"/>
        <w:tabs>
          <w:tab w:val="clear" w:pos="425"/>
        </w:tabs>
        <w:rPr>
          <w:rFonts w:cs="Arial"/>
          <w:bCs/>
          <w:sz w:val="20"/>
          <w:szCs w:val="20"/>
        </w:rPr>
      </w:pPr>
      <w:r w:rsidRPr="00215B2F">
        <w:rPr>
          <w:rFonts w:eastAsia="Arial" w:cs="Arial"/>
          <w:sz w:val="20"/>
          <w:szCs w:val="20"/>
        </w:rPr>
        <w:t>osebe, ki so med seboj povezane kot ožji družinski člani;</w:t>
      </w:r>
    </w:p>
    <w:p w14:paraId="323D16DD" w14:textId="2F7357DB" w:rsidR="00D91782" w:rsidRPr="00215B2F" w:rsidRDefault="00D91782">
      <w:pPr>
        <w:pStyle w:val="tevilnatoka"/>
        <w:numPr>
          <w:ilvl w:val="0"/>
          <w:numId w:val="66"/>
        </w:numPr>
        <w:shd w:val="clear" w:color="auto" w:fill="FFFFFF" w:themeFill="background1"/>
        <w:tabs>
          <w:tab w:val="clear" w:pos="425"/>
        </w:tabs>
        <w:rPr>
          <w:rFonts w:cs="Arial"/>
          <w:bCs/>
          <w:sz w:val="20"/>
          <w:szCs w:val="20"/>
        </w:rPr>
      </w:pPr>
      <w:r w:rsidRPr="00215B2F">
        <w:rPr>
          <w:rFonts w:eastAsia="Arial" w:cs="Arial"/>
          <w:sz w:val="20"/>
          <w:szCs w:val="20"/>
        </w:rPr>
        <w:t>osebe, ki so na skupščini banke:</w:t>
      </w:r>
    </w:p>
    <w:p w14:paraId="4DB1452B"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predlagale sprejetje sklepa o imenovanju ali odpoklicu članov upravljalnega organa ali drugega sklepa, ki se po ZGD-1 sprejema z večino najmanj treh četrtin pri sklepanju zastopanega osnovnega kapitala, in</w:t>
      </w:r>
    </w:p>
    <w:p w14:paraId="42C33B8E" w14:textId="28A7F00F"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z uresničevanjem glasovalnih pravic ali na drug način dosegle sprejetje tega sklepa.</w:t>
      </w:r>
    </w:p>
    <w:p w14:paraId="26AA4E56"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6D09837" w14:textId="2D3C734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(7) Določbe tega zakona, ki urejajo pridobitev kvalificiranega deleža ter pravice in obveznosti posameznega kvalificiranega imetnika, se smiselno uporabljajo tudi za bodoče skupne kvalificirane imetnike in za delničarje, ki nameravajo skleniti kvalificirani delničarski sporazum.</w:t>
      </w:r>
    </w:p>
    <w:p w14:paraId="72EDD3E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B6C69D2" w14:textId="1522C8E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(8) Oseba, ki že razpolaga s kvalificiranim deležem, za katerega je pridobila ustrezno odločitev o nenasprotovanju</w:t>
      </w:r>
      <w:r w:rsidR="003E05EB" w:rsidRPr="00215B2F">
        <w:rPr>
          <w:rFonts w:ascii="Arial" w:eastAsia="Arial" w:hAnsi="Arial" w:cs="Arial"/>
          <w:sz w:val="20"/>
          <w:szCs w:val="20"/>
        </w:rPr>
        <w:t>,</w:t>
      </w:r>
      <w:r w:rsidRPr="00215B2F">
        <w:rPr>
          <w:rFonts w:ascii="Arial" w:eastAsia="Arial" w:hAnsi="Arial" w:cs="Arial"/>
          <w:sz w:val="20"/>
          <w:szCs w:val="20"/>
        </w:rPr>
        <w:t xml:space="preserve"> in se njen položaj spremeni iz posrednega v neposrednega kvalificiranega imetnika ali obratno, o tem obvesti Banko Slovenije. Banka Slovenije v sodelovanju z Evropsko centralno banko oceni</w:t>
      </w:r>
      <w:r w:rsidR="003E05EB" w:rsidRPr="00215B2F">
        <w:rPr>
          <w:rFonts w:ascii="Arial" w:eastAsia="Arial" w:hAnsi="Arial" w:cs="Arial"/>
          <w:sz w:val="20"/>
          <w:szCs w:val="20"/>
        </w:rPr>
        <w:t>,</w:t>
      </w:r>
      <w:r w:rsidRPr="00215B2F">
        <w:rPr>
          <w:rFonts w:ascii="Arial" w:eastAsia="Arial" w:hAnsi="Arial" w:cs="Arial"/>
          <w:sz w:val="20"/>
          <w:szCs w:val="20"/>
        </w:rPr>
        <w:t xml:space="preserve"> ali je upoštevaje okoliščine take spremembe potrebna nova ocena primernosti za pridobitev kvalificiranega deleža. </w:t>
      </w:r>
    </w:p>
    <w:p w14:paraId="2924701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5ECCAD0"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07" w:name="_Ref202963377"/>
      <w:r w:rsidRPr="00215B2F">
        <w:rPr>
          <w:rFonts w:ascii="Arial" w:eastAsia="Arial" w:hAnsi="Arial" w:cs="Arial"/>
          <w:b/>
          <w:bCs/>
          <w:sz w:val="20"/>
          <w:szCs w:val="20"/>
        </w:rPr>
        <w:t>člen</w:t>
      </w:r>
      <w:bookmarkEnd w:id="107"/>
    </w:p>
    <w:p w14:paraId="2722E443" w14:textId="77777777" w:rsidR="00D91782" w:rsidRPr="00215B2F" w:rsidRDefault="00D91782" w:rsidP="00FD5520">
      <w:pPr>
        <w:pStyle w:val="Slog1"/>
        <w:shd w:val="clear" w:color="auto" w:fill="FFFFFF" w:themeFill="background1"/>
        <w:rPr>
          <w:sz w:val="20"/>
          <w:szCs w:val="20"/>
        </w:rPr>
      </w:pPr>
      <w:r w:rsidRPr="00215B2F">
        <w:rPr>
          <w:sz w:val="20"/>
          <w:szCs w:val="20"/>
        </w:rPr>
        <w:t>(drugi primeri pridobitve kvalificiranega deleža banke)</w:t>
      </w:r>
    </w:p>
    <w:p w14:paraId="009BA2D4" w14:textId="77777777" w:rsidR="00D91782" w:rsidRPr="00215B2F" w:rsidRDefault="00D91782" w:rsidP="00FD5520">
      <w:pPr>
        <w:pStyle w:val="Slog1"/>
        <w:shd w:val="clear" w:color="auto" w:fill="FFFFFF" w:themeFill="background1"/>
        <w:jc w:val="both"/>
        <w:rPr>
          <w:sz w:val="20"/>
          <w:szCs w:val="20"/>
        </w:rPr>
      </w:pPr>
    </w:p>
    <w:p w14:paraId="6DC2533D" w14:textId="25FAEBB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108" w:name="_Hlk203474661"/>
      <w:r w:rsidRPr="00215B2F">
        <w:rPr>
          <w:rFonts w:ascii="Arial" w:eastAsia="Arial" w:hAnsi="Arial" w:cs="Arial"/>
          <w:sz w:val="20"/>
          <w:szCs w:val="20"/>
        </w:rPr>
        <w:t>(1) Oseba, ki namerava skleniti podjetniško pogodbo korporacijskega prava ali drug pravni posel, na podlagi katerega bo pridobila položaj nadrejene osebe banke, mora pred sklenitvijo tega pravnega posla pridobiti odločitev o nenasprotovanju, ne glede na to, ali je hkrati delničar banke oziroma k</w:t>
      </w:r>
      <w:r w:rsidR="00D643D2" w:rsidRPr="00215B2F">
        <w:rPr>
          <w:rFonts w:ascii="Arial" w:eastAsia="Arial" w:hAnsi="Arial" w:cs="Arial"/>
          <w:sz w:val="20"/>
          <w:szCs w:val="20"/>
        </w:rPr>
        <w:t>oli</w:t>
      </w:r>
      <w:r w:rsidRPr="00215B2F">
        <w:rPr>
          <w:rFonts w:ascii="Arial" w:eastAsia="Arial" w:hAnsi="Arial" w:cs="Arial"/>
          <w:sz w:val="20"/>
          <w:szCs w:val="20"/>
        </w:rPr>
        <w:t>kšen delež delnic banke ima.</w:t>
      </w:r>
    </w:p>
    <w:p w14:paraId="6D818686"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3003C27" w14:textId="7886847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Določbe tega zakona, ki urejajo pridobitev kvalificiranega deleža ter pravice in obveznosti posameznega kvalificiranega imetnika, se smiselno uporabljajo tudi za osebo iz prejšnjega odstavka.</w:t>
      </w:r>
    </w:p>
    <w:bookmarkEnd w:id="108"/>
    <w:p w14:paraId="4B10864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3FB162C"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09" w:name="_Ref202963385"/>
      <w:r w:rsidRPr="00215B2F">
        <w:rPr>
          <w:rFonts w:ascii="Arial" w:eastAsia="Arial" w:hAnsi="Arial" w:cs="Arial"/>
          <w:b/>
          <w:bCs/>
          <w:sz w:val="20"/>
          <w:szCs w:val="20"/>
        </w:rPr>
        <w:t>člen</w:t>
      </w:r>
      <w:bookmarkEnd w:id="109"/>
    </w:p>
    <w:p w14:paraId="0E61B7F2" w14:textId="77777777" w:rsidR="00D91782" w:rsidRPr="00215B2F" w:rsidRDefault="00D91782" w:rsidP="00FD5520">
      <w:pPr>
        <w:pStyle w:val="Slog1"/>
        <w:shd w:val="clear" w:color="auto" w:fill="FFFFFF" w:themeFill="background1"/>
        <w:rPr>
          <w:sz w:val="20"/>
          <w:szCs w:val="20"/>
        </w:rPr>
      </w:pPr>
      <w:r w:rsidRPr="00215B2F">
        <w:rPr>
          <w:sz w:val="20"/>
          <w:szCs w:val="20"/>
        </w:rPr>
        <w:t>(ugotavljanje kvalificiranega deleža)</w:t>
      </w:r>
    </w:p>
    <w:p w14:paraId="55DA86EB" w14:textId="77777777" w:rsidR="00D91782" w:rsidRPr="00215B2F" w:rsidRDefault="00D91782" w:rsidP="00FD5520">
      <w:pPr>
        <w:pStyle w:val="Slog1"/>
        <w:shd w:val="clear" w:color="auto" w:fill="FFFFFF" w:themeFill="background1"/>
        <w:jc w:val="both"/>
        <w:rPr>
          <w:sz w:val="20"/>
          <w:szCs w:val="20"/>
        </w:rPr>
      </w:pPr>
    </w:p>
    <w:p w14:paraId="3B76D49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Kot osnova za ugotavljanje kvalificiranega deleža na podlagi glasovalnih pravic se upoštevajo vse delnice banke z glasovalno pravico, vključno z lastnimi delnicami in delnicami, pri katerih je uresničevanje glasovalne pravice omejeno na podlagi zakona ali statuta banke v skladu z zakonom.</w:t>
      </w:r>
    </w:p>
    <w:p w14:paraId="41330DF5"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8C5876E" w14:textId="044AB5F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Pri ugotavljanju kvalificiranega deleža posamezne osebe (v nadaljnjem besedilu: morebitni kvalificirani imetnik) na podlagi glasovalnih pravic se upoštevajo glasovalne pravice, vsebovane v delnicah:</w:t>
      </w:r>
    </w:p>
    <w:p w14:paraId="56332CCE"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9443072" w14:textId="77777777" w:rsidR="00895214" w:rsidRPr="00215B2F" w:rsidRDefault="00D91782">
      <w:pPr>
        <w:pStyle w:val="tevilnatoka"/>
        <w:numPr>
          <w:ilvl w:val="0"/>
          <w:numId w:val="67"/>
        </w:numPr>
        <w:shd w:val="clear" w:color="auto" w:fill="FFFFFF" w:themeFill="background1"/>
        <w:tabs>
          <w:tab w:val="clear" w:pos="425"/>
        </w:tabs>
        <w:rPr>
          <w:rFonts w:cs="Arial"/>
          <w:bCs/>
          <w:sz w:val="20"/>
          <w:szCs w:val="20"/>
        </w:rPr>
      </w:pPr>
      <w:r w:rsidRPr="00215B2F">
        <w:rPr>
          <w:rFonts w:eastAsia="Arial" w:cs="Arial"/>
          <w:sz w:val="20"/>
          <w:szCs w:val="20"/>
        </w:rPr>
        <w:t>katerih imetnik je morebitni kvalificirani imetnik za svoj račun;</w:t>
      </w:r>
    </w:p>
    <w:p w14:paraId="66D054A4" w14:textId="77777777" w:rsidR="00895214" w:rsidRPr="00215B2F" w:rsidRDefault="00D91782">
      <w:pPr>
        <w:pStyle w:val="tevilnatoka"/>
        <w:numPr>
          <w:ilvl w:val="0"/>
          <w:numId w:val="67"/>
        </w:numPr>
        <w:shd w:val="clear" w:color="auto" w:fill="FFFFFF" w:themeFill="background1"/>
        <w:tabs>
          <w:tab w:val="clear" w:pos="425"/>
        </w:tabs>
        <w:rPr>
          <w:rFonts w:cs="Arial"/>
          <w:bCs/>
          <w:sz w:val="20"/>
          <w:szCs w:val="20"/>
        </w:rPr>
      </w:pPr>
      <w:r w:rsidRPr="00215B2F">
        <w:rPr>
          <w:rFonts w:eastAsia="Arial" w:cs="Arial"/>
          <w:sz w:val="20"/>
          <w:szCs w:val="20"/>
        </w:rPr>
        <w:t>katerih imetnik je tretja oseba, s katero je morebitni kvalificirani imetnik sklenil pogodbo, ki pogodbeni stranki zavezuje, da z usklajenim uresničevanjem glasovalnih pravic, katerih imetnici sta, izvajata trajno skupno politiko upravljanja banke;</w:t>
      </w:r>
    </w:p>
    <w:p w14:paraId="029BBC42" w14:textId="77777777" w:rsidR="00895214" w:rsidRPr="00215B2F" w:rsidRDefault="00D91782">
      <w:pPr>
        <w:pStyle w:val="tevilnatoka"/>
        <w:numPr>
          <w:ilvl w:val="0"/>
          <w:numId w:val="67"/>
        </w:numPr>
        <w:shd w:val="clear" w:color="auto" w:fill="FFFFFF" w:themeFill="background1"/>
        <w:tabs>
          <w:tab w:val="clear" w:pos="425"/>
        </w:tabs>
        <w:rPr>
          <w:rFonts w:cs="Arial"/>
          <w:bCs/>
          <w:sz w:val="20"/>
          <w:szCs w:val="20"/>
        </w:rPr>
      </w:pPr>
      <w:r w:rsidRPr="00215B2F">
        <w:rPr>
          <w:rFonts w:eastAsia="Arial" w:cs="Arial"/>
          <w:sz w:val="20"/>
          <w:szCs w:val="20"/>
        </w:rPr>
        <w:t>katerih imetnik je tretja oseba, s katero je morebitni kvalificirani imetnik sklenil pogodbo, na podlagi katere je na to osebo odplačno začasno prenesel uresničevanje glasovalnih pravic;</w:t>
      </w:r>
    </w:p>
    <w:p w14:paraId="07C84ADC" w14:textId="77777777" w:rsidR="00895214" w:rsidRPr="00215B2F" w:rsidRDefault="00D91782">
      <w:pPr>
        <w:pStyle w:val="tevilnatoka"/>
        <w:numPr>
          <w:ilvl w:val="0"/>
          <w:numId w:val="67"/>
        </w:numPr>
        <w:shd w:val="clear" w:color="auto" w:fill="FFFFFF" w:themeFill="background1"/>
        <w:tabs>
          <w:tab w:val="clear" w:pos="425"/>
        </w:tabs>
        <w:rPr>
          <w:rFonts w:cs="Arial"/>
          <w:bCs/>
          <w:sz w:val="20"/>
          <w:szCs w:val="20"/>
        </w:rPr>
      </w:pPr>
      <w:r w:rsidRPr="00215B2F">
        <w:rPr>
          <w:rFonts w:eastAsia="Arial" w:cs="Arial"/>
          <w:sz w:val="20"/>
          <w:szCs w:val="20"/>
        </w:rPr>
        <w:t>ki so začasno prenesene na morebitnega kvalificiranega imetnika kot zavarovanje, če nadzoruje glasovalne pravice, vsebovane v teh delnicah, in izrazi namero, da jih bo uresničeval;</w:t>
      </w:r>
    </w:p>
    <w:p w14:paraId="1FFDFABF" w14:textId="77777777" w:rsidR="00895214" w:rsidRPr="00215B2F" w:rsidRDefault="00D91782">
      <w:pPr>
        <w:pStyle w:val="tevilnatoka"/>
        <w:numPr>
          <w:ilvl w:val="0"/>
          <w:numId w:val="67"/>
        </w:numPr>
        <w:shd w:val="clear" w:color="auto" w:fill="FFFFFF" w:themeFill="background1"/>
        <w:tabs>
          <w:tab w:val="clear" w:pos="425"/>
        </w:tabs>
        <w:rPr>
          <w:rFonts w:cs="Arial"/>
          <w:bCs/>
          <w:sz w:val="20"/>
          <w:szCs w:val="20"/>
        </w:rPr>
      </w:pPr>
      <w:r w:rsidRPr="00215B2F">
        <w:rPr>
          <w:rFonts w:eastAsia="Arial" w:cs="Arial"/>
          <w:sz w:val="20"/>
          <w:szCs w:val="20"/>
        </w:rPr>
        <w:t>glede katerih ima morebitni kvalificirani imetnik pravico užitka;</w:t>
      </w:r>
    </w:p>
    <w:p w14:paraId="19D63577" w14:textId="77777777" w:rsidR="00895214" w:rsidRPr="00215B2F" w:rsidRDefault="00D91782">
      <w:pPr>
        <w:pStyle w:val="tevilnatoka"/>
        <w:numPr>
          <w:ilvl w:val="0"/>
          <w:numId w:val="67"/>
        </w:numPr>
        <w:shd w:val="clear" w:color="auto" w:fill="FFFFFF" w:themeFill="background1"/>
        <w:tabs>
          <w:tab w:val="clear" w:pos="425"/>
        </w:tabs>
        <w:rPr>
          <w:rFonts w:cs="Arial"/>
          <w:bCs/>
          <w:sz w:val="20"/>
          <w:szCs w:val="20"/>
        </w:rPr>
      </w:pPr>
      <w:r w:rsidRPr="00215B2F">
        <w:rPr>
          <w:rFonts w:eastAsia="Arial" w:cs="Arial"/>
          <w:sz w:val="20"/>
          <w:szCs w:val="20"/>
        </w:rPr>
        <w:lastRenderedPageBreak/>
        <w:t>katerih imetnik je podrejena družba morebitnega kvalificiranega imetnika ali iz katerih lahko podrejena družba morebitnega kvalificiranega imetnika uresničuje glasovalne pravice v pomenu iz 2. do 5. točke tega odstavka;</w:t>
      </w:r>
    </w:p>
    <w:p w14:paraId="0F8DD86C" w14:textId="77777777" w:rsidR="00895214" w:rsidRPr="00215B2F" w:rsidRDefault="00D91782">
      <w:pPr>
        <w:pStyle w:val="tevilnatoka"/>
        <w:numPr>
          <w:ilvl w:val="0"/>
          <w:numId w:val="67"/>
        </w:numPr>
        <w:shd w:val="clear" w:color="auto" w:fill="FFFFFF" w:themeFill="background1"/>
        <w:tabs>
          <w:tab w:val="clear" w:pos="425"/>
        </w:tabs>
        <w:rPr>
          <w:rFonts w:cs="Arial"/>
          <w:bCs/>
          <w:sz w:val="20"/>
          <w:szCs w:val="20"/>
        </w:rPr>
      </w:pPr>
      <w:r w:rsidRPr="00215B2F">
        <w:rPr>
          <w:rFonts w:eastAsia="Arial" w:cs="Arial"/>
          <w:sz w:val="20"/>
          <w:szCs w:val="20"/>
        </w:rPr>
        <w:t>katerih imetnik je morebitni kvalificirani imetnik za račun tretje osebe in iz katerih lahko uresničuje glasovalno pravico po lastni presoji, če ne prejme ustreznih navodil te tretje osebe;</w:t>
      </w:r>
    </w:p>
    <w:p w14:paraId="19811C44" w14:textId="77777777" w:rsidR="00895214" w:rsidRPr="00215B2F" w:rsidRDefault="00D91782">
      <w:pPr>
        <w:pStyle w:val="tevilnatoka"/>
        <w:numPr>
          <w:ilvl w:val="0"/>
          <w:numId w:val="67"/>
        </w:numPr>
        <w:shd w:val="clear" w:color="auto" w:fill="FFFFFF" w:themeFill="background1"/>
        <w:tabs>
          <w:tab w:val="clear" w:pos="425"/>
        </w:tabs>
        <w:rPr>
          <w:rFonts w:cs="Arial"/>
          <w:bCs/>
          <w:sz w:val="20"/>
          <w:szCs w:val="20"/>
        </w:rPr>
      </w:pPr>
      <w:r w:rsidRPr="00215B2F">
        <w:rPr>
          <w:rFonts w:eastAsia="Arial" w:cs="Arial"/>
          <w:sz w:val="20"/>
          <w:szCs w:val="20"/>
        </w:rPr>
        <w:t>katerih imetnik je tretja oseba v svojem imenu in za račun morebitnega kvalificiranega imetnika;</w:t>
      </w:r>
    </w:p>
    <w:p w14:paraId="3E1210BC" w14:textId="79B1150A" w:rsidR="00D91782" w:rsidRPr="00215B2F" w:rsidRDefault="00D91782">
      <w:pPr>
        <w:pStyle w:val="tevilnatoka"/>
        <w:numPr>
          <w:ilvl w:val="0"/>
          <w:numId w:val="67"/>
        </w:numPr>
        <w:shd w:val="clear" w:color="auto" w:fill="FFFFFF" w:themeFill="background1"/>
        <w:tabs>
          <w:tab w:val="clear" w:pos="425"/>
        </w:tabs>
        <w:rPr>
          <w:rFonts w:cs="Arial"/>
          <w:bCs/>
          <w:sz w:val="20"/>
          <w:szCs w:val="20"/>
        </w:rPr>
      </w:pPr>
      <w:r w:rsidRPr="00215B2F">
        <w:rPr>
          <w:rFonts w:eastAsia="Arial" w:cs="Arial"/>
          <w:sz w:val="20"/>
          <w:szCs w:val="20"/>
        </w:rPr>
        <w:t>iz katerih lahko morebitni kvalificirani imetnik uresničuje glasovalne pravice kot pooblaščenec in ki jih ta lahko uresničuje po lastni presoji, če ne prejme ustreznih navodil od njihovega imetnika.</w:t>
      </w:r>
    </w:p>
    <w:p w14:paraId="0B380AEF"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618DF93" w14:textId="57524BF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Kot osnova za ugotavljanje kvalificiranega deleža na podlagi deleža v kapitalu se upoštevajo vse delnice, na katere je razdeljen osnovni kapital banke, vključno z lastnimi delnicami.</w:t>
      </w:r>
    </w:p>
    <w:p w14:paraId="7B5A6E9C"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345FE18" w14:textId="02BEE55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Pri ugotavljanju kvalificiranega deleža posameznega kvalificiranega imetnika na podlagi udeležbe v kapitalu se smiselno uporabljajo 1., 2., 3., 5., 6. in 8. točka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7F31A39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E5D3BD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10" w:name="_Ref203379608"/>
      <w:bookmarkStart w:id="111" w:name="_Hlk215772022"/>
      <w:r w:rsidRPr="00215B2F">
        <w:rPr>
          <w:rFonts w:ascii="Arial" w:eastAsia="Arial" w:hAnsi="Arial" w:cs="Arial"/>
          <w:b/>
          <w:bCs/>
          <w:sz w:val="20"/>
          <w:szCs w:val="20"/>
        </w:rPr>
        <w:t>člen</w:t>
      </w:r>
      <w:bookmarkEnd w:id="110"/>
    </w:p>
    <w:p w14:paraId="60C0955C" w14:textId="77777777" w:rsidR="00D91782" w:rsidRPr="00215B2F" w:rsidRDefault="00D91782" w:rsidP="00FD5520">
      <w:pPr>
        <w:pStyle w:val="Slog1"/>
        <w:shd w:val="clear" w:color="auto" w:fill="FFFFFF" w:themeFill="background1"/>
        <w:rPr>
          <w:sz w:val="20"/>
          <w:szCs w:val="20"/>
        </w:rPr>
      </w:pPr>
      <w:r w:rsidRPr="00215B2F">
        <w:rPr>
          <w:sz w:val="20"/>
          <w:szCs w:val="20"/>
        </w:rPr>
        <w:t>(izjeme pri ugotavljanju kvalificiranega deleža)</w:t>
      </w:r>
    </w:p>
    <w:p w14:paraId="572EC8E8" w14:textId="77777777" w:rsidR="00D91782" w:rsidRPr="00215B2F" w:rsidRDefault="00D91782" w:rsidP="00FD5520">
      <w:pPr>
        <w:pStyle w:val="Slog1"/>
        <w:shd w:val="clear" w:color="auto" w:fill="FFFFFF" w:themeFill="background1"/>
        <w:jc w:val="both"/>
        <w:rPr>
          <w:sz w:val="20"/>
          <w:szCs w:val="20"/>
        </w:rPr>
      </w:pPr>
    </w:p>
    <w:p w14:paraId="38DE47F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Pri ugotavljanju kvalificiranega deleža se ne upoštevajo:</w:t>
      </w:r>
    </w:p>
    <w:p w14:paraId="5C13E77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1465003" w14:textId="77777777" w:rsidR="00895214" w:rsidRPr="00215B2F" w:rsidRDefault="00D91782">
      <w:pPr>
        <w:pStyle w:val="tevilnatoka"/>
        <w:numPr>
          <w:ilvl w:val="0"/>
          <w:numId w:val="68"/>
        </w:numPr>
        <w:shd w:val="clear" w:color="auto" w:fill="FFFFFF" w:themeFill="background1"/>
        <w:tabs>
          <w:tab w:val="clear" w:pos="425"/>
        </w:tabs>
        <w:rPr>
          <w:rFonts w:cs="Arial"/>
          <w:bCs/>
          <w:sz w:val="20"/>
          <w:szCs w:val="20"/>
        </w:rPr>
      </w:pPr>
      <w:r w:rsidRPr="00215B2F">
        <w:rPr>
          <w:rFonts w:eastAsia="Arial" w:cs="Arial"/>
          <w:sz w:val="20"/>
          <w:szCs w:val="20"/>
        </w:rPr>
        <w:t>delnice, ki jih je morebitni kvalificirani imetnik pridobil izključno za poravnavo znotraj običajno kratkega poravnalnega obdobja;</w:t>
      </w:r>
    </w:p>
    <w:p w14:paraId="471FD57B" w14:textId="13A8E42D" w:rsidR="00D91782" w:rsidRPr="00215B2F" w:rsidRDefault="00D91782">
      <w:pPr>
        <w:pStyle w:val="tevilnatoka"/>
        <w:numPr>
          <w:ilvl w:val="0"/>
          <w:numId w:val="68"/>
        </w:numPr>
        <w:shd w:val="clear" w:color="auto" w:fill="FFFFFF" w:themeFill="background1"/>
        <w:tabs>
          <w:tab w:val="clear" w:pos="425"/>
        </w:tabs>
        <w:rPr>
          <w:rFonts w:cs="Arial"/>
          <w:bCs/>
          <w:sz w:val="20"/>
          <w:szCs w:val="20"/>
        </w:rPr>
      </w:pPr>
      <w:r w:rsidRPr="00215B2F">
        <w:rPr>
          <w:rFonts w:eastAsia="Arial" w:cs="Arial"/>
          <w:sz w:val="20"/>
          <w:szCs w:val="20"/>
        </w:rPr>
        <w:t>delnice, ki jih je morebitni kvalificirani imetnik pridobil za račun tretje osebe v zvezi z opravljanjem skrbniških storitev, če lahko iz teh delnic uresničuje glasovalne pravice samo na podlagi navodil, ki mu jih da oseba, za račun katere jih ima, v pisni obliki ali z uporabo elektronskega načina.</w:t>
      </w:r>
    </w:p>
    <w:p w14:paraId="2D96E679"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2B4DA747" w14:textId="63E6F02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Pri ugotavljanju kvalificiranega deleža družbe, ki je nadrejena družbi za upravljanje, se ne upoštevajo deleži iz naložb kolektivnih naložbenih podjemov v delnice banke, ki jih pod pogoji, določenimi v zakonu, ki ureja upravljanje investicijskih skladov, oziroma v aktu matične države članice družbe za upravljanje, s katerim se v pravni red te države prenaša Direktiva 2009/65/ES, upravlja družba za upravljanje, če družba za upravljanje uresničuje glasovalne pravice iz teh deležev neodvisno od nadrejene družbe.</w:t>
      </w:r>
    </w:p>
    <w:p w14:paraId="66299285"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D170F3B" w14:textId="533CFFA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Prejšnji odstavek se ne uporablja, če:</w:t>
      </w:r>
    </w:p>
    <w:p w14:paraId="4EF97652"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AA5AEDB" w14:textId="77777777" w:rsidR="00895214" w:rsidRPr="00215B2F" w:rsidRDefault="00D91782">
      <w:pPr>
        <w:pStyle w:val="tevilnatoka"/>
        <w:numPr>
          <w:ilvl w:val="0"/>
          <w:numId w:val="69"/>
        </w:numPr>
        <w:shd w:val="clear" w:color="auto" w:fill="FFFFFF" w:themeFill="background1"/>
        <w:tabs>
          <w:tab w:val="clear" w:pos="425"/>
        </w:tabs>
        <w:rPr>
          <w:rFonts w:cs="Arial"/>
          <w:bCs/>
          <w:sz w:val="20"/>
          <w:szCs w:val="20"/>
        </w:rPr>
      </w:pPr>
      <w:r w:rsidRPr="00215B2F">
        <w:rPr>
          <w:rFonts w:eastAsia="Arial" w:cs="Arial"/>
          <w:sz w:val="20"/>
          <w:szCs w:val="20"/>
        </w:rPr>
        <w:t>je nadrejena družba ali tej podrejena družba imetnik delnic banke z glasovalno pravico, ki jih upravlja družba za upravljanje;</w:t>
      </w:r>
    </w:p>
    <w:p w14:paraId="79A2D522" w14:textId="36D453F5" w:rsidR="00D91782" w:rsidRPr="00215B2F" w:rsidRDefault="00D91782">
      <w:pPr>
        <w:pStyle w:val="tevilnatoka"/>
        <w:numPr>
          <w:ilvl w:val="0"/>
          <w:numId w:val="69"/>
        </w:numPr>
        <w:shd w:val="clear" w:color="auto" w:fill="FFFFFF" w:themeFill="background1"/>
        <w:tabs>
          <w:tab w:val="clear" w:pos="425"/>
        </w:tabs>
        <w:rPr>
          <w:rFonts w:cs="Arial"/>
          <w:bCs/>
          <w:sz w:val="20"/>
          <w:szCs w:val="20"/>
        </w:rPr>
      </w:pPr>
      <w:r w:rsidRPr="00215B2F">
        <w:rPr>
          <w:rFonts w:eastAsia="Arial" w:cs="Arial"/>
          <w:sz w:val="20"/>
          <w:szCs w:val="20"/>
        </w:rPr>
        <w:t>družba za upravljanje ne more uresničevati glasovalnih pravic iz teh delnic po lastni presoji, temveč samo po neposrednih ali posrednih navodilih nadrejene družbe ali tej podrejene družbe.</w:t>
      </w:r>
    </w:p>
    <w:p w14:paraId="6765B776"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6D76206" w14:textId="51E8B49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Pri ugotavljanju kvalificiranega deleža družbe, ki je nadrejena investicijskemu podjetju, ki je v skladu z zakonom, ki ureja trg finančnih instrumentov, oziroma aktom matične države članice investicijskega podjetja, s katerim se v pravni red te države prenaša Direktiva 2014/65/EU, upravičeno opravljati investicijske storitve in posle, se ne upoštevajo deleži iz naložb v delnice banke, ki jih upravlja to investicijsko podjetje pri opravljanju storitev gospodarjenja s finančnimi instrumenti v pomenu, opredeljenem v zakonu, ki ureja trg finančnih instrumentov, če so izpolnjeni naslednji pogoji:</w:t>
      </w:r>
    </w:p>
    <w:bookmarkEnd w:id="111"/>
    <w:p w14:paraId="28D36C26"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572301F" w14:textId="0B04A31B" w:rsidR="00895214" w:rsidRPr="00215B2F" w:rsidRDefault="00D91782">
      <w:pPr>
        <w:pStyle w:val="tevilnatoka"/>
        <w:numPr>
          <w:ilvl w:val="0"/>
          <w:numId w:val="70"/>
        </w:numPr>
        <w:shd w:val="clear" w:color="auto" w:fill="FFFFFF" w:themeFill="background1"/>
        <w:tabs>
          <w:tab w:val="clear" w:pos="425"/>
        </w:tabs>
        <w:rPr>
          <w:rFonts w:cs="Arial"/>
          <w:bCs/>
          <w:sz w:val="20"/>
          <w:szCs w:val="20"/>
        </w:rPr>
      </w:pPr>
      <w:r w:rsidRPr="00215B2F">
        <w:rPr>
          <w:rFonts w:eastAsia="Arial" w:cs="Arial"/>
          <w:sz w:val="20"/>
          <w:szCs w:val="20"/>
        </w:rPr>
        <w:t xml:space="preserve">investicijsko podjetje ima ustrezno dovoljenje pristojnega organa za opravljanje investicijske storitve gospodarjenja s finančnim instrumenti; </w:t>
      </w:r>
    </w:p>
    <w:p w14:paraId="6E57D1A4" w14:textId="605B9BBB" w:rsidR="00D91782" w:rsidRPr="00215B2F" w:rsidRDefault="00D91782">
      <w:pPr>
        <w:pStyle w:val="tevilnatoka"/>
        <w:numPr>
          <w:ilvl w:val="0"/>
          <w:numId w:val="70"/>
        </w:numPr>
        <w:shd w:val="clear" w:color="auto" w:fill="FFFFFF" w:themeFill="background1"/>
        <w:tabs>
          <w:tab w:val="clear" w:pos="425"/>
        </w:tabs>
        <w:rPr>
          <w:rFonts w:cs="Arial"/>
          <w:bCs/>
          <w:sz w:val="20"/>
          <w:szCs w:val="20"/>
        </w:rPr>
      </w:pPr>
      <w:r w:rsidRPr="00215B2F">
        <w:rPr>
          <w:rFonts w:eastAsia="Arial" w:cs="Arial"/>
          <w:sz w:val="20"/>
          <w:szCs w:val="20"/>
        </w:rPr>
        <w:t>investicijsko podjetje:</w:t>
      </w:r>
    </w:p>
    <w:p w14:paraId="29749CF1"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bodisi lahko uresničuje glasovalne pravice iz naložb v delnice banke z glasovalno pravico samo na podlagi navodil, ki mu jih da stranka, za račun katere gospodari z njimi, v pisni obliki ali z uporabo elektronskega sredstva,</w:t>
      </w:r>
    </w:p>
    <w:p w14:paraId="71313DDB" w14:textId="4BF2075E"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bodisi je z uporabo ustreznih ukrepov zagotovilo pogoje, enakovredne pogojem, določenim v zakonu, ki ureja upravljanje investicijskih skladov, da se storitve gospodarjenja s finančnimi instrumenti opravljajo neodvisno od drugih storitev in poslov, ki jih opravlja investicijsko podjetje</w:t>
      </w:r>
      <w:r w:rsidR="00295276" w:rsidRPr="00215B2F">
        <w:rPr>
          <w:rFonts w:ascii="Arial" w:eastAsia="Arial" w:hAnsi="Arial" w:cs="Arial"/>
          <w:sz w:val="20"/>
          <w:szCs w:val="20"/>
        </w:rPr>
        <w:t>,</w:t>
      </w:r>
      <w:r w:rsidRPr="00215B2F">
        <w:rPr>
          <w:rFonts w:ascii="Arial" w:eastAsia="Arial" w:hAnsi="Arial" w:cs="Arial"/>
          <w:sz w:val="20"/>
          <w:szCs w:val="20"/>
        </w:rPr>
        <w:t xml:space="preserve"> in</w:t>
      </w:r>
    </w:p>
    <w:p w14:paraId="091EDC6B" w14:textId="0FBD145A" w:rsidR="00D91782" w:rsidRPr="00215B2F" w:rsidRDefault="00D91782" w:rsidP="006455BC">
      <w:pPr>
        <w:pStyle w:val="tevilnatoka"/>
        <w:rPr>
          <w:rFonts w:cs="Arial"/>
          <w:bCs/>
          <w:sz w:val="20"/>
          <w:szCs w:val="20"/>
        </w:rPr>
      </w:pPr>
      <w:r w:rsidRPr="00215B2F">
        <w:rPr>
          <w:rFonts w:eastAsia="Arial" w:cs="Arial"/>
          <w:sz w:val="20"/>
          <w:szCs w:val="20"/>
        </w:rPr>
        <w:t>investicijsko podjetje uresničuje glasovalne pravice neodvisno od nadrejene družbe.</w:t>
      </w:r>
    </w:p>
    <w:p w14:paraId="58E85B5C"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FFAB109" w14:textId="186795B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112" w:name="_Hlk215772059"/>
      <w:r w:rsidRPr="00215B2F">
        <w:rPr>
          <w:rFonts w:ascii="Arial" w:eastAsia="Arial" w:hAnsi="Arial" w:cs="Arial"/>
          <w:sz w:val="20"/>
          <w:szCs w:val="20"/>
        </w:rPr>
        <w:t>(5) Prejšnji odstavek se ne uporablja, če:</w:t>
      </w:r>
    </w:p>
    <w:p w14:paraId="655C139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3714EC9" w14:textId="77777777" w:rsidR="00895214" w:rsidRPr="00215B2F" w:rsidRDefault="00D91782">
      <w:pPr>
        <w:pStyle w:val="tevilnatoka"/>
        <w:numPr>
          <w:ilvl w:val="0"/>
          <w:numId w:val="71"/>
        </w:numPr>
        <w:shd w:val="clear" w:color="auto" w:fill="FFFFFF" w:themeFill="background1"/>
        <w:tabs>
          <w:tab w:val="clear" w:pos="425"/>
        </w:tabs>
        <w:rPr>
          <w:rFonts w:cs="Arial"/>
          <w:bCs/>
          <w:sz w:val="20"/>
          <w:szCs w:val="20"/>
        </w:rPr>
      </w:pPr>
      <w:r w:rsidRPr="00215B2F">
        <w:rPr>
          <w:rFonts w:eastAsia="Arial" w:cs="Arial"/>
          <w:sz w:val="20"/>
          <w:szCs w:val="20"/>
        </w:rPr>
        <w:lastRenderedPageBreak/>
        <w:t>je nadrejena družba ali tej podrejena družba imetnik delnic banke z glasovalno pravico, ki jih upravlja investicijsko podjetje;</w:t>
      </w:r>
    </w:p>
    <w:p w14:paraId="2F3B6B39" w14:textId="66D84F91" w:rsidR="00D91782" w:rsidRPr="00215B2F" w:rsidRDefault="00D91782">
      <w:pPr>
        <w:pStyle w:val="tevilnatoka"/>
        <w:numPr>
          <w:ilvl w:val="0"/>
          <w:numId w:val="71"/>
        </w:numPr>
        <w:shd w:val="clear" w:color="auto" w:fill="FFFFFF" w:themeFill="background1"/>
        <w:tabs>
          <w:tab w:val="clear" w:pos="425"/>
        </w:tabs>
        <w:rPr>
          <w:rFonts w:cs="Arial"/>
          <w:bCs/>
          <w:sz w:val="20"/>
          <w:szCs w:val="20"/>
        </w:rPr>
      </w:pPr>
      <w:r w:rsidRPr="00215B2F">
        <w:rPr>
          <w:rFonts w:eastAsia="Arial" w:cs="Arial"/>
          <w:sz w:val="20"/>
          <w:szCs w:val="20"/>
        </w:rPr>
        <w:t>investicijsko podjetje ne more uresničevati glasovalnih pravic iz teh delnic po lastni presoji, temveč samo po neposrednih ali posrednih navodilih nadrejene družbe ali tej podrejene družbe.</w:t>
      </w:r>
    </w:p>
    <w:bookmarkEnd w:id="112"/>
    <w:p w14:paraId="6D086580"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58D249B" w14:textId="1129FFB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Pri ugotavljanju kvalificiranega deleža banke, banke države članice ali investicijskega podjetja se ne upoštevajo delnice, ki jih je ta banka, banka države članice ali investicijsko podjetje pridobilo pri opravljanju storitve izvedbe prve ali nadaljnje prodaje finančnih instrumentov z obveznostjo odkupa v skladu z zakonom, ki ureja trg finančnih in</w:t>
      </w:r>
      <w:r w:rsidR="005022A7" w:rsidRPr="00215B2F">
        <w:rPr>
          <w:rFonts w:ascii="Arial" w:eastAsia="Arial" w:hAnsi="Arial" w:cs="Arial"/>
          <w:sz w:val="20"/>
          <w:szCs w:val="20"/>
        </w:rPr>
        <w:t>g</w:t>
      </w:r>
      <w:r w:rsidRPr="00215B2F">
        <w:rPr>
          <w:rFonts w:ascii="Arial" w:eastAsia="Arial" w:hAnsi="Arial" w:cs="Arial"/>
          <w:sz w:val="20"/>
          <w:szCs w:val="20"/>
        </w:rPr>
        <w:t>strumentov, oziroma aktom druge države članice, s katerim se v pravni red matične države članice prenaša Direktiva 2014/65/EU, če so izpolnjeni naslednji pogoji:</w:t>
      </w:r>
    </w:p>
    <w:p w14:paraId="2E81414A"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364F142" w14:textId="77777777" w:rsidR="00895214" w:rsidRPr="00215B2F" w:rsidRDefault="00D91782">
      <w:pPr>
        <w:pStyle w:val="tevilnatoka"/>
        <w:numPr>
          <w:ilvl w:val="0"/>
          <w:numId w:val="72"/>
        </w:numPr>
        <w:shd w:val="clear" w:color="auto" w:fill="FFFFFF" w:themeFill="background1"/>
        <w:tabs>
          <w:tab w:val="clear" w:pos="425"/>
        </w:tabs>
        <w:rPr>
          <w:rFonts w:cs="Arial"/>
          <w:bCs/>
          <w:sz w:val="20"/>
          <w:szCs w:val="20"/>
        </w:rPr>
      </w:pPr>
      <w:r w:rsidRPr="00215B2F">
        <w:rPr>
          <w:rFonts w:eastAsia="Arial" w:cs="Arial"/>
          <w:sz w:val="20"/>
          <w:szCs w:val="20"/>
        </w:rPr>
        <w:t>banka, banka države članice ali investicijsko podjetje je v skladu z zakonom, ki ureja trg finančnih instrumentov, oziroma aktom druge države članice, s katerim se v pravni red matične države članice prenaša Direktiva 2014/65/EU, upravičena opravljati investicijske storitve;</w:t>
      </w:r>
    </w:p>
    <w:p w14:paraId="6D193678" w14:textId="77777777" w:rsidR="00895214" w:rsidRPr="00215B2F" w:rsidRDefault="00D91782">
      <w:pPr>
        <w:pStyle w:val="tevilnatoka"/>
        <w:numPr>
          <w:ilvl w:val="0"/>
          <w:numId w:val="72"/>
        </w:numPr>
        <w:shd w:val="clear" w:color="auto" w:fill="FFFFFF" w:themeFill="background1"/>
        <w:tabs>
          <w:tab w:val="clear" w:pos="425"/>
        </w:tabs>
        <w:rPr>
          <w:rFonts w:cs="Arial"/>
          <w:bCs/>
          <w:sz w:val="20"/>
          <w:szCs w:val="20"/>
        </w:rPr>
      </w:pPr>
      <w:r w:rsidRPr="00215B2F">
        <w:rPr>
          <w:rFonts w:eastAsia="Arial" w:cs="Arial"/>
          <w:sz w:val="20"/>
          <w:szCs w:val="20"/>
        </w:rPr>
        <w:t>banka, banka države članice ali investicijsko podjetje ne uresničuje glasovalnih pravic, vsebovanih v delnicah, in ne izvršuje drugih upravljavskih upravičenj iz delnic tako, da bi s tem vplivalo na vodenje poslov banke;</w:t>
      </w:r>
    </w:p>
    <w:p w14:paraId="08FB8998" w14:textId="63166478" w:rsidR="00D91782" w:rsidRPr="00215B2F" w:rsidRDefault="00D91782">
      <w:pPr>
        <w:pStyle w:val="tevilnatoka"/>
        <w:numPr>
          <w:ilvl w:val="0"/>
          <w:numId w:val="72"/>
        </w:numPr>
        <w:shd w:val="clear" w:color="auto" w:fill="FFFFFF" w:themeFill="background1"/>
        <w:tabs>
          <w:tab w:val="clear" w:pos="425"/>
        </w:tabs>
        <w:rPr>
          <w:rFonts w:cs="Arial"/>
          <w:bCs/>
          <w:sz w:val="20"/>
          <w:szCs w:val="20"/>
        </w:rPr>
      </w:pPr>
      <w:r w:rsidRPr="00215B2F">
        <w:rPr>
          <w:rFonts w:eastAsia="Arial" w:cs="Arial"/>
          <w:sz w:val="20"/>
          <w:szCs w:val="20"/>
        </w:rPr>
        <w:t>banka, banka države članice ali investicijsko podjetje delnice odtuji v enem letu po pridobitvi.</w:t>
      </w:r>
    </w:p>
    <w:p w14:paraId="34DA549A"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A38EBD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13" w:name="_Ref202963453"/>
      <w:bookmarkStart w:id="114" w:name="_Hlk215772080"/>
      <w:r w:rsidRPr="00215B2F">
        <w:rPr>
          <w:rFonts w:ascii="Arial" w:eastAsia="Arial" w:hAnsi="Arial" w:cs="Arial"/>
          <w:b/>
          <w:bCs/>
          <w:sz w:val="20"/>
          <w:szCs w:val="20"/>
        </w:rPr>
        <w:t>člen</w:t>
      </w:r>
      <w:bookmarkEnd w:id="113"/>
    </w:p>
    <w:p w14:paraId="6141E474" w14:textId="77777777" w:rsidR="00D91782" w:rsidRPr="00215B2F" w:rsidRDefault="00D91782" w:rsidP="00FD5520">
      <w:pPr>
        <w:pStyle w:val="Slog1"/>
        <w:shd w:val="clear" w:color="auto" w:fill="FFFFFF" w:themeFill="background1"/>
        <w:rPr>
          <w:sz w:val="20"/>
          <w:szCs w:val="20"/>
        </w:rPr>
      </w:pPr>
      <w:r w:rsidRPr="00215B2F">
        <w:rPr>
          <w:sz w:val="20"/>
          <w:szCs w:val="20"/>
        </w:rPr>
        <w:t>(zahteva za oceno primernosti za pridobitev kvalificiranega deleža)</w:t>
      </w:r>
    </w:p>
    <w:p w14:paraId="37E61E2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21F296A" w14:textId="245233F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Zahteva za oceno primernosti za pridobitev kvalificiranega deleža (v nadaljnjem besedilu: ocena primernosti</w:t>
      </w:r>
      <w:r w:rsidR="002D436C" w:rsidRPr="00215B2F">
        <w:rPr>
          <w:rFonts w:ascii="Arial" w:eastAsia="Arial" w:hAnsi="Arial" w:cs="Arial"/>
          <w:sz w:val="20"/>
          <w:szCs w:val="20"/>
        </w:rPr>
        <w:t xml:space="preserve"> kvalificiranega deleža</w:t>
      </w:r>
      <w:r w:rsidRPr="00215B2F">
        <w:rPr>
          <w:rFonts w:ascii="Arial" w:eastAsia="Arial" w:hAnsi="Arial" w:cs="Arial"/>
          <w:sz w:val="20"/>
          <w:szCs w:val="20"/>
        </w:rPr>
        <w:t xml:space="preserve">) se vloži pri Banki Slovenije in mora </w:t>
      </w:r>
      <w:r w:rsidR="00A509CC" w:rsidRPr="00215B2F">
        <w:rPr>
          <w:rFonts w:ascii="Arial" w:eastAsia="Arial" w:hAnsi="Arial" w:cs="Arial"/>
          <w:sz w:val="20"/>
          <w:szCs w:val="20"/>
        </w:rPr>
        <w:t>vsebov</w:t>
      </w:r>
      <w:r w:rsidRPr="00215B2F">
        <w:rPr>
          <w:rFonts w:ascii="Arial" w:eastAsia="Arial" w:hAnsi="Arial" w:cs="Arial"/>
          <w:sz w:val="20"/>
          <w:szCs w:val="20"/>
        </w:rPr>
        <w:t>ati:</w:t>
      </w:r>
    </w:p>
    <w:bookmarkEnd w:id="114"/>
    <w:p w14:paraId="0310BB6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0849548" w14:textId="5DF45FE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višino deleža glasovalnih pravic ali deleža v kapitalu banke, ki ga namerava pridobiti bodoči kvalificirani imetnik;</w:t>
      </w:r>
    </w:p>
    <w:p w14:paraId="095FD9D4" w14:textId="0883BB9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dokumentacijo in informacije o tem, da bodoči kvalificirani imetnik ustreza merilom, predpisanim s tem zakonom</w:t>
      </w:r>
      <w:r w:rsidR="00A509CC" w:rsidRPr="00215B2F">
        <w:rPr>
          <w:rFonts w:ascii="Arial" w:eastAsia="Arial" w:hAnsi="Arial" w:cs="Arial"/>
          <w:sz w:val="20"/>
          <w:szCs w:val="20"/>
        </w:rPr>
        <w:t>.</w:t>
      </w:r>
    </w:p>
    <w:p w14:paraId="3D34585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C2E79B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v desetih delovnih dneh po prejemu zahteve vložniku izda:</w:t>
      </w:r>
    </w:p>
    <w:p w14:paraId="0971631F"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1E8CD29" w14:textId="6491AB13"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potrdilo o prejemu popolne zahteve z navedbo datuma izteka roka iz drugega odstavka </w:t>
      </w:r>
      <w:r w:rsidR="002A6DBF" w:rsidRPr="00215B2F">
        <w:rPr>
          <w:rFonts w:ascii="Arial" w:eastAsia="Arial" w:hAnsi="Arial" w:cs="Arial"/>
          <w:sz w:val="20"/>
          <w:szCs w:val="20"/>
        </w:rPr>
        <w:t>81</w:t>
      </w:r>
      <w:r w:rsidRPr="00215B2F">
        <w:rPr>
          <w:rFonts w:ascii="Arial" w:eastAsia="Arial" w:hAnsi="Arial" w:cs="Arial"/>
          <w:sz w:val="20"/>
          <w:szCs w:val="20"/>
        </w:rPr>
        <w:t>. člena</w:t>
      </w:r>
      <w:r w:rsidR="005B0CC7" w:rsidRPr="00215B2F">
        <w:rPr>
          <w:rFonts w:ascii="Arial" w:eastAsia="Arial" w:hAnsi="Arial" w:cs="Arial"/>
          <w:sz w:val="20"/>
          <w:szCs w:val="20"/>
        </w:rPr>
        <w:t xml:space="preserve"> tega zakona</w:t>
      </w:r>
      <w:r w:rsidRPr="00215B2F">
        <w:rPr>
          <w:rFonts w:ascii="Arial" w:eastAsia="Arial" w:hAnsi="Arial" w:cs="Arial"/>
          <w:sz w:val="20"/>
          <w:szCs w:val="20"/>
        </w:rPr>
        <w:t>, v katerem mora biti izdana odločitev o oceni primernosti</w:t>
      </w:r>
      <w:r w:rsidR="002D436C" w:rsidRPr="00215B2F">
        <w:rPr>
          <w:rFonts w:ascii="Arial" w:eastAsia="Arial" w:hAnsi="Arial" w:cs="Arial"/>
          <w:sz w:val="20"/>
          <w:szCs w:val="20"/>
        </w:rPr>
        <w:t xml:space="preserve"> kvalificiranega deleža</w:t>
      </w:r>
      <w:r w:rsidR="00A509CC" w:rsidRPr="00215B2F">
        <w:rPr>
          <w:rFonts w:ascii="Arial" w:eastAsia="Arial" w:hAnsi="Arial" w:cs="Arial"/>
          <w:sz w:val="20"/>
          <w:szCs w:val="20"/>
        </w:rPr>
        <w:t>,</w:t>
      </w:r>
      <w:r w:rsidRPr="00215B2F">
        <w:rPr>
          <w:rFonts w:ascii="Arial" w:eastAsia="Arial" w:hAnsi="Arial" w:cs="Arial"/>
          <w:sz w:val="20"/>
          <w:szCs w:val="20"/>
        </w:rPr>
        <w:t xml:space="preserve"> ali</w:t>
      </w:r>
    </w:p>
    <w:p w14:paraId="09D09C77" w14:textId="4C08A568"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potrdilo o prejemu nepopolne zahteve z navedbo, da rok za odločitev o oceni primernosti </w:t>
      </w:r>
      <w:r w:rsidR="002D436C" w:rsidRPr="00215B2F">
        <w:rPr>
          <w:rFonts w:ascii="Arial" w:eastAsia="Arial" w:hAnsi="Arial" w:cs="Arial"/>
          <w:sz w:val="20"/>
          <w:szCs w:val="20"/>
        </w:rPr>
        <w:t xml:space="preserve">kvalificiranega deleža </w:t>
      </w:r>
      <w:r w:rsidRPr="00215B2F">
        <w:rPr>
          <w:rFonts w:ascii="Arial" w:eastAsia="Arial" w:hAnsi="Arial" w:cs="Arial"/>
          <w:sz w:val="20"/>
          <w:szCs w:val="20"/>
        </w:rPr>
        <w:t>še ni začel teči, ter navedbo končnega datuma za izdajo sklepa o odpravi pomanjkljivosti zahteve za oceno primernosti</w:t>
      </w:r>
      <w:r w:rsidR="002D436C" w:rsidRPr="00215B2F">
        <w:rPr>
          <w:rFonts w:ascii="Arial" w:eastAsia="Arial" w:hAnsi="Arial" w:cs="Arial"/>
          <w:sz w:val="20"/>
          <w:szCs w:val="20"/>
        </w:rPr>
        <w:t xml:space="preserve"> kvalificiranega deleža</w:t>
      </w:r>
      <w:r w:rsidRPr="00215B2F">
        <w:rPr>
          <w:rFonts w:ascii="Arial" w:eastAsia="Arial" w:hAnsi="Arial" w:cs="Arial"/>
          <w:sz w:val="20"/>
          <w:szCs w:val="20"/>
        </w:rPr>
        <w:t>.</w:t>
      </w:r>
    </w:p>
    <w:p w14:paraId="230F411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B402017" w14:textId="78E149B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V primeru iz druge alineje prejšnjega </w:t>
      </w:r>
      <w:r w:rsidR="00746E88" w:rsidRPr="00215B2F">
        <w:rPr>
          <w:rFonts w:ascii="Arial" w:eastAsia="Arial" w:hAnsi="Arial" w:cs="Arial"/>
          <w:sz w:val="20"/>
          <w:szCs w:val="20"/>
        </w:rPr>
        <w:t>odstavka</w:t>
      </w:r>
      <w:r w:rsidRPr="00215B2F">
        <w:rPr>
          <w:rFonts w:ascii="Arial" w:eastAsia="Arial" w:hAnsi="Arial" w:cs="Arial"/>
          <w:sz w:val="20"/>
          <w:szCs w:val="20"/>
        </w:rPr>
        <w:t xml:space="preserve"> (v nadaljnjem besedilu: potrdilo o prejemu nepopolne zahteve) izda Banka Slovenije sklep o odpravi pomanjkljivosti zahteve za oceno primernosti </w:t>
      </w:r>
      <w:r w:rsidR="002D436C" w:rsidRPr="00215B2F">
        <w:rPr>
          <w:rFonts w:ascii="Arial" w:eastAsia="Arial" w:hAnsi="Arial" w:cs="Arial"/>
          <w:sz w:val="20"/>
          <w:szCs w:val="20"/>
        </w:rPr>
        <w:t xml:space="preserve">kvalificiranega deleža </w:t>
      </w:r>
      <w:r w:rsidRPr="00215B2F">
        <w:rPr>
          <w:rFonts w:ascii="Arial" w:eastAsia="Arial" w:hAnsi="Arial" w:cs="Arial"/>
          <w:sz w:val="20"/>
          <w:szCs w:val="20"/>
        </w:rPr>
        <w:t xml:space="preserve">v skladu s šestim odstavkom </w:t>
      </w:r>
      <w:r w:rsidR="002A6DBF" w:rsidRPr="00215B2F">
        <w:rPr>
          <w:rFonts w:ascii="Arial" w:eastAsia="Arial" w:hAnsi="Arial" w:cs="Arial"/>
          <w:sz w:val="20"/>
          <w:szCs w:val="20"/>
        </w:rPr>
        <w:t>457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061BCFF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66D52BC" w14:textId="0221EA3E" w:rsidR="00D91CBF"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v desetih delovnih dn</w:t>
      </w:r>
      <w:r w:rsidR="00A509CC" w:rsidRPr="00215B2F">
        <w:rPr>
          <w:rFonts w:ascii="Arial" w:eastAsia="Arial" w:hAnsi="Arial" w:cs="Arial"/>
          <w:sz w:val="20"/>
          <w:szCs w:val="20"/>
        </w:rPr>
        <w:t>eh</w:t>
      </w:r>
      <w:r w:rsidRPr="00215B2F">
        <w:rPr>
          <w:rFonts w:ascii="Arial" w:eastAsia="Arial" w:hAnsi="Arial" w:cs="Arial"/>
          <w:sz w:val="20"/>
          <w:szCs w:val="20"/>
        </w:rPr>
        <w:t xml:space="preserve"> po prejemu dopolnitve zahteve v skladu s sklepom o odpravi pomanjkljivosti, če je ta vložena pravočasno, izda:</w:t>
      </w:r>
    </w:p>
    <w:p w14:paraId="1D6ACF1A" w14:textId="77777777" w:rsidR="00895214" w:rsidRPr="00215B2F" w:rsidRDefault="00895214" w:rsidP="00FD5520">
      <w:pPr>
        <w:shd w:val="clear" w:color="auto" w:fill="FFFFFF" w:themeFill="background1"/>
        <w:spacing w:after="0" w:line="240" w:lineRule="auto"/>
        <w:jc w:val="both"/>
        <w:rPr>
          <w:rFonts w:ascii="Arial" w:eastAsia="Arial" w:hAnsi="Arial" w:cs="Arial"/>
          <w:sz w:val="20"/>
          <w:szCs w:val="20"/>
        </w:rPr>
      </w:pPr>
    </w:p>
    <w:p w14:paraId="27FFE331" w14:textId="64B1346A"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potrdilo o prejemu popolne zahteve z navedbo roka za odločitev o oceni primernosti </w:t>
      </w:r>
      <w:r w:rsidR="002D436C" w:rsidRPr="00215B2F">
        <w:rPr>
          <w:rFonts w:ascii="Arial" w:eastAsia="Arial" w:hAnsi="Arial" w:cs="Arial"/>
          <w:sz w:val="20"/>
          <w:szCs w:val="20"/>
        </w:rPr>
        <w:t xml:space="preserve">kvalificiranega deleža </w:t>
      </w:r>
      <w:r w:rsidRPr="00215B2F">
        <w:rPr>
          <w:rFonts w:ascii="Arial" w:eastAsia="Arial" w:hAnsi="Arial" w:cs="Arial"/>
          <w:sz w:val="20"/>
          <w:szCs w:val="20"/>
        </w:rPr>
        <w:t xml:space="preserve">iz drugega odstavka </w:t>
      </w:r>
      <w:r w:rsidR="002A6DBF" w:rsidRPr="00215B2F">
        <w:rPr>
          <w:rFonts w:ascii="Arial" w:eastAsia="Arial" w:hAnsi="Arial" w:cs="Arial"/>
          <w:sz w:val="20"/>
          <w:szCs w:val="20"/>
        </w:rPr>
        <w:t>88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v katerem mora biti izdana odločitev o oceni primernosti</w:t>
      </w:r>
      <w:r w:rsidR="002D436C" w:rsidRPr="00215B2F">
        <w:rPr>
          <w:rFonts w:ascii="Arial" w:eastAsia="Arial" w:hAnsi="Arial" w:cs="Arial"/>
          <w:sz w:val="20"/>
          <w:szCs w:val="20"/>
        </w:rPr>
        <w:t xml:space="preserve"> kvalificiranega deleža</w:t>
      </w:r>
      <w:r w:rsidR="00A509CC" w:rsidRPr="00215B2F">
        <w:rPr>
          <w:rFonts w:ascii="Arial" w:eastAsia="Arial" w:hAnsi="Arial" w:cs="Arial"/>
          <w:sz w:val="20"/>
          <w:szCs w:val="20"/>
        </w:rPr>
        <w:t>,</w:t>
      </w:r>
      <w:r w:rsidRPr="00215B2F">
        <w:rPr>
          <w:rFonts w:ascii="Arial" w:eastAsia="Arial" w:hAnsi="Arial" w:cs="Arial"/>
          <w:sz w:val="20"/>
          <w:szCs w:val="20"/>
        </w:rPr>
        <w:t xml:space="preserve"> ali</w:t>
      </w:r>
    </w:p>
    <w:p w14:paraId="6F13CC22" w14:textId="6A240AC9"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potrdilo o prejemu nepopolne zahteve z navedbo roka za odločitev v skladu s četrtim odstavkom </w:t>
      </w:r>
      <w:r w:rsidR="002A6DBF" w:rsidRPr="00215B2F">
        <w:rPr>
          <w:rFonts w:ascii="Arial" w:eastAsia="Arial" w:hAnsi="Arial" w:cs="Arial"/>
          <w:sz w:val="20"/>
          <w:szCs w:val="20"/>
        </w:rPr>
        <w:t>457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658B176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40DCFB8" w14:textId="08AF1EA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lahko od vložnika zahteva, da predloži dodatne informacije ali dokumente, potrebne za presojo primernosti bodočega kvalificiranega imetnika (v nadaljnjem besedilu: zahteva za dodatne informacije ali dokumente). Banka Slovenije lahko zahteva dodatne informacije ali dokumente od vložnika najpozneje do vključno 50. delovnega dne po poteku roka za izdajo potrdila o prejemu popolne zahteve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40E67EA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595274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Banka Slovenije vložniku zahteve v desetih delovnih dneh po prejemu dodatnih informacij ali dokumentov na podlagi zahteve za dodatne informacije ali dokumente izda potrdilo o prejemu teh dodatnih informacij ali dokumentov.</w:t>
      </w:r>
    </w:p>
    <w:p w14:paraId="2610B67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A35E899" w14:textId="3295B2A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(7) Banka Slovenije zahtevo za oceno primernosti</w:t>
      </w:r>
      <w:r w:rsidR="002D436C" w:rsidRPr="00215B2F">
        <w:rPr>
          <w:rFonts w:ascii="Arial" w:eastAsia="Arial" w:hAnsi="Arial" w:cs="Arial"/>
          <w:sz w:val="20"/>
          <w:szCs w:val="20"/>
        </w:rPr>
        <w:t xml:space="preserve"> kvalificiranega deleža</w:t>
      </w:r>
      <w:r w:rsidRPr="00215B2F">
        <w:rPr>
          <w:rFonts w:ascii="Arial" w:eastAsia="Arial" w:hAnsi="Arial" w:cs="Arial"/>
          <w:sz w:val="20"/>
          <w:szCs w:val="20"/>
        </w:rPr>
        <w:t xml:space="preserve">, vključno z dodatnimi informacijami in dokumentacijo iz petega </w:t>
      </w:r>
      <w:r w:rsidR="00746E88" w:rsidRPr="00215B2F">
        <w:rPr>
          <w:rFonts w:ascii="Arial" w:eastAsia="Arial" w:hAnsi="Arial" w:cs="Arial"/>
          <w:sz w:val="20"/>
          <w:szCs w:val="20"/>
        </w:rPr>
        <w:t>odstavka tega člena</w:t>
      </w:r>
      <w:r w:rsidRPr="00215B2F">
        <w:rPr>
          <w:rFonts w:ascii="Arial" w:eastAsia="Arial" w:hAnsi="Arial" w:cs="Arial"/>
          <w:sz w:val="20"/>
          <w:szCs w:val="20"/>
        </w:rPr>
        <w:t>, po</w:t>
      </w:r>
      <w:r w:rsidR="00A509CC" w:rsidRPr="00215B2F">
        <w:rPr>
          <w:rFonts w:ascii="Arial" w:eastAsia="Arial" w:hAnsi="Arial" w:cs="Arial"/>
          <w:sz w:val="20"/>
          <w:szCs w:val="20"/>
        </w:rPr>
        <w:t>šl</w:t>
      </w:r>
      <w:r w:rsidRPr="00215B2F">
        <w:rPr>
          <w:rFonts w:ascii="Arial" w:eastAsia="Arial" w:hAnsi="Arial" w:cs="Arial"/>
          <w:sz w:val="20"/>
          <w:szCs w:val="20"/>
        </w:rPr>
        <w:t>je Evropski centralni banki v skladu s 15. členom in točko (c) prvega odstavka 4. člena Uredbe 1024/2013/EU. Postopek odločanja o zahtevi se nadaljuje v skladu z Uredbo 1024/2013/EU.</w:t>
      </w:r>
    </w:p>
    <w:p w14:paraId="312913D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FEB0C47"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15" w:name="_Ref202963462"/>
      <w:r w:rsidRPr="00215B2F">
        <w:rPr>
          <w:rFonts w:ascii="Arial" w:eastAsia="Arial" w:hAnsi="Arial" w:cs="Arial"/>
          <w:b/>
          <w:bCs/>
          <w:sz w:val="20"/>
          <w:szCs w:val="20"/>
        </w:rPr>
        <w:t>člen</w:t>
      </w:r>
      <w:bookmarkEnd w:id="115"/>
    </w:p>
    <w:p w14:paraId="68A164AC" w14:textId="77777777" w:rsidR="00D91782" w:rsidRPr="00215B2F" w:rsidRDefault="00D91782" w:rsidP="00FD5520">
      <w:pPr>
        <w:pStyle w:val="Slog1"/>
        <w:shd w:val="clear" w:color="auto" w:fill="FFFFFF" w:themeFill="background1"/>
        <w:rPr>
          <w:sz w:val="20"/>
          <w:szCs w:val="20"/>
        </w:rPr>
      </w:pPr>
      <w:r w:rsidRPr="00215B2F">
        <w:rPr>
          <w:sz w:val="20"/>
          <w:szCs w:val="20"/>
        </w:rPr>
        <w:t>(posvetovanje s pristojnimi in nadzornimi organi)</w:t>
      </w:r>
    </w:p>
    <w:p w14:paraId="129FFCA5" w14:textId="77777777" w:rsidR="00D91782" w:rsidRPr="00215B2F" w:rsidRDefault="00D91782" w:rsidP="00FD5520">
      <w:pPr>
        <w:pStyle w:val="Slog1"/>
        <w:shd w:val="clear" w:color="auto" w:fill="FFFFFF" w:themeFill="background1"/>
        <w:jc w:val="both"/>
        <w:rPr>
          <w:sz w:val="20"/>
          <w:szCs w:val="20"/>
        </w:rPr>
      </w:pPr>
    </w:p>
    <w:p w14:paraId="1EABF779" w14:textId="290C431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se v zvezi z oceno primernosti kvalificiranega imetnika na podlagi zahteve iz </w:t>
      </w:r>
      <w:r w:rsidR="00746E88" w:rsidRPr="00215B2F">
        <w:rPr>
          <w:rFonts w:ascii="Arial" w:eastAsia="Arial" w:hAnsi="Arial" w:cs="Arial"/>
          <w:sz w:val="20"/>
          <w:szCs w:val="20"/>
        </w:rPr>
        <w:t>prejšnjega člena</w:t>
      </w:r>
      <w:r w:rsidRPr="00215B2F">
        <w:rPr>
          <w:rFonts w:ascii="Arial" w:eastAsia="Arial" w:hAnsi="Arial" w:cs="Arial"/>
          <w:sz w:val="20"/>
          <w:szCs w:val="20"/>
        </w:rPr>
        <w:t xml:space="preserve"> posvetuje s pristojnim organom posamezne države članice, če je bodoči kvalificirani imetnik:</w:t>
      </w:r>
    </w:p>
    <w:p w14:paraId="1691D94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D887592" w14:textId="77777777" w:rsidR="00895214" w:rsidRPr="00215B2F" w:rsidRDefault="00D91782">
      <w:pPr>
        <w:pStyle w:val="tevilnatoka"/>
        <w:numPr>
          <w:ilvl w:val="0"/>
          <w:numId w:val="73"/>
        </w:numPr>
        <w:shd w:val="clear" w:color="auto" w:fill="FFFFFF" w:themeFill="background1"/>
        <w:tabs>
          <w:tab w:val="clear" w:pos="425"/>
        </w:tabs>
        <w:rPr>
          <w:rFonts w:cs="Arial"/>
          <w:bCs/>
          <w:sz w:val="20"/>
          <w:szCs w:val="20"/>
        </w:rPr>
      </w:pPr>
      <w:r w:rsidRPr="00215B2F">
        <w:rPr>
          <w:rFonts w:eastAsia="Arial" w:cs="Arial"/>
          <w:sz w:val="20"/>
          <w:szCs w:val="20"/>
        </w:rPr>
        <w:t>banka, finančni holding ali mešani finančni holding te države članice;</w:t>
      </w:r>
    </w:p>
    <w:p w14:paraId="637A0AA8" w14:textId="77777777" w:rsidR="00895214" w:rsidRPr="00215B2F" w:rsidRDefault="00D91782">
      <w:pPr>
        <w:pStyle w:val="tevilnatoka"/>
        <w:numPr>
          <w:ilvl w:val="0"/>
          <w:numId w:val="73"/>
        </w:numPr>
        <w:shd w:val="clear" w:color="auto" w:fill="FFFFFF" w:themeFill="background1"/>
        <w:tabs>
          <w:tab w:val="clear" w:pos="425"/>
        </w:tabs>
        <w:rPr>
          <w:rFonts w:cs="Arial"/>
          <w:bCs/>
          <w:sz w:val="20"/>
          <w:szCs w:val="20"/>
        </w:rPr>
      </w:pPr>
      <w:r w:rsidRPr="00215B2F">
        <w:rPr>
          <w:rFonts w:eastAsia="Arial" w:cs="Arial"/>
          <w:sz w:val="20"/>
          <w:szCs w:val="20"/>
        </w:rPr>
        <w:t>zavarovalnica, pozavarovalnica, investicijsko podjetje ali družba za upravljanje te države članice;</w:t>
      </w:r>
    </w:p>
    <w:p w14:paraId="232CF78C" w14:textId="47B43422" w:rsidR="00895214" w:rsidRPr="00215B2F" w:rsidRDefault="00D91782">
      <w:pPr>
        <w:pStyle w:val="tevilnatoka"/>
        <w:numPr>
          <w:ilvl w:val="0"/>
          <w:numId w:val="73"/>
        </w:numPr>
        <w:shd w:val="clear" w:color="auto" w:fill="FFFFFF" w:themeFill="background1"/>
        <w:tabs>
          <w:tab w:val="clear" w:pos="425"/>
        </w:tabs>
        <w:rPr>
          <w:rFonts w:cs="Arial"/>
          <w:bCs/>
          <w:sz w:val="20"/>
          <w:szCs w:val="20"/>
        </w:rPr>
      </w:pPr>
      <w:r w:rsidRPr="00215B2F">
        <w:rPr>
          <w:rFonts w:eastAsia="Arial" w:cs="Arial"/>
          <w:sz w:val="20"/>
          <w:szCs w:val="20"/>
        </w:rPr>
        <w:t>nadrejena oseba osebam iz 1. ali 2. točke tega odstavka ali</w:t>
      </w:r>
    </w:p>
    <w:p w14:paraId="1A9F1C76" w14:textId="716DFA6C" w:rsidR="00D91782" w:rsidRPr="00215B2F" w:rsidRDefault="00D91782">
      <w:pPr>
        <w:pStyle w:val="tevilnatoka"/>
        <w:numPr>
          <w:ilvl w:val="0"/>
          <w:numId w:val="73"/>
        </w:numPr>
        <w:shd w:val="clear" w:color="auto" w:fill="FFFFFF" w:themeFill="background1"/>
        <w:tabs>
          <w:tab w:val="clear" w:pos="425"/>
        </w:tabs>
        <w:rPr>
          <w:rFonts w:cs="Arial"/>
          <w:bCs/>
          <w:sz w:val="20"/>
          <w:szCs w:val="20"/>
        </w:rPr>
      </w:pPr>
      <w:r w:rsidRPr="00215B2F">
        <w:rPr>
          <w:rFonts w:eastAsia="Arial" w:cs="Arial"/>
          <w:sz w:val="20"/>
          <w:szCs w:val="20"/>
        </w:rPr>
        <w:t>pravna ali fizična oseba, ki obvladuje osebe iz 1. ali 2. točke tega odstavka.</w:t>
      </w:r>
    </w:p>
    <w:p w14:paraId="419D6633"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513A57E" w14:textId="4C9189C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se v zvezi z oceno primernosti kvalificiranega imetnika na podlagi zahteve iz </w:t>
      </w:r>
      <w:r w:rsidR="00746E88" w:rsidRPr="00215B2F">
        <w:rPr>
          <w:rFonts w:ascii="Arial" w:eastAsia="Arial" w:hAnsi="Arial" w:cs="Arial"/>
          <w:sz w:val="20"/>
          <w:szCs w:val="20"/>
        </w:rPr>
        <w:t>prejšnjega člena</w:t>
      </w:r>
      <w:r w:rsidRPr="00215B2F">
        <w:rPr>
          <w:rFonts w:ascii="Arial" w:eastAsia="Arial" w:hAnsi="Arial" w:cs="Arial"/>
          <w:sz w:val="20"/>
          <w:szCs w:val="20"/>
        </w:rPr>
        <w:t xml:space="preserve"> posvetuje z nadzornim organom Republike Slovenije ali druge države članice, če je bodoči kvalificirani imetnik:</w:t>
      </w:r>
    </w:p>
    <w:p w14:paraId="5003F9BB"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D9E63D4" w14:textId="77777777" w:rsidR="00895214" w:rsidRPr="00215B2F" w:rsidRDefault="00D91782">
      <w:pPr>
        <w:pStyle w:val="tevilnatoka"/>
        <w:numPr>
          <w:ilvl w:val="0"/>
          <w:numId w:val="74"/>
        </w:numPr>
        <w:shd w:val="clear" w:color="auto" w:fill="FFFFFF" w:themeFill="background1"/>
        <w:tabs>
          <w:tab w:val="clear" w:pos="425"/>
        </w:tabs>
        <w:rPr>
          <w:rFonts w:cs="Arial"/>
          <w:bCs/>
          <w:sz w:val="20"/>
          <w:szCs w:val="20"/>
        </w:rPr>
      </w:pPr>
      <w:r w:rsidRPr="00215B2F">
        <w:rPr>
          <w:rFonts w:eastAsia="Arial" w:cs="Arial"/>
          <w:sz w:val="20"/>
          <w:szCs w:val="20"/>
        </w:rPr>
        <w:t>zavarovalnica, pozavarovalnica, finančni holding, mešani finančni holding, investicijsko podjetje ali družba za upravljanje Republike Slovenije;</w:t>
      </w:r>
    </w:p>
    <w:p w14:paraId="6A810765" w14:textId="6740D118" w:rsidR="00895214" w:rsidRPr="00215B2F" w:rsidRDefault="00D91782">
      <w:pPr>
        <w:pStyle w:val="tevilnatoka"/>
        <w:numPr>
          <w:ilvl w:val="0"/>
          <w:numId w:val="74"/>
        </w:numPr>
        <w:shd w:val="clear" w:color="auto" w:fill="FFFFFF" w:themeFill="background1"/>
        <w:tabs>
          <w:tab w:val="clear" w:pos="425"/>
        </w:tabs>
        <w:rPr>
          <w:rFonts w:cs="Arial"/>
          <w:bCs/>
          <w:sz w:val="20"/>
          <w:szCs w:val="20"/>
        </w:rPr>
      </w:pPr>
      <w:r w:rsidRPr="00215B2F">
        <w:rPr>
          <w:rFonts w:eastAsia="Arial" w:cs="Arial"/>
          <w:sz w:val="20"/>
          <w:szCs w:val="20"/>
        </w:rPr>
        <w:t>nadrejena oseba osebam iz prejšnje točke ali</w:t>
      </w:r>
    </w:p>
    <w:p w14:paraId="046891FA" w14:textId="036F93AD" w:rsidR="00D91782" w:rsidRPr="00215B2F" w:rsidRDefault="00D91782">
      <w:pPr>
        <w:pStyle w:val="tevilnatoka"/>
        <w:numPr>
          <w:ilvl w:val="0"/>
          <w:numId w:val="74"/>
        </w:numPr>
        <w:shd w:val="clear" w:color="auto" w:fill="FFFFFF" w:themeFill="background1"/>
        <w:tabs>
          <w:tab w:val="clear" w:pos="425"/>
        </w:tabs>
        <w:rPr>
          <w:rFonts w:cs="Arial"/>
          <w:bCs/>
          <w:sz w:val="20"/>
          <w:szCs w:val="20"/>
        </w:rPr>
      </w:pPr>
      <w:r w:rsidRPr="00215B2F">
        <w:rPr>
          <w:rFonts w:eastAsia="Arial" w:cs="Arial"/>
          <w:sz w:val="20"/>
          <w:szCs w:val="20"/>
        </w:rPr>
        <w:t>pravna ali fizična oseba, ki obvladuje osebe iz 1. točke tega odstavka.</w:t>
      </w:r>
    </w:p>
    <w:p w14:paraId="6450FCD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AB4E190" w14:textId="4621A5F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se s pristojnimi in nadzornimi organi posvetuje in </w:t>
      </w:r>
      <w:r w:rsidR="00717339" w:rsidRPr="00215B2F">
        <w:rPr>
          <w:rFonts w:ascii="Arial" w:eastAsia="Arial" w:hAnsi="Arial" w:cs="Arial"/>
          <w:sz w:val="20"/>
          <w:szCs w:val="20"/>
        </w:rPr>
        <w:t xml:space="preserve">z njimi </w:t>
      </w:r>
      <w:r w:rsidRPr="00215B2F">
        <w:rPr>
          <w:rFonts w:ascii="Arial" w:eastAsia="Arial" w:hAnsi="Arial" w:cs="Arial"/>
          <w:sz w:val="20"/>
          <w:szCs w:val="20"/>
        </w:rPr>
        <w:t>izmenjuje informacije glede ocene primernosti kvalificiranih imetnikov ter ugleda, znanja, veščin in izkušenj članov uprav družb znotraj iste skupine in druge informacije, ki so nujne ali pomembne za presojo, ali bodoči kvalificirani imetnik ustreza merilom, predpisanim s tem zakonom.</w:t>
      </w:r>
    </w:p>
    <w:p w14:paraId="3DF233B5"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83E1E90" w14:textId="13E7B0D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Če je bodoči kvalificirani imetnik nadzorovan</w:t>
      </w:r>
      <w:r w:rsidR="00717339" w:rsidRPr="00215B2F">
        <w:rPr>
          <w:rFonts w:ascii="Arial" w:eastAsia="Arial" w:hAnsi="Arial" w:cs="Arial"/>
          <w:sz w:val="20"/>
          <w:szCs w:val="20"/>
        </w:rPr>
        <w:t>i</w:t>
      </w:r>
      <w:r w:rsidRPr="00215B2F">
        <w:rPr>
          <w:rFonts w:ascii="Arial" w:eastAsia="Arial" w:hAnsi="Arial" w:cs="Arial"/>
          <w:sz w:val="20"/>
          <w:szCs w:val="20"/>
        </w:rPr>
        <w:t xml:space="preserve"> subjekt finančnega sektorja tretje države, mora zahtevi za oceno primernosti za pridobitev kvalificiranega deleža priložiti tudi soglasje oziroma mnenje pristojnega oziroma nadzornega organa ali obvestilo, da v skladu s predpisi, ki veljajo za bodočega kvalificiranega imetnika v državi njegovega sedeža, tako soglasje oziroma mnenje ni potrebno.</w:t>
      </w:r>
    </w:p>
    <w:p w14:paraId="12275E92"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0B63BBDE"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16" w:name="_Ref202963474"/>
      <w:r w:rsidRPr="00215B2F">
        <w:rPr>
          <w:rFonts w:ascii="Arial" w:eastAsia="Arial" w:hAnsi="Arial" w:cs="Arial"/>
          <w:b/>
          <w:bCs/>
          <w:sz w:val="20"/>
          <w:szCs w:val="20"/>
        </w:rPr>
        <w:t>člen</w:t>
      </w:r>
      <w:bookmarkEnd w:id="116"/>
    </w:p>
    <w:p w14:paraId="6544E48B" w14:textId="15EFD37F" w:rsidR="00D91782" w:rsidRPr="00215B2F" w:rsidRDefault="00D91782" w:rsidP="00FD5520">
      <w:pPr>
        <w:pStyle w:val="Slog1"/>
        <w:shd w:val="clear" w:color="auto" w:fill="FFFFFF" w:themeFill="background1"/>
        <w:rPr>
          <w:sz w:val="20"/>
          <w:szCs w:val="20"/>
        </w:rPr>
      </w:pPr>
      <w:r w:rsidRPr="00215B2F">
        <w:rPr>
          <w:sz w:val="20"/>
          <w:szCs w:val="20"/>
        </w:rPr>
        <w:t>(ocena primernosti bodočega kvalificiranega imetnika)</w:t>
      </w:r>
    </w:p>
    <w:p w14:paraId="1F00A3D5" w14:textId="77777777" w:rsidR="00D91782" w:rsidRPr="00215B2F" w:rsidRDefault="00D91782" w:rsidP="00FD5520">
      <w:pPr>
        <w:pStyle w:val="Slog1"/>
        <w:shd w:val="clear" w:color="auto" w:fill="FFFFFF" w:themeFill="background1"/>
        <w:jc w:val="both"/>
        <w:rPr>
          <w:sz w:val="20"/>
          <w:szCs w:val="20"/>
        </w:rPr>
      </w:pPr>
    </w:p>
    <w:p w14:paraId="7699D51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117" w:name="_Hlk203649851"/>
      <w:r w:rsidRPr="00215B2F">
        <w:rPr>
          <w:rFonts w:ascii="Arial" w:eastAsia="Arial" w:hAnsi="Arial" w:cs="Arial"/>
          <w:sz w:val="20"/>
          <w:szCs w:val="20"/>
        </w:rPr>
        <w:t>(1) Da bi se zagotovilo varno in skrbno upravljanje banke, v kateri namerava bodoči kvalificirani imetnik pridobiti kvalificirani delež, mora Banka Slovenije ob upoštevanju vpliva, ki bi ga verjetno imel bodoči kvalificirani imetnik na upravljanje banke, če pridobi kvalificirani delež, ki je predmet zahteve, presojati primernost bodočega kvalificiranega imetnika na podlagi naslednjih meril:</w:t>
      </w:r>
    </w:p>
    <w:p w14:paraId="589D3ED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9338073" w14:textId="77777777" w:rsidR="00895214" w:rsidRPr="00215B2F" w:rsidRDefault="00D91782" w:rsidP="003D4DE0">
      <w:pPr>
        <w:pStyle w:val="tevilnatoka"/>
        <w:numPr>
          <w:ilvl w:val="0"/>
          <w:numId w:val="364"/>
        </w:numPr>
        <w:shd w:val="clear" w:color="auto" w:fill="FFFFFF" w:themeFill="background1"/>
        <w:rPr>
          <w:rFonts w:cs="Arial"/>
          <w:bCs/>
          <w:sz w:val="20"/>
          <w:szCs w:val="20"/>
        </w:rPr>
      </w:pPr>
      <w:r w:rsidRPr="00215B2F">
        <w:rPr>
          <w:rFonts w:eastAsia="Arial" w:cs="Arial"/>
          <w:sz w:val="20"/>
          <w:szCs w:val="20"/>
        </w:rPr>
        <w:t>ugled bodočega kvalificiranega imetnika;</w:t>
      </w:r>
    </w:p>
    <w:p w14:paraId="1EFCF256" w14:textId="77777777" w:rsidR="00895214" w:rsidRPr="00215B2F" w:rsidRDefault="00D91782" w:rsidP="00717339">
      <w:pPr>
        <w:pStyle w:val="tevilnatoka"/>
        <w:shd w:val="clear" w:color="auto" w:fill="FFFFFF" w:themeFill="background1"/>
        <w:tabs>
          <w:tab w:val="clear" w:pos="425"/>
        </w:tabs>
        <w:rPr>
          <w:rFonts w:cs="Arial"/>
          <w:bCs/>
          <w:sz w:val="20"/>
          <w:szCs w:val="20"/>
        </w:rPr>
      </w:pPr>
      <w:r w:rsidRPr="00215B2F">
        <w:rPr>
          <w:rFonts w:eastAsia="Arial" w:cs="Arial"/>
          <w:sz w:val="20"/>
          <w:szCs w:val="20"/>
        </w:rPr>
        <w:t>ugled, znanje, veščine in izkušnje vseh članov organov vodenja ali nadzora, ki bodo imeli možnost upravljati banko ali drugače vplivati na poslovanje banke, če bodoči kvalificirani imetnik pridobi kvalificirani delež, ki je predmet zahteve;</w:t>
      </w:r>
    </w:p>
    <w:p w14:paraId="25E6A06C" w14:textId="3EB9C5C8" w:rsidR="00895214" w:rsidRPr="00215B2F" w:rsidRDefault="00D91782" w:rsidP="00717339">
      <w:pPr>
        <w:pStyle w:val="tevilnatoka"/>
        <w:shd w:val="clear" w:color="auto" w:fill="FFFFFF" w:themeFill="background1"/>
        <w:tabs>
          <w:tab w:val="clear" w:pos="425"/>
        </w:tabs>
        <w:rPr>
          <w:rFonts w:cs="Arial"/>
          <w:bCs/>
          <w:sz w:val="20"/>
          <w:szCs w:val="20"/>
        </w:rPr>
      </w:pPr>
      <w:r w:rsidRPr="00215B2F">
        <w:rPr>
          <w:rFonts w:eastAsia="Arial" w:cs="Arial"/>
          <w:sz w:val="20"/>
          <w:szCs w:val="20"/>
        </w:rPr>
        <w:t>finančn</w:t>
      </w:r>
      <w:r w:rsidR="00F255E7" w:rsidRPr="00215B2F">
        <w:rPr>
          <w:rFonts w:eastAsia="Arial" w:cs="Arial"/>
          <w:sz w:val="20"/>
          <w:szCs w:val="20"/>
        </w:rPr>
        <w:t>a</w:t>
      </w:r>
      <w:r w:rsidRPr="00215B2F">
        <w:rPr>
          <w:rFonts w:eastAsia="Arial" w:cs="Arial"/>
          <w:sz w:val="20"/>
          <w:szCs w:val="20"/>
        </w:rPr>
        <w:t xml:space="preserve"> trdnost bodočega kvalificiranega imetnika, zlasti v zvezi z vrstami poslov, ki jih opravlja ali načrtuje banka;</w:t>
      </w:r>
    </w:p>
    <w:p w14:paraId="643AA5B2" w14:textId="226DE3E7" w:rsidR="00895214" w:rsidRPr="00215B2F" w:rsidRDefault="00D91782" w:rsidP="00717339">
      <w:pPr>
        <w:pStyle w:val="tevilnatoka"/>
        <w:shd w:val="clear" w:color="auto" w:fill="FFFFFF" w:themeFill="background1"/>
        <w:tabs>
          <w:tab w:val="clear" w:pos="425"/>
        </w:tabs>
        <w:rPr>
          <w:rFonts w:cs="Arial"/>
          <w:bCs/>
          <w:sz w:val="20"/>
          <w:szCs w:val="20"/>
        </w:rPr>
      </w:pPr>
      <w:r w:rsidRPr="00215B2F">
        <w:rPr>
          <w:rFonts w:eastAsia="Arial" w:cs="Arial"/>
          <w:sz w:val="20"/>
          <w:szCs w:val="20"/>
        </w:rPr>
        <w:t>verjetn</w:t>
      </w:r>
      <w:r w:rsidR="00F255E7" w:rsidRPr="00215B2F">
        <w:rPr>
          <w:rFonts w:eastAsia="Arial" w:cs="Arial"/>
          <w:sz w:val="20"/>
          <w:szCs w:val="20"/>
        </w:rPr>
        <w:t>e</w:t>
      </w:r>
      <w:r w:rsidRPr="00215B2F">
        <w:rPr>
          <w:rFonts w:eastAsia="Arial" w:cs="Arial"/>
          <w:sz w:val="20"/>
          <w:szCs w:val="20"/>
        </w:rPr>
        <w:t xml:space="preserve"> posledic</w:t>
      </w:r>
      <w:r w:rsidR="00F255E7" w:rsidRPr="00215B2F">
        <w:rPr>
          <w:rFonts w:eastAsia="Arial" w:cs="Arial"/>
          <w:sz w:val="20"/>
          <w:szCs w:val="20"/>
        </w:rPr>
        <w:t>e</w:t>
      </w:r>
      <w:r w:rsidRPr="00215B2F">
        <w:rPr>
          <w:rFonts w:eastAsia="Arial" w:cs="Arial"/>
          <w:sz w:val="20"/>
          <w:szCs w:val="20"/>
        </w:rPr>
        <w:t>, če bodoči kvalificirani imetnik pridobi kvalificirani delež, ki je predmet zahteve, za sposobnost banke ravnati v skladu s pravili o upravljanju tveganj ter izpolnjevati zahteve in omejitve v skladu s t</w:t>
      </w:r>
      <w:r w:rsidR="00073135" w:rsidRPr="00215B2F">
        <w:rPr>
          <w:rFonts w:eastAsia="Arial" w:cs="Arial"/>
          <w:sz w:val="20"/>
          <w:szCs w:val="20"/>
        </w:rPr>
        <w:t>em</w:t>
      </w:r>
      <w:r w:rsidRPr="00215B2F">
        <w:rPr>
          <w:rFonts w:eastAsia="Arial" w:cs="Arial"/>
          <w:sz w:val="20"/>
          <w:szCs w:val="20"/>
        </w:rPr>
        <w:t xml:space="preserve"> zakon</w:t>
      </w:r>
      <w:r w:rsidR="00073135" w:rsidRPr="00215B2F">
        <w:rPr>
          <w:rFonts w:eastAsia="Arial" w:cs="Arial"/>
          <w:sz w:val="20"/>
          <w:szCs w:val="20"/>
        </w:rPr>
        <w:t>om</w:t>
      </w:r>
      <w:r w:rsidRPr="00215B2F">
        <w:rPr>
          <w:rFonts w:eastAsia="Arial" w:cs="Arial"/>
          <w:sz w:val="20"/>
          <w:szCs w:val="20"/>
        </w:rPr>
        <w:t xml:space="preserve">, </w:t>
      </w:r>
      <w:r w:rsidR="00073135" w:rsidRPr="00215B2F">
        <w:rPr>
          <w:rFonts w:eastAsia="Arial" w:cs="Arial"/>
          <w:sz w:val="20"/>
          <w:szCs w:val="20"/>
        </w:rPr>
        <w:t xml:space="preserve">Uredbo </w:t>
      </w:r>
      <w:r w:rsidRPr="00215B2F">
        <w:rPr>
          <w:rFonts w:eastAsia="Arial" w:cs="Arial"/>
          <w:sz w:val="20"/>
          <w:szCs w:val="20"/>
        </w:rPr>
        <w:t>575/2013/EU ter drugi</w:t>
      </w:r>
      <w:r w:rsidR="00073135" w:rsidRPr="00215B2F">
        <w:rPr>
          <w:rFonts w:eastAsia="Arial" w:cs="Arial"/>
          <w:sz w:val="20"/>
          <w:szCs w:val="20"/>
        </w:rPr>
        <w:t>mi</w:t>
      </w:r>
      <w:r w:rsidRPr="00215B2F">
        <w:rPr>
          <w:rFonts w:eastAsia="Arial" w:cs="Arial"/>
          <w:sz w:val="20"/>
          <w:szCs w:val="20"/>
        </w:rPr>
        <w:t xml:space="preserve"> predpisi, ki se uporabljajo za banko;</w:t>
      </w:r>
    </w:p>
    <w:p w14:paraId="44AF27B0" w14:textId="71FF24FB" w:rsidR="00D91782" w:rsidRPr="00215B2F" w:rsidRDefault="00D91782" w:rsidP="00717339">
      <w:pPr>
        <w:pStyle w:val="tevilnatoka"/>
        <w:shd w:val="clear" w:color="auto" w:fill="FFFFFF" w:themeFill="background1"/>
        <w:tabs>
          <w:tab w:val="clear" w:pos="425"/>
        </w:tabs>
        <w:rPr>
          <w:rFonts w:cs="Arial"/>
          <w:bCs/>
          <w:sz w:val="20"/>
          <w:szCs w:val="20"/>
        </w:rPr>
      </w:pPr>
      <w:r w:rsidRPr="00215B2F">
        <w:rPr>
          <w:rFonts w:eastAsia="Arial" w:cs="Arial"/>
          <w:sz w:val="20"/>
          <w:szCs w:val="20"/>
        </w:rPr>
        <w:t>ali obstajajo utemeljeni razlogi za sum:</w:t>
      </w:r>
    </w:p>
    <w:p w14:paraId="4B7A0D01" w14:textId="2E8AA7BF"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da gre ali je šlo v zvezi z nameravano pridobitvijo kvalificiranega deleža, ki je predmet ocene primernosti</w:t>
      </w:r>
      <w:r w:rsidR="002D436C" w:rsidRPr="00215B2F">
        <w:rPr>
          <w:rFonts w:ascii="Arial" w:eastAsia="Arial" w:hAnsi="Arial" w:cs="Arial"/>
          <w:sz w:val="20"/>
          <w:szCs w:val="20"/>
        </w:rPr>
        <w:t xml:space="preserve"> kvalificiranega deleža</w:t>
      </w:r>
      <w:r w:rsidR="00F255E7" w:rsidRPr="00215B2F">
        <w:rPr>
          <w:rFonts w:ascii="Arial" w:eastAsia="Arial" w:hAnsi="Arial" w:cs="Arial"/>
          <w:sz w:val="20"/>
          <w:szCs w:val="20"/>
        </w:rPr>
        <w:t>,</w:t>
      </w:r>
      <w:r w:rsidRPr="00215B2F">
        <w:rPr>
          <w:rFonts w:ascii="Arial" w:eastAsia="Arial" w:hAnsi="Arial" w:cs="Arial"/>
          <w:sz w:val="20"/>
          <w:szCs w:val="20"/>
        </w:rPr>
        <w:t xml:space="preserve"> za pranje denarja ali financiranje terorizma, k</w:t>
      </w:r>
      <w:r w:rsidR="00EB484E" w:rsidRPr="00215B2F">
        <w:rPr>
          <w:rFonts w:ascii="Arial" w:eastAsia="Arial" w:hAnsi="Arial" w:cs="Arial"/>
          <w:sz w:val="20"/>
          <w:szCs w:val="20"/>
        </w:rPr>
        <w:t>akor</w:t>
      </w:r>
      <w:r w:rsidRPr="00215B2F">
        <w:rPr>
          <w:rFonts w:ascii="Arial" w:eastAsia="Arial" w:hAnsi="Arial" w:cs="Arial"/>
          <w:sz w:val="20"/>
          <w:szCs w:val="20"/>
        </w:rPr>
        <w:t xml:space="preserve"> je opredeljeno v zakonu, ki ureja preprečevanje pranja denarja ali financiranje terorizma</w:t>
      </w:r>
      <w:r w:rsidR="00F255E7" w:rsidRPr="00215B2F">
        <w:rPr>
          <w:rFonts w:ascii="Arial" w:eastAsia="Arial" w:hAnsi="Arial" w:cs="Arial"/>
          <w:sz w:val="20"/>
          <w:szCs w:val="20"/>
        </w:rPr>
        <w:t>,</w:t>
      </w:r>
      <w:r w:rsidRPr="00215B2F">
        <w:rPr>
          <w:rFonts w:ascii="Arial" w:eastAsia="Arial" w:hAnsi="Arial" w:cs="Arial"/>
          <w:sz w:val="20"/>
          <w:szCs w:val="20"/>
        </w:rPr>
        <w:t xml:space="preserve"> oziroma 1. členu Direktive 2015/849/EU</w:t>
      </w:r>
      <w:r w:rsidR="00F255E7" w:rsidRPr="00215B2F">
        <w:rPr>
          <w:rFonts w:ascii="Arial" w:eastAsia="Arial" w:hAnsi="Arial" w:cs="Arial"/>
          <w:sz w:val="20"/>
          <w:szCs w:val="20"/>
        </w:rPr>
        <w:t>,</w:t>
      </w:r>
      <w:r w:rsidRPr="00215B2F">
        <w:rPr>
          <w:rFonts w:ascii="Arial" w:eastAsia="Arial" w:hAnsi="Arial" w:cs="Arial"/>
          <w:sz w:val="20"/>
          <w:szCs w:val="20"/>
        </w:rPr>
        <w:t xml:space="preserve"> ali poskus tega ali</w:t>
      </w:r>
    </w:p>
    <w:p w14:paraId="1F708C24" w14:textId="03331732"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lastRenderedPageBreak/>
        <w:t>da nameravana pridobitev lahko poveča tveganje pranj</w:t>
      </w:r>
      <w:r w:rsidR="00F255E7" w:rsidRPr="00215B2F">
        <w:rPr>
          <w:rFonts w:ascii="Arial" w:eastAsia="Arial" w:hAnsi="Arial" w:cs="Arial"/>
          <w:sz w:val="20"/>
          <w:szCs w:val="20"/>
        </w:rPr>
        <w:t>a</w:t>
      </w:r>
      <w:r w:rsidRPr="00215B2F">
        <w:rPr>
          <w:rFonts w:ascii="Arial" w:eastAsia="Arial" w:hAnsi="Arial" w:cs="Arial"/>
          <w:sz w:val="20"/>
          <w:szCs w:val="20"/>
        </w:rPr>
        <w:t xml:space="preserve"> denarja ali financiranje terorizma, k</w:t>
      </w:r>
      <w:r w:rsidR="00EB484E" w:rsidRPr="00215B2F">
        <w:rPr>
          <w:rFonts w:ascii="Arial" w:eastAsia="Arial" w:hAnsi="Arial" w:cs="Arial"/>
          <w:sz w:val="20"/>
          <w:szCs w:val="20"/>
        </w:rPr>
        <w:t>akor</w:t>
      </w:r>
      <w:r w:rsidRPr="00215B2F">
        <w:rPr>
          <w:rFonts w:ascii="Arial" w:eastAsia="Arial" w:hAnsi="Arial" w:cs="Arial"/>
          <w:sz w:val="20"/>
          <w:szCs w:val="20"/>
        </w:rPr>
        <w:t xml:space="preserve"> je opredeljeno v zakonu, ki ureja preprečevanje pranja denarja ali financiranje terorizma</w:t>
      </w:r>
      <w:r w:rsidR="00F255E7" w:rsidRPr="00215B2F">
        <w:rPr>
          <w:rFonts w:ascii="Arial" w:eastAsia="Arial" w:hAnsi="Arial" w:cs="Arial"/>
          <w:sz w:val="20"/>
          <w:szCs w:val="20"/>
        </w:rPr>
        <w:t>,</w:t>
      </w:r>
      <w:r w:rsidRPr="00215B2F">
        <w:rPr>
          <w:rFonts w:ascii="Arial" w:eastAsia="Arial" w:hAnsi="Arial" w:cs="Arial"/>
          <w:sz w:val="20"/>
          <w:szCs w:val="20"/>
        </w:rPr>
        <w:t xml:space="preserve"> oziroma 1. členu Direktive 2015/849/EU.</w:t>
      </w:r>
    </w:p>
    <w:p w14:paraId="67055D22"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BBD112D" w14:textId="1F64545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Pri presoji primernosti bodočega kvalificiranega imetnika na podlagi merila iz 2. točke prejšnjega odstavka Banka Slovenije smiselno upošteva določbe tega zakona o presoji primernosti članov upravljalnih organov bank in hranilnic.</w:t>
      </w:r>
    </w:p>
    <w:p w14:paraId="3609573B"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F48CBDB" w14:textId="6D75D0A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pri oceni primernosti bodočega kvalificiranega imetnika na podlagi merila iz 4. točke prejšnjega odstavka presodi tudi organizacijski ustroj, procese in sisteme znotraj skupine, katere del bo postala banka, če bodoči kvalificirani imetnik pridobi kvalificirani delež, ki je predmet zahteve, in verjetne posledice za možnost izvajanja učinkovitega nadzora, učinkovite izmenjave informacij med pristojnimi nadzornimi organi in razmejitve pristojnosti in odgovornosti za nadzor med pristojnimi nadzornimi organi.</w:t>
      </w:r>
    </w:p>
    <w:p w14:paraId="67050CA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6C1689A" w14:textId="5E45CB7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118" w:name="_Hlk203650074"/>
      <w:r w:rsidRPr="00215B2F">
        <w:rPr>
          <w:rFonts w:ascii="Arial" w:eastAsia="Arial" w:hAnsi="Arial" w:cs="Arial"/>
          <w:sz w:val="20"/>
          <w:szCs w:val="20"/>
        </w:rPr>
        <w:t xml:space="preserve">(4) Banka Slovenije se v zvezi z merilom iz 5. točke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posvetuje z Uradom </w:t>
      </w:r>
      <w:r w:rsidR="000063BE" w:rsidRPr="00215B2F">
        <w:rPr>
          <w:rFonts w:ascii="Arial" w:eastAsia="Arial" w:hAnsi="Arial" w:cs="Arial"/>
          <w:sz w:val="20"/>
          <w:szCs w:val="20"/>
        </w:rPr>
        <w:t xml:space="preserve">Republike Slovenije </w:t>
      </w:r>
      <w:r w:rsidRPr="00215B2F">
        <w:rPr>
          <w:rFonts w:ascii="Arial" w:eastAsia="Arial" w:hAnsi="Arial" w:cs="Arial"/>
          <w:sz w:val="20"/>
          <w:szCs w:val="20"/>
        </w:rPr>
        <w:t>za preprečevanje pranja denarja. Pri oceni primernosti bodočega kvalificiranega imetnika na podlagi merila iz 5. točke:</w:t>
      </w:r>
    </w:p>
    <w:p w14:paraId="4B3CC28E"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3542987" w14:textId="5A0D89A4"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upošteva informacije, ki jih je pridobila kot pristojni nadzorni organ na podlagi zakona, ki ureja preprečevanje pranja denarja in financiranje terorizma</w:t>
      </w:r>
      <w:r w:rsidR="000063BE" w:rsidRPr="00215B2F">
        <w:rPr>
          <w:rFonts w:ascii="Arial" w:eastAsia="Arial" w:hAnsi="Arial" w:cs="Arial"/>
          <w:sz w:val="20"/>
          <w:szCs w:val="20"/>
        </w:rPr>
        <w:t>,</w:t>
      </w:r>
      <w:r w:rsidRPr="00215B2F">
        <w:rPr>
          <w:rFonts w:ascii="Arial" w:eastAsia="Arial" w:hAnsi="Arial" w:cs="Arial"/>
          <w:sz w:val="20"/>
          <w:szCs w:val="20"/>
        </w:rPr>
        <w:t xml:space="preserve"> </w:t>
      </w:r>
      <w:r w:rsidR="000063BE" w:rsidRPr="00215B2F">
        <w:rPr>
          <w:rFonts w:ascii="Arial" w:eastAsia="Arial" w:hAnsi="Arial" w:cs="Arial"/>
          <w:sz w:val="20"/>
          <w:szCs w:val="20"/>
        </w:rPr>
        <w:t>ter</w:t>
      </w:r>
    </w:p>
    <w:p w14:paraId="164C17AF" w14:textId="5466466D" w:rsidR="00D91782" w:rsidRPr="00215B2F" w:rsidRDefault="00D91782">
      <w:pPr>
        <w:numPr>
          <w:ilvl w:val="0"/>
          <w:numId w:val="26"/>
        </w:num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ustrezno upošteva negativno mnenje Urada </w:t>
      </w:r>
      <w:r w:rsidR="000063BE" w:rsidRPr="00215B2F">
        <w:rPr>
          <w:rFonts w:ascii="Arial" w:eastAsia="Arial" w:hAnsi="Arial" w:cs="Arial"/>
          <w:sz w:val="20"/>
          <w:szCs w:val="20"/>
        </w:rPr>
        <w:t xml:space="preserve">Republike Slovenije </w:t>
      </w:r>
      <w:r w:rsidRPr="00215B2F">
        <w:rPr>
          <w:rFonts w:ascii="Arial" w:eastAsia="Arial" w:hAnsi="Arial" w:cs="Arial"/>
          <w:sz w:val="20"/>
          <w:szCs w:val="20"/>
        </w:rPr>
        <w:t>za preprečevanja pranja denarja, ki ga je prejela v 30 dneh od začetka ocenjevalnega obdobja.</w:t>
      </w:r>
    </w:p>
    <w:bookmarkEnd w:id="118"/>
    <w:p w14:paraId="1B0EB8D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00354881" w14:textId="0CB51C6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Banka Slovenije ne sme presojati primernosti bodočega kvalificiranega imetnika z vidika gospodarskih potreb trga.</w:t>
      </w:r>
    </w:p>
    <w:p w14:paraId="3BDF9DCA"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72B2B9F" w14:textId="29C0E6D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Če Banka Slovenije hkrati obravnava dve ali več zahtev za pridobitev kvalificiranega deleža v isti banki, mora vse bodoče kvalificirane imetnike obravnavati nediskriminatorno.</w:t>
      </w:r>
    </w:p>
    <w:p w14:paraId="04E7F07C" w14:textId="77777777" w:rsidR="00986E6A" w:rsidRPr="00215B2F" w:rsidRDefault="00986E6A" w:rsidP="00FD5520">
      <w:pPr>
        <w:shd w:val="clear" w:color="auto" w:fill="FFFFFF" w:themeFill="background1"/>
        <w:spacing w:after="0" w:line="240" w:lineRule="auto"/>
        <w:jc w:val="both"/>
        <w:rPr>
          <w:rFonts w:ascii="Arial" w:eastAsia="Arial" w:hAnsi="Arial" w:cs="Arial"/>
          <w:sz w:val="20"/>
          <w:szCs w:val="20"/>
        </w:rPr>
      </w:pPr>
    </w:p>
    <w:p w14:paraId="0A02BB7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19" w:name="_Ref202963485"/>
      <w:bookmarkEnd w:id="117"/>
      <w:r w:rsidRPr="00215B2F">
        <w:rPr>
          <w:rFonts w:ascii="Arial" w:eastAsia="Arial" w:hAnsi="Arial" w:cs="Arial"/>
          <w:b/>
          <w:bCs/>
          <w:sz w:val="20"/>
          <w:szCs w:val="20"/>
        </w:rPr>
        <w:t>člen</w:t>
      </w:r>
      <w:bookmarkEnd w:id="119"/>
    </w:p>
    <w:p w14:paraId="41162EDA" w14:textId="75552B80" w:rsidR="00D91782" w:rsidRPr="00215B2F" w:rsidRDefault="00D91782" w:rsidP="00FD5520">
      <w:pPr>
        <w:pStyle w:val="Slog1"/>
        <w:shd w:val="clear" w:color="auto" w:fill="FFFFFF" w:themeFill="background1"/>
        <w:rPr>
          <w:sz w:val="20"/>
          <w:szCs w:val="20"/>
        </w:rPr>
      </w:pPr>
      <w:r w:rsidRPr="00215B2F">
        <w:rPr>
          <w:sz w:val="20"/>
          <w:szCs w:val="20"/>
        </w:rPr>
        <w:t>(rok za odločitev o oceni primernosti za pridobitev kvalificiranega deleža)</w:t>
      </w:r>
    </w:p>
    <w:p w14:paraId="0B1039B0" w14:textId="77777777" w:rsidR="00D91782" w:rsidRPr="00215B2F" w:rsidRDefault="00D91782" w:rsidP="00FD5520">
      <w:pPr>
        <w:pStyle w:val="Slog1"/>
        <w:shd w:val="clear" w:color="auto" w:fill="FFFFFF" w:themeFill="background1"/>
        <w:jc w:val="both"/>
        <w:rPr>
          <w:sz w:val="20"/>
          <w:szCs w:val="20"/>
        </w:rPr>
      </w:pPr>
    </w:p>
    <w:p w14:paraId="0881DC46" w14:textId="509B178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Ne glede na druge določbe tega zakona mora biti odločitev o oceni primernosti za pridobitev kvalificiranega deleža izdana v 60 delovnih dneh (ocenjevalno obdobje).</w:t>
      </w:r>
    </w:p>
    <w:p w14:paraId="436C0E3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8EC19E8" w14:textId="421180C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Rok iz prejšnjega odstavka teče od izdaje potrdila o prejemu popolne zahteve v skladu s prvo alinejo drugega odstavka ali prvo alinejo četrtega odstavka </w:t>
      </w:r>
      <w:r w:rsidR="002A6DBF" w:rsidRPr="00215B2F">
        <w:rPr>
          <w:rFonts w:ascii="Arial" w:eastAsia="Arial" w:hAnsi="Arial" w:cs="Arial"/>
          <w:sz w:val="20"/>
          <w:szCs w:val="20"/>
        </w:rPr>
        <w:t>85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Če Banka Slovenije potrdila o popolni oziroma nepopolni zahtevi ne izda v roku iz drugega odstavka </w:t>
      </w:r>
      <w:r w:rsidR="002A6DBF" w:rsidRPr="00215B2F">
        <w:rPr>
          <w:rFonts w:ascii="Arial" w:eastAsia="Arial" w:hAnsi="Arial" w:cs="Arial"/>
          <w:sz w:val="20"/>
          <w:szCs w:val="20"/>
        </w:rPr>
        <w:t>85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teče rok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od poteka roka za izdajo potrdila iz drugega odstavka </w:t>
      </w:r>
      <w:r w:rsidR="002A6DBF" w:rsidRPr="00215B2F">
        <w:rPr>
          <w:rFonts w:ascii="Arial" w:eastAsia="Arial" w:hAnsi="Arial" w:cs="Arial"/>
          <w:sz w:val="20"/>
          <w:szCs w:val="20"/>
        </w:rPr>
        <w:t>85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p>
    <w:p w14:paraId="4F83172F"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4AAC721" w14:textId="123DF67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je Banka Slovenije pred iztekom roka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vložnika pozvala, da se iz</w:t>
      </w:r>
      <w:r w:rsidR="00805CF8" w:rsidRPr="00215B2F">
        <w:rPr>
          <w:rFonts w:ascii="Arial" w:eastAsia="Arial" w:hAnsi="Arial" w:cs="Arial"/>
          <w:sz w:val="20"/>
          <w:szCs w:val="20"/>
        </w:rPr>
        <w:t>javi</w:t>
      </w:r>
      <w:r w:rsidR="008514DC" w:rsidRPr="00215B2F">
        <w:rPr>
          <w:rFonts w:ascii="Arial" w:eastAsia="Arial" w:hAnsi="Arial" w:cs="Arial"/>
          <w:sz w:val="20"/>
          <w:szCs w:val="20"/>
        </w:rPr>
        <w:t xml:space="preserve"> glede</w:t>
      </w:r>
      <w:r w:rsidRPr="00215B2F">
        <w:rPr>
          <w:rFonts w:ascii="Arial" w:eastAsia="Arial" w:hAnsi="Arial" w:cs="Arial"/>
          <w:sz w:val="20"/>
          <w:szCs w:val="20"/>
        </w:rPr>
        <w:t xml:space="preserve"> razlog</w:t>
      </w:r>
      <w:r w:rsidR="008514DC" w:rsidRPr="00215B2F">
        <w:rPr>
          <w:rFonts w:ascii="Arial" w:eastAsia="Arial" w:hAnsi="Arial" w:cs="Arial"/>
          <w:sz w:val="20"/>
          <w:szCs w:val="20"/>
        </w:rPr>
        <w:t>ov</w:t>
      </w:r>
      <w:r w:rsidRPr="00215B2F">
        <w:rPr>
          <w:rFonts w:ascii="Arial" w:eastAsia="Arial" w:hAnsi="Arial" w:cs="Arial"/>
          <w:sz w:val="20"/>
          <w:szCs w:val="20"/>
        </w:rPr>
        <w:t xml:space="preserve"> za odločitev o nasprotovanju, rok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ne teče od vročitve poziva do izteka roka za izjavo oziroma do prejema izjave, če je bila ta pos</w:t>
      </w:r>
      <w:r w:rsidR="008514DC" w:rsidRPr="00215B2F">
        <w:rPr>
          <w:rFonts w:ascii="Arial" w:eastAsia="Arial" w:hAnsi="Arial" w:cs="Arial"/>
          <w:sz w:val="20"/>
          <w:szCs w:val="20"/>
        </w:rPr>
        <w:t>l</w:t>
      </w:r>
      <w:r w:rsidRPr="00215B2F">
        <w:rPr>
          <w:rFonts w:ascii="Arial" w:eastAsia="Arial" w:hAnsi="Arial" w:cs="Arial"/>
          <w:sz w:val="20"/>
          <w:szCs w:val="20"/>
        </w:rPr>
        <w:t>ana v roku, določenem s pozivom.</w:t>
      </w:r>
    </w:p>
    <w:p w14:paraId="5AA2617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76A5FB8D" w14:textId="6E24100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Če Banka Slovenije izda zahtevo za dodatne informacije ali dokumente v skladu s petim odstavkom </w:t>
      </w:r>
      <w:r w:rsidR="002A6DBF" w:rsidRPr="00215B2F">
        <w:rPr>
          <w:rFonts w:ascii="Arial" w:eastAsia="Arial" w:hAnsi="Arial" w:cs="Arial"/>
          <w:sz w:val="20"/>
          <w:szCs w:val="20"/>
        </w:rPr>
        <w:t>85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rok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ne teče od izdaje zahteve za dodatne informacije ali dokumente do dneva, ko vložnik predloži dodatne informacije ali dokumente, vendar največ 20 delovnih dni od izdaje prve zahteve. Druga </w:t>
      </w:r>
      <w:r w:rsidR="00F82E1C" w:rsidRPr="00215B2F">
        <w:rPr>
          <w:rFonts w:ascii="Arial" w:eastAsia="Arial" w:hAnsi="Arial" w:cs="Arial"/>
          <w:sz w:val="20"/>
          <w:szCs w:val="20"/>
        </w:rPr>
        <w:t xml:space="preserve">zahteva </w:t>
      </w:r>
      <w:r w:rsidRPr="00215B2F">
        <w:rPr>
          <w:rFonts w:ascii="Arial" w:eastAsia="Arial" w:hAnsi="Arial" w:cs="Arial"/>
          <w:sz w:val="20"/>
          <w:szCs w:val="20"/>
        </w:rPr>
        <w:t xml:space="preserve">in naslednje zahteve Banke Slovenije v skladu s petim odstavkom </w:t>
      </w:r>
      <w:r w:rsidR="002A6DBF" w:rsidRPr="00215B2F">
        <w:rPr>
          <w:rFonts w:ascii="Arial" w:eastAsia="Arial" w:hAnsi="Arial" w:cs="Arial"/>
          <w:sz w:val="20"/>
          <w:szCs w:val="20"/>
        </w:rPr>
        <w:t>85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ne zadržijo teka roka iz prejšnjega odstavka.</w:t>
      </w:r>
    </w:p>
    <w:p w14:paraId="69CCC62E"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8B043C3" w14:textId="20D9695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Ne glede na prejšnji odstavek lahko Banka Slovenije s prvo zahtevo iz petega odstavka </w:t>
      </w:r>
      <w:r w:rsidR="002A6DBF" w:rsidRPr="00215B2F">
        <w:rPr>
          <w:rFonts w:ascii="Arial" w:eastAsia="Arial" w:hAnsi="Arial" w:cs="Arial"/>
          <w:sz w:val="20"/>
          <w:szCs w:val="20"/>
        </w:rPr>
        <w:t>85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za predložitev dodatnih informacij ali dokumentov odloči, da se tek roka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zadrži za več kot 20 delovnih dni, vendar največ za 30 delovnih dni od izdaje te zahteve, če:</w:t>
      </w:r>
    </w:p>
    <w:p w14:paraId="65CB1C7C"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CEB5139" w14:textId="65D17138" w:rsidR="00895214" w:rsidRPr="00215B2F" w:rsidRDefault="00D91782">
      <w:pPr>
        <w:pStyle w:val="tevilnatoka"/>
        <w:numPr>
          <w:ilvl w:val="0"/>
          <w:numId w:val="75"/>
        </w:numPr>
        <w:shd w:val="clear" w:color="auto" w:fill="FFFFFF" w:themeFill="background1"/>
        <w:tabs>
          <w:tab w:val="clear" w:pos="425"/>
        </w:tabs>
        <w:rPr>
          <w:rFonts w:cs="Arial"/>
          <w:bCs/>
          <w:sz w:val="20"/>
          <w:szCs w:val="20"/>
        </w:rPr>
      </w:pPr>
      <w:r w:rsidRPr="00215B2F">
        <w:rPr>
          <w:rFonts w:eastAsia="Arial" w:cs="Arial"/>
          <w:sz w:val="20"/>
          <w:szCs w:val="20"/>
        </w:rPr>
        <w:t xml:space="preserve">je bodoči kvalificirani imetnik oseba </w:t>
      </w:r>
      <w:r w:rsidR="00D41577" w:rsidRPr="00215B2F">
        <w:rPr>
          <w:rFonts w:eastAsia="Arial" w:cs="Arial"/>
          <w:sz w:val="20"/>
          <w:szCs w:val="20"/>
        </w:rPr>
        <w:t xml:space="preserve">iz </w:t>
      </w:r>
      <w:r w:rsidRPr="00215B2F">
        <w:rPr>
          <w:rFonts w:eastAsia="Arial" w:cs="Arial"/>
          <w:sz w:val="20"/>
          <w:szCs w:val="20"/>
        </w:rPr>
        <w:t>tretje države ali</w:t>
      </w:r>
    </w:p>
    <w:p w14:paraId="798103AC" w14:textId="6C8A9E64" w:rsidR="00D91782" w:rsidRPr="00215B2F" w:rsidRDefault="00D91782">
      <w:pPr>
        <w:pStyle w:val="tevilnatoka"/>
        <w:numPr>
          <w:ilvl w:val="0"/>
          <w:numId w:val="75"/>
        </w:numPr>
        <w:shd w:val="clear" w:color="auto" w:fill="FFFFFF" w:themeFill="background1"/>
        <w:tabs>
          <w:tab w:val="clear" w:pos="425"/>
        </w:tabs>
        <w:rPr>
          <w:rFonts w:cs="Arial"/>
          <w:bCs/>
          <w:sz w:val="20"/>
          <w:szCs w:val="20"/>
        </w:rPr>
      </w:pPr>
      <w:r w:rsidRPr="00215B2F">
        <w:rPr>
          <w:rFonts w:eastAsia="Arial" w:cs="Arial"/>
          <w:sz w:val="20"/>
          <w:szCs w:val="20"/>
        </w:rPr>
        <w:t>bodoči kvalificirani imetnik nima položaja kreditne institucije, investicijskega podjetja, družbe za upravljanje, kolektivnega naložbenega podjema, zavarovalnice ali pozavarovalnice.</w:t>
      </w:r>
    </w:p>
    <w:p w14:paraId="0C6028E0"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576D764" w14:textId="12D25BD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(6) Če vložnik po izdaji potrdila o popolni vlogi predloži dodatno dokumentacijo, ki pomembno vpliva na oceno primernosti</w:t>
      </w:r>
      <w:r w:rsidR="002D436C" w:rsidRPr="00215B2F">
        <w:rPr>
          <w:rFonts w:ascii="Arial" w:eastAsia="Arial" w:hAnsi="Arial" w:cs="Arial"/>
          <w:sz w:val="20"/>
          <w:szCs w:val="20"/>
        </w:rPr>
        <w:t xml:space="preserve"> kvalificiranega deleža</w:t>
      </w:r>
      <w:r w:rsidRPr="00215B2F">
        <w:rPr>
          <w:rFonts w:ascii="Arial" w:eastAsia="Arial" w:hAnsi="Arial" w:cs="Arial"/>
          <w:sz w:val="20"/>
          <w:szCs w:val="20"/>
        </w:rPr>
        <w:t xml:space="preserve">, se taka dopolnitev šteje kot nova zahteva </w:t>
      </w:r>
      <w:r w:rsidR="00725F2C" w:rsidRPr="00215B2F">
        <w:rPr>
          <w:rFonts w:ascii="Arial" w:eastAsia="Arial" w:hAnsi="Arial" w:cs="Arial"/>
          <w:sz w:val="20"/>
          <w:szCs w:val="20"/>
        </w:rPr>
        <w:t xml:space="preserve">za oceno primernosti </w:t>
      </w:r>
      <w:r w:rsidRPr="00215B2F">
        <w:rPr>
          <w:rFonts w:ascii="Arial" w:eastAsia="Arial" w:hAnsi="Arial" w:cs="Arial"/>
          <w:sz w:val="20"/>
          <w:szCs w:val="20"/>
        </w:rPr>
        <w:t xml:space="preserve">iz prvega odstavka </w:t>
      </w:r>
      <w:r w:rsidR="002A6DBF" w:rsidRPr="00215B2F">
        <w:rPr>
          <w:rFonts w:ascii="Arial" w:eastAsia="Arial" w:hAnsi="Arial" w:cs="Arial"/>
          <w:sz w:val="20"/>
          <w:szCs w:val="20"/>
        </w:rPr>
        <w:t>81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ocenjevalno obdobje pa začne teči znova. O tem Banka Slovenije odloči s sklepom. </w:t>
      </w:r>
    </w:p>
    <w:p w14:paraId="1B32058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90BAD1D"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20" w:name="_Ref202963493"/>
      <w:r w:rsidRPr="00215B2F">
        <w:rPr>
          <w:rFonts w:ascii="Arial" w:eastAsia="Arial" w:hAnsi="Arial" w:cs="Arial"/>
          <w:b/>
          <w:bCs/>
          <w:sz w:val="20"/>
          <w:szCs w:val="20"/>
        </w:rPr>
        <w:t>člen</w:t>
      </w:r>
      <w:bookmarkEnd w:id="120"/>
    </w:p>
    <w:p w14:paraId="2E16C098" w14:textId="3DED0A90" w:rsidR="00D91782" w:rsidRPr="00215B2F" w:rsidRDefault="00D91782" w:rsidP="00FD5520">
      <w:pPr>
        <w:pStyle w:val="Slog1"/>
        <w:shd w:val="clear" w:color="auto" w:fill="FFFFFF" w:themeFill="background1"/>
        <w:rPr>
          <w:sz w:val="20"/>
          <w:szCs w:val="20"/>
        </w:rPr>
      </w:pPr>
      <w:r w:rsidRPr="00215B2F">
        <w:rPr>
          <w:sz w:val="20"/>
          <w:szCs w:val="20"/>
        </w:rPr>
        <w:t>(razlogi za nasprotovanje pridobitvi kvalificiranega deleža)</w:t>
      </w:r>
    </w:p>
    <w:p w14:paraId="39E7542C" w14:textId="77777777" w:rsidR="00D91782" w:rsidRPr="00215B2F" w:rsidRDefault="00D91782" w:rsidP="00FD5520">
      <w:pPr>
        <w:pStyle w:val="Slog1"/>
        <w:shd w:val="clear" w:color="auto" w:fill="FFFFFF" w:themeFill="background1"/>
        <w:jc w:val="both"/>
        <w:rPr>
          <w:sz w:val="20"/>
          <w:szCs w:val="20"/>
        </w:rPr>
      </w:pPr>
    </w:p>
    <w:p w14:paraId="7A94E45D" w14:textId="270309E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Pridobitvi kvalificiranega deleža se nasprotuje (odločitev o nasprotovanju), če:</w:t>
      </w:r>
    </w:p>
    <w:p w14:paraId="2614FD2F"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BE0920E" w14:textId="731BC4CB" w:rsidR="00895214" w:rsidRPr="00215B2F" w:rsidRDefault="00D91782">
      <w:pPr>
        <w:pStyle w:val="tevilnatoka"/>
        <w:numPr>
          <w:ilvl w:val="0"/>
          <w:numId w:val="76"/>
        </w:numPr>
        <w:shd w:val="clear" w:color="auto" w:fill="FFFFFF" w:themeFill="background1"/>
        <w:tabs>
          <w:tab w:val="clear" w:pos="425"/>
        </w:tabs>
        <w:rPr>
          <w:rFonts w:cs="Arial"/>
          <w:bCs/>
          <w:sz w:val="20"/>
          <w:szCs w:val="20"/>
        </w:rPr>
      </w:pPr>
      <w:r w:rsidRPr="00215B2F">
        <w:rPr>
          <w:rFonts w:eastAsia="Arial" w:cs="Arial"/>
          <w:sz w:val="20"/>
          <w:szCs w:val="20"/>
        </w:rPr>
        <w:t xml:space="preserve">bodoči kvalificirani imetnik ne ustreza merilom iz </w:t>
      </w:r>
      <w:r w:rsidR="00D52106" w:rsidRPr="00215B2F">
        <w:rPr>
          <w:rFonts w:eastAsia="Arial" w:cs="Arial"/>
          <w:sz w:val="20"/>
          <w:szCs w:val="20"/>
        </w:rPr>
        <w:t>87</w:t>
      </w:r>
      <w:r w:rsidRPr="00215B2F">
        <w:rPr>
          <w:rFonts w:eastAsia="Arial" w:cs="Arial"/>
          <w:sz w:val="20"/>
          <w:szCs w:val="20"/>
        </w:rPr>
        <w:t>. </w:t>
      </w:r>
      <w:r w:rsidR="001F2C7A" w:rsidRPr="00215B2F">
        <w:rPr>
          <w:rFonts w:eastAsia="Arial" w:cs="Arial"/>
          <w:sz w:val="20"/>
          <w:szCs w:val="20"/>
        </w:rPr>
        <w:t>člena tega zakona</w:t>
      </w:r>
      <w:r w:rsidRPr="00215B2F">
        <w:rPr>
          <w:rFonts w:eastAsia="Arial" w:cs="Arial"/>
          <w:sz w:val="20"/>
          <w:szCs w:val="20"/>
        </w:rPr>
        <w:t>;</w:t>
      </w:r>
    </w:p>
    <w:p w14:paraId="2277832E" w14:textId="17254151" w:rsidR="00895214" w:rsidRPr="00215B2F" w:rsidRDefault="00D91782">
      <w:pPr>
        <w:pStyle w:val="tevilnatoka"/>
        <w:numPr>
          <w:ilvl w:val="0"/>
          <w:numId w:val="76"/>
        </w:numPr>
        <w:shd w:val="clear" w:color="auto" w:fill="FFFFFF" w:themeFill="background1"/>
        <w:tabs>
          <w:tab w:val="clear" w:pos="425"/>
        </w:tabs>
        <w:rPr>
          <w:rFonts w:cs="Arial"/>
          <w:bCs/>
          <w:sz w:val="20"/>
          <w:szCs w:val="20"/>
        </w:rPr>
      </w:pPr>
      <w:r w:rsidRPr="00215B2F">
        <w:rPr>
          <w:rFonts w:eastAsia="Arial" w:cs="Arial"/>
          <w:sz w:val="20"/>
          <w:szCs w:val="20"/>
        </w:rPr>
        <w:t xml:space="preserve">je verjetno, da bo zaradi pridobitve kvalificiranega deleža, ki je predmet zahteve, ogrožena sposobnost banke ravnati v skladu s pravili o upravljanju tveganj </w:t>
      </w:r>
      <w:r w:rsidR="00FD34F7" w:rsidRPr="00215B2F">
        <w:rPr>
          <w:rFonts w:eastAsia="Arial" w:cs="Arial"/>
          <w:sz w:val="20"/>
          <w:szCs w:val="20"/>
        </w:rPr>
        <w:t xml:space="preserve">in </w:t>
      </w:r>
      <w:r w:rsidRPr="00215B2F">
        <w:rPr>
          <w:rFonts w:eastAsia="Arial" w:cs="Arial"/>
          <w:sz w:val="20"/>
          <w:szCs w:val="20"/>
        </w:rPr>
        <w:t>izpolnjevati zahteve, določene s tem zakonom, Uredbo 575/2013/EU ter drugimi predpisi, ki se uporabljajo za banko;</w:t>
      </w:r>
    </w:p>
    <w:p w14:paraId="28553A76" w14:textId="77777777" w:rsidR="00895214" w:rsidRPr="00215B2F" w:rsidRDefault="00D91782">
      <w:pPr>
        <w:pStyle w:val="tevilnatoka"/>
        <w:numPr>
          <w:ilvl w:val="0"/>
          <w:numId w:val="76"/>
        </w:numPr>
        <w:shd w:val="clear" w:color="auto" w:fill="FFFFFF" w:themeFill="background1"/>
        <w:tabs>
          <w:tab w:val="clear" w:pos="425"/>
        </w:tabs>
        <w:rPr>
          <w:rFonts w:cs="Arial"/>
          <w:bCs/>
          <w:sz w:val="20"/>
          <w:szCs w:val="20"/>
        </w:rPr>
      </w:pPr>
      <w:r w:rsidRPr="00215B2F">
        <w:rPr>
          <w:rFonts w:eastAsia="Arial" w:cs="Arial"/>
          <w:sz w:val="20"/>
          <w:szCs w:val="20"/>
        </w:rPr>
        <w:t>je verjetno, da bo zaradi pridobitve kvalificiranega deleža, ki je predmet zahteve, ovirano ali oteženo izvajanje učinkovitega nadzora, učinkovite izmenjave informacij med pristojnimi in nadzornimi organi oziroma razmejitve pristojnosti in odgovornosti za nadzor med pristojnimi in nadzornimi organi;</w:t>
      </w:r>
    </w:p>
    <w:p w14:paraId="46399FA6" w14:textId="1881172B" w:rsidR="00895214" w:rsidRPr="00215B2F" w:rsidRDefault="00D91782">
      <w:pPr>
        <w:pStyle w:val="tevilnatoka"/>
        <w:numPr>
          <w:ilvl w:val="0"/>
          <w:numId w:val="76"/>
        </w:numPr>
        <w:shd w:val="clear" w:color="auto" w:fill="FFFFFF" w:themeFill="background1"/>
        <w:tabs>
          <w:tab w:val="clear" w:pos="425"/>
        </w:tabs>
        <w:rPr>
          <w:rFonts w:cs="Arial"/>
          <w:bCs/>
          <w:sz w:val="20"/>
          <w:szCs w:val="20"/>
        </w:rPr>
      </w:pPr>
      <w:r w:rsidRPr="00215B2F">
        <w:rPr>
          <w:rFonts w:eastAsia="Arial" w:cs="Arial"/>
          <w:sz w:val="20"/>
          <w:szCs w:val="20"/>
        </w:rPr>
        <w:t>v zvezi z nameravano pridobitvijo obstaja</w:t>
      </w:r>
      <w:r w:rsidR="00FE39BD" w:rsidRPr="00215B2F">
        <w:rPr>
          <w:rFonts w:eastAsia="Arial" w:cs="Arial"/>
          <w:sz w:val="20"/>
          <w:szCs w:val="20"/>
        </w:rPr>
        <w:t>jo</w:t>
      </w:r>
      <w:r w:rsidRPr="00215B2F">
        <w:rPr>
          <w:rFonts w:eastAsia="Arial" w:cs="Arial"/>
          <w:sz w:val="20"/>
          <w:szCs w:val="20"/>
        </w:rPr>
        <w:t xml:space="preserve"> utemeljen</w:t>
      </w:r>
      <w:r w:rsidR="00805BF2" w:rsidRPr="00215B2F">
        <w:rPr>
          <w:rFonts w:eastAsia="Arial" w:cs="Arial"/>
          <w:sz w:val="20"/>
          <w:szCs w:val="20"/>
        </w:rPr>
        <w:t>i</w:t>
      </w:r>
      <w:r w:rsidRPr="00215B2F">
        <w:rPr>
          <w:rFonts w:eastAsia="Arial" w:cs="Arial"/>
          <w:sz w:val="20"/>
          <w:szCs w:val="20"/>
        </w:rPr>
        <w:t xml:space="preserve"> </w:t>
      </w:r>
      <w:r w:rsidR="00FE39BD" w:rsidRPr="00215B2F">
        <w:rPr>
          <w:rFonts w:eastAsia="Arial" w:cs="Arial"/>
          <w:sz w:val="20"/>
          <w:szCs w:val="20"/>
        </w:rPr>
        <w:t xml:space="preserve">razlogi za </w:t>
      </w:r>
      <w:r w:rsidRPr="00215B2F">
        <w:rPr>
          <w:rFonts w:eastAsia="Arial" w:cs="Arial"/>
          <w:sz w:val="20"/>
          <w:szCs w:val="20"/>
        </w:rPr>
        <w:t>sum pranja denarja ali financiranja terorizma ali poskus tega, k</w:t>
      </w:r>
      <w:r w:rsidR="00EB484E" w:rsidRPr="00215B2F">
        <w:rPr>
          <w:rFonts w:eastAsia="Arial" w:cs="Arial"/>
          <w:sz w:val="20"/>
          <w:szCs w:val="20"/>
        </w:rPr>
        <w:t>akor</w:t>
      </w:r>
      <w:r w:rsidRPr="00215B2F">
        <w:rPr>
          <w:rFonts w:eastAsia="Arial" w:cs="Arial"/>
          <w:sz w:val="20"/>
          <w:szCs w:val="20"/>
        </w:rPr>
        <w:t xml:space="preserve"> je opredeljeno v zakonu, ki ureja preprečevanje pranja denarja in financiranja terorizma, ali da bo zaradi pridobitve povečano tveganje pranja denarja ali financiranja terorizma, upoštevaje tudi informacije in mnenje iz četrtega odstavka </w:t>
      </w:r>
      <w:r w:rsidR="00216566" w:rsidRPr="00215B2F">
        <w:rPr>
          <w:rFonts w:eastAsia="Arial" w:cs="Arial"/>
          <w:sz w:val="20"/>
          <w:szCs w:val="20"/>
        </w:rPr>
        <w:t>87</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38DE6937" w14:textId="179C4CFA" w:rsidR="00895214" w:rsidRPr="00215B2F" w:rsidRDefault="00D91782">
      <w:pPr>
        <w:pStyle w:val="tevilnatoka"/>
        <w:numPr>
          <w:ilvl w:val="0"/>
          <w:numId w:val="76"/>
        </w:numPr>
        <w:shd w:val="clear" w:color="auto" w:fill="FFFFFF" w:themeFill="background1"/>
        <w:tabs>
          <w:tab w:val="clear" w:pos="425"/>
        </w:tabs>
        <w:rPr>
          <w:rFonts w:cs="Arial"/>
          <w:bCs/>
          <w:sz w:val="20"/>
          <w:szCs w:val="20"/>
        </w:rPr>
      </w:pPr>
      <w:r w:rsidRPr="00215B2F">
        <w:rPr>
          <w:rFonts w:eastAsia="Arial" w:cs="Arial"/>
          <w:sz w:val="20"/>
          <w:szCs w:val="20"/>
        </w:rPr>
        <w:t xml:space="preserve">je verjetno, da bodo v zvezi z bodočim kvalificiranim imetnikom </w:t>
      </w:r>
      <w:r w:rsidR="00D41577" w:rsidRPr="00215B2F">
        <w:rPr>
          <w:rFonts w:eastAsia="Arial" w:cs="Arial"/>
          <w:sz w:val="20"/>
          <w:szCs w:val="20"/>
        </w:rPr>
        <w:t xml:space="preserve">iz </w:t>
      </w:r>
      <w:r w:rsidRPr="00215B2F">
        <w:rPr>
          <w:rFonts w:eastAsia="Arial" w:cs="Arial"/>
          <w:sz w:val="20"/>
          <w:szCs w:val="20"/>
        </w:rPr>
        <w:t>tretje države, ob upoštevanju predpisov države te osebe oziroma ob upoštevanju prakse države te osebe</w:t>
      </w:r>
      <w:r w:rsidR="00D41577" w:rsidRPr="00215B2F">
        <w:rPr>
          <w:rFonts w:eastAsia="Arial" w:cs="Arial"/>
          <w:sz w:val="20"/>
          <w:szCs w:val="20"/>
        </w:rPr>
        <w:t>,</w:t>
      </w:r>
      <w:r w:rsidRPr="00215B2F">
        <w:rPr>
          <w:rFonts w:eastAsia="Arial" w:cs="Arial"/>
          <w:sz w:val="20"/>
          <w:szCs w:val="20"/>
        </w:rPr>
        <w:t xml:space="preserve"> pri uporabi in izvrševanju teh predpisov ovirani oziroma oteženi izvajanje učinkovitega nadzora, učinkovita izmenjava informacij med pristojnimi in nadzornimi organi </w:t>
      </w:r>
      <w:r w:rsidR="00880CD1" w:rsidRPr="00215B2F">
        <w:rPr>
          <w:rFonts w:eastAsia="Arial" w:cs="Arial"/>
          <w:sz w:val="20"/>
          <w:szCs w:val="20"/>
        </w:rPr>
        <w:t xml:space="preserve">ter </w:t>
      </w:r>
      <w:r w:rsidRPr="00215B2F">
        <w:rPr>
          <w:rFonts w:eastAsia="Arial" w:cs="Arial"/>
          <w:sz w:val="20"/>
          <w:szCs w:val="20"/>
        </w:rPr>
        <w:t>razmejitve pristojnosti in odgovornosti za nadzor med pristojnimi nadzornimi organi;</w:t>
      </w:r>
    </w:p>
    <w:p w14:paraId="065D7BBD" w14:textId="0BF9B0FC" w:rsidR="00895214" w:rsidRPr="00215B2F" w:rsidRDefault="00D91782">
      <w:pPr>
        <w:pStyle w:val="tevilnatoka"/>
        <w:numPr>
          <w:ilvl w:val="0"/>
          <w:numId w:val="76"/>
        </w:numPr>
        <w:shd w:val="clear" w:color="auto" w:fill="FFFFFF" w:themeFill="background1"/>
        <w:tabs>
          <w:tab w:val="clear" w:pos="425"/>
        </w:tabs>
        <w:rPr>
          <w:rFonts w:cs="Arial"/>
          <w:bCs/>
          <w:sz w:val="20"/>
          <w:szCs w:val="20"/>
        </w:rPr>
      </w:pPr>
      <w:r w:rsidRPr="00215B2F">
        <w:rPr>
          <w:rFonts w:eastAsia="Arial" w:cs="Arial"/>
          <w:sz w:val="20"/>
          <w:szCs w:val="20"/>
        </w:rPr>
        <w:t>je verjetno, da bodo v zvezi z bodočim kvalificiranim imetnikom iz tretje države, ki je uvrščena med tretje države z visokim tveganjem in ima v svoji ureditvi za preprečevanje pranja denarja in financiranje terorizma strateške pomanjkljivosti, k</w:t>
      </w:r>
      <w:r w:rsidR="00880CD1" w:rsidRPr="00215B2F">
        <w:rPr>
          <w:rFonts w:eastAsia="Arial" w:cs="Arial"/>
          <w:sz w:val="20"/>
          <w:szCs w:val="20"/>
        </w:rPr>
        <w:t>akor</w:t>
      </w:r>
      <w:r w:rsidRPr="00215B2F">
        <w:rPr>
          <w:rFonts w:eastAsia="Arial" w:cs="Arial"/>
          <w:sz w:val="20"/>
          <w:szCs w:val="20"/>
        </w:rPr>
        <w:t xml:space="preserve"> so opredeljene v zakonu, ki ureja preprečevanje pranja denarja in financiranje terorizma</w:t>
      </w:r>
      <w:r w:rsidR="00880CD1" w:rsidRPr="00215B2F">
        <w:rPr>
          <w:rFonts w:eastAsia="Arial" w:cs="Arial"/>
          <w:sz w:val="20"/>
          <w:szCs w:val="20"/>
        </w:rPr>
        <w:t>,</w:t>
      </w:r>
      <w:r w:rsidRPr="00215B2F">
        <w:rPr>
          <w:rFonts w:eastAsia="Arial" w:cs="Arial"/>
          <w:sz w:val="20"/>
          <w:szCs w:val="20"/>
        </w:rPr>
        <w:t xml:space="preserve"> oziroma </w:t>
      </w:r>
      <w:r w:rsidR="00805BF2" w:rsidRPr="00215B2F">
        <w:rPr>
          <w:rFonts w:eastAsia="Arial" w:cs="Arial"/>
          <w:sz w:val="20"/>
          <w:szCs w:val="20"/>
        </w:rPr>
        <w:t xml:space="preserve">v </w:t>
      </w:r>
      <w:r w:rsidRPr="00215B2F">
        <w:rPr>
          <w:rFonts w:eastAsia="Arial" w:cs="Arial"/>
          <w:sz w:val="20"/>
          <w:szCs w:val="20"/>
        </w:rPr>
        <w:t>9. členu Direktive 2015/849/EU, te strateške pomanjkljivosti negativno vplivale na zmožnost bodočega kvalificiranega imetnika, da bi imel vzpostavljene potrebne prakse in p</w:t>
      </w:r>
      <w:r w:rsidR="00124B97" w:rsidRPr="00215B2F">
        <w:rPr>
          <w:rFonts w:eastAsia="Arial" w:cs="Arial"/>
          <w:sz w:val="20"/>
          <w:szCs w:val="20"/>
        </w:rPr>
        <w:t>ostopk</w:t>
      </w:r>
      <w:r w:rsidRPr="00215B2F">
        <w:rPr>
          <w:rFonts w:eastAsia="Arial" w:cs="Arial"/>
          <w:sz w:val="20"/>
          <w:szCs w:val="20"/>
        </w:rPr>
        <w:t xml:space="preserve">e za izpolnjevanje zahtev ureditve za preprečevanje pranja denarja in financiranja terorizma; </w:t>
      </w:r>
    </w:p>
    <w:p w14:paraId="511E1E0E" w14:textId="1D013234" w:rsidR="00895214" w:rsidRPr="00215B2F" w:rsidRDefault="00D91782">
      <w:pPr>
        <w:pStyle w:val="tevilnatoka"/>
        <w:numPr>
          <w:ilvl w:val="0"/>
          <w:numId w:val="76"/>
        </w:numPr>
        <w:shd w:val="clear" w:color="auto" w:fill="FFFFFF" w:themeFill="background1"/>
        <w:tabs>
          <w:tab w:val="clear" w:pos="425"/>
        </w:tabs>
        <w:rPr>
          <w:rFonts w:cs="Arial"/>
          <w:bCs/>
          <w:sz w:val="20"/>
          <w:szCs w:val="20"/>
        </w:rPr>
      </w:pPr>
      <w:r w:rsidRPr="00215B2F">
        <w:rPr>
          <w:rFonts w:eastAsia="Arial" w:cs="Arial"/>
          <w:sz w:val="20"/>
          <w:szCs w:val="20"/>
        </w:rPr>
        <w:t xml:space="preserve">je verjetno, da bo v zvezi z bodočim kvalificiranim imetnikom iz tretje države, za katero veljajo omejevalni ukrepi </w:t>
      </w:r>
      <w:r w:rsidR="00954C0C" w:rsidRPr="00215B2F">
        <w:rPr>
          <w:rFonts w:eastAsia="Arial" w:cs="Arial"/>
          <w:sz w:val="20"/>
          <w:szCs w:val="20"/>
        </w:rPr>
        <w:t>Evropske u</w:t>
      </w:r>
      <w:r w:rsidRPr="00215B2F">
        <w:rPr>
          <w:rFonts w:eastAsia="Arial" w:cs="Arial"/>
          <w:sz w:val="20"/>
          <w:szCs w:val="20"/>
        </w:rPr>
        <w:t>nije, to negativno vplivalo na zmožnost bodočega kvalificiranega imetnika, da bi imel vzpostavljene potrebne prakse in p</w:t>
      </w:r>
      <w:r w:rsidR="00124B97" w:rsidRPr="00215B2F">
        <w:rPr>
          <w:rFonts w:eastAsia="Arial" w:cs="Arial"/>
          <w:sz w:val="20"/>
          <w:szCs w:val="20"/>
        </w:rPr>
        <w:t>ostopk</w:t>
      </w:r>
      <w:r w:rsidRPr="00215B2F">
        <w:rPr>
          <w:rFonts w:eastAsia="Arial" w:cs="Arial"/>
          <w:sz w:val="20"/>
          <w:szCs w:val="20"/>
        </w:rPr>
        <w:t>e za izpolnjevanje zahtev ureditve za preprečevanje pranja denarja in financiranja terorizma;</w:t>
      </w:r>
    </w:p>
    <w:p w14:paraId="6392D32A" w14:textId="3079F0F8" w:rsidR="00D91782" w:rsidRPr="00215B2F" w:rsidRDefault="00D91782">
      <w:pPr>
        <w:pStyle w:val="tevilnatoka"/>
        <w:numPr>
          <w:ilvl w:val="0"/>
          <w:numId w:val="76"/>
        </w:numPr>
        <w:shd w:val="clear" w:color="auto" w:fill="FFFFFF" w:themeFill="background1"/>
        <w:tabs>
          <w:tab w:val="clear" w:pos="425"/>
        </w:tabs>
        <w:rPr>
          <w:rFonts w:cs="Arial"/>
          <w:bCs/>
          <w:sz w:val="20"/>
          <w:szCs w:val="20"/>
        </w:rPr>
      </w:pPr>
      <w:r w:rsidRPr="00215B2F">
        <w:rPr>
          <w:rFonts w:eastAsia="Arial" w:cs="Arial"/>
          <w:sz w:val="20"/>
          <w:szCs w:val="20"/>
        </w:rPr>
        <w:t>bodoči kvalificirani imetnik v roku, ki ga v skladu s tem zakonom določi Banka Slovenije, ne predloži vse dokumentacije in informacij, potrebnih za presojo njegove primernosti.</w:t>
      </w:r>
    </w:p>
    <w:p w14:paraId="33A032D2"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2BBD744" w14:textId="033C48B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Negativne informacije ali negativno mnenje iz četrtega odstavka </w:t>
      </w:r>
      <w:r w:rsidR="00216566" w:rsidRPr="00215B2F">
        <w:rPr>
          <w:rFonts w:ascii="Arial" w:eastAsia="Arial" w:hAnsi="Arial" w:cs="Arial"/>
          <w:sz w:val="20"/>
          <w:szCs w:val="20"/>
        </w:rPr>
        <w:t>87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r w:rsidR="00880CD1" w:rsidRPr="00215B2F">
        <w:rPr>
          <w:rFonts w:ascii="Arial" w:eastAsia="Arial" w:hAnsi="Arial" w:cs="Arial"/>
          <w:sz w:val="20"/>
          <w:szCs w:val="20"/>
        </w:rPr>
        <w:t xml:space="preserve">je </w:t>
      </w:r>
      <w:r w:rsidRPr="00215B2F">
        <w:rPr>
          <w:rFonts w:ascii="Arial" w:eastAsia="Arial" w:hAnsi="Arial" w:cs="Arial"/>
          <w:sz w:val="20"/>
          <w:szCs w:val="20"/>
        </w:rPr>
        <w:t>lahko utemeljen razlog za nasprotovanje pridobitvi kvalificiranega deleža.</w:t>
      </w:r>
    </w:p>
    <w:p w14:paraId="4B3DF97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398E337"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21" w:name="_Ref202963500"/>
      <w:bookmarkStart w:id="122" w:name="_Hlk215772129"/>
      <w:r w:rsidRPr="00215B2F">
        <w:rPr>
          <w:rFonts w:ascii="Arial" w:eastAsia="Arial" w:hAnsi="Arial" w:cs="Arial"/>
          <w:b/>
          <w:bCs/>
          <w:sz w:val="20"/>
          <w:szCs w:val="20"/>
        </w:rPr>
        <w:t>člen</w:t>
      </w:r>
      <w:bookmarkEnd w:id="121"/>
    </w:p>
    <w:p w14:paraId="3E015817" w14:textId="05733109" w:rsidR="00D91782" w:rsidRPr="00215B2F" w:rsidRDefault="00D91782" w:rsidP="00FD5520">
      <w:pPr>
        <w:pStyle w:val="Slog1"/>
        <w:shd w:val="clear" w:color="auto" w:fill="FFFFFF" w:themeFill="background1"/>
        <w:rPr>
          <w:sz w:val="20"/>
          <w:szCs w:val="20"/>
        </w:rPr>
      </w:pPr>
      <w:r w:rsidRPr="00215B2F">
        <w:rPr>
          <w:sz w:val="20"/>
          <w:szCs w:val="20"/>
        </w:rPr>
        <w:t>(odločitev o oceni primernosti za pridobitev kvalificiranega deleža)</w:t>
      </w:r>
    </w:p>
    <w:p w14:paraId="549D3535" w14:textId="77777777" w:rsidR="00D91782" w:rsidRPr="00215B2F" w:rsidRDefault="00D91782" w:rsidP="00FD5520">
      <w:pPr>
        <w:pStyle w:val="Slog1"/>
        <w:shd w:val="clear" w:color="auto" w:fill="FFFFFF" w:themeFill="background1"/>
        <w:jc w:val="both"/>
        <w:rPr>
          <w:sz w:val="20"/>
          <w:szCs w:val="20"/>
        </w:rPr>
      </w:pPr>
    </w:p>
    <w:p w14:paraId="2E0F1DB4" w14:textId="688B8DF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Odločitev o oceni primernosti za pridobitev kvalificiranega deleža se izda kot odločitev o nenasprotovanju ali odločitev o nasprotovanju in </w:t>
      </w:r>
      <w:r w:rsidR="00880CD1" w:rsidRPr="00215B2F">
        <w:rPr>
          <w:rFonts w:ascii="Arial" w:eastAsia="Arial" w:hAnsi="Arial" w:cs="Arial"/>
          <w:sz w:val="20"/>
          <w:szCs w:val="20"/>
        </w:rPr>
        <w:t>vseb</w:t>
      </w:r>
      <w:r w:rsidR="005D2919" w:rsidRPr="00215B2F">
        <w:rPr>
          <w:rFonts w:ascii="Arial" w:eastAsia="Arial" w:hAnsi="Arial" w:cs="Arial"/>
          <w:sz w:val="20"/>
          <w:szCs w:val="20"/>
        </w:rPr>
        <w:t>uje</w:t>
      </w:r>
      <w:r w:rsidRPr="00215B2F">
        <w:rPr>
          <w:rFonts w:ascii="Arial" w:eastAsia="Arial" w:hAnsi="Arial" w:cs="Arial"/>
          <w:sz w:val="20"/>
          <w:szCs w:val="20"/>
        </w:rPr>
        <w:t xml:space="preserve"> tudi utemeljitev glede stališč in pomislekov organov iz </w:t>
      </w:r>
      <w:r w:rsidR="00216566" w:rsidRPr="00215B2F">
        <w:rPr>
          <w:rFonts w:ascii="Arial" w:eastAsia="Arial" w:hAnsi="Arial" w:cs="Arial"/>
          <w:sz w:val="20"/>
          <w:szCs w:val="20"/>
        </w:rPr>
        <w:t>86</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bookmarkEnd w:id="122"/>
    <w:p w14:paraId="4634AB65"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4F34801" w14:textId="3D80CF7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Najpozneje v dveh delovnih dneh po odločitvi o oceni primernosti in najpozneje do poteka roka iz prvega odstavka </w:t>
      </w:r>
      <w:r w:rsidR="00216566" w:rsidRPr="00215B2F">
        <w:rPr>
          <w:rFonts w:ascii="Arial" w:eastAsia="Arial" w:hAnsi="Arial" w:cs="Arial"/>
          <w:sz w:val="20"/>
          <w:szCs w:val="20"/>
        </w:rPr>
        <w:t>88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ob upoštevanju morebitnega zadržanja po četrtem ali petem odstavku </w:t>
      </w:r>
      <w:r w:rsidR="00216566" w:rsidRPr="00215B2F">
        <w:rPr>
          <w:rFonts w:ascii="Arial" w:eastAsia="Arial" w:hAnsi="Arial" w:cs="Arial"/>
          <w:sz w:val="20"/>
          <w:szCs w:val="20"/>
        </w:rPr>
        <w:t>88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se izda in odpravi pisni odpravek odločitve o oceni primernosti</w:t>
      </w:r>
      <w:r w:rsidR="002D436C" w:rsidRPr="00215B2F">
        <w:rPr>
          <w:rFonts w:ascii="Arial" w:eastAsia="Arial" w:hAnsi="Arial" w:cs="Arial"/>
          <w:sz w:val="20"/>
          <w:szCs w:val="20"/>
        </w:rPr>
        <w:t xml:space="preserve"> kvalificiranega deleža</w:t>
      </w:r>
      <w:r w:rsidRPr="00215B2F">
        <w:rPr>
          <w:rFonts w:ascii="Arial" w:eastAsia="Arial" w:hAnsi="Arial" w:cs="Arial"/>
          <w:sz w:val="20"/>
          <w:szCs w:val="20"/>
        </w:rPr>
        <w:t>.</w:t>
      </w:r>
    </w:p>
    <w:p w14:paraId="1FD9567E"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541DF806" w14:textId="0F7196E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do poteka roka iz prvega odstavka </w:t>
      </w:r>
      <w:r w:rsidR="00216566" w:rsidRPr="00215B2F">
        <w:rPr>
          <w:rFonts w:ascii="Arial" w:eastAsia="Arial" w:hAnsi="Arial" w:cs="Arial"/>
          <w:sz w:val="20"/>
          <w:szCs w:val="20"/>
        </w:rPr>
        <w:t>88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ob upoštevanju morebitnega zadržanja po četrtem ali petem odstavku </w:t>
      </w:r>
      <w:r w:rsidR="00216566" w:rsidRPr="00215B2F">
        <w:rPr>
          <w:rFonts w:ascii="Arial" w:eastAsia="Arial" w:hAnsi="Arial" w:cs="Arial"/>
          <w:sz w:val="20"/>
          <w:szCs w:val="20"/>
        </w:rPr>
        <w:t>88</w:t>
      </w:r>
      <w:r w:rsidRPr="00215B2F">
        <w:rPr>
          <w:rFonts w:ascii="Arial" w:eastAsia="Arial" w:hAnsi="Arial" w:cs="Arial"/>
          <w:sz w:val="20"/>
          <w:szCs w:val="20"/>
        </w:rPr>
        <w:t xml:space="preserve">. člena ali </w:t>
      </w:r>
      <w:r w:rsidR="008A071E" w:rsidRPr="00215B2F">
        <w:rPr>
          <w:rFonts w:ascii="Arial" w:eastAsia="Arial" w:hAnsi="Arial" w:cs="Arial"/>
          <w:sz w:val="20"/>
          <w:szCs w:val="20"/>
        </w:rPr>
        <w:t xml:space="preserve">drugem odstavku </w:t>
      </w:r>
      <w:r w:rsidR="00FA48A5" w:rsidRPr="00215B2F">
        <w:rPr>
          <w:rFonts w:ascii="Arial" w:eastAsia="Arial" w:hAnsi="Arial" w:cs="Arial"/>
          <w:sz w:val="20"/>
          <w:szCs w:val="20"/>
        </w:rPr>
        <w:t>110</w:t>
      </w:r>
      <w:r w:rsidR="008A071E" w:rsidRPr="00215B2F">
        <w:rPr>
          <w:rFonts w:ascii="Arial" w:eastAsia="Arial" w:hAnsi="Arial" w:cs="Arial"/>
          <w:sz w:val="20"/>
          <w:szCs w:val="20"/>
        </w:rPr>
        <w:t>. člena</w:t>
      </w:r>
      <w:r w:rsidR="001F2C7A" w:rsidRPr="00215B2F">
        <w:rPr>
          <w:rFonts w:ascii="Arial" w:eastAsia="Arial" w:hAnsi="Arial" w:cs="Arial"/>
          <w:sz w:val="20"/>
          <w:szCs w:val="20"/>
        </w:rPr>
        <w:t xml:space="preserve"> tega zakona</w:t>
      </w:r>
      <w:r w:rsidRPr="00215B2F">
        <w:rPr>
          <w:rFonts w:ascii="Arial" w:eastAsia="Arial" w:hAnsi="Arial" w:cs="Arial"/>
          <w:sz w:val="20"/>
          <w:szCs w:val="20"/>
        </w:rPr>
        <w:t xml:space="preserve">, ni izdan pisni odpravek odločitve o oceni primernosti v skladu s prejšnjim odstavkom, se šteje, da je z dnem, s katerim poteče ta rok, vložniku izdana odločitev o nenasprotovanju. </w:t>
      </w:r>
    </w:p>
    <w:p w14:paraId="04F504F7"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1CC0D7B9" w14:textId="2DD8661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(4) Ne glede na druge določbe tega zakona se na podlagi zahteve vložnika na javnih spletnih straneh objavi izvleček odločitve o nasprotovanju Evropske centralne banke s povzetkom razlogov za tako odločitev. Izvleček odločitve o nasprotovanju Evropske centralne banke ne vsebuje zaupnih informacij in zaupnih podatkov v zvezi z drugimi osebami.</w:t>
      </w:r>
    </w:p>
    <w:p w14:paraId="2D208A0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45B323C"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23" w:name="_Ref202963506"/>
      <w:r w:rsidRPr="00215B2F">
        <w:rPr>
          <w:rFonts w:ascii="Arial" w:eastAsia="Arial" w:hAnsi="Arial" w:cs="Arial"/>
          <w:b/>
          <w:bCs/>
          <w:sz w:val="20"/>
          <w:szCs w:val="20"/>
        </w:rPr>
        <w:t>člen</w:t>
      </w:r>
      <w:bookmarkEnd w:id="123"/>
    </w:p>
    <w:p w14:paraId="114B504F" w14:textId="61D19E87" w:rsidR="00D91782" w:rsidRPr="00215B2F" w:rsidRDefault="00D91782" w:rsidP="00FD5520">
      <w:pPr>
        <w:pStyle w:val="Slog1"/>
        <w:shd w:val="clear" w:color="auto" w:fill="FFFFFF" w:themeFill="background1"/>
        <w:rPr>
          <w:sz w:val="20"/>
          <w:szCs w:val="20"/>
        </w:rPr>
      </w:pPr>
      <w:r w:rsidRPr="00215B2F">
        <w:rPr>
          <w:sz w:val="20"/>
          <w:szCs w:val="20"/>
        </w:rPr>
        <w:t>(odločitev o nenasprotovanju)</w:t>
      </w:r>
    </w:p>
    <w:p w14:paraId="11549203" w14:textId="77777777" w:rsidR="00D91782" w:rsidRPr="00215B2F" w:rsidRDefault="00D91782" w:rsidP="00FD5520">
      <w:pPr>
        <w:pStyle w:val="Slog1"/>
        <w:shd w:val="clear" w:color="auto" w:fill="FFFFFF" w:themeFill="background1"/>
        <w:jc w:val="both"/>
        <w:rPr>
          <w:sz w:val="20"/>
          <w:szCs w:val="20"/>
        </w:rPr>
      </w:pPr>
    </w:p>
    <w:p w14:paraId="7472301D" w14:textId="3CCEC78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V odločitvi o nenasprotovanju se določi višina deleža glasovalnih pravic ali deleža v kapitalu banke, za pridobitev katerega se izdaja odločitev, in sicer kot:</w:t>
      </w:r>
    </w:p>
    <w:p w14:paraId="7C90E39D"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FA7396D" w14:textId="2AF97FB5" w:rsidR="00895214" w:rsidRPr="00215B2F" w:rsidRDefault="00D91782">
      <w:pPr>
        <w:pStyle w:val="tevilnatoka"/>
        <w:numPr>
          <w:ilvl w:val="0"/>
          <w:numId w:val="77"/>
        </w:numPr>
        <w:shd w:val="clear" w:color="auto" w:fill="FFFFFF" w:themeFill="background1"/>
        <w:tabs>
          <w:tab w:val="clear" w:pos="425"/>
        </w:tabs>
        <w:rPr>
          <w:rFonts w:cs="Arial"/>
          <w:bCs/>
          <w:sz w:val="20"/>
          <w:szCs w:val="20"/>
        </w:rPr>
      </w:pPr>
      <w:r w:rsidRPr="00215B2F">
        <w:rPr>
          <w:rFonts w:eastAsia="Arial" w:cs="Arial"/>
          <w:sz w:val="20"/>
          <w:szCs w:val="20"/>
        </w:rPr>
        <w:t xml:space="preserve">delež glasovalnih pravic ali delež v kapitalu banke, ki je enak </w:t>
      </w:r>
      <w:r w:rsidR="00F54C40" w:rsidRPr="00215B2F">
        <w:rPr>
          <w:rFonts w:eastAsia="Arial" w:cs="Arial"/>
          <w:sz w:val="20"/>
          <w:szCs w:val="20"/>
        </w:rPr>
        <w:t xml:space="preserve">ali večji </w:t>
      </w:r>
      <w:r w:rsidR="00C11802" w:rsidRPr="00215B2F">
        <w:rPr>
          <w:rFonts w:eastAsia="Arial" w:cs="Arial"/>
          <w:sz w:val="20"/>
          <w:szCs w:val="20"/>
        </w:rPr>
        <w:t xml:space="preserve">kot </w:t>
      </w:r>
      <w:r w:rsidRPr="00215B2F">
        <w:rPr>
          <w:rFonts w:eastAsia="Arial" w:cs="Arial"/>
          <w:sz w:val="20"/>
          <w:szCs w:val="20"/>
        </w:rPr>
        <w:t>kvalificiran</w:t>
      </w:r>
      <w:r w:rsidR="00C11802" w:rsidRPr="00215B2F">
        <w:rPr>
          <w:rFonts w:eastAsia="Arial" w:cs="Arial"/>
          <w:sz w:val="20"/>
          <w:szCs w:val="20"/>
        </w:rPr>
        <w:t>i</w:t>
      </w:r>
      <w:r w:rsidRPr="00215B2F">
        <w:rPr>
          <w:rFonts w:eastAsia="Arial" w:cs="Arial"/>
          <w:sz w:val="20"/>
          <w:szCs w:val="20"/>
        </w:rPr>
        <w:t xml:space="preserve"> delež in manjši od 20 odstotkov;</w:t>
      </w:r>
    </w:p>
    <w:p w14:paraId="5CBD76E4" w14:textId="667E8966" w:rsidR="00895214" w:rsidRPr="00215B2F" w:rsidRDefault="00D91782">
      <w:pPr>
        <w:pStyle w:val="tevilnatoka"/>
        <w:numPr>
          <w:ilvl w:val="0"/>
          <w:numId w:val="77"/>
        </w:numPr>
        <w:shd w:val="clear" w:color="auto" w:fill="FFFFFF" w:themeFill="background1"/>
        <w:tabs>
          <w:tab w:val="clear" w:pos="425"/>
        </w:tabs>
        <w:rPr>
          <w:rFonts w:cs="Arial"/>
          <w:bCs/>
          <w:sz w:val="20"/>
          <w:szCs w:val="20"/>
        </w:rPr>
      </w:pPr>
      <w:r w:rsidRPr="00215B2F">
        <w:rPr>
          <w:rFonts w:eastAsia="Arial" w:cs="Arial"/>
          <w:sz w:val="20"/>
          <w:szCs w:val="20"/>
        </w:rPr>
        <w:t xml:space="preserve">delež glasovalnih pravic ali delež v kapitalu banke, ki je </w:t>
      </w:r>
      <w:r w:rsidR="00F54C40" w:rsidRPr="00215B2F">
        <w:rPr>
          <w:rFonts w:eastAsia="Arial" w:cs="Arial"/>
          <w:sz w:val="20"/>
          <w:szCs w:val="20"/>
        </w:rPr>
        <w:t xml:space="preserve">enak ali večji kot </w:t>
      </w:r>
      <w:r w:rsidR="00C11802" w:rsidRPr="00215B2F">
        <w:rPr>
          <w:rFonts w:eastAsia="Arial" w:cs="Arial"/>
          <w:sz w:val="20"/>
          <w:szCs w:val="20"/>
        </w:rPr>
        <w:t xml:space="preserve">20 odstotkov </w:t>
      </w:r>
      <w:r w:rsidRPr="00215B2F">
        <w:rPr>
          <w:rFonts w:eastAsia="Arial" w:cs="Arial"/>
          <w:sz w:val="20"/>
          <w:szCs w:val="20"/>
        </w:rPr>
        <w:t xml:space="preserve">in manjši </w:t>
      </w:r>
      <w:r w:rsidR="00F54C40" w:rsidRPr="00215B2F">
        <w:rPr>
          <w:rFonts w:eastAsia="Arial" w:cs="Arial"/>
          <w:sz w:val="20"/>
          <w:szCs w:val="20"/>
        </w:rPr>
        <w:t xml:space="preserve">kot </w:t>
      </w:r>
      <w:r w:rsidR="00C8445B" w:rsidRPr="00215B2F">
        <w:rPr>
          <w:rFonts w:eastAsia="Arial" w:cs="Arial"/>
          <w:sz w:val="20"/>
          <w:szCs w:val="20"/>
        </w:rPr>
        <w:t>en</w:t>
      </w:r>
      <w:r w:rsidR="00F54C40" w:rsidRPr="00215B2F">
        <w:rPr>
          <w:rFonts w:eastAsia="Arial" w:cs="Arial"/>
          <w:sz w:val="20"/>
          <w:szCs w:val="20"/>
        </w:rPr>
        <w:t>a</w:t>
      </w:r>
      <w:r w:rsidR="00C8445B" w:rsidRPr="00215B2F">
        <w:rPr>
          <w:rFonts w:eastAsia="Arial" w:cs="Arial"/>
          <w:sz w:val="20"/>
          <w:szCs w:val="20"/>
        </w:rPr>
        <w:t xml:space="preserve"> tretjin</w:t>
      </w:r>
      <w:r w:rsidR="00F54C40" w:rsidRPr="00215B2F">
        <w:rPr>
          <w:rFonts w:eastAsia="Arial" w:cs="Arial"/>
          <w:sz w:val="20"/>
          <w:szCs w:val="20"/>
        </w:rPr>
        <w:t>a</w:t>
      </w:r>
      <w:r w:rsidRPr="00215B2F">
        <w:rPr>
          <w:rFonts w:eastAsia="Arial" w:cs="Arial"/>
          <w:sz w:val="20"/>
          <w:szCs w:val="20"/>
        </w:rPr>
        <w:t>;</w:t>
      </w:r>
    </w:p>
    <w:p w14:paraId="18BE3F88" w14:textId="19A64A3C" w:rsidR="00895214" w:rsidRPr="00215B2F" w:rsidRDefault="00D91782">
      <w:pPr>
        <w:pStyle w:val="tevilnatoka"/>
        <w:numPr>
          <w:ilvl w:val="0"/>
          <w:numId w:val="77"/>
        </w:numPr>
        <w:shd w:val="clear" w:color="auto" w:fill="FFFFFF" w:themeFill="background1"/>
        <w:tabs>
          <w:tab w:val="clear" w:pos="425"/>
        </w:tabs>
        <w:rPr>
          <w:rFonts w:cs="Arial"/>
          <w:bCs/>
          <w:sz w:val="20"/>
          <w:szCs w:val="20"/>
        </w:rPr>
      </w:pPr>
      <w:r w:rsidRPr="00215B2F">
        <w:rPr>
          <w:rFonts w:eastAsia="Arial" w:cs="Arial"/>
          <w:sz w:val="20"/>
          <w:szCs w:val="20"/>
        </w:rPr>
        <w:t xml:space="preserve">delež glasovalnih pravic ali delež v kapitalu banke, ki je </w:t>
      </w:r>
      <w:r w:rsidR="00F54C40" w:rsidRPr="00215B2F">
        <w:rPr>
          <w:rFonts w:eastAsia="Arial" w:cs="Arial"/>
          <w:sz w:val="20"/>
          <w:szCs w:val="20"/>
        </w:rPr>
        <w:t xml:space="preserve">enak ali večji kot </w:t>
      </w:r>
      <w:r w:rsidR="00C8445B" w:rsidRPr="00215B2F">
        <w:rPr>
          <w:rFonts w:eastAsia="Arial" w:cs="Arial"/>
          <w:sz w:val="20"/>
          <w:szCs w:val="20"/>
        </w:rPr>
        <w:t>en</w:t>
      </w:r>
      <w:r w:rsidR="00F54C40" w:rsidRPr="00215B2F">
        <w:rPr>
          <w:rFonts w:eastAsia="Arial" w:cs="Arial"/>
          <w:sz w:val="20"/>
          <w:szCs w:val="20"/>
        </w:rPr>
        <w:t>a</w:t>
      </w:r>
      <w:r w:rsidR="00C8445B" w:rsidRPr="00215B2F">
        <w:rPr>
          <w:rFonts w:eastAsia="Arial" w:cs="Arial"/>
          <w:sz w:val="20"/>
          <w:szCs w:val="20"/>
        </w:rPr>
        <w:t xml:space="preserve"> tretjin</w:t>
      </w:r>
      <w:r w:rsidR="00F54C40" w:rsidRPr="00215B2F">
        <w:rPr>
          <w:rFonts w:eastAsia="Arial" w:cs="Arial"/>
          <w:sz w:val="20"/>
          <w:szCs w:val="20"/>
        </w:rPr>
        <w:t>a</w:t>
      </w:r>
      <w:r w:rsidRPr="00215B2F">
        <w:rPr>
          <w:rFonts w:eastAsia="Arial" w:cs="Arial"/>
          <w:sz w:val="20"/>
          <w:szCs w:val="20"/>
        </w:rPr>
        <w:t xml:space="preserve"> in manjši </w:t>
      </w:r>
      <w:r w:rsidR="00F54C40" w:rsidRPr="00215B2F">
        <w:rPr>
          <w:rFonts w:eastAsia="Arial" w:cs="Arial"/>
          <w:sz w:val="20"/>
          <w:szCs w:val="20"/>
        </w:rPr>
        <w:t>kot</w:t>
      </w:r>
      <w:r w:rsidRPr="00215B2F">
        <w:rPr>
          <w:rFonts w:eastAsia="Arial" w:cs="Arial"/>
          <w:sz w:val="20"/>
          <w:szCs w:val="20"/>
        </w:rPr>
        <w:t xml:space="preserve"> 50 odstotkov;</w:t>
      </w:r>
    </w:p>
    <w:p w14:paraId="3DD321B4" w14:textId="68A09632" w:rsidR="00895214" w:rsidRPr="00215B2F" w:rsidRDefault="00D91782">
      <w:pPr>
        <w:pStyle w:val="tevilnatoka"/>
        <w:numPr>
          <w:ilvl w:val="0"/>
          <w:numId w:val="77"/>
        </w:numPr>
        <w:shd w:val="clear" w:color="auto" w:fill="FFFFFF" w:themeFill="background1"/>
        <w:tabs>
          <w:tab w:val="clear" w:pos="425"/>
        </w:tabs>
        <w:rPr>
          <w:rFonts w:cs="Arial"/>
          <w:bCs/>
          <w:sz w:val="20"/>
          <w:szCs w:val="20"/>
        </w:rPr>
      </w:pPr>
      <w:r w:rsidRPr="00215B2F">
        <w:rPr>
          <w:rFonts w:eastAsia="Arial" w:cs="Arial"/>
          <w:sz w:val="20"/>
          <w:szCs w:val="20"/>
        </w:rPr>
        <w:t xml:space="preserve">delež glasovalnih pravic ali delež v kapitalu banke, ki je </w:t>
      </w:r>
      <w:r w:rsidR="00F54C40" w:rsidRPr="00215B2F">
        <w:rPr>
          <w:rFonts w:eastAsia="Arial" w:cs="Arial"/>
          <w:sz w:val="20"/>
          <w:szCs w:val="20"/>
        </w:rPr>
        <w:t xml:space="preserve">enak ali večji kot </w:t>
      </w:r>
      <w:r w:rsidRPr="00215B2F">
        <w:rPr>
          <w:rFonts w:eastAsia="Arial" w:cs="Arial"/>
          <w:sz w:val="20"/>
          <w:szCs w:val="20"/>
        </w:rPr>
        <w:t>50 odstotkov;</w:t>
      </w:r>
    </w:p>
    <w:p w14:paraId="27E5D5CE" w14:textId="473455FA" w:rsidR="00D91782" w:rsidRPr="00215B2F" w:rsidRDefault="00D91782">
      <w:pPr>
        <w:pStyle w:val="tevilnatoka"/>
        <w:numPr>
          <w:ilvl w:val="0"/>
          <w:numId w:val="77"/>
        </w:numPr>
        <w:shd w:val="clear" w:color="auto" w:fill="FFFFFF" w:themeFill="background1"/>
        <w:tabs>
          <w:tab w:val="clear" w:pos="425"/>
        </w:tabs>
        <w:rPr>
          <w:rFonts w:cs="Arial"/>
          <w:bCs/>
          <w:sz w:val="20"/>
          <w:szCs w:val="20"/>
        </w:rPr>
      </w:pPr>
      <w:r w:rsidRPr="00215B2F">
        <w:rPr>
          <w:rFonts w:eastAsia="Arial" w:cs="Arial"/>
          <w:sz w:val="20"/>
          <w:szCs w:val="20"/>
        </w:rPr>
        <w:t>delež, na podlagi katerega banka postane podrejena oseba bodočega kvalificiranega imetnika.</w:t>
      </w:r>
    </w:p>
    <w:p w14:paraId="09562011"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3748157B" w14:textId="239FFE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Kvalificirani imetnik mora pred vsako nadaljnjo pridobitvijo deleža, na podlagi katere bi presegel razpon, za katerega velja že izdana odločitev o nenasprotovanju, pridobiti novo odločitev o nenasprotovanju za ustrezn</w:t>
      </w:r>
      <w:r w:rsidR="00C11802" w:rsidRPr="00215B2F">
        <w:rPr>
          <w:rFonts w:ascii="Arial" w:eastAsia="Arial" w:hAnsi="Arial" w:cs="Arial"/>
          <w:sz w:val="20"/>
          <w:szCs w:val="20"/>
        </w:rPr>
        <w:t>o</w:t>
      </w:r>
      <w:r w:rsidRPr="00215B2F">
        <w:rPr>
          <w:rFonts w:ascii="Arial" w:eastAsia="Arial" w:hAnsi="Arial" w:cs="Arial"/>
          <w:sz w:val="20"/>
          <w:szCs w:val="20"/>
        </w:rPr>
        <w:t xml:space="preserve"> višji razpon i</w:t>
      </w:r>
      <w:r w:rsidR="00C11802" w:rsidRPr="00215B2F">
        <w:rPr>
          <w:rFonts w:ascii="Arial" w:eastAsia="Arial" w:hAnsi="Arial" w:cs="Arial"/>
          <w:sz w:val="20"/>
          <w:szCs w:val="20"/>
        </w:rPr>
        <w:t>z</w:t>
      </w:r>
      <w:r w:rsidRPr="00215B2F">
        <w:rPr>
          <w:rFonts w:ascii="Arial" w:eastAsia="Arial" w:hAnsi="Arial" w:cs="Arial"/>
          <w:sz w:val="20"/>
          <w:szCs w:val="20"/>
        </w:rPr>
        <w:t xml:space="preserve"> prejšnjega </w:t>
      </w:r>
      <w:r w:rsidR="00746E88" w:rsidRPr="00215B2F">
        <w:rPr>
          <w:rFonts w:ascii="Arial" w:eastAsia="Arial" w:hAnsi="Arial" w:cs="Arial"/>
          <w:sz w:val="20"/>
          <w:szCs w:val="20"/>
        </w:rPr>
        <w:t>odstavka</w:t>
      </w:r>
      <w:r w:rsidRPr="00215B2F">
        <w:rPr>
          <w:rFonts w:ascii="Arial" w:eastAsia="Arial" w:hAnsi="Arial" w:cs="Arial"/>
          <w:sz w:val="20"/>
          <w:szCs w:val="20"/>
        </w:rPr>
        <w:t>.</w:t>
      </w:r>
    </w:p>
    <w:p w14:paraId="0C70BF4C"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636CDAC3" w14:textId="66C81A6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Skupni kvalificirani imetniki, ki imajo veljavno odločitev o nenasprotovanju, morajo pred vsako nadaljnjo pridobitvijo deleža banke, na podlagi katere njihov skupni delež preseže razpon, za katerega velja že izdana odločitev o nenasprotovanju, pridobiti novo odločitev o nenasprotovanju za ustrezn</w:t>
      </w:r>
      <w:r w:rsidR="00C11802" w:rsidRPr="00215B2F">
        <w:rPr>
          <w:rFonts w:ascii="Arial" w:eastAsia="Arial" w:hAnsi="Arial" w:cs="Arial"/>
          <w:sz w:val="20"/>
          <w:szCs w:val="20"/>
        </w:rPr>
        <w:t>o</w:t>
      </w:r>
      <w:r w:rsidRPr="00215B2F">
        <w:rPr>
          <w:rFonts w:ascii="Arial" w:eastAsia="Arial" w:hAnsi="Arial" w:cs="Arial"/>
          <w:sz w:val="20"/>
          <w:szCs w:val="20"/>
        </w:rPr>
        <w:t xml:space="preserve"> višji razpon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0EFC5F22" w14:textId="77777777" w:rsidR="00D91CBF" w:rsidRPr="00215B2F" w:rsidRDefault="00D91CBF" w:rsidP="00FD5520">
      <w:pPr>
        <w:shd w:val="clear" w:color="auto" w:fill="FFFFFF" w:themeFill="background1"/>
        <w:spacing w:after="0" w:line="240" w:lineRule="auto"/>
        <w:jc w:val="both"/>
        <w:rPr>
          <w:rFonts w:ascii="Arial" w:eastAsia="Arial" w:hAnsi="Arial" w:cs="Arial"/>
          <w:sz w:val="20"/>
          <w:szCs w:val="20"/>
        </w:rPr>
      </w:pPr>
    </w:p>
    <w:p w14:paraId="4B8A58A0"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24" w:name="_Ref202963515"/>
      <w:r w:rsidRPr="00215B2F">
        <w:rPr>
          <w:rFonts w:ascii="Arial" w:eastAsia="Arial" w:hAnsi="Arial" w:cs="Arial"/>
          <w:b/>
          <w:bCs/>
          <w:sz w:val="20"/>
          <w:szCs w:val="20"/>
        </w:rPr>
        <w:t>člen</w:t>
      </w:r>
      <w:bookmarkEnd w:id="124"/>
    </w:p>
    <w:p w14:paraId="082E2368" w14:textId="06D4A678" w:rsidR="00D91782" w:rsidRPr="00215B2F" w:rsidRDefault="00D91782" w:rsidP="00FD5520">
      <w:pPr>
        <w:pStyle w:val="Slog1"/>
        <w:shd w:val="clear" w:color="auto" w:fill="FFFFFF" w:themeFill="background1"/>
        <w:rPr>
          <w:sz w:val="20"/>
          <w:szCs w:val="20"/>
        </w:rPr>
      </w:pPr>
      <w:r w:rsidRPr="00215B2F">
        <w:rPr>
          <w:sz w:val="20"/>
          <w:szCs w:val="20"/>
        </w:rPr>
        <w:t>(rok za pridobitev deleža, na katerega se nanaša odločitev o nenasprotovanju)</w:t>
      </w:r>
    </w:p>
    <w:p w14:paraId="6D11117D" w14:textId="77777777" w:rsidR="00D91782" w:rsidRPr="00215B2F" w:rsidRDefault="00D91782" w:rsidP="00FD5520">
      <w:pPr>
        <w:pStyle w:val="Slog1"/>
        <w:shd w:val="clear" w:color="auto" w:fill="FFFFFF" w:themeFill="background1"/>
        <w:jc w:val="both"/>
        <w:rPr>
          <w:sz w:val="20"/>
          <w:szCs w:val="20"/>
        </w:rPr>
      </w:pPr>
    </w:p>
    <w:p w14:paraId="42D8D7E7" w14:textId="0C7D8E9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Z odločitvijo o nenasprotovanju ali po izdaji te odločitve se kvalificiranemu imetniku </w:t>
      </w:r>
      <w:r w:rsidR="00C11802" w:rsidRPr="00215B2F">
        <w:rPr>
          <w:rFonts w:ascii="Arial" w:eastAsia="Arial" w:hAnsi="Arial" w:cs="Arial"/>
          <w:sz w:val="20"/>
          <w:szCs w:val="20"/>
        </w:rPr>
        <w:t xml:space="preserve">lahko </w:t>
      </w:r>
      <w:r w:rsidRPr="00215B2F">
        <w:rPr>
          <w:rFonts w:ascii="Arial" w:eastAsia="Arial" w:hAnsi="Arial" w:cs="Arial"/>
          <w:sz w:val="20"/>
          <w:szCs w:val="20"/>
        </w:rPr>
        <w:t>naloži, da mora v roku, ki ga določi Banka Slovenije, pridobiti delež banke</w:t>
      </w:r>
      <w:bookmarkStart w:id="125" w:name="_Hlk214717425"/>
      <w:r w:rsidRPr="00215B2F">
        <w:rPr>
          <w:rFonts w:ascii="Arial" w:eastAsia="Arial" w:hAnsi="Arial" w:cs="Arial"/>
          <w:sz w:val="20"/>
          <w:szCs w:val="20"/>
        </w:rPr>
        <w:t>, na podlagi katerega doseže razpon, za katerega je izdana odločitev na nenasprotovanju</w:t>
      </w:r>
      <w:r w:rsidR="00E55A28" w:rsidRPr="00215B2F">
        <w:rPr>
          <w:rFonts w:ascii="Arial" w:eastAsia="Arial" w:hAnsi="Arial" w:cs="Arial"/>
          <w:sz w:val="20"/>
          <w:szCs w:val="20"/>
        </w:rPr>
        <w:t>.</w:t>
      </w:r>
      <w:bookmarkEnd w:id="125"/>
    </w:p>
    <w:p w14:paraId="4B7073E8"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13DF9D8D" w14:textId="6708F55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Na podlagi obrazložene zahteve bodočega kvalificiranega imetnika se lahko rok iz prejšnjega odstavka podaljša za največ šest mesecev. Zahteva za podaljšanje mora biti vložena najmanj dva meseca pred potekom roka iz </w:t>
      </w:r>
      <w:r w:rsidR="00E55A28" w:rsidRPr="00215B2F">
        <w:rPr>
          <w:rFonts w:ascii="Arial" w:eastAsia="Arial" w:hAnsi="Arial" w:cs="Arial"/>
          <w:sz w:val="20"/>
          <w:szCs w:val="20"/>
        </w:rPr>
        <w:t xml:space="preserve">prejšnjega </w:t>
      </w:r>
      <w:r w:rsidR="00746E88" w:rsidRPr="00215B2F">
        <w:rPr>
          <w:rFonts w:ascii="Arial" w:eastAsia="Arial" w:hAnsi="Arial" w:cs="Arial"/>
          <w:sz w:val="20"/>
          <w:szCs w:val="20"/>
        </w:rPr>
        <w:t>odstavka</w:t>
      </w:r>
      <w:r w:rsidRPr="00215B2F">
        <w:rPr>
          <w:rFonts w:ascii="Arial" w:eastAsia="Arial" w:hAnsi="Arial" w:cs="Arial"/>
          <w:sz w:val="20"/>
          <w:szCs w:val="20"/>
        </w:rPr>
        <w:t>.</w:t>
      </w:r>
    </w:p>
    <w:p w14:paraId="04ABDB8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011917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26" w:name="_Ref202963522"/>
      <w:r w:rsidRPr="00215B2F">
        <w:rPr>
          <w:rFonts w:ascii="Arial" w:eastAsia="Arial" w:hAnsi="Arial" w:cs="Arial"/>
          <w:b/>
          <w:bCs/>
          <w:sz w:val="20"/>
          <w:szCs w:val="20"/>
        </w:rPr>
        <w:t>člen</w:t>
      </w:r>
      <w:bookmarkEnd w:id="126"/>
    </w:p>
    <w:p w14:paraId="71A05237" w14:textId="6B6D6668" w:rsidR="00D91782" w:rsidRPr="00215B2F" w:rsidRDefault="00D91782" w:rsidP="00FD5520">
      <w:pPr>
        <w:pStyle w:val="Slog1"/>
        <w:shd w:val="clear" w:color="auto" w:fill="FFFFFF" w:themeFill="background1"/>
        <w:rPr>
          <w:sz w:val="20"/>
          <w:szCs w:val="20"/>
        </w:rPr>
      </w:pPr>
      <w:r w:rsidRPr="00215B2F">
        <w:rPr>
          <w:sz w:val="20"/>
          <w:szCs w:val="20"/>
        </w:rPr>
        <w:t>(prenehanje veljavnosti odločitve o nenasprotovanju)</w:t>
      </w:r>
    </w:p>
    <w:p w14:paraId="2E7EED23" w14:textId="77777777" w:rsidR="00D91782" w:rsidRPr="00215B2F" w:rsidRDefault="00D91782" w:rsidP="00FD5520">
      <w:pPr>
        <w:pStyle w:val="Slog1"/>
        <w:shd w:val="clear" w:color="auto" w:fill="FFFFFF" w:themeFill="background1"/>
        <w:jc w:val="both"/>
        <w:rPr>
          <w:sz w:val="20"/>
          <w:szCs w:val="20"/>
        </w:rPr>
      </w:pPr>
    </w:p>
    <w:p w14:paraId="565C1395" w14:textId="2FDD95C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je v skladu s prvim </w:t>
      </w:r>
      <w:r w:rsidR="00746E88" w:rsidRPr="00215B2F">
        <w:rPr>
          <w:rFonts w:ascii="Arial" w:eastAsia="Arial" w:hAnsi="Arial" w:cs="Arial"/>
          <w:sz w:val="20"/>
          <w:szCs w:val="20"/>
        </w:rPr>
        <w:t>odstavkom prejšnjega člena</w:t>
      </w:r>
      <w:r w:rsidRPr="00215B2F">
        <w:rPr>
          <w:rFonts w:ascii="Arial" w:eastAsia="Arial" w:hAnsi="Arial" w:cs="Arial"/>
          <w:sz w:val="20"/>
          <w:szCs w:val="20"/>
        </w:rPr>
        <w:t xml:space="preserve"> določen rok za pridobitev delnic banke in bodoči kvalificirani imetnik v tem roku ne pridobi </w:t>
      </w:r>
      <w:r w:rsidR="002C7D72" w:rsidRPr="00215B2F">
        <w:rPr>
          <w:rFonts w:ascii="Arial" w:eastAsia="Arial" w:hAnsi="Arial" w:cs="Arial"/>
          <w:sz w:val="20"/>
          <w:szCs w:val="20"/>
        </w:rPr>
        <w:t xml:space="preserve">deleža </w:t>
      </w:r>
      <w:r w:rsidRPr="00215B2F">
        <w:rPr>
          <w:rFonts w:ascii="Arial" w:eastAsia="Arial" w:hAnsi="Arial" w:cs="Arial"/>
          <w:sz w:val="20"/>
          <w:szCs w:val="20"/>
        </w:rPr>
        <w:t>banke, na podlagi kater</w:t>
      </w:r>
      <w:r w:rsidR="002C7D72" w:rsidRPr="00215B2F">
        <w:rPr>
          <w:rFonts w:ascii="Arial" w:eastAsia="Arial" w:hAnsi="Arial" w:cs="Arial"/>
          <w:sz w:val="20"/>
          <w:szCs w:val="20"/>
        </w:rPr>
        <w:t>ega</w:t>
      </w:r>
      <w:r w:rsidRPr="00215B2F">
        <w:rPr>
          <w:rFonts w:ascii="Arial" w:eastAsia="Arial" w:hAnsi="Arial" w:cs="Arial"/>
          <w:sz w:val="20"/>
          <w:szCs w:val="20"/>
        </w:rPr>
        <w:t xml:space="preserve"> bi dosegel kvalificirani delež, odločitev o nenasprotovanju preneha veljati v celoti.</w:t>
      </w:r>
    </w:p>
    <w:p w14:paraId="19DE00D4"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256819FD" w14:textId="62C7A5D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Če je v skladu s prvim </w:t>
      </w:r>
      <w:r w:rsidR="00746E88" w:rsidRPr="00215B2F">
        <w:rPr>
          <w:rFonts w:ascii="Arial" w:eastAsia="Arial" w:hAnsi="Arial" w:cs="Arial"/>
          <w:sz w:val="20"/>
          <w:szCs w:val="20"/>
        </w:rPr>
        <w:t>odstavkom prejšnjega člena</w:t>
      </w:r>
      <w:r w:rsidRPr="00215B2F">
        <w:rPr>
          <w:rFonts w:ascii="Arial" w:eastAsia="Arial" w:hAnsi="Arial" w:cs="Arial"/>
          <w:sz w:val="20"/>
          <w:szCs w:val="20"/>
        </w:rPr>
        <w:t xml:space="preserve"> določen rok za pridobitev </w:t>
      </w:r>
      <w:r w:rsidR="002C7D72" w:rsidRPr="00215B2F">
        <w:rPr>
          <w:rFonts w:ascii="Arial" w:eastAsia="Arial" w:hAnsi="Arial" w:cs="Arial"/>
          <w:sz w:val="20"/>
          <w:szCs w:val="20"/>
        </w:rPr>
        <w:t>deleža</w:t>
      </w:r>
      <w:r w:rsidRPr="00215B2F">
        <w:rPr>
          <w:rFonts w:ascii="Arial" w:eastAsia="Arial" w:hAnsi="Arial" w:cs="Arial"/>
          <w:sz w:val="20"/>
          <w:szCs w:val="20"/>
        </w:rPr>
        <w:t xml:space="preserve"> banke in kvalificirani imetnik v tem roku doseže kvalificirani delež, ne doseže pa razpona, za katerega je izdana odločitev o nenasprotovanju, </w:t>
      </w:r>
      <w:r w:rsidR="00C11802" w:rsidRPr="00215B2F">
        <w:rPr>
          <w:rFonts w:ascii="Arial" w:eastAsia="Arial" w:hAnsi="Arial" w:cs="Arial"/>
          <w:sz w:val="20"/>
          <w:szCs w:val="20"/>
        </w:rPr>
        <w:t>t</w:t>
      </w:r>
      <w:r w:rsidRPr="00215B2F">
        <w:rPr>
          <w:rFonts w:ascii="Arial" w:eastAsia="Arial" w:hAnsi="Arial" w:cs="Arial"/>
          <w:sz w:val="20"/>
          <w:szCs w:val="20"/>
        </w:rPr>
        <w:t>a preneha veljati v delu, ki presega razpon, ki ga je imetnik dosegel.</w:t>
      </w:r>
    </w:p>
    <w:p w14:paraId="26170A81"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25B9D71A" w14:textId="3570139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kvalificirani imetnik po pridobitvi deleža v razponu, za katerega je bila izdana odločitev o nenasprotovanju, odsvoji delež banke tako, da njegov delež glasovalnih pravic ali delež v kapitalu banke ne dosega več razpona, za katerega je bila izdana odločitev o nenasprotovanju, </w:t>
      </w:r>
      <w:r w:rsidR="00C11802" w:rsidRPr="00215B2F">
        <w:rPr>
          <w:rFonts w:ascii="Arial" w:eastAsia="Arial" w:hAnsi="Arial" w:cs="Arial"/>
          <w:sz w:val="20"/>
          <w:szCs w:val="20"/>
        </w:rPr>
        <w:t>t</w:t>
      </w:r>
      <w:r w:rsidRPr="00215B2F">
        <w:rPr>
          <w:rFonts w:ascii="Arial" w:eastAsia="Arial" w:hAnsi="Arial" w:cs="Arial"/>
          <w:sz w:val="20"/>
          <w:szCs w:val="20"/>
        </w:rPr>
        <w:t>a preneha veljati v delu, ki presega razpon, ki ga imetnik dosega po odsvojitvi.</w:t>
      </w:r>
    </w:p>
    <w:p w14:paraId="175118D3"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657DD244" w14:textId="648D2F0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Prejšnji odstavek se smiselno uporablja tudi, če se delež kvalificiranega imetnika zmanjša zaradi povečanja osnovnega kapitala ali drugih korporacijskih dejanj banke.</w:t>
      </w:r>
    </w:p>
    <w:p w14:paraId="5F65EEF6"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26F86208" w14:textId="02EBA0A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(5) Banka Slovenije informacijo o prenehanju ali delnem prenehanju veljavnosti odločitve o nenasprotovanju objavi na svoji spletni strani.</w:t>
      </w:r>
    </w:p>
    <w:p w14:paraId="21D592E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971015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27" w:name="_Ref202963529"/>
      <w:r w:rsidRPr="00215B2F">
        <w:rPr>
          <w:rFonts w:ascii="Arial" w:eastAsia="Arial" w:hAnsi="Arial" w:cs="Arial"/>
          <w:b/>
          <w:bCs/>
          <w:sz w:val="20"/>
          <w:szCs w:val="20"/>
        </w:rPr>
        <w:t>člen</w:t>
      </w:r>
      <w:bookmarkEnd w:id="127"/>
    </w:p>
    <w:p w14:paraId="630CAF98" w14:textId="77777777" w:rsidR="00D91782" w:rsidRPr="00215B2F" w:rsidRDefault="00D91782" w:rsidP="00FD5520">
      <w:pPr>
        <w:pStyle w:val="Slog1"/>
        <w:shd w:val="clear" w:color="auto" w:fill="FFFFFF" w:themeFill="background1"/>
        <w:rPr>
          <w:sz w:val="20"/>
          <w:szCs w:val="20"/>
        </w:rPr>
      </w:pPr>
      <w:r w:rsidRPr="00215B2F">
        <w:rPr>
          <w:sz w:val="20"/>
          <w:szCs w:val="20"/>
        </w:rPr>
        <w:t>(glasovalne pravice neupravičenega imetnika)</w:t>
      </w:r>
    </w:p>
    <w:p w14:paraId="78B958D8" w14:textId="77777777" w:rsidR="00D91782" w:rsidRPr="00215B2F" w:rsidRDefault="00D91782" w:rsidP="00FD5520">
      <w:pPr>
        <w:pStyle w:val="Slog1"/>
        <w:shd w:val="clear" w:color="auto" w:fill="FFFFFF" w:themeFill="background1"/>
        <w:jc w:val="both"/>
        <w:rPr>
          <w:sz w:val="20"/>
          <w:szCs w:val="20"/>
        </w:rPr>
      </w:pPr>
    </w:p>
    <w:p w14:paraId="7992559E" w14:textId="247EF59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Imetnik iz delnic banke, ki jih je pridobil ali ki jih ima v nasprotju s tem zakonom (v nadaljnjem besedilu: neupravičeni imetnik), ker nima veljavne odločitve o nenasprotovanju, iz teh delnic nima glasovalnih pravic.</w:t>
      </w:r>
    </w:p>
    <w:p w14:paraId="5EC7BA77"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7DEB980A" w14:textId="792A172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Število delnic, iz katerih neupravičeni imetnik lahko uresničuje glasovalne pravice, se izračuna:</w:t>
      </w:r>
    </w:p>
    <w:p w14:paraId="29FB8E13"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09F790D1" w14:textId="359F9FC9" w:rsidR="00895214" w:rsidRPr="00215B2F" w:rsidRDefault="00D91782">
      <w:pPr>
        <w:pStyle w:val="tevilnatoka"/>
        <w:numPr>
          <w:ilvl w:val="0"/>
          <w:numId w:val="78"/>
        </w:numPr>
        <w:shd w:val="clear" w:color="auto" w:fill="FFFFFF" w:themeFill="background1"/>
        <w:tabs>
          <w:tab w:val="clear" w:pos="425"/>
        </w:tabs>
        <w:rPr>
          <w:rFonts w:cs="Arial"/>
          <w:bCs/>
          <w:sz w:val="20"/>
          <w:szCs w:val="20"/>
        </w:rPr>
      </w:pPr>
      <w:r w:rsidRPr="00215B2F">
        <w:rPr>
          <w:rFonts w:eastAsia="Arial" w:cs="Arial"/>
          <w:sz w:val="20"/>
          <w:szCs w:val="20"/>
        </w:rPr>
        <w:t>če imetnik na podlagi delnic dosega ali presega kvalificirani delež, ne da bi imel veljavno odločitev o nenasprotovanju: tako, da se od števila delnic, ki pomeni kvalificirani delež, odšteje ena delnica;</w:t>
      </w:r>
    </w:p>
    <w:p w14:paraId="49A033F5" w14:textId="73AEDE05" w:rsidR="00D91782" w:rsidRPr="00215B2F" w:rsidRDefault="00D91782">
      <w:pPr>
        <w:pStyle w:val="tevilnatoka"/>
        <w:numPr>
          <w:ilvl w:val="0"/>
          <w:numId w:val="78"/>
        </w:numPr>
        <w:shd w:val="clear" w:color="auto" w:fill="FFFFFF" w:themeFill="background1"/>
        <w:tabs>
          <w:tab w:val="clear" w:pos="425"/>
        </w:tabs>
        <w:rPr>
          <w:rFonts w:cs="Arial"/>
          <w:bCs/>
          <w:sz w:val="20"/>
          <w:szCs w:val="20"/>
        </w:rPr>
      </w:pPr>
      <w:r w:rsidRPr="00215B2F">
        <w:rPr>
          <w:rFonts w:eastAsia="Arial" w:cs="Arial"/>
          <w:sz w:val="20"/>
          <w:szCs w:val="20"/>
        </w:rPr>
        <w:t xml:space="preserve">če imetnik na podlagi delnic presega razpon, za katerega ima veljavno odločitev o nenasprotovanju: tako, da je število enako številu delnic, ki pomeni zgornjo mejo razpona, za katerega ima imetnik veljavno </w:t>
      </w:r>
      <w:r w:rsidR="002733C5" w:rsidRPr="00215B2F">
        <w:rPr>
          <w:rFonts w:eastAsia="Arial" w:cs="Arial"/>
          <w:sz w:val="20"/>
          <w:szCs w:val="20"/>
        </w:rPr>
        <w:t>odločitev o nenasprotovanju</w:t>
      </w:r>
      <w:r w:rsidRPr="00215B2F">
        <w:rPr>
          <w:rFonts w:eastAsia="Arial" w:cs="Arial"/>
          <w:sz w:val="20"/>
          <w:szCs w:val="20"/>
        </w:rPr>
        <w:t>.</w:t>
      </w:r>
    </w:p>
    <w:p w14:paraId="185B1465"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21F617EC" w14:textId="787AC16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Glasovalne pravice, ki jih neupravičeni imetnik ni upravičen uresničevati, se prištejejo glasovalnim pravicam drugih delničarjev v sorazmerju z njihovo udeležbo v vseh glasovalnih pravicah iz delnic banke.</w:t>
      </w:r>
    </w:p>
    <w:p w14:paraId="2C5884F2"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2016275C" w14:textId="144CE0F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9639B" w:rsidRPr="00215B2F">
        <w:rPr>
          <w:rFonts w:ascii="Arial" w:eastAsia="Arial" w:hAnsi="Arial" w:cs="Arial"/>
          <w:sz w:val="20"/>
          <w:szCs w:val="20"/>
        </w:rPr>
        <w:t>4</w:t>
      </w:r>
      <w:r w:rsidRPr="00215B2F">
        <w:rPr>
          <w:rFonts w:ascii="Arial" w:eastAsia="Arial" w:hAnsi="Arial" w:cs="Arial"/>
          <w:sz w:val="20"/>
          <w:szCs w:val="20"/>
        </w:rPr>
        <w:t xml:space="preserve">) Banka neupravičenemu imetniku ne sme omogočiti uresničevanja glasovalnih pravic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2AE4BD23"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0CF0C32D" w14:textId="312F913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9639B" w:rsidRPr="00215B2F">
        <w:rPr>
          <w:rFonts w:ascii="Arial" w:eastAsia="Arial" w:hAnsi="Arial" w:cs="Arial"/>
          <w:sz w:val="20"/>
          <w:szCs w:val="20"/>
        </w:rPr>
        <w:t>5</w:t>
      </w:r>
      <w:r w:rsidRPr="00215B2F">
        <w:rPr>
          <w:rFonts w:ascii="Arial" w:eastAsia="Arial" w:hAnsi="Arial" w:cs="Arial"/>
          <w:sz w:val="20"/>
          <w:szCs w:val="20"/>
        </w:rPr>
        <w:t xml:space="preserve">) </w:t>
      </w:r>
      <w:r w:rsidR="00986E6A" w:rsidRPr="00215B2F">
        <w:rPr>
          <w:rFonts w:ascii="Arial" w:eastAsia="Arial" w:hAnsi="Arial" w:cs="Arial"/>
          <w:sz w:val="20"/>
          <w:szCs w:val="20"/>
        </w:rPr>
        <w:t xml:space="preserve">Ta člen </w:t>
      </w:r>
      <w:r w:rsidRPr="00215B2F">
        <w:rPr>
          <w:rFonts w:ascii="Arial" w:eastAsia="Arial" w:hAnsi="Arial" w:cs="Arial"/>
          <w:sz w:val="20"/>
          <w:szCs w:val="20"/>
        </w:rPr>
        <w:t xml:space="preserve">smiselno uporabljajo tudi, če se delež kvalificiranega imetnika poveča zaradi zmanjšanja osnovnega kapitala ali drugih korporacijskih dejanj banke. Pri smiselni uporabi določb iz prejšnjega stavka enomesečni rok za vložitev zahteve za oceno primernosti </w:t>
      </w:r>
      <w:r w:rsidR="002D436C" w:rsidRPr="00215B2F">
        <w:rPr>
          <w:rFonts w:ascii="Arial" w:eastAsia="Arial" w:hAnsi="Arial" w:cs="Arial"/>
          <w:sz w:val="20"/>
          <w:szCs w:val="20"/>
        </w:rPr>
        <w:t xml:space="preserve">kvalificiranega deleža </w:t>
      </w:r>
      <w:r w:rsidRPr="00215B2F">
        <w:rPr>
          <w:rFonts w:ascii="Arial" w:eastAsia="Arial" w:hAnsi="Arial" w:cs="Arial"/>
          <w:sz w:val="20"/>
          <w:szCs w:val="20"/>
        </w:rPr>
        <w:t>teče od dneva, ko kvalificirani imetnik izve ali bi lahko izvedel, da se je njegov delež povečal zaradi korporacijskega dejanja banke.</w:t>
      </w:r>
    </w:p>
    <w:p w14:paraId="721F790B" w14:textId="77777777" w:rsidR="00D10DDD" w:rsidRPr="00215B2F" w:rsidRDefault="00D10DDD" w:rsidP="00FD5520">
      <w:pPr>
        <w:shd w:val="clear" w:color="auto" w:fill="FFFFFF" w:themeFill="background1"/>
        <w:spacing w:after="0" w:line="240" w:lineRule="auto"/>
        <w:jc w:val="both"/>
        <w:rPr>
          <w:rFonts w:ascii="Arial" w:eastAsia="Arial" w:hAnsi="Arial" w:cs="Arial"/>
          <w:sz w:val="20"/>
          <w:szCs w:val="20"/>
        </w:rPr>
      </w:pPr>
    </w:p>
    <w:p w14:paraId="75203CE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28" w:name="_Ref202963545"/>
      <w:r w:rsidRPr="00215B2F">
        <w:rPr>
          <w:rFonts w:ascii="Arial" w:eastAsia="Arial" w:hAnsi="Arial" w:cs="Arial"/>
          <w:b/>
          <w:bCs/>
          <w:sz w:val="20"/>
          <w:szCs w:val="20"/>
        </w:rPr>
        <w:t>člen</w:t>
      </w:r>
      <w:bookmarkEnd w:id="128"/>
    </w:p>
    <w:p w14:paraId="092F6EF5" w14:textId="77777777" w:rsidR="00D91782" w:rsidRPr="00215B2F" w:rsidRDefault="00D91782" w:rsidP="00FD5520">
      <w:pPr>
        <w:pStyle w:val="Slog1"/>
        <w:shd w:val="clear" w:color="auto" w:fill="FFFFFF" w:themeFill="background1"/>
        <w:rPr>
          <w:sz w:val="20"/>
          <w:szCs w:val="20"/>
        </w:rPr>
      </w:pPr>
      <w:r w:rsidRPr="00215B2F">
        <w:rPr>
          <w:sz w:val="20"/>
          <w:szCs w:val="20"/>
        </w:rPr>
        <w:t>(obvestila v zvezi s kvalificiranimi deleži)</w:t>
      </w:r>
    </w:p>
    <w:p w14:paraId="7BC065DF" w14:textId="77777777" w:rsidR="00D91782" w:rsidRPr="00215B2F" w:rsidRDefault="00D91782" w:rsidP="00FD5520">
      <w:pPr>
        <w:pStyle w:val="Slog1"/>
        <w:shd w:val="clear" w:color="auto" w:fill="FFFFFF" w:themeFill="background1"/>
        <w:jc w:val="both"/>
        <w:rPr>
          <w:sz w:val="20"/>
          <w:szCs w:val="20"/>
        </w:rPr>
      </w:pPr>
    </w:p>
    <w:p w14:paraId="1F11170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129" w:name="_Hlk203651201"/>
      <w:r w:rsidRPr="00215B2F">
        <w:rPr>
          <w:rFonts w:ascii="Arial" w:eastAsia="Arial" w:hAnsi="Arial" w:cs="Arial"/>
          <w:sz w:val="20"/>
          <w:szCs w:val="20"/>
        </w:rPr>
        <w:t>(1) Banka mora nemudoma obvestiti Banko Slovenije o spremembah okoliščin, zaradi katerih se delež posameznega delničarja spremeni tako, da:</w:t>
      </w:r>
    </w:p>
    <w:p w14:paraId="7CD6BE85"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CB47E75" w14:textId="77777777" w:rsidR="00895214" w:rsidRPr="00215B2F" w:rsidRDefault="00D91782">
      <w:pPr>
        <w:pStyle w:val="tevilnatoka"/>
        <w:numPr>
          <w:ilvl w:val="0"/>
          <w:numId w:val="79"/>
        </w:numPr>
        <w:shd w:val="clear" w:color="auto" w:fill="FFFFFF" w:themeFill="background1"/>
        <w:tabs>
          <w:tab w:val="clear" w:pos="425"/>
        </w:tabs>
        <w:rPr>
          <w:rFonts w:cs="Arial"/>
          <w:bCs/>
          <w:sz w:val="20"/>
          <w:szCs w:val="20"/>
        </w:rPr>
      </w:pPr>
      <w:r w:rsidRPr="00215B2F">
        <w:rPr>
          <w:rFonts w:eastAsia="Arial" w:cs="Arial"/>
          <w:sz w:val="20"/>
          <w:szCs w:val="20"/>
        </w:rPr>
        <w:t>preseže mejo kvalificiranega deleža oziroma se je njegov delež zmanjšal tako, da ne dosega več kvalificiranega deleža;</w:t>
      </w:r>
    </w:p>
    <w:p w14:paraId="432C8458" w14:textId="3FB61477" w:rsidR="00D91782" w:rsidRPr="00215B2F" w:rsidRDefault="00D91782">
      <w:pPr>
        <w:pStyle w:val="tevilnatoka"/>
        <w:numPr>
          <w:ilvl w:val="0"/>
          <w:numId w:val="79"/>
        </w:numPr>
        <w:shd w:val="clear" w:color="auto" w:fill="FFFFFF" w:themeFill="background1"/>
        <w:rPr>
          <w:rFonts w:cs="Arial"/>
          <w:bCs/>
          <w:sz w:val="20"/>
          <w:szCs w:val="20"/>
        </w:rPr>
      </w:pPr>
      <w:r w:rsidRPr="00215B2F">
        <w:rPr>
          <w:rFonts w:eastAsia="Arial" w:cs="Arial"/>
          <w:sz w:val="20"/>
          <w:szCs w:val="20"/>
        </w:rPr>
        <w:t>preseže zgornjo mejo razpona oziroma pade pod spodnjo mejo razpona kvalificiranega deleža, za katerega je bila kvalificiranemu imetniku izdana odločitev o nenasprotovanju.</w:t>
      </w:r>
    </w:p>
    <w:p w14:paraId="5B8D6F87"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1DDDF69E" w14:textId="27AD60E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z delnicami katere se trguje na organiziranem trgu, vsaj enkrat na leto obvesti Banko Slovenije o delničarjih, ki so imetniki kvalificiranega deleža, </w:t>
      </w:r>
      <w:r w:rsidR="00CF2B85" w:rsidRPr="00215B2F">
        <w:rPr>
          <w:rFonts w:ascii="Arial" w:eastAsia="Arial" w:hAnsi="Arial" w:cs="Arial"/>
          <w:sz w:val="20"/>
          <w:szCs w:val="20"/>
        </w:rPr>
        <w:t xml:space="preserve">in </w:t>
      </w:r>
      <w:r w:rsidRPr="00215B2F">
        <w:rPr>
          <w:rFonts w:ascii="Arial" w:eastAsia="Arial" w:hAnsi="Arial" w:cs="Arial"/>
          <w:sz w:val="20"/>
          <w:szCs w:val="20"/>
        </w:rPr>
        <w:t>njihovih kvalificiranih deležih.</w:t>
      </w:r>
    </w:p>
    <w:p w14:paraId="7C4AB520"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674ACC49" w14:textId="4AF0833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mora Banko Slovenije nemudoma obvestiti o dogovoru ali drugih okoliščinah v zvezi z bodočimi ali obstoječimi kvalificiranimi imetniki</w:t>
      </w:r>
      <w:r w:rsidR="00CF2B85" w:rsidRPr="00215B2F">
        <w:rPr>
          <w:rFonts w:ascii="Arial" w:eastAsia="Arial" w:hAnsi="Arial" w:cs="Arial"/>
          <w:sz w:val="20"/>
          <w:szCs w:val="20"/>
        </w:rPr>
        <w:t>,</w:t>
      </w:r>
      <w:r w:rsidRPr="00215B2F">
        <w:rPr>
          <w:rFonts w:ascii="Arial" w:eastAsia="Arial" w:hAnsi="Arial" w:cs="Arial"/>
          <w:sz w:val="20"/>
          <w:szCs w:val="20"/>
        </w:rPr>
        <w:t xml:space="preserve"> zaradi katerih bi bila ogrožena sposobnost banke ravnati v skladu s pravili o upravljanju tveganj </w:t>
      </w:r>
      <w:r w:rsidR="00CF2B85" w:rsidRPr="00215B2F">
        <w:rPr>
          <w:rFonts w:ascii="Arial" w:eastAsia="Arial" w:hAnsi="Arial" w:cs="Arial"/>
          <w:sz w:val="20"/>
          <w:szCs w:val="20"/>
        </w:rPr>
        <w:t xml:space="preserve">in </w:t>
      </w:r>
      <w:r w:rsidRPr="00215B2F">
        <w:rPr>
          <w:rFonts w:ascii="Arial" w:eastAsia="Arial" w:hAnsi="Arial" w:cs="Arial"/>
          <w:sz w:val="20"/>
          <w:szCs w:val="20"/>
        </w:rPr>
        <w:t xml:space="preserve">izpolnjevati zahteve, določene s tem zakonom, Uredbo 575/2013/EU </w:t>
      </w:r>
      <w:r w:rsidR="00CF2B85" w:rsidRPr="00215B2F">
        <w:rPr>
          <w:rFonts w:ascii="Arial" w:eastAsia="Arial" w:hAnsi="Arial" w:cs="Arial"/>
          <w:sz w:val="20"/>
          <w:szCs w:val="20"/>
        </w:rPr>
        <w:t xml:space="preserve">in </w:t>
      </w:r>
      <w:r w:rsidRPr="00215B2F">
        <w:rPr>
          <w:rFonts w:ascii="Arial" w:eastAsia="Arial" w:hAnsi="Arial" w:cs="Arial"/>
          <w:sz w:val="20"/>
          <w:szCs w:val="20"/>
        </w:rPr>
        <w:t xml:space="preserve">drugimi predpisi, ki se uporabljajo za banko, ter o sklenitvi delničarskega sporazuma. </w:t>
      </w:r>
    </w:p>
    <w:p w14:paraId="3E1D5F51"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3B8BF1E6" w14:textId="55B03BE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Če namerava kvalificirani imetnik, ki ima veljavno odločitev o nenasprotovanju, odtujiti delež banke tako, da ne bi več razpolagal s kvalificiranim deležem ali bi se zaradi tega njegov delež zmanjšal pod spodnjo mejo razpona, za katerega velja odločitev o nenasprotovanju, mora o tem predhodno obvestiti Banko Slovenije.</w:t>
      </w:r>
    </w:p>
    <w:p w14:paraId="16C92A08"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02CBD52E" w14:textId="07E746B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Kvalificirani imetnik mora Banko Slovenije nemudoma obvestiti o vsaki združitvi ali delitvi, pri kateri je udeležen, o vsaki drugi statusni spremembi </w:t>
      </w:r>
      <w:r w:rsidR="006E2DBD" w:rsidRPr="00215B2F">
        <w:rPr>
          <w:rFonts w:ascii="Arial" w:eastAsia="Arial" w:hAnsi="Arial" w:cs="Arial"/>
          <w:sz w:val="20"/>
          <w:szCs w:val="20"/>
        </w:rPr>
        <w:t xml:space="preserve">in </w:t>
      </w:r>
      <w:r w:rsidRPr="00215B2F">
        <w:rPr>
          <w:rFonts w:ascii="Arial" w:eastAsia="Arial" w:hAnsi="Arial" w:cs="Arial"/>
          <w:sz w:val="20"/>
          <w:szCs w:val="20"/>
        </w:rPr>
        <w:t xml:space="preserve">o vsaki drugi spremembi, ki bi lahko vplivala na izpolnjevanje meril o primernosti, določenih v </w:t>
      </w:r>
      <w:r w:rsidR="00216566" w:rsidRPr="00215B2F">
        <w:rPr>
          <w:rFonts w:ascii="Arial" w:eastAsia="Arial" w:hAnsi="Arial" w:cs="Arial"/>
          <w:sz w:val="20"/>
          <w:szCs w:val="20"/>
        </w:rPr>
        <w:t>87</w:t>
      </w:r>
      <w:r w:rsidRPr="00215B2F">
        <w:rPr>
          <w:rFonts w:ascii="Arial" w:eastAsia="Arial" w:hAnsi="Arial" w:cs="Arial"/>
          <w:sz w:val="20"/>
          <w:szCs w:val="20"/>
        </w:rPr>
        <w:t xml:space="preserve">. </w:t>
      </w:r>
      <w:r w:rsidR="001F2C7A" w:rsidRPr="00215B2F">
        <w:rPr>
          <w:rFonts w:ascii="Arial" w:eastAsia="Arial" w:hAnsi="Arial" w:cs="Arial"/>
          <w:sz w:val="20"/>
          <w:szCs w:val="20"/>
        </w:rPr>
        <w:t>členu tega zakona</w:t>
      </w:r>
      <w:r w:rsidRPr="00215B2F">
        <w:rPr>
          <w:rFonts w:ascii="Arial" w:eastAsia="Arial" w:hAnsi="Arial" w:cs="Arial"/>
          <w:sz w:val="20"/>
          <w:szCs w:val="20"/>
        </w:rPr>
        <w:t>.</w:t>
      </w:r>
    </w:p>
    <w:p w14:paraId="15AC6E96"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60BE0A45" w14:textId="4E9019D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(6) Nadrejeni finančni holding, nadrejeni mešani finančni holding in mešani poslovni holding, ki ima v skladu z odločitvijo o nenasprotovanju položaj banki nadrejene družbe, mora Banko Slovenije obvestiti tudi o vsaki spremembi članov upravljalnega organa.</w:t>
      </w:r>
    </w:p>
    <w:bookmarkEnd w:id="129"/>
    <w:p w14:paraId="759CDA9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D7C09A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30" w:name="_Ref202963555"/>
      <w:r w:rsidRPr="00215B2F">
        <w:rPr>
          <w:rFonts w:ascii="Arial" w:eastAsia="Arial" w:hAnsi="Arial" w:cs="Arial"/>
          <w:b/>
          <w:bCs/>
          <w:sz w:val="20"/>
          <w:szCs w:val="20"/>
        </w:rPr>
        <w:t>člen</w:t>
      </w:r>
      <w:bookmarkEnd w:id="130"/>
    </w:p>
    <w:p w14:paraId="6E5FDB73" w14:textId="77777777" w:rsidR="00D91782" w:rsidRPr="00215B2F" w:rsidRDefault="00D91782" w:rsidP="00FD5520">
      <w:pPr>
        <w:pStyle w:val="Slog1"/>
        <w:shd w:val="clear" w:color="auto" w:fill="FFFFFF" w:themeFill="background1"/>
        <w:rPr>
          <w:sz w:val="20"/>
          <w:szCs w:val="20"/>
        </w:rPr>
      </w:pPr>
      <w:r w:rsidRPr="00215B2F">
        <w:rPr>
          <w:sz w:val="20"/>
          <w:szCs w:val="20"/>
        </w:rPr>
        <w:t>(predpisi o kvalificiranih imetnikih)</w:t>
      </w:r>
    </w:p>
    <w:p w14:paraId="6E72AB5B" w14:textId="77777777" w:rsidR="00D91782" w:rsidRPr="00215B2F" w:rsidRDefault="00D91782" w:rsidP="00FD5520">
      <w:pPr>
        <w:pStyle w:val="Slog1"/>
        <w:shd w:val="clear" w:color="auto" w:fill="FFFFFF" w:themeFill="background1"/>
        <w:jc w:val="both"/>
        <w:rPr>
          <w:sz w:val="20"/>
          <w:szCs w:val="20"/>
        </w:rPr>
      </w:pPr>
    </w:p>
    <w:p w14:paraId="4024C78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Slovenije predpiše:</w:t>
      </w:r>
    </w:p>
    <w:p w14:paraId="741A50B0"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F4847D6" w14:textId="4A09FC1E" w:rsidR="00895214" w:rsidRPr="00215B2F" w:rsidRDefault="00D91782">
      <w:pPr>
        <w:pStyle w:val="tevilnatoka"/>
        <w:numPr>
          <w:ilvl w:val="0"/>
          <w:numId w:val="80"/>
        </w:numPr>
        <w:shd w:val="clear" w:color="auto" w:fill="FFFFFF" w:themeFill="background1"/>
        <w:tabs>
          <w:tab w:val="clear" w:pos="425"/>
        </w:tabs>
        <w:rPr>
          <w:rFonts w:cs="Arial"/>
          <w:bCs/>
          <w:sz w:val="20"/>
          <w:szCs w:val="20"/>
        </w:rPr>
      </w:pPr>
      <w:r w:rsidRPr="00215B2F">
        <w:rPr>
          <w:rFonts w:eastAsia="Arial" w:cs="Arial"/>
          <w:sz w:val="20"/>
          <w:szCs w:val="20"/>
        </w:rPr>
        <w:t>podrobnejšo vsebino meril za presojo primernosti bodočega kvalificiranega imetnika, dokumentacije in informacij, ki jih je treba priložiti zahtevi za oceno primernosti</w:t>
      </w:r>
      <w:r w:rsidR="002D436C" w:rsidRPr="00215B2F">
        <w:rPr>
          <w:rFonts w:eastAsia="Arial" w:cs="Arial"/>
          <w:sz w:val="20"/>
          <w:szCs w:val="20"/>
        </w:rPr>
        <w:t xml:space="preserve"> kvalificiranega deleža</w:t>
      </w:r>
      <w:r w:rsidRPr="00215B2F">
        <w:rPr>
          <w:rFonts w:eastAsia="Arial" w:cs="Arial"/>
          <w:sz w:val="20"/>
          <w:szCs w:val="20"/>
        </w:rPr>
        <w:t>;</w:t>
      </w:r>
    </w:p>
    <w:p w14:paraId="3C5D5EB2" w14:textId="3A0AAFD8" w:rsidR="00D91782" w:rsidRPr="00215B2F" w:rsidRDefault="00D91782">
      <w:pPr>
        <w:pStyle w:val="tevilnatoka"/>
        <w:numPr>
          <w:ilvl w:val="0"/>
          <w:numId w:val="80"/>
        </w:numPr>
        <w:shd w:val="clear" w:color="auto" w:fill="FFFFFF" w:themeFill="background1"/>
        <w:tabs>
          <w:tab w:val="clear" w:pos="425"/>
        </w:tabs>
        <w:rPr>
          <w:rFonts w:cs="Arial"/>
          <w:bCs/>
          <w:sz w:val="20"/>
          <w:szCs w:val="20"/>
        </w:rPr>
      </w:pPr>
      <w:r w:rsidRPr="00215B2F">
        <w:rPr>
          <w:rFonts w:eastAsia="Arial" w:cs="Arial"/>
          <w:sz w:val="20"/>
          <w:szCs w:val="20"/>
        </w:rPr>
        <w:t xml:space="preserve">podrobnejšo vsebino in način pošiljanja obvestil iz </w:t>
      </w:r>
      <w:r w:rsidR="00746E88" w:rsidRPr="00215B2F">
        <w:rPr>
          <w:rFonts w:eastAsia="Arial" w:cs="Arial"/>
          <w:sz w:val="20"/>
          <w:szCs w:val="20"/>
        </w:rPr>
        <w:t>prejšnjega člena</w:t>
      </w:r>
      <w:r w:rsidRPr="00215B2F">
        <w:rPr>
          <w:rFonts w:eastAsia="Arial" w:cs="Arial"/>
          <w:sz w:val="20"/>
          <w:szCs w:val="20"/>
        </w:rPr>
        <w:t>.</w:t>
      </w:r>
    </w:p>
    <w:p w14:paraId="00541E0C"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6506B6FE" w14:textId="7CBDC8C5" w:rsidR="00D91782" w:rsidRPr="00215B2F" w:rsidRDefault="002B689C"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3.</w:t>
      </w:r>
      <w:r w:rsidR="0044147E" w:rsidRPr="00215B2F">
        <w:rPr>
          <w:rFonts w:ascii="Arial" w:eastAsia="Arial" w:hAnsi="Arial" w:cs="Arial"/>
          <w:b/>
          <w:bCs/>
          <w:sz w:val="20"/>
          <w:szCs w:val="20"/>
        </w:rPr>
        <w:t>6</w:t>
      </w:r>
      <w:r w:rsidRPr="00215B2F">
        <w:rPr>
          <w:rFonts w:ascii="Arial" w:eastAsia="Arial" w:hAnsi="Arial" w:cs="Arial"/>
          <w:b/>
          <w:bCs/>
          <w:sz w:val="20"/>
          <w:szCs w:val="20"/>
        </w:rPr>
        <w:t xml:space="preserve"> ZDRUŽITVE IN DELITVE</w:t>
      </w:r>
    </w:p>
    <w:p w14:paraId="4DA7106E"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1D2E23DB"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31" w:name="_Ref202963571"/>
      <w:r w:rsidRPr="00215B2F">
        <w:rPr>
          <w:rFonts w:ascii="Arial" w:eastAsia="Arial" w:hAnsi="Arial" w:cs="Arial"/>
          <w:b/>
          <w:bCs/>
          <w:sz w:val="20"/>
          <w:szCs w:val="20"/>
        </w:rPr>
        <w:t>člen</w:t>
      </w:r>
      <w:bookmarkEnd w:id="131"/>
    </w:p>
    <w:p w14:paraId="52C4D2AC" w14:textId="77777777" w:rsidR="00D91782" w:rsidRPr="00215B2F" w:rsidRDefault="00D91782" w:rsidP="00FD5520">
      <w:pPr>
        <w:pStyle w:val="Slog1"/>
        <w:shd w:val="clear" w:color="auto" w:fill="FFFFFF" w:themeFill="background1"/>
        <w:rPr>
          <w:sz w:val="20"/>
          <w:szCs w:val="20"/>
        </w:rPr>
      </w:pPr>
      <w:r w:rsidRPr="00215B2F">
        <w:rPr>
          <w:sz w:val="20"/>
          <w:szCs w:val="20"/>
        </w:rPr>
        <w:t>(pomen izrazov)</w:t>
      </w:r>
    </w:p>
    <w:p w14:paraId="63D2FB5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000C678" w14:textId="395D7A1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w:t>
      </w:r>
      <w:r w:rsidR="00EA5FFF" w:rsidRPr="00215B2F">
        <w:rPr>
          <w:rFonts w:ascii="Arial" w:eastAsia="Arial" w:hAnsi="Arial" w:cs="Arial"/>
          <w:sz w:val="20"/>
          <w:szCs w:val="20"/>
        </w:rPr>
        <w:t xml:space="preserve">Izrazi, uporabljeni v tem </w:t>
      </w:r>
      <w:r w:rsidR="00986E6A" w:rsidRPr="00215B2F">
        <w:rPr>
          <w:rFonts w:ascii="Arial" w:eastAsia="Arial" w:hAnsi="Arial" w:cs="Arial"/>
          <w:sz w:val="20"/>
          <w:szCs w:val="20"/>
        </w:rPr>
        <w:t>oddelku</w:t>
      </w:r>
      <w:r w:rsidR="00EA5FFF" w:rsidRPr="00215B2F">
        <w:rPr>
          <w:rFonts w:ascii="Arial" w:eastAsia="Arial" w:hAnsi="Arial" w:cs="Arial"/>
          <w:sz w:val="20"/>
          <w:szCs w:val="20"/>
        </w:rPr>
        <w:t xml:space="preserve">, </w:t>
      </w:r>
      <w:r w:rsidR="006E2DBD" w:rsidRPr="00215B2F">
        <w:rPr>
          <w:rFonts w:ascii="Arial" w:eastAsia="Arial" w:hAnsi="Arial" w:cs="Arial"/>
          <w:sz w:val="20"/>
          <w:szCs w:val="20"/>
        </w:rPr>
        <w:t>pomenijo</w:t>
      </w:r>
      <w:r w:rsidRPr="00215B2F">
        <w:rPr>
          <w:rFonts w:ascii="Arial" w:eastAsia="Arial" w:hAnsi="Arial" w:cs="Arial"/>
          <w:sz w:val="20"/>
          <w:szCs w:val="20"/>
        </w:rPr>
        <w:t xml:space="preserve">: </w:t>
      </w:r>
    </w:p>
    <w:p w14:paraId="28CAB43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370C541" w14:textId="6C2F87FE" w:rsidR="00D91782" w:rsidRPr="00215B2F" w:rsidRDefault="00895214">
      <w:pPr>
        <w:pStyle w:val="tevilnatoka"/>
        <w:numPr>
          <w:ilvl w:val="0"/>
          <w:numId w:val="82"/>
        </w:numPr>
        <w:shd w:val="clear" w:color="auto" w:fill="FFFFFF" w:themeFill="background1"/>
        <w:tabs>
          <w:tab w:val="clear" w:pos="425"/>
        </w:tabs>
        <w:rPr>
          <w:rFonts w:cs="Arial"/>
          <w:bCs/>
          <w:sz w:val="20"/>
          <w:szCs w:val="20"/>
        </w:rPr>
      </w:pPr>
      <w:r w:rsidRPr="00215B2F">
        <w:rPr>
          <w:rFonts w:eastAsia="Arial" w:cs="Arial"/>
          <w:sz w:val="20"/>
          <w:szCs w:val="20"/>
        </w:rPr>
        <w:t>»</w:t>
      </w:r>
      <w:r w:rsidR="00D91782" w:rsidRPr="00215B2F">
        <w:rPr>
          <w:rFonts w:eastAsia="Arial" w:cs="Arial"/>
          <w:sz w:val="20"/>
          <w:szCs w:val="20"/>
        </w:rPr>
        <w:t>združitev</w:t>
      </w:r>
      <w:r w:rsidRPr="00215B2F">
        <w:rPr>
          <w:rFonts w:eastAsia="Arial" w:cs="Arial"/>
          <w:sz w:val="20"/>
          <w:szCs w:val="20"/>
        </w:rPr>
        <w:t>«</w:t>
      </w:r>
      <w:r w:rsidR="00D91782" w:rsidRPr="00215B2F">
        <w:rPr>
          <w:rFonts w:eastAsia="Arial" w:cs="Arial"/>
          <w:sz w:val="20"/>
          <w:szCs w:val="20"/>
        </w:rPr>
        <w:t xml:space="preserve"> </w:t>
      </w:r>
      <w:r w:rsidR="00AC0A50" w:rsidRPr="00215B2F">
        <w:rPr>
          <w:rFonts w:eastAsia="Arial" w:cs="Arial"/>
          <w:sz w:val="20"/>
          <w:szCs w:val="20"/>
        </w:rPr>
        <w:t xml:space="preserve">je kateri </w:t>
      </w:r>
      <w:r w:rsidR="00D91782" w:rsidRPr="00215B2F">
        <w:rPr>
          <w:rFonts w:eastAsia="Arial" w:cs="Arial"/>
          <w:sz w:val="20"/>
          <w:szCs w:val="20"/>
        </w:rPr>
        <w:t>koli pos</w:t>
      </w:r>
      <w:r w:rsidR="00AC0A50" w:rsidRPr="00215B2F">
        <w:rPr>
          <w:rFonts w:eastAsia="Arial" w:cs="Arial"/>
          <w:sz w:val="20"/>
          <w:szCs w:val="20"/>
        </w:rPr>
        <w:t>e</w:t>
      </w:r>
      <w:r w:rsidR="00D91782" w:rsidRPr="00215B2F">
        <w:rPr>
          <w:rFonts w:eastAsia="Arial" w:cs="Arial"/>
          <w:sz w:val="20"/>
          <w:szCs w:val="20"/>
        </w:rPr>
        <w:t xml:space="preserve">l, s katerim: </w:t>
      </w:r>
    </w:p>
    <w:p w14:paraId="51FCA6DF" w14:textId="18DD5CFF" w:rsidR="008612B7" w:rsidRPr="00215B2F" w:rsidRDefault="00D91782" w:rsidP="003D4DE0">
      <w:pPr>
        <w:pStyle w:val="Odstavekseznama"/>
        <w:numPr>
          <w:ilvl w:val="0"/>
          <w:numId w:val="301"/>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ena ali več družb v postopku prenehanja brez likvidacije prenese vsa svoja sredstva in obveznosti ali njihov del na drugo obstoječo družbo – prevzemna družba – v zameno za to, da se njihovim družbenikom izdajo vrednostni papirji ali deleži, ki predstavljajo kapital te prevzemne družbe, in kadar je ustrezno, za denarno plačilo, ki ne presega </w:t>
      </w:r>
      <w:r w:rsidR="006E2DBD" w:rsidRPr="00215B2F">
        <w:rPr>
          <w:rFonts w:ascii="Arial" w:eastAsia="Arial" w:hAnsi="Arial" w:cs="Arial"/>
          <w:sz w:val="20"/>
          <w:szCs w:val="20"/>
        </w:rPr>
        <w:t xml:space="preserve">desetih odstotkov </w:t>
      </w:r>
      <w:r w:rsidRPr="00215B2F">
        <w:rPr>
          <w:rFonts w:ascii="Arial" w:eastAsia="Arial" w:hAnsi="Arial" w:cs="Arial"/>
          <w:sz w:val="20"/>
          <w:szCs w:val="20"/>
        </w:rPr>
        <w:t xml:space="preserve">nominalne vrednosti, ali če nominalna vrednost ni na voljo, računovodske vrednosti teh vrednostnih papirjev ali deležev; </w:t>
      </w:r>
    </w:p>
    <w:p w14:paraId="78B74DA1" w14:textId="7F457055" w:rsidR="008612B7" w:rsidRPr="00215B2F" w:rsidRDefault="00D91782" w:rsidP="003D4DE0">
      <w:pPr>
        <w:pStyle w:val="Odstavekseznama"/>
        <w:numPr>
          <w:ilvl w:val="0"/>
          <w:numId w:val="301"/>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ena ali več družb v postopku prenehanja brez likvidacije prenese vsa svoja sredstva in obveznosti ali njihov del na drugo obstoječo družbo – prevzemna družba –</w:t>
      </w:r>
      <w:r w:rsidR="006E2DBD" w:rsidRPr="00215B2F">
        <w:rPr>
          <w:rFonts w:ascii="Arial" w:eastAsia="Arial" w:hAnsi="Arial" w:cs="Arial"/>
          <w:sz w:val="20"/>
          <w:szCs w:val="20"/>
        </w:rPr>
        <w:t>,</w:t>
      </w:r>
      <w:r w:rsidRPr="00215B2F">
        <w:rPr>
          <w:rFonts w:ascii="Arial" w:eastAsia="Arial" w:hAnsi="Arial" w:cs="Arial"/>
          <w:sz w:val="20"/>
          <w:szCs w:val="20"/>
        </w:rPr>
        <w:t xml:space="preserve"> ne da bi prevzemna družba izdala nove vrednostne papirje ali deleže, če ima ena oseba neposredno ali posredno vse vrednostne papirje in deleže družb, ki se združujejo, ali če imajo družbeniki družb, ki se združujejo, vrednostne papirje in deleže v enakem razmerju v vseh družbah, ki se združujejo; </w:t>
      </w:r>
    </w:p>
    <w:p w14:paraId="187C9E22" w14:textId="193171B7" w:rsidR="008612B7" w:rsidRPr="00215B2F" w:rsidRDefault="00D91782" w:rsidP="003D4DE0">
      <w:pPr>
        <w:pStyle w:val="Odstavekseznama"/>
        <w:numPr>
          <w:ilvl w:val="0"/>
          <w:numId w:val="301"/>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dve ali več družb v postopku prenehanja brez likvidacije prenese vsa svoja sredstva in obveznosti ali njihov del na družbo, ki jo ustanovijo – nova družba –</w:t>
      </w:r>
      <w:r w:rsidR="006E2DBD" w:rsidRPr="00215B2F">
        <w:rPr>
          <w:rFonts w:ascii="Arial" w:eastAsia="Arial" w:hAnsi="Arial" w:cs="Arial"/>
          <w:sz w:val="20"/>
          <w:szCs w:val="20"/>
        </w:rPr>
        <w:t>,</w:t>
      </w:r>
      <w:r w:rsidRPr="00215B2F">
        <w:rPr>
          <w:rFonts w:ascii="Arial" w:eastAsia="Arial" w:hAnsi="Arial" w:cs="Arial"/>
          <w:sz w:val="20"/>
          <w:szCs w:val="20"/>
        </w:rPr>
        <w:t xml:space="preserve"> v zameno za to, da se njihovim družbenikom izdajo vrednostni papirji ali deleži, ki predstavljajo kapital te nove družbe, in kadar je ustrezno, za denarno plačilo, ki ne presega </w:t>
      </w:r>
      <w:r w:rsidR="006E2DBD" w:rsidRPr="00215B2F">
        <w:rPr>
          <w:rFonts w:ascii="Arial" w:eastAsia="Arial" w:hAnsi="Arial" w:cs="Arial"/>
          <w:sz w:val="20"/>
          <w:szCs w:val="20"/>
        </w:rPr>
        <w:t>desetih odstotkov</w:t>
      </w:r>
      <w:r w:rsidRPr="00215B2F">
        <w:rPr>
          <w:rFonts w:ascii="Arial" w:eastAsia="Arial" w:hAnsi="Arial" w:cs="Arial"/>
          <w:sz w:val="20"/>
          <w:szCs w:val="20"/>
        </w:rPr>
        <w:t xml:space="preserve"> nominalne vrednosti, ali če nominalna vrednost ni na voljo, računovodske vrednosti teh vrednostnih papirjev ali deležev; </w:t>
      </w:r>
      <w:r w:rsidR="00407046" w:rsidRPr="00215B2F">
        <w:rPr>
          <w:rFonts w:ascii="Arial" w:eastAsia="Arial" w:hAnsi="Arial" w:cs="Arial"/>
          <w:sz w:val="20"/>
          <w:szCs w:val="20"/>
        </w:rPr>
        <w:t xml:space="preserve"> </w:t>
      </w:r>
    </w:p>
    <w:p w14:paraId="396F34AC" w14:textId="77777777" w:rsidR="0061405D" w:rsidRPr="00215B2F" w:rsidRDefault="0061405D" w:rsidP="0061405D">
      <w:pPr>
        <w:shd w:val="clear" w:color="auto" w:fill="FFFFFF" w:themeFill="background1"/>
        <w:spacing w:after="0" w:line="240" w:lineRule="auto"/>
        <w:ind w:left="357"/>
        <w:jc w:val="both"/>
        <w:rPr>
          <w:rFonts w:ascii="Arial" w:eastAsia="Arial" w:hAnsi="Arial" w:cs="Arial"/>
          <w:sz w:val="20"/>
          <w:szCs w:val="20"/>
        </w:rPr>
      </w:pPr>
      <w:r w:rsidRPr="00215B2F">
        <w:rPr>
          <w:rFonts w:ascii="Arial" w:eastAsia="Arial" w:hAnsi="Arial" w:cs="Arial"/>
          <w:sz w:val="20"/>
          <w:szCs w:val="20"/>
        </w:rPr>
        <w:t xml:space="preserve"> č)   </w:t>
      </w:r>
      <w:r w:rsidR="00D91782" w:rsidRPr="00215B2F">
        <w:rPr>
          <w:rFonts w:ascii="Arial" w:eastAsia="Arial" w:hAnsi="Arial" w:cs="Arial"/>
          <w:sz w:val="20"/>
          <w:szCs w:val="20"/>
        </w:rPr>
        <w:t xml:space="preserve">družba v postopku prenehanja brez likvidacije prenese vsa svoja sredstva in obveznosti ali </w:t>
      </w:r>
    </w:p>
    <w:p w14:paraId="23F358C3" w14:textId="0458D98A" w:rsidR="00D91782" w:rsidRPr="00215B2F" w:rsidRDefault="0061405D" w:rsidP="0061405D">
      <w:pPr>
        <w:shd w:val="clear" w:color="auto" w:fill="FFFFFF" w:themeFill="background1"/>
        <w:spacing w:after="0" w:line="240" w:lineRule="auto"/>
        <w:ind w:left="357"/>
        <w:jc w:val="both"/>
        <w:rPr>
          <w:rFonts w:ascii="Arial" w:hAnsi="Arial" w:cs="Arial"/>
          <w:bCs/>
          <w:sz w:val="20"/>
          <w:szCs w:val="20"/>
        </w:rPr>
      </w:pPr>
      <w:r w:rsidRPr="00215B2F">
        <w:rPr>
          <w:rFonts w:ascii="Arial" w:eastAsia="Arial" w:hAnsi="Arial" w:cs="Arial"/>
          <w:sz w:val="20"/>
          <w:szCs w:val="20"/>
        </w:rPr>
        <w:t xml:space="preserve">       </w:t>
      </w:r>
      <w:r w:rsidR="00D91782" w:rsidRPr="00215B2F">
        <w:rPr>
          <w:rFonts w:ascii="Arial" w:eastAsia="Arial" w:hAnsi="Arial" w:cs="Arial"/>
          <w:sz w:val="20"/>
          <w:szCs w:val="20"/>
        </w:rPr>
        <w:t xml:space="preserve">njihov del na družbo, ki ima vse vrednostne papirje ali deleže, ki predstavljajo njen kapital; </w:t>
      </w:r>
    </w:p>
    <w:p w14:paraId="49A0EEBB" w14:textId="1EC11DE6" w:rsidR="00D91782" w:rsidRPr="00215B2F" w:rsidRDefault="00895214" w:rsidP="00FD5520">
      <w:pPr>
        <w:pStyle w:val="tevilnatoka"/>
        <w:shd w:val="clear" w:color="auto" w:fill="FFFFFF" w:themeFill="background1"/>
        <w:rPr>
          <w:rFonts w:cs="Arial"/>
          <w:sz w:val="20"/>
          <w:szCs w:val="20"/>
        </w:rPr>
      </w:pPr>
      <w:r w:rsidRPr="00215B2F">
        <w:rPr>
          <w:rFonts w:eastAsia="Arial" w:cs="Arial"/>
          <w:sz w:val="20"/>
          <w:szCs w:val="20"/>
        </w:rPr>
        <w:t>»</w:t>
      </w:r>
      <w:r w:rsidR="00D91782" w:rsidRPr="00215B2F">
        <w:rPr>
          <w:rFonts w:eastAsia="Arial" w:cs="Arial"/>
          <w:sz w:val="20"/>
          <w:szCs w:val="20"/>
        </w:rPr>
        <w:t>delitev</w:t>
      </w:r>
      <w:r w:rsidRPr="00215B2F">
        <w:rPr>
          <w:rFonts w:eastAsia="Arial" w:cs="Arial"/>
          <w:sz w:val="20"/>
          <w:szCs w:val="20"/>
        </w:rPr>
        <w:t>«</w:t>
      </w:r>
      <w:r w:rsidR="00D91782" w:rsidRPr="00215B2F">
        <w:rPr>
          <w:rFonts w:eastAsia="Arial" w:cs="Arial"/>
          <w:sz w:val="20"/>
          <w:szCs w:val="20"/>
        </w:rPr>
        <w:t xml:space="preserve"> </w:t>
      </w:r>
      <w:r w:rsidR="00AC0A50" w:rsidRPr="00215B2F">
        <w:rPr>
          <w:rFonts w:eastAsia="Arial" w:cs="Arial"/>
          <w:sz w:val="20"/>
          <w:szCs w:val="20"/>
        </w:rPr>
        <w:t xml:space="preserve">je kateri </w:t>
      </w:r>
      <w:r w:rsidR="00D91782" w:rsidRPr="00215B2F">
        <w:rPr>
          <w:rFonts w:eastAsia="Arial" w:cs="Arial"/>
          <w:sz w:val="20"/>
          <w:szCs w:val="20"/>
        </w:rPr>
        <w:t xml:space="preserve">koli od naslednjih poslov: </w:t>
      </w:r>
    </w:p>
    <w:p w14:paraId="5123ECCD" w14:textId="30E19120" w:rsidR="008612B7" w:rsidRPr="00215B2F" w:rsidRDefault="00D91782" w:rsidP="003D4DE0">
      <w:pPr>
        <w:pStyle w:val="Odstavekseznama"/>
        <w:numPr>
          <w:ilvl w:val="0"/>
          <w:numId w:val="30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posel, s katerim družba preneha brez likvidacije in prenese vsa svoja sredstva in obveznosti na več kot eno družbo v zameno za razdelitev vrednostnih papirjev ali deležev družb, ki prejmejo vložke kot rezultat delitve, delničarjem razdeljene družbe</w:t>
      </w:r>
      <w:r w:rsidR="006E2DBD" w:rsidRPr="00215B2F">
        <w:rPr>
          <w:rFonts w:ascii="Arial" w:eastAsia="Arial" w:hAnsi="Arial" w:cs="Arial"/>
          <w:sz w:val="20"/>
          <w:szCs w:val="20"/>
        </w:rPr>
        <w:t>,</w:t>
      </w:r>
      <w:r w:rsidRPr="00215B2F">
        <w:rPr>
          <w:rFonts w:ascii="Arial" w:eastAsia="Arial" w:hAnsi="Arial" w:cs="Arial"/>
          <w:sz w:val="20"/>
          <w:szCs w:val="20"/>
        </w:rPr>
        <w:t xml:space="preserve"> in kadar je ustrezno, za denarno plačilo, ki ne presega </w:t>
      </w:r>
      <w:r w:rsidR="006E2DBD" w:rsidRPr="00215B2F">
        <w:rPr>
          <w:rFonts w:ascii="Arial" w:eastAsia="Arial" w:hAnsi="Arial" w:cs="Arial"/>
          <w:sz w:val="20"/>
          <w:szCs w:val="20"/>
        </w:rPr>
        <w:t>desetih odstotkov</w:t>
      </w:r>
      <w:r w:rsidRPr="00215B2F">
        <w:rPr>
          <w:rFonts w:ascii="Arial" w:eastAsia="Arial" w:hAnsi="Arial" w:cs="Arial"/>
          <w:sz w:val="20"/>
          <w:szCs w:val="20"/>
        </w:rPr>
        <w:t xml:space="preserve"> nominalne vrednosti, ali če nominalna vrednost ni na voljo, računovodske vrednosti teh vrednostnih papirjev ali deležev;</w:t>
      </w:r>
    </w:p>
    <w:p w14:paraId="5DFFD750" w14:textId="2F80196C" w:rsidR="008612B7" w:rsidRPr="00215B2F" w:rsidRDefault="00D91782" w:rsidP="003D4DE0">
      <w:pPr>
        <w:pStyle w:val="Odstavekseznama"/>
        <w:numPr>
          <w:ilvl w:val="0"/>
          <w:numId w:val="30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posel, s katerim družba preneha brez likvidacije in prenese vsa svoja sredstva in obveznosti na več kot eno novoustanovljeno družbo v zameno za razdelitev vrednostnih papirjev ali deležev družb prejemnic delničarjem razdeljene družbe</w:t>
      </w:r>
      <w:r w:rsidR="006E2DBD" w:rsidRPr="00215B2F">
        <w:rPr>
          <w:rFonts w:ascii="Arial" w:eastAsia="Arial" w:hAnsi="Arial" w:cs="Arial"/>
          <w:sz w:val="20"/>
          <w:szCs w:val="20"/>
        </w:rPr>
        <w:t>,</w:t>
      </w:r>
      <w:r w:rsidRPr="00215B2F">
        <w:rPr>
          <w:rFonts w:ascii="Arial" w:eastAsia="Arial" w:hAnsi="Arial" w:cs="Arial"/>
          <w:sz w:val="20"/>
          <w:szCs w:val="20"/>
        </w:rPr>
        <w:t xml:space="preserve"> in kadar je ustrezno, za denarno plačilo, ki ne presega </w:t>
      </w:r>
      <w:r w:rsidR="006E2DBD" w:rsidRPr="00215B2F">
        <w:rPr>
          <w:rFonts w:ascii="Arial" w:eastAsia="Arial" w:hAnsi="Arial" w:cs="Arial"/>
          <w:sz w:val="20"/>
          <w:szCs w:val="20"/>
        </w:rPr>
        <w:t>desetih odstotkov</w:t>
      </w:r>
      <w:r w:rsidRPr="00215B2F">
        <w:rPr>
          <w:rFonts w:ascii="Arial" w:eastAsia="Arial" w:hAnsi="Arial" w:cs="Arial"/>
          <w:sz w:val="20"/>
          <w:szCs w:val="20"/>
        </w:rPr>
        <w:t xml:space="preserve"> nominalne vrednosti, ali če nominalna vrednost ni na voljo, računovodske vrednosti teh vrednostnih papirjev ali deležev; </w:t>
      </w:r>
    </w:p>
    <w:p w14:paraId="2DFA0E81" w14:textId="22374D0D" w:rsidR="008612B7" w:rsidRPr="00215B2F" w:rsidRDefault="00D91782" w:rsidP="003D4DE0">
      <w:pPr>
        <w:pStyle w:val="Odstavekseznama"/>
        <w:numPr>
          <w:ilvl w:val="0"/>
          <w:numId w:val="30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posel, sestavljen iz kombinacije poslov, opisanih pod a) in b); </w:t>
      </w:r>
    </w:p>
    <w:p w14:paraId="019D9817" w14:textId="77777777" w:rsidR="0061405D" w:rsidRPr="00215B2F" w:rsidRDefault="0061405D" w:rsidP="0061405D">
      <w:pPr>
        <w:shd w:val="clear" w:color="auto" w:fill="FFFFFF" w:themeFill="background1"/>
        <w:spacing w:after="0" w:line="240" w:lineRule="auto"/>
        <w:ind w:left="357"/>
        <w:jc w:val="both"/>
        <w:rPr>
          <w:rFonts w:ascii="Arial" w:eastAsia="Arial" w:hAnsi="Arial" w:cs="Arial"/>
          <w:sz w:val="20"/>
          <w:szCs w:val="20"/>
        </w:rPr>
      </w:pPr>
      <w:r w:rsidRPr="00215B2F">
        <w:rPr>
          <w:rFonts w:ascii="Arial" w:eastAsia="Arial" w:hAnsi="Arial" w:cs="Arial"/>
          <w:sz w:val="20"/>
          <w:szCs w:val="20"/>
        </w:rPr>
        <w:t xml:space="preserve">č)   </w:t>
      </w:r>
      <w:r w:rsidR="00D91782" w:rsidRPr="00215B2F">
        <w:rPr>
          <w:rFonts w:ascii="Arial" w:eastAsia="Arial" w:hAnsi="Arial" w:cs="Arial"/>
          <w:sz w:val="20"/>
          <w:szCs w:val="20"/>
        </w:rPr>
        <w:t xml:space="preserve">posel, s katerim razdeljena družba prenese del svojih sredstev in obveznosti na eno ali več </w:t>
      </w:r>
    </w:p>
    <w:p w14:paraId="0812C0D3" w14:textId="77777777" w:rsidR="0061405D" w:rsidRPr="00215B2F" w:rsidRDefault="0061405D" w:rsidP="0061405D">
      <w:pPr>
        <w:shd w:val="clear" w:color="auto" w:fill="FFFFFF" w:themeFill="background1"/>
        <w:spacing w:after="0" w:line="240" w:lineRule="auto"/>
        <w:ind w:left="357"/>
        <w:jc w:val="both"/>
        <w:rPr>
          <w:rFonts w:ascii="Arial" w:eastAsia="Arial" w:hAnsi="Arial" w:cs="Arial"/>
          <w:sz w:val="20"/>
          <w:szCs w:val="20"/>
        </w:rPr>
      </w:pPr>
      <w:r w:rsidRPr="00215B2F">
        <w:rPr>
          <w:rFonts w:ascii="Arial" w:eastAsia="Arial" w:hAnsi="Arial" w:cs="Arial"/>
          <w:sz w:val="20"/>
          <w:szCs w:val="20"/>
        </w:rPr>
        <w:t xml:space="preserve">      </w:t>
      </w:r>
      <w:r w:rsidR="00D91782" w:rsidRPr="00215B2F">
        <w:rPr>
          <w:rFonts w:ascii="Arial" w:eastAsia="Arial" w:hAnsi="Arial" w:cs="Arial"/>
          <w:sz w:val="20"/>
          <w:szCs w:val="20"/>
        </w:rPr>
        <w:t xml:space="preserve">družb prejemnic v zameno za to, da se družbenikom razdeljene družbe izdajo vrednostni papirji </w:t>
      </w:r>
    </w:p>
    <w:p w14:paraId="29CC4E06" w14:textId="77777777" w:rsidR="0061405D" w:rsidRPr="00215B2F" w:rsidRDefault="0061405D" w:rsidP="0061405D">
      <w:pPr>
        <w:shd w:val="clear" w:color="auto" w:fill="FFFFFF" w:themeFill="background1"/>
        <w:spacing w:after="0" w:line="240" w:lineRule="auto"/>
        <w:ind w:left="357"/>
        <w:jc w:val="both"/>
        <w:rPr>
          <w:rFonts w:ascii="Arial" w:eastAsia="Arial" w:hAnsi="Arial" w:cs="Arial"/>
          <w:sz w:val="20"/>
          <w:szCs w:val="20"/>
        </w:rPr>
      </w:pPr>
      <w:r w:rsidRPr="00215B2F">
        <w:rPr>
          <w:rFonts w:ascii="Arial" w:eastAsia="Arial" w:hAnsi="Arial" w:cs="Arial"/>
          <w:sz w:val="20"/>
          <w:szCs w:val="20"/>
        </w:rPr>
        <w:t xml:space="preserve">      </w:t>
      </w:r>
      <w:r w:rsidR="00D91782" w:rsidRPr="00215B2F">
        <w:rPr>
          <w:rFonts w:ascii="Arial" w:eastAsia="Arial" w:hAnsi="Arial" w:cs="Arial"/>
          <w:sz w:val="20"/>
          <w:szCs w:val="20"/>
        </w:rPr>
        <w:t xml:space="preserve">ali deleži v družbah prejemnicah, razdeljeni družbi ali obojih, ter kadar je ustrezno, za denarno </w:t>
      </w:r>
    </w:p>
    <w:p w14:paraId="7C418B3D" w14:textId="77777777" w:rsidR="0061405D" w:rsidRPr="00215B2F" w:rsidRDefault="0061405D" w:rsidP="0061405D">
      <w:pPr>
        <w:shd w:val="clear" w:color="auto" w:fill="FFFFFF" w:themeFill="background1"/>
        <w:spacing w:after="0" w:line="240" w:lineRule="auto"/>
        <w:ind w:left="357"/>
        <w:jc w:val="both"/>
        <w:rPr>
          <w:rFonts w:ascii="Arial" w:eastAsia="Arial" w:hAnsi="Arial" w:cs="Arial"/>
          <w:sz w:val="20"/>
          <w:szCs w:val="20"/>
        </w:rPr>
      </w:pPr>
      <w:r w:rsidRPr="00215B2F">
        <w:rPr>
          <w:rFonts w:ascii="Arial" w:eastAsia="Arial" w:hAnsi="Arial" w:cs="Arial"/>
          <w:sz w:val="20"/>
          <w:szCs w:val="20"/>
        </w:rPr>
        <w:t xml:space="preserve">      </w:t>
      </w:r>
      <w:r w:rsidR="00D91782" w:rsidRPr="00215B2F">
        <w:rPr>
          <w:rFonts w:ascii="Arial" w:eastAsia="Arial" w:hAnsi="Arial" w:cs="Arial"/>
          <w:sz w:val="20"/>
          <w:szCs w:val="20"/>
        </w:rPr>
        <w:t xml:space="preserve">plačilo, ki ne presega </w:t>
      </w:r>
      <w:r w:rsidR="006E2DBD" w:rsidRPr="00215B2F">
        <w:rPr>
          <w:rFonts w:ascii="Arial" w:eastAsia="Arial" w:hAnsi="Arial" w:cs="Arial"/>
          <w:sz w:val="20"/>
          <w:szCs w:val="20"/>
        </w:rPr>
        <w:t>desetih odstotkov</w:t>
      </w:r>
      <w:r w:rsidR="00D91782" w:rsidRPr="00215B2F">
        <w:rPr>
          <w:rFonts w:ascii="Arial" w:eastAsia="Arial" w:hAnsi="Arial" w:cs="Arial"/>
          <w:sz w:val="20"/>
          <w:szCs w:val="20"/>
        </w:rPr>
        <w:t xml:space="preserve"> nominalne vrednosti, ali če nominalna vrednost ni na </w:t>
      </w:r>
    </w:p>
    <w:p w14:paraId="0E63E617" w14:textId="70DFE009" w:rsidR="008612B7" w:rsidRPr="00215B2F" w:rsidRDefault="0061405D" w:rsidP="0061405D">
      <w:pPr>
        <w:shd w:val="clear" w:color="auto" w:fill="FFFFFF" w:themeFill="background1"/>
        <w:spacing w:after="0" w:line="240" w:lineRule="auto"/>
        <w:ind w:left="357"/>
        <w:jc w:val="both"/>
        <w:rPr>
          <w:rFonts w:ascii="Arial" w:hAnsi="Arial" w:cs="Arial"/>
          <w:bCs/>
          <w:sz w:val="20"/>
          <w:szCs w:val="20"/>
        </w:rPr>
      </w:pPr>
      <w:r w:rsidRPr="00215B2F">
        <w:rPr>
          <w:rFonts w:ascii="Arial" w:eastAsia="Arial" w:hAnsi="Arial" w:cs="Arial"/>
          <w:sz w:val="20"/>
          <w:szCs w:val="20"/>
        </w:rPr>
        <w:t xml:space="preserve">      </w:t>
      </w:r>
      <w:r w:rsidR="00D91782" w:rsidRPr="00215B2F">
        <w:rPr>
          <w:rFonts w:ascii="Arial" w:eastAsia="Arial" w:hAnsi="Arial" w:cs="Arial"/>
          <w:sz w:val="20"/>
          <w:szCs w:val="20"/>
        </w:rPr>
        <w:t xml:space="preserve">voljo, računovodske vrednosti teh vrednostnih papirjev ali deležev; </w:t>
      </w:r>
    </w:p>
    <w:p w14:paraId="3E8F23FD" w14:textId="0EC595AE" w:rsidR="00D91782" w:rsidRPr="00215B2F" w:rsidRDefault="00D91782" w:rsidP="003D4DE0">
      <w:pPr>
        <w:pStyle w:val="Odstavekseznama"/>
        <w:numPr>
          <w:ilvl w:val="0"/>
          <w:numId w:val="30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posel, s katerim razdeljena družba prenese del svojih sredstev in obveznosti na eno ali več družb prejemnic v zameno za to, da se razdeljeni družbi izdajo vrednostni papirji ali deleži v družbah prejemnicah</w:t>
      </w:r>
      <w:r w:rsidR="006E2DBD" w:rsidRPr="00215B2F">
        <w:rPr>
          <w:rFonts w:ascii="Arial" w:eastAsia="Arial" w:hAnsi="Arial" w:cs="Arial"/>
          <w:sz w:val="20"/>
          <w:szCs w:val="20"/>
        </w:rPr>
        <w:t>;</w:t>
      </w:r>
    </w:p>
    <w:p w14:paraId="5A3557D0" w14:textId="1CC27E68" w:rsidR="00C37513" w:rsidRPr="00215B2F" w:rsidRDefault="00895214" w:rsidP="00543D80">
      <w:pPr>
        <w:pStyle w:val="tevilnatoka"/>
        <w:rPr>
          <w:rFonts w:cs="Arial"/>
          <w:bCs/>
          <w:sz w:val="20"/>
          <w:szCs w:val="20"/>
        </w:rPr>
      </w:pPr>
      <w:r w:rsidRPr="00215B2F">
        <w:rPr>
          <w:rFonts w:eastAsia="Arial" w:cs="Arial"/>
          <w:sz w:val="20"/>
          <w:szCs w:val="20"/>
        </w:rPr>
        <w:lastRenderedPageBreak/>
        <w:t>»</w:t>
      </w:r>
      <w:r w:rsidR="00D91782" w:rsidRPr="00215B2F">
        <w:rPr>
          <w:rFonts w:eastAsia="Arial" w:cs="Arial"/>
          <w:sz w:val="20"/>
          <w:szCs w:val="20"/>
        </w:rPr>
        <w:t>finančni deležnik</w:t>
      </w:r>
      <w:r w:rsidRPr="00215B2F">
        <w:rPr>
          <w:rFonts w:eastAsia="Arial" w:cs="Arial"/>
          <w:sz w:val="20"/>
          <w:szCs w:val="20"/>
        </w:rPr>
        <w:t>«</w:t>
      </w:r>
      <w:r w:rsidR="00D91782" w:rsidRPr="00215B2F">
        <w:rPr>
          <w:rFonts w:eastAsia="Arial" w:cs="Arial"/>
          <w:sz w:val="20"/>
          <w:szCs w:val="20"/>
        </w:rPr>
        <w:t xml:space="preserve"> </w:t>
      </w:r>
      <w:r w:rsidR="00AC0A50" w:rsidRPr="00215B2F">
        <w:rPr>
          <w:rFonts w:eastAsia="Arial" w:cs="Arial"/>
          <w:sz w:val="20"/>
          <w:szCs w:val="20"/>
        </w:rPr>
        <w:t xml:space="preserve">je banka </w:t>
      </w:r>
      <w:r w:rsidR="006E2DBD" w:rsidRPr="00215B2F">
        <w:rPr>
          <w:rFonts w:eastAsia="Arial" w:cs="Arial"/>
          <w:sz w:val="20"/>
          <w:szCs w:val="20"/>
        </w:rPr>
        <w:t xml:space="preserve">in </w:t>
      </w:r>
      <w:r w:rsidR="00D91782" w:rsidRPr="00215B2F">
        <w:rPr>
          <w:rFonts w:eastAsia="Arial" w:cs="Arial"/>
          <w:sz w:val="20"/>
          <w:szCs w:val="20"/>
        </w:rPr>
        <w:t xml:space="preserve">finančni holding ali mešani finančni holding iz </w:t>
      </w:r>
      <w:r w:rsidR="00216566" w:rsidRPr="00215B2F">
        <w:rPr>
          <w:rFonts w:eastAsia="Arial" w:cs="Arial"/>
          <w:sz w:val="20"/>
          <w:szCs w:val="20"/>
        </w:rPr>
        <w:t>108</w:t>
      </w:r>
      <w:r w:rsidR="00D91782" w:rsidRPr="00215B2F">
        <w:rPr>
          <w:rFonts w:eastAsia="Arial" w:cs="Arial"/>
          <w:sz w:val="20"/>
          <w:szCs w:val="20"/>
        </w:rPr>
        <w:t xml:space="preserve">. </w:t>
      </w:r>
      <w:r w:rsidR="001F2C7A" w:rsidRPr="00215B2F">
        <w:rPr>
          <w:rFonts w:eastAsia="Arial" w:cs="Arial"/>
          <w:sz w:val="20"/>
          <w:szCs w:val="20"/>
        </w:rPr>
        <w:t>člena tega zakona</w:t>
      </w:r>
      <w:r w:rsidR="00D91782" w:rsidRPr="00215B2F">
        <w:rPr>
          <w:rFonts w:eastAsia="Arial" w:cs="Arial"/>
          <w:sz w:val="20"/>
          <w:szCs w:val="20"/>
        </w:rPr>
        <w:t>;</w:t>
      </w:r>
    </w:p>
    <w:p w14:paraId="66787943" w14:textId="6C781DF1" w:rsidR="00D91782" w:rsidRPr="00215B2F" w:rsidRDefault="00895214" w:rsidP="00543D80">
      <w:pPr>
        <w:pStyle w:val="tevilnatoka"/>
        <w:rPr>
          <w:rFonts w:cs="Arial"/>
          <w:bCs/>
          <w:sz w:val="20"/>
          <w:szCs w:val="20"/>
        </w:rPr>
      </w:pPr>
      <w:r w:rsidRPr="00215B2F">
        <w:rPr>
          <w:rFonts w:eastAsia="Arial" w:cs="Arial"/>
          <w:sz w:val="20"/>
          <w:szCs w:val="20"/>
        </w:rPr>
        <w:t>»</w:t>
      </w:r>
      <w:r w:rsidR="00D91782" w:rsidRPr="00215B2F">
        <w:rPr>
          <w:rFonts w:eastAsia="Arial" w:cs="Arial"/>
          <w:sz w:val="20"/>
          <w:szCs w:val="20"/>
        </w:rPr>
        <w:t>nameravani posel</w:t>
      </w:r>
      <w:r w:rsidRPr="00215B2F">
        <w:rPr>
          <w:rFonts w:eastAsia="Arial" w:cs="Arial"/>
          <w:sz w:val="20"/>
          <w:szCs w:val="20"/>
        </w:rPr>
        <w:t>«</w:t>
      </w:r>
      <w:r w:rsidR="00D91782" w:rsidRPr="00215B2F">
        <w:rPr>
          <w:rFonts w:eastAsia="Arial" w:cs="Arial"/>
          <w:sz w:val="20"/>
          <w:szCs w:val="20"/>
        </w:rPr>
        <w:t xml:space="preserve"> </w:t>
      </w:r>
      <w:r w:rsidR="00AC0A50" w:rsidRPr="00215B2F">
        <w:rPr>
          <w:rFonts w:eastAsia="Arial" w:cs="Arial"/>
          <w:sz w:val="20"/>
          <w:szCs w:val="20"/>
        </w:rPr>
        <w:t xml:space="preserve">je </w:t>
      </w:r>
      <w:r w:rsidR="00D91782" w:rsidRPr="00215B2F">
        <w:rPr>
          <w:rFonts w:eastAsia="Arial" w:cs="Arial"/>
          <w:sz w:val="20"/>
          <w:szCs w:val="20"/>
        </w:rPr>
        <w:t>združitev ali delitev, v katero je vključen finančni deležnik.</w:t>
      </w:r>
    </w:p>
    <w:p w14:paraId="36D0EE7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858E6A8" w14:textId="472CFD9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Določbe tega poglavj</w:t>
      </w:r>
      <w:r w:rsidR="00531673" w:rsidRPr="00215B2F">
        <w:rPr>
          <w:rFonts w:ascii="Arial" w:eastAsia="Arial" w:hAnsi="Arial" w:cs="Arial"/>
          <w:sz w:val="20"/>
          <w:szCs w:val="20"/>
        </w:rPr>
        <w:t>a</w:t>
      </w:r>
      <w:r w:rsidRPr="00215B2F">
        <w:rPr>
          <w:rFonts w:ascii="Arial" w:eastAsia="Arial" w:hAnsi="Arial" w:cs="Arial"/>
          <w:sz w:val="20"/>
          <w:szCs w:val="20"/>
        </w:rPr>
        <w:t xml:space="preserve"> ne posegajo v uporabo Uredbe Sveta (ES) št. 139/2024 in </w:t>
      </w:r>
      <w:r w:rsidR="0061405D" w:rsidRPr="00215B2F">
        <w:rPr>
          <w:rFonts w:ascii="Arial" w:eastAsia="Arial" w:hAnsi="Arial" w:cs="Arial"/>
          <w:sz w:val="20"/>
          <w:szCs w:val="20"/>
        </w:rPr>
        <w:t>ZGD-1</w:t>
      </w:r>
      <w:r w:rsidRPr="00215B2F">
        <w:rPr>
          <w:rFonts w:ascii="Arial" w:eastAsia="Arial" w:hAnsi="Arial" w:cs="Arial"/>
          <w:sz w:val="20"/>
          <w:szCs w:val="20"/>
        </w:rPr>
        <w:t xml:space="preserve"> oziroma Direktive 2013/1132/EU. </w:t>
      </w:r>
    </w:p>
    <w:p w14:paraId="559580F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3806315" w14:textId="0597E32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Določbe tega poglavja se ne uporabljajo za združitve in delitve, ki izhajajo iz uporabe </w:t>
      </w:r>
      <w:r w:rsidR="000C53AF" w:rsidRPr="00215B2F">
        <w:rPr>
          <w:rFonts w:ascii="Arial" w:eastAsia="Arial" w:hAnsi="Arial" w:cs="Arial"/>
          <w:sz w:val="20"/>
          <w:szCs w:val="20"/>
        </w:rPr>
        <w:t>ZRPPB-1</w:t>
      </w:r>
      <w:r w:rsidRPr="00215B2F">
        <w:rPr>
          <w:rFonts w:ascii="Arial" w:eastAsia="Arial" w:hAnsi="Arial" w:cs="Arial"/>
          <w:sz w:val="20"/>
          <w:szCs w:val="20"/>
        </w:rPr>
        <w:t xml:space="preserve"> oziroma Direktive 2014/59/EU. </w:t>
      </w:r>
    </w:p>
    <w:p w14:paraId="4F660C0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8E90606"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32" w:name="_Ref202963583"/>
      <w:r w:rsidRPr="00215B2F">
        <w:rPr>
          <w:rFonts w:ascii="Arial" w:eastAsia="Arial" w:hAnsi="Arial" w:cs="Arial"/>
          <w:b/>
          <w:bCs/>
          <w:sz w:val="20"/>
          <w:szCs w:val="20"/>
        </w:rPr>
        <w:t>člen</w:t>
      </w:r>
      <w:bookmarkEnd w:id="132"/>
    </w:p>
    <w:p w14:paraId="067B0658" w14:textId="77777777" w:rsidR="00D91782" w:rsidRPr="00215B2F" w:rsidRDefault="00D91782" w:rsidP="00FD5520">
      <w:pPr>
        <w:pStyle w:val="Slog1"/>
        <w:shd w:val="clear" w:color="auto" w:fill="FFFFFF" w:themeFill="background1"/>
        <w:rPr>
          <w:sz w:val="20"/>
          <w:szCs w:val="20"/>
        </w:rPr>
      </w:pPr>
      <w:r w:rsidRPr="00215B2F">
        <w:rPr>
          <w:sz w:val="20"/>
          <w:szCs w:val="20"/>
        </w:rPr>
        <w:t>(ocena združitve ali delitve)</w:t>
      </w:r>
    </w:p>
    <w:p w14:paraId="38AF18F0" w14:textId="77777777" w:rsidR="00D91782" w:rsidRPr="00215B2F" w:rsidRDefault="00D91782" w:rsidP="00FD5520">
      <w:pPr>
        <w:pStyle w:val="Slog1"/>
        <w:shd w:val="clear" w:color="auto" w:fill="FFFFFF" w:themeFill="background1"/>
        <w:jc w:val="both"/>
        <w:rPr>
          <w:sz w:val="20"/>
          <w:szCs w:val="20"/>
        </w:rPr>
      </w:pPr>
    </w:p>
    <w:p w14:paraId="305C8728" w14:textId="1BCA853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Finančni deležnik, ki namerava izvesti združitev, po izvedbi katere bo za nadzor nad združenim subjektom pristojna Banka Slovenije, mora po sprejetju osnutka pogojev nameravanega posla in pred izvedbo nameravanega posla pri Banki Slovenije vložiti zahtevo za oceno združitve in glede izvedbe nameravanega posla pridobiti pozitivno mnenje.</w:t>
      </w:r>
    </w:p>
    <w:p w14:paraId="1A357B52"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68B9C672" w14:textId="219E0C7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Finančni deležnik, ki namerava izvesti delitev in za nadzor nad katerim je pristojna Banka Slovenije, mora po sprejetju osnutka pogojev nameravanega posla in pred izvedbo nameravanega posla pri Banki Slovenije vložiti zahtevo za oceno delitve </w:t>
      </w:r>
      <w:r w:rsidR="00BA516B" w:rsidRPr="00215B2F">
        <w:rPr>
          <w:rFonts w:ascii="Arial" w:eastAsia="Arial" w:hAnsi="Arial" w:cs="Arial"/>
          <w:sz w:val="20"/>
          <w:szCs w:val="20"/>
        </w:rPr>
        <w:t xml:space="preserve">ter </w:t>
      </w:r>
      <w:r w:rsidRPr="00215B2F">
        <w:rPr>
          <w:rFonts w:ascii="Arial" w:eastAsia="Arial" w:hAnsi="Arial" w:cs="Arial"/>
          <w:sz w:val="20"/>
          <w:szCs w:val="20"/>
        </w:rPr>
        <w:t xml:space="preserve">glede izvedbe nameravanega posla pridobiti pozitivno mnenje. </w:t>
      </w:r>
    </w:p>
    <w:p w14:paraId="5199AB76"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39FEF71B" w14:textId="324664E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Finančni deležnik ne izvede nameravanega posla, dokler Banka Slovenije ne izda pozitivnega mnenja. </w:t>
      </w:r>
    </w:p>
    <w:p w14:paraId="055A8BA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DACF62F"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33" w:name="_Ref202963593"/>
      <w:r w:rsidRPr="00215B2F">
        <w:rPr>
          <w:rFonts w:ascii="Arial" w:eastAsia="Arial" w:hAnsi="Arial" w:cs="Arial"/>
          <w:b/>
          <w:bCs/>
          <w:sz w:val="20"/>
          <w:szCs w:val="20"/>
        </w:rPr>
        <w:t>člen</w:t>
      </w:r>
      <w:bookmarkEnd w:id="133"/>
    </w:p>
    <w:p w14:paraId="53CE5624" w14:textId="77777777" w:rsidR="00D91782" w:rsidRPr="00215B2F" w:rsidRDefault="00D91782" w:rsidP="00FD5520">
      <w:pPr>
        <w:pStyle w:val="Slog1"/>
        <w:shd w:val="clear" w:color="auto" w:fill="FFFFFF" w:themeFill="background1"/>
        <w:rPr>
          <w:sz w:val="20"/>
          <w:szCs w:val="20"/>
        </w:rPr>
      </w:pPr>
      <w:r w:rsidRPr="00215B2F">
        <w:rPr>
          <w:sz w:val="20"/>
          <w:szCs w:val="20"/>
        </w:rPr>
        <w:t>(zahteva za oceno združitve ali delitve)</w:t>
      </w:r>
    </w:p>
    <w:p w14:paraId="2DCB90D9" w14:textId="77777777" w:rsidR="00D91782" w:rsidRPr="00215B2F" w:rsidRDefault="00D91782" w:rsidP="00FD5520">
      <w:pPr>
        <w:pStyle w:val="Slog1"/>
        <w:shd w:val="clear" w:color="auto" w:fill="FFFFFF" w:themeFill="background1"/>
        <w:jc w:val="both"/>
        <w:rPr>
          <w:sz w:val="20"/>
          <w:szCs w:val="20"/>
        </w:rPr>
      </w:pPr>
    </w:p>
    <w:p w14:paraId="7580B2A4" w14:textId="14BF23DC" w:rsidR="00D91782" w:rsidRPr="00215B2F" w:rsidRDefault="0086325E" w:rsidP="0086325E">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w:t>
      </w:r>
      <w:r w:rsidR="00D91782" w:rsidRPr="00215B2F">
        <w:rPr>
          <w:rFonts w:ascii="Arial" w:eastAsia="Arial" w:hAnsi="Arial" w:cs="Arial"/>
          <w:sz w:val="20"/>
          <w:szCs w:val="20"/>
        </w:rPr>
        <w:t xml:space="preserve">Zahteva za oceno združitve ali delitve iz </w:t>
      </w:r>
      <w:r w:rsidR="00746E88" w:rsidRPr="00215B2F">
        <w:rPr>
          <w:rFonts w:ascii="Arial" w:eastAsia="Arial" w:hAnsi="Arial" w:cs="Arial"/>
          <w:sz w:val="20"/>
          <w:szCs w:val="20"/>
        </w:rPr>
        <w:t>prejšnjega člena</w:t>
      </w:r>
      <w:r w:rsidR="00D91782" w:rsidRPr="00215B2F">
        <w:rPr>
          <w:rFonts w:ascii="Arial" w:eastAsia="Arial" w:hAnsi="Arial" w:cs="Arial"/>
          <w:sz w:val="20"/>
          <w:szCs w:val="20"/>
        </w:rPr>
        <w:t xml:space="preserve"> </w:t>
      </w:r>
      <w:r w:rsidR="00E12A36" w:rsidRPr="00215B2F">
        <w:rPr>
          <w:rFonts w:ascii="Arial" w:eastAsia="Arial" w:hAnsi="Arial" w:cs="Arial"/>
          <w:sz w:val="20"/>
          <w:szCs w:val="20"/>
        </w:rPr>
        <w:t>vključuje</w:t>
      </w:r>
      <w:r w:rsidR="00D91782" w:rsidRPr="00215B2F">
        <w:rPr>
          <w:rFonts w:ascii="Arial" w:eastAsia="Arial" w:hAnsi="Arial" w:cs="Arial"/>
          <w:sz w:val="20"/>
          <w:szCs w:val="20"/>
        </w:rPr>
        <w:t>:</w:t>
      </w:r>
    </w:p>
    <w:p w14:paraId="156DD9BA"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17026740" w14:textId="22458C54"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informacije in dokumentacijo v zvezi s subjekti, ki so vključeni v združitev ali delitev</w:t>
      </w:r>
      <w:r w:rsidR="00E12A36" w:rsidRPr="00215B2F">
        <w:rPr>
          <w:rFonts w:ascii="Arial" w:eastAsia="Arial" w:hAnsi="Arial" w:cs="Arial"/>
          <w:sz w:val="20"/>
          <w:szCs w:val="20"/>
        </w:rPr>
        <w:t xml:space="preserve"> ter</w:t>
      </w:r>
      <w:r w:rsidRPr="00215B2F">
        <w:rPr>
          <w:rFonts w:ascii="Arial" w:eastAsia="Arial" w:hAnsi="Arial" w:cs="Arial"/>
          <w:sz w:val="20"/>
          <w:szCs w:val="20"/>
        </w:rPr>
        <w:t xml:space="preserve">, </w:t>
      </w:r>
    </w:p>
    <w:p w14:paraId="60BA7F93" w14:textId="6F8801D1" w:rsidR="00D91782" w:rsidRPr="00215B2F" w:rsidRDefault="00D91782" w:rsidP="003D4D0B">
      <w:pPr>
        <w:numPr>
          <w:ilvl w:val="0"/>
          <w:numId w:val="26"/>
        </w:numPr>
        <w:shd w:val="clear" w:color="auto" w:fill="FFFFFF" w:themeFill="background1"/>
        <w:spacing w:after="0" w:line="240" w:lineRule="auto"/>
        <w:rPr>
          <w:rFonts w:ascii="Arial" w:hAnsi="Arial" w:cs="Arial"/>
          <w:sz w:val="20"/>
          <w:szCs w:val="20"/>
        </w:rPr>
      </w:pPr>
      <w:r w:rsidRPr="00215B2F">
        <w:rPr>
          <w:rFonts w:ascii="Arial" w:eastAsia="Arial" w:hAnsi="Arial" w:cs="Arial"/>
          <w:sz w:val="20"/>
          <w:szCs w:val="20"/>
        </w:rPr>
        <w:t>informacije in dokumentacijo o izpolnjevanju meril za združitev oziroma delitev, kot so predpisan</w:t>
      </w:r>
      <w:r w:rsidR="00E12A36" w:rsidRPr="00215B2F">
        <w:rPr>
          <w:rFonts w:ascii="Arial" w:eastAsia="Arial" w:hAnsi="Arial" w:cs="Arial"/>
          <w:sz w:val="20"/>
          <w:szCs w:val="20"/>
        </w:rPr>
        <w:t>e</w:t>
      </w:r>
      <w:r w:rsidRPr="00215B2F">
        <w:rPr>
          <w:rFonts w:ascii="Arial" w:eastAsia="Arial" w:hAnsi="Arial" w:cs="Arial"/>
          <w:sz w:val="20"/>
          <w:szCs w:val="20"/>
        </w:rPr>
        <w:t xml:space="preserve"> s tem zakonom in podzakonskim akto</w:t>
      </w:r>
      <w:r w:rsidR="0057055F" w:rsidRPr="00215B2F">
        <w:rPr>
          <w:rFonts w:ascii="Arial" w:eastAsia="Arial" w:hAnsi="Arial" w:cs="Arial"/>
          <w:sz w:val="20"/>
          <w:szCs w:val="20"/>
        </w:rPr>
        <w:t>m</w:t>
      </w:r>
      <w:r w:rsidRPr="00215B2F">
        <w:rPr>
          <w:rFonts w:ascii="Arial" w:eastAsia="Arial" w:hAnsi="Arial" w:cs="Arial"/>
          <w:sz w:val="20"/>
          <w:szCs w:val="20"/>
        </w:rPr>
        <w:t xml:space="preserve"> iz </w:t>
      </w:r>
      <w:r w:rsidR="00216566" w:rsidRPr="00215B2F">
        <w:rPr>
          <w:rFonts w:ascii="Arial" w:eastAsia="Arial" w:hAnsi="Arial" w:cs="Arial"/>
          <w:sz w:val="20"/>
          <w:szCs w:val="20"/>
        </w:rPr>
        <w:t>107.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6DBD1D9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B24247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v desetih delovnih dneh po prejemu zahteve za oceno združitve ali delitve finančnemu deležniku izda:</w:t>
      </w:r>
    </w:p>
    <w:p w14:paraId="2348CFC2"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79B09621" w14:textId="6E5552DA"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potrdilo o prejemu popolne zahteve z navedbo datuma izteka roka iz </w:t>
      </w:r>
      <w:r w:rsidR="00216566" w:rsidRPr="00215B2F">
        <w:rPr>
          <w:rFonts w:ascii="Arial" w:eastAsia="Arial" w:hAnsi="Arial" w:cs="Arial"/>
          <w:sz w:val="20"/>
          <w:szCs w:val="20"/>
        </w:rPr>
        <w:t>100.</w:t>
      </w:r>
      <w:r w:rsidRPr="00215B2F">
        <w:rPr>
          <w:rFonts w:ascii="Arial" w:eastAsia="Arial" w:hAnsi="Arial" w:cs="Arial"/>
          <w:sz w:val="20"/>
          <w:szCs w:val="20"/>
        </w:rPr>
        <w:t xml:space="preserve"> člena</w:t>
      </w:r>
      <w:r w:rsidR="005B0CC7" w:rsidRPr="00215B2F">
        <w:rPr>
          <w:rFonts w:ascii="Arial" w:eastAsia="Arial" w:hAnsi="Arial" w:cs="Arial"/>
          <w:sz w:val="20"/>
          <w:szCs w:val="20"/>
        </w:rPr>
        <w:t xml:space="preserve"> tega zakona</w:t>
      </w:r>
      <w:r w:rsidRPr="00215B2F">
        <w:rPr>
          <w:rFonts w:ascii="Arial" w:eastAsia="Arial" w:hAnsi="Arial" w:cs="Arial"/>
          <w:sz w:val="20"/>
          <w:szCs w:val="20"/>
        </w:rPr>
        <w:t>, v katerem mora biti izdana odločitev o oceni združitve ali delitve</w:t>
      </w:r>
      <w:r w:rsidR="0057055F" w:rsidRPr="00215B2F">
        <w:rPr>
          <w:rFonts w:ascii="Arial" w:eastAsia="Arial" w:hAnsi="Arial" w:cs="Arial"/>
          <w:sz w:val="20"/>
          <w:szCs w:val="20"/>
        </w:rPr>
        <w:t>,</w:t>
      </w:r>
      <w:r w:rsidRPr="00215B2F">
        <w:rPr>
          <w:rFonts w:ascii="Arial" w:eastAsia="Arial" w:hAnsi="Arial" w:cs="Arial"/>
          <w:sz w:val="20"/>
          <w:szCs w:val="20"/>
        </w:rPr>
        <w:t xml:space="preserve"> ali </w:t>
      </w:r>
    </w:p>
    <w:p w14:paraId="680AA558" w14:textId="0D71A941"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potrdilo o prejemu nepopolne zahteve z navedbo, da rok za odločitev o oceni združitve ali delitve še ni začel teči, </w:t>
      </w:r>
      <w:r w:rsidR="0057055F" w:rsidRPr="00215B2F">
        <w:rPr>
          <w:rFonts w:ascii="Arial" w:eastAsia="Arial" w:hAnsi="Arial" w:cs="Arial"/>
          <w:sz w:val="20"/>
          <w:szCs w:val="20"/>
        </w:rPr>
        <w:t xml:space="preserve">in </w:t>
      </w:r>
      <w:r w:rsidRPr="00215B2F">
        <w:rPr>
          <w:rFonts w:ascii="Arial" w:eastAsia="Arial" w:hAnsi="Arial" w:cs="Arial"/>
          <w:sz w:val="20"/>
          <w:szCs w:val="20"/>
        </w:rPr>
        <w:t>navedbo končnega datuma za izdajo sklepa o odpravi pomanjkljivosti zahteve za oceno združitve ali delitve.</w:t>
      </w:r>
    </w:p>
    <w:p w14:paraId="10F3D467"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7B761208" w14:textId="328A2E2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V primeru iz druge alineje prejšnjega </w:t>
      </w:r>
      <w:r w:rsidR="00746E88" w:rsidRPr="00215B2F">
        <w:rPr>
          <w:rFonts w:ascii="Arial" w:eastAsia="Arial" w:hAnsi="Arial" w:cs="Arial"/>
          <w:sz w:val="20"/>
          <w:szCs w:val="20"/>
        </w:rPr>
        <w:t xml:space="preserve">odstavka </w:t>
      </w:r>
      <w:r w:rsidRPr="00215B2F">
        <w:rPr>
          <w:rFonts w:ascii="Arial" w:eastAsia="Arial" w:hAnsi="Arial" w:cs="Arial"/>
          <w:sz w:val="20"/>
          <w:szCs w:val="20"/>
        </w:rPr>
        <w:t xml:space="preserve">(potrdilo o prejemu nepopolne zahteve) izda Banka Slovenije sklep o odpravi pomanjkljivosti zahteve za oceno združitve ali delitve v skladu s šestim odstavkom </w:t>
      </w:r>
      <w:r w:rsidR="00216566" w:rsidRPr="00215B2F">
        <w:rPr>
          <w:rFonts w:ascii="Arial" w:eastAsia="Arial" w:hAnsi="Arial" w:cs="Arial"/>
          <w:sz w:val="20"/>
          <w:szCs w:val="20"/>
        </w:rPr>
        <w:t>457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7B9EC0C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4568682" w14:textId="57F70B6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v desetih delovnih dn</w:t>
      </w:r>
      <w:r w:rsidR="0057055F" w:rsidRPr="00215B2F">
        <w:rPr>
          <w:rFonts w:ascii="Arial" w:eastAsia="Arial" w:hAnsi="Arial" w:cs="Arial"/>
          <w:sz w:val="20"/>
          <w:szCs w:val="20"/>
        </w:rPr>
        <w:t>eh</w:t>
      </w:r>
      <w:r w:rsidRPr="00215B2F">
        <w:rPr>
          <w:rFonts w:ascii="Arial" w:eastAsia="Arial" w:hAnsi="Arial" w:cs="Arial"/>
          <w:sz w:val="20"/>
          <w:szCs w:val="20"/>
        </w:rPr>
        <w:t xml:space="preserve"> po prejemu dopolnitve zahteve v skladu s sklepom o odpravi pomanjkljivosti, če je ta vložena pravočasno, izda:</w:t>
      </w:r>
    </w:p>
    <w:p w14:paraId="5D287329"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786F9ABF" w14:textId="3B7D02CD"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potrdilo o prejemu popolne zahteve z navedbo roka za odločitev o oceni združitve ali delitve iz </w:t>
      </w:r>
      <w:r w:rsidR="00216566" w:rsidRPr="00215B2F">
        <w:rPr>
          <w:rFonts w:ascii="Arial" w:eastAsia="Arial" w:hAnsi="Arial" w:cs="Arial"/>
          <w:sz w:val="20"/>
          <w:szCs w:val="20"/>
        </w:rPr>
        <w:t>100.</w:t>
      </w:r>
      <w:r w:rsidR="0057055F" w:rsidRPr="00215B2F">
        <w:rPr>
          <w:rFonts w:ascii="Arial" w:eastAsia="Arial" w:hAnsi="Arial" w:cs="Arial"/>
          <w:sz w:val="20"/>
          <w:szCs w:val="20"/>
        </w:rPr>
        <w:t> </w:t>
      </w:r>
      <w:r w:rsidR="001F2C7A" w:rsidRPr="00215B2F">
        <w:rPr>
          <w:rFonts w:ascii="Arial" w:eastAsia="Arial" w:hAnsi="Arial" w:cs="Arial"/>
          <w:sz w:val="20"/>
          <w:szCs w:val="20"/>
        </w:rPr>
        <w:t>člena tega zakona</w:t>
      </w:r>
      <w:r w:rsidRPr="00215B2F">
        <w:rPr>
          <w:rFonts w:ascii="Arial" w:eastAsia="Arial" w:hAnsi="Arial" w:cs="Arial"/>
          <w:sz w:val="20"/>
          <w:szCs w:val="20"/>
        </w:rPr>
        <w:t>, v katerem mora biti izdana odločitev o oceni združitve ali delitve</w:t>
      </w:r>
      <w:r w:rsidR="0057055F" w:rsidRPr="00215B2F">
        <w:rPr>
          <w:rFonts w:ascii="Arial" w:eastAsia="Arial" w:hAnsi="Arial" w:cs="Arial"/>
          <w:sz w:val="20"/>
          <w:szCs w:val="20"/>
        </w:rPr>
        <w:t>,</w:t>
      </w:r>
      <w:r w:rsidRPr="00215B2F">
        <w:rPr>
          <w:rFonts w:ascii="Arial" w:eastAsia="Arial" w:hAnsi="Arial" w:cs="Arial"/>
          <w:sz w:val="20"/>
          <w:szCs w:val="20"/>
        </w:rPr>
        <w:t xml:space="preserve"> ali</w:t>
      </w:r>
    </w:p>
    <w:p w14:paraId="13B706F5" w14:textId="45E13589"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potrdilo o prejemu nepopolne zahteve z navedbo roka za odločitev v skladu s četrtim odstavkom </w:t>
      </w:r>
      <w:r w:rsidR="00216566" w:rsidRPr="00215B2F">
        <w:rPr>
          <w:rFonts w:ascii="Arial" w:eastAsia="Arial" w:hAnsi="Arial" w:cs="Arial"/>
          <w:sz w:val="20"/>
          <w:szCs w:val="20"/>
        </w:rPr>
        <w:t>457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6F92998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618B68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lahko od finančnega deležnika pisno zahteva, da predloži dodatne informacije ali dokumente, potrebne za oceno združitve ali delitve. </w:t>
      </w:r>
    </w:p>
    <w:p w14:paraId="5D1FDEE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AB7B0D8" w14:textId="4639C1E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(6) Kadar nameravani posel vključuje samo finančne deležnike iz iste skupine</w:t>
      </w:r>
      <w:r w:rsidR="000B2A63" w:rsidRPr="00215B2F">
        <w:rPr>
          <w:rFonts w:ascii="Arial" w:eastAsia="Arial" w:hAnsi="Arial" w:cs="Arial"/>
          <w:sz w:val="20"/>
          <w:szCs w:val="20"/>
        </w:rPr>
        <w:t>,</w:t>
      </w:r>
      <w:r w:rsidRPr="00215B2F">
        <w:rPr>
          <w:rFonts w:ascii="Arial" w:eastAsia="Arial" w:hAnsi="Arial" w:cs="Arial"/>
          <w:sz w:val="20"/>
          <w:szCs w:val="20"/>
        </w:rPr>
        <w:t xml:space="preserve"> lahko Banka Slovenije zahteva dodatne informacije ali dokumente od vložnika najpozneje do vključno 50. delovnega dne ocenjevalnega obdobja iz prvega odstavka </w:t>
      </w:r>
      <w:r w:rsidR="00216566" w:rsidRPr="00215B2F">
        <w:rPr>
          <w:rFonts w:ascii="Arial" w:eastAsia="Arial" w:hAnsi="Arial" w:cs="Arial"/>
          <w:sz w:val="20"/>
          <w:szCs w:val="20"/>
        </w:rPr>
        <w:t>100.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p>
    <w:p w14:paraId="64080F4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43F1B9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(7) Banka Slovenije vložniku zahteve v desetih delovnih dneh po prejemu dodatnih informacij ali dokumentov na podlagi zahteve za dodatne informacije ali dokumente izda potrdilo o prejemu teh dodatnih informacij ali dokumentov.</w:t>
      </w:r>
    </w:p>
    <w:p w14:paraId="24115E6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960196B"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34" w:name="_Ref202963601"/>
      <w:r w:rsidRPr="00215B2F">
        <w:rPr>
          <w:rFonts w:ascii="Arial" w:eastAsia="Arial" w:hAnsi="Arial" w:cs="Arial"/>
          <w:b/>
          <w:bCs/>
          <w:sz w:val="20"/>
          <w:szCs w:val="20"/>
        </w:rPr>
        <w:t>člen</w:t>
      </w:r>
      <w:bookmarkEnd w:id="134"/>
    </w:p>
    <w:p w14:paraId="75C9FF63" w14:textId="77777777" w:rsidR="00D91782" w:rsidRPr="00215B2F" w:rsidRDefault="00D91782" w:rsidP="00FD5520">
      <w:pPr>
        <w:pStyle w:val="Slog1"/>
        <w:shd w:val="clear" w:color="auto" w:fill="FFFFFF" w:themeFill="background1"/>
        <w:rPr>
          <w:sz w:val="20"/>
          <w:szCs w:val="20"/>
        </w:rPr>
      </w:pPr>
      <w:r w:rsidRPr="00215B2F">
        <w:rPr>
          <w:sz w:val="20"/>
          <w:szCs w:val="20"/>
        </w:rPr>
        <w:t>(rok za odločitev o oceni združitve ali delitve finančnih deležnikov iz iste skupine)</w:t>
      </w:r>
    </w:p>
    <w:p w14:paraId="6157745F" w14:textId="77777777" w:rsidR="00D91782" w:rsidRPr="00215B2F" w:rsidRDefault="00D91782" w:rsidP="00FD5520">
      <w:pPr>
        <w:pStyle w:val="Slog1"/>
        <w:shd w:val="clear" w:color="auto" w:fill="FFFFFF" w:themeFill="background1"/>
        <w:jc w:val="both"/>
        <w:rPr>
          <w:sz w:val="20"/>
          <w:szCs w:val="20"/>
        </w:rPr>
      </w:pPr>
    </w:p>
    <w:p w14:paraId="731840A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Kadar nameravani posel vključuje samo finančne deležnike iz iste skupine, mora biti odločitev o oceni združitve ali delitve izdana v 60 delovnih dneh (ocenjevalno obdobje).</w:t>
      </w:r>
    </w:p>
    <w:p w14:paraId="354E95B2"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0474D582" w14:textId="6A02941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Ocenjevalno obdobje oziroma rok iz prejšnjega odstavka teče od izdaje potrdila o prejemu popolne zahteve v skladu s prvo alinejo drugega odstavka ali prvo alinejo četrtega odstavka </w:t>
      </w:r>
      <w:r w:rsidR="00A64137"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člena</w:t>
      </w:r>
      <w:r w:rsidRPr="00215B2F">
        <w:rPr>
          <w:rFonts w:ascii="Arial" w:eastAsia="Arial" w:hAnsi="Arial" w:cs="Arial"/>
          <w:sz w:val="20"/>
          <w:szCs w:val="20"/>
        </w:rPr>
        <w:t xml:space="preserve">. Če Banka Slovenije potrdila o popolni oziroma nepopolni zahtevi ne izda v roku iz drugega ali četrtega odstavka </w:t>
      </w:r>
      <w:r w:rsidR="00216566" w:rsidRPr="00215B2F">
        <w:rPr>
          <w:rFonts w:ascii="Arial" w:eastAsia="Arial" w:hAnsi="Arial" w:cs="Arial"/>
          <w:sz w:val="20"/>
          <w:szCs w:val="20"/>
        </w:rPr>
        <w:t>99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teče ocenjevalno obdobje oziroma rok iz prejšnjega odstavka od poteka roka za izdajo potrdila iz drugega ali četrtega odstavka </w:t>
      </w:r>
      <w:r w:rsidR="00A64137"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člena</w:t>
      </w:r>
      <w:r w:rsidRPr="00215B2F">
        <w:rPr>
          <w:rFonts w:ascii="Arial" w:eastAsia="Arial" w:hAnsi="Arial" w:cs="Arial"/>
          <w:sz w:val="20"/>
          <w:szCs w:val="20"/>
        </w:rPr>
        <w:t xml:space="preserve">. </w:t>
      </w:r>
    </w:p>
    <w:p w14:paraId="434EBDC3"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112F8E82" w14:textId="2E3BDB4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Banka Slovenije izda zahtevo za dodatne informacije ali dokumente v skladu </w:t>
      </w:r>
      <w:r w:rsidR="0057055F" w:rsidRPr="00215B2F">
        <w:rPr>
          <w:rFonts w:ascii="Arial" w:eastAsia="Arial" w:hAnsi="Arial" w:cs="Arial"/>
          <w:sz w:val="20"/>
          <w:szCs w:val="20"/>
        </w:rPr>
        <w:t xml:space="preserve">s </w:t>
      </w:r>
      <w:r w:rsidRPr="00215B2F">
        <w:rPr>
          <w:rFonts w:ascii="Arial" w:eastAsia="Arial" w:hAnsi="Arial" w:cs="Arial"/>
          <w:sz w:val="20"/>
          <w:szCs w:val="20"/>
        </w:rPr>
        <w:t xml:space="preserve">petim ali šestim odstavkom </w:t>
      </w:r>
      <w:r w:rsidR="003F63A6"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člena</w:t>
      </w:r>
      <w:r w:rsidRPr="00215B2F">
        <w:rPr>
          <w:rFonts w:ascii="Arial" w:eastAsia="Arial" w:hAnsi="Arial" w:cs="Arial"/>
          <w:sz w:val="20"/>
          <w:szCs w:val="20"/>
        </w:rPr>
        <w:t xml:space="preserve">, rok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ne teče od izdaje zahteve za dodatne informacije ali dokumente do dneva, ko vložnik predloži dodatne informacije ali dokumente, vendar največ 20 delovnih dni od izdaje prve zahteve. Druga </w:t>
      </w:r>
      <w:r w:rsidR="0057055F" w:rsidRPr="00215B2F">
        <w:rPr>
          <w:rFonts w:ascii="Arial" w:eastAsia="Arial" w:hAnsi="Arial" w:cs="Arial"/>
          <w:sz w:val="20"/>
          <w:szCs w:val="20"/>
        </w:rPr>
        <w:t xml:space="preserve">zahteva </w:t>
      </w:r>
      <w:r w:rsidRPr="00215B2F">
        <w:rPr>
          <w:rFonts w:ascii="Arial" w:eastAsia="Arial" w:hAnsi="Arial" w:cs="Arial"/>
          <w:sz w:val="20"/>
          <w:szCs w:val="20"/>
        </w:rPr>
        <w:t xml:space="preserve">in naslednje zahteve Banke Slovenije v skladu s petim ali šestim odstavkom </w:t>
      </w:r>
      <w:r w:rsidR="003F63A6"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 xml:space="preserve">člena </w:t>
      </w:r>
      <w:r w:rsidRPr="00215B2F">
        <w:rPr>
          <w:rFonts w:ascii="Arial" w:eastAsia="Arial" w:hAnsi="Arial" w:cs="Arial"/>
          <w:sz w:val="20"/>
          <w:szCs w:val="20"/>
        </w:rPr>
        <w:t>ne zadržijo teka roka iz prejšnjega odstavka.</w:t>
      </w:r>
    </w:p>
    <w:p w14:paraId="6BBFF8B6"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687AC021" w14:textId="4619EDA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Ne glede na prejšnji odstavek lahko Banka Slovenije prekinitev roka v skladu s prejšnjim odstavkom podaljša na največ 30 delovnih dni, če:</w:t>
      </w:r>
    </w:p>
    <w:p w14:paraId="284DA75A"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326A6069" w14:textId="40F32679" w:rsidR="00895214" w:rsidRPr="00215B2F" w:rsidRDefault="0057055F">
      <w:pPr>
        <w:pStyle w:val="tevilnatoka"/>
        <w:numPr>
          <w:ilvl w:val="0"/>
          <w:numId w:val="83"/>
        </w:numPr>
        <w:shd w:val="clear" w:color="auto" w:fill="FFFFFF" w:themeFill="background1"/>
        <w:tabs>
          <w:tab w:val="clear" w:pos="425"/>
        </w:tabs>
        <w:rPr>
          <w:rFonts w:cs="Arial"/>
          <w:bCs/>
          <w:sz w:val="20"/>
          <w:szCs w:val="20"/>
        </w:rPr>
      </w:pPr>
      <w:r w:rsidRPr="00215B2F">
        <w:rPr>
          <w:rFonts w:eastAsia="Arial" w:cs="Arial"/>
          <w:sz w:val="20"/>
          <w:szCs w:val="20"/>
        </w:rPr>
        <w:t>j</w:t>
      </w:r>
      <w:r w:rsidR="00D91782" w:rsidRPr="00215B2F">
        <w:rPr>
          <w:rFonts w:eastAsia="Arial" w:cs="Arial"/>
          <w:sz w:val="20"/>
          <w:szCs w:val="20"/>
        </w:rPr>
        <w:t>e vsaj eden od subjektov, ki je udeležen v nameravanem poslu finančnega deležnika, v tretji državi ali zanj velja regulativni okvir tretje države ali</w:t>
      </w:r>
    </w:p>
    <w:p w14:paraId="00F6A6E0" w14:textId="648C7BC4" w:rsidR="00D91782" w:rsidRPr="00215B2F" w:rsidRDefault="00D91782">
      <w:pPr>
        <w:pStyle w:val="tevilnatoka"/>
        <w:numPr>
          <w:ilvl w:val="0"/>
          <w:numId w:val="83"/>
        </w:numPr>
        <w:shd w:val="clear" w:color="auto" w:fill="FFFFFF" w:themeFill="background1"/>
        <w:tabs>
          <w:tab w:val="clear" w:pos="425"/>
        </w:tabs>
        <w:rPr>
          <w:rFonts w:cs="Arial"/>
          <w:bCs/>
          <w:sz w:val="20"/>
          <w:szCs w:val="20"/>
        </w:rPr>
      </w:pPr>
      <w:r w:rsidRPr="00215B2F">
        <w:rPr>
          <w:rFonts w:eastAsia="Arial" w:cs="Arial"/>
          <w:sz w:val="20"/>
          <w:szCs w:val="20"/>
        </w:rPr>
        <w:t>je izmenjava informacij z Uradom</w:t>
      </w:r>
      <w:r w:rsidR="000063BE" w:rsidRPr="00215B2F">
        <w:rPr>
          <w:rFonts w:eastAsia="Arial" w:cs="Arial"/>
          <w:sz w:val="20"/>
          <w:szCs w:val="20"/>
        </w:rPr>
        <w:t xml:space="preserve"> Republike Slovenije</w:t>
      </w:r>
      <w:r w:rsidRPr="00215B2F">
        <w:rPr>
          <w:rFonts w:eastAsia="Arial" w:cs="Arial"/>
          <w:sz w:val="20"/>
          <w:szCs w:val="20"/>
        </w:rPr>
        <w:t xml:space="preserve"> za preprečevanje pranja denarja oziroma organi druge države članice, odgovornimi za nadzor </w:t>
      </w:r>
      <w:r w:rsidR="0057055F" w:rsidRPr="00215B2F">
        <w:rPr>
          <w:rFonts w:eastAsia="Arial" w:cs="Arial"/>
          <w:sz w:val="20"/>
          <w:szCs w:val="20"/>
        </w:rPr>
        <w:t xml:space="preserve">nad </w:t>
      </w:r>
      <w:r w:rsidRPr="00215B2F">
        <w:rPr>
          <w:rFonts w:eastAsia="Arial" w:cs="Arial"/>
          <w:sz w:val="20"/>
          <w:szCs w:val="20"/>
        </w:rPr>
        <w:t>finančni</w:t>
      </w:r>
      <w:r w:rsidR="0057055F" w:rsidRPr="00215B2F">
        <w:rPr>
          <w:rFonts w:eastAsia="Arial" w:cs="Arial"/>
          <w:sz w:val="20"/>
          <w:szCs w:val="20"/>
        </w:rPr>
        <w:t>mi</w:t>
      </w:r>
      <w:r w:rsidRPr="00215B2F">
        <w:rPr>
          <w:rFonts w:eastAsia="Arial" w:cs="Arial"/>
          <w:sz w:val="20"/>
          <w:szCs w:val="20"/>
        </w:rPr>
        <w:t xml:space="preserve"> deležnik</w:t>
      </w:r>
      <w:r w:rsidR="0057055F" w:rsidRPr="00215B2F">
        <w:rPr>
          <w:rFonts w:eastAsia="Arial" w:cs="Arial"/>
          <w:sz w:val="20"/>
          <w:szCs w:val="20"/>
        </w:rPr>
        <w:t>i</w:t>
      </w:r>
      <w:r w:rsidRPr="00215B2F">
        <w:rPr>
          <w:rFonts w:eastAsia="Arial" w:cs="Arial"/>
          <w:sz w:val="20"/>
          <w:szCs w:val="20"/>
        </w:rPr>
        <w:t xml:space="preserve"> ali subjekt</w:t>
      </w:r>
      <w:r w:rsidR="0057055F" w:rsidRPr="00215B2F">
        <w:rPr>
          <w:rFonts w:eastAsia="Arial" w:cs="Arial"/>
          <w:sz w:val="20"/>
          <w:szCs w:val="20"/>
        </w:rPr>
        <w:t>i</w:t>
      </w:r>
      <w:r w:rsidRPr="00215B2F">
        <w:rPr>
          <w:rFonts w:eastAsia="Arial" w:cs="Arial"/>
          <w:sz w:val="20"/>
          <w:szCs w:val="20"/>
        </w:rPr>
        <w:t>, ki so udeleženi v nameravanem poslu, v skladu z zakonom, ki ureja preprečevanje pranja denarja in financiranja terorizma</w:t>
      </w:r>
      <w:r w:rsidR="0057055F" w:rsidRPr="00215B2F">
        <w:rPr>
          <w:rFonts w:eastAsia="Arial" w:cs="Arial"/>
          <w:sz w:val="20"/>
          <w:szCs w:val="20"/>
        </w:rPr>
        <w:t>,</w:t>
      </w:r>
      <w:r w:rsidRPr="00215B2F">
        <w:rPr>
          <w:rFonts w:eastAsia="Arial" w:cs="Arial"/>
          <w:sz w:val="20"/>
          <w:szCs w:val="20"/>
        </w:rPr>
        <w:t xml:space="preserve"> oziroma Direktivo 2015/849/EU, nujna za izvedbo ocene združitve ali delitve po tem zakonu. </w:t>
      </w:r>
    </w:p>
    <w:p w14:paraId="116C96C0"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0DE00026"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35" w:name="_Ref202963607"/>
      <w:r w:rsidRPr="00215B2F">
        <w:rPr>
          <w:rFonts w:ascii="Arial" w:eastAsia="Arial" w:hAnsi="Arial" w:cs="Arial"/>
          <w:b/>
          <w:bCs/>
          <w:sz w:val="20"/>
          <w:szCs w:val="20"/>
        </w:rPr>
        <w:t>člen</w:t>
      </w:r>
      <w:bookmarkEnd w:id="135"/>
    </w:p>
    <w:p w14:paraId="6EEDF08C" w14:textId="77777777" w:rsidR="00D91782" w:rsidRPr="00215B2F" w:rsidRDefault="00D91782" w:rsidP="00FD5520">
      <w:pPr>
        <w:pStyle w:val="Slog1"/>
        <w:shd w:val="clear" w:color="auto" w:fill="FFFFFF" w:themeFill="background1"/>
        <w:rPr>
          <w:sz w:val="20"/>
          <w:szCs w:val="20"/>
        </w:rPr>
      </w:pPr>
      <w:r w:rsidRPr="00215B2F">
        <w:rPr>
          <w:sz w:val="20"/>
          <w:szCs w:val="20"/>
        </w:rPr>
        <w:t>(sodelovanje med pristojnimi organi)</w:t>
      </w:r>
    </w:p>
    <w:p w14:paraId="3932260B" w14:textId="77777777" w:rsidR="00D91782" w:rsidRPr="00215B2F" w:rsidRDefault="00D91782" w:rsidP="00FD5520">
      <w:pPr>
        <w:pStyle w:val="Slog1"/>
        <w:shd w:val="clear" w:color="auto" w:fill="FFFFFF" w:themeFill="background1"/>
        <w:jc w:val="both"/>
        <w:rPr>
          <w:sz w:val="20"/>
          <w:szCs w:val="20"/>
        </w:rPr>
      </w:pPr>
    </w:p>
    <w:p w14:paraId="53EA3F26" w14:textId="3674BDA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se v zvezi z oceno združitve ali delitve posvetuje s pristojnimi organi za nadzor drugi</w:t>
      </w:r>
      <w:r w:rsidR="00E12A36" w:rsidRPr="00215B2F">
        <w:rPr>
          <w:rFonts w:ascii="Arial" w:eastAsia="Arial" w:hAnsi="Arial" w:cs="Arial"/>
          <w:sz w:val="20"/>
          <w:szCs w:val="20"/>
        </w:rPr>
        <w:t>h</w:t>
      </w:r>
      <w:r w:rsidRPr="00215B2F">
        <w:rPr>
          <w:rFonts w:ascii="Arial" w:eastAsia="Arial" w:hAnsi="Arial" w:cs="Arial"/>
          <w:sz w:val="20"/>
          <w:szCs w:val="20"/>
        </w:rPr>
        <w:t xml:space="preserve"> subjekt</w:t>
      </w:r>
      <w:r w:rsidR="00E12A36" w:rsidRPr="00215B2F">
        <w:rPr>
          <w:rFonts w:ascii="Arial" w:eastAsia="Arial" w:hAnsi="Arial" w:cs="Arial"/>
          <w:sz w:val="20"/>
          <w:szCs w:val="20"/>
        </w:rPr>
        <w:t>ov</w:t>
      </w:r>
      <w:r w:rsidRPr="00215B2F">
        <w:rPr>
          <w:rFonts w:ascii="Arial" w:eastAsia="Arial" w:hAnsi="Arial" w:cs="Arial"/>
          <w:sz w:val="20"/>
          <w:szCs w:val="20"/>
        </w:rPr>
        <w:t xml:space="preserve"> finančnega sektorja, če nameravani posel poleg finančnih deležnikov vključuje </w:t>
      </w:r>
      <w:r w:rsidR="00A64137" w:rsidRPr="00215B2F">
        <w:rPr>
          <w:rFonts w:ascii="Arial" w:eastAsia="Arial" w:hAnsi="Arial" w:cs="Arial"/>
          <w:sz w:val="20"/>
          <w:szCs w:val="20"/>
        </w:rPr>
        <w:t>katerega koli od naslednjih subjektov</w:t>
      </w:r>
      <w:r w:rsidRPr="00215B2F">
        <w:rPr>
          <w:rFonts w:ascii="Arial" w:eastAsia="Arial" w:hAnsi="Arial" w:cs="Arial"/>
          <w:sz w:val="20"/>
          <w:szCs w:val="20"/>
        </w:rPr>
        <w:t>:</w:t>
      </w:r>
    </w:p>
    <w:p w14:paraId="2B4332DC"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138DC7F1" w14:textId="77777777" w:rsidR="00653598" w:rsidRPr="00215B2F" w:rsidRDefault="00D91782" w:rsidP="003D4DE0">
      <w:pPr>
        <w:numPr>
          <w:ilvl w:val="0"/>
          <w:numId w:val="391"/>
        </w:numPr>
        <w:shd w:val="clear" w:color="auto" w:fill="FFFFFF" w:themeFill="background1"/>
        <w:spacing w:after="0" w:line="240" w:lineRule="auto"/>
        <w:jc w:val="both"/>
        <w:rPr>
          <w:rFonts w:ascii="Arial" w:eastAsia="Arial" w:hAnsi="Arial" w:cs="Arial"/>
          <w:bCs/>
          <w:sz w:val="20"/>
          <w:szCs w:val="20"/>
        </w:rPr>
      </w:pPr>
      <w:r w:rsidRPr="00215B2F">
        <w:rPr>
          <w:rFonts w:ascii="Arial" w:eastAsia="Arial" w:hAnsi="Arial" w:cs="Arial"/>
          <w:sz w:val="20"/>
          <w:szCs w:val="20"/>
        </w:rPr>
        <w:t>kreditn</w:t>
      </w:r>
      <w:r w:rsidR="0028405E" w:rsidRPr="00215B2F">
        <w:rPr>
          <w:rFonts w:ascii="Arial" w:eastAsia="Arial" w:hAnsi="Arial" w:cs="Arial"/>
          <w:sz w:val="20"/>
          <w:szCs w:val="20"/>
        </w:rPr>
        <w:t>a</w:t>
      </w:r>
      <w:r w:rsidRPr="00215B2F">
        <w:rPr>
          <w:rFonts w:ascii="Arial" w:eastAsia="Arial" w:hAnsi="Arial" w:cs="Arial"/>
          <w:sz w:val="20"/>
          <w:szCs w:val="20"/>
        </w:rPr>
        <w:t xml:space="preserve"> institucij</w:t>
      </w:r>
      <w:r w:rsidR="0028405E" w:rsidRPr="00215B2F">
        <w:rPr>
          <w:rFonts w:ascii="Arial" w:eastAsia="Arial" w:hAnsi="Arial" w:cs="Arial"/>
          <w:sz w:val="20"/>
          <w:szCs w:val="20"/>
        </w:rPr>
        <w:t>a</w:t>
      </w:r>
      <w:r w:rsidRPr="00215B2F">
        <w:rPr>
          <w:rFonts w:ascii="Arial" w:eastAsia="Arial" w:hAnsi="Arial" w:cs="Arial"/>
          <w:sz w:val="20"/>
          <w:szCs w:val="20"/>
        </w:rPr>
        <w:t>, zavarovalnic</w:t>
      </w:r>
      <w:r w:rsidR="0028405E" w:rsidRPr="00215B2F">
        <w:rPr>
          <w:rFonts w:ascii="Arial" w:eastAsia="Arial" w:hAnsi="Arial" w:cs="Arial"/>
          <w:sz w:val="20"/>
          <w:szCs w:val="20"/>
        </w:rPr>
        <w:t>a</w:t>
      </w:r>
      <w:r w:rsidRPr="00215B2F">
        <w:rPr>
          <w:rFonts w:ascii="Arial" w:eastAsia="Arial" w:hAnsi="Arial" w:cs="Arial"/>
          <w:sz w:val="20"/>
          <w:szCs w:val="20"/>
        </w:rPr>
        <w:t>, pozavarovalnic</w:t>
      </w:r>
      <w:r w:rsidR="0028405E" w:rsidRPr="00215B2F">
        <w:rPr>
          <w:rFonts w:ascii="Arial" w:eastAsia="Arial" w:hAnsi="Arial" w:cs="Arial"/>
          <w:sz w:val="20"/>
          <w:szCs w:val="20"/>
        </w:rPr>
        <w:t>a</w:t>
      </w:r>
      <w:r w:rsidRPr="00215B2F">
        <w:rPr>
          <w:rFonts w:ascii="Arial" w:eastAsia="Arial" w:hAnsi="Arial" w:cs="Arial"/>
          <w:sz w:val="20"/>
          <w:szCs w:val="20"/>
        </w:rPr>
        <w:t>, investicijsko podjetje ali družb</w:t>
      </w:r>
      <w:r w:rsidR="0028405E" w:rsidRPr="00215B2F">
        <w:rPr>
          <w:rFonts w:ascii="Arial" w:eastAsia="Arial" w:hAnsi="Arial" w:cs="Arial"/>
          <w:sz w:val="20"/>
          <w:szCs w:val="20"/>
        </w:rPr>
        <w:t>a</w:t>
      </w:r>
      <w:r w:rsidRPr="00215B2F">
        <w:rPr>
          <w:rFonts w:ascii="Arial" w:eastAsia="Arial" w:hAnsi="Arial" w:cs="Arial"/>
          <w:sz w:val="20"/>
          <w:szCs w:val="20"/>
        </w:rPr>
        <w:t xml:space="preserve"> za upravljanje, ki je pridobila dovoljenje v drugi državi članici ali v drugem sektorju, kot je sektor</w:t>
      </w:r>
      <w:r w:rsidR="0028405E" w:rsidRPr="00215B2F">
        <w:rPr>
          <w:rFonts w:ascii="Arial" w:eastAsia="Arial" w:hAnsi="Arial" w:cs="Arial"/>
          <w:sz w:val="20"/>
          <w:szCs w:val="20"/>
        </w:rPr>
        <w:t>,</w:t>
      </w:r>
      <w:r w:rsidRPr="00215B2F">
        <w:rPr>
          <w:rFonts w:ascii="Arial" w:eastAsia="Arial" w:hAnsi="Arial" w:cs="Arial"/>
          <w:sz w:val="20"/>
          <w:szCs w:val="20"/>
        </w:rPr>
        <w:t xml:space="preserve"> v katerem se izvede nameravani posel; </w:t>
      </w:r>
    </w:p>
    <w:p w14:paraId="76720B40" w14:textId="379C10B9" w:rsidR="00653598" w:rsidRPr="00215B2F" w:rsidRDefault="00D91782" w:rsidP="003D4DE0">
      <w:pPr>
        <w:numPr>
          <w:ilvl w:val="0"/>
          <w:numId w:val="391"/>
        </w:numPr>
        <w:shd w:val="clear" w:color="auto" w:fill="FFFFFF" w:themeFill="background1"/>
        <w:spacing w:after="0" w:line="240" w:lineRule="auto"/>
        <w:jc w:val="both"/>
        <w:rPr>
          <w:rFonts w:ascii="Arial" w:eastAsia="Arial" w:hAnsi="Arial" w:cs="Arial"/>
          <w:bCs/>
          <w:sz w:val="20"/>
          <w:szCs w:val="20"/>
        </w:rPr>
      </w:pPr>
      <w:r w:rsidRPr="00215B2F">
        <w:rPr>
          <w:rFonts w:ascii="Arial" w:eastAsia="Arial" w:hAnsi="Arial" w:cs="Arial"/>
          <w:sz w:val="20"/>
          <w:szCs w:val="20"/>
        </w:rPr>
        <w:t>nadrejen</w:t>
      </w:r>
      <w:r w:rsidR="0028405E" w:rsidRPr="00215B2F">
        <w:rPr>
          <w:rFonts w:ascii="Arial" w:eastAsia="Arial" w:hAnsi="Arial" w:cs="Arial"/>
          <w:sz w:val="20"/>
          <w:szCs w:val="20"/>
        </w:rPr>
        <w:t>a</w:t>
      </w:r>
      <w:r w:rsidRPr="00215B2F">
        <w:rPr>
          <w:rFonts w:ascii="Arial" w:eastAsia="Arial" w:hAnsi="Arial" w:cs="Arial"/>
          <w:sz w:val="20"/>
          <w:szCs w:val="20"/>
        </w:rPr>
        <w:t xml:space="preserve"> oseb</w:t>
      </w:r>
      <w:r w:rsidR="0028405E" w:rsidRPr="00215B2F">
        <w:rPr>
          <w:rFonts w:ascii="Arial" w:eastAsia="Arial" w:hAnsi="Arial" w:cs="Arial"/>
          <w:sz w:val="20"/>
          <w:szCs w:val="20"/>
        </w:rPr>
        <w:t>a</w:t>
      </w:r>
      <w:r w:rsidRPr="00215B2F">
        <w:rPr>
          <w:rFonts w:ascii="Arial" w:eastAsia="Arial" w:hAnsi="Arial" w:cs="Arial"/>
          <w:sz w:val="20"/>
          <w:szCs w:val="20"/>
        </w:rPr>
        <w:t xml:space="preserve"> osebam iz</w:t>
      </w:r>
      <w:r w:rsidR="00A64137" w:rsidRPr="00215B2F">
        <w:rPr>
          <w:rFonts w:ascii="Arial" w:eastAsia="Arial" w:hAnsi="Arial" w:cs="Arial"/>
          <w:sz w:val="20"/>
          <w:szCs w:val="20"/>
        </w:rPr>
        <w:t xml:space="preserve"> prejšnje</w:t>
      </w:r>
      <w:r w:rsidRPr="00215B2F">
        <w:rPr>
          <w:rFonts w:ascii="Arial" w:eastAsia="Arial" w:hAnsi="Arial" w:cs="Arial"/>
          <w:sz w:val="20"/>
          <w:szCs w:val="20"/>
        </w:rPr>
        <w:t xml:space="preserve"> točke; </w:t>
      </w:r>
    </w:p>
    <w:p w14:paraId="2F84890A" w14:textId="4B54273C" w:rsidR="00D91782" w:rsidRPr="00215B2F" w:rsidRDefault="00D91782" w:rsidP="003D4DE0">
      <w:pPr>
        <w:numPr>
          <w:ilvl w:val="0"/>
          <w:numId w:val="391"/>
        </w:numPr>
        <w:shd w:val="clear" w:color="auto" w:fill="FFFFFF" w:themeFill="background1"/>
        <w:spacing w:after="0" w:line="240" w:lineRule="auto"/>
        <w:jc w:val="both"/>
        <w:rPr>
          <w:rFonts w:ascii="Arial" w:eastAsia="Arial" w:hAnsi="Arial" w:cs="Arial"/>
          <w:bCs/>
          <w:sz w:val="20"/>
          <w:szCs w:val="20"/>
        </w:rPr>
      </w:pPr>
      <w:r w:rsidRPr="00215B2F">
        <w:rPr>
          <w:rFonts w:ascii="Arial" w:eastAsia="Arial" w:hAnsi="Arial" w:cs="Arial"/>
          <w:sz w:val="20"/>
          <w:szCs w:val="20"/>
        </w:rPr>
        <w:t>pravn</w:t>
      </w:r>
      <w:r w:rsidR="0028405E" w:rsidRPr="00215B2F">
        <w:rPr>
          <w:rFonts w:ascii="Arial" w:eastAsia="Arial" w:hAnsi="Arial" w:cs="Arial"/>
          <w:sz w:val="20"/>
          <w:szCs w:val="20"/>
        </w:rPr>
        <w:t>a</w:t>
      </w:r>
      <w:r w:rsidRPr="00215B2F">
        <w:rPr>
          <w:rFonts w:ascii="Arial" w:eastAsia="Arial" w:hAnsi="Arial" w:cs="Arial"/>
          <w:sz w:val="20"/>
          <w:szCs w:val="20"/>
        </w:rPr>
        <w:t xml:space="preserve"> oseb</w:t>
      </w:r>
      <w:r w:rsidR="0028405E" w:rsidRPr="00215B2F">
        <w:rPr>
          <w:rFonts w:ascii="Arial" w:eastAsia="Arial" w:hAnsi="Arial" w:cs="Arial"/>
          <w:sz w:val="20"/>
          <w:szCs w:val="20"/>
        </w:rPr>
        <w:t>a</w:t>
      </w:r>
      <w:r w:rsidRPr="00215B2F">
        <w:rPr>
          <w:rFonts w:ascii="Arial" w:eastAsia="Arial" w:hAnsi="Arial" w:cs="Arial"/>
          <w:sz w:val="20"/>
          <w:szCs w:val="20"/>
        </w:rPr>
        <w:t>, ki obvladuje osebo iz točke a) tega odstavka.</w:t>
      </w:r>
    </w:p>
    <w:p w14:paraId="34934A47"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0A8A1017" w14:textId="4BFFEF7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drugim pristojnim organom na njihovo zahtevo ali na lastno pobudo brez odlašanja sporoči vse informacije, ki so bistvene in pomembne za oceno združitve ali delitve. </w:t>
      </w:r>
    </w:p>
    <w:p w14:paraId="1115F60E"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6D97F275" w14:textId="7FB9AC5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lahko od drugih pristojnih organov zahteva vse informacije, ki so bistvene ali pomembne za oceno združitve ali delitve. </w:t>
      </w:r>
    </w:p>
    <w:p w14:paraId="7A9D4DAC"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793D63DE" w14:textId="335B75E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V okviru posvetovanja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si Banka Slovenije prizadeva uskladiti svoje ocene združitve ali delitve in zagotoviti doslednost svojih mnenj z drugimi pristojnimi organi oziroma pristojnimi organi iz drugih držav članic.</w:t>
      </w:r>
    </w:p>
    <w:p w14:paraId="14643253"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32D351B" w14:textId="64A0153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(5) Banka Slovenije v oceni združitve ali delitve navede vsa stališča in pridržke, ki so jih izrazili drugi pristojni organi, ki nadzorujejo enega ali več subjektov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w:t>
      </w:r>
    </w:p>
    <w:p w14:paraId="385B379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E7022C0"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36" w:name="_Ref202963617"/>
      <w:r w:rsidRPr="00215B2F">
        <w:rPr>
          <w:rFonts w:ascii="Arial" w:eastAsia="Arial" w:hAnsi="Arial" w:cs="Arial"/>
          <w:b/>
          <w:bCs/>
          <w:sz w:val="20"/>
          <w:szCs w:val="20"/>
        </w:rPr>
        <w:t>člen</w:t>
      </w:r>
      <w:bookmarkEnd w:id="136"/>
    </w:p>
    <w:p w14:paraId="32577AAB" w14:textId="77777777" w:rsidR="00D91782" w:rsidRPr="00215B2F" w:rsidRDefault="00D91782" w:rsidP="00FD5520">
      <w:pPr>
        <w:pStyle w:val="Slog1"/>
        <w:shd w:val="clear" w:color="auto" w:fill="FFFFFF" w:themeFill="background1"/>
        <w:rPr>
          <w:sz w:val="20"/>
          <w:szCs w:val="20"/>
        </w:rPr>
      </w:pPr>
      <w:r w:rsidRPr="00215B2F">
        <w:rPr>
          <w:sz w:val="20"/>
          <w:szCs w:val="20"/>
        </w:rPr>
        <w:t>(merila za presojo združitve ali delitve)</w:t>
      </w:r>
    </w:p>
    <w:p w14:paraId="6109C79D" w14:textId="77777777" w:rsidR="00D91782" w:rsidRPr="00215B2F" w:rsidRDefault="00D91782" w:rsidP="00FD5520">
      <w:pPr>
        <w:pStyle w:val="Slog1"/>
        <w:shd w:val="clear" w:color="auto" w:fill="FFFFFF" w:themeFill="background1"/>
        <w:jc w:val="both"/>
        <w:rPr>
          <w:sz w:val="20"/>
          <w:szCs w:val="20"/>
        </w:rPr>
      </w:pPr>
    </w:p>
    <w:p w14:paraId="4F3BB58A" w14:textId="2EF31EF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presoja zahtevo za oceno združitve ali delitve v okviru zagotavljanja trdnosti bonitetnega profila finančnih deležnikov po izvedbi nameravanega posla in zlasti za obravnavanje tveganj, ki so jim ali bi ji</w:t>
      </w:r>
      <w:r w:rsidR="00E94A53" w:rsidRPr="00215B2F">
        <w:rPr>
          <w:rFonts w:ascii="Arial" w:eastAsia="Arial" w:hAnsi="Arial" w:cs="Arial"/>
          <w:sz w:val="20"/>
          <w:szCs w:val="20"/>
        </w:rPr>
        <w:t>m</w:t>
      </w:r>
      <w:r w:rsidRPr="00215B2F">
        <w:rPr>
          <w:rFonts w:ascii="Arial" w:eastAsia="Arial" w:hAnsi="Arial" w:cs="Arial"/>
          <w:sz w:val="20"/>
          <w:szCs w:val="20"/>
        </w:rPr>
        <w:t xml:space="preserve"> lahko bili finančni deležniki izpostavljeni med nameravanim poslom</w:t>
      </w:r>
      <w:r w:rsidR="00A667D2" w:rsidRPr="00215B2F">
        <w:rPr>
          <w:rFonts w:ascii="Arial" w:eastAsia="Arial" w:hAnsi="Arial" w:cs="Arial"/>
          <w:sz w:val="20"/>
          <w:szCs w:val="20"/>
        </w:rPr>
        <w:t>,</w:t>
      </w:r>
      <w:r w:rsidRPr="00215B2F">
        <w:rPr>
          <w:rFonts w:ascii="Arial" w:eastAsia="Arial" w:hAnsi="Arial" w:cs="Arial"/>
          <w:sz w:val="20"/>
          <w:szCs w:val="20"/>
        </w:rPr>
        <w:t xml:space="preserve"> ter tveganj, ki bi jim lahko bil izpostavljen subjekt, nastal na podlagi nameravanega posla.</w:t>
      </w:r>
    </w:p>
    <w:p w14:paraId="0D11E965"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0B0515D" w14:textId="0528E62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nameravani posel oceni v skladu z naslednjimi merili: </w:t>
      </w:r>
    </w:p>
    <w:p w14:paraId="610E2547" w14:textId="77777777" w:rsidR="008612B7" w:rsidRPr="00215B2F" w:rsidRDefault="008612B7" w:rsidP="00FD5520">
      <w:pPr>
        <w:shd w:val="clear" w:color="auto" w:fill="FFFFFF" w:themeFill="background1"/>
        <w:spacing w:after="0" w:line="240" w:lineRule="auto"/>
        <w:jc w:val="both"/>
        <w:rPr>
          <w:rFonts w:ascii="Arial" w:eastAsia="Arial" w:hAnsi="Arial" w:cs="Arial"/>
          <w:sz w:val="20"/>
          <w:szCs w:val="20"/>
        </w:rPr>
      </w:pPr>
    </w:p>
    <w:p w14:paraId="4CDCCC8B" w14:textId="77777777" w:rsidR="008612B7" w:rsidRPr="00215B2F" w:rsidRDefault="00D91782" w:rsidP="003D4DE0">
      <w:pPr>
        <w:pStyle w:val="Odstavekseznama"/>
        <w:numPr>
          <w:ilvl w:val="0"/>
          <w:numId w:val="39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ugled finančnih deležnikov, vključenih v nameravani posel; </w:t>
      </w:r>
    </w:p>
    <w:p w14:paraId="64CD5FE7" w14:textId="30D07630" w:rsidR="008612B7" w:rsidRPr="00215B2F" w:rsidRDefault="00D91782" w:rsidP="003D4DE0">
      <w:pPr>
        <w:pStyle w:val="Odstavekseznama"/>
        <w:numPr>
          <w:ilvl w:val="0"/>
          <w:numId w:val="39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finančna trdnost finančnih deležnikov, vključenih v nameravani posel, zlasti v zvezi z vrsto načrtovanih poslov, ki so predvideni za subjekt, nastal</w:t>
      </w:r>
      <w:r w:rsidR="000B2A63" w:rsidRPr="00215B2F">
        <w:rPr>
          <w:rFonts w:ascii="Arial" w:eastAsia="Arial" w:hAnsi="Arial" w:cs="Arial"/>
          <w:sz w:val="20"/>
          <w:szCs w:val="20"/>
        </w:rPr>
        <w:t>i</w:t>
      </w:r>
      <w:r w:rsidRPr="00215B2F">
        <w:rPr>
          <w:rFonts w:ascii="Arial" w:eastAsia="Arial" w:hAnsi="Arial" w:cs="Arial"/>
          <w:sz w:val="20"/>
          <w:szCs w:val="20"/>
        </w:rPr>
        <w:t xml:space="preserve"> na podlagi nameravanega posla; </w:t>
      </w:r>
    </w:p>
    <w:p w14:paraId="28D201FA" w14:textId="5A06A0F1" w:rsidR="008612B7" w:rsidRPr="00215B2F" w:rsidRDefault="00D91782" w:rsidP="003D4DE0">
      <w:pPr>
        <w:pStyle w:val="Odstavekseznama"/>
        <w:numPr>
          <w:ilvl w:val="0"/>
          <w:numId w:val="39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ali bo subjekt, nastal na podlagi nameravanega posla, lahko izpolnil in še naprej izpolnjeval bonitetne zahteve iz tega zakona oziroma Direktive 2013/36/EU in Uredbe 575/2013/EU</w:t>
      </w:r>
      <w:r w:rsidR="005649A3" w:rsidRPr="00215B2F">
        <w:rPr>
          <w:rFonts w:ascii="Arial" w:eastAsia="Arial" w:hAnsi="Arial" w:cs="Arial"/>
          <w:sz w:val="20"/>
          <w:szCs w:val="20"/>
        </w:rPr>
        <w:t>,</w:t>
      </w:r>
      <w:r w:rsidRPr="00215B2F">
        <w:rPr>
          <w:rFonts w:ascii="Arial" w:eastAsia="Arial" w:hAnsi="Arial" w:cs="Arial"/>
          <w:sz w:val="20"/>
          <w:szCs w:val="20"/>
        </w:rPr>
        <w:t xml:space="preserve"> ter kadar je ustrezno, drugih pravnih aktov </w:t>
      </w:r>
      <w:r w:rsidR="00C461A6" w:rsidRPr="00215B2F">
        <w:rPr>
          <w:rFonts w:ascii="Arial" w:eastAsia="Arial" w:hAnsi="Arial" w:cs="Arial"/>
          <w:sz w:val="20"/>
          <w:szCs w:val="20"/>
        </w:rPr>
        <w:t>Evropske u</w:t>
      </w:r>
      <w:r w:rsidRPr="00215B2F">
        <w:rPr>
          <w:rFonts w:ascii="Arial" w:eastAsia="Arial" w:hAnsi="Arial" w:cs="Arial"/>
          <w:sz w:val="20"/>
          <w:szCs w:val="20"/>
        </w:rPr>
        <w:t>nije, zlasti ZFK oziroma Direktive 2002/87/ES in zakona, ki ureja plačilne storitve in sisteme</w:t>
      </w:r>
      <w:r w:rsidR="005649A3" w:rsidRPr="00215B2F">
        <w:rPr>
          <w:rFonts w:ascii="Arial" w:eastAsia="Arial" w:hAnsi="Arial" w:cs="Arial"/>
          <w:sz w:val="20"/>
          <w:szCs w:val="20"/>
        </w:rPr>
        <w:t>,</w:t>
      </w:r>
      <w:r w:rsidRPr="00215B2F">
        <w:rPr>
          <w:rFonts w:ascii="Arial" w:eastAsia="Arial" w:hAnsi="Arial" w:cs="Arial"/>
          <w:sz w:val="20"/>
          <w:szCs w:val="20"/>
        </w:rPr>
        <w:t xml:space="preserve"> oziroma Direktive 2009/110/ES; </w:t>
      </w:r>
    </w:p>
    <w:p w14:paraId="0451EDDB" w14:textId="00841560" w:rsidR="008612B7" w:rsidRPr="00215B2F" w:rsidRDefault="0061405D" w:rsidP="0061405D">
      <w:p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č)    </w:t>
      </w:r>
      <w:r w:rsidR="00D91782" w:rsidRPr="00215B2F">
        <w:rPr>
          <w:rFonts w:ascii="Arial" w:eastAsia="Arial" w:hAnsi="Arial" w:cs="Arial"/>
          <w:sz w:val="20"/>
          <w:szCs w:val="20"/>
        </w:rPr>
        <w:t xml:space="preserve">ali je izvedbeni načrt nameravanega posla </w:t>
      </w:r>
      <w:r w:rsidR="00E12A36" w:rsidRPr="00215B2F">
        <w:rPr>
          <w:rFonts w:ascii="Arial" w:eastAsia="Arial" w:hAnsi="Arial" w:cs="Arial"/>
          <w:sz w:val="20"/>
          <w:szCs w:val="20"/>
        </w:rPr>
        <w:t>realističen</w:t>
      </w:r>
      <w:r w:rsidR="00D91782" w:rsidRPr="00215B2F">
        <w:rPr>
          <w:rFonts w:ascii="Arial" w:eastAsia="Arial" w:hAnsi="Arial" w:cs="Arial"/>
          <w:sz w:val="20"/>
          <w:szCs w:val="20"/>
        </w:rPr>
        <w:t xml:space="preserve"> in trden z bonitetnega vidika; </w:t>
      </w:r>
    </w:p>
    <w:p w14:paraId="3521A50C" w14:textId="3186F56C" w:rsidR="00D91782" w:rsidRPr="00215B2F" w:rsidRDefault="00D91782" w:rsidP="003D4DE0">
      <w:pPr>
        <w:pStyle w:val="Odstavekseznama"/>
        <w:numPr>
          <w:ilvl w:val="0"/>
          <w:numId w:val="39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ali obstajajo utemeljeni razlogi za sum, da gre ali je šlo v zvezi z nameravanim poslom za pranje denarja ali financiranje terorizma</w:t>
      </w:r>
      <w:r w:rsidR="005649A3" w:rsidRPr="00215B2F">
        <w:rPr>
          <w:rFonts w:ascii="Arial" w:eastAsia="Arial" w:hAnsi="Arial" w:cs="Arial"/>
          <w:sz w:val="20"/>
          <w:szCs w:val="20"/>
        </w:rPr>
        <w:t>,</w:t>
      </w:r>
      <w:r w:rsidRPr="00215B2F">
        <w:rPr>
          <w:rFonts w:ascii="Arial" w:eastAsia="Arial" w:hAnsi="Arial" w:cs="Arial"/>
          <w:sz w:val="20"/>
          <w:szCs w:val="20"/>
        </w:rPr>
        <w:t xml:space="preserve"> kot sta opredeljena v zakonu, ki ureja preprečevanje pranja denarja in financiranje terorizma</w:t>
      </w:r>
      <w:r w:rsidR="005649A3" w:rsidRPr="00215B2F">
        <w:rPr>
          <w:rFonts w:ascii="Arial" w:eastAsia="Arial" w:hAnsi="Arial" w:cs="Arial"/>
          <w:sz w:val="20"/>
          <w:szCs w:val="20"/>
        </w:rPr>
        <w:t>,</w:t>
      </w:r>
      <w:r w:rsidRPr="00215B2F">
        <w:rPr>
          <w:rFonts w:ascii="Arial" w:eastAsia="Arial" w:hAnsi="Arial" w:cs="Arial"/>
          <w:sz w:val="20"/>
          <w:szCs w:val="20"/>
        </w:rPr>
        <w:t xml:space="preserve"> oziroma 1. členu Direktive 2015/849/EU</w:t>
      </w:r>
      <w:r w:rsidR="005649A3" w:rsidRPr="00215B2F">
        <w:rPr>
          <w:rFonts w:ascii="Arial" w:eastAsia="Arial" w:hAnsi="Arial" w:cs="Arial"/>
          <w:sz w:val="20"/>
          <w:szCs w:val="20"/>
        </w:rPr>
        <w:t>,</w:t>
      </w:r>
      <w:r w:rsidRPr="00215B2F">
        <w:rPr>
          <w:rFonts w:ascii="Arial" w:eastAsia="Arial" w:hAnsi="Arial" w:cs="Arial"/>
          <w:sz w:val="20"/>
          <w:szCs w:val="20"/>
        </w:rPr>
        <w:t xml:space="preserve"> ali za poskus tega ali da bi nameravani </w:t>
      </w:r>
      <w:r w:rsidR="00A64137" w:rsidRPr="00215B2F">
        <w:rPr>
          <w:rFonts w:ascii="Arial" w:eastAsia="Arial" w:hAnsi="Arial" w:cs="Arial"/>
          <w:sz w:val="20"/>
          <w:szCs w:val="20"/>
        </w:rPr>
        <w:t xml:space="preserve">posel </w:t>
      </w:r>
      <w:r w:rsidR="005649A3" w:rsidRPr="00215B2F">
        <w:rPr>
          <w:rFonts w:ascii="Arial" w:eastAsia="Arial" w:hAnsi="Arial" w:cs="Arial"/>
          <w:sz w:val="20"/>
          <w:szCs w:val="20"/>
        </w:rPr>
        <w:t xml:space="preserve">lahko </w:t>
      </w:r>
      <w:r w:rsidRPr="00215B2F">
        <w:rPr>
          <w:rFonts w:ascii="Arial" w:eastAsia="Arial" w:hAnsi="Arial" w:cs="Arial"/>
          <w:sz w:val="20"/>
          <w:szCs w:val="20"/>
        </w:rPr>
        <w:t>povečal tveganje tak</w:t>
      </w:r>
      <w:r w:rsidR="005649A3" w:rsidRPr="00215B2F">
        <w:rPr>
          <w:rFonts w:ascii="Arial" w:eastAsia="Arial" w:hAnsi="Arial" w:cs="Arial"/>
          <w:sz w:val="20"/>
          <w:szCs w:val="20"/>
        </w:rPr>
        <w:t>ega</w:t>
      </w:r>
      <w:r w:rsidRPr="00215B2F">
        <w:rPr>
          <w:rFonts w:ascii="Arial" w:eastAsia="Arial" w:hAnsi="Arial" w:cs="Arial"/>
          <w:sz w:val="20"/>
          <w:szCs w:val="20"/>
        </w:rPr>
        <w:t xml:space="preserve"> ravnanj</w:t>
      </w:r>
      <w:r w:rsidR="005649A3" w:rsidRPr="00215B2F">
        <w:rPr>
          <w:rFonts w:ascii="Arial" w:eastAsia="Arial" w:hAnsi="Arial" w:cs="Arial"/>
          <w:sz w:val="20"/>
          <w:szCs w:val="20"/>
        </w:rPr>
        <w:t>a</w:t>
      </w:r>
      <w:r w:rsidRPr="00215B2F">
        <w:rPr>
          <w:rFonts w:ascii="Arial" w:eastAsia="Arial" w:hAnsi="Arial" w:cs="Arial"/>
          <w:sz w:val="20"/>
          <w:szCs w:val="20"/>
        </w:rPr>
        <w:t>.</w:t>
      </w:r>
    </w:p>
    <w:p w14:paraId="66EEEEC6"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66C589DC" w14:textId="0C337D4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se pri presoji merila iz točke e) prejšnjega odstavka posvetuje z Uradom</w:t>
      </w:r>
      <w:r w:rsidR="005649A3" w:rsidRPr="00215B2F">
        <w:rPr>
          <w:rFonts w:ascii="Arial" w:eastAsia="Arial" w:hAnsi="Arial" w:cs="Arial"/>
          <w:sz w:val="20"/>
          <w:szCs w:val="20"/>
        </w:rPr>
        <w:t xml:space="preserve"> Republike Slovenije</w:t>
      </w:r>
      <w:r w:rsidRPr="00215B2F">
        <w:rPr>
          <w:rFonts w:ascii="Arial" w:eastAsia="Arial" w:hAnsi="Arial" w:cs="Arial"/>
          <w:sz w:val="20"/>
          <w:szCs w:val="20"/>
        </w:rPr>
        <w:t xml:space="preserve"> za preprečevanja pranja denarja in financiranja terorizma oziroma organi, odgovornimi za nadzor drugi</w:t>
      </w:r>
      <w:r w:rsidR="00E12A36" w:rsidRPr="00215B2F">
        <w:rPr>
          <w:rFonts w:ascii="Arial" w:eastAsia="Arial" w:hAnsi="Arial" w:cs="Arial"/>
          <w:sz w:val="20"/>
          <w:szCs w:val="20"/>
        </w:rPr>
        <w:t>h</w:t>
      </w:r>
      <w:r w:rsidRPr="00215B2F">
        <w:rPr>
          <w:rFonts w:ascii="Arial" w:eastAsia="Arial" w:hAnsi="Arial" w:cs="Arial"/>
          <w:sz w:val="20"/>
          <w:szCs w:val="20"/>
        </w:rPr>
        <w:t xml:space="preserve"> subjekt</w:t>
      </w:r>
      <w:r w:rsidR="00E12A36" w:rsidRPr="00215B2F">
        <w:rPr>
          <w:rFonts w:ascii="Arial" w:eastAsia="Arial" w:hAnsi="Arial" w:cs="Arial"/>
          <w:sz w:val="20"/>
          <w:szCs w:val="20"/>
        </w:rPr>
        <w:t>ov</w:t>
      </w:r>
      <w:r w:rsidRPr="00215B2F">
        <w:rPr>
          <w:rFonts w:ascii="Arial" w:eastAsia="Arial" w:hAnsi="Arial" w:cs="Arial"/>
          <w:sz w:val="20"/>
          <w:szCs w:val="20"/>
        </w:rPr>
        <w:t>, ki so vključeni v nameravani posel, v skladu z Direktivo 2015/849/EU, in ustrezno upošteva:</w:t>
      </w:r>
    </w:p>
    <w:p w14:paraId="46F27FED" w14:textId="77777777" w:rsidR="003E05E7" w:rsidRPr="00215B2F" w:rsidRDefault="003E05E7" w:rsidP="00FD5520">
      <w:pPr>
        <w:shd w:val="clear" w:color="auto" w:fill="FFFFFF" w:themeFill="background1"/>
        <w:spacing w:after="0" w:line="240" w:lineRule="auto"/>
        <w:jc w:val="both"/>
        <w:rPr>
          <w:rFonts w:ascii="Arial" w:eastAsia="Arial" w:hAnsi="Arial" w:cs="Arial"/>
          <w:sz w:val="20"/>
          <w:szCs w:val="20"/>
        </w:rPr>
      </w:pPr>
    </w:p>
    <w:p w14:paraId="688EC705" w14:textId="77777777"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informacije, ki jih je pridobila kot pristojni nadzorni organ na podlagi zakona, ki ureja preprečevanje pranja denarja in financiranje terorizma;</w:t>
      </w:r>
    </w:p>
    <w:p w14:paraId="08B04A62" w14:textId="2E61B96F"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negativno mnenje Urada </w:t>
      </w:r>
      <w:r w:rsidR="005649A3" w:rsidRPr="00215B2F">
        <w:rPr>
          <w:rFonts w:ascii="Arial" w:eastAsia="Arial" w:hAnsi="Arial" w:cs="Arial"/>
          <w:sz w:val="20"/>
          <w:szCs w:val="20"/>
        </w:rPr>
        <w:t xml:space="preserve">Republike Slovenije </w:t>
      </w:r>
      <w:r w:rsidRPr="00215B2F">
        <w:rPr>
          <w:rFonts w:ascii="Arial" w:eastAsia="Arial" w:hAnsi="Arial" w:cs="Arial"/>
          <w:sz w:val="20"/>
          <w:szCs w:val="20"/>
        </w:rPr>
        <w:t>za preprečevanja pranja denarja oziroma organa, odgovornega za nadzor drugi</w:t>
      </w:r>
      <w:r w:rsidR="00E12A36" w:rsidRPr="00215B2F">
        <w:rPr>
          <w:rFonts w:ascii="Arial" w:eastAsia="Arial" w:hAnsi="Arial" w:cs="Arial"/>
          <w:sz w:val="20"/>
          <w:szCs w:val="20"/>
        </w:rPr>
        <w:t>h</w:t>
      </w:r>
      <w:r w:rsidRPr="00215B2F">
        <w:rPr>
          <w:rFonts w:ascii="Arial" w:eastAsia="Arial" w:hAnsi="Arial" w:cs="Arial"/>
          <w:sz w:val="20"/>
          <w:szCs w:val="20"/>
        </w:rPr>
        <w:t xml:space="preserve"> subjekt</w:t>
      </w:r>
      <w:r w:rsidR="00E12A36" w:rsidRPr="00215B2F">
        <w:rPr>
          <w:rFonts w:ascii="Arial" w:eastAsia="Arial" w:hAnsi="Arial" w:cs="Arial"/>
          <w:sz w:val="20"/>
          <w:szCs w:val="20"/>
        </w:rPr>
        <w:t>ov</w:t>
      </w:r>
      <w:r w:rsidRPr="00215B2F">
        <w:rPr>
          <w:rFonts w:ascii="Arial" w:eastAsia="Arial" w:hAnsi="Arial" w:cs="Arial"/>
          <w:sz w:val="20"/>
          <w:szCs w:val="20"/>
        </w:rPr>
        <w:t>, ki so vključeni v nameravani posel, v skladu z Direktivo 2015/849/EU, ki ga je prejela v 30 dneh od začetka ocenjevalnega obdobja.</w:t>
      </w:r>
    </w:p>
    <w:p w14:paraId="6E22438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38484A8" w14:textId="69269C2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w:t>
      </w:r>
      <w:r w:rsidR="00A90A3B" w:rsidRPr="00215B2F">
        <w:rPr>
          <w:rFonts w:ascii="Arial" w:eastAsia="Arial" w:hAnsi="Arial" w:cs="Arial"/>
          <w:sz w:val="20"/>
          <w:szCs w:val="20"/>
        </w:rPr>
        <w:t>Negativne informacije ali n</w:t>
      </w:r>
      <w:r w:rsidRPr="00215B2F">
        <w:rPr>
          <w:rFonts w:ascii="Arial" w:eastAsia="Arial" w:hAnsi="Arial" w:cs="Arial"/>
          <w:sz w:val="20"/>
          <w:szCs w:val="20"/>
        </w:rPr>
        <w:t xml:space="preserve">egativno mnenje iz prejšnjega odstavka </w:t>
      </w:r>
      <w:r w:rsidR="005649A3" w:rsidRPr="00215B2F">
        <w:rPr>
          <w:rFonts w:ascii="Arial" w:eastAsia="Arial" w:hAnsi="Arial" w:cs="Arial"/>
          <w:sz w:val="20"/>
          <w:szCs w:val="20"/>
        </w:rPr>
        <w:t xml:space="preserve">je </w:t>
      </w:r>
      <w:r w:rsidRPr="00215B2F">
        <w:rPr>
          <w:rFonts w:ascii="Arial" w:eastAsia="Arial" w:hAnsi="Arial" w:cs="Arial"/>
          <w:sz w:val="20"/>
          <w:szCs w:val="20"/>
        </w:rPr>
        <w:t>lahko utemeljen</w:t>
      </w:r>
      <w:r w:rsidR="005649A3" w:rsidRPr="00215B2F">
        <w:rPr>
          <w:rFonts w:ascii="Arial" w:eastAsia="Arial" w:hAnsi="Arial" w:cs="Arial"/>
          <w:sz w:val="20"/>
          <w:szCs w:val="20"/>
        </w:rPr>
        <w:t>i</w:t>
      </w:r>
      <w:r w:rsidRPr="00215B2F">
        <w:rPr>
          <w:rFonts w:ascii="Arial" w:eastAsia="Arial" w:hAnsi="Arial" w:cs="Arial"/>
          <w:sz w:val="20"/>
          <w:szCs w:val="20"/>
        </w:rPr>
        <w:t xml:space="preserve"> razlog za negativno mnenje Banke Slovenije o nameravanem poslu.</w:t>
      </w:r>
    </w:p>
    <w:p w14:paraId="7DE1DDF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D0C809A" w14:textId="3FF8FAD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spremlja izvedbeni načrt iz točke </w:t>
      </w:r>
      <w:r w:rsidR="00054679" w:rsidRPr="00215B2F">
        <w:rPr>
          <w:rFonts w:ascii="Arial" w:eastAsia="Arial" w:hAnsi="Arial" w:cs="Arial"/>
          <w:sz w:val="20"/>
          <w:szCs w:val="20"/>
        </w:rPr>
        <w:t>č</w:t>
      </w:r>
      <w:r w:rsidRPr="00215B2F">
        <w:rPr>
          <w:rFonts w:ascii="Arial" w:eastAsia="Arial" w:hAnsi="Arial" w:cs="Arial"/>
          <w:sz w:val="20"/>
          <w:szCs w:val="20"/>
        </w:rPr>
        <w:t xml:space="preserve">) </w:t>
      </w:r>
      <w:r w:rsidR="0022400F" w:rsidRPr="00215B2F">
        <w:rPr>
          <w:rFonts w:ascii="Arial" w:eastAsia="Arial" w:hAnsi="Arial" w:cs="Arial"/>
          <w:sz w:val="20"/>
          <w:szCs w:val="20"/>
        </w:rPr>
        <w:t xml:space="preserve">tretjega </w:t>
      </w:r>
      <w:r w:rsidRPr="00215B2F">
        <w:rPr>
          <w:rFonts w:ascii="Arial" w:eastAsia="Arial" w:hAnsi="Arial" w:cs="Arial"/>
          <w:sz w:val="20"/>
          <w:szCs w:val="20"/>
        </w:rPr>
        <w:t>odstavka</w:t>
      </w:r>
      <w:r w:rsidR="0022400F" w:rsidRPr="00215B2F">
        <w:rPr>
          <w:rFonts w:ascii="Arial" w:eastAsia="Arial" w:hAnsi="Arial" w:cs="Arial"/>
          <w:sz w:val="20"/>
          <w:szCs w:val="20"/>
        </w:rPr>
        <w:t xml:space="preserve"> tega člena</w:t>
      </w:r>
      <w:r w:rsidRPr="00215B2F">
        <w:rPr>
          <w:rFonts w:ascii="Arial" w:eastAsia="Arial" w:hAnsi="Arial" w:cs="Arial"/>
          <w:sz w:val="20"/>
          <w:szCs w:val="20"/>
        </w:rPr>
        <w:t xml:space="preserve">, dokler nameravani posel ni izveden. </w:t>
      </w:r>
    </w:p>
    <w:p w14:paraId="3540772E"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3AE7F2B" w14:textId="061D833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Banka Slovenije ne sme presojati ustreznosti nameravanega posla z vidika gospodarskih potreb trga.</w:t>
      </w:r>
    </w:p>
    <w:p w14:paraId="18516BB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69D1B54"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37" w:name="_Ref202963626"/>
      <w:r w:rsidRPr="00215B2F">
        <w:rPr>
          <w:rFonts w:ascii="Arial" w:eastAsia="Arial" w:hAnsi="Arial" w:cs="Arial"/>
          <w:b/>
          <w:bCs/>
          <w:sz w:val="20"/>
          <w:szCs w:val="20"/>
        </w:rPr>
        <w:t>člen</w:t>
      </w:r>
      <w:bookmarkEnd w:id="137"/>
    </w:p>
    <w:p w14:paraId="074AFC68" w14:textId="77777777" w:rsidR="00D91782" w:rsidRPr="00215B2F" w:rsidRDefault="00D91782" w:rsidP="00FD5520">
      <w:pPr>
        <w:pStyle w:val="Slog1"/>
        <w:shd w:val="clear" w:color="auto" w:fill="FFFFFF" w:themeFill="background1"/>
        <w:rPr>
          <w:sz w:val="20"/>
          <w:szCs w:val="20"/>
        </w:rPr>
      </w:pPr>
      <w:r w:rsidRPr="00215B2F">
        <w:rPr>
          <w:sz w:val="20"/>
          <w:szCs w:val="20"/>
        </w:rPr>
        <w:t>(razlogi za negativno mnenje)</w:t>
      </w:r>
    </w:p>
    <w:p w14:paraId="62C1D661" w14:textId="77777777" w:rsidR="00D91782" w:rsidRPr="00215B2F" w:rsidRDefault="00D91782" w:rsidP="00FD5520">
      <w:pPr>
        <w:pStyle w:val="Slog1"/>
        <w:shd w:val="clear" w:color="auto" w:fill="FFFFFF" w:themeFill="background1"/>
        <w:rPr>
          <w:sz w:val="20"/>
          <w:szCs w:val="20"/>
        </w:rPr>
      </w:pPr>
    </w:p>
    <w:p w14:paraId="414A34B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Slovenije izda negativno mnenje o združitvi ali delitvi, če:</w:t>
      </w:r>
    </w:p>
    <w:p w14:paraId="78523DE5"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27A9986" w14:textId="1CD1D1DA" w:rsidR="00895214" w:rsidRPr="00215B2F" w:rsidRDefault="00D91782">
      <w:pPr>
        <w:pStyle w:val="tevilnatoka"/>
        <w:numPr>
          <w:ilvl w:val="0"/>
          <w:numId w:val="84"/>
        </w:numPr>
        <w:shd w:val="clear" w:color="auto" w:fill="FFFFFF" w:themeFill="background1"/>
        <w:tabs>
          <w:tab w:val="clear" w:pos="425"/>
        </w:tabs>
        <w:rPr>
          <w:rFonts w:cs="Arial"/>
          <w:bCs/>
          <w:sz w:val="20"/>
          <w:szCs w:val="20"/>
        </w:rPr>
      </w:pPr>
      <w:r w:rsidRPr="00215B2F">
        <w:rPr>
          <w:rFonts w:eastAsia="Arial" w:cs="Arial"/>
          <w:sz w:val="20"/>
          <w:szCs w:val="20"/>
        </w:rPr>
        <w:t xml:space="preserve">glede nameravanega posla niso izpolnjena merila iz drugega </w:t>
      </w:r>
      <w:r w:rsidR="00746E88" w:rsidRPr="00215B2F">
        <w:rPr>
          <w:rFonts w:eastAsia="Arial" w:cs="Arial"/>
          <w:sz w:val="20"/>
          <w:szCs w:val="20"/>
        </w:rPr>
        <w:t>odstavka prejšnjega člena</w:t>
      </w:r>
      <w:r w:rsidRPr="00215B2F">
        <w:rPr>
          <w:rFonts w:eastAsia="Arial" w:cs="Arial"/>
          <w:sz w:val="20"/>
          <w:szCs w:val="20"/>
        </w:rPr>
        <w:t>;</w:t>
      </w:r>
    </w:p>
    <w:p w14:paraId="4170A8EE" w14:textId="5C14C4CD" w:rsidR="00D91782" w:rsidRPr="00215B2F" w:rsidRDefault="00D91782">
      <w:pPr>
        <w:pStyle w:val="tevilnatoka"/>
        <w:numPr>
          <w:ilvl w:val="0"/>
          <w:numId w:val="84"/>
        </w:numPr>
        <w:shd w:val="clear" w:color="auto" w:fill="FFFFFF" w:themeFill="background1"/>
        <w:tabs>
          <w:tab w:val="clear" w:pos="425"/>
        </w:tabs>
        <w:rPr>
          <w:rFonts w:cs="Arial"/>
          <w:bCs/>
          <w:sz w:val="20"/>
          <w:szCs w:val="20"/>
        </w:rPr>
      </w:pPr>
      <w:r w:rsidRPr="00215B2F">
        <w:rPr>
          <w:rFonts w:eastAsia="Arial" w:cs="Arial"/>
          <w:sz w:val="20"/>
          <w:szCs w:val="20"/>
        </w:rPr>
        <w:t xml:space="preserve">finančni deležnik v roku, ki ga v skladu z </w:t>
      </w:r>
      <w:r w:rsidR="00216566" w:rsidRPr="00215B2F">
        <w:rPr>
          <w:rFonts w:eastAsia="Arial" w:cs="Arial"/>
          <w:sz w:val="20"/>
          <w:szCs w:val="20"/>
        </w:rPr>
        <w:t>99.</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 xml:space="preserve"> določi Banka Slovenije, ne predloži vse dokumentacije in informacij</w:t>
      </w:r>
      <w:r w:rsidR="002C2502" w:rsidRPr="00215B2F">
        <w:rPr>
          <w:rFonts w:eastAsia="Arial" w:cs="Arial"/>
          <w:sz w:val="20"/>
          <w:szCs w:val="20"/>
        </w:rPr>
        <w:t>,</w:t>
      </w:r>
      <w:r w:rsidRPr="00215B2F">
        <w:rPr>
          <w:rFonts w:eastAsia="Arial" w:cs="Arial"/>
          <w:sz w:val="20"/>
          <w:szCs w:val="20"/>
        </w:rPr>
        <w:t xml:space="preserve"> potrebnih za oceno združitve ali delitve</w:t>
      </w:r>
      <w:r w:rsidR="002C2502" w:rsidRPr="00215B2F">
        <w:rPr>
          <w:rFonts w:eastAsia="Arial" w:cs="Arial"/>
          <w:sz w:val="20"/>
          <w:szCs w:val="20"/>
        </w:rPr>
        <w:t>,</w:t>
      </w:r>
      <w:r w:rsidRPr="00215B2F">
        <w:rPr>
          <w:rFonts w:eastAsia="Arial" w:cs="Arial"/>
          <w:sz w:val="20"/>
          <w:szCs w:val="20"/>
        </w:rPr>
        <w:t xml:space="preserve"> oziroma so te nepopolne. </w:t>
      </w:r>
    </w:p>
    <w:p w14:paraId="1A0D961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644C6B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38" w:name="_Ref202963632"/>
      <w:r w:rsidRPr="00215B2F">
        <w:rPr>
          <w:rFonts w:ascii="Arial" w:eastAsia="Arial" w:hAnsi="Arial" w:cs="Arial"/>
          <w:b/>
          <w:bCs/>
          <w:sz w:val="20"/>
          <w:szCs w:val="20"/>
        </w:rPr>
        <w:t>člen</w:t>
      </w:r>
      <w:bookmarkEnd w:id="138"/>
    </w:p>
    <w:p w14:paraId="5D912BAA" w14:textId="77777777" w:rsidR="00D91782" w:rsidRPr="00215B2F" w:rsidRDefault="00D91782" w:rsidP="00FD5520">
      <w:pPr>
        <w:pStyle w:val="Slog1"/>
        <w:shd w:val="clear" w:color="auto" w:fill="FFFFFF" w:themeFill="background1"/>
        <w:rPr>
          <w:sz w:val="20"/>
          <w:szCs w:val="20"/>
        </w:rPr>
      </w:pPr>
      <w:r w:rsidRPr="00215B2F">
        <w:rPr>
          <w:sz w:val="20"/>
          <w:szCs w:val="20"/>
        </w:rPr>
        <w:t>(odločitev o oceni združitve ali delitve)</w:t>
      </w:r>
    </w:p>
    <w:p w14:paraId="254509E7" w14:textId="77777777" w:rsidR="00D91782" w:rsidRPr="00215B2F" w:rsidRDefault="00D91782" w:rsidP="00FD5520">
      <w:pPr>
        <w:pStyle w:val="Slog1"/>
        <w:shd w:val="clear" w:color="auto" w:fill="FFFFFF" w:themeFill="background1"/>
        <w:jc w:val="both"/>
        <w:rPr>
          <w:sz w:val="20"/>
          <w:szCs w:val="20"/>
        </w:rPr>
      </w:pPr>
    </w:p>
    <w:p w14:paraId="6499A108" w14:textId="736F1D9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Odločitev o oceni združitve ali delitve se izda kot pozitivno ali negativno mnenje (odločba o pozitivnem ali negativnem mnenju o združitvi ali delitvi).</w:t>
      </w:r>
    </w:p>
    <w:p w14:paraId="53600EEC"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74C39FFF" w14:textId="762A648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v dveh delovnih dneh po opravljeni oceni združitve ali delitve izda in odpravi obrazloženo odločbo o pozitivnem ali negativnem mnenju. </w:t>
      </w:r>
    </w:p>
    <w:p w14:paraId="25B62DCF" w14:textId="77777777" w:rsidR="003E05E7" w:rsidRPr="00215B2F" w:rsidRDefault="003E05E7" w:rsidP="00FD5520">
      <w:pPr>
        <w:shd w:val="clear" w:color="auto" w:fill="FFFFFF" w:themeFill="background1"/>
        <w:spacing w:after="0" w:line="240" w:lineRule="auto"/>
        <w:jc w:val="both"/>
        <w:rPr>
          <w:rFonts w:ascii="Arial" w:eastAsia="Arial" w:hAnsi="Arial" w:cs="Arial"/>
          <w:sz w:val="20"/>
          <w:szCs w:val="20"/>
        </w:rPr>
      </w:pPr>
    </w:p>
    <w:p w14:paraId="0FDDEFA7" w14:textId="393F68F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Finančni deležniki odločbo o pozitivnem mnenju po</w:t>
      </w:r>
      <w:r w:rsidR="00691A2E" w:rsidRPr="00215B2F">
        <w:rPr>
          <w:rFonts w:ascii="Arial" w:eastAsia="Arial" w:hAnsi="Arial" w:cs="Arial"/>
          <w:sz w:val="20"/>
          <w:szCs w:val="20"/>
        </w:rPr>
        <w:t>šl</w:t>
      </w:r>
      <w:r w:rsidRPr="00215B2F">
        <w:rPr>
          <w:rFonts w:ascii="Arial" w:eastAsia="Arial" w:hAnsi="Arial" w:cs="Arial"/>
          <w:sz w:val="20"/>
          <w:szCs w:val="20"/>
        </w:rPr>
        <w:t>jejo sodnemu registru.</w:t>
      </w:r>
    </w:p>
    <w:p w14:paraId="0498D4DA"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503F9071" w14:textId="50AA070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Kadar nameravani posel vključuje samo finančne deležnike iz iste skupine in Banka Slovenije do konca ocenjevalnega obdobja oziroma do poteka roka iz prvega odstavka </w:t>
      </w:r>
      <w:r w:rsidR="00216566" w:rsidRPr="00215B2F">
        <w:rPr>
          <w:rFonts w:ascii="Arial" w:eastAsia="Arial" w:hAnsi="Arial" w:cs="Arial"/>
          <w:sz w:val="20"/>
          <w:szCs w:val="20"/>
        </w:rPr>
        <w:t>100.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ob upoštevanju morebitnega zadržanja ali podaljšanja v skladu s tretjim ali četrtim odstavkom </w:t>
      </w:r>
      <w:r w:rsidR="00216566" w:rsidRPr="00215B2F">
        <w:rPr>
          <w:rFonts w:ascii="Arial" w:eastAsia="Arial" w:hAnsi="Arial" w:cs="Arial"/>
          <w:sz w:val="20"/>
          <w:szCs w:val="20"/>
        </w:rPr>
        <w:t>100.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ne izda odločbe o negativnem mnenju, se šteje, da je z dnem, s katerim poteče ta rok, finančnemu deležniku izdano pozitivno mnenje. </w:t>
      </w:r>
    </w:p>
    <w:p w14:paraId="116907D4"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3195106D" w14:textId="7D96DA9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Kadar je nameravani posel združitev, ki vključuje le finančne deležnike iz iste skupine, vključno s skupino kreditnih institucij, ki so stalno povezane s centralnim organom</w:t>
      </w:r>
      <w:r w:rsidR="00691A2E" w:rsidRPr="00215B2F">
        <w:rPr>
          <w:rFonts w:ascii="Arial" w:eastAsia="Arial" w:hAnsi="Arial" w:cs="Arial"/>
          <w:sz w:val="20"/>
          <w:szCs w:val="20"/>
        </w:rPr>
        <w:t>,</w:t>
      </w:r>
      <w:r w:rsidRPr="00215B2F">
        <w:rPr>
          <w:rFonts w:ascii="Arial" w:eastAsia="Arial" w:hAnsi="Arial" w:cs="Arial"/>
          <w:sz w:val="20"/>
          <w:szCs w:val="20"/>
        </w:rPr>
        <w:t xml:space="preserve"> in ki je nadzorovana kot skupina, lahko Banka Slovenije s sklepom odloči, da ne bo ocenila združitve. Banka Slovenije o tem pred iztekom ocenjevalnega obdobja obvesti finančne deležnike. </w:t>
      </w:r>
    </w:p>
    <w:p w14:paraId="76421EA3"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3EA3E31D" w14:textId="10794D6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Banka Slovenije ne opravi ocene združitve ali delitve iz tega člena, če je za izvedbo nameravanega posla potrebno dovoljenje za opravljanje bančnih storitev iz prvega odstavka </w:t>
      </w:r>
      <w:r w:rsidR="00216566" w:rsidRPr="00215B2F">
        <w:rPr>
          <w:rFonts w:ascii="Arial" w:eastAsia="Arial" w:hAnsi="Arial" w:cs="Arial"/>
          <w:sz w:val="20"/>
          <w:szCs w:val="20"/>
        </w:rPr>
        <w:t>140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ali odobritev finančnega ali mešanega finančnega holdinga iz </w:t>
      </w:r>
      <w:r w:rsidR="00216566"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p>
    <w:p w14:paraId="304CAE3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8C5712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39" w:name="_Ref202963642"/>
      <w:r w:rsidRPr="00215B2F">
        <w:rPr>
          <w:rFonts w:ascii="Arial" w:eastAsia="Arial" w:hAnsi="Arial" w:cs="Arial"/>
          <w:b/>
          <w:bCs/>
          <w:sz w:val="20"/>
          <w:szCs w:val="20"/>
        </w:rPr>
        <w:t>člen</w:t>
      </w:r>
      <w:bookmarkEnd w:id="139"/>
    </w:p>
    <w:p w14:paraId="1C7FE7A8" w14:textId="77777777" w:rsidR="00D91782" w:rsidRPr="00215B2F" w:rsidRDefault="00D91782" w:rsidP="00FD5520">
      <w:pPr>
        <w:pStyle w:val="Slog1"/>
        <w:shd w:val="clear" w:color="auto" w:fill="FFFFFF" w:themeFill="background1"/>
        <w:rPr>
          <w:sz w:val="20"/>
          <w:szCs w:val="20"/>
        </w:rPr>
      </w:pPr>
      <w:r w:rsidRPr="00215B2F">
        <w:rPr>
          <w:sz w:val="20"/>
          <w:szCs w:val="20"/>
        </w:rPr>
        <w:t>(vpis združitve ali delitve v sodni register)</w:t>
      </w:r>
    </w:p>
    <w:p w14:paraId="71E6E50E" w14:textId="77777777" w:rsidR="00D91782" w:rsidRPr="00215B2F" w:rsidRDefault="00D91782" w:rsidP="00FD5520">
      <w:pPr>
        <w:pStyle w:val="Slog1"/>
        <w:shd w:val="clear" w:color="auto" w:fill="FFFFFF" w:themeFill="background1"/>
        <w:jc w:val="both"/>
        <w:rPr>
          <w:sz w:val="20"/>
          <w:szCs w:val="20"/>
        </w:rPr>
      </w:pPr>
    </w:p>
    <w:p w14:paraId="41EE3FCC" w14:textId="1061B156" w:rsidR="00D91782" w:rsidRPr="00215B2F" w:rsidRDefault="0059639B"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w:t>
      </w:r>
      <w:r w:rsidR="00D91782" w:rsidRPr="00215B2F">
        <w:rPr>
          <w:rFonts w:ascii="Arial" w:eastAsia="Arial" w:hAnsi="Arial" w:cs="Arial"/>
          <w:sz w:val="20"/>
          <w:szCs w:val="20"/>
        </w:rPr>
        <w:t>Pozitivno mnenje Banke Slovenije o združitvi ali delitvi</w:t>
      </w:r>
      <w:r w:rsidR="00050960" w:rsidRPr="00215B2F">
        <w:rPr>
          <w:rFonts w:ascii="Arial" w:eastAsia="Arial" w:hAnsi="Arial" w:cs="Arial"/>
          <w:sz w:val="20"/>
          <w:szCs w:val="20"/>
        </w:rPr>
        <w:t xml:space="preserve"> ali sklep Banke Slovenije, da ne bo ocenila združitve</w:t>
      </w:r>
      <w:r w:rsidR="00D91782" w:rsidRPr="00215B2F">
        <w:rPr>
          <w:rFonts w:ascii="Arial" w:eastAsia="Arial" w:hAnsi="Arial" w:cs="Arial"/>
          <w:sz w:val="20"/>
          <w:szCs w:val="20"/>
        </w:rPr>
        <w:t xml:space="preserve"> je pogoj za vpis združitve ali delitve pri finančnem deležniku v sodni register. </w:t>
      </w:r>
    </w:p>
    <w:p w14:paraId="762137A9"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6C125CBC" w14:textId="4DBB307E" w:rsidR="00D91782" w:rsidRPr="00215B2F" w:rsidRDefault="0059639B"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w:t>
      </w:r>
      <w:r w:rsidR="00D91782" w:rsidRPr="00215B2F">
        <w:rPr>
          <w:rFonts w:ascii="Arial" w:eastAsia="Arial" w:hAnsi="Arial" w:cs="Arial"/>
          <w:sz w:val="20"/>
          <w:szCs w:val="20"/>
        </w:rPr>
        <w:t xml:space="preserve">Pozitivno mnenje Banke Slovenije šteje kot dovoljenje oziroma soglasje pristojnega organa za vpis združitve ali delitve v sodni register v skladu z </w:t>
      </w:r>
      <w:r w:rsidR="00E94A53" w:rsidRPr="00215B2F">
        <w:rPr>
          <w:rFonts w:ascii="Arial" w:eastAsia="Arial" w:hAnsi="Arial" w:cs="Arial"/>
          <w:sz w:val="20"/>
          <w:szCs w:val="20"/>
        </w:rPr>
        <w:t>ZGD-1</w:t>
      </w:r>
      <w:r w:rsidR="00D91782" w:rsidRPr="00215B2F">
        <w:rPr>
          <w:rFonts w:ascii="Arial" w:eastAsia="Arial" w:hAnsi="Arial" w:cs="Arial"/>
          <w:sz w:val="20"/>
          <w:szCs w:val="20"/>
        </w:rPr>
        <w:t xml:space="preserve">. </w:t>
      </w:r>
    </w:p>
    <w:p w14:paraId="1D670CB3" w14:textId="77777777" w:rsidR="00D91782" w:rsidRPr="00215B2F" w:rsidRDefault="00D91782" w:rsidP="00FD5520">
      <w:pPr>
        <w:pStyle w:val="Slog1"/>
        <w:shd w:val="clear" w:color="auto" w:fill="FFFFFF" w:themeFill="background1"/>
        <w:jc w:val="both"/>
        <w:rPr>
          <w:sz w:val="20"/>
          <w:szCs w:val="20"/>
        </w:rPr>
      </w:pPr>
    </w:p>
    <w:p w14:paraId="155F0366"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40" w:name="_Ref202963692"/>
      <w:r w:rsidRPr="00215B2F">
        <w:rPr>
          <w:rFonts w:ascii="Arial" w:eastAsia="Arial" w:hAnsi="Arial" w:cs="Arial"/>
          <w:b/>
          <w:bCs/>
          <w:sz w:val="20"/>
          <w:szCs w:val="20"/>
        </w:rPr>
        <w:t>člen</w:t>
      </w:r>
      <w:bookmarkEnd w:id="140"/>
    </w:p>
    <w:p w14:paraId="488C3729" w14:textId="77777777" w:rsidR="00D91782" w:rsidRPr="00215B2F" w:rsidRDefault="00D91782" w:rsidP="00FD5520">
      <w:pPr>
        <w:pStyle w:val="Slog1"/>
        <w:shd w:val="clear" w:color="auto" w:fill="FFFFFF" w:themeFill="background1"/>
        <w:rPr>
          <w:sz w:val="20"/>
          <w:szCs w:val="20"/>
        </w:rPr>
      </w:pPr>
      <w:r w:rsidRPr="00215B2F">
        <w:rPr>
          <w:sz w:val="20"/>
          <w:szCs w:val="20"/>
        </w:rPr>
        <w:t>(rok za izvedbo nameravanega posla)</w:t>
      </w:r>
    </w:p>
    <w:p w14:paraId="462CF922" w14:textId="77777777" w:rsidR="00D91782" w:rsidRPr="00215B2F" w:rsidRDefault="00D91782" w:rsidP="00FD5520">
      <w:pPr>
        <w:pStyle w:val="Slog1"/>
        <w:shd w:val="clear" w:color="auto" w:fill="FFFFFF" w:themeFill="background1"/>
        <w:jc w:val="both"/>
        <w:rPr>
          <w:sz w:val="20"/>
          <w:szCs w:val="20"/>
        </w:rPr>
      </w:pPr>
    </w:p>
    <w:p w14:paraId="465E7401" w14:textId="7B2D2C4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lahko v pozitivnem mnenju o združitvi ali delitvi določi skrajni rok za izvedbo nameravanega posla.</w:t>
      </w:r>
    </w:p>
    <w:p w14:paraId="07B2B3E4"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30951E5C" w14:textId="40C5534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Na podlagi obrazložene zahteve finančnega deležnika se lahko rok iz prejšnjega odstavka podaljša za največ dodatnih šest mesecev. Zahteva za podaljšanje roka mora biti vložena najmanj dva meseca pred potekom roka, določenega v pozitivnem mnenju o združitvi ali delitvi iz </w:t>
      </w:r>
      <w:r w:rsidR="000D3688" w:rsidRPr="00215B2F">
        <w:rPr>
          <w:rFonts w:ascii="Arial" w:eastAsia="Arial" w:hAnsi="Arial" w:cs="Arial"/>
          <w:sz w:val="20"/>
          <w:szCs w:val="20"/>
        </w:rPr>
        <w:t xml:space="preserve">prejšnjega </w:t>
      </w:r>
      <w:r w:rsidR="00746E88" w:rsidRPr="00215B2F">
        <w:rPr>
          <w:rFonts w:ascii="Arial" w:eastAsia="Arial" w:hAnsi="Arial" w:cs="Arial"/>
          <w:sz w:val="20"/>
          <w:szCs w:val="20"/>
        </w:rPr>
        <w:t>odstavka</w:t>
      </w:r>
      <w:r w:rsidRPr="00215B2F">
        <w:rPr>
          <w:rFonts w:ascii="Arial" w:eastAsia="Arial" w:hAnsi="Arial" w:cs="Arial"/>
          <w:sz w:val="20"/>
          <w:szCs w:val="20"/>
        </w:rPr>
        <w:t>.</w:t>
      </w:r>
    </w:p>
    <w:p w14:paraId="4EC4DB74"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63BA7AA6" w14:textId="2287929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Če finančni deležnik ne izvede nameravane</w:t>
      </w:r>
      <w:r w:rsidR="000D3688" w:rsidRPr="00215B2F">
        <w:rPr>
          <w:rFonts w:ascii="Arial" w:eastAsia="Arial" w:hAnsi="Arial" w:cs="Arial"/>
          <w:sz w:val="20"/>
          <w:szCs w:val="20"/>
        </w:rPr>
        <w:t>ga posla</w:t>
      </w:r>
      <w:r w:rsidRPr="00215B2F">
        <w:rPr>
          <w:rFonts w:ascii="Arial" w:eastAsia="Arial" w:hAnsi="Arial" w:cs="Arial"/>
          <w:sz w:val="20"/>
          <w:szCs w:val="20"/>
        </w:rPr>
        <w:t xml:space="preserve"> v roku</w:t>
      </w:r>
      <w:r w:rsidR="000D3688" w:rsidRPr="00215B2F">
        <w:rPr>
          <w:rFonts w:ascii="Arial" w:eastAsia="Arial" w:hAnsi="Arial" w:cs="Arial"/>
          <w:sz w:val="20"/>
          <w:szCs w:val="20"/>
        </w:rPr>
        <w:t xml:space="preserve"> iz prvega odstavka tega člena</w:t>
      </w:r>
      <w:r w:rsidRPr="00215B2F">
        <w:rPr>
          <w:rFonts w:ascii="Arial" w:eastAsia="Arial" w:hAnsi="Arial" w:cs="Arial"/>
          <w:sz w:val="20"/>
          <w:szCs w:val="20"/>
        </w:rPr>
        <w:t>, pozitivno mnenje o združitvi ali delitvi preneha veljati</w:t>
      </w:r>
      <w:r w:rsidR="000D3688" w:rsidRPr="00215B2F">
        <w:rPr>
          <w:rFonts w:ascii="Arial" w:eastAsia="Arial" w:hAnsi="Arial" w:cs="Arial"/>
          <w:sz w:val="20"/>
          <w:szCs w:val="20"/>
        </w:rPr>
        <w:t xml:space="preserve">, </w:t>
      </w:r>
      <w:r w:rsidRPr="00215B2F">
        <w:rPr>
          <w:rFonts w:ascii="Arial" w:eastAsia="Arial" w:hAnsi="Arial" w:cs="Arial"/>
          <w:sz w:val="20"/>
          <w:szCs w:val="20"/>
        </w:rPr>
        <w:t xml:space="preserve">finančni deležnik </w:t>
      </w:r>
      <w:r w:rsidR="000D3688" w:rsidRPr="00215B2F">
        <w:rPr>
          <w:rFonts w:ascii="Arial" w:eastAsia="Arial" w:hAnsi="Arial" w:cs="Arial"/>
          <w:sz w:val="20"/>
          <w:szCs w:val="20"/>
        </w:rPr>
        <w:t xml:space="preserve">pa </w:t>
      </w:r>
      <w:r w:rsidR="00691A2E" w:rsidRPr="00215B2F">
        <w:rPr>
          <w:rFonts w:ascii="Arial" w:eastAsia="Arial" w:hAnsi="Arial" w:cs="Arial"/>
          <w:sz w:val="20"/>
          <w:szCs w:val="20"/>
        </w:rPr>
        <w:t xml:space="preserve">mora </w:t>
      </w:r>
      <w:r w:rsidRPr="00215B2F">
        <w:rPr>
          <w:rFonts w:ascii="Arial" w:eastAsia="Arial" w:hAnsi="Arial" w:cs="Arial"/>
          <w:sz w:val="20"/>
          <w:szCs w:val="20"/>
        </w:rPr>
        <w:t>pred izvedbo nameravanega posla pridobiti novo pozitivno mnenje.</w:t>
      </w:r>
    </w:p>
    <w:p w14:paraId="04001A3C"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12FB20CE"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41" w:name="_Ref202963697"/>
      <w:r w:rsidRPr="00215B2F">
        <w:rPr>
          <w:rFonts w:ascii="Arial" w:eastAsia="Arial" w:hAnsi="Arial" w:cs="Arial"/>
          <w:b/>
          <w:bCs/>
          <w:sz w:val="20"/>
          <w:szCs w:val="20"/>
        </w:rPr>
        <w:t>člen</w:t>
      </w:r>
      <w:bookmarkEnd w:id="141"/>
    </w:p>
    <w:p w14:paraId="1E344672" w14:textId="77777777" w:rsidR="00D91782" w:rsidRPr="00215B2F" w:rsidRDefault="00D91782" w:rsidP="00FD5520">
      <w:pPr>
        <w:pStyle w:val="Slog1"/>
        <w:shd w:val="clear" w:color="auto" w:fill="FFFFFF" w:themeFill="background1"/>
        <w:rPr>
          <w:sz w:val="20"/>
          <w:szCs w:val="20"/>
        </w:rPr>
      </w:pPr>
      <w:r w:rsidRPr="00215B2F">
        <w:rPr>
          <w:sz w:val="20"/>
          <w:szCs w:val="20"/>
        </w:rPr>
        <w:t>(podzakonski predpisi o združitvah in delitvah)</w:t>
      </w:r>
    </w:p>
    <w:p w14:paraId="567F4546" w14:textId="77777777" w:rsidR="00D91782" w:rsidRPr="00215B2F" w:rsidRDefault="00D91782" w:rsidP="00FD5520">
      <w:pPr>
        <w:pStyle w:val="Slog1"/>
        <w:shd w:val="clear" w:color="auto" w:fill="FFFFFF" w:themeFill="background1"/>
        <w:jc w:val="both"/>
        <w:rPr>
          <w:sz w:val="20"/>
          <w:szCs w:val="20"/>
        </w:rPr>
      </w:pPr>
    </w:p>
    <w:p w14:paraId="6B9181AB" w14:textId="3BEC5660" w:rsidR="00D91782" w:rsidRPr="00215B2F" w:rsidRDefault="003E05E7"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w:t>
      </w:r>
      <w:r w:rsidR="00D91782" w:rsidRPr="00215B2F">
        <w:rPr>
          <w:rFonts w:ascii="Arial" w:eastAsia="Arial" w:hAnsi="Arial" w:cs="Arial"/>
          <w:sz w:val="20"/>
          <w:szCs w:val="20"/>
        </w:rPr>
        <w:t>Banka Slovenije predpiše:</w:t>
      </w:r>
    </w:p>
    <w:p w14:paraId="13D460E8" w14:textId="77777777" w:rsidR="003E05E7" w:rsidRPr="00215B2F" w:rsidRDefault="003E05E7" w:rsidP="00FD5520">
      <w:pPr>
        <w:shd w:val="clear" w:color="auto" w:fill="FFFFFF" w:themeFill="background1"/>
        <w:spacing w:after="0" w:line="240" w:lineRule="auto"/>
        <w:jc w:val="both"/>
        <w:rPr>
          <w:rFonts w:ascii="Arial" w:eastAsia="Arial" w:hAnsi="Arial" w:cs="Arial"/>
          <w:sz w:val="20"/>
          <w:szCs w:val="20"/>
        </w:rPr>
      </w:pPr>
    </w:p>
    <w:p w14:paraId="2B9E6353" w14:textId="77777777" w:rsidR="00895214" w:rsidRPr="00215B2F" w:rsidRDefault="00D91782" w:rsidP="00543D80">
      <w:pPr>
        <w:pStyle w:val="Odstavekseznama"/>
        <w:numPr>
          <w:ilvl w:val="3"/>
          <w:numId w:val="1"/>
        </w:numPr>
        <w:shd w:val="clear" w:color="auto" w:fill="FFFFFF" w:themeFill="background1"/>
        <w:spacing w:after="0" w:line="240" w:lineRule="auto"/>
        <w:ind w:left="357" w:hanging="357"/>
        <w:jc w:val="both"/>
        <w:rPr>
          <w:rFonts w:ascii="Arial" w:hAnsi="Arial" w:cs="Arial"/>
          <w:sz w:val="20"/>
          <w:szCs w:val="20"/>
        </w:rPr>
      </w:pPr>
      <w:r w:rsidRPr="00215B2F">
        <w:rPr>
          <w:rFonts w:ascii="Arial" w:eastAsia="Arial" w:hAnsi="Arial" w:cs="Arial"/>
          <w:sz w:val="20"/>
          <w:szCs w:val="20"/>
        </w:rPr>
        <w:t>seznam dokumentacije in informacij, ki jih je treba priložiti zahtevi za oceno združitve ali delitve;</w:t>
      </w:r>
    </w:p>
    <w:p w14:paraId="50B3950F" w14:textId="275E3E85" w:rsidR="00D91782" w:rsidRPr="00215B2F" w:rsidRDefault="00D91782" w:rsidP="00543D80">
      <w:pPr>
        <w:pStyle w:val="Odstavekseznama"/>
        <w:numPr>
          <w:ilvl w:val="3"/>
          <w:numId w:val="1"/>
        </w:numPr>
        <w:shd w:val="clear" w:color="auto" w:fill="FFFFFF" w:themeFill="background1"/>
        <w:spacing w:after="0" w:line="240" w:lineRule="auto"/>
        <w:ind w:left="357" w:hanging="357"/>
        <w:jc w:val="both"/>
        <w:rPr>
          <w:rFonts w:ascii="Arial" w:hAnsi="Arial" w:cs="Arial"/>
          <w:sz w:val="20"/>
          <w:szCs w:val="20"/>
        </w:rPr>
      </w:pPr>
      <w:r w:rsidRPr="00215B2F">
        <w:rPr>
          <w:rFonts w:ascii="Arial" w:eastAsia="Arial" w:hAnsi="Arial" w:cs="Arial"/>
          <w:sz w:val="20"/>
          <w:szCs w:val="20"/>
        </w:rPr>
        <w:t>podrobnejšo vsebino meril za presojo ocene združitve ali delitve</w:t>
      </w:r>
      <w:r w:rsidR="00691A2E" w:rsidRPr="00215B2F">
        <w:rPr>
          <w:rFonts w:ascii="Arial" w:eastAsia="Arial" w:hAnsi="Arial" w:cs="Arial"/>
          <w:sz w:val="20"/>
          <w:szCs w:val="20"/>
        </w:rPr>
        <w:t>.</w:t>
      </w:r>
    </w:p>
    <w:p w14:paraId="29241369"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146A418F" w14:textId="0BF815D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Zahtevane informacije iz 1. točke prejšnjega odstavka so sorazmerne in primerne glede na naravo nameravanega posla </w:t>
      </w:r>
      <w:r w:rsidR="00691A2E" w:rsidRPr="00215B2F">
        <w:rPr>
          <w:rFonts w:ascii="Arial" w:eastAsia="Arial" w:hAnsi="Arial" w:cs="Arial"/>
          <w:sz w:val="20"/>
          <w:szCs w:val="20"/>
        </w:rPr>
        <w:t xml:space="preserve">ter </w:t>
      </w:r>
      <w:r w:rsidRPr="00215B2F">
        <w:rPr>
          <w:rFonts w:ascii="Arial" w:eastAsia="Arial" w:hAnsi="Arial" w:cs="Arial"/>
          <w:sz w:val="20"/>
          <w:szCs w:val="20"/>
        </w:rPr>
        <w:t xml:space="preserve">ne vključujejo informacij, ki niso pomembne za oceno varnega in skrbnega poslovanja v okviru prvega odstavka </w:t>
      </w:r>
      <w:r w:rsidR="00216566" w:rsidRPr="00215B2F">
        <w:rPr>
          <w:rFonts w:ascii="Arial" w:eastAsia="Arial" w:hAnsi="Arial" w:cs="Arial"/>
          <w:sz w:val="20"/>
          <w:szCs w:val="20"/>
        </w:rPr>
        <w:t>102.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p>
    <w:p w14:paraId="7332AA10" w14:textId="77777777" w:rsidR="002B424D" w:rsidRPr="00215B2F" w:rsidRDefault="002B424D" w:rsidP="00FD5520">
      <w:pPr>
        <w:shd w:val="clear" w:color="auto" w:fill="FFFFFF" w:themeFill="background1"/>
        <w:spacing w:after="0" w:line="240" w:lineRule="auto"/>
        <w:jc w:val="both"/>
        <w:rPr>
          <w:rFonts w:ascii="Arial" w:eastAsia="Arial" w:hAnsi="Arial" w:cs="Arial"/>
          <w:sz w:val="20"/>
          <w:szCs w:val="20"/>
        </w:rPr>
      </w:pPr>
    </w:p>
    <w:p w14:paraId="4B61CE0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2291260" w14:textId="476B9A66" w:rsidR="00D91782" w:rsidRPr="00215B2F" w:rsidRDefault="002B689C"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3.</w:t>
      </w:r>
      <w:r w:rsidR="0044147E" w:rsidRPr="00215B2F">
        <w:rPr>
          <w:rFonts w:ascii="Arial" w:eastAsia="Arial" w:hAnsi="Arial" w:cs="Arial"/>
          <w:b/>
          <w:bCs/>
          <w:sz w:val="20"/>
          <w:szCs w:val="20"/>
        </w:rPr>
        <w:t>7</w:t>
      </w:r>
      <w:r w:rsidRPr="00215B2F">
        <w:rPr>
          <w:rFonts w:ascii="Arial" w:eastAsia="Arial" w:hAnsi="Arial" w:cs="Arial"/>
          <w:b/>
          <w:bCs/>
          <w:sz w:val="20"/>
          <w:szCs w:val="20"/>
        </w:rPr>
        <w:t xml:space="preserve"> ODOBRITEV FINANČNIH HOLDINGOV IN MEŠANIH FINANČNIH HOLDINGOV</w:t>
      </w:r>
    </w:p>
    <w:p w14:paraId="7CB292B6"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9B345E8"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42" w:name="_Ref202963704"/>
      <w:r w:rsidRPr="00215B2F">
        <w:rPr>
          <w:rFonts w:ascii="Arial" w:eastAsia="Arial" w:hAnsi="Arial" w:cs="Arial"/>
          <w:b/>
          <w:bCs/>
          <w:sz w:val="20"/>
          <w:szCs w:val="20"/>
        </w:rPr>
        <w:t>člen</w:t>
      </w:r>
      <w:bookmarkEnd w:id="142"/>
    </w:p>
    <w:p w14:paraId="6053009F" w14:textId="77777777" w:rsidR="00D91782" w:rsidRPr="00215B2F" w:rsidRDefault="00D91782" w:rsidP="00FD5520">
      <w:pPr>
        <w:pStyle w:val="Slog1"/>
        <w:shd w:val="clear" w:color="auto" w:fill="FFFFFF" w:themeFill="background1"/>
        <w:rPr>
          <w:sz w:val="20"/>
          <w:szCs w:val="20"/>
        </w:rPr>
      </w:pPr>
      <w:r w:rsidRPr="00215B2F">
        <w:rPr>
          <w:sz w:val="20"/>
          <w:szCs w:val="20"/>
        </w:rPr>
        <w:lastRenderedPageBreak/>
        <w:t>(odobritev finančnega holdinga in mešanega finančnega holdinga)</w:t>
      </w:r>
    </w:p>
    <w:p w14:paraId="6B4BB757" w14:textId="77777777" w:rsidR="00D91782" w:rsidRPr="00215B2F" w:rsidRDefault="00D91782" w:rsidP="00FD5520">
      <w:pPr>
        <w:pStyle w:val="Slog1"/>
        <w:shd w:val="clear" w:color="auto" w:fill="FFFFFF" w:themeFill="background1"/>
        <w:jc w:val="both"/>
        <w:rPr>
          <w:sz w:val="20"/>
          <w:szCs w:val="20"/>
        </w:rPr>
      </w:pPr>
    </w:p>
    <w:p w14:paraId="52C56DCE" w14:textId="060F101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143" w:name="_Hlk203565561"/>
      <w:r w:rsidRPr="00215B2F">
        <w:rPr>
          <w:rFonts w:ascii="Arial" w:eastAsia="Arial" w:hAnsi="Arial" w:cs="Arial"/>
          <w:sz w:val="20"/>
          <w:szCs w:val="20"/>
        </w:rPr>
        <w:t xml:space="preserve">(1) Nadrejeni finančni holding Republike Slovenije, nadrejeni mešani finančni holding Republike Slovenije, EU nadrejeni finančni holding in EU nadrejeni mešani finančni holding, za nadzor nad katerimi na konsolidirani podlagi </w:t>
      </w:r>
      <w:r w:rsidR="00475A69" w:rsidRPr="00215B2F">
        <w:rPr>
          <w:rFonts w:ascii="Arial" w:eastAsia="Arial" w:hAnsi="Arial" w:cs="Arial"/>
          <w:sz w:val="20"/>
          <w:szCs w:val="20"/>
        </w:rPr>
        <w:t xml:space="preserve">je </w:t>
      </w:r>
      <w:r w:rsidRPr="00215B2F">
        <w:rPr>
          <w:rFonts w:ascii="Arial" w:eastAsia="Arial" w:hAnsi="Arial" w:cs="Arial"/>
          <w:sz w:val="20"/>
          <w:szCs w:val="20"/>
        </w:rPr>
        <w:t>pristojna Banka Slovenije, morajo pridobiti odobritev v skladu s tem zakonom.</w:t>
      </w:r>
    </w:p>
    <w:p w14:paraId="0062D8C6"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7B125292" w14:textId="5E767F1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Drug finančni holding ali mešani finančni holding, ki ima sedež v Republiki Sloveniji, mora pridobiti odobritev Banke Slovenije v skladu s tem zakonom, kadar mora izpolnjevati zahteve na podlagi tega zakona ali Uredbe 575/2013/EU na subkonsolidirani podlagi ali kadar </w:t>
      </w:r>
      <w:r w:rsidR="00D426E7" w:rsidRPr="00215B2F">
        <w:rPr>
          <w:rFonts w:ascii="Arial" w:eastAsia="Arial" w:hAnsi="Arial" w:cs="Arial"/>
          <w:sz w:val="20"/>
          <w:szCs w:val="20"/>
        </w:rPr>
        <w:t xml:space="preserve">je </w:t>
      </w:r>
      <w:r w:rsidRPr="00215B2F">
        <w:rPr>
          <w:rFonts w:ascii="Arial" w:eastAsia="Arial" w:hAnsi="Arial" w:cs="Arial"/>
          <w:sz w:val="20"/>
          <w:szCs w:val="20"/>
        </w:rPr>
        <w:t xml:space="preserve">v skladu s 3. točko prvega odstavka </w:t>
      </w:r>
      <w:r w:rsidR="00E64EE8" w:rsidRPr="00215B2F">
        <w:rPr>
          <w:rFonts w:ascii="Arial" w:eastAsia="Arial" w:hAnsi="Arial" w:cs="Arial"/>
          <w:sz w:val="20"/>
          <w:szCs w:val="20"/>
        </w:rPr>
        <w:t>113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imenovan kot odgovorni za zagotavljanje, da skupina izpolnjuje bonitetne zahteve na konsolidirani podlagi.</w:t>
      </w:r>
    </w:p>
    <w:p w14:paraId="5DD0B980"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08F6A9F9" w14:textId="0D3ED66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V primeru iz prejšnjega odstavka se določbe tega </w:t>
      </w:r>
      <w:r w:rsidR="005B0CC7" w:rsidRPr="00215B2F">
        <w:rPr>
          <w:rFonts w:ascii="Arial" w:eastAsia="Arial" w:hAnsi="Arial" w:cs="Arial"/>
          <w:sz w:val="20"/>
          <w:szCs w:val="20"/>
        </w:rPr>
        <w:t>o</w:t>
      </w:r>
      <w:r w:rsidR="001F2C7A" w:rsidRPr="00215B2F">
        <w:rPr>
          <w:rFonts w:ascii="Arial" w:eastAsia="Arial" w:hAnsi="Arial" w:cs="Arial"/>
          <w:sz w:val="20"/>
          <w:szCs w:val="20"/>
        </w:rPr>
        <w:t>ddelka</w:t>
      </w:r>
      <w:r w:rsidRPr="00215B2F">
        <w:rPr>
          <w:rFonts w:ascii="Arial" w:eastAsia="Arial" w:hAnsi="Arial" w:cs="Arial"/>
          <w:sz w:val="20"/>
          <w:szCs w:val="20"/>
        </w:rPr>
        <w:t xml:space="preserve"> glede pristojnosti Banke Slovenije kot konsolidacijskega nadzornika smiselno uporabljajo, kadar je Banka Slovenije pristojna za izvajanje nadzora na subkonsolidirani podlagi.</w:t>
      </w:r>
    </w:p>
    <w:bookmarkEnd w:id="143"/>
    <w:p w14:paraId="66776C51"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79E35D8A" w14:textId="4361133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redno in v vsakem primeru vsaj enkrat letno pregleda nadrejene osebe banke in preveri</w:t>
      </w:r>
      <w:r w:rsidR="00D426E7" w:rsidRPr="00215B2F">
        <w:rPr>
          <w:rFonts w:ascii="Arial" w:eastAsia="Arial" w:hAnsi="Arial" w:cs="Arial"/>
          <w:sz w:val="20"/>
          <w:szCs w:val="20"/>
        </w:rPr>
        <w:t>,</w:t>
      </w:r>
      <w:r w:rsidRPr="00215B2F">
        <w:rPr>
          <w:rFonts w:ascii="Arial" w:eastAsia="Arial" w:hAnsi="Arial" w:cs="Arial"/>
          <w:sz w:val="20"/>
          <w:szCs w:val="20"/>
        </w:rPr>
        <w:t xml:space="preserve"> ali je banka, družba s sedežem v Republiki Sloveniji, ki je vložila zahtevo za dovoljenje za opravljanje bančnih storitev v skladu s prvim odstavkom </w:t>
      </w:r>
      <w:r w:rsidR="006B729A" w:rsidRPr="00215B2F">
        <w:rPr>
          <w:rFonts w:ascii="Arial" w:eastAsia="Arial" w:hAnsi="Arial" w:cs="Arial"/>
          <w:sz w:val="20"/>
          <w:szCs w:val="20"/>
        </w:rPr>
        <w:t>140.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00D426E7" w:rsidRPr="00215B2F">
        <w:rPr>
          <w:rFonts w:ascii="Arial" w:eastAsia="Arial" w:hAnsi="Arial" w:cs="Arial"/>
          <w:sz w:val="20"/>
          <w:szCs w:val="20"/>
        </w:rPr>
        <w:t>,</w:t>
      </w:r>
      <w:r w:rsidRPr="00215B2F">
        <w:rPr>
          <w:rFonts w:ascii="Arial" w:eastAsia="Arial" w:hAnsi="Arial" w:cs="Arial"/>
          <w:sz w:val="20"/>
          <w:szCs w:val="20"/>
        </w:rPr>
        <w:t xml:space="preserve"> ali subjekt iz 3. točke prvega odstavka </w:t>
      </w:r>
      <w:r w:rsidR="00E64EE8" w:rsidRPr="00215B2F">
        <w:rPr>
          <w:rFonts w:ascii="Arial" w:eastAsia="Arial" w:hAnsi="Arial" w:cs="Arial"/>
          <w:sz w:val="20"/>
          <w:szCs w:val="20"/>
        </w:rPr>
        <w:t>113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(v nadaljnjem besedilu: imenovani subjekt) pravilno določil vse osebe, ki izpolnjujejo merila, na podlagi katerih se lahko obravnava kot nadrejeni finančni holding Republike Slovenije, nadrejeni mešani finančni holding Republike Slovenije, EU nadrejeni finančni holding ali EU nadrejeni mešani finančni holding. </w:t>
      </w:r>
    </w:p>
    <w:p w14:paraId="22887E2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95C844B" w14:textId="7D20CBB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V primerih, ko s</w:t>
      </w:r>
      <w:r w:rsidR="00D426E7" w:rsidRPr="00215B2F">
        <w:rPr>
          <w:rFonts w:ascii="Arial" w:eastAsia="Arial" w:hAnsi="Arial" w:cs="Arial"/>
          <w:sz w:val="20"/>
          <w:szCs w:val="20"/>
        </w:rPr>
        <w:t>o</w:t>
      </w:r>
      <w:r w:rsidRPr="00215B2F">
        <w:rPr>
          <w:rFonts w:ascii="Arial" w:eastAsia="Arial" w:hAnsi="Arial" w:cs="Arial"/>
          <w:sz w:val="20"/>
          <w:szCs w:val="20"/>
        </w:rPr>
        <w:t xml:space="preserve"> nadrejene osebe banke, družbe s sedežem v Republiki Sloveniji, ki je vložila zahtevo za dovoljenje za opravljanje bančnih storitev v skladu s prvim odstavkom </w:t>
      </w:r>
      <w:r w:rsidR="006B729A" w:rsidRPr="00215B2F">
        <w:rPr>
          <w:rFonts w:ascii="Arial" w:eastAsia="Arial" w:hAnsi="Arial" w:cs="Arial"/>
          <w:sz w:val="20"/>
          <w:szCs w:val="20"/>
        </w:rPr>
        <w:t>140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00D426E7" w:rsidRPr="00215B2F">
        <w:rPr>
          <w:rFonts w:ascii="Arial" w:eastAsia="Arial" w:hAnsi="Arial" w:cs="Arial"/>
          <w:sz w:val="20"/>
          <w:szCs w:val="20"/>
        </w:rPr>
        <w:t>,</w:t>
      </w:r>
      <w:r w:rsidRPr="00215B2F">
        <w:rPr>
          <w:rFonts w:ascii="Arial" w:eastAsia="Arial" w:hAnsi="Arial" w:cs="Arial"/>
          <w:sz w:val="20"/>
          <w:szCs w:val="20"/>
        </w:rPr>
        <w:t xml:space="preserve"> ali imenovan</w:t>
      </w:r>
      <w:r w:rsidR="00D426E7" w:rsidRPr="00215B2F">
        <w:rPr>
          <w:rFonts w:ascii="Arial" w:eastAsia="Arial" w:hAnsi="Arial" w:cs="Arial"/>
          <w:sz w:val="20"/>
          <w:szCs w:val="20"/>
        </w:rPr>
        <w:t>ega</w:t>
      </w:r>
      <w:r w:rsidRPr="00215B2F">
        <w:rPr>
          <w:rFonts w:ascii="Arial" w:eastAsia="Arial" w:hAnsi="Arial" w:cs="Arial"/>
          <w:sz w:val="20"/>
          <w:szCs w:val="20"/>
        </w:rPr>
        <w:t xml:space="preserve"> subjekt</w:t>
      </w:r>
      <w:r w:rsidR="00D426E7" w:rsidRPr="00215B2F">
        <w:rPr>
          <w:rFonts w:ascii="Arial" w:eastAsia="Arial" w:hAnsi="Arial" w:cs="Arial"/>
          <w:sz w:val="20"/>
          <w:szCs w:val="20"/>
        </w:rPr>
        <w:t>a</w:t>
      </w:r>
      <w:r w:rsidRPr="00215B2F">
        <w:rPr>
          <w:rFonts w:ascii="Arial" w:eastAsia="Arial" w:hAnsi="Arial" w:cs="Arial"/>
          <w:sz w:val="20"/>
          <w:szCs w:val="20"/>
        </w:rPr>
        <w:t xml:space="preserve"> s sedežem v Republiki </w:t>
      </w:r>
      <w:r w:rsidR="005F5E88" w:rsidRPr="00215B2F">
        <w:rPr>
          <w:rFonts w:ascii="Arial" w:eastAsia="Arial" w:hAnsi="Arial" w:cs="Arial"/>
          <w:sz w:val="20"/>
          <w:szCs w:val="20"/>
        </w:rPr>
        <w:t xml:space="preserve">Sloveniji </w:t>
      </w:r>
      <w:r w:rsidRPr="00215B2F">
        <w:rPr>
          <w:rFonts w:ascii="Arial" w:eastAsia="Arial" w:hAnsi="Arial" w:cs="Arial"/>
          <w:sz w:val="20"/>
          <w:szCs w:val="20"/>
        </w:rPr>
        <w:t xml:space="preserve">v drugi državi članici, Banka Slovenije pri izvajanju pregleda iz prejšnjega odstavka tesno sodeluje s pristojnimi organi teh držav članic. </w:t>
      </w:r>
    </w:p>
    <w:p w14:paraId="518D14B0"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1D4C2131" w14:textId="1D121C0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Banka Slovenije na svoji spletni strani objavi in vsako leto posodobi seznam finančnih holdingov in mešanih finančnih holdingov v Republiki Sloveniji, ki so pridobili odobritev ali so bili izvzeti iz odobritve v skladu s tem poglavjem. Kadar je odobreno izvzetje iz odobritve</w:t>
      </w:r>
      <w:r w:rsidR="000C53AF" w:rsidRPr="00215B2F">
        <w:rPr>
          <w:rFonts w:ascii="Arial" w:eastAsia="Arial" w:hAnsi="Arial" w:cs="Arial"/>
          <w:sz w:val="20"/>
          <w:szCs w:val="20"/>
        </w:rPr>
        <w:t xml:space="preserve"> iz 113. člena tega zakona</w:t>
      </w:r>
      <w:r w:rsidRPr="00215B2F">
        <w:rPr>
          <w:rFonts w:ascii="Arial" w:eastAsia="Arial" w:hAnsi="Arial" w:cs="Arial"/>
          <w:sz w:val="20"/>
          <w:szCs w:val="20"/>
        </w:rPr>
        <w:t xml:space="preserve">, Banka Slovenije na seznamu navede tudi imenovani subjekt. </w:t>
      </w:r>
    </w:p>
    <w:p w14:paraId="0CA2168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14684E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44" w:name="_Ref202963746"/>
      <w:r w:rsidRPr="00215B2F">
        <w:rPr>
          <w:rFonts w:ascii="Arial" w:eastAsia="Arial" w:hAnsi="Arial" w:cs="Arial"/>
          <w:b/>
          <w:bCs/>
          <w:sz w:val="20"/>
          <w:szCs w:val="20"/>
        </w:rPr>
        <w:t>člen</w:t>
      </w:r>
      <w:bookmarkEnd w:id="144"/>
    </w:p>
    <w:p w14:paraId="44F76383" w14:textId="77777777" w:rsidR="00D91782" w:rsidRPr="00215B2F" w:rsidRDefault="00D91782" w:rsidP="00FD5520">
      <w:pPr>
        <w:pStyle w:val="Slog1"/>
        <w:shd w:val="clear" w:color="auto" w:fill="FFFFFF" w:themeFill="background1"/>
        <w:rPr>
          <w:sz w:val="20"/>
          <w:szCs w:val="20"/>
        </w:rPr>
      </w:pPr>
      <w:r w:rsidRPr="00215B2F">
        <w:rPr>
          <w:sz w:val="20"/>
          <w:szCs w:val="20"/>
        </w:rPr>
        <w:t>(zahteva za odobritev finančnega holdinga in mešanega finančnega holdinga)</w:t>
      </w:r>
    </w:p>
    <w:p w14:paraId="61B179C5" w14:textId="77777777" w:rsidR="00D91782" w:rsidRPr="00215B2F" w:rsidRDefault="00D91782" w:rsidP="00FD5520">
      <w:pPr>
        <w:pStyle w:val="Slog1"/>
        <w:shd w:val="clear" w:color="auto" w:fill="FFFFFF" w:themeFill="background1"/>
        <w:jc w:val="both"/>
        <w:rPr>
          <w:sz w:val="20"/>
          <w:szCs w:val="20"/>
        </w:rPr>
      </w:pPr>
    </w:p>
    <w:p w14:paraId="70996AF5" w14:textId="311A03A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145" w:name="_Hlk203639897"/>
      <w:r w:rsidRPr="00215B2F">
        <w:rPr>
          <w:rFonts w:ascii="Arial" w:eastAsia="Arial" w:hAnsi="Arial" w:cs="Arial"/>
          <w:sz w:val="20"/>
          <w:szCs w:val="20"/>
        </w:rPr>
        <w:t xml:space="preserve">(1) Zahteva za odobritev finančnega holdinga ali mešanega finančnega holdinga iz </w:t>
      </w:r>
      <w:r w:rsidR="00746E88" w:rsidRPr="00215B2F">
        <w:rPr>
          <w:rFonts w:ascii="Arial" w:eastAsia="Arial" w:hAnsi="Arial" w:cs="Arial"/>
          <w:sz w:val="20"/>
          <w:szCs w:val="20"/>
        </w:rPr>
        <w:t>prejšnjega člena</w:t>
      </w:r>
      <w:r w:rsidRPr="00215B2F">
        <w:rPr>
          <w:rFonts w:ascii="Arial" w:eastAsia="Arial" w:hAnsi="Arial" w:cs="Arial"/>
          <w:sz w:val="20"/>
          <w:szCs w:val="20"/>
        </w:rPr>
        <w:t xml:space="preserve"> se vloži pri Banki Slovenije.</w:t>
      </w:r>
    </w:p>
    <w:p w14:paraId="50C45B35"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8A92487" w14:textId="691F30D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Zahteva iz prejšnjega odstavka mora </w:t>
      </w:r>
      <w:r w:rsidR="00E3559D" w:rsidRPr="00215B2F">
        <w:rPr>
          <w:rFonts w:ascii="Arial" w:eastAsia="Arial" w:hAnsi="Arial" w:cs="Arial"/>
          <w:sz w:val="20"/>
          <w:szCs w:val="20"/>
        </w:rPr>
        <w:t>vključevati</w:t>
      </w:r>
      <w:r w:rsidRPr="00215B2F">
        <w:rPr>
          <w:rFonts w:ascii="Arial" w:eastAsia="Arial" w:hAnsi="Arial" w:cs="Arial"/>
          <w:sz w:val="20"/>
          <w:szCs w:val="20"/>
        </w:rPr>
        <w:t>:</w:t>
      </w:r>
    </w:p>
    <w:p w14:paraId="38DA2D8E"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0B3B6569" w14:textId="77777777" w:rsidR="00895214" w:rsidRPr="00215B2F" w:rsidRDefault="00D91782">
      <w:pPr>
        <w:pStyle w:val="tevilnatoka"/>
        <w:numPr>
          <w:ilvl w:val="0"/>
          <w:numId w:val="85"/>
        </w:numPr>
        <w:shd w:val="clear" w:color="auto" w:fill="FFFFFF" w:themeFill="background1"/>
        <w:tabs>
          <w:tab w:val="clear" w:pos="425"/>
        </w:tabs>
        <w:rPr>
          <w:rFonts w:cs="Arial"/>
          <w:bCs/>
          <w:sz w:val="20"/>
          <w:szCs w:val="20"/>
        </w:rPr>
      </w:pPr>
      <w:r w:rsidRPr="00215B2F">
        <w:rPr>
          <w:rFonts w:eastAsia="Arial" w:cs="Arial"/>
          <w:sz w:val="20"/>
          <w:szCs w:val="20"/>
        </w:rPr>
        <w:t>organizacijsko strukturo skupine, katere del je finančni holding ali mešani finančni holding, z jasno navedbo njegovih podrejenih družb in po potrebi nadrejenih oseb ter kraj in vrsto dejavnosti, ki jo opravlja vsak subjekt v skupini;</w:t>
      </w:r>
    </w:p>
    <w:p w14:paraId="26F61AA3" w14:textId="21402253" w:rsidR="00895214" w:rsidRPr="00215B2F" w:rsidRDefault="00D91782">
      <w:pPr>
        <w:pStyle w:val="tevilnatoka"/>
        <w:numPr>
          <w:ilvl w:val="0"/>
          <w:numId w:val="85"/>
        </w:numPr>
        <w:shd w:val="clear" w:color="auto" w:fill="FFFFFF" w:themeFill="background1"/>
        <w:tabs>
          <w:tab w:val="clear" w:pos="425"/>
        </w:tabs>
        <w:rPr>
          <w:rFonts w:cs="Arial"/>
          <w:bCs/>
          <w:sz w:val="20"/>
          <w:szCs w:val="20"/>
        </w:rPr>
      </w:pPr>
      <w:r w:rsidRPr="00215B2F">
        <w:rPr>
          <w:rFonts w:eastAsia="Arial" w:cs="Arial"/>
          <w:sz w:val="20"/>
          <w:szCs w:val="20"/>
        </w:rPr>
        <w:t xml:space="preserve">informacije v zvezi z imenovanjem najmanj dveh oseb, ki dejansko vodita finančni holding ali mešani finančni holding, vključno z informacijami o izpolnjevanju </w:t>
      </w:r>
      <w:r w:rsidR="00E94A53" w:rsidRPr="00215B2F">
        <w:rPr>
          <w:rFonts w:eastAsia="Arial" w:cs="Arial"/>
          <w:sz w:val="20"/>
          <w:szCs w:val="20"/>
        </w:rPr>
        <w:t>pogojev</w:t>
      </w:r>
      <w:r w:rsidRPr="00215B2F">
        <w:rPr>
          <w:rFonts w:eastAsia="Arial" w:cs="Arial"/>
          <w:sz w:val="20"/>
          <w:szCs w:val="20"/>
        </w:rPr>
        <w:t xml:space="preserve"> iz </w:t>
      </w:r>
      <w:r w:rsidR="006153CB" w:rsidRPr="00215B2F">
        <w:rPr>
          <w:rFonts w:eastAsia="Arial" w:cs="Arial"/>
          <w:sz w:val="20"/>
          <w:szCs w:val="20"/>
        </w:rPr>
        <w:t>47</w:t>
      </w:r>
      <w:r w:rsidRPr="00215B2F">
        <w:rPr>
          <w:rFonts w:eastAsia="Arial" w:cs="Arial"/>
          <w:sz w:val="20"/>
          <w:szCs w:val="20"/>
        </w:rPr>
        <w:t xml:space="preserve">. in </w:t>
      </w:r>
      <w:r w:rsidR="006153CB" w:rsidRPr="00215B2F">
        <w:rPr>
          <w:rFonts w:eastAsia="Arial" w:cs="Arial"/>
          <w:sz w:val="20"/>
          <w:szCs w:val="20"/>
        </w:rPr>
        <w:t>62</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78DBB38F" w14:textId="63253F31" w:rsidR="00D91782" w:rsidRPr="00215B2F" w:rsidRDefault="00D91782">
      <w:pPr>
        <w:pStyle w:val="tevilnatoka"/>
        <w:numPr>
          <w:ilvl w:val="0"/>
          <w:numId w:val="85"/>
        </w:numPr>
        <w:shd w:val="clear" w:color="auto" w:fill="FFFFFF" w:themeFill="background1"/>
        <w:tabs>
          <w:tab w:val="clear" w:pos="425"/>
        </w:tabs>
        <w:rPr>
          <w:rFonts w:cs="Arial"/>
          <w:bCs/>
          <w:sz w:val="20"/>
          <w:szCs w:val="20"/>
        </w:rPr>
      </w:pPr>
      <w:r w:rsidRPr="00215B2F">
        <w:rPr>
          <w:rFonts w:eastAsia="Arial" w:cs="Arial"/>
          <w:sz w:val="20"/>
          <w:szCs w:val="20"/>
        </w:rPr>
        <w:t>če je podrejena družba finančnega holdinga ali mešanega finančnega holdinga banka, informacije v zvezi z delničarji in družbeniki glede:</w:t>
      </w:r>
    </w:p>
    <w:p w14:paraId="0016B6ED" w14:textId="77777777" w:rsidR="00EE2E1D" w:rsidRPr="00215B2F" w:rsidRDefault="00D91782" w:rsidP="003D4DE0">
      <w:pPr>
        <w:pStyle w:val="Odstavekseznama"/>
        <w:numPr>
          <w:ilvl w:val="0"/>
          <w:numId w:val="355"/>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oseb, ki bodo pridobile kvalificirani delež v banki, in višine kvalificiranega deleža, ki ga bo pridobil posamezni imetnik ali 20 največjih delničarjev banke, in višino deleža, ki ga bo pridobil posamezni imetnik;</w:t>
      </w:r>
    </w:p>
    <w:p w14:paraId="1950E5A7" w14:textId="7071EBC3" w:rsidR="00EE2E1D" w:rsidRPr="00215B2F" w:rsidRDefault="00D91782" w:rsidP="003D4DE0">
      <w:pPr>
        <w:pStyle w:val="Odstavekseznama"/>
        <w:numPr>
          <w:ilvl w:val="0"/>
          <w:numId w:val="355"/>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primernosti delničarjev in družbenikov banke v skladu z izpolnjevanjem meril iz </w:t>
      </w:r>
      <w:r w:rsidR="006153CB" w:rsidRPr="00215B2F">
        <w:rPr>
          <w:rFonts w:ascii="Arial" w:eastAsia="Arial" w:hAnsi="Arial" w:cs="Arial"/>
          <w:sz w:val="20"/>
          <w:szCs w:val="20"/>
        </w:rPr>
        <w:t>87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4D64C6B2" w14:textId="1187944C" w:rsidR="00D91782" w:rsidRPr="00215B2F" w:rsidRDefault="00D91782" w:rsidP="003D4DE0">
      <w:pPr>
        <w:pStyle w:val="Odstavekseznama"/>
        <w:numPr>
          <w:ilvl w:val="0"/>
          <w:numId w:val="355"/>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oseb, ki bodo z banko v razmerju tesne povezanosti, z opisom teh povezanosti;</w:t>
      </w:r>
    </w:p>
    <w:p w14:paraId="4E26D937" w14:textId="77777777" w:rsidR="00895214" w:rsidRPr="00215B2F" w:rsidRDefault="00D91782" w:rsidP="00543D80">
      <w:pPr>
        <w:pStyle w:val="tevilnatoka"/>
        <w:rPr>
          <w:rFonts w:cs="Arial"/>
          <w:bCs/>
          <w:sz w:val="20"/>
          <w:szCs w:val="20"/>
        </w:rPr>
      </w:pPr>
      <w:r w:rsidRPr="00215B2F">
        <w:rPr>
          <w:rFonts w:eastAsia="Arial" w:cs="Arial"/>
          <w:sz w:val="20"/>
          <w:szCs w:val="20"/>
        </w:rPr>
        <w:t>notranjo organiziranost in razdelitev nalog v skupini;</w:t>
      </w:r>
    </w:p>
    <w:p w14:paraId="3E11637B" w14:textId="5D6E7FB0" w:rsidR="00D91782" w:rsidRPr="00215B2F" w:rsidRDefault="00D91782" w:rsidP="00543D80">
      <w:pPr>
        <w:pStyle w:val="tevilnatoka"/>
        <w:rPr>
          <w:rFonts w:cs="Arial"/>
          <w:bCs/>
          <w:sz w:val="20"/>
          <w:szCs w:val="20"/>
        </w:rPr>
      </w:pPr>
      <w:r w:rsidRPr="00215B2F">
        <w:rPr>
          <w:rFonts w:eastAsia="Arial" w:cs="Arial"/>
          <w:sz w:val="20"/>
          <w:szCs w:val="20"/>
        </w:rPr>
        <w:t xml:space="preserve">vse druge informacije, ki bi lahko bile potrebne za oceno odobritve v skladu s </w:t>
      </w:r>
      <w:r w:rsidR="006153CB" w:rsidRPr="00215B2F">
        <w:rPr>
          <w:rFonts w:eastAsia="Arial" w:cs="Arial"/>
          <w:sz w:val="20"/>
          <w:szCs w:val="20"/>
        </w:rPr>
        <w:t>111</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w:t>
      </w:r>
    </w:p>
    <w:p w14:paraId="6EE01BF0"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3C222E24" w14:textId="7DD83E6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(3) Banka Slovenije lahko za presojo odobritv</w:t>
      </w:r>
      <w:r w:rsidR="005A0062" w:rsidRPr="00215B2F">
        <w:rPr>
          <w:rFonts w:ascii="Arial" w:eastAsia="Arial" w:hAnsi="Arial" w:cs="Arial"/>
          <w:sz w:val="20"/>
          <w:szCs w:val="20"/>
        </w:rPr>
        <w:t>e</w:t>
      </w:r>
      <w:r w:rsidRPr="00215B2F">
        <w:rPr>
          <w:rFonts w:ascii="Arial" w:eastAsia="Arial" w:hAnsi="Arial" w:cs="Arial"/>
          <w:sz w:val="20"/>
          <w:szCs w:val="20"/>
        </w:rPr>
        <w:t xml:space="preserve"> finančnega holdinga ali mešanega finančnega holdinga zahteva predložitev dodatnih informacij.</w:t>
      </w:r>
    </w:p>
    <w:p w14:paraId="67E6B6E6"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0650E75C" w14:textId="540898B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EU nadrejeni finančni holding ali EU nadrejeni mešani finančni holding iz </w:t>
      </w:r>
      <w:r w:rsidR="00746E88" w:rsidRPr="00215B2F">
        <w:rPr>
          <w:rFonts w:ascii="Arial" w:eastAsia="Arial" w:hAnsi="Arial" w:cs="Arial"/>
          <w:sz w:val="20"/>
          <w:szCs w:val="20"/>
        </w:rPr>
        <w:t>prejšnjega člena</w:t>
      </w:r>
      <w:r w:rsidRPr="00215B2F">
        <w:rPr>
          <w:rFonts w:ascii="Arial" w:eastAsia="Arial" w:hAnsi="Arial" w:cs="Arial"/>
          <w:sz w:val="20"/>
          <w:szCs w:val="20"/>
        </w:rPr>
        <w:t>, ki ima sedež v drugi državi članici, po</w:t>
      </w:r>
      <w:r w:rsidR="00D426E7" w:rsidRPr="00215B2F">
        <w:rPr>
          <w:rFonts w:ascii="Arial" w:eastAsia="Arial" w:hAnsi="Arial" w:cs="Arial"/>
          <w:sz w:val="20"/>
          <w:szCs w:val="20"/>
        </w:rPr>
        <w:t>šl</w:t>
      </w:r>
      <w:r w:rsidRPr="00215B2F">
        <w:rPr>
          <w:rFonts w:ascii="Arial" w:eastAsia="Arial" w:hAnsi="Arial" w:cs="Arial"/>
          <w:sz w:val="20"/>
          <w:szCs w:val="20"/>
        </w:rPr>
        <w:t xml:space="preserve">je zahtevo za odobritev skupaj z informacijami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tudi pristojnemu organu te države članice.</w:t>
      </w:r>
    </w:p>
    <w:bookmarkEnd w:id="145"/>
    <w:p w14:paraId="68C8647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AC27A2C"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46" w:name="_Ref202963791"/>
      <w:r w:rsidRPr="00215B2F">
        <w:rPr>
          <w:rFonts w:ascii="Arial" w:eastAsia="Arial" w:hAnsi="Arial" w:cs="Arial"/>
          <w:b/>
          <w:bCs/>
          <w:sz w:val="20"/>
          <w:szCs w:val="20"/>
        </w:rPr>
        <w:t>člen</w:t>
      </w:r>
      <w:bookmarkEnd w:id="146"/>
    </w:p>
    <w:p w14:paraId="461E89C4" w14:textId="77777777" w:rsidR="00D91782" w:rsidRPr="00215B2F" w:rsidRDefault="00D91782" w:rsidP="00FD5520">
      <w:pPr>
        <w:pStyle w:val="Slog1"/>
        <w:shd w:val="clear" w:color="auto" w:fill="FFFFFF" w:themeFill="background1"/>
        <w:rPr>
          <w:sz w:val="20"/>
          <w:szCs w:val="20"/>
        </w:rPr>
      </w:pPr>
      <w:r w:rsidRPr="00215B2F">
        <w:rPr>
          <w:sz w:val="20"/>
          <w:szCs w:val="20"/>
        </w:rPr>
        <w:t>(vpliv na druge postopke)</w:t>
      </w:r>
    </w:p>
    <w:p w14:paraId="1C97F880" w14:textId="77777777" w:rsidR="00D91782" w:rsidRPr="00215B2F" w:rsidRDefault="00D91782" w:rsidP="00FD5520">
      <w:pPr>
        <w:pStyle w:val="Slog1"/>
        <w:shd w:val="clear" w:color="auto" w:fill="FFFFFF" w:themeFill="background1"/>
        <w:jc w:val="both"/>
        <w:rPr>
          <w:sz w:val="20"/>
          <w:szCs w:val="20"/>
        </w:rPr>
      </w:pPr>
    </w:p>
    <w:p w14:paraId="0D25073E" w14:textId="215C68C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Kadar Banka Slovenije ni konsolidacijski nadzornik in postopek odobritve ali izvzetja finančnega holdinga ali mešanega finančnega holdinga poteka hkrati s postopkom izdaje dovoljenja za opravljanje bančnih storitev na podlagi prvega odstavka </w:t>
      </w:r>
      <w:r w:rsidR="006153CB" w:rsidRPr="00215B2F">
        <w:rPr>
          <w:rFonts w:ascii="Arial" w:eastAsia="Arial" w:hAnsi="Arial" w:cs="Arial"/>
          <w:sz w:val="20"/>
          <w:szCs w:val="20"/>
        </w:rPr>
        <w:t>140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postopkom ocene primernosti kvalificiranega imetnika na podlagi </w:t>
      </w:r>
      <w:r w:rsidR="006153CB" w:rsidRPr="00215B2F">
        <w:rPr>
          <w:rFonts w:ascii="Arial" w:eastAsia="Arial" w:hAnsi="Arial" w:cs="Arial"/>
          <w:sz w:val="20"/>
          <w:szCs w:val="20"/>
        </w:rPr>
        <w:t>87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ali postopkom ocene pridobitve ali odsvojitve pomembnega deleža na podlagi </w:t>
      </w:r>
      <w:r w:rsidR="006153CB" w:rsidRPr="00215B2F">
        <w:rPr>
          <w:rFonts w:ascii="Arial" w:eastAsia="Arial" w:hAnsi="Arial" w:cs="Arial"/>
          <w:sz w:val="20"/>
          <w:szCs w:val="20"/>
        </w:rPr>
        <w:t>262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se Banka Slovenije po potrebi usklajuje s konsolidacijskim nadzornikom in kadar sta različna, s pristojnim organom države članice, v kateri je sedež finančnega holdinga ali mešanega finančnega holdinga. </w:t>
      </w:r>
    </w:p>
    <w:p w14:paraId="50E90C19"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75EDC0C" w14:textId="347187BF" w:rsidR="002B689C"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Kadar postopek odobritve ali izvzetja finančnega holdinga ali mešanega finančnega holdinga poteka hkrati s postopkom izdaje dovoljenja za opravljanje bančnih storitev na podlagi prvega odstavka </w:t>
      </w:r>
      <w:r w:rsidR="006153CB" w:rsidRPr="00215B2F">
        <w:rPr>
          <w:rFonts w:ascii="Arial" w:eastAsia="Arial" w:hAnsi="Arial" w:cs="Arial"/>
          <w:sz w:val="20"/>
          <w:szCs w:val="20"/>
        </w:rPr>
        <w:t>140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postopkom ocene primernosti kvalificiranega imetnika na podlagi </w:t>
      </w:r>
      <w:r w:rsidR="006153CB" w:rsidRPr="00215B2F">
        <w:rPr>
          <w:rFonts w:ascii="Arial" w:eastAsia="Arial" w:hAnsi="Arial" w:cs="Arial"/>
          <w:sz w:val="20"/>
          <w:szCs w:val="20"/>
        </w:rPr>
        <w:t>87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ali postopkom ocene pridobitve ali odsvojitve pomembnega deleža na podlagi </w:t>
      </w:r>
      <w:r w:rsidR="006153CB" w:rsidRPr="00215B2F">
        <w:rPr>
          <w:rFonts w:ascii="Arial" w:eastAsia="Arial" w:hAnsi="Arial" w:cs="Arial"/>
          <w:sz w:val="20"/>
          <w:szCs w:val="20"/>
        </w:rPr>
        <w:t>262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se ocenjevalno obdobje iz </w:t>
      </w:r>
      <w:r w:rsidR="00EA5A75" w:rsidRPr="00215B2F">
        <w:rPr>
          <w:rFonts w:ascii="Arial" w:eastAsia="Arial" w:hAnsi="Arial" w:cs="Arial"/>
          <w:sz w:val="20"/>
          <w:szCs w:val="20"/>
        </w:rPr>
        <w:t xml:space="preserve">prvega </w:t>
      </w:r>
      <w:r w:rsidRPr="00215B2F">
        <w:rPr>
          <w:rFonts w:ascii="Arial" w:eastAsia="Arial" w:hAnsi="Arial" w:cs="Arial"/>
          <w:sz w:val="20"/>
          <w:szCs w:val="20"/>
        </w:rPr>
        <w:t xml:space="preserve">odstavka </w:t>
      </w:r>
      <w:r w:rsidR="00F07C3E" w:rsidRPr="00215B2F">
        <w:rPr>
          <w:rFonts w:ascii="Arial" w:eastAsia="Arial" w:hAnsi="Arial" w:cs="Arial"/>
          <w:sz w:val="20"/>
          <w:szCs w:val="20"/>
        </w:rPr>
        <w:t>88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ali </w:t>
      </w:r>
      <w:r w:rsidR="00F07C3E" w:rsidRPr="00215B2F">
        <w:rPr>
          <w:rFonts w:ascii="Arial" w:eastAsia="Arial" w:hAnsi="Arial" w:cs="Arial"/>
          <w:sz w:val="20"/>
          <w:szCs w:val="20"/>
        </w:rPr>
        <w:t>260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začasno prekine. Prekinitev traja, dokler se ne </w:t>
      </w:r>
      <w:r w:rsidR="00E3559D" w:rsidRPr="00215B2F">
        <w:rPr>
          <w:rFonts w:ascii="Arial" w:eastAsia="Arial" w:hAnsi="Arial" w:cs="Arial"/>
          <w:sz w:val="20"/>
          <w:szCs w:val="20"/>
        </w:rPr>
        <w:t xml:space="preserve">zaključi </w:t>
      </w:r>
      <w:r w:rsidRPr="00215B2F">
        <w:rPr>
          <w:rFonts w:ascii="Arial" w:eastAsia="Arial" w:hAnsi="Arial" w:cs="Arial"/>
          <w:sz w:val="20"/>
          <w:szCs w:val="20"/>
        </w:rPr>
        <w:t xml:space="preserve">postopek odobritve ali izvzetja iz odobritve finančnega holdinga ali mešanega finančnega holdinga. </w:t>
      </w:r>
    </w:p>
    <w:p w14:paraId="774057BE" w14:textId="77777777" w:rsidR="0059639B" w:rsidRPr="00215B2F" w:rsidRDefault="0059639B" w:rsidP="00FD5520">
      <w:pPr>
        <w:shd w:val="clear" w:color="auto" w:fill="FFFFFF" w:themeFill="background1"/>
        <w:spacing w:after="0" w:line="240" w:lineRule="auto"/>
        <w:jc w:val="both"/>
        <w:rPr>
          <w:rFonts w:ascii="Arial" w:eastAsia="Arial" w:hAnsi="Arial" w:cs="Arial"/>
          <w:sz w:val="20"/>
          <w:szCs w:val="20"/>
        </w:rPr>
      </w:pPr>
    </w:p>
    <w:p w14:paraId="169F9AD0" w14:textId="1A89194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Kadar postopek odobritve finančnega holdinga ali mešanega finančnega holdinga poteka hkrati s postopkom ocene ustreznosti pomembnega deleža iz </w:t>
      </w:r>
      <w:r w:rsidR="00F07C3E" w:rsidRPr="00215B2F">
        <w:rPr>
          <w:rFonts w:ascii="Arial" w:eastAsia="Arial" w:hAnsi="Arial" w:cs="Arial"/>
          <w:sz w:val="20"/>
          <w:szCs w:val="20"/>
        </w:rPr>
        <w:t>262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se Banka Slovenije, ki ni konsolidacijski nadzornik, za namen presoje odobritve finančnega holdinga ali mešanega finančnega holdinga usklajuje s konsolidacijskim nadzornikom</w:t>
      </w:r>
      <w:r w:rsidR="00B7551A" w:rsidRPr="00215B2F">
        <w:rPr>
          <w:rFonts w:ascii="Arial" w:eastAsia="Arial" w:hAnsi="Arial" w:cs="Arial"/>
          <w:sz w:val="20"/>
          <w:szCs w:val="20"/>
        </w:rPr>
        <w:t>,</w:t>
      </w:r>
      <w:r w:rsidRPr="00215B2F">
        <w:rPr>
          <w:rFonts w:ascii="Arial" w:eastAsia="Arial" w:hAnsi="Arial" w:cs="Arial"/>
          <w:sz w:val="20"/>
          <w:szCs w:val="20"/>
        </w:rPr>
        <w:t xml:space="preserve"> in kadar sta različna, s pristojnim organom države članice, v kateri je sedež finančnega holdinga ali mešanega finančnega holdinga. </w:t>
      </w:r>
    </w:p>
    <w:p w14:paraId="0402E16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D8CE21C"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47" w:name="_Ref202963874"/>
      <w:r w:rsidRPr="00215B2F">
        <w:rPr>
          <w:rFonts w:ascii="Arial" w:eastAsia="Arial" w:hAnsi="Arial" w:cs="Arial"/>
          <w:b/>
          <w:bCs/>
          <w:sz w:val="20"/>
          <w:szCs w:val="20"/>
        </w:rPr>
        <w:t>člen</w:t>
      </w:r>
      <w:bookmarkEnd w:id="147"/>
    </w:p>
    <w:p w14:paraId="2FC56D13" w14:textId="77777777" w:rsidR="00D91782" w:rsidRPr="00215B2F" w:rsidRDefault="00D91782" w:rsidP="00FD5520">
      <w:pPr>
        <w:pStyle w:val="Slog1"/>
        <w:shd w:val="clear" w:color="auto" w:fill="FFFFFF" w:themeFill="background1"/>
        <w:rPr>
          <w:sz w:val="20"/>
          <w:szCs w:val="20"/>
        </w:rPr>
      </w:pPr>
      <w:r w:rsidRPr="00215B2F">
        <w:rPr>
          <w:sz w:val="20"/>
          <w:szCs w:val="20"/>
        </w:rPr>
        <w:t>(pogoji za odobritev)</w:t>
      </w:r>
    </w:p>
    <w:p w14:paraId="43F6442C" w14:textId="77777777" w:rsidR="00D91782" w:rsidRPr="00215B2F" w:rsidRDefault="00D91782" w:rsidP="00FD5520">
      <w:pPr>
        <w:pStyle w:val="Slog1"/>
        <w:shd w:val="clear" w:color="auto" w:fill="FFFFFF" w:themeFill="background1"/>
        <w:jc w:val="both"/>
        <w:rPr>
          <w:sz w:val="20"/>
          <w:szCs w:val="20"/>
        </w:rPr>
      </w:pPr>
    </w:p>
    <w:p w14:paraId="59A236C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148" w:name="_Hlk203640152"/>
      <w:r w:rsidRPr="00215B2F">
        <w:rPr>
          <w:rFonts w:ascii="Arial" w:eastAsia="Arial" w:hAnsi="Arial" w:cs="Arial"/>
          <w:sz w:val="20"/>
          <w:szCs w:val="20"/>
        </w:rPr>
        <w:t>(1) Banka Slovenije odobri finančni holding ali mešani finančni holding, če so izpolnjeni vsi naslednji pogoji:</w:t>
      </w:r>
    </w:p>
    <w:p w14:paraId="6A53CBE4"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3F1B8419" w14:textId="1C3CEDE9" w:rsidR="00D91782" w:rsidRPr="00215B2F" w:rsidRDefault="00D91782">
      <w:pPr>
        <w:pStyle w:val="tevilnatoka"/>
        <w:numPr>
          <w:ilvl w:val="0"/>
          <w:numId w:val="86"/>
        </w:numPr>
        <w:shd w:val="clear" w:color="auto" w:fill="FFFFFF" w:themeFill="background1"/>
        <w:tabs>
          <w:tab w:val="clear" w:pos="425"/>
        </w:tabs>
        <w:rPr>
          <w:rFonts w:cs="Arial"/>
          <w:bCs/>
          <w:sz w:val="20"/>
          <w:szCs w:val="20"/>
        </w:rPr>
      </w:pPr>
      <w:r w:rsidRPr="00215B2F">
        <w:rPr>
          <w:rFonts w:eastAsia="Arial" w:cs="Arial"/>
          <w:sz w:val="20"/>
          <w:szCs w:val="20"/>
        </w:rPr>
        <w:t>notranja ureditev in razdelitev nalog v skupini sta ustrezni za izpolnjevanje zahtev, naloženih s tem zakonom in Uredbo 575/2013/EU na konsolidirani ali subkonsolidirani podlagi</w:t>
      </w:r>
      <w:r w:rsidR="00B7551A" w:rsidRPr="00215B2F">
        <w:rPr>
          <w:rFonts w:eastAsia="Arial" w:cs="Arial"/>
          <w:sz w:val="20"/>
          <w:szCs w:val="20"/>
        </w:rPr>
        <w:t>,</w:t>
      </w:r>
      <w:r w:rsidRPr="00215B2F">
        <w:rPr>
          <w:rFonts w:eastAsia="Arial" w:cs="Arial"/>
          <w:sz w:val="20"/>
          <w:szCs w:val="20"/>
        </w:rPr>
        <w:t xml:space="preserve"> in sta zlasti učinkoviti za:</w:t>
      </w:r>
    </w:p>
    <w:p w14:paraId="2E35767C"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usklajevanje vseh podrejenih družb finančnega holdinga ali mešanega finančnega holdinga, vključno z ustrezno razdelitvijo nalog med podrejenimi institucijami, kjer je to potrebno;</w:t>
      </w:r>
    </w:p>
    <w:p w14:paraId="7D3D1E8B"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preprečevanje ali upravljanje nasprotij v skupini in</w:t>
      </w:r>
    </w:p>
    <w:p w14:paraId="50CB365A" w14:textId="209E8ABC"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uveljavljanje politik na ravni skupine, ki jih za celotno skupino določi nadrejeni finančni holding ali nadrejeni mešani finančni holding;</w:t>
      </w:r>
    </w:p>
    <w:p w14:paraId="1EF0FE34" w14:textId="18394671" w:rsidR="00D91782" w:rsidRPr="00215B2F" w:rsidRDefault="00D91782" w:rsidP="00543D80">
      <w:pPr>
        <w:pStyle w:val="tevilnatoka"/>
        <w:rPr>
          <w:rFonts w:cs="Arial"/>
          <w:bCs/>
          <w:sz w:val="20"/>
          <w:szCs w:val="20"/>
        </w:rPr>
      </w:pPr>
      <w:r w:rsidRPr="00215B2F">
        <w:rPr>
          <w:rFonts w:eastAsia="Arial" w:cs="Arial"/>
          <w:sz w:val="20"/>
          <w:szCs w:val="20"/>
        </w:rPr>
        <w:t>organizacijska struktura skupine, katere del je finančni holding ali mešani finančni holding, ne ovira ali drugače preprečuje učinkovitega nadzora podrejeni</w:t>
      </w:r>
      <w:r w:rsidR="00E3559D" w:rsidRPr="00215B2F">
        <w:rPr>
          <w:rFonts w:eastAsia="Arial" w:cs="Arial"/>
          <w:sz w:val="20"/>
          <w:szCs w:val="20"/>
        </w:rPr>
        <w:t>h</w:t>
      </w:r>
      <w:r w:rsidRPr="00215B2F">
        <w:rPr>
          <w:rFonts w:eastAsia="Arial" w:cs="Arial"/>
          <w:sz w:val="20"/>
          <w:szCs w:val="20"/>
        </w:rPr>
        <w:t xml:space="preserve"> institucij ali nadrejeni</w:t>
      </w:r>
      <w:r w:rsidR="00E3559D" w:rsidRPr="00215B2F">
        <w:rPr>
          <w:rFonts w:eastAsia="Arial" w:cs="Arial"/>
          <w:sz w:val="20"/>
          <w:szCs w:val="20"/>
        </w:rPr>
        <w:t>h</w:t>
      </w:r>
      <w:r w:rsidRPr="00215B2F">
        <w:rPr>
          <w:rFonts w:eastAsia="Arial" w:cs="Arial"/>
          <w:sz w:val="20"/>
          <w:szCs w:val="20"/>
        </w:rPr>
        <w:t xml:space="preserve"> institucij v zvezi s posamičnimi, konsolidiranimi, in če je ustrezno, subkonsolidiranimi zahtevami, ki veljajo zanje. Pri ocenjevanju tega merila se upoštevajo predvsem:</w:t>
      </w:r>
    </w:p>
    <w:p w14:paraId="2DFE9DB5"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položaj finančnega holdinga ali mešanega finančnega holdinga v večplastni skupini,</w:t>
      </w:r>
    </w:p>
    <w:p w14:paraId="2C02ACB2"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lastniška struktura in</w:t>
      </w:r>
    </w:p>
    <w:p w14:paraId="524C746F" w14:textId="51119EB7"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vloga finančnega holdinga ali mešanega finančnega holdinga v večplastni skupini;</w:t>
      </w:r>
    </w:p>
    <w:p w14:paraId="5A1B9825" w14:textId="75DA5CFB" w:rsidR="00D91782" w:rsidRPr="00215B2F" w:rsidRDefault="00D91782" w:rsidP="00543D80">
      <w:pPr>
        <w:pStyle w:val="tevilnatoka"/>
        <w:rPr>
          <w:rFonts w:cs="Arial"/>
          <w:bCs/>
          <w:sz w:val="20"/>
          <w:szCs w:val="20"/>
        </w:rPr>
      </w:pPr>
      <w:r w:rsidRPr="00215B2F">
        <w:rPr>
          <w:rFonts w:eastAsia="Arial" w:cs="Arial"/>
          <w:sz w:val="20"/>
          <w:szCs w:val="20"/>
        </w:rPr>
        <w:t xml:space="preserve">kvalificirani delničarji ali družbeniki banke izpolnjujejo merila iz </w:t>
      </w:r>
      <w:r w:rsidR="00F07C3E" w:rsidRPr="00215B2F">
        <w:rPr>
          <w:rFonts w:eastAsia="Arial" w:cs="Arial"/>
          <w:sz w:val="20"/>
          <w:szCs w:val="20"/>
        </w:rPr>
        <w:t>87</w:t>
      </w:r>
      <w:r w:rsidRPr="00215B2F">
        <w:rPr>
          <w:rFonts w:eastAsia="Arial" w:cs="Arial"/>
          <w:sz w:val="20"/>
          <w:szCs w:val="20"/>
        </w:rPr>
        <w:t xml:space="preserve">. </w:t>
      </w:r>
      <w:r w:rsidR="001F2C7A" w:rsidRPr="00215B2F">
        <w:rPr>
          <w:rFonts w:eastAsia="Arial" w:cs="Arial"/>
          <w:sz w:val="20"/>
          <w:szCs w:val="20"/>
        </w:rPr>
        <w:t>člena tega zakona</w:t>
      </w:r>
      <w:r w:rsidR="00B7551A" w:rsidRPr="00215B2F">
        <w:rPr>
          <w:rFonts w:eastAsia="Arial" w:cs="Arial"/>
          <w:sz w:val="20"/>
          <w:szCs w:val="20"/>
        </w:rPr>
        <w:t>,</w:t>
      </w:r>
      <w:r w:rsidRPr="00215B2F">
        <w:rPr>
          <w:rFonts w:eastAsia="Arial" w:cs="Arial"/>
          <w:sz w:val="20"/>
          <w:szCs w:val="20"/>
        </w:rPr>
        <w:t xml:space="preserve"> oziroma če teh ni, je banka Banko Slovenije obvestila o 20 največjih delničarjih ali družbenikih;</w:t>
      </w:r>
    </w:p>
    <w:p w14:paraId="3350F513" w14:textId="77777777" w:rsidR="00895214" w:rsidRPr="00215B2F" w:rsidRDefault="00D91782" w:rsidP="00543D80">
      <w:pPr>
        <w:pStyle w:val="tevilnatoka"/>
        <w:rPr>
          <w:rFonts w:cs="Arial"/>
          <w:bCs/>
          <w:sz w:val="20"/>
          <w:szCs w:val="20"/>
        </w:rPr>
      </w:pPr>
      <w:r w:rsidRPr="00215B2F">
        <w:rPr>
          <w:rFonts w:eastAsia="Arial" w:cs="Arial"/>
          <w:sz w:val="20"/>
          <w:szCs w:val="20"/>
        </w:rPr>
        <w:t>razmerja tesne povezanosti ne preprečujejo učinkovitega izvajanja nadzora;</w:t>
      </w:r>
    </w:p>
    <w:p w14:paraId="547394B2" w14:textId="0A38CD86" w:rsidR="00895214" w:rsidRPr="00215B2F" w:rsidRDefault="00D91782" w:rsidP="00543D80">
      <w:pPr>
        <w:pStyle w:val="tevilnatoka"/>
        <w:rPr>
          <w:rFonts w:cs="Arial"/>
          <w:bCs/>
          <w:sz w:val="20"/>
          <w:szCs w:val="20"/>
        </w:rPr>
      </w:pPr>
      <w:r w:rsidRPr="00215B2F">
        <w:rPr>
          <w:rFonts w:eastAsia="Arial" w:cs="Arial"/>
          <w:sz w:val="20"/>
          <w:szCs w:val="20"/>
        </w:rPr>
        <w:t>zakoni in drugi predpisi v tretji državi, ki veljajo za eno ali več fizičnih ali pravnih oseb, s katerimi je banka v razmerju tesne povezanosti, ali težave pri izvajanju navedenih zakonov in drugih predpisov ne preprečujejo učinkovitega izvajanja nadzora;</w:t>
      </w:r>
    </w:p>
    <w:p w14:paraId="4790A6E0" w14:textId="685020A2" w:rsidR="00D91782" w:rsidRPr="00215B2F" w:rsidRDefault="00D91782" w:rsidP="00543D80">
      <w:pPr>
        <w:pStyle w:val="tevilnatoka"/>
        <w:rPr>
          <w:rFonts w:cs="Arial"/>
          <w:bCs/>
          <w:sz w:val="20"/>
          <w:szCs w:val="20"/>
        </w:rPr>
      </w:pPr>
      <w:r w:rsidRPr="00215B2F">
        <w:rPr>
          <w:rFonts w:eastAsia="Arial" w:cs="Arial"/>
          <w:sz w:val="20"/>
          <w:szCs w:val="20"/>
        </w:rPr>
        <w:lastRenderedPageBreak/>
        <w:t xml:space="preserve">osebe, ki dejansko vodijo finančni holding ali mešani finančni holding, izpolnjujejo vse zahteve, ki veljajo za upravljalni organ banke iz </w:t>
      </w:r>
      <w:r w:rsidR="002538A4" w:rsidRPr="00215B2F">
        <w:rPr>
          <w:rFonts w:eastAsia="Arial" w:cs="Arial"/>
          <w:sz w:val="20"/>
          <w:szCs w:val="20"/>
        </w:rPr>
        <w:t>oddelka</w:t>
      </w:r>
      <w:r w:rsidR="001F2C7A" w:rsidRPr="00215B2F">
        <w:rPr>
          <w:rFonts w:eastAsia="Arial" w:cs="Arial"/>
          <w:sz w:val="20"/>
          <w:szCs w:val="20"/>
        </w:rPr>
        <w:t xml:space="preserve"> </w:t>
      </w:r>
      <w:r w:rsidR="00B7551A" w:rsidRPr="00215B2F">
        <w:rPr>
          <w:rFonts w:eastAsia="Arial" w:cs="Arial"/>
          <w:sz w:val="20"/>
          <w:szCs w:val="20"/>
        </w:rPr>
        <w:t xml:space="preserve">3.4 </w:t>
      </w:r>
      <w:r w:rsidR="001F2C7A" w:rsidRPr="00215B2F">
        <w:rPr>
          <w:rFonts w:eastAsia="Arial" w:cs="Arial"/>
          <w:sz w:val="20"/>
          <w:szCs w:val="20"/>
        </w:rPr>
        <w:t>tega zakona</w:t>
      </w:r>
      <w:r w:rsidRPr="00215B2F">
        <w:rPr>
          <w:rFonts w:eastAsia="Arial" w:cs="Arial"/>
          <w:sz w:val="20"/>
          <w:szCs w:val="20"/>
        </w:rPr>
        <w:t>.</w:t>
      </w:r>
    </w:p>
    <w:p w14:paraId="3B785148"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135EB240" w14:textId="5919E5B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zavrne odobritev finančnega holdinga ali mešanega finančnega holdinga, če niso izpolnjeni pogoji iz prejšnjega odstavka. Ob zavrnitvi lahko Banka Slovenije po potrebi odredi kateri koli ukrep iz </w:t>
      </w:r>
      <w:r w:rsidR="00D71FE9" w:rsidRPr="00215B2F">
        <w:rPr>
          <w:rFonts w:ascii="Arial" w:eastAsia="Arial" w:hAnsi="Arial" w:cs="Arial"/>
          <w:sz w:val="20"/>
          <w:szCs w:val="20"/>
        </w:rPr>
        <w:t>377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s katerim se zagotovi</w:t>
      </w:r>
      <w:r w:rsidR="00B7551A" w:rsidRPr="00215B2F">
        <w:rPr>
          <w:rFonts w:ascii="Arial" w:eastAsia="Arial" w:hAnsi="Arial" w:cs="Arial"/>
          <w:sz w:val="20"/>
          <w:szCs w:val="20"/>
        </w:rPr>
        <w:t>jo</w:t>
      </w:r>
      <w:r w:rsidRPr="00215B2F">
        <w:rPr>
          <w:rFonts w:ascii="Arial" w:eastAsia="Arial" w:hAnsi="Arial" w:cs="Arial"/>
          <w:sz w:val="20"/>
          <w:szCs w:val="20"/>
        </w:rPr>
        <w:t xml:space="preserve"> kontinuiteta in celovitost konsolidiranega nadzora ter izpolnjevanje zahtev iz tega zakona in Uredbe 575/2013/EU na konsolidirani podlagi.</w:t>
      </w:r>
    </w:p>
    <w:p w14:paraId="7C15E9AF"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32E8F0AE" w14:textId="5AEEE01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Za postopek odločanja o odobritvi finančnega holdinga ali mešanega finančnega holdinga se smiselno uporabljajo določbe </w:t>
      </w:r>
      <w:r w:rsidR="005B0CC7" w:rsidRPr="00215B2F">
        <w:rPr>
          <w:rFonts w:ascii="Arial" w:eastAsia="Arial" w:hAnsi="Arial" w:cs="Arial"/>
          <w:sz w:val="20"/>
          <w:szCs w:val="20"/>
        </w:rPr>
        <w:t>o</w:t>
      </w:r>
      <w:r w:rsidR="001F2C7A" w:rsidRPr="00215B2F">
        <w:rPr>
          <w:rFonts w:ascii="Arial" w:eastAsia="Arial" w:hAnsi="Arial" w:cs="Arial"/>
          <w:sz w:val="20"/>
          <w:szCs w:val="20"/>
        </w:rPr>
        <w:t>ddelka</w:t>
      </w:r>
      <w:r w:rsidRPr="00215B2F">
        <w:rPr>
          <w:rFonts w:ascii="Arial" w:eastAsia="Arial" w:hAnsi="Arial" w:cs="Arial"/>
          <w:sz w:val="20"/>
          <w:szCs w:val="20"/>
        </w:rPr>
        <w:t xml:space="preserve"> </w:t>
      </w:r>
      <w:r w:rsidR="00D71FE9" w:rsidRPr="00215B2F">
        <w:rPr>
          <w:rFonts w:ascii="Arial" w:eastAsia="Arial" w:hAnsi="Arial" w:cs="Arial"/>
          <w:sz w:val="20"/>
          <w:szCs w:val="20"/>
        </w:rPr>
        <w:t>16</w:t>
      </w:r>
      <w:r w:rsidRPr="00215B2F">
        <w:rPr>
          <w:rFonts w:ascii="Arial" w:eastAsia="Arial" w:hAnsi="Arial" w:cs="Arial"/>
          <w:sz w:val="20"/>
          <w:szCs w:val="20"/>
        </w:rPr>
        <w:t>.2 tega zakona.</w:t>
      </w:r>
    </w:p>
    <w:bookmarkEnd w:id="148"/>
    <w:p w14:paraId="567B8364"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314D381D" w14:textId="77777777" w:rsidR="002B689C" w:rsidRPr="00215B2F" w:rsidRDefault="002B689C"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49" w:name="_Ref202963889"/>
      <w:r w:rsidRPr="00215B2F">
        <w:rPr>
          <w:rFonts w:ascii="Arial" w:eastAsia="Arial" w:hAnsi="Arial" w:cs="Arial"/>
          <w:b/>
          <w:bCs/>
          <w:sz w:val="20"/>
          <w:szCs w:val="20"/>
        </w:rPr>
        <w:t>člen</w:t>
      </w:r>
      <w:bookmarkEnd w:id="149"/>
    </w:p>
    <w:p w14:paraId="4155AED1"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(zahteva za izvzetje iz odobritve finančnega holdinga ali mešanega finančnega holdinga in izključitve iz obsega konsolidacije)</w:t>
      </w:r>
    </w:p>
    <w:p w14:paraId="1DC04D4B"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0F206849" w14:textId="1D3A9A8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Finančni holding ali mešani finančni holding lahko zaprosi za izvzetje iz odobritve na podlagi </w:t>
      </w:r>
      <w:r w:rsidR="00D71FE9" w:rsidRPr="00215B2F">
        <w:rPr>
          <w:rFonts w:ascii="Arial" w:eastAsia="Arial" w:hAnsi="Arial" w:cs="Arial"/>
          <w:sz w:val="20"/>
          <w:szCs w:val="20"/>
        </w:rPr>
        <w:t>108</w:t>
      </w:r>
      <w:r w:rsidRPr="00215B2F">
        <w:rPr>
          <w:rFonts w:ascii="Arial" w:eastAsia="Arial" w:hAnsi="Arial" w:cs="Arial"/>
          <w:sz w:val="20"/>
          <w:szCs w:val="20"/>
        </w:rPr>
        <w:t xml:space="preserve">. člena, če izpolnjuje pogoje iz prvega odstavka </w:t>
      </w:r>
      <w:r w:rsidR="00D71FE9" w:rsidRPr="00215B2F">
        <w:rPr>
          <w:rFonts w:ascii="Arial" w:eastAsia="Arial" w:hAnsi="Arial" w:cs="Arial"/>
          <w:sz w:val="20"/>
          <w:szCs w:val="20"/>
        </w:rPr>
        <w:t>113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43F6B01F"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694D829F" w14:textId="0C4576B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Zahteva za izvzetje iz prejšnjega odstavka mora </w:t>
      </w:r>
      <w:r w:rsidR="00233154" w:rsidRPr="00215B2F">
        <w:rPr>
          <w:rFonts w:ascii="Arial" w:eastAsia="Arial" w:hAnsi="Arial" w:cs="Arial"/>
          <w:sz w:val="20"/>
          <w:szCs w:val="20"/>
        </w:rPr>
        <w:t>vključevati</w:t>
      </w:r>
      <w:r w:rsidRPr="00215B2F">
        <w:rPr>
          <w:rFonts w:ascii="Arial" w:eastAsia="Arial" w:hAnsi="Arial" w:cs="Arial"/>
          <w:sz w:val="20"/>
          <w:szCs w:val="20"/>
        </w:rPr>
        <w:t>:</w:t>
      </w:r>
    </w:p>
    <w:p w14:paraId="7C5AA704"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12D0F0D7" w14:textId="0F8ADD75"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informacije in dokumentacijo o finančnem holdingu ali mešanem finančnem holdingu ter skupini, katere del je, </w:t>
      </w:r>
    </w:p>
    <w:p w14:paraId="51AB8611" w14:textId="145C546B"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informacije in dokumentacijo o izpolnjevanju meril za izvzetje iz odobritve finančnega holdinga ali mešanega finančnega holdinga, kot so predpisana s podzakonskim aktom</w:t>
      </w:r>
      <w:r w:rsidR="008C1E6F" w:rsidRPr="00215B2F">
        <w:rPr>
          <w:rFonts w:ascii="Arial" w:eastAsia="Arial" w:hAnsi="Arial" w:cs="Arial"/>
          <w:sz w:val="20"/>
          <w:szCs w:val="20"/>
        </w:rPr>
        <w:t>,</w:t>
      </w:r>
      <w:r w:rsidRPr="00215B2F">
        <w:rPr>
          <w:rFonts w:ascii="Arial" w:eastAsia="Arial" w:hAnsi="Arial" w:cs="Arial"/>
          <w:sz w:val="20"/>
          <w:szCs w:val="20"/>
        </w:rPr>
        <w:t xml:space="preserve"> izdanim na podlagi </w:t>
      </w:r>
      <w:r w:rsidR="00D71FE9" w:rsidRPr="00215B2F">
        <w:rPr>
          <w:rFonts w:ascii="Arial" w:eastAsia="Arial" w:hAnsi="Arial" w:cs="Arial"/>
          <w:sz w:val="20"/>
          <w:szCs w:val="20"/>
        </w:rPr>
        <w:t>118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3C432CD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81B245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Zahteva za izvzetje iz odobritve finančnega holdinga ali mešanega finančnega holdinga ter za izključitev finančnega holdinga ali mešanega finančnega holdinga iz obsega konsolidacije, za nadzor, nad katerim je kot konsolidacijski nadzornik pristojna Banka Slovenije, se vloži pri Banki Slovenije.</w:t>
      </w:r>
    </w:p>
    <w:p w14:paraId="1D3DE0F0"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44D21D3" w14:textId="5D5E7F5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EU nadrejeni finančni holding ali EU nadrejeni mešani finančni holding iz </w:t>
      </w:r>
      <w:r w:rsidR="00582568"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ki ima sedež v drugi državi članici, po</w:t>
      </w:r>
      <w:r w:rsidR="008C1E6F" w:rsidRPr="00215B2F">
        <w:rPr>
          <w:rFonts w:ascii="Arial" w:eastAsia="Arial" w:hAnsi="Arial" w:cs="Arial"/>
          <w:sz w:val="20"/>
          <w:szCs w:val="20"/>
        </w:rPr>
        <w:t>šl</w:t>
      </w:r>
      <w:r w:rsidRPr="00215B2F">
        <w:rPr>
          <w:rFonts w:ascii="Arial" w:eastAsia="Arial" w:hAnsi="Arial" w:cs="Arial"/>
          <w:sz w:val="20"/>
          <w:szCs w:val="20"/>
        </w:rPr>
        <w:t xml:space="preserve">je zahtevo za izvzetje skupaj z informacijami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tudi pristojnemu organu te države članice.</w:t>
      </w:r>
    </w:p>
    <w:p w14:paraId="7E0F867E"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5E1772CB" w14:textId="15C0C3F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Za postopek odločanja o izvzetju finančnega holdinga ali mešanega finančnega holdinga in postop</w:t>
      </w:r>
      <w:r w:rsidR="008C1E6F" w:rsidRPr="00215B2F">
        <w:rPr>
          <w:rFonts w:ascii="Arial" w:eastAsia="Arial" w:hAnsi="Arial" w:cs="Arial"/>
          <w:sz w:val="20"/>
          <w:szCs w:val="20"/>
        </w:rPr>
        <w:t>e</w:t>
      </w:r>
      <w:r w:rsidRPr="00215B2F">
        <w:rPr>
          <w:rFonts w:ascii="Arial" w:eastAsia="Arial" w:hAnsi="Arial" w:cs="Arial"/>
          <w:sz w:val="20"/>
          <w:szCs w:val="20"/>
        </w:rPr>
        <w:t>k izključitv</w:t>
      </w:r>
      <w:r w:rsidR="008C1E6F" w:rsidRPr="00215B2F">
        <w:rPr>
          <w:rFonts w:ascii="Arial" w:eastAsia="Arial" w:hAnsi="Arial" w:cs="Arial"/>
          <w:sz w:val="20"/>
          <w:szCs w:val="20"/>
        </w:rPr>
        <w:t>e</w:t>
      </w:r>
      <w:r w:rsidRPr="00215B2F">
        <w:rPr>
          <w:rFonts w:ascii="Arial" w:eastAsia="Arial" w:hAnsi="Arial" w:cs="Arial"/>
          <w:sz w:val="20"/>
          <w:szCs w:val="20"/>
        </w:rPr>
        <w:t xml:space="preserve"> finančnega holdinga ali mešanega finančnega holdinga iz obsega konsolidacije se smiselno uporabljajo določbe </w:t>
      </w:r>
      <w:r w:rsidR="005B0CC7" w:rsidRPr="00215B2F">
        <w:rPr>
          <w:rFonts w:ascii="Arial" w:eastAsia="Arial" w:hAnsi="Arial" w:cs="Arial"/>
          <w:sz w:val="20"/>
          <w:szCs w:val="20"/>
        </w:rPr>
        <w:t>o</w:t>
      </w:r>
      <w:r w:rsidR="001F2C7A" w:rsidRPr="00215B2F">
        <w:rPr>
          <w:rFonts w:ascii="Arial" w:eastAsia="Arial" w:hAnsi="Arial" w:cs="Arial"/>
          <w:sz w:val="20"/>
          <w:szCs w:val="20"/>
        </w:rPr>
        <w:t>ddelka</w:t>
      </w:r>
      <w:r w:rsidRPr="00215B2F">
        <w:rPr>
          <w:rFonts w:ascii="Arial" w:eastAsia="Arial" w:hAnsi="Arial" w:cs="Arial"/>
          <w:sz w:val="20"/>
          <w:szCs w:val="20"/>
        </w:rPr>
        <w:t xml:space="preserve"> </w:t>
      </w:r>
      <w:r w:rsidR="00582568" w:rsidRPr="00215B2F">
        <w:rPr>
          <w:rFonts w:ascii="Arial" w:eastAsia="Arial" w:hAnsi="Arial" w:cs="Arial"/>
          <w:sz w:val="20"/>
          <w:szCs w:val="20"/>
        </w:rPr>
        <w:t>16.2</w:t>
      </w:r>
      <w:r w:rsidRPr="00215B2F">
        <w:rPr>
          <w:rFonts w:ascii="Arial" w:eastAsia="Arial" w:hAnsi="Arial" w:cs="Arial"/>
          <w:sz w:val="20"/>
          <w:szCs w:val="20"/>
        </w:rPr>
        <w:t xml:space="preserve"> tega zakona.</w:t>
      </w:r>
    </w:p>
    <w:p w14:paraId="449BB91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518EEBE"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50" w:name="_Ref202963897"/>
      <w:r w:rsidRPr="00215B2F">
        <w:rPr>
          <w:rFonts w:ascii="Arial" w:eastAsia="Arial" w:hAnsi="Arial" w:cs="Arial"/>
          <w:b/>
          <w:bCs/>
          <w:sz w:val="20"/>
          <w:szCs w:val="20"/>
        </w:rPr>
        <w:t>člen</w:t>
      </w:r>
      <w:bookmarkEnd w:id="150"/>
    </w:p>
    <w:p w14:paraId="31E2A348" w14:textId="77777777" w:rsidR="00D91782" w:rsidRPr="00215B2F" w:rsidRDefault="00D91782" w:rsidP="00FD5520">
      <w:pPr>
        <w:pStyle w:val="Slog1"/>
        <w:shd w:val="clear" w:color="auto" w:fill="FFFFFF" w:themeFill="background1"/>
        <w:rPr>
          <w:sz w:val="20"/>
          <w:szCs w:val="20"/>
        </w:rPr>
      </w:pPr>
      <w:r w:rsidRPr="00215B2F">
        <w:rPr>
          <w:sz w:val="20"/>
          <w:szCs w:val="20"/>
        </w:rPr>
        <w:t>(izvzetje iz odobritve finančnega holdinga ali mešanega finančnega holdinga in izključitev iz obsega konsolidacije)</w:t>
      </w:r>
    </w:p>
    <w:p w14:paraId="5E9EDA05" w14:textId="77777777" w:rsidR="00D91782" w:rsidRPr="00215B2F" w:rsidRDefault="00D91782" w:rsidP="00FD5520">
      <w:pPr>
        <w:pStyle w:val="Slog1"/>
        <w:shd w:val="clear" w:color="auto" w:fill="FFFFFF" w:themeFill="background1"/>
        <w:jc w:val="both"/>
        <w:rPr>
          <w:sz w:val="20"/>
          <w:szCs w:val="20"/>
        </w:rPr>
      </w:pPr>
    </w:p>
    <w:p w14:paraId="0F1EDBF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151" w:name="_Hlk203640405"/>
      <w:r w:rsidRPr="00215B2F">
        <w:rPr>
          <w:rFonts w:ascii="Arial" w:eastAsia="Arial" w:hAnsi="Arial" w:cs="Arial"/>
          <w:sz w:val="20"/>
          <w:szCs w:val="20"/>
        </w:rPr>
        <w:t>(1) Banka Slovenije na podlagi zahteve finančnega holdinga ali mešanega finančnega holdinga tega izvzame iz odobritve, če so izpolnjeni vsi naslednji pogoji:</w:t>
      </w:r>
    </w:p>
    <w:p w14:paraId="013243FB"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9104C57" w14:textId="77777777" w:rsidR="00895214" w:rsidRPr="00215B2F" w:rsidRDefault="00D91782">
      <w:pPr>
        <w:pStyle w:val="tevilnatoka"/>
        <w:numPr>
          <w:ilvl w:val="0"/>
          <w:numId w:val="87"/>
        </w:numPr>
        <w:shd w:val="clear" w:color="auto" w:fill="FFFFFF" w:themeFill="background1"/>
        <w:tabs>
          <w:tab w:val="clear" w:pos="425"/>
        </w:tabs>
        <w:rPr>
          <w:rFonts w:cs="Arial"/>
          <w:bCs/>
          <w:sz w:val="20"/>
          <w:szCs w:val="20"/>
        </w:rPr>
      </w:pPr>
      <w:r w:rsidRPr="00215B2F">
        <w:rPr>
          <w:rFonts w:eastAsia="Arial" w:cs="Arial"/>
          <w:sz w:val="20"/>
          <w:szCs w:val="20"/>
        </w:rPr>
        <w:t>osnovna dejavnost finančnega holdinga je pridobivanje deležev v podrejenih družbah, pri mešanem finančnem holdingu pa je osnovna dejavnost glede na institucije ali finančne institucije pridobivanje deležev v podrejenih družbah;</w:t>
      </w:r>
    </w:p>
    <w:p w14:paraId="5B51486B" w14:textId="53F0E486" w:rsidR="00895214" w:rsidRPr="00215B2F" w:rsidRDefault="00D91782">
      <w:pPr>
        <w:pStyle w:val="tevilnatoka"/>
        <w:numPr>
          <w:ilvl w:val="0"/>
          <w:numId w:val="87"/>
        </w:numPr>
        <w:shd w:val="clear" w:color="auto" w:fill="FFFFFF" w:themeFill="background1"/>
        <w:tabs>
          <w:tab w:val="clear" w:pos="425"/>
        </w:tabs>
        <w:rPr>
          <w:rFonts w:cs="Arial"/>
          <w:bCs/>
          <w:sz w:val="20"/>
          <w:szCs w:val="20"/>
        </w:rPr>
      </w:pPr>
      <w:r w:rsidRPr="00215B2F">
        <w:rPr>
          <w:rFonts w:eastAsia="Arial" w:cs="Arial"/>
          <w:sz w:val="20"/>
          <w:szCs w:val="20"/>
        </w:rPr>
        <w:t xml:space="preserve">finančni holding ali mešani finančni holding ni imenovan kot subjekt v postopku reševanja v nobeni skupini za reševanje v okviru skupine v skladu s strategijo reševanja, ki jo Banka Slovenije za reševanje določi na podlagi </w:t>
      </w:r>
      <w:r w:rsidR="00E94A53" w:rsidRPr="00215B2F">
        <w:rPr>
          <w:rFonts w:eastAsia="Arial" w:cs="Arial"/>
          <w:sz w:val="20"/>
          <w:szCs w:val="20"/>
        </w:rPr>
        <w:t xml:space="preserve">ZRPPB-1 </w:t>
      </w:r>
      <w:r w:rsidRPr="00215B2F">
        <w:rPr>
          <w:rFonts w:eastAsia="Arial" w:cs="Arial"/>
          <w:sz w:val="20"/>
          <w:szCs w:val="20"/>
        </w:rPr>
        <w:t>oziroma Direktive 2014/59/EU;</w:t>
      </w:r>
    </w:p>
    <w:p w14:paraId="43271372" w14:textId="216CA92D" w:rsidR="00895214" w:rsidRPr="00215B2F" w:rsidRDefault="00D91782">
      <w:pPr>
        <w:pStyle w:val="tevilnatoka"/>
        <w:numPr>
          <w:ilvl w:val="0"/>
          <w:numId w:val="87"/>
        </w:numPr>
        <w:shd w:val="clear" w:color="auto" w:fill="FFFFFF" w:themeFill="background1"/>
        <w:tabs>
          <w:tab w:val="clear" w:pos="425"/>
        </w:tabs>
        <w:rPr>
          <w:rFonts w:cs="Arial"/>
          <w:bCs/>
          <w:sz w:val="20"/>
          <w:szCs w:val="20"/>
        </w:rPr>
      </w:pPr>
      <w:r w:rsidRPr="00215B2F">
        <w:rPr>
          <w:rFonts w:eastAsia="Arial" w:cs="Arial"/>
          <w:sz w:val="20"/>
          <w:szCs w:val="20"/>
        </w:rPr>
        <w:t xml:space="preserve">podrejena kreditna institucija ali podrejeni finančni holding ali mešani finančni holding, ki je pridobil odobritev v skladu z drugim odstavkom </w:t>
      </w:r>
      <w:r w:rsidR="00582568" w:rsidRPr="00215B2F">
        <w:rPr>
          <w:rFonts w:eastAsia="Arial" w:cs="Arial"/>
          <w:sz w:val="20"/>
          <w:szCs w:val="20"/>
        </w:rPr>
        <w:t>108</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ali prvim odstavkom 21</w:t>
      </w:r>
      <w:r w:rsidR="00023612" w:rsidRPr="00215B2F">
        <w:rPr>
          <w:rFonts w:eastAsia="Arial" w:cs="Arial"/>
          <w:sz w:val="20"/>
          <w:szCs w:val="20"/>
        </w:rPr>
        <w:t>.</w:t>
      </w:r>
      <w:r w:rsidRPr="00215B2F">
        <w:rPr>
          <w:rFonts w:eastAsia="Arial" w:cs="Arial"/>
          <w:sz w:val="20"/>
          <w:szCs w:val="20"/>
        </w:rPr>
        <w:t xml:space="preserve">a </w:t>
      </w:r>
      <w:r w:rsidR="00023612" w:rsidRPr="00215B2F">
        <w:rPr>
          <w:rFonts w:eastAsia="Arial" w:cs="Arial"/>
          <w:sz w:val="20"/>
          <w:szCs w:val="20"/>
        </w:rPr>
        <w:t xml:space="preserve">člena </w:t>
      </w:r>
      <w:r w:rsidRPr="00215B2F">
        <w:rPr>
          <w:rFonts w:eastAsia="Arial" w:cs="Arial"/>
          <w:sz w:val="20"/>
          <w:szCs w:val="20"/>
        </w:rPr>
        <w:t>Direktive 2013/36/EU, je imenovan kot odgovoren za zagotavljanje, da skupina izpolnjuje bonitetne zahteve na konsolidirani podlagi</w:t>
      </w:r>
      <w:r w:rsidR="00023612" w:rsidRPr="00215B2F">
        <w:rPr>
          <w:rFonts w:eastAsia="Arial" w:cs="Arial"/>
          <w:sz w:val="20"/>
          <w:szCs w:val="20"/>
        </w:rPr>
        <w:t>,</w:t>
      </w:r>
      <w:r w:rsidRPr="00215B2F">
        <w:rPr>
          <w:rFonts w:eastAsia="Arial" w:cs="Arial"/>
          <w:sz w:val="20"/>
          <w:szCs w:val="20"/>
        </w:rPr>
        <w:t xml:space="preserve"> </w:t>
      </w:r>
      <w:r w:rsidR="00023612" w:rsidRPr="00215B2F">
        <w:rPr>
          <w:rFonts w:eastAsia="Arial" w:cs="Arial"/>
          <w:sz w:val="20"/>
          <w:szCs w:val="20"/>
        </w:rPr>
        <w:t xml:space="preserve">ter </w:t>
      </w:r>
      <w:r w:rsidRPr="00215B2F">
        <w:rPr>
          <w:rFonts w:eastAsia="Arial" w:cs="Arial"/>
          <w:sz w:val="20"/>
          <w:szCs w:val="20"/>
        </w:rPr>
        <w:t>ima na voljo vsa potrebna sredstva in pravna pooblastila za učinkovito izpolnjevanje teh obveznosti;</w:t>
      </w:r>
    </w:p>
    <w:p w14:paraId="5F10C8E5" w14:textId="77777777" w:rsidR="00895214" w:rsidRPr="00215B2F" w:rsidRDefault="00D91782">
      <w:pPr>
        <w:pStyle w:val="tevilnatoka"/>
        <w:numPr>
          <w:ilvl w:val="0"/>
          <w:numId w:val="87"/>
        </w:numPr>
        <w:shd w:val="clear" w:color="auto" w:fill="FFFFFF" w:themeFill="background1"/>
        <w:tabs>
          <w:tab w:val="clear" w:pos="425"/>
        </w:tabs>
        <w:rPr>
          <w:rFonts w:cs="Arial"/>
          <w:bCs/>
          <w:sz w:val="20"/>
          <w:szCs w:val="20"/>
        </w:rPr>
      </w:pPr>
      <w:r w:rsidRPr="00215B2F">
        <w:rPr>
          <w:rFonts w:eastAsia="Arial" w:cs="Arial"/>
          <w:sz w:val="20"/>
          <w:szCs w:val="20"/>
        </w:rPr>
        <w:t>finančni holding ali mešani finančni holding ne sodeluje pri sprejemanju upravljavskih, operativnih ali finančnih odločitev, ki vplivajo na skupino ali njene podrejene družbe, ki so banke, institucije ali finančne institucije;</w:t>
      </w:r>
    </w:p>
    <w:p w14:paraId="35B2D924" w14:textId="2AEBE73B" w:rsidR="00D91782" w:rsidRPr="00215B2F" w:rsidRDefault="00D91782">
      <w:pPr>
        <w:pStyle w:val="tevilnatoka"/>
        <w:numPr>
          <w:ilvl w:val="0"/>
          <w:numId w:val="87"/>
        </w:numPr>
        <w:shd w:val="clear" w:color="auto" w:fill="FFFFFF" w:themeFill="background1"/>
        <w:tabs>
          <w:tab w:val="clear" w:pos="425"/>
        </w:tabs>
        <w:rPr>
          <w:rFonts w:cs="Arial"/>
          <w:bCs/>
          <w:sz w:val="20"/>
          <w:szCs w:val="20"/>
        </w:rPr>
      </w:pPr>
      <w:r w:rsidRPr="00215B2F">
        <w:rPr>
          <w:rFonts w:eastAsia="Arial" w:cs="Arial"/>
          <w:sz w:val="20"/>
          <w:szCs w:val="20"/>
        </w:rPr>
        <w:t>ne obstajajo ovire za učinkovit nadzor skupin</w:t>
      </w:r>
      <w:r w:rsidR="00233154" w:rsidRPr="00215B2F">
        <w:rPr>
          <w:rFonts w:eastAsia="Arial" w:cs="Arial"/>
          <w:sz w:val="20"/>
          <w:szCs w:val="20"/>
        </w:rPr>
        <w:t>e</w:t>
      </w:r>
      <w:r w:rsidRPr="00215B2F">
        <w:rPr>
          <w:rFonts w:eastAsia="Arial" w:cs="Arial"/>
          <w:sz w:val="20"/>
          <w:szCs w:val="20"/>
        </w:rPr>
        <w:t xml:space="preserve"> na konsolidirani podlagi.</w:t>
      </w:r>
    </w:p>
    <w:p w14:paraId="03C90E0F"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29410D53" w14:textId="38DE639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lahko za presojo izvzetj</w:t>
      </w:r>
      <w:r w:rsidR="005A0062" w:rsidRPr="00215B2F">
        <w:rPr>
          <w:rFonts w:ascii="Arial" w:eastAsia="Arial" w:hAnsi="Arial" w:cs="Arial"/>
          <w:sz w:val="20"/>
          <w:szCs w:val="20"/>
        </w:rPr>
        <w:t>a</w:t>
      </w:r>
      <w:r w:rsidRPr="00215B2F">
        <w:rPr>
          <w:rFonts w:ascii="Arial" w:eastAsia="Arial" w:hAnsi="Arial" w:cs="Arial"/>
          <w:sz w:val="20"/>
          <w:szCs w:val="20"/>
        </w:rPr>
        <w:t xml:space="preserve"> iz odobritve finančnega holdinga ali mešanega finančnega holdinga zahteva predložitev dodatnih informacij. </w:t>
      </w:r>
    </w:p>
    <w:p w14:paraId="5127F35B" w14:textId="77777777" w:rsidR="003E05E7" w:rsidRPr="00215B2F" w:rsidRDefault="003E05E7" w:rsidP="00FD5520">
      <w:pPr>
        <w:shd w:val="clear" w:color="auto" w:fill="FFFFFF" w:themeFill="background1"/>
        <w:spacing w:after="0" w:line="240" w:lineRule="auto"/>
        <w:jc w:val="both"/>
        <w:rPr>
          <w:rFonts w:ascii="Arial" w:eastAsia="Arial" w:hAnsi="Arial" w:cs="Arial"/>
          <w:sz w:val="20"/>
          <w:szCs w:val="20"/>
        </w:rPr>
      </w:pPr>
    </w:p>
    <w:p w14:paraId="3FA8FB6D" w14:textId="6E6AD8F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zavrne izvzetje finančnega holdinga ali mešanega finančnega holdinga, če niso izpolnjeni pogoji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 tem primeru finančni holding ali mešani finančni holding zaprosi za odobritev v skladu s </w:t>
      </w:r>
      <w:r w:rsidR="00582568"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31EF9729"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50C24902" w14:textId="469F035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Finančni holdingi ali mešani finančni holdingi, ki so izvzeti iz odobritve v skladu s prvim odstavkom tega člena, niso izključeni iz obsega konsolidacije, k</w:t>
      </w:r>
      <w:r w:rsidR="006B0B0E" w:rsidRPr="00215B2F">
        <w:rPr>
          <w:rFonts w:ascii="Arial" w:eastAsia="Arial" w:hAnsi="Arial" w:cs="Arial"/>
          <w:sz w:val="20"/>
          <w:szCs w:val="20"/>
        </w:rPr>
        <w:t>akor</w:t>
      </w:r>
      <w:r w:rsidRPr="00215B2F">
        <w:rPr>
          <w:rFonts w:ascii="Arial" w:eastAsia="Arial" w:hAnsi="Arial" w:cs="Arial"/>
          <w:sz w:val="20"/>
          <w:szCs w:val="20"/>
        </w:rPr>
        <w:t xml:space="preserve"> je določena v tem zakonu, Direktivi 2013/36/EU in Uredbi 575/2013/EU.</w:t>
      </w:r>
    </w:p>
    <w:p w14:paraId="23BACEA5"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877A559" w14:textId="5D4F69D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Ne glede na prejšnji odstavek lahko Banka Slovenije kot konsolidacijski nadzornik na podlagi zahteve finančnega holdinga ali mešanega finančnega holdinga za vsak primer posebej dovoli, da se finančni holdingi ali mešani finančni holdingi, ki so izvzeti iz odobritve v skladu s prvim odstavkom tega člena, izključijo iz obsega konsolidacije, če so izpolnjeni naslednji pogoji:</w:t>
      </w:r>
    </w:p>
    <w:p w14:paraId="310F161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70237C0" w14:textId="01A6477D" w:rsidR="008612B7" w:rsidRPr="00215B2F" w:rsidRDefault="00D91782" w:rsidP="003D4DE0">
      <w:pPr>
        <w:pStyle w:val="Odstavekseznama"/>
        <w:numPr>
          <w:ilvl w:val="0"/>
          <w:numId w:val="303"/>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izključitev ne vpliva na učinkovitost nadzora podrejen</w:t>
      </w:r>
      <w:r w:rsidR="00233154" w:rsidRPr="00215B2F">
        <w:rPr>
          <w:rFonts w:ascii="Arial" w:eastAsia="Arial" w:hAnsi="Arial" w:cs="Arial"/>
          <w:sz w:val="20"/>
          <w:szCs w:val="20"/>
        </w:rPr>
        <w:t>e</w:t>
      </w:r>
      <w:r w:rsidRPr="00215B2F">
        <w:rPr>
          <w:rFonts w:ascii="Arial" w:eastAsia="Arial" w:hAnsi="Arial" w:cs="Arial"/>
          <w:sz w:val="20"/>
          <w:szCs w:val="20"/>
        </w:rPr>
        <w:t xml:space="preserve"> kreditn</w:t>
      </w:r>
      <w:r w:rsidR="00233154" w:rsidRPr="00215B2F">
        <w:rPr>
          <w:rFonts w:ascii="Arial" w:eastAsia="Arial" w:hAnsi="Arial" w:cs="Arial"/>
          <w:sz w:val="20"/>
          <w:szCs w:val="20"/>
        </w:rPr>
        <w:t>e</w:t>
      </w:r>
      <w:r w:rsidRPr="00215B2F">
        <w:rPr>
          <w:rFonts w:ascii="Arial" w:eastAsia="Arial" w:hAnsi="Arial" w:cs="Arial"/>
          <w:sz w:val="20"/>
          <w:szCs w:val="20"/>
        </w:rPr>
        <w:t xml:space="preserve"> institucij</w:t>
      </w:r>
      <w:r w:rsidR="00233154" w:rsidRPr="00215B2F">
        <w:rPr>
          <w:rFonts w:ascii="Arial" w:eastAsia="Arial" w:hAnsi="Arial" w:cs="Arial"/>
          <w:sz w:val="20"/>
          <w:szCs w:val="20"/>
        </w:rPr>
        <w:t>e</w:t>
      </w:r>
      <w:r w:rsidRPr="00215B2F">
        <w:rPr>
          <w:rFonts w:ascii="Arial" w:eastAsia="Arial" w:hAnsi="Arial" w:cs="Arial"/>
          <w:sz w:val="20"/>
          <w:szCs w:val="20"/>
        </w:rPr>
        <w:t xml:space="preserve"> ali skupin</w:t>
      </w:r>
      <w:r w:rsidR="00233154" w:rsidRPr="00215B2F">
        <w:rPr>
          <w:rFonts w:ascii="Arial" w:eastAsia="Arial" w:hAnsi="Arial" w:cs="Arial"/>
          <w:sz w:val="20"/>
          <w:szCs w:val="20"/>
        </w:rPr>
        <w:t>e</w:t>
      </w:r>
      <w:r w:rsidRPr="00215B2F">
        <w:rPr>
          <w:rFonts w:ascii="Arial" w:eastAsia="Arial" w:hAnsi="Arial" w:cs="Arial"/>
          <w:sz w:val="20"/>
          <w:szCs w:val="20"/>
        </w:rPr>
        <w:t>;</w:t>
      </w:r>
    </w:p>
    <w:p w14:paraId="2415225C" w14:textId="0ABDC698" w:rsidR="009B0D42" w:rsidRPr="00215B2F" w:rsidRDefault="00D91782" w:rsidP="003D4DE0">
      <w:pPr>
        <w:pStyle w:val="Odstavekseznama"/>
        <w:numPr>
          <w:ilvl w:val="0"/>
          <w:numId w:val="303"/>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finančni holding ali mešani finančni holding nima izpostavljenosti iz naslova lastniških instrumentov, razen izpostavljenosti iz naslova lastniških instrumentov v podrejen</w:t>
      </w:r>
      <w:r w:rsidR="00C23E0A" w:rsidRPr="00215B2F">
        <w:rPr>
          <w:rFonts w:ascii="Arial" w:eastAsia="Arial" w:hAnsi="Arial" w:cs="Arial"/>
          <w:sz w:val="20"/>
          <w:szCs w:val="20"/>
        </w:rPr>
        <w:t>i</w:t>
      </w:r>
      <w:r w:rsidRPr="00215B2F">
        <w:rPr>
          <w:rFonts w:ascii="Arial" w:eastAsia="Arial" w:hAnsi="Arial" w:cs="Arial"/>
          <w:sz w:val="20"/>
          <w:szCs w:val="20"/>
        </w:rPr>
        <w:t xml:space="preserve"> kreditn</w:t>
      </w:r>
      <w:r w:rsidR="00C23E0A" w:rsidRPr="00215B2F">
        <w:rPr>
          <w:rFonts w:ascii="Arial" w:eastAsia="Arial" w:hAnsi="Arial" w:cs="Arial"/>
          <w:sz w:val="20"/>
          <w:szCs w:val="20"/>
        </w:rPr>
        <w:t>i</w:t>
      </w:r>
      <w:r w:rsidRPr="00215B2F">
        <w:rPr>
          <w:rFonts w:ascii="Arial" w:eastAsia="Arial" w:hAnsi="Arial" w:cs="Arial"/>
          <w:sz w:val="20"/>
          <w:szCs w:val="20"/>
        </w:rPr>
        <w:t xml:space="preserve"> institucij</w:t>
      </w:r>
      <w:r w:rsidR="00C23E0A" w:rsidRPr="00215B2F">
        <w:rPr>
          <w:rFonts w:ascii="Arial" w:eastAsia="Arial" w:hAnsi="Arial" w:cs="Arial"/>
          <w:sz w:val="20"/>
          <w:szCs w:val="20"/>
        </w:rPr>
        <w:t>i</w:t>
      </w:r>
      <w:r w:rsidRPr="00215B2F">
        <w:rPr>
          <w:rFonts w:ascii="Arial" w:eastAsia="Arial" w:hAnsi="Arial" w:cs="Arial"/>
          <w:sz w:val="20"/>
          <w:szCs w:val="20"/>
        </w:rPr>
        <w:t xml:space="preserve"> ali vmesni nadrejeni finančni holding ali mešani finančni holding, ki obvladuje podrejeno kreditno institucijo;</w:t>
      </w:r>
    </w:p>
    <w:p w14:paraId="27C902AE" w14:textId="77777777" w:rsidR="00023612" w:rsidRPr="00215B2F" w:rsidRDefault="00D91782" w:rsidP="003D4DE0">
      <w:pPr>
        <w:pStyle w:val="Odstavekseznama"/>
        <w:numPr>
          <w:ilvl w:val="0"/>
          <w:numId w:val="303"/>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finančni holding ali mešani finančni holding ne uporablja finančnega vzvoda v pomembnem obsegu in nima izpostavljenosti, ki niso povezane z njegovim lastništvom v podrejeni kreditni instituciji ali v vmesnem nadrejenem finančnem holdingu ali mešanem finančnem holdingu, ki obvladuje podrejeno kreditno institucijo.</w:t>
      </w:r>
    </w:p>
    <w:p w14:paraId="16B7AD7F" w14:textId="77777777" w:rsidR="00023612" w:rsidRPr="00215B2F" w:rsidRDefault="00023612" w:rsidP="00543D80">
      <w:pPr>
        <w:shd w:val="clear" w:color="auto" w:fill="FFFFFF" w:themeFill="background1"/>
        <w:spacing w:after="0" w:line="240" w:lineRule="auto"/>
        <w:jc w:val="both"/>
        <w:rPr>
          <w:rFonts w:ascii="Arial" w:eastAsia="Arial" w:hAnsi="Arial" w:cs="Arial"/>
          <w:sz w:val="20"/>
          <w:szCs w:val="20"/>
        </w:rPr>
      </w:pPr>
    </w:p>
    <w:p w14:paraId="485A8165" w14:textId="4EE87347" w:rsidR="00D91782" w:rsidRPr="00215B2F" w:rsidRDefault="00D91782" w:rsidP="00543D80">
      <w:p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(6) Banka Slovenije lahko za presojo izključitv</w:t>
      </w:r>
      <w:r w:rsidR="005A0062" w:rsidRPr="00215B2F">
        <w:rPr>
          <w:rFonts w:ascii="Arial" w:eastAsia="Arial" w:hAnsi="Arial" w:cs="Arial"/>
          <w:sz w:val="20"/>
          <w:szCs w:val="20"/>
        </w:rPr>
        <w:t>e</w:t>
      </w:r>
      <w:r w:rsidRPr="00215B2F">
        <w:rPr>
          <w:rFonts w:ascii="Arial" w:eastAsia="Arial" w:hAnsi="Arial" w:cs="Arial"/>
          <w:sz w:val="20"/>
          <w:szCs w:val="20"/>
        </w:rPr>
        <w:t xml:space="preserve"> finančnega holdinga ali mešanega finančnega holdinga iz obsega konsolidacije iz prejšnjega odstavka zahteva predložitev dodatnih informacij. </w:t>
      </w:r>
    </w:p>
    <w:p w14:paraId="7D0570C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C843289"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52" w:name="_Ref202963905"/>
      <w:bookmarkEnd w:id="151"/>
      <w:r w:rsidRPr="00215B2F">
        <w:rPr>
          <w:rFonts w:ascii="Arial" w:eastAsia="Arial" w:hAnsi="Arial" w:cs="Arial"/>
          <w:b/>
          <w:bCs/>
          <w:sz w:val="20"/>
          <w:szCs w:val="20"/>
        </w:rPr>
        <w:t>člen</w:t>
      </w:r>
      <w:bookmarkEnd w:id="152"/>
    </w:p>
    <w:p w14:paraId="20802979" w14:textId="77777777" w:rsidR="00D91782" w:rsidRPr="00215B2F" w:rsidRDefault="00D91782" w:rsidP="00FD5520">
      <w:pPr>
        <w:pStyle w:val="Slog1"/>
        <w:shd w:val="clear" w:color="auto" w:fill="FFFFFF" w:themeFill="background1"/>
        <w:rPr>
          <w:sz w:val="20"/>
          <w:szCs w:val="20"/>
        </w:rPr>
      </w:pPr>
      <w:r w:rsidRPr="00215B2F">
        <w:rPr>
          <w:sz w:val="20"/>
          <w:szCs w:val="20"/>
        </w:rPr>
        <w:t>(obveščanje o spremembah)</w:t>
      </w:r>
    </w:p>
    <w:p w14:paraId="6FC3D1CF" w14:textId="77777777" w:rsidR="00D91782" w:rsidRPr="00215B2F" w:rsidRDefault="00D91782" w:rsidP="00FD5520">
      <w:pPr>
        <w:pStyle w:val="Slog1"/>
        <w:shd w:val="clear" w:color="auto" w:fill="FFFFFF" w:themeFill="background1"/>
        <w:jc w:val="both"/>
        <w:rPr>
          <w:sz w:val="20"/>
          <w:szCs w:val="20"/>
        </w:rPr>
      </w:pPr>
    </w:p>
    <w:p w14:paraId="40C7EF10" w14:textId="35BE33B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Finančni holding in mešani finančni holding morata Banko Slovenije takoj obvestiti o vsaki spremembi organizacijske strukture skupine, k</w:t>
      </w:r>
      <w:r w:rsidR="00EB484E" w:rsidRPr="00215B2F">
        <w:rPr>
          <w:rFonts w:ascii="Arial" w:eastAsia="Arial" w:hAnsi="Arial" w:cs="Arial"/>
          <w:sz w:val="20"/>
          <w:szCs w:val="20"/>
        </w:rPr>
        <w:t>akor</w:t>
      </w:r>
      <w:r w:rsidRPr="00215B2F">
        <w:rPr>
          <w:rFonts w:ascii="Arial" w:eastAsia="Arial" w:hAnsi="Arial" w:cs="Arial"/>
          <w:sz w:val="20"/>
          <w:szCs w:val="20"/>
        </w:rPr>
        <w:t xml:space="preserve"> je opredeljena v 1. točki drugega odstavka </w:t>
      </w:r>
      <w:r w:rsidR="00582568" w:rsidRPr="00215B2F">
        <w:rPr>
          <w:rFonts w:ascii="Arial" w:eastAsia="Arial" w:hAnsi="Arial" w:cs="Arial"/>
          <w:sz w:val="20"/>
          <w:szCs w:val="20"/>
        </w:rPr>
        <w:t>109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o vsaki spremembi, ki lahko vpliva na izpolnjevanje pogojev iz </w:t>
      </w:r>
      <w:r w:rsidR="00582568" w:rsidRPr="00215B2F">
        <w:rPr>
          <w:rFonts w:ascii="Arial" w:eastAsia="Arial" w:hAnsi="Arial" w:cs="Arial"/>
          <w:sz w:val="20"/>
          <w:szCs w:val="20"/>
        </w:rPr>
        <w:t>111</w:t>
      </w:r>
      <w:r w:rsidRPr="00215B2F">
        <w:rPr>
          <w:rFonts w:ascii="Arial" w:eastAsia="Arial" w:hAnsi="Arial" w:cs="Arial"/>
          <w:sz w:val="20"/>
          <w:szCs w:val="20"/>
        </w:rPr>
        <w:t xml:space="preserve">. in </w:t>
      </w:r>
      <w:r w:rsidR="00582568" w:rsidRPr="00215B2F">
        <w:rPr>
          <w:rFonts w:ascii="Arial" w:eastAsia="Arial" w:hAnsi="Arial" w:cs="Arial"/>
          <w:sz w:val="20"/>
          <w:szCs w:val="20"/>
        </w:rPr>
        <w:t>113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512B16C6"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7D157B39"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53" w:name="_Ref202963914"/>
      <w:r w:rsidRPr="00215B2F">
        <w:rPr>
          <w:rFonts w:ascii="Arial" w:eastAsia="Arial" w:hAnsi="Arial" w:cs="Arial"/>
          <w:b/>
          <w:bCs/>
          <w:sz w:val="20"/>
          <w:szCs w:val="20"/>
        </w:rPr>
        <w:t>člen</w:t>
      </w:r>
      <w:bookmarkEnd w:id="153"/>
    </w:p>
    <w:p w14:paraId="7BA14C03" w14:textId="77777777" w:rsidR="00D91782" w:rsidRPr="00215B2F" w:rsidRDefault="00D91782" w:rsidP="00FD5520">
      <w:pPr>
        <w:pStyle w:val="Slog1"/>
        <w:shd w:val="clear" w:color="auto" w:fill="FFFFFF" w:themeFill="background1"/>
        <w:rPr>
          <w:sz w:val="20"/>
          <w:szCs w:val="20"/>
        </w:rPr>
      </w:pPr>
      <w:r w:rsidRPr="00215B2F">
        <w:rPr>
          <w:sz w:val="20"/>
          <w:szCs w:val="20"/>
        </w:rPr>
        <w:t>(stalno spremljanje izpolnjevanja pogojev)</w:t>
      </w:r>
    </w:p>
    <w:p w14:paraId="75EDFF54" w14:textId="77777777" w:rsidR="00D91782" w:rsidRPr="00215B2F" w:rsidRDefault="00D91782" w:rsidP="00FD5520">
      <w:pPr>
        <w:pStyle w:val="Slog1"/>
        <w:shd w:val="clear" w:color="auto" w:fill="FFFFFF" w:themeFill="background1"/>
        <w:jc w:val="both"/>
        <w:rPr>
          <w:sz w:val="20"/>
          <w:szCs w:val="20"/>
        </w:rPr>
      </w:pPr>
    </w:p>
    <w:p w14:paraId="46693D9D" w14:textId="5D7816C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kot konsolidacijski nadzornik stalno spremlja izpolnjevanje pogojev iz </w:t>
      </w:r>
      <w:r w:rsidR="00582568" w:rsidRPr="00215B2F">
        <w:rPr>
          <w:rFonts w:ascii="Arial" w:eastAsia="Arial" w:hAnsi="Arial" w:cs="Arial"/>
          <w:sz w:val="20"/>
          <w:szCs w:val="20"/>
        </w:rPr>
        <w:t>111</w:t>
      </w:r>
      <w:r w:rsidRPr="00215B2F">
        <w:rPr>
          <w:rFonts w:ascii="Arial" w:eastAsia="Arial" w:hAnsi="Arial" w:cs="Arial"/>
          <w:sz w:val="20"/>
          <w:szCs w:val="20"/>
        </w:rPr>
        <w:t xml:space="preserve">. in </w:t>
      </w:r>
      <w:r w:rsidR="00582568" w:rsidRPr="00215B2F">
        <w:rPr>
          <w:rFonts w:ascii="Arial" w:eastAsia="Arial" w:hAnsi="Arial" w:cs="Arial"/>
          <w:sz w:val="20"/>
          <w:szCs w:val="20"/>
        </w:rPr>
        <w:t>113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V ta namen lahko Banka Slovenije od finančnega holdinga ali mešanega finančnega holdinga kadar koli zahteva predložitev potrebnih informacij in dokumentacije.</w:t>
      </w:r>
    </w:p>
    <w:p w14:paraId="31BD4A70"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E6D92DD" w14:textId="630F1AE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navedene informacije izmenjuje s pristojnim organom v državi članici, v kateri je sedež finančnega holdinga ali mešanega finančnega holdinga iz </w:t>
      </w:r>
      <w:r w:rsidR="00582568"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07A8BB39"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5CA81887" w14:textId="5CD3CD7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Banka Slovenije kot konsolidacijski nadzornik ugotovi, da finančni holding ali mešani finančni holding ne izpolnjuje več pogojev iz prvega odstavka </w:t>
      </w:r>
      <w:r w:rsidR="00582568" w:rsidRPr="00215B2F">
        <w:rPr>
          <w:rFonts w:ascii="Arial" w:eastAsia="Arial" w:hAnsi="Arial" w:cs="Arial"/>
          <w:sz w:val="20"/>
          <w:szCs w:val="20"/>
        </w:rPr>
        <w:t>111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finančnemu holdingu ali mešanemu finančnemu holdingu z odredbo naloži, da zagotovi oziroma </w:t>
      </w:r>
      <w:r w:rsidR="00F455AB" w:rsidRPr="00215B2F">
        <w:rPr>
          <w:rFonts w:ascii="Arial" w:eastAsia="Arial" w:hAnsi="Arial" w:cs="Arial"/>
          <w:sz w:val="20"/>
          <w:szCs w:val="20"/>
        </w:rPr>
        <w:t xml:space="preserve">znova </w:t>
      </w:r>
      <w:r w:rsidRPr="00215B2F">
        <w:rPr>
          <w:rFonts w:ascii="Arial" w:eastAsia="Arial" w:hAnsi="Arial" w:cs="Arial"/>
          <w:sz w:val="20"/>
          <w:szCs w:val="20"/>
        </w:rPr>
        <w:t xml:space="preserve">vzpostavi kontinuiteto in celovitost konsolidiranega nadzora ter zagotovi izpolnjevanje zahtev iz tega zakona in Uredbe 575/2013/EU na konsolidirani podlagi. Banka Slovenije finančnemu holdingu ali mešanemu finančnemu holdingu v odredbi izreče tudi ustrezne nadzorniške ukrepe iz </w:t>
      </w:r>
      <w:r w:rsidR="00582568" w:rsidRPr="00215B2F">
        <w:rPr>
          <w:rFonts w:ascii="Arial" w:eastAsia="Arial" w:hAnsi="Arial" w:cs="Arial"/>
          <w:sz w:val="20"/>
          <w:szCs w:val="20"/>
        </w:rPr>
        <w:t>377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Pri uporabi nadzorniških ukrepov v zvezi z mešanim finančnim holdingom se upošteva njihov vpliv na finančni konglomerat.</w:t>
      </w:r>
    </w:p>
    <w:p w14:paraId="4B014449"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37C1D0A1" w14:textId="700A9F6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Kadar Banka Slovenije ugotovi, da pogoji za izvzetje po </w:t>
      </w:r>
      <w:r w:rsidR="00943C8F" w:rsidRPr="00215B2F">
        <w:rPr>
          <w:rFonts w:ascii="Arial" w:eastAsia="Arial" w:hAnsi="Arial" w:cs="Arial"/>
          <w:sz w:val="20"/>
          <w:szCs w:val="20"/>
        </w:rPr>
        <w:t>113</w:t>
      </w:r>
      <w:r w:rsidRPr="00215B2F">
        <w:rPr>
          <w:rFonts w:ascii="Arial" w:eastAsia="Arial" w:hAnsi="Arial" w:cs="Arial"/>
          <w:sz w:val="20"/>
          <w:szCs w:val="20"/>
        </w:rPr>
        <w:t xml:space="preserve">. </w:t>
      </w:r>
      <w:r w:rsidR="001F2C7A" w:rsidRPr="00215B2F">
        <w:rPr>
          <w:rFonts w:ascii="Arial" w:eastAsia="Arial" w:hAnsi="Arial" w:cs="Arial"/>
          <w:sz w:val="20"/>
          <w:szCs w:val="20"/>
        </w:rPr>
        <w:t>členu tega zakona</w:t>
      </w:r>
      <w:r w:rsidRPr="00215B2F">
        <w:rPr>
          <w:rFonts w:ascii="Arial" w:eastAsia="Arial" w:hAnsi="Arial" w:cs="Arial"/>
          <w:sz w:val="20"/>
          <w:szCs w:val="20"/>
        </w:rPr>
        <w:t xml:space="preserve"> niso več izpolnjeni, o tem izda ugotovitveno odločbo (v nadaljnjem besedilu: odločba o prenehanju izvzetja iz odobritve).</w:t>
      </w:r>
    </w:p>
    <w:p w14:paraId="609A83EB"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216D854F" w14:textId="637C6F1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v odločbi o prenehanju izvzetja iz odobritve določi rok, v katerem mora finančni holding ali mešani finančni holding zaprositi za odobritev v skladu s </w:t>
      </w:r>
      <w:r w:rsidR="00943C8F"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6B7B5D1E"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019FF2DB" w14:textId="5324EE0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Če finančni holding ali mešani finančni holding v roku, določenem v odločbi o prenehanju izvzetja iz odobritve, ne zaprosi za odobritev iz </w:t>
      </w:r>
      <w:r w:rsidR="00943C8F"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Banka Slovenije finančnemu holdingu ali mešanemu finančnemu holdingu izda odredbo za vzpostavitev skladnosti v skladu s </w:t>
      </w:r>
      <w:r w:rsidR="00943C8F" w:rsidRPr="00215B2F">
        <w:rPr>
          <w:rFonts w:ascii="Arial" w:eastAsia="Arial" w:hAnsi="Arial" w:cs="Arial"/>
          <w:sz w:val="20"/>
          <w:szCs w:val="20"/>
        </w:rPr>
        <w:t>377</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70347626"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27A591A9"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54" w:name="_Ref202963921"/>
      <w:r w:rsidRPr="00215B2F">
        <w:rPr>
          <w:rFonts w:ascii="Arial" w:eastAsia="Arial" w:hAnsi="Arial" w:cs="Arial"/>
          <w:b/>
          <w:bCs/>
          <w:sz w:val="20"/>
          <w:szCs w:val="20"/>
        </w:rPr>
        <w:t>člen</w:t>
      </w:r>
      <w:bookmarkEnd w:id="154"/>
    </w:p>
    <w:p w14:paraId="296CBDFF" w14:textId="77777777" w:rsidR="00D91782" w:rsidRPr="00215B2F" w:rsidRDefault="00D91782" w:rsidP="00FD5520">
      <w:pPr>
        <w:pStyle w:val="Slog1"/>
        <w:shd w:val="clear" w:color="auto" w:fill="FFFFFF" w:themeFill="background1"/>
        <w:rPr>
          <w:sz w:val="20"/>
          <w:szCs w:val="20"/>
        </w:rPr>
      </w:pPr>
      <w:r w:rsidRPr="00215B2F">
        <w:rPr>
          <w:sz w:val="20"/>
          <w:szCs w:val="20"/>
        </w:rPr>
        <w:t>(sodelovanje z drugimi pristojnimi organi)</w:t>
      </w:r>
    </w:p>
    <w:p w14:paraId="4BC19D27" w14:textId="77777777" w:rsidR="00D91782" w:rsidRPr="00215B2F" w:rsidRDefault="00D91782" w:rsidP="00FD5520">
      <w:pPr>
        <w:pStyle w:val="Slog1"/>
        <w:shd w:val="clear" w:color="auto" w:fill="FFFFFF" w:themeFill="background1"/>
        <w:rPr>
          <w:sz w:val="20"/>
          <w:szCs w:val="20"/>
        </w:rPr>
      </w:pPr>
    </w:p>
    <w:p w14:paraId="5DB6BFE0" w14:textId="447F7A4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kot konsolidacijski nadzornik v zvezi z odločitvami o odobritvi finančnega holdinga ali mešanega finančnega holdinga iz prvega ali drugega odstavka </w:t>
      </w:r>
      <w:r w:rsidR="00943C8F" w:rsidRPr="00215B2F">
        <w:rPr>
          <w:rFonts w:ascii="Arial" w:eastAsia="Arial" w:hAnsi="Arial" w:cs="Arial"/>
          <w:sz w:val="20"/>
          <w:szCs w:val="20"/>
        </w:rPr>
        <w:t>111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izvzetju iz odobritve iz prvega odstavka </w:t>
      </w:r>
      <w:r w:rsidR="00943C8F" w:rsidRPr="00215B2F">
        <w:rPr>
          <w:rFonts w:ascii="Arial" w:eastAsia="Arial" w:hAnsi="Arial" w:cs="Arial"/>
          <w:sz w:val="20"/>
          <w:szCs w:val="20"/>
        </w:rPr>
        <w:t>113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izključitvi iz obsega konsolidacije iz petega odstavka </w:t>
      </w:r>
      <w:r w:rsidR="00943C8F" w:rsidRPr="00215B2F">
        <w:rPr>
          <w:rFonts w:ascii="Arial" w:eastAsia="Arial" w:hAnsi="Arial" w:cs="Arial"/>
          <w:sz w:val="20"/>
          <w:szCs w:val="20"/>
        </w:rPr>
        <w:t>113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ter o nadzorniških ukrepih iz tretjega odstavka </w:t>
      </w:r>
      <w:r w:rsidR="00943C8F" w:rsidRPr="00215B2F">
        <w:rPr>
          <w:rFonts w:ascii="Arial" w:eastAsia="Arial" w:hAnsi="Arial" w:cs="Arial"/>
          <w:sz w:val="20"/>
          <w:szCs w:val="20"/>
        </w:rPr>
        <w:t>115</w:t>
      </w:r>
      <w:r w:rsidRPr="00215B2F">
        <w:rPr>
          <w:rFonts w:ascii="Arial" w:eastAsia="Arial" w:hAnsi="Arial" w:cs="Arial"/>
          <w:sz w:val="20"/>
          <w:szCs w:val="20"/>
        </w:rPr>
        <w:t xml:space="preserve">. člena </w:t>
      </w:r>
      <w:r w:rsidR="00DE2B3F" w:rsidRPr="00215B2F">
        <w:rPr>
          <w:rFonts w:ascii="Arial" w:eastAsia="Arial" w:hAnsi="Arial" w:cs="Arial"/>
          <w:sz w:val="20"/>
          <w:szCs w:val="20"/>
        </w:rPr>
        <w:t xml:space="preserve">in </w:t>
      </w:r>
      <w:r w:rsidR="00943C8F" w:rsidRPr="00215B2F">
        <w:rPr>
          <w:rFonts w:ascii="Arial" w:eastAsia="Arial" w:hAnsi="Arial" w:cs="Arial"/>
          <w:sz w:val="20"/>
          <w:szCs w:val="20"/>
        </w:rPr>
        <w:t>377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tesno sodeluje in se posvetuje s pristojnim organom iz druge države članice, v kateri ima sedež finančni holding ali mešani finančni holding.</w:t>
      </w:r>
    </w:p>
    <w:p w14:paraId="7A56C9DD"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6EBE4FE" w14:textId="3B0705D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kot konsolidacijski nadzornik pripravi oceno v zvezi z odločitvami iz prvega in drugega odstavka </w:t>
      </w:r>
      <w:r w:rsidR="0009709B" w:rsidRPr="00215B2F">
        <w:rPr>
          <w:rFonts w:ascii="Arial" w:eastAsia="Arial" w:hAnsi="Arial" w:cs="Arial"/>
          <w:sz w:val="20"/>
          <w:szCs w:val="20"/>
        </w:rPr>
        <w:t>111</w:t>
      </w:r>
      <w:r w:rsidRPr="00215B2F">
        <w:rPr>
          <w:rFonts w:ascii="Arial" w:eastAsia="Arial" w:hAnsi="Arial" w:cs="Arial"/>
          <w:sz w:val="20"/>
          <w:szCs w:val="20"/>
        </w:rPr>
        <w:t xml:space="preserve">. člena, prvega in petega odstavka </w:t>
      </w:r>
      <w:r w:rsidR="0009709B" w:rsidRPr="00215B2F">
        <w:rPr>
          <w:rFonts w:ascii="Arial" w:eastAsia="Arial" w:hAnsi="Arial" w:cs="Arial"/>
          <w:sz w:val="20"/>
          <w:szCs w:val="20"/>
        </w:rPr>
        <w:t>113</w:t>
      </w:r>
      <w:r w:rsidRPr="00215B2F">
        <w:rPr>
          <w:rFonts w:ascii="Arial" w:eastAsia="Arial" w:hAnsi="Arial" w:cs="Arial"/>
          <w:sz w:val="20"/>
          <w:szCs w:val="20"/>
        </w:rPr>
        <w:t xml:space="preserve">. člena, tretjega odstavka </w:t>
      </w:r>
      <w:r w:rsidR="0009709B" w:rsidRPr="00215B2F">
        <w:rPr>
          <w:rFonts w:ascii="Arial" w:eastAsia="Arial" w:hAnsi="Arial" w:cs="Arial"/>
          <w:sz w:val="20"/>
          <w:szCs w:val="20"/>
        </w:rPr>
        <w:t>115</w:t>
      </w:r>
      <w:r w:rsidRPr="00215B2F">
        <w:rPr>
          <w:rFonts w:ascii="Arial" w:eastAsia="Arial" w:hAnsi="Arial" w:cs="Arial"/>
          <w:sz w:val="20"/>
          <w:szCs w:val="20"/>
        </w:rPr>
        <w:t xml:space="preserve">. člena ter </w:t>
      </w:r>
      <w:r w:rsidR="0009709B" w:rsidRPr="00215B2F">
        <w:rPr>
          <w:rFonts w:ascii="Arial" w:eastAsia="Arial" w:hAnsi="Arial" w:cs="Arial"/>
          <w:sz w:val="20"/>
          <w:szCs w:val="20"/>
        </w:rPr>
        <w:t>377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v obliki predloga skupne odločitve ter jo po</w:t>
      </w:r>
      <w:r w:rsidR="00DE2B3F" w:rsidRPr="00215B2F">
        <w:rPr>
          <w:rFonts w:ascii="Arial" w:eastAsia="Arial" w:hAnsi="Arial" w:cs="Arial"/>
          <w:sz w:val="20"/>
          <w:szCs w:val="20"/>
        </w:rPr>
        <w:t>šl</w:t>
      </w:r>
      <w:r w:rsidRPr="00215B2F">
        <w:rPr>
          <w:rFonts w:ascii="Arial" w:eastAsia="Arial" w:hAnsi="Arial" w:cs="Arial"/>
          <w:sz w:val="20"/>
          <w:szCs w:val="20"/>
        </w:rPr>
        <w:t>je pristojnemu organu države članice, v kateri ima sedež finančni holding ali mešani finančni holding. Oba organa storita vse, kar je v njuni moči, da se skupna odločitev sprejme v dveh mesecih,</w:t>
      </w:r>
      <w:r w:rsidR="00EA5A75" w:rsidRPr="00215B2F">
        <w:rPr>
          <w:rFonts w:ascii="Arial" w:eastAsia="Arial" w:hAnsi="Arial" w:cs="Arial"/>
          <w:sz w:val="20"/>
          <w:szCs w:val="20"/>
        </w:rPr>
        <w:t xml:space="preserve"> po tem</w:t>
      </w:r>
      <w:r w:rsidRPr="00215B2F">
        <w:rPr>
          <w:rFonts w:ascii="Arial" w:eastAsia="Arial" w:hAnsi="Arial" w:cs="Arial"/>
          <w:sz w:val="20"/>
          <w:szCs w:val="20"/>
        </w:rPr>
        <w:t xml:space="preserve"> ko Banka Slovenije kot konsolidacijski nadzornik po</w:t>
      </w:r>
      <w:r w:rsidR="00DE2B3F" w:rsidRPr="00215B2F">
        <w:rPr>
          <w:rFonts w:ascii="Arial" w:eastAsia="Arial" w:hAnsi="Arial" w:cs="Arial"/>
          <w:sz w:val="20"/>
          <w:szCs w:val="20"/>
        </w:rPr>
        <w:t>šl</w:t>
      </w:r>
      <w:r w:rsidRPr="00215B2F">
        <w:rPr>
          <w:rFonts w:ascii="Arial" w:eastAsia="Arial" w:hAnsi="Arial" w:cs="Arial"/>
          <w:sz w:val="20"/>
          <w:szCs w:val="20"/>
        </w:rPr>
        <w:t xml:space="preserve">je oceno v zvezi z navedenimi odločitvami pristojnemu organu. </w:t>
      </w:r>
    </w:p>
    <w:p w14:paraId="773F070B"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62BCBE56" w14:textId="767E8AC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Kadar Banka Slovenije ni konsolidacijski nadzornik, ampak pristojni organ države članice, v kateri ima sedež finančni holding ali mešani finančni holding, Banka Slovenije sodeluje pri skupni odločitvi s konsolidacijskim nadzornikom glede odobritve finančnega holdinga ali mešanega finančnega holdinga, o izvzetju iz odobritve, o izključitvi iz obsega konsolidacije in </w:t>
      </w:r>
      <w:r w:rsidR="00DE2B3F" w:rsidRPr="00215B2F">
        <w:rPr>
          <w:rFonts w:ascii="Arial" w:eastAsia="Arial" w:hAnsi="Arial" w:cs="Arial"/>
          <w:sz w:val="20"/>
          <w:szCs w:val="20"/>
        </w:rPr>
        <w:t xml:space="preserve">o </w:t>
      </w:r>
      <w:r w:rsidRPr="00215B2F">
        <w:rPr>
          <w:rFonts w:ascii="Arial" w:eastAsia="Arial" w:hAnsi="Arial" w:cs="Arial"/>
          <w:sz w:val="20"/>
          <w:szCs w:val="20"/>
        </w:rPr>
        <w:t>uporabi nadzorniških ukrepov. Oba organa storita vse, kar je v njuni moči, da se skupna odločitev sprejme v dveh mesecih od dneva, ko Banka Slovenije prejme oceno navedenih odločitev konsolidacijskega nadzornika.</w:t>
      </w:r>
    </w:p>
    <w:p w14:paraId="586CBC49"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7DDECFD1" w14:textId="20B4F02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Kadar Banka Slovenije ni konsolidacijski nadzornik, ampak pristojni organ države članice, v kateri ima finančni holding ali mešani finančni holding sedež, in skupne odločitve ni mogoče neposredno uporabiti v Republiki Slovenije, Banka Slovenije odloči o izvedbi skupne odločitve v Republiki Sloveniji.</w:t>
      </w:r>
    </w:p>
    <w:p w14:paraId="2EF20960" w14:textId="77777777" w:rsidR="00DE2B3F" w:rsidRPr="00215B2F" w:rsidRDefault="00DE2B3F" w:rsidP="00FD5520">
      <w:pPr>
        <w:shd w:val="clear" w:color="auto" w:fill="FFFFFF" w:themeFill="background1"/>
        <w:spacing w:after="0" w:line="240" w:lineRule="auto"/>
        <w:jc w:val="both"/>
        <w:rPr>
          <w:rFonts w:ascii="Arial" w:eastAsia="Arial" w:hAnsi="Arial" w:cs="Arial"/>
          <w:sz w:val="20"/>
          <w:szCs w:val="20"/>
        </w:rPr>
      </w:pPr>
    </w:p>
    <w:p w14:paraId="502F8AC6" w14:textId="54B4962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Banka Slovenije kot konsolidacijski nadzornik o skupni odločitvi, ki je ustrezno dokumentirana in utemeljena, obvesti finančni holding ali mešani finančni holding.</w:t>
      </w:r>
    </w:p>
    <w:p w14:paraId="0A8C66C3"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AEBB57B" w14:textId="10F6686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Banka Slovenije kot konsolidacijski nadzornik v primeru nestrinjanja glede odločitve, za katero v skladu s prvim odstavkom tega člena velja dolžnost posvetovanja, ne sprejme odločitve, ampak zadevo predloži Evropskemu bančnemu organu v skladu z 19. členom Uredbe 1093/2010/EU. Zadevni pristojni organi sprejmejo skupno odločitev v skladu z odločitvijo Evropskega bančnega organa. Po izteku dvomesečnega obdobja ali po sprejetju skupne odločitve zadeve ni več mogoče predložiti Evropskemu bančnemu organu.</w:t>
      </w:r>
    </w:p>
    <w:p w14:paraId="6C7E1059"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F9E0A92" w14:textId="580F205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(7) Banka Slovenije lahko kot pristojni organ v državi članici, v kateri je sedež finančnega holdinga ali mešanega finančnega holdinga, v primeru nestrinjanja v okviru posvetovanja zadevo predloži Evropskemu bančnemu organu v skladu z 19. členom Uredbe 1093/2010/EU.</w:t>
      </w:r>
    </w:p>
    <w:p w14:paraId="2E145037"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7D08698A" w14:textId="0909F9F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(8) Če je oseba iz </w:t>
      </w:r>
      <w:r w:rsidR="0009709B"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mešani finančni holding ali EU mešani finančni holding s sedežem v Republiki Sloveniji, Banka Slovenije pri sprejemu odločitev oziroma skupnih odločitev iz prvega in drugega odstavka </w:t>
      </w:r>
      <w:r w:rsidR="0009709B" w:rsidRPr="00215B2F">
        <w:rPr>
          <w:rFonts w:ascii="Arial" w:eastAsia="Arial" w:hAnsi="Arial" w:cs="Arial"/>
          <w:sz w:val="20"/>
          <w:szCs w:val="20"/>
        </w:rPr>
        <w:t>111</w:t>
      </w:r>
      <w:r w:rsidRPr="00215B2F">
        <w:rPr>
          <w:rFonts w:ascii="Arial" w:eastAsia="Arial" w:hAnsi="Arial" w:cs="Arial"/>
          <w:sz w:val="20"/>
          <w:szCs w:val="20"/>
        </w:rPr>
        <w:t xml:space="preserve">. člena, prvega in petega odstavka </w:t>
      </w:r>
      <w:r w:rsidR="0009709B" w:rsidRPr="00215B2F">
        <w:rPr>
          <w:rFonts w:ascii="Arial" w:eastAsia="Arial" w:hAnsi="Arial" w:cs="Arial"/>
          <w:sz w:val="20"/>
          <w:szCs w:val="20"/>
        </w:rPr>
        <w:t>113</w:t>
      </w:r>
      <w:r w:rsidRPr="00215B2F">
        <w:rPr>
          <w:rFonts w:ascii="Arial" w:eastAsia="Arial" w:hAnsi="Arial" w:cs="Arial"/>
          <w:sz w:val="20"/>
          <w:szCs w:val="20"/>
        </w:rPr>
        <w:t xml:space="preserve">. člena, tretjega odstavka </w:t>
      </w:r>
      <w:r w:rsidR="0009709B" w:rsidRPr="00215B2F">
        <w:rPr>
          <w:rFonts w:ascii="Arial" w:eastAsia="Arial" w:hAnsi="Arial" w:cs="Arial"/>
          <w:sz w:val="20"/>
          <w:szCs w:val="20"/>
        </w:rPr>
        <w:t>115</w:t>
      </w:r>
      <w:r w:rsidRPr="00215B2F">
        <w:rPr>
          <w:rFonts w:ascii="Arial" w:eastAsia="Arial" w:hAnsi="Arial" w:cs="Arial"/>
          <w:sz w:val="20"/>
          <w:szCs w:val="20"/>
        </w:rPr>
        <w:t xml:space="preserve">. člena in </w:t>
      </w:r>
      <w:r w:rsidR="0009709B" w:rsidRPr="00215B2F">
        <w:rPr>
          <w:rFonts w:ascii="Arial" w:eastAsia="Arial" w:hAnsi="Arial" w:cs="Arial"/>
          <w:sz w:val="20"/>
          <w:szCs w:val="20"/>
        </w:rPr>
        <w:t>377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kot konsolidacijski nadzornik pridobi soglasje koordinatorja oziroma kot pristojni organ v državi članici, v kateri je sedež mešanega finančnega holdinga, sodeluje pri pridobitvi soglasja koordinatorja, k</w:t>
      </w:r>
      <w:r w:rsidR="006B0B0E" w:rsidRPr="00215B2F">
        <w:rPr>
          <w:rFonts w:ascii="Arial" w:eastAsia="Arial" w:hAnsi="Arial" w:cs="Arial"/>
          <w:sz w:val="20"/>
          <w:szCs w:val="20"/>
        </w:rPr>
        <w:t>akor</w:t>
      </w:r>
      <w:r w:rsidRPr="00215B2F">
        <w:rPr>
          <w:rFonts w:ascii="Arial" w:eastAsia="Arial" w:hAnsi="Arial" w:cs="Arial"/>
          <w:sz w:val="20"/>
          <w:szCs w:val="20"/>
        </w:rPr>
        <w:t xml:space="preserve"> je določeno v 19., 20. in 21. členu ZFK oziroma 10. členu Direktive 2002/87/ES. Če koordinator ne da soglasja iz prejšnjega stavka oziroma da nesoglasje, Banka Slovenije ali drug pristojni organ po</w:t>
      </w:r>
      <w:r w:rsidR="00DE2B3F" w:rsidRPr="00215B2F">
        <w:rPr>
          <w:rFonts w:ascii="Arial" w:eastAsia="Arial" w:hAnsi="Arial" w:cs="Arial"/>
          <w:sz w:val="20"/>
          <w:szCs w:val="20"/>
        </w:rPr>
        <w:t>šl</w:t>
      </w:r>
      <w:r w:rsidRPr="00215B2F">
        <w:rPr>
          <w:rFonts w:ascii="Arial" w:eastAsia="Arial" w:hAnsi="Arial" w:cs="Arial"/>
          <w:sz w:val="20"/>
          <w:szCs w:val="20"/>
        </w:rPr>
        <w:t xml:space="preserve">je zahtevo Evropskemu bančnemu organu v skladu z 19. členom Uredbe 1093/2010/EU ali Evropskemu organu za zavarovanja in poklicne pokojnine </w:t>
      </w:r>
      <w:r w:rsidR="00DE2B3F" w:rsidRPr="00215B2F">
        <w:rPr>
          <w:rFonts w:ascii="Arial" w:eastAsia="Arial" w:hAnsi="Arial" w:cs="Arial"/>
          <w:sz w:val="20"/>
          <w:szCs w:val="20"/>
        </w:rPr>
        <w:t xml:space="preserve">ter </w:t>
      </w:r>
      <w:r w:rsidRPr="00215B2F">
        <w:rPr>
          <w:rFonts w:ascii="Arial" w:eastAsia="Arial" w:hAnsi="Arial" w:cs="Arial"/>
          <w:sz w:val="20"/>
          <w:szCs w:val="20"/>
        </w:rPr>
        <w:t>pri spreje</w:t>
      </w:r>
      <w:r w:rsidR="00DE2B3F" w:rsidRPr="00215B2F">
        <w:rPr>
          <w:rFonts w:ascii="Arial" w:eastAsia="Arial" w:hAnsi="Arial" w:cs="Arial"/>
          <w:sz w:val="20"/>
          <w:szCs w:val="20"/>
        </w:rPr>
        <w:t>tj</w:t>
      </w:r>
      <w:r w:rsidRPr="00215B2F">
        <w:rPr>
          <w:rFonts w:ascii="Arial" w:eastAsia="Arial" w:hAnsi="Arial" w:cs="Arial"/>
          <w:sz w:val="20"/>
          <w:szCs w:val="20"/>
        </w:rPr>
        <w:t>u končne odločitve upošteva odločitev evropskega nadzornega organa. Odločitev, sprejeta na podlagi tega člena, ne posega v obveznosti mešanega finančnega holdinga iz ZFK, Direktive 2002/87/ES ali zakona, ki ureja zavarovalništvo</w:t>
      </w:r>
      <w:r w:rsidR="00DE2B3F" w:rsidRPr="00215B2F">
        <w:rPr>
          <w:rFonts w:ascii="Arial" w:eastAsia="Arial" w:hAnsi="Arial" w:cs="Arial"/>
          <w:sz w:val="20"/>
          <w:szCs w:val="20"/>
        </w:rPr>
        <w:t>,</w:t>
      </w:r>
      <w:r w:rsidRPr="00215B2F">
        <w:rPr>
          <w:rFonts w:ascii="Arial" w:eastAsia="Arial" w:hAnsi="Arial" w:cs="Arial"/>
          <w:sz w:val="20"/>
          <w:szCs w:val="20"/>
        </w:rPr>
        <w:t xml:space="preserve"> oziroma Direktive 2009/138/ES.</w:t>
      </w:r>
    </w:p>
    <w:p w14:paraId="46C5BF8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B527E22"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55" w:name="_Ref202963929"/>
      <w:r w:rsidRPr="00215B2F">
        <w:rPr>
          <w:rFonts w:ascii="Arial" w:eastAsia="Arial" w:hAnsi="Arial" w:cs="Arial"/>
          <w:b/>
          <w:bCs/>
          <w:sz w:val="20"/>
          <w:szCs w:val="20"/>
        </w:rPr>
        <w:t>člen</w:t>
      </w:r>
      <w:bookmarkEnd w:id="155"/>
    </w:p>
    <w:p w14:paraId="049B40A5" w14:textId="77777777" w:rsidR="00D91782" w:rsidRPr="00215B2F" w:rsidRDefault="00D91782" w:rsidP="00FD5520">
      <w:pPr>
        <w:pStyle w:val="Slog1"/>
        <w:shd w:val="clear" w:color="auto" w:fill="FFFFFF" w:themeFill="background1"/>
        <w:rPr>
          <w:sz w:val="20"/>
          <w:szCs w:val="20"/>
        </w:rPr>
      </w:pPr>
      <w:r w:rsidRPr="00215B2F">
        <w:rPr>
          <w:sz w:val="20"/>
          <w:szCs w:val="20"/>
        </w:rPr>
        <w:t>(rok za odločitev)</w:t>
      </w:r>
    </w:p>
    <w:p w14:paraId="530BA8B2" w14:textId="77777777" w:rsidR="00D91782" w:rsidRPr="00215B2F" w:rsidRDefault="00D91782" w:rsidP="00FD5520">
      <w:pPr>
        <w:pStyle w:val="Slog1"/>
        <w:shd w:val="clear" w:color="auto" w:fill="FFFFFF" w:themeFill="background1"/>
        <w:jc w:val="both"/>
        <w:rPr>
          <w:sz w:val="20"/>
          <w:szCs w:val="20"/>
        </w:rPr>
      </w:pPr>
    </w:p>
    <w:p w14:paraId="01539BB2" w14:textId="34198C7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Kadar Banka Slovenije kot konsolidacijski nadzornik na podlagi drugega odstavka </w:t>
      </w:r>
      <w:r w:rsidR="0009709B" w:rsidRPr="00215B2F">
        <w:rPr>
          <w:rFonts w:ascii="Arial" w:eastAsia="Arial" w:hAnsi="Arial" w:cs="Arial"/>
          <w:sz w:val="20"/>
          <w:szCs w:val="20"/>
        </w:rPr>
        <w:t>111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ali tretjega odstavka </w:t>
      </w:r>
      <w:r w:rsidR="0009709B" w:rsidRPr="00215B2F">
        <w:rPr>
          <w:rFonts w:ascii="Arial" w:eastAsia="Arial" w:hAnsi="Arial" w:cs="Arial"/>
          <w:sz w:val="20"/>
          <w:szCs w:val="20"/>
        </w:rPr>
        <w:t>113</w:t>
      </w:r>
      <w:r w:rsidRPr="00215B2F">
        <w:rPr>
          <w:rFonts w:ascii="Arial" w:eastAsia="Arial" w:hAnsi="Arial" w:cs="Arial"/>
          <w:sz w:val="20"/>
          <w:szCs w:val="20"/>
        </w:rPr>
        <w:t>. člena zavrne odobritev ali izvzetje iz odobritve finančnega holdinga ali mešanega finančnega holdinga, vlagatelja prošnje obvesti o zavrnitvi in razlogih zanjo v štirih mesecih od prejema popolne vloge.</w:t>
      </w:r>
    </w:p>
    <w:p w14:paraId="03DC4A42"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7F88A5C5" w14:textId="1356CBF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odločitev o odobritvi ali zavrnitvi odobritve v vsakem primeru sprejme najpozneje v šestih mesecih od prejema vloge.</w:t>
      </w:r>
    </w:p>
    <w:p w14:paraId="384C79E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8EDFB6B"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56" w:name="_Ref202963934"/>
      <w:r w:rsidRPr="00215B2F">
        <w:rPr>
          <w:rFonts w:ascii="Arial" w:eastAsia="Arial" w:hAnsi="Arial" w:cs="Arial"/>
          <w:b/>
          <w:bCs/>
          <w:sz w:val="20"/>
          <w:szCs w:val="20"/>
        </w:rPr>
        <w:t>člen</w:t>
      </w:r>
      <w:bookmarkEnd w:id="156"/>
    </w:p>
    <w:p w14:paraId="1BFBBB05" w14:textId="77777777" w:rsidR="00D91782" w:rsidRPr="00215B2F" w:rsidRDefault="00D91782" w:rsidP="00FD5520">
      <w:pPr>
        <w:pStyle w:val="Slog1"/>
        <w:shd w:val="clear" w:color="auto" w:fill="FFFFFF" w:themeFill="background1"/>
        <w:rPr>
          <w:sz w:val="20"/>
          <w:szCs w:val="20"/>
        </w:rPr>
      </w:pPr>
      <w:r w:rsidRPr="00215B2F">
        <w:rPr>
          <w:sz w:val="20"/>
          <w:szCs w:val="20"/>
        </w:rPr>
        <w:t>(podzakonski predpis v zvezi z odobritvijo oziroma izvzetjem iz odobritve finančnih holdingov in mešanih finančnih holdingov)</w:t>
      </w:r>
    </w:p>
    <w:p w14:paraId="23426D75" w14:textId="77777777" w:rsidR="00D91782" w:rsidRPr="00215B2F" w:rsidRDefault="00D91782" w:rsidP="00FD5520">
      <w:pPr>
        <w:pStyle w:val="Slog1"/>
        <w:shd w:val="clear" w:color="auto" w:fill="FFFFFF" w:themeFill="background1"/>
        <w:jc w:val="both"/>
        <w:rPr>
          <w:sz w:val="20"/>
          <w:szCs w:val="20"/>
        </w:rPr>
      </w:pPr>
    </w:p>
    <w:p w14:paraId="466DF5A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Slovenije lahko s podzakonskim aktom določi podrobnejša pravila glede:</w:t>
      </w:r>
    </w:p>
    <w:p w14:paraId="01898242"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360FB747" w14:textId="4D34E9E6"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dokumentacije in informacij, ki se </w:t>
      </w:r>
      <w:r w:rsidR="009F19CD" w:rsidRPr="00215B2F">
        <w:rPr>
          <w:rFonts w:ascii="Arial" w:eastAsia="Arial" w:hAnsi="Arial" w:cs="Arial"/>
          <w:sz w:val="20"/>
          <w:szCs w:val="20"/>
        </w:rPr>
        <w:t xml:space="preserve">priložijo </w:t>
      </w:r>
      <w:r w:rsidRPr="00215B2F">
        <w:rPr>
          <w:rFonts w:ascii="Arial" w:eastAsia="Arial" w:hAnsi="Arial" w:cs="Arial"/>
          <w:sz w:val="20"/>
          <w:szCs w:val="20"/>
        </w:rPr>
        <w:t xml:space="preserve">zahtevi za odobritev finančnih holdingov in mešanih finančnih holdingov iz </w:t>
      </w:r>
      <w:r w:rsidR="0009709B" w:rsidRPr="00215B2F">
        <w:rPr>
          <w:rFonts w:ascii="Arial" w:eastAsia="Arial" w:hAnsi="Arial" w:cs="Arial"/>
          <w:sz w:val="20"/>
          <w:szCs w:val="20"/>
        </w:rPr>
        <w:t>109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567F6D47" w14:textId="01FDFB7E"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dokumentacije in informacij, ki se </w:t>
      </w:r>
      <w:r w:rsidR="009F19CD" w:rsidRPr="00215B2F">
        <w:rPr>
          <w:rFonts w:ascii="Arial" w:eastAsia="Arial" w:hAnsi="Arial" w:cs="Arial"/>
          <w:sz w:val="20"/>
          <w:szCs w:val="20"/>
        </w:rPr>
        <w:t xml:space="preserve">priložijo </w:t>
      </w:r>
      <w:r w:rsidRPr="00215B2F">
        <w:rPr>
          <w:rFonts w:ascii="Arial" w:eastAsia="Arial" w:hAnsi="Arial" w:cs="Arial"/>
          <w:sz w:val="20"/>
          <w:szCs w:val="20"/>
        </w:rPr>
        <w:t xml:space="preserve">zahtevi za izvzetje iz odobritve finančnih holdingov in mešanih finančnih holdingov ali njune izključitve iz obsega konsolidacije iz </w:t>
      </w:r>
      <w:r w:rsidR="0009709B" w:rsidRPr="00215B2F">
        <w:rPr>
          <w:rFonts w:ascii="Arial" w:eastAsia="Arial" w:hAnsi="Arial" w:cs="Arial"/>
          <w:sz w:val="20"/>
          <w:szCs w:val="20"/>
        </w:rPr>
        <w:t>113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49695AA8" w14:textId="77777777" w:rsidR="003E05E7" w:rsidRPr="00215B2F" w:rsidRDefault="003E05E7" w:rsidP="00FD5520">
      <w:pPr>
        <w:shd w:val="clear" w:color="auto" w:fill="FFFFFF" w:themeFill="background1"/>
        <w:spacing w:after="0" w:line="240" w:lineRule="auto"/>
        <w:jc w:val="both"/>
        <w:rPr>
          <w:rFonts w:ascii="Arial" w:eastAsia="Arial" w:hAnsi="Arial" w:cs="Arial"/>
          <w:sz w:val="20"/>
          <w:szCs w:val="20"/>
        </w:rPr>
      </w:pPr>
    </w:p>
    <w:p w14:paraId="719014E8" w14:textId="564EE396" w:rsidR="00D91782" w:rsidRPr="00215B2F" w:rsidRDefault="002B689C"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3.</w:t>
      </w:r>
      <w:r w:rsidR="0044147E" w:rsidRPr="00215B2F">
        <w:rPr>
          <w:rFonts w:ascii="Arial" w:eastAsia="Arial" w:hAnsi="Arial" w:cs="Arial"/>
          <w:b/>
          <w:bCs/>
          <w:sz w:val="20"/>
          <w:szCs w:val="20"/>
        </w:rPr>
        <w:t>8</w:t>
      </w:r>
      <w:r w:rsidRPr="00215B2F">
        <w:rPr>
          <w:rFonts w:ascii="Arial" w:eastAsia="Arial" w:hAnsi="Arial" w:cs="Arial"/>
          <w:b/>
          <w:bCs/>
          <w:sz w:val="20"/>
          <w:szCs w:val="20"/>
        </w:rPr>
        <w:t xml:space="preserve"> IZKLJUČITEV UPORABE ZPRE-1</w:t>
      </w:r>
    </w:p>
    <w:p w14:paraId="1D7AB6B9" w14:textId="77777777" w:rsidR="002B689C" w:rsidRPr="00215B2F" w:rsidRDefault="002B689C" w:rsidP="00FD5520">
      <w:pPr>
        <w:shd w:val="clear" w:color="auto" w:fill="FFFFFF" w:themeFill="background1"/>
        <w:spacing w:after="0" w:line="240" w:lineRule="auto"/>
        <w:jc w:val="center"/>
        <w:rPr>
          <w:rFonts w:ascii="Arial" w:eastAsia="Arial" w:hAnsi="Arial" w:cs="Arial"/>
          <w:sz w:val="20"/>
          <w:szCs w:val="20"/>
        </w:rPr>
      </w:pPr>
    </w:p>
    <w:p w14:paraId="053668AA"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57" w:name="_Ref202963941"/>
      <w:r w:rsidRPr="00215B2F">
        <w:rPr>
          <w:rFonts w:ascii="Arial" w:eastAsia="Arial" w:hAnsi="Arial" w:cs="Arial"/>
          <w:b/>
          <w:bCs/>
          <w:sz w:val="20"/>
          <w:szCs w:val="20"/>
        </w:rPr>
        <w:t>člen</w:t>
      </w:r>
      <w:bookmarkEnd w:id="157"/>
    </w:p>
    <w:p w14:paraId="7B25075B" w14:textId="77777777" w:rsidR="00D91782" w:rsidRPr="00215B2F" w:rsidRDefault="00D91782" w:rsidP="00FD5520">
      <w:pPr>
        <w:pStyle w:val="Slog1"/>
        <w:shd w:val="clear" w:color="auto" w:fill="FFFFFF" w:themeFill="background1"/>
        <w:rPr>
          <w:sz w:val="20"/>
          <w:szCs w:val="20"/>
        </w:rPr>
      </w:pPr>
      <w:r w:rsidRPr="00215B2F">
        <w:rPr>
          <w:sz w:val="20"/>
          <w:szCs w:val="20"/>
        </w:rPr>
        <w:t>(izjeme od ZPre-1 glede obvezne prevzemne ponudbe)</w:t>
      </w:r>
    </w:p>
    <w:p w14:paraId="56982E56" w14:textId="77777777" w:rsidR="00D91782" w:rsidRPr="00215B2F" w:rsidRDefault="00D91782" w:rsidP="00FD5520">
      <w:pPr>
        <w:pStyle w:val="Slog1"/>
        <w:shd w:val="clear" w:color="auto" w:fill="FFFFFF" w:themeFill="background1"/>
        <w:jc w:val="both"/>
        <w:rPr>
          <w:sz w:val="20"/>
          <w:szCs w:val="20"/>
        </w:rPr>
      </w:pPr>
    </w:p>
    <w:p w14:paraId="273671E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Poleg primerov, določenih v ZPre-1, obvezne prevzemne ponudbe ni zavezan dati imetnik, ki je dosegel prevzemni prag v banki zaradi pridobitve delnic banke v postopku povečanja osnovnega kapitala banke:</w:t>
      </w:r>
    </w:p>
    <w:p w14:paraId="49ED1CE3"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299F048F" w14:textId="15B4791F" w:rsidR="00895214" w:rsidRPr="00215B2F" w:rsidRDefault="00D91782">
      <w:pPr>
        <w:pStyle w:val="tevilnatoka"/>
        <w:numPr>
          <w:ilvl w:val="0"/>
          <w:numId w:val="81"/>
        </w:numPr>
        <w:shd w:val="clear" w:color="auto" w:fill="FFFFFF" w:themeFill="background1"/>
        <w:tabs>
          <w:tab w:val="clear" w:pos="425"/>
        </w:tabs>
        <w:rPr>
          <w:rFonts w:cs="Arial"/>
          <w:bCs/>
          <w:sz w:val="20"/>
          <w:szCs w:val="20"/>
        </w:rPr>
      </w:pPr>
      <w:r w:rsidRPr="00215B2F">
        <w:rPr>
          <w:rFonts w:eastAsia="Arial" w:cs="Arial"/>
          <w:sz w:val="20"/>
          <w:szCs w:val="20"/>
        </w:rPr>
        <w:t xml:space="preserve">na podlagi dodatnega ukrepa Banke Slovenije v skladu </w:t>
      </w:r>
      <w:r w:rsidR="00190417" w:rsidRPr="00215B2F">
        <w:rPr>
          <w:rFonts w:eastAsia="Arial" w:cs="Arial"/>
          <w:sz w:val="20"/>
          <w:szCs w:val="20"/>
        </w:rPr>
        <w:t xml:space="preserve">s </w:t>
      </w:r>
      <w:r w:rsidR="0009709B" w:rsidRPr="00215B2F">
        <w:rPr>
          <w:rFonts w:eastAsia="Arial" w:cs="Arial"/>
          <w:sz w:val="20"/>
          <w:szCs w:val="20"/>
        </w:rPr>
        <w:t>345</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 xml:space="preserve"> ali ukrepa zgodnjega posredovanja v skladu </w:t>
      </w:r>
      <w:r w:rsidR="007F1CA8" w:rsidRPr="00215B2F">
        <w:rPr>
          <w:rFonts w:eastAsia="Arial" w:cs="Arial"/>
          <w:sz w:val="20"/>
          <w:szCs w:val="20"/>
        </w:rPr>
        <w:t>s</w:t>
      </w:r>
      <w:r w:rsidRPr="00215B2F">
        <w:rPr>
          <w:rFonts w:eastAsia="Arial" w:cs="Arial"/>
          <w:sz w:val="20"/>
          <w:szCs w:val="20"/>
        </w:rPr>
        <w:t xml:space="preserve"> </w:t>
      </w:r>
      <w:r w:rsidR="0009709B" w:rsidRPr="00215B2F">
        <w:rPr>
          <w:rFonts w:eastAsia="Arial" w:cs="Arial"/>
          <w:sz w:val="20"/>
          <w:szCs w:val="20"/>
        </w:rPr>
        <w:t>348</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 xml:space="preserve"> ali</w:t>
      </w:r>
    </w:p>
    <w:p w14:paraId="33CFCB1D" w14:textId="0760DA2F" w:rsidR="00D91782" w:rsidRPr="00215B2F" w:rsidRDefault="00D91782">
      <w:pPr>
        <w:pStyle w:val="tevilnatoka"/>
        <w:numPr>
          <w:ilvl w:val="0"/>
          <w:numId w:val="81"/>
        </w:numPr>
        <w:shd w:val="clear" w:color="auto" w:fill="FFFFFF" w:themeFill="background1"/>
        <w:tabs>
          <w:tab w:val="clear" w:pos="425"/>
        </w:tabs>
        <w:rPr>
          <w:rFonts w:cs="Arial"/>
          <w:bCs/>
          <w:sz w:val="20"/>
          <w:szCs w:val="20"/>
        </w:rPr>
      </w:pPr>
      <w:r w:rsidRPr="00215B2F">
        <w:rPr>
          <w:rFonts w:eastAsia="Arial" w:cs="Arial"/>
          <w:sz w:val="20"/>
          <w:szCs w:val="20"/>
        </w:rPr>
        <w:t>na podlagi konverzije kapitalskih instrumentov banke, ki jih lahko banka upošteva pri izračunu kapitala in ki se ob nastopu objektivnega pogoja konvertirajo v delnice banke.</w:t>
      </w:r>
    </w:p>
    <w:p w14:paraId="00657CE9"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5AFDFD7" w14:textId="3A4CA7C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Imetnik lahko uveljavlja izjemo iz 1. točke prejšnjega odstavka, če predhodno pridobi soglasje Banke Slovenije. Banka Slovenije izda soglasje, če je povečanje osnovnega kapitala nujno, da se zagotovi kapitalska ustreznost banke v skladu z zahtevami Banke Slovenije ali Evropske centralne banke, kadar je </w:t>
      </w:r>
      <w:r w:rsidR="00D54CB1" w:rsidRPr="00215B2F">
        <w:rPr>
          <w:rFonts w:ascii="Arial" w:eastAsia="Arial" w:hAnsi="Arial" w:cs="Arial"/>
          <w:sz w:val="20"/>
          <w:szCs w:val="20"/>
        </w:rPr>
        <w:t xml:space="preserve">ta </w:t>
      </w:r>
      <w:r w:rsidRPr="00215B2F">
        <w:rPr>
          <w:rFonts w:ascii="Arial" w:eastAsia="Arial" w:hAnsi="Arial" w:cs="Arial"/>
          <w:sz w:val="20"/>
          <w:szCs w:val="20"/>
        </w:rPr>
        <w:t xml:space="preserve">v skladu z Uredbo 1024/2013/EU pri opravljanju nadzora nad banko odgovorna za izvajanje nalog iz točke (d) prvega odstavka 4. člena </w:t>
      </w:r>
      <w:r w:rsidR="00091BC8" w:rsidRPr="00215B2F">
        <w:rPr>
          <w:rFonts w:ascii="Arial" w:eastAsia="Arial" w:hAnsi="Arial" w:cs="Arial"/>
          <w:sz w:val="20"/>
          <w:szCs w:val="20"/>
        </w:rPr>
        <w:t>navedene uredbe</w:t>
      </w:r>
      <w:r w:rsidRPr="00215B2F">
        <w:rPr>
          <w:rFonts w:ascii="Arial" w:eastAsia="Arial" w:hAnsi="Arial" w:cs="Arial"/>
          <w:sz w:val="20"/>
          <w:szCs w:val="20"/>
        </w:rPr>
        <w:t>. Banka Slovenije o izdaji soglasja in konverziji iz 2. točke prejšnjega odstavka obvesti agencijo, pristojno za finančne trge.</w:t>
      </w:r>
    </w:p>
    <w:p w14:paraId="04604E83"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072B1FD0" w14:textId="3A3452F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Za osebe, ki so dosegle prevzemni prag v banki, se ne uporabljajo določbe prvega do četrtega odstavka 22.b člena ZPre-1.</w:t>
      </w:r>
    </w:p>
    <w:p w14:paraId="75041F5E"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1C7026D6" w14:textId="35F94FF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Obveznost dati prevzemno ponudbo v skladu z ZPre-1 nastane za imetnika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ob prvi nadaljnji pridobitvi delnic banke, pri kateri ni izpolnjen pogoji iz prejšnjega odstavka ali niso podani drugi razlogi v skladu z ZPre-1, zaradi katerih imetnik ni zavezan dati prevzemne ponudbe, če ob pridobitvi novih delnic banke imetnik še dosega prevzemni prag.</w:t>
      </w:r>
    </w:p>
    <w:p w14:paraId="6A082E45"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5DA8005B" w14:textId="77777777" w:rsidR="002B689C" w:rsidRPr="00215B2F" w:rsidRDefault="002B689C"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58" w:name="_Ref202963948"/>
      <w:r w:rsidRPr="00215B2F">
        <w:rPr>
          <w:rFonts w:ascii="Arial" w:eastAsia="Arial" w:hAnsi="Arial" w:cs="Arial"/>
          <w:b/>
          <w:bCs/>
          <w:sz w:val="20"/>
          <w:szCs w:val="20"/>
        </w:rPr>
        <w:t>člen</w:t>
      </w:r>
      <w:bookmarkEnd w:id="158"/>
    </w:p>
    <w:p w14:paraId="1C1121BB"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(izjeme od ZPre-1 glede uresničevanja glasovalnih pravic iz delnic banke)</w:t>
      </w:r>
    </w:p>
    <w:p w14:paraId="41629B23"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5847C2C5" w14:textId="6F483D3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Agencija, pristojna za finančne trge, v postopku izdaje soglasja na podlagi petega odstavka 22.b člena ZPre-1 pridobi mnenje Banke Slovenije glede potrebnosti ukrepov za stabilizacijo poslovanja banke. Delničar v zvezi z zahtevo za izdajo soglasja agencije, pristojne za finančne trge, iz prejšnjega stavka ni zavezan dodatno predložiti mnenja izvedenca iz šestega odstavka 22.b člena ZPre-1.</w:t>
      </w:r>
    </w:p>
    <w:p w14:paraId="31178B50"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5407F67A" w14:textId="297B114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(2) Agencija, pristojna za finančne trge, izda soglasje za uresničevanje glasovalnih pravic delničarja na skupščini banke, če iz mnenja Banke Slovenije izhaja, da je povečanje osnovnega kapitala banke nujno, da se zagotovi</w:t>
      </w:r>
      <w:r w:rsidR="00190417" w:rsidRPr="00215B2F">
        <w:rPr>
          <w:rFonts w:ascii="Arial" w:eastAsia="Arial" w:hAnsi="Arial" w:cs="Arial"/>
          <w:sz w:val="20"/>
          <w:szCs w:val="20"/>
        </w:rPr>
        <w:t>ta</w:t>
      </w:r>
      <w:r w:rsidRPr="00215B2F">
        <w:rPr>
          <w:rFonts w:ascii="Arial" w:eastAsia="Arial" w:hAnsi="Arial" w:cs="Arial"/>
          <w:sz w:val="20"/>
          <w:szCs w:val="20"/>
        </w:rPr>
        <w:t xml:space="preserve"> stabilno poslovanje banke in izpolnjevanje zahtev pristojnega organa.</w:t>
      </w:r>
    </w:p>
    <w:p w14:paraId="729B7AB4"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50878A46" w14:textId="644A303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je delničar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sodeloval pri povečanju osnovnega kapitala banke pod pogoji iz </w:t>
      </w:r>
      <w:r w:rsidR="00746E88" w:rsidRPr="00215B2F">
        <w:rPr>
          <w:rFonts w:ascii="Arial" w:eastAsia="Arial" w:hAnsi="Arial" w:cs="Arial"/>
          <w:sz w:val="20"/>
          <w:szCs w:val="20"/>
        </w:rPr>
        <w:t>prejšnjega člena</w:t>
      </w:r>
      <w:r w:rsidRPr="00215B2F">
        <w:rPr>
          <w:rFonts w:ascii="Arial" w:eastAsia="Arial" w:hAnsi="Arial" w:cs="Arial"/>
          <w:sz w:val="20"/>
          <w:szCs w:val="20"/>
        </w:rPr>
        <w:t xml:space="preserve"> tako, da ima po povečanju osnovnega kapitala banke najmanj enak delež v kapitalu banke, kot ga je imel pred povečanjem osnovnega kapitala banke, lahko delničar uveljavlja prenehanje prepovedi uresničevanja glasovalnih pravic iz teh delnic, ki jo je izrekla agencija, pristojna za finančne trge, do prve nadaljnje pridobitve delnic banke, pri kateri niso izpolnjeni pogoji iz </w:t>
      </w:r>
      <w:r w:rsidR="00746E88" w:rsidRPr="00215B2F">
        <w:rPr>
          <w:rFonts w:ascii="Arial" w:eastAsia="Arial" w:hAnsi="Arial" w:cs="Arial"/>
          <w:sz w:val="20"/>
          <w:szCs w:val="20"/>
        </w:rPr>
        <w:t>prejšnjega člena</w:t>
      </w:r>
      <w:r w:rsidRPr="00215B2F">
        <w:rPr>
          <w:rFonts w:ascii="Arial" w:eastAsia="Arial" w:hAnsi="Arial" w:cs="Arial"/>
          <w:sz w:val="20"/>
          <w:szCs w:val="20"/>
        </w:rPr>
        <w:t>, če še dosega prevzemni prag.</w:t>
      </w:r>
    </w:p>
    <w:p w14:paraId="7AD0851B"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2C8F494E"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59" w:name="_Ref202963958"/>
      <w:r w:rsidRPr="00215B2F">
        <w:rPr>
          <w:rFonts w:ascii="Arial" w:eastAsia="Arial" w:hAnsi="Arial" w:cs="Arial"/>
          <w:b/>
          <w:bCs/>
          <w:sz w:val="20"/>
          <w:szCs w:val="20"/>
        </w:rPr>
        <w:t>člen</w:t>
      </w:r>
      <w:bookmarkEnd w:id="159"/>
    </w:p>
    <w:p w14:paraId="53F601FC" w14:textId="77777777" w:rsidR="00D91782" w:rsidRPr="00215B2F" w:rsidRDefault="00D91782" w:rsidP="00FD5520">
      <w:pPr>
        <w:pStyle w:val="Slog1"/>
        <w:shd w:val="clear" w:color="auto" w:fill="FFFFFF" w:themeFill="background1"/>
        <w:rPr>
          <w:sz w:val="20"/>
          <w:szCs w:val="20"/>
        </w:rPr>
      </w:pPr>
      <w:r w:rsidRPr="00215B2F">
        <w:rPr>
          <w:sz w:val="20"/>
          <w:szCs w:val="20"/>
        </w:rPr>
        <w:t>(izjeme od ZPre-1 glede prevzemne ponudbe banke za vrednostne papirje ciljne družbe)</w:t>
      </w:r>
    </w:p>
    <w:p w14:paraId="1FB6FF55" w14:textId="77777777" w:rsidR="00D91782" w:rsidRPr="00215B2F" w:rsidRDefault="00D91782" w:rsidP="00FD5520">
      <w:pPr>
        <w:pStyle w:val="Slog1"/>
        <w:shd w:val="clear" w:color="auto" w:fill="FFFFFF" w:themeFill="background1"/>
        <w:jc w:val="both"/>
        <w:rPr>
          <w:sz w:val="20"/>
          <w:szCs w:val="20"/>
        </w:rPr>
      </w:pPr>
    </w:p>
    <w:p w14:paraId="4A6E311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Poleg primerov, določenih v ZPre-1, obvezne prevzemne ponudbe v skladu z ZPre-1 ni zavezana dati banka, ki je dosegla prevzemni prag v ciljni družbi zaradi pridobitve delnic ali drugih vrednostnih papirjev ciljne družbe, ki so izročeni banki kot stvarni vložek pri povečanju osnovnega kapitala banke v skladu s tem zakonom.</w:t>
      </w:r>
    </w:p>
    <w:p w14:paraId="4A3E1672"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005E8864" w14:textId="15BB371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O pridobitvi vrednostnih papirjev iz prejšnjega odstavka in odsvojitvi tako pridobljenih vrednostnih papirjev mora banka obvestiti agencijo, pristojno za finančne trge, v treh delovnih dneh od pridobitve oziroma odsvojitve.</w:t>
      </w:r>
    </w:p>
    <w:p w14:paraId="0CA44A18"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5A324EB" w14:textId="714C7D9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Obveznost dati prevzemno ponudbo v skladu z ZPre-1 nastane za banko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po poteku petih let od pridobitve delnic ciljne družbe, če po tem obdobju še dosega prevzemni prag v ciljni družbi.</w:t>
      </w:r>
    </w:p>
    <w:p w14:paraId="7DC28B8B"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1ECC14E1" w14:textId="7B0F253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Obveznost dati prevzemno ponudbo nastane za banko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pred potekom petih let od pridobitve delnic ciljne družbe, in sicer ob prvi nadaljnji pridobitvi delnic ciljne družbe, če banka še dosega prevzemni prag in niso izpolnjeni pogoji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ali niso podani drugi razlogi v skladu z ZPre-1, zaradi katerih banka ni zavezana dati prevzemne ponudbe.</w:t>
      </w:r>
    </w:p>
    <w:p w14:paraId="1649C4D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7125D47" w14:textId="47974E56" w:rsidR="00D91782" w:rsidRPr="00215B2F" w:rsidRDefault="00D91782" w:rsidP="00FD5520">
      <w:pPr>
        <w:pStyle w:val="Slog3"/>
        <w:shd w:val="clear" w:color="auto" w:fill="FFFFFF" w:themeFill="background1"/>
        <w:rPr>
          <w:sz w:val="20"/>
          <w:szCs w:val="20"/>
        </w:rPr>
      </w:pPr>
      <w:r w:rsidRPr="00215B2F">
        <w:rPr>
          <w:sz w:val="20"/>
          <w:szCs w:val="20"/>
        </w:rPr>
        <w:t>3.</w:t>
      </w:r>
      <w:r w:rsidR="0044147E" w:rsidRPr="00215B2F">
        <w:rPr>
          <w:sz w:val="20"/>
          <w:szCs w:val="20"/>
        </w:rPr>
        <w:t>9</w:t>
      </w:r>
      <w:r w:rsidRPr="00215B2F">
        <w:rPr>
          <w:sz w:val="20"/>
          <w:szCs w:val="20"/>
        </w:rPr>
        <w:t xml:space="preserve"> REDNA LIKVIDACIJA BANKE</w:t>
      </w:r>
    </w:p>
    <w:p w14:paraId="06914477"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0DFC2A47"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60" w:name="_Ref202963964"/>
      <w:r w:rsidRPr="00215B2F">
        <w:rPr>
          <w:rFonts w:ascii="Arial" w:eastAsia="Arial" w:hAnsi="Arial" w:cs="Arial"/>
          <w:b/>
          <w:bCs/>
          <w:sz w:val="20"/>
          <w:szCs w:val="20"/>
        </w:rPr>
        <w:t>člen</w:t>
      </w:r>
      <w:bookmarkEnd w:id="160"/>
    </w:p>
    <w:p w14:paraId="661316E2" w14:textId="77777777" w:rsidR="00D91782" w:rsidRPr="00215B2F" w:rsidRDefault="00D91782" w:rsidP="00FD5520">
      <w:pPr>
        <w:pStyle w:val="Slog1"/>
        <w:shd w:val="clear" w:color="auto" w:fill="FFFFFF" w:themeFill="background1"/>
        <w:rPr>
          <w:sz w:val="20"/>
          <w:szCs w:val="20"/>
        </w:rPr>
      </w:pPr>
      <w:r w:rsidRPr="00215B2F">
        <w:rPr>
          <w:sz w:val="20"/>
          <w:szCs w:val="20"/>
        </w:rPr>
        <w:t>(sklep skupščine o likvidaciji banke)</w:t>
      </w:r>
    </w:p>
    <w:p w14:paraId="0561C142" w14:textId="77777777" w:rsidR="00D91782" w:rsidRPr="00215B2F" w:rsidRDefault="00D91782" w:rsidP="00FD5520">
      <w:pPr>
        <w:pStyle w:val="Slog1"/>
        <w:shd w:val="clear" w:color="auto" w:fill="FFFFFF" w:themeFill="background1"/>
        <w:jc w:val="both"/>
        <w:rPr>
          <w:sz w:val="20"/>
          <w:szCs w:val="20"/>
        </w:rPr>
      </w:pPr>
    </w:p>
    <w:p w14:paraId="123FBCB3" w14:textId="502FEFE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Skupščina banke lahko sprejme sklep o prenehanju banke in začetku likvidacijskega postopka, če uprava banke pred odločanjem skupščine izdela načrt likvidacije in ga predloži Banki Slovenije v skladu s </w:t>
      </w:r>
      <w:r w:rsidR="0009709B" w:rsidRPr="00215B2F">
        <w:rPr>
          <w:rFonts w:ascii="Arial" w:eastAsia="Arial" w:hAnsi="Arial" w:cs="Arial"/>
          <w:sz w:val="20"/>
          <w:szCs w:val="20"/>
        </w:rPr>
        <w:t>124</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571B47A3"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3236C996" w14:textId="4114D42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Sklep skupščine, ki je sprejet v nasprotju s prejšnjim odstavkom, je ničen.</w:t>
      </w:r>
    </w:p>
    <w:p w14:paraId="024CA580"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7EA20AAB" w14:textId="77777777" w:rsidR="002B689C" w:rsidRPr="00215B2F" w:rsidRDefault="002B689C"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61" w:name="_Ref202963969"/>
      <w:r w:rsidRPr="00215B2F">
        <w:rPr>
          <w:rFonts w:ascii="Arial" w:eastAsia="Arial" w:hAnsi="Arial" w:cs="Arial"/>
          <w:b/>
          <w:bCs/>
          <w:sz w:val="20"/>
          <w:szCs w:val="20"/>
        </w:rPr>
        <w:t>člen</w:t>
      </w:r>
      <w:bookmarkEnd w:id="161"/>
    </w:p>
    <w:p w14:paraId="0CCCD82C"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(likvidacijski upravitelj banke)</w:t>
      </w:r>
    </w:p>
    <w:p w14:paraId="389FBA59"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298DD824" w14:textId="2980433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Za likvidacijskega upravitelja banke je lahko imenovana le oseba, ki ima dovoljenje za opravljanje funkcije člana uprave v tej banki.</w:t>
      </w:r>
    </w:p>
    <w:p w14:paraId="41A9B3D8"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26654C59"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62" w:name="_Ref202963982"/>
      <w:r w:rsidRPr="00215B2F">
        <w:rPr>
          <w:rFonts w:ascii="Arial" w:eastAsia="Arial" w:hAnsi="Arial" w:cs="Arial"/>
          <w:b/>
          <w:bCs/>
          <w:sz w:val="20"/>
          <w:szCs w:val="20"/>
        </w:rPr>
        <w:t>člen</w:t>
      </w:r>
      <w:bookmarkEnd w:id="162"/>
    </w:p>
    <w:p w14:paraId="75DD8DE0" w14:textId="77777777" w:rsidR="00D91782" w:rsidRPr="00215B2F" w:rsidRDefault="00D91782" w:rsidP="00FD5520">
      <w:pPr>
        <w:pStyle w:val="Slog1"/>
        <w:shd w:val="clear" w:color="auto" w:fill="FFFFFF" w:themeFill="background1"/>
        <w:rPr>
          <w:sz w:val="20"/>
          <w:szCs w:val="20"/>
        </w:rPr>
      </w:pPr>
      <w:r w:rsidRPr="00215B2F">
        <w:rPr>
          <w:sz w:val="20"/>
          <w:szCs w:val="20"/>
        </w:rPr>
        <w:t>(načrt likvidacije)</w:t>
      </w:r>
    </w:p>
    <w:p w14:paraId="4F98B36D" w14:textId="77777777" w:rsidR="00D91782" w:rsidRPr="00215B2F" w:rsidRDefault="00D91782" w:rsidP="00FD5520">
      <w:pPr>
        <w:pStyle w:val="Slog1"/>
        <w:shd w:val="clear" w:color="auto" w:fill="FFFFFF" w:themeFill="background1"/>
        <w:rPr>
          <w:sz w:val="20"/>
          <w:szCs w:val="20"/>
        </w:rPr>
      </w:pPr>
    </w:p>
    <w:p w14:paraId="3028298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Uprava banke mora najmanj šest mesecev pred objavo sklica skupščine, ki bo odločala o začetku postopka likvidacije banke, obvestiti Banko Slovenije o načrtu ukrepov za likvidacijo banke in zaključevanje poslov banke ter glede jamstev banke za zavarovanje terjatev upnikov.</w:t>
      </w:r>
    </w:p>
    <w:p w14:paraId="5D91E541"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0FCECE9B" w14:textId="633B6E6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na podlagi obvestila iz prejšnjega odstavka oceni ustreznost ukrepov za likvidacijo banke ter po potrebi zahteva od uprave banke ustrezne prilagoditve v načrtu, da se zavaruje</w:t>
      </w:r>
      <w:r w:rsidR="008A3BC5" w:rsidRPr="00215B2F">
        <w:rPr>
          <w:rFonts w:ascii="Arial" w:eastAsia="Arial" w:hAnsi="Arial" w:cs="Arial"/>
          <w:sz w:val="20"/>
          <w:szCs w:val="20"/>
        </w:rPr>
        <w:t>ta</w:t>
      </w:r>
      <w:r w:rsidRPr="00215B2F">
        <w:rPr>
          <w:rFonts w:ascii="Arial" w:eastAsia="Arial" w:hAnsi="Arial" w:cs="Arial"/>
          <w:sz w:val="20"/>
          <w:szCs w:val="20"/>
        </w:rPr>
        <w:t xml:space="preserve"> stabilnost finančnega sistema </w:t>
      </w:r>
      <w:r w:rsidR="008A3BC5" w:rsidRPr="00215B2F">
        <w:rPr>
          <w:rFonts w:ascii="Arial" w:eastAsia="Arial" w:hAnsi="Arial" w:cs="Arial"/>
          <w:sz w:val="20"/>
          <w:szCs w:val="20"/>
        </w:rPr>
        <w:t xml:space="preserve">in </w:t>
      </w:r>
      <w:r w:rsidRPr="00215B2F">
        <w:rPr>
          <w:rFonts w:ascii="Arial" w:eastAsia="Arial" w:hAnsi="Arial" w:cs="Arial"/>
          <w:sz w:val="20"/>
          <w:szCs w:val="20"/>
        </w:rPr>
        <w:t>položaj upnikov banke.</w:t>
      </w:r>
    </w:p>
    <w:p w14:paraId="0BD8D59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887E8EA"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63" w:name="_Ref202963988"/>
      <w:r w:rsidRPr="00215B2F">
        <w:rPr>
          <w:rFonts w:ascii="Arial" w:eastAsia="Arial" w:hAnsi="Arial" w:cs="Arial"/>
          <w:b/>
          <w:bCs/>
          <w:sz w:val="20"/>
          <w:szCs w:val="20"/>
        </w:rPr>
        <w:lastRenderedPageBreak/>
        <w:t>člen</w:t>
      </w:r>
      <w:bookmarkEnd w:id="163"/>
    </w:p>
    <w:p w14:paraId="45FBA6C9" w14:textId="77777777" w:rsidR="00D91782" w:rsidRPr="00215B2F" w:rsidRDefault="00D91782" w:rsidP="00FD5520">
      <w:pPr>
        <w:pStyle w:val="Slog1"/>
        <w:shd w:val="clear" w:color="auto" w:fill="FFFFFF" w:themeFill="background1"/>
        <w:rPr>
          <w:sz w:val="20"/>
          <w:szCs w:val="20"/>
        </w:rPr>
      </w:pPr>
      <w:r w:rsidRPr="00215B2F">
        <w:rPr>
          <w:sz w:val="20"/>
          <w:szCs w:val="20"/>
        </w:rPr>
        <w:t>(omejitev dovoljenja za opravljanje storitev)</w:t>
      </w:r>
    </w:p>
    <w:p w14:paraId="623A3E9D" w14:textId="77777777" w:rsidR="00D91782" w:rsidRPr="00215B2F" w:rsidRDefault="00D91782" w:rsidP="00FD5520">
      <w:pPr>
        <w:pStyle w:val="Slog1"/>
        <w:shd w:val="clear" w:color="auto" w:fill="FFFFFF" w:themeFill="background1"/>
        <w:rPr>
          <w:sz w:val="20"/>
          <w:szCs w:val="20"/>
        </w:rPr>
      </w:pPr>
    </w:p>
    <w:p w14:paraId="6F8105D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Na podlagi sklepa skupščine o začetku postopka likvidacije banke Banka Slovenije z odločbo:</w:t>
      </w:r>
    </w:p>
    <w:p w14:paraId="37C30C7C"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5D5A037E" w14:textId="752B8DBB" w:rsidR="00895214" w:rsidRPr="00215B2F" w:rsidRDefault="00D91782">
      <w:pPr>
        <w:pStyle w:val="tevilnatoka"/>
        <w:numPr>
          <w:ilvl w:val="0"/>
          <w:numId w:val="88"/>
        </w:numPr>
        <w:shd w:val="clear" w:color="auto" w:fill="FFFFFF" w:themeFill="background1"/>
        <w:tabs>
          <w:tab w:val="clear" w:pos="425"/>
        </w:tabs>
        <w:rPr>
          <w:rFonts w:cs="Arial"/>
          <w:bCs/>
          <w:sz w:val="20"/>
          <w:szCs w:val="20"/>
        </w:rPr>
      </w:pPr>
      <w:r w:rsidRPr="00215B2F">
        <w:rPr>
          <w:rFonts w:eastAsia="Arial" w:cs="Arial"/>
          <w:sz w:val="20"/>
          <w:szCs w:val="20"/>
        </w:rPr>
        <w:t>omeji dovoljenja za opravljanje storitev, ki jih opravlja banka v skladu s tem zakonom, tako, da se določi vrsta in obseg poslov, ki jih sme opravljati banka v likvidaciji, ter določi druge pogoje v zvezi z opravljanje</w:t>
      </w:r>
      <w:r w:rsidR="0041190E" w:rsidRPr="00215B2F">
        <w:rPr>
          <w:rFonts w:eastAsia="Arial" w:cs="Arial"/>
          <w:sz w:val="20"/>
          <w:szCs w:val="20"/>
        </w:rPr>
        <w:t>m</w:t>
      </w:r>
      <w:r w:rsidRPr="00215B2F">
        <w:rPr>
          <w:rFonts w:eastAsia="Arial" w:cs="Arial"/>
          <w:sz w:val="20"/>
          <w:szCs w:val="20"/>
        </w:rPr>
        <w:t xml:space="preserve"> teh storitev;</w:t>
      </w:r>
    </w:p>
    <w:p w14:paraId="153607AC" w14:textId="2461F753" w:rsidR="00D91782" w:rsidRPr="00215B2F" w:rsidRDefault="00D91782" w:rsidP="00543D80">
      <w:pPr>
        <w:pStyle w:val="tevilnatoka"/>
        <w:rPr>
          <w:rFonts w:cs="Arial"/>
          <w:bCs/>
          <w:sz w:val="20"/>
          <w:szCs w:val="20"/>
        </w:rPr>
      </w:pPr>
      <w:r w:rsidRPr="00215B2F">
        <w:rPr>
          <w:rFonts w:eastAsia="Arial" w:cs="Arial"/>
          <w:sz w:val="20"/>
          <w:szCs w:val="20"/>
        </w:rPr>
        <w:t>določi, v kakšnem obsegu se za banko v likvidaciji uporabljajo pravila tega zakona, Uredbe 575/2013/EU in predpisov, izdanih na njuni podlagi.</w:t>
      </w:r>
    </w:p>
    <w:p w14:paraId="54D1019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136C8DB"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64" w:name="_Ref202964010"/>
      <w:r w:rsidRPr="00215B2F">
        <w:rPr>
          <w:rFonts w:ascii="Arial" w:eastAsia="Arial" w:hAnsi="Arial" w:cs="Arial"/>
          <w:b/>
          <w:bCs/>
          <w:sz w:val="20"/>
          <w:szCs w:val="20"/>
        </w:rPr>
        <w:t>člen</w:t>
      </w:r>
      <w:bookmarkEnd w:id="164"/>
    </w:p>
    <w:p w14:paraId="547A6B48" w14:textId="77777777" w:rsidR="00D91782" w:rsidRPr="00215B2F" w:rsidRDefault="00D91782" w:rsidP="00FD5520">
      <w:pPr>
        <w:pStyle w:val="Slog1"/>
        <w:shd w:val="clear" w:color="auto" w:fill="FFFFFF" w:themeFill="background1"/>
        <w:rPr>
          <w:sz w:val="20"/>
          <w:szCs w:val="20"/>
        </w:rPr>
      </w:pPr>
      <w:r w:rsidRPr="00215B2F">
        <w:rPr>
          <w:sz w:val="20"/>
          <w:szCs w:val="20"/>
        </w:rPr>
        <w:t>(izvedba likvidacije)</w:t>
      </w:r>
    </w:p>
    <w:p w14:paraId="777279ED" w14:textId="77777777" w:rsidR="00D91782" w:rsidRPr="00215B2F" w:rsidRDefault="00D91782" w:rsidP="00FD5520">
      <w:pPr>
        <w:pStyle w:val="Slog1"/>
        <w:shd w:val="clear" w:color="auto" w:fill="FFFFFF" w:themeFill="background1"/>
        <w:rPr>
          <w:sz w:val="20"/>
          <w:szCs w:val="20"/>
        </w:rPr>
      </w:pPr>
    </w:p>
    <w:p w14:paraId="7DBC71F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Za likvidacijo banke na podlagi sklepa skupščine o začetku postopka likvidacije se uporabljajo določbe ZGD-1 o likvidaciji delniške družbe na podlagi sklepa skupščine, če ni v tem oddelku določeno drugače.</w:t>
      </w:r>
    </w:p>
    <w:p w14:paraId="416C9D65"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7EDEF9FD"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65" w:name="_Ref202964018"/>
      <w:r w:rsidRPr="00215B2F">
        <w:rPr>
          <w:rFonts w:ascii="Arial" w:eastAsia="Arial" w:hAnsi="Arial" w:cs="Arial"/>
          <w:b/>
          <w:bCs/>
          <w:sz w:val="20"/>
          <w:szCs w:val="20"/>
        </w:rPr>
        <w:t>člen</w:t>
      </w:r>
      <w:bookmarkEnd w:id="165"/>
    </w:p>
    <w:p w14:paraId="0C21997F" w14:textId="77777777" w:rsidR="00D91782" w:rsidRPr="00215B2F" w:rsidRDefault="00D91782" w:rsidP="00FD5520">
      <w:pPr>
        <w:pStyle w:val="Slog1"/>
        <w:shd w:val="clear" w:color="auto" w:fill="FFFFFF" w:themeFill="background1"/>
        <w:rPr>
          <w:sz w:val="20"/>
          <w:szCs w:val="20"/>
        </w:rPr>
      </w:pPr>
      <w:r w:rsidRPr="00215B2F">
        <w:rPr>
          <w:sz w:val="20"/>
          <w:szCs w:val="20"/>
        </w:rPr>
        <w:t>(ponovna pridobitev dovoljenja za opravljanje bančnih storitev)</w:t>
      </w:r>
    </w:p>
    <w:p w14:paraId="000A5809" w14:textId="77777777" w:rsidR="00D91782" w:rsidRPr="00215B2F" w:rsidRDefault="00D91782" w:rsidP="00FD5520">
      <w:pPr>
        <w:pStyle w:val="Slog1"/>
        <w:shd w:val="clear" w:color="auto" w:fill="FFFFFF" w:themeFill="background1"/>
        <w:jc w:val="both"/>
        <w:rPr>
          <w:sz w:val="20"/>
          <w:szCs w:val="20"/>
        </w:rPr>
      </w:pPr>
    </w:p>
    <w:p w14:paraId="27DFFBE8" w14:textId="76488BF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skupščina banke po izdaji odločbe iz </w:t>
      </w:r>
      <w:r w:rsidR="0009709B" w:rsidRPr="00215B2F">
        <w:rPr>
          <w:rFonts w:ascii="Arial" w:eastAsia="Arial" w:hAnsi="Arial" w:cs="Arial"/>
          <w:sz w:val="20"/>
          <w:szCs w:val="20"/>
        </w:rPr>
        <w:t>125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odloči, da se postopek likvidacije ustavi in banka deluje dalje, lahko banka </w:t>
      </w:r>
      <w:r w:rsidR="00F455AB" w:rsidRPr="00215B2F">
        <w:rPr>
          <w:rFonts w:ascii="Arial" w:eastAsia="Arial" w:hAnsi="Arial" w:cs="Arial"/>
          <w:sz w:val="20"/>
          <w:szCs w:val="20"/>
        </w:rPr>
        <w:t>z</w:t>
      </w:r>
      <w:r w:rsidRPr="00215B2F">
        <w:rPr>
          <w:rFonts w:ascii="Arial" w:eastAsia="Arial" w:hAnsi="Arial" w:cs="Arial"/>
          <w:sz w:val="20"/>
          <w:szCs w:val="20"/>
        </w:rPr>
        <w:t>nov</w:t>
      </w:r>
      <w:r w:rsidR="00F455AB" w:rsidRPr="00215B2F">
        <w:rPr>
          <w:rFonts w:ascii="Arial" w:eastAsia="Arial" w:hAnsi="Arial" w:cs="Arial"/>
          <w:sz w:val="20"/>
          <w:szCs w:val="20"/>
        </w:rPr>
        <w:t>a</w:t>
      </w:r>
      <w:r w:rsidRPr="00215B2F">
        <w:rPr>
          <w:rFonts w:ascii="Arial" w:eastAsia="Arial" w:hAnsi="Arial" w:cs="Arial"/>
          <w:sz w:val="20"/>
          <w:szCs w:val="20"/>
        </w:rPr>
        <w:t xml:space="preserve"> začne opravljati bančne, finančne in dodatne finančne storitve oziroma posle, ki so bili omejeni z odločbo iz </w:t>
      </w:r>
      <w:r w:rsidR="0009709B" w:rsidRPr="00215B2F">
        <w:rPr>
          <w:rFonts w:ascii="Arial" w:eastAsia="Arial" w:hAnsi="Arial" w:cs="Arial"/>
          <w:sz w:val="20"/>
          <w:szCs w:val="20"/>
        </w:rPr>
        <w:t>125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če pridobi dovoljenje za opravljanje teh storitev v skladu s tem zakonom.</w:t>
      </w:r>
    </w:p>
    <w:p w14:paraId="0E4374C2"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56CFB452" w14:textId="66F6345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Predlogu za vpis sklepa iz prejšnjega odstavka v sodni register je treba priložiti novo dovoljenje za opravljanje storitev.</w:t>
      </w:r>
    </w:p>
    <w:p w14:paraId="7945886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B8DBBDD"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66" w:name="_Ref202964024"/>
      <w:r w:rsidRPr="00215B2F">
        <w:rPr>
          <w:rFonts w:ascii="Arial" w:eastAsia="Arial" w:hAnsi="Arial" w:cs="Arial"/>
          <w:b/>
          <w:bCs/>
          <w:sz w:val="20"/>
          <w:szCs w:val="20"/>
        </w:rPr>
        <w:t>člen</w:t>
      </w:r>
      <w:bookmarkEnd w:id="166"/>
    </w:p>
    <w:p w14:paraId="7D2CCBD8" w14:textId="77777777" w:rsidR="00D91782" w:rsidRPr="00215B2F" w:rsidRDefault="00D91782" w:rsidP="00FD5520">
      <w:pPr>
        <w:pStyle w:val="Slog1"/>
        <w:shd w:val="clear" w:color="auto" w:fill="FFFFFF" w:themeFill="background1"/>
        <w:rPr>
          <w:sz w:val="20"/>
          <w:szCs w:val="20"/>
        </w:rPr>
      </w:pPr>
      <w:r w:rsidRPr="00215B2F">
        <w:rPr>
          <w:sz w:val="20"/>
          <w:szCs w:val="20"/>
        </w:rPr>
        <w:t>(prenehanje opravljanja bančnih storitev zaradi spremembe dejavnosti banke)</w:t>
      </w:r>
    </w:p>
    <w:p w14:paraId="3A9519B3" w14:textId="77777777" w:rsidR="00D91782" w:rsidRPr="00215B2F" w:rsidRDefault="00D91782" w:rsidP="00FD5520">
      <w:pPr>
        <w:pStyle w:val="Slog1"/>
        <w:shd w:val="clear" w:color="auto" w:fill="FFFFFF" w:themeFill="background1"/>
        <w:jc w:val="both"/>
        <w:rPr>
          <w:sz w:val="20"/>
          <w:szCs w:val="20"/>
        </w:rPr>
      </w:pPr>
    </w:p>
    <w:p w14:paraId="0507C82A" w14:textId="2232547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Določbe tega </w:t>
      </w:r>
      <w:r w:rsidR="005B0CC7" w:rsidRPr="00215B2F">
        <w:rPr>
          <w:rFonts w:ascii="Arial" w:eastAsia="Arial" w:hAnsi="Arial" w:cs="Arial"/>
          <w:sz w:val="20"/>
          <w:szCs w:val="20"/>
        </w:rPr>
        <w:t>o</w:t>
      </w:r>
      <w:r w:rsidR="001F2C7A" w:rsidRPr="00215B2F">
        <w:rPr>
          <w:rFonts w:ascii="Arial" w:eastAsia="Arial" w:hAnsi="Arial" w:cs="Arial"/>
          <w:sz w:val="20"/>
          <w:szCs w:val="20"/>
        </w:rPr>
        <w:t>ddelka</w:t>
      </w:r>
      <w:r w:rsidRPr="00215B2F">
        <w:rPr>
          <w:rFonts w:ascii="Arial" w:eastAsia="Arial" w:hAnsi="Arial" w:cs="Arial"/>
          <w:sz w:val="20"/>
          <w:szCs w:val="20"/>
        </w:rPr>
        <w:t xml:space="preserve"> se smiselno uporabljajo tudi, če skupščina banke sprejme sklep, s katerim se dejavnost banke spremeni tako, da banka ne opravlja več bančnih storitev.</w:t>
      </w:r>
    </w:p>
    <w:p w14:paraId="1696A87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CC968FF"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r w:rsidRPr="00215B2F">
        <w:rPr>
          <w:rFonts w:ascii="Arial" w:eastAsia="Arial" w:hAnsi="Arial" w:cs="Arial"/>
          <w:sz w:val="20"/>
          <w:szCs w:val="20"/>
        </w:rPr>
        <w:t xml:space="preserve">4. POGLAVJE: </w:t>
      </w:r>
      <w:r w:rsidRPr="00215B2F">
        <w:rPr>
          <w:rFonts w:ascii="Arial" w:eastAsia="Arial" w:hAnsi="Arial" w:cs="Arial"/>
          <w:sz w:val="20"/>
          <w:szCs w:val="20"/>
        </w:rPr>
        <w:br/>
        <w:t>POSLOVNE KNJIGE, LETNO POROČILO IN DODATNA RAZKRITJA</w:t>
      </w:r>
    </w:p>
    <w:p w14:paraId="45CDC5F8"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023091F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67" w:name="_Ref202964036"/>
      <w:r w:rsidRPr="00215B2F">
        <w:rPr>
          <w:rFonts w:ascii="Arial" w:eastAsia="Arial" w:hAnsi="Arial" w:cs="Arial"/>
          <w:b/>
          <w:bCs/>
          <w:sz w:val="20"/>
          <w:szCs w:val="20"/>
        </w:rPr>
        <w:t>člen</w:t>
      </w:r>
      <w:bookmarkEnd w:id="167"/>
    </w:p>
    <w:p w14:paraId="7A3E63E6" w14:textId="77777777" w:rsidR="00D91782" w:rsidRPr="00215B2F" w:rsidRDefault="00D91782" w:rsidP="00FD5520">
      <w:pPr>
        <w:pStyle w:val="Slog1"/>
        <w:shd w:val="clear" w:color="auto" w:fill="FFFFFF" w:themeFill="background1"/>
        <w:rPr>
          <w:sz w:val="20"/>
          <w:szCs w:val="20"/>
        </w:rPr>
      </w:pPr>
      <w:r w:rsidRPr="00215B2F">
        <w:rPr>
          <w:sz w:val="20"/>
          <w:szCs w:val="20"/>
        </w:rPr>
        <w:t>(poslovne knjige in letna poročila bank)</w:t>
      </w:r>
    </w:p>
    <w:p w14:paraId="468B6B29" w14:textId="77777777" w:rsidR="00D91782" w:rsidRPr="00215B2F" w:rsidRDefault="00D91782" w:rsidP="00FD5520">
      <w:pPr>
        <w:pStyle w:val="Slog1"/>
        <w:shd w:val="clear" w:color="auto" w:fill="FFFFFF" w:themeFill="background1"/>
        <w:jc w:val="both"/>
        <w:rPr>
          <w:sz w:val="20"/>
          <w:szCs w:val="20"/>
        </w:rPr>
      </w:pPr>
    </w:p>
    <w:p w14:paraId="6D9AE06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Za poslovne knjige in letna poročila bank ter za revizijski pregled letnih poročil bank se uporabljajo splošna pravila, določena v osmem poglavju I. dela ZGD-1 in v zakonu, ki ureja revidiranje, če niso v tem poglavju določena posebna pravila. V zvezi s poslovnimi knjigami in letnimi poročili bank se ne uporablja 5. točka prvega odstavka 685. člena ZGD-1.</w:t>
      </w:r>
    </w:p>
    <w:p w14:paraId="2775A2E0"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69A0C250" w14:textId="46BE2BC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mora voditi poslovne knjige, sestavljati knjigovodske listine, vrednotiti knjigovodske postavke ter sestavljati poročila v skladu s </w:t>
      </w:r>
      <w:r w:rsidR="007F5412" w:rsidRPr="00215B2F">
        <w:rPr>
          <w:rFonts w:ascii="Arial" w:eastAsia="Arial" w:hAnsi="Arial" w:cs="Arial"/>
          <w:sz w:val="20"/>
          <w:szCs w:val="20"/>
        </w:rPr>
        <w:t xml:space="preserve">tem zakonom, </w:t>
      </w:r>
      <w:r w:rsidRPr="00215B2F">
        <w:rPr>
          <w:rFonts w:ascii="Arial" w:eastAsia="Arial" w:hAnsi="Arial" w:cs="Arial"/>
          <w:sz w:val="20"/>
          <w:szCs w:val="20"/>
        </w:rPr>
        <w:t xml:space="preserve">predpisi iz prejšnjega odstavka ter podzakonskimi predpisi, izdanimi na podlagi </w:t>
      </w:r>
      <w:r w:rsidR="0009709B" w:rsidRPr="00215B2F">
        <w:rPr>
          <w:rFonts w:ascii="Arial" w:eastAsia="Arial" w:hAnsi="Arial" w:cs="Arial"/>
          <w:sz w:val="20"/>
          <w:szCs w:val="20"/>
        </w:rPr>
        <w:t>136</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574B55B2"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0023775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68" w:name="_Ref202964043"/>
      <w:r w:rsidRPr="00215B2F">
        <w:rPr>
          <w:rFonts w:ascii="Arial" w:eastAsia="Arial" w:hAnsi="Arial" w:cs="Arial"/>
          <w:b/>
          <w:bCs/>
          <w:sz w:val="20"/>
          <w:szCs w:val="20"/>
        </w:rPr>
        <w:t>člen</w:t>
      </w:r>
      <w:bookmarkEnd w:id="168"/>
    </w:p>
    <w:p w14:paraId="37535517" w14:textId="77777777" w:rsidR="00D91782" w:rsidRPr="00215B2F" w:rsidRDefault="00D91782" w:rsidP="00FD5520">
      <w:pPr>
        <w:pStyle w:val="Slog1"/>
        <w:shd w:val="clear" w:color="auto" w:fill="FFFFFF" w:themeFill="background1"/>
        <w:rPr>
          <w:sz w:val="20"/>
          <w:szCs w:val="20"/>
        </w:rPr>
      </w:pPr>
      <w:r w:rsidRPr="00215B2F">
        <w:rPr>
          <w:sz w:val="20"/>
          <w:szCs w:val="20"/>
        </w:rPr>
        <w:t>(posebna pravila za poslovne knjige, letna poročila in poročila o finančnih informacijah bank)</w:t>
      </w:r>
    </w:p>
    <w:p w14:paraId="12F4324B" w14:textId="77777777" w:rsidR="00D91782" w:rsidRPr="00215B2F" w:rsidRDefault="00D91782" w:rsidP="00FD5520">
      <w:pPr>
        <w:pStyle w:val="Slog1"/>
        <w:shd w:val="clear" w:color="auto" w:fill="FFFFFF" w:themeFill="background1"/>
        <w:rPr>
          <w:sz w:val="20"/>
          <w:szCs w:val="20"/>
        </w:rPr>
      </w:pPr>
    </w:p>
    <w:p w14:paraId="3D3A200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mora voditi glavno knjigo na podlagi internega kontnega okvira.</w:t>
      </w:r>
    </w:p>
    <w:p w14:paraId="2632B7AC"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79EC13B2" w14:textId="33678A5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Poslovno leto za sestavo računovodskih in konsolidiranih računovodskih izkazov, ki so sestavni del letnega in konsolidiranega letnega poročila banke, mora biti enako koledarskemu letu.</w:t>
      </w:r>
    </w:p>
    <w:p w14:paraId="1E761746"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70BC7B5D" w14:textId="5BD8926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mora Banki Slovenije sporočati finančne informacije v zvezi z računovodskimi izkazi.</w:t>
      </w:r>
    </w:p>
    <w:p w14:paraId="09D5879D"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FC04A0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69" w:name="_Ref202964049"/>
      <w:r w:rsidRPr="00215B2F">
        <w:rPr>
          <w:rFonts w:ascii="Arial" w:eastAsia="Arial" w:hAnsi="Arial" w:cs="Arial"/>
          <w:b/>
          <w:bCs/>
          <w:sz w:val="20"/>
          <w:szCs w:val="20"/>
        </w:rPr>
        <w:t>člen</w:t>
      </w:r>
      <w:bookmarkEnd w:id="169"/>
    </w:p>
    <w:p w14:paraId="3B5AA92B" w14:textId="01FBE600" w:rsidR="00D91782" w:rsidRPr="00215B2F" w:rsidRDefault="00D91782" w:rsidP="00FD5520">
      <w:pPr>
        <w:pStyle w:val="Slog1"/>
        <w:shd w:val="clear" w:color="auto" w:fill="FFFFFF" w:themeFill="background1"/>
        <w:rPr>
          <w:sz w:val="20"/>
          <w:szCs w:val="20"/>
        </w:rPr>
      </w:pPr>
      <w:r w:rsidRPr="00215B2F">
        <w:rPr>
          <w:sz w:val="20"/>
          <w:szCs w:val="20"/>
        </w:rPr>
        <w:lastRenderedPageBreak/>
        <w:t>(posebne zahteve glede razkritij)</w:t>
      </w:r>
    </w:p>
    <w:p w14:paraId="2018BB67" w14:textId="77777777" w:rsidR="00D91782" w:rsidRPr="00215B2F" w:rsidRDefault="00D91782" w:rsidP="00FD5520">
      <w:pPr>
        <w:pStyle w:val="Slog1"/>
        <w:shd w:val="clear" w:color="auto" w:fill="FFFFFF" w:themeFill="background1"/>
        <w:jc w:val="both"/>
        <w:rPr>
          <w:sz w:val="20"/>
          <w:szCs w:val="20"/>
        </w:rPr>
      </w:pPr>
      <w:bookmarkStart w:id="170" w:name="_Hlk203389806"/>
    </w:p>
    <w:p w14:paraId="1DB09B90" w14:textId="291B3E1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171" w:name="_Hlk203641038"/>
      <w:r w:rsidRPr="00215B2F">
        <w:rPr>
          <w:rFonts w:ascii="Arial" w:eastAsia="Arial" w:hAnsi="Arial" w:cs="Arial"/>
          <w:sz w:val="20"/>
          <w:szCs w:val="20"/>
        </w:rPr>
        <w:t>(1) Banka Slovenije lahko s podzakonskim aktom:</w:t>
      </w:r>
    </w:p>
    <w:p w14:paraId="154D91A1"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0C6BBA9E" w14:textId="4C23D340"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od bank zahteva pogostejša razkritja informacij iz </w:t>
      </w:r>
      <w:r w:rsidR="00B622AB" w:rsidRPr="00215B2F">
        <w:rPr>
          <w:rFonts w:ascii="Arial" w:eastAsia="Arial" w:hAnsi="Arial" w:cs="Arial"/>
          <w:sz w:val="20"/>
          <w:szCs w:val="20"/>
        </w:rPr>
        <w:t xml:space="preserve">8. </w:t>
      </w:r>
      <w:r w:rsidRPr="00215B2F">
        <w:rPr>
          <w:rFonts w:ascii="Arial" w:eastAsia="Arial" w:hAnsi="Arial" w:cs="Arial"/>
          <w:sz w:val="20"/>
          <w:szCs w:val="20"/>
        </w:rPr>
        <w:t>dela Uredbe 575/2013, kot se zahteva v 433</w:t>
      </w:r>
      <w:r w:rsidR="0096128E" w:rsidRPr="00215B2F">
        <w:rPr>
          <w:rFonts w:ascii="Arial" w:eastAsia="Arial" w:hAnsi="Arial" w:cs="Arial"/>
          <w:sz w:val="20"/>
          <w:szCs w:val="20"/>
        </w:rPr>
        <w:t>.</w:t>
      </w:r>
      <w:r w:rsidRPr="00215B2F">
        <w:rPr>
          <w:rFonts w:ascii="Arial" w:eastAsia="Arial" w:hAnsi="Arial" w:cs="Arial"/>
          <w:sz w:val="20"/>
          <w:szCs w:val="20"/>
        </w:rPr>
        <w:t xml:space="preserve"> do 433</w:t>
      </w:r>
      <w:r w:rsidR="0096128E" w:rsidRPr="00215B2F">
        <w:rPr>
          <w:rFonts w:ascii="Arial" w:eastAsia="Arial" w:hAnsi="Arial" w:cs="Arial"/>
          <w:sz w:val="20"/>
          <w:szCs w:val="20"/>
        </w:rPr>
        <w:t>.</w:t>
      </w:r>
      <w:r w:rsidRPr="00215B2F">
        <w:rPr>
          <w:rFonts w:ascii="Arial" w:eastAsia="Arial" w:hAnsi="Arial" w:cs="Arial"/>
          <w:sz w:val="20"/>
          <w:szCs w:val="20"/>
        </w:rPr>
        <w:t xml:space="preserve">c </w:t>
      </w:r>
      <w:r w:rsidR="0096128E" w:rsidRPr="00215B2F">
        <w:rPr>
          <w:rFonts w:ascii="Arial" w:eastAsia="Arial" w:hAnsi="Arial" w:cs="Arial"/>
          <w:sz w:val="20"/>
          <w:szCs w:val="20"/>
        </w:rPr>
        <w:t xml:space="preserve">členu </w:t>
      </w:r>
      <w:r w:rsidRPr="00215B2F">
        <w:rPr>
          <w:rFonts w:ascii="Arial" w:eastAsia="Arial" w:hAnsi="Arial" w:cs="Arial"/>
          <w:sz w:val="20"/>
          <w:szCs w:val="20"/>
        </w:rPr>
        <w:t>Uredbe 575/2013/EU;</w:t>
      </w:r>
    </w:p>
    <w:p w14:paraId="5EEC50F5" w14:textId="6E80608D"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določi roke, v katerih morajo banke, razen majhnih in nekompleksnih bank, </w:t>
      </w:r>
      <w:r w:rsidR="00C23E0A" w:rsidRPr="00215B2F">
        <w:rPr>
          <w:rFonts w:ascii="Arial" w:eastAsia="Arial" w:hAnsi="Arial" w:cs="Arial"/>
          <w:sz w:val="20"/>
          <w:szCs w:val="20"/>
        </w:rPr>
        <w:t>Evropskemu bančnemu organu</w:t>
      </w:r>
      <w:r w:rsidRPr="00215B2F">
        <w:rPr>
          <w:rFonts w:ascii="Arial" w:eastAsia="Arial" w:hAnsi="Arial" w:cs="Arial"/>
          <w:sz w:val="20"/>
          <w:szCs w:val="20"/>
        </w:rPr>
        <w:t xml:space="preserve"> predložiti informacije o razkritjih za njihovo objavo na spletni strani </w:t>
      </w:r>
      <w:r w:rsidR="00C23E0A" w:rsidRPr="00215B2F">
        <w:rPr>
          <w:rFonts w:ascii="Arial" w:eastAsia="Arial" w:hAnsi="Arial" w:cs="Arial"/>
          <w:sz w:val="20"/>
          <w:szCs w:val="20"/>
        </w:rPr>
        <w:t>Evropskega bančnega organa</w:t>
      </w:r>
      <w:r w:rsidRPr="00215B2F">
        <w:rPr>
          <w:rFonts w:ascii="Arial" w:eastAsia="Arial" w:hAnsi="Arial" w:cs="Arial"/>
          <w:sz w:val="20"/>
          <w:szCs w:val="20"/>
        </w:rPr>
        <w:t xml:space="preserve"> za centralizirana razkritja;</w:t>
      </w:r>
    </w:p>
    <w:p w14:paraId="549A8C7A" w14:textId="4E04F7C2"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od bank zahteva uporabo posebnih medijev in mest za objave, ki niso spletna stran </w:t>
      </w:r>
      <w:r w:rsidR="00C23E0A" w:rsidRPr="00215B2F">
        <w:rPr>
          <w:rFonts w:ascii="Arial" w:eastAsia="Arial" w:hAnsi="Arial" w:cs="Arial"/>
          <w:sz w:val="20"/>
          <w:szCs w:val="20"/>
        </w:rPr>
        <w:t>Evropskega bančnega organa</w:t>
      </w:r>
      <w:r w:rsidRPr="00215B2F">
        <w:rPr>
          <w:rFonts w:ascii="Arial" w:eastAsia="Arial" w:hAnsi="Arial" w:cs="Arial"/>
          <w:sz w:val="20"/>
          <w:szCs w:val="20"/>
        </w:rPr>
        <w:t xml:space="preserve"> za centralizirana razkritja ali računovodski izkazi bank. </w:t>
      </w:r>
    </w:p>
    <w:p w14:paraId="28E6CD26" w14:textId="77777777" w:rsidR="0059639B" w:rsidRPr="00215B2F" w:rsidRDefault="0059639B" w:rsidP="00FD5520">
      <w:pPr>
        <w:shd w:val="clear" w:color="auto" w:fill="FFFFFF" w:themeFill="background1"/>
        <w:spacing w:after="0" w:line="240" w:lineRule="auto"/>
        <w:jc w:val="both"/>
        <w:rPr>
          <w:rFonts w:ascii="Arial" w:eastAsia="Arial" w:hAnsi="Arial" w:cs="Arial"/>
          <w:sz w:val="20"/>
          <w:szCs w:val="20"/>
        </w:rPr>
      </w:pPr>
    </w:p>
    <w:p w14:paraId="10FC873B" w14:textId="2FA1B51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9639B" w:rsidRPr="00215B2F">
        <w:rPr>
          <w:rFonts w:ascii="Arial" w:eastAsia="Arial" w:hAnsi="Arial" w:cs="Arial"/>
          <w:sz w:val="20"/>
          <w:szCs w:val="20"/>
        </w:rPr>
        <w:t>2</w:t>
      </w:r>
      <w:r w:rsidRPr="00215B2F">
        <w:rPr>
          <w:rFonts w:ascii="Arial" w:eastAsia="Arial" w:hAnsi="Arial" w:cs="Arial"/>
          <w:sz w:val="20"/>
          <w:szCs w:val="20"/>
        </w:rPr>
        <w:t xml:space="preserve">) Banka mora na svojih uradnih spletnih straneh javno pojasniti način izpolnjevanja zahtev, ki so določene s predpisi iz </w:t>
      </w:r>
      <w:r w:rsidR="00702635" w:rsidRPr="00215B2F">
        <w:rPr>
          <w:rFonts w:ascii="Arial" w:eastAsia="Arial" w:hAnsi="Arial" w:cs="Arial"/>
          <w:sz w:val="20"/>
          <w:szCs w:val="20"/>
        </w:rPr>
        <w:t xml:space="preserve">tretjega </w:t>
      </w:r>
      <w:r w:rsidRPr="00215B2F">
        <w:rPr>
          <w:rFonts w:ascii="Arial" w:eastAsia="Arial" w:hAnsi="Arial" w:cs="Arial"/>
          <w:sz w:val="20"/>
          <w:szCs w:val="20"/>
        </w:rPr>
        <w:t xml:space="preserve">odstavka 9.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glede:</w:t>
      </w:r>
    </w:p>
    <w:p w14:paraId="42F6A5F4"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1C3FD87E" w14:textId="77777777" w:rsidR="00895214" w:rsidRPr="00215B2F" w:rsidRDefault="00D91782">
      <w:pPr>
        <w:pStyle w:val="tevilnatoka"/>
        <w:numPr>
          <w:ilvl w:val="0"/>
          <w:numId w:val="89"/>
        </w:numPr>
        <w:shd w:val="clear" w:color="auto" w:fill="FFFFFF" w:themeFill="background1"/>
        <w:tabs>
          <w:tab w:val="clear" w:pos="425"/>
        </w:tabs>
        <w:rPr>
          <w:rFonts w:cs="Arial"/>
          <w:bCs/>
          <w:sz w:val="20"/>
          <w:szCs w:val="20"/>
        </w:rPr>
      </w:pPr>
      <w:r w:rsidRPr="00215B2F">
        <w:rPr>
          <w:rFonts w:eastAsia="Arial" w:cs="Arial"/>
          <w:sz w:val="20"/>
          <w:szCs w:val="20"/>
        </w:rPr>
        <w:t>ureditve notranjega upravljanja banke in organizacijske strukture banke;</w:t>
      </w:r>
    </w:p>
    <w:p w14:paraId="10803C6E" w14:textId="166442E4" w:rsidR="00895214" w:rsidRPr="00215B2F" w:rsidRDefault="00D91782">
      <w:pPr>
        <w:pStyle w:val="tevilnatoka"/>
        <w:numPr>
          <w:ilvl w:val="0"/>
          <w:numId w:val="89"/>
        </w:numPr>
        <w:shd w:val="clear" w:color="auto" w:fill="FFFFFF" w:themeFill="background1"/>
        <w:tabs>
          <w:tab w:val="clear" w:pos="425"/>
        </w:tabs>
        <w:rPr>
          <w:rFonts w:cs="Arial"/>
          <w:bCs/>
          <w:sz w:val="20"/>
          <w:szCs w:val="20"/>
        </w:rPr>
      </w:pPr>
      <w:r w:rsidRPr="00215B2F">
        <w:rPr>
          <w:rFonts w:eastAsia="Arial" w:cs="Arial"/>
          <w:sz w:val="20"/>
          <w:szCs w:val="20"/>
        </w:rPr>
        <w:t xml:space="preserve">politike izbora članov upravljalnega organa iz </w:t>
      </w:r>
      <w:r w:rsidR="0009709B" w:rsidRPr="00215B2F">
        <w:rPr>
          <w:rFonts w:eastAsia="Arial" w:cs="Arial"/>
          <w:sz w:val="20"/>
          <w:szCs w:val="20"/>
        </w:rPr>
        <w:t>41</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ter</w:t>
      </w:r>
    </w:p>
    <w:p w14:paraId="3CAC1D0E" w14:textId="47319DC2" w:rsidR="00D91782" w:rsidRPr="00215B2F" w:rsidRDefault="00D91782">
      <w:pPr>
        <w:pStyle w:val="tevilnatoka"/>
        <w:numPr>
          <w:ilvl w:val="0"/>
          <w:numId w:val="89"/>
        </w:numPr>
        <w:shd w:val="clear" w:color="auto" w:fill="FFFFFF" w:themeFill="background1"/>
        <w:tabs>
          <w:tab w:val="clear" w:pos="425"/>
        </w:tabs>
        <w:rPr>
          <w:rFonts w:cs="Arial"/>
          <w:bCs/>
          <w:sz w:val="20"/>
          <w:szCs w:val="20"/>
        </w:rPr>
      </w:pPr>
      <w:r w:rsidRPr="00215B2F">
        <w:rPr>
          <w:rFonts w:eastAsia="Arial" w:cs="Arial"/>
          <w:sz w:val="20"/>
          <w:szCs w:val="20"/>
        </w:rPr>
        <w:t xml:space="preserve">politike prejemkov iz </w:t>
      </w:r>
      <w:r w:rsidR="0009709B" w:rsidRPr="00215B2F">
        <w:rPr>
          <w:rFonts w:eastAsia="Arial" w:cs="Arial"/>
          <w:sz w:val="20"/>
          <w:szCs w:val="20"/>
        </w:rPr>
        <w:t>220</w:t>
      </w:r>
      <w:r w:rsidRPr="00215B2F">
        <w:rPr>
          <w:rFonts w:eastAsia="Arial" w:cs="Arial"/>
          <w:sz w:val="20"/>
          <w:szCs w:val="20"/>
        </w:rPr>
        <w:t xml:space="preserve">. do </w:t>
      </w:r>
      <w:r w:rsidR="0009709B" w:rsidRPr="00215B2F">
        <w:rPr>
          <w:rFonts w:eastAsia="Arial" w:cs="Arial"/>
          <w:sz w:val="20"/>
          <w:szCs w:val="20"/>
        </w:rPr>
        <w:t>222</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7E5390B6"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31E37C87" w14:textId="709D10E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9639B" w:rsidRPr="00215B2F">
        <w:rPr>
          <w:rFonts w:ascii="Arial" w:eastAsia="Arial" w:hAnsi="Arial" w:cs="Arial"/>
          <w:sz w:val="20"/>
          <w:szCs w:val="20"/>
        </w:rPr>
        <w:t>3</w:t>
      </w:r>
      <w:r w:rsidRPr="00215B2F">
        <w:rPr>
          <w:rFonts w:ascii="Arial" w:eastAsia="Arial" w:hAnsi="Arial" w:cs="Arial"/>
          <w:sz w:val="20"/>
          <w:szCs w:val="20"/>
        </w:rPr>
        <w:t xml:space="preserve">) Nadrejena banka v Republiki Sloveniji mora letno javno objaviti na svojih uradnih spletnih straneh opis pravne in organizacijske strukture bančne skupine, vključno z opisom ureditve notranjega upravljanja v skladu s </w:t>
      </w:r>
      <w:r w:rsidR="0009709B" w:rsidRPr="00215B2F">
        <w:rPr>
          <w:rFonts w:ascii="Arial" w:eastAsia="Arial" w:hAnsi="Arial" w:cs="Arial"/>
          <w:sz w:val="20"/>
          <w:szCs w:val="20"/>
        </w:rPr>
        <w:t>177</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ureditve glede razmer</w:t>
      </w:r>
      <w:r w:rsidR="0096128E" w:rsidRPr="00215B2F">
        <w:rPr>
          <w:rFonts w:ascii="Arial" w:eastAsia="Arial" w:hAnsi="Arial" w:cs="Arial"/>
          <w:sz w:val="20"/>
          <w:szCs w:val="20"/>
        </w:rPr>
        <w:t>i</w:t>
      </w:r>
      <w:r w:rsidRPr="00215B2F">
        <w:rPr>
          <w:rFonts w:ascii="Arial" w:eastAsia="Arial" w:hAnsi="Arial" w:cs="Arial"/>
          <w:sz w:val="20"/>
          <w:szCs w:val="20"/>
        </w:rPr>
        <w:t xml:space="preserve">j tesne povezanosti in ureditve upravljanja v podrejenih družbah v skladu s </w:t>
      </w:r>
      <w:r w:rsidR="000B7B47" w:rsidRPr="00215B2F">
        <w:rPr>
          <w:rFonts w:ascii="Arial" w:eastAsia="Arial" w:hAnsi="Arial" w:cs="Arial"/>
          <w:sz w:val="20"/>
          <w:szCs w:val="20"/>
        </w:rPr>
        <w:t>183</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ali se namesto objave tega opisa sklicevati na enakovredne informacije.</w:t>
      </w:r>
    </w:p>
    <w:bookmarkEnd w:id="170"/>
    <w:bookmarkEnd w:id="171"/>
    <w:p w14:paraId="7F2D03B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CF52214"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72" w:name="_Ref202964059"/>
      <w:r w:rsidRPr="00215B2F">
        <w:rPr>
          <w:rFonts w:ascii="Arial" w:eastAsia="Arial" w:hAnsi="Arial" w:cs="Arial"/>
          <w:b/>
          <w:bCs/>
          <w:sz w:val="20"/>
          <w:szCs w:val="20"/>
        </w:rPr>
        <w:t>člen</w:t>
      </w:r>
      <w:bookmarkEnd w:id="172"/>
    </w:p>
    <w:p w14:paraId="43127115" w14:textId="77777777" w:rsidR="00D91782" w:rsidRPr="00215B2F" w:rsidRDefault="00D91782" w:rsidP="00FD5520">
      <w:pPr>
        <w:pStyle w:val="Slog1"/>
        <w:shd w:val="clear" w:color="auto" w:fill="FFFFFF" w:themeFill="background1"/>
        <w:rPr>
          <w:sz w:val="20"/>
          <w:szCs w:val="20"/>
        </w:rPr>
      </w:pPr>
      <w:r w:rsidRPr="00215B2F">
        <w:rPr>
          <w:sz w:val="20"/>
          <w:szCs w:val="20"/>
        </w:rPr>
        <w:t>(predložitev letnega poročila Banki Slovenije)</w:t>
      </w:r>
    </w:p>
    <w:p w14:paraId="35891C6E" w14:textId="77777777" w:rsidR="00D91782" w:rsidRPr="00215B2F" w:rsidRDefault="00D91782" w:rsidP="00FD5520">
      <w:pPr>
        <w:pStyle w:val="Slog1"/>
        <w:shd w:val="clear" w:color="auto" w:fill="FFFFFF" w:themeFill="background1"/>
        <w:jc w:val="both"/>
        <w:rPr>
          <w:sz w:val="20"/>
          <w:szCs w:val="20"/>
        </w:rPr>
      </w:pPr>
    </w:p>
    <w:p w14:paraId="68146DB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mora v osmih dneh po prejemu revizorjevega poročila, vendar ne pozneje kot v štirih mesecih po koncu koledarskega leta, Banki Slovenije predložiti:</w:t>
      </w:r>
    </w:p>
    <w:p w14:paraId="5F5A9EDE"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C851EEA" w14:textId="00E34A77" w:rsidR="00895214" w:rsidRPr="00215B2F" w:rsidRDefault="00D91782">
      <w:pPr>
        <w:pStyle w:val="tevilnatoka"/>
        <w:numPr>
          <w:ilvl w:val="0"/>
          <w:numId w:val="90"/>
        </w:numPr>
        <w:shd w:val="clear" w:color="auto" w:fill="FFFFFF" w:themeFill="background1"/>
        <w:tabs>
          <w:tab w:val="clear" w:pos="425"/>
        </w:tabs>
        <w:rPr>
          <w:rFonts w:cs="Arial"/>
          <w:bCs/>
          <w:sz w:val="20"/>
          <w:szCs w:val="20"/>
        </w:rPr>
      </w:pPr>
      <w:r w:rsidRPr="00215B2F">
        <w:rPr>
          <w:rFonts w:eastAsia="Arial" w:cs="Arial"/>
          <w:sz w:val="20"/>
          <w:szCs w:val="20"/>
        </w:rPr>
        <w:t>letno poročilo</w:t>
      </w:r>
      <w:r w:rsidR="0096128E" w:rsidRPr="00215B2F">
        <w:rPr>
          <w:rFonts w:eastAsia="Arial" w:cs="Arial"/>
          <w:sz w:val="20"/>
          <w:szCs w:val="20"/>
        </w:rPr>
        <w:t>,</w:t>
      </w:r>
    </w:p>
    <w:p w14:paraId="696DC4EF" w14:textId="2AAC74AC" w:rsidR="00895214" w:rsidRPr="00215B2F" w:rsidRDefault="00D91782">
      <w:pPr>
        <w:pStyle w:val="tevilnatoka"/>
        <w:numPr>
          <w:ilvl w:val="0"/>
          <w:numId w:val="90"/>
        </w:numPr>
        <w:shd w:val="clear" w:color="auto" w:fill="FFFFFF" w:themeFill="background1"/>
        <w:tabs>
          <w:tab w:val="clear" w:pos="425"/>
        </w:tabs>
        <w:rPr>
          <w:rFonts w:cs="Arial"/>
          <w:bCs/>
          <w:sz w:val="20"/>
          <w:szCs w:val="20"/>
        </w:rPr>
      </w:pPr>
      <w:r w:rsidRPr="00215B2F">
        <w:rPr>
          <w:rFonts w:eastAsia="Arial" w:cs="Arial"/>
          <w:sz w:val="20"/>
          <w:szCs w:val="20"/>
        </w:rPr>
        <w:t>revizorjevo poročilo o računovodskih izkazih iz drugega odstavka 57. člena ZGD-1</w:t>
      </w:r>
      <w:r w:rsidR="0096128E" w:rsidRPr="00215B2F">
        <w:rPr>
          <w:rFonts w:eastAsia="Arial" w:cs="Arial"/>
          <w:sz w:val="20"/>
          <w:szCs w:val="20"/>
        </w:rPr>
        <w:t>,</w:t>
      </w:r>
    </w:p>
    <w:p w14:paraId="080EF657" w14:textId="342ACFAC" w:rsidR="00D91782" w:rsidRPr="00215B2F" w:rsidRDefault="00D91782">
      <w:pPr>
        <w:pStyle w:val="tevilnatoka"/>
        <w:numPr>
          <w:ilvl w:val="0"/>
          <w:numId w:val="90"/>
        </w:numPr>
        <w:shd w:val="clear" w:color="auto" w:fill="FFFFFF" w:themeFill="background1"/>
        <w:tabs>
          <w:tab w:val="clear" w:pos="425"/>
        </w:tabs>
        <w:rPr>
          <w:rFonts w:cs="Arial"/>
          <w:bCs/>
          <w:sz w:val="20"/>
          <w:szCs w:val="20"/>
        </w:rPr>
      </w:pPr>
      <w:r w:rsidRPr="00215B2F">
        <w:rPr>
          <w:rFonts w:eastAsia="Arial" w:cs="Arial"/>
          <w:sz w:val="20"/>
          <w:szCs w:val="20"/>
        </w:rPr>
        <w:t>in kadar je to ustrezno, revizorjevo poročilo o dajanju zagotovil o trajnostnosti iz tretjega odstavka 57. člena ZGD-1.</w:t>
      </w:r>
    </w:p>
    <w:p w14:paraId="4477FA61"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10D2B0B" w14:textId="3504C23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Če mora banka pripraviti konsolidirano letno poročilo, se za predložitev, revizijski pregled in objavo konsolidiranega letnega poročila smiselno uporabljajo prejšnji odstavek </w:t>
      </w:r>
      <w:r w:rsidR="0096128E" w:rsidRPr="00215B2F">
        <w:rPr>
          <w:rFonts w:ascii="Arial" w:eastAsia="Arial" w:hAnsi="Arial" w:cs="Arial"/>
          <w:sz w:val="20"/>
          <w:szCs w:val="20"/>
        </w:rPr>
        <w:t xml:space="preserve">ter </w:t>
      </w:r>
      <w:r w:rsidR="000B7B47" w:rsidRPr="00215B2F">
        <w:rPr>
          <w:rFonts w:ascii="Arial" w:eastAsia="Arial" w:hAnsi="Arial" w:cs="Arial"/>
          <w:sz w:val="20"/>
          <w:szCs w:val="20"/>
        </w:rPr>
        <w:t>133</w:t>
      </w:r>
      <w:r w:rsidRPr="00215B2F">
        <w:rPr>
          <w:rFonts w:ascii="Arial" w:eastAsia="Arial" w:hAnsi="Arial" w:cs="Arial"/>
          <w:sz w:val="20"/>
          <w:szCs w:val="20"/>
        </w:rPr>
        <w:t xml:space="preserve">. do </w:t>
      </w:r>
      <w:r w:rsidR="000B7B47" w:rsidRPr="00215B2F">
        <w:rPr>
          <w:rFonts w:ascii="Arial" w:eastAsia="Arial" w:hAnsi="Arial" w:cs="Arial"/>
          <w:sz w:val="20"/>
          <w:szCs w:val="20"/>
        </w:rPr>
        <w:t>135</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w:t>
      </w:r>
    </w:p>
    <w:p w14:paraId="31390AC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45E6C12"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73" w:name="_Ref202964088"/>
      <w:r w:rsidRPr="00215B2F">
        <w:rPr>
          <w:rFonts w:ascii="Arial" w:eastAsia="Arial" w:hAnsi="Arial" w:cs="Arial"/>
          <w:b/>
          <w:bCs/>
          <w:sz w:val="20"/>
          <w:szCs w:val="20"/>
        </w:rPr>
        <w:t>člen</w:t>
      </w:r>
      <w:bookmarkEnd w:id="173"/>
    </w:p>
    <w:p w14:paraId="6AE00F83" w14:textId="77777777" w:rsidR="00D91782" w:rsidRPr="00215B2F" w:rsidRDefault="00D91782" w:rsidP="00FD5520">
      <w:pPr>
        <w:pStyle w:val="Slog1"/>
        <w:shd w:val="clear" w:color="auto" w:fill="FFFFFF" w:themeFill="background1"/>
        <w:rPr>
          <w:sz w:val="20"/>
          <w:szCs w:val="20"/>
        </w:rPr>
      </w:pPr>
      <w:r w:rsidRPr="00215B2F">
        <w:rPr>
          <w:sz w:val="20"/>
          <w:szCs w:val="20"/>
        </w:rPr>
        <w:t>(dodatna pravila o revizijskem pregledu)</w:t>
      </w:r>
    </w:p>
    <w:p w14:paraId="30BFFE64" w14:textId="77777777" w:rsidR="00D91782" w:rsidRPr="00215B2F" w:rsidRDefault="00D91782" w:rsidP="00FD5520">
      <w:pPr>
        <w:pStyle w:val="Slog1"/>
        <w:shd w:val="clear" w:color="auto" w:fill="FFFFFF" w:themeFill="background1"/>
        <w:jc w:val="both"/>
        <w:rPr>
          <w:sz w:val="20"/>
          <w:szCs w:val="20"/>
        </w:rPr>
      </w:pPr>
    </w:p>
    <w:p w14:paraId="508F0816" w14:textId="13668DE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Za revizijski pregled letnega poročila banke in revizorjevi poročili iz </w:t>
      </w:r>
      <w:r w:rsidR="00746E88" w:rsidRPr="00215B2F">
        <w:rPr>
          <w:rFonts w:ascii="Arial" w:eastAsia="Arial" w:hAnsi="Arial" w:cs="Arial"/>
          <w:sz w:val="20"/>
          <w:szCs w:val="20"/>
        </w:rPr>
        <w:t>prejšnjega člena</w:t>
      </w:r>
      <w:r w:rsidRPr="00215B2F">
        <w:rPr>
          <w:rFonts w:ascii="Arial" w:eastAsia="Arial" w:hAnsi="Arial" w:cs="Arial"/>
          <w:sz w:val="20"/>
          <w:szCs w:val="20"/>
        </w:rPr>
        <w:t xml:space="preserve"> se uporabljajo prvi, drugi in tretji odstavek 57. člena ZGD-1.</w:t>
      </w:r>
    </w:p>
    <w:p w14:paraId="66E7F773"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1A3611F4" w14:textId="4E712D6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Za revizijski pregled letnega poročila iz prejšnjega odstavka imenuje banka revizijsko družbo za obdobje, ki ne sme biti krajše od treh poslovnih let. Revizijski pregled letnega poročila banke lahko opravlja posamezna revizijska družba neprekinjeno za največ deset poslovnih let s prekinitvijo za obdobje najmanj naslednjih štirih poslovnih let.</w:t>
      </w:r>
    </w:p>
    <w:p w14:paraId="12D9F3F8"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275B8EF1" w14:textId="2738F5D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Prejšnji odstavek se ne uporablja za banke in hranilnice, ki so v skladu z Uredbo (EU) št. 537/2014 Evropskega parlamenta in Sveta z dne 16. aprila 2014 o posebnih zahtevah v zvezi z obvezno revizijo subjektov javnega interesa in razveljavitvi Sklepa Komisije 2005/909/ES, zadnjič spremenjen</w:t>
      </w:r>
      <w:r w:rsidR="0096128E" w:rsidRPr="00215B2F">
        <w:rPr>
          <w:rFonts w:ascii="Arial" w:eastAsia="Arial" w:hAnsi="Arial" w:cs="Arial"/>
          <w:sz w:val="20"/>
          <w:szCs w:val="20"/>
        </w:rPr>
        <w:t>o</w:t>
      </w:r>
      <w:r w:rsidRPr="00215B2F">
        <w:rPr>
          <w:rFonts w:ascii="Arial" w:eastAsia="Arial" w:hAnsi="Arial" w:cs="Arial"/>
          <w:sz w:val="20"/>
          <w:szCs w:val="20"/>
        </w:rPr>
        <w:t xml:space="preserve"> z Uredbo (EU) 2023/2869 Evropskega parlamenta in Sveta z dne 13. decembra 2023 </w:t>
      </w:r>
      <w:r w:rsidR="007F5412" w:rsidRPr="00215B2F">
        <w:rPr>
          <w:rFonts w:ascii="Arial" w:eastAsia="Arial" w:hAnsi="Arial" w:cs="Arial"/>
          <w:sz w:val="20"/>
          <w:szCs w:val="20"/>
        </w:rPr>
        <w:t xml:space="preserve">o spremembi nekaterih uredb glede vzpostavitve in delovanja evropske enotne točke dostopa </w:t>
      </w:r>
      <w:r w:rsidRPr="00215B2F">
        <w:rPr>
          <w:rFonts w:ascii="Arial" w:eastAsia="Arial" w:hAnsi="Arial" w:cs="Arial"/>
          <w:sz w:val="20"/>
          <w:szCs w:val="20"/>
        </w:rPr>
        <w:t xml:space="preserve">(UL L </w:t>
      </w:r>
      <w:r w:rsidR="007F5412" w:rsidRPr="00215B2F">
        <w:rPr>
          <w:rFonts w:ascii="Arial" w:eastAsia="Arial" w:hAnsi="Arial" w:cs="Arial"/>
          <w:sz w:val="20"/>
          <w:szCs w:val="20"/>
        </w:rPr>
        <w:t>2023/</w:t>
      </w:r>
      <w:r w:rsidRPr="00215B2F">
        <w:rPr>
          <w:rFonts w:ascii="Arial" w:eastAsia="Arial" w:hAnsi="Arial" w:cs="Arial"/>
          <w:sz w:val="20"/>
          <w:szCs w:val="20"/>
        </w:rPr>
        <w:t>2869 z dne 20.</w:t>
      </w:r>
      <w:r w:rsidR="0096128E" w:rsidRPr="00215B2F">
        <w:rPr>
          <w:rFonts w:ascii="Arial" w:eastAsia="Arial" w:hAnsi="Arial" w:cs="Arial"/>
          <w:sz w:val="20"/>
          <w:szCs w:val="20"/>
        </w:rPr>
        <w:t> </w:t>
      </w:r>
      <w:r w:rsidRPr="00215B2F">
        <w:rPr>
          <w:rFonts w:ascii="Arial" w:eastAsia="Arial" w:hAnsi="Arial" w:cs="Arial"/>
          <w:sz w:val="20"/>
          <w:szCs w:val="20"/>
        </w:rPr>
        <w:t>12.</w:t>
      </w:r>
      <w:r w:rsidR="0096128E" w:rsidRPr="00215B2F">
        <w:rPr>
          <w:rFonts w:ascii="Arial" w:eastAsia="Arial" w:hAnsi="Arial" w:cs="Arial"/>
          <w:sz w:val="20"/>
          <w:szCs w:val="20"/>
        </w:rPr>
        <w:t> </w:t>
      </w:r>
      <w:r w:rsidRPr="00215B2F">
        <w:rPr>
          <w:rFonts w:ascii="Arial" w:eastAsia="Arial" w:hAnsi="Arial" w:cs="Arial"/>
          <w:sz w:val="20"/>
          <w:szCs w:val="20"/>
        </w:rPr>
        <w:t>2023)</w:t>
      </w:r>
      <w:r w:rsidR="0096128E" w:rsidRPr="00215B2F">
        <w:rPr>
          <w:rFonts w:ascii="Arial" w:eastAsia="Arial" w:hAnsi="Arial" w:cs="Arial"/>
          <w:sz w:val="20"/>
          <w:szCs w:val="20"/>
        </w:rPr>
        <w:t>,</w:t>
      </w:r>
      <w:r w:rsidRPr="00215B2F">
        <w:rPr>
          <w:rFonts w:ascii="Arial" w:eastAsia="Arial" w:hAnsi="Arial" w:cs="Arial"/>
          <w:sz w:val="20"/>
          <w:szCs w:val="20"/>
        </w:rPr>
        <w:t xml:space="preserve"> subjekt javnega interesa.</w:t>
      </w:r>
    </w:p>
    <w:p w14:paraId="2E16C8F6"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7E876A18" w14:textId="15B7251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ali revizijska družba lahko odpove pogodbo o revizijskem pregledu iz 57. člena ZGD-1 pred potekom pogodbeno dogovorjenega roka le na podlagi utemeljenih razlogov. Različna mnenja o </w:t>
      </w:r>
      <w:r w:rsidRPr="00215B2F">
        <w:rPr>
          <w:rFonts w:ascii="Arial" w:eastAsia="Arial" w:hAnsi="Arial" w:cs="Arial"/>
          <w:sz w:val="20"/>
          <w:szCs w:val="20"/>
        </w:rPr>
        <w:lastRenderedPageBreak/>
        <w:t>računovodskih obravnavah ali revizijskih postopkih niso utemeljeni razlogi za odpoved pogodbe. Pogodba o revizijskem pregledu se odpoveduje sodno. Uprava banke lahko pogodbo o revizijskem pregledu odpove pred potekom pogodbeno dogovorjenega roka le s soglasjem nadzornega sveta in po posvetovanju z revizijsko komisijo.</w:t>
      </w:r>
    </w:p>
    <w:p w14:paraId="54C49C90"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2BFE23EA" w14:textId="06570E1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Banka mora pisno obvestiti Banko Slovenije o razrešitvi ali o odstopu revizijske družbe pred pogodbeno dogovorjenim rokom in ustrezno pojasniti razloge za razrešitev ali odstop.</w:t>
      </w:r>
    </w:p>
    <w:p w14:paraId="62DAFE34"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FB491F6" w14:textId="1899E46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Banka Slovenije lahko od revizijske družbe zahteva dodatna pojasnila v zvezi z revizijskim pregledom.</w:t>
      </w:r>
    </w:p>
    <w:p w14:paraId="22E0794B"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5D506EEB" w14:textId="1B29850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(7) Če revizijski pregled ni opravljen oziroma revizorjevi poročili nista pripravljeni v skladu s 57. členom ZGD-1, lahko Banka Slovenije zahteva dopolnitev ali popravek pregleda ali poročil.</w:t>
      </w:r>
    </w:p>
    <w:p w14:paraId="71BC246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9CE81DA"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74" w:name="_Ref202964095"/>
      <w:r w:rsidRPr="00215B2F">
        <w:rPr>
          <w:rFonts w:ascii="Arial" w:eastAsia="Arial" w:hAnsi="Arial" w:cs="Arial"/>
          <w:b/>
          <w:bCs/>
          <w:sz w:val="20"/>
          <w:szCs w:val="20"/>
        </w:rPr>
        <w:t>člen</w:t>
      </w:r>
      <w:bookmarkEnd w:id="174"/>
    </w:p>
    <w:p w14:paraId="743FBEBB" w14:textId="77777777" w:rsidR="00D91782" w:rsidRPr="00215B2F" w:rsidRDefault="00D91782" w:rsidP="00FD5520">
      <w:pPr>
        <w:pStyle w:val="Slog1"/>
        <w:shd w:val="clear" w:color="auto" w:fill="FFFFFF" w:themeFill="background1"/>
        <w:rPr>
          <w:sz w:val="20"/>
          <w:szCs w:val="20"/>
        </w:rPr>
      </w:pPr>
      <w:r w:rsidRPr="00215B2F">
        <w:rPr>
          <w:sz w:val="20"/>
          <w:szCs w:val="20"/>
        </w:rPr>
        <w:t>(obveznosti revizijske družbe v razmerju do Banke Slovenije)</w:t>
      </w:r>
    </w:p>
    <w:p w14:paraId="4C8505B1" w14:textId="77777777" w:rsidR="00D91782" w:rsidRPr="00215B2F" w:rsidRDefault="00D91782" w:rsidP="00FD5520">
      <w:pPr>
        <w:pStyle w:val="Slog1"/>
        <w:shd w:val="clear" w:color="auto" w:fill="FFFFFF" w:themeFill="background1"/>
        <w:rPr>
          <w:sz w:val="20"/>
          <w:szCs w:val="20"/>
        </w:rPr>
      </w:pPr>
    </w:p>
    <w:p w14:paraId="26383796" w14:textId="049E7B9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Revizijska družba, ki opravlja revizijski pregled letnega poročila banke, mora Banko Slovenije nemudoma obvestiti o vsakem dejstvu ali okoliščini, ki jo je ugotovila pri revizijskem pregledu in ki lahko pomeni enega od teh položajev:</w:t>
      </w:r>
    </w:p>
    <w:p w14:paraId="5E9F2A60"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087E8284" w14:textId="7BDA4AB8" w:rsidR="00895214" w:rsidRPr="00215B2F" w:rsidRDefault="00D91782">
      <w:pPr>
        <w:pStyle w:val="tevilnatoka"/>
        <w:numPr>
          <w:ilvl w:val="0"/>
          <w:numId w:val="91"/>
        </w:numPr>
        <w:shd w:val="clear" w:color="auto" w:fill="FFFFFF" w:themeFill="background1"/>
        <w:tabs>
          <w:tab w:val="clear" w:pos="425"/>
        </w:tabs>
        <w:rPr>
          <w:rFonts w:cs="Arial"/>
          <w:bCs/>
          <w:sz w:val="20"/>
          <w:szCs w:val="20"/>
        </w:rPr>
      </w:pPr>
      <w:r w:rsidRPr="00215B2F">
        <w:rPr>
          <w:rFonts w:eastAsia="Arial" w:cs="Arial"/>
          <w:sz w:val="20"/>
          <w:szCs w:val="20"/>
        </w:rPr>
        <w:t xml:space="preserve">pomembno kršitev predpisov iz </w:t>
      </w:r>
      <w:r w:rsidR="00702635" w:rsidRPr="00215B2F">
        <w:rPr>
          <w:rFonts w:eastAsia="Arial" w:cs="Arial"/>
          <w:sz w:val="20"/>
          <w:szCs w:val="20"/>
        </w:rPr>
        <w:t xml:space="preserve">tretjega </w:t>
      </w:r>
      <w:r w:rsidRPr="00215B2F">
        <w:rPr>
          <w:rFonts w:eastAsia="Arial" w:cs="Arial"/>
          <w:sz w:val="20"/>
          <w:szCs w:val="20"/>
        </w:rPr>
        <w:t xml:space="preserve">odstavka 9. </w:t>
      </w:r>
      <w:r w:rsidR="001F2C7A" w:rsidRPr="00215B2F">
        <w:rPr>
          <w:rFonts w:eastAsia="Arial" w:cs="Arial"/>
          <w:sz w:val="20"/>
          <w:szCs w:val="20"/>
        </w:rPr>
        <w:t>člena tega zakona</w:t>
      </w:r>
      <w:r w:rsidRPr="00215B2F">
        <w:rPr>
          <w:rFonts w:eastAsia="Arial" w:cs="Arial"/>
          <w:sz w:val="20"/>
          <w:szCs w:val="20"/>
        </w:rPr>
        <w:t>;</w:t>
      </w:r>
    </w:p>
    <w:p w14:paraId="0B7C5DF8" w14:textId="4EF8BE20" w:rsidR="00895214" w:rsidRPr="00215B2F" w:rsidRDefault="00D91782" w:rsidP="00543D80">
      <w:pPr>
        <w:pStyle w:val="tevilnatoka"/>
        <w:rPr>
          <w:rFonts w:cs="Arial"/>
          <w:bCs/>
          <w:sz w:val="20"/>
          <w:szCs w:val="20"/>
        </w:rPr>
      </w:pPr>
      <w:r w:rsidRPr="00215B2F">
        <w:rPr>
          <w:rFonts w:eastAsia="Arial" w:cs="Arial"/>
          <w:sz w:val="20"/>
          <w:szCs w:val="20"/>
        </w:rPr>
        <w:t>lahko vpliva na nemoteno poslovanje banke ali</w:t>
      </w:r>
    </w:p>
    <w:p w14:paraId="47F942BE" w14:textId="7BD73E42" w:rsidR="00D91782" w:rsidRPr="00215B2F" w:rsidRDefault="00D91782" w:rsidP="00543D80">
      <w:pPr>
        <w:pStyle w:val="tevilnatoka"/>
        <w:rPr>
          <w:rFonts w:cs="Arial"/>
          <w:bCs/>
          <w:sz w:val="20"/>
          <w:szCs w:val="20"/>
        </w:rPr>
      </w:pPr>
      <w:r w:rsidRPr="00215B2F">
        <w:rPr>
          <w:rFonts w:eastAsia="Arial" w:cs="Arial"/>
          <w:sz w:val="20"/>
          <w:szCs w:val="20"/>
        </w:rPr>
        <w:t>lahko privede do revizorjevega mnenja s pridržkom, odklonilnega mnenja ali zavrnitve izdelave mnenja.</w:t>
      </w:r>
    </w:p>
    <w:p w14:paraId="34E782E3"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08242D3" w14:textId="702ACC2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Obveznost iz prejšnjega odstavka velja tudi za dejstva ali okoliščine v zvezi z družbo, ki je v razmerju tesne povezanosti z banko na podlagi obvladovanja.</w:t>
      </w:r>
    </w:p>
    <w:p w14:paraId="468179CF"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604A5D49" w14:textId="37A2C32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Revizijska družba mora Banki Slovenije na njeno zahtevo pos</w:t>
      </w:r>
      <w:r w:rsidR="00711879" w:rsidRPr="00215B2F">
        <w:rPr>
          <w:rFonts w:ascii="Arial" w:eastAsia="Arial" w:hAnsi="Arial" w:cs="Arial"/>
          <w:sz w:val="20"/>
          <w:szCs w:val="20"/>
        </w:rPr>
        <w:t>l</w:t>
      </w:r>
      <w:r w:rsidRPr="00215B2F">
        <w:rPr>
          <w:rFonts w:ascii="Arial" w:eastAsia="Arial" w:hAnsi="Arial" w:cs="Arial"/>
          <w:sz w:val="20"/>
          <w:szCs w:val="20"/>
        </w:rPr>
        <w:t>ati tudi druge podatke, ki jih Banka Slovenije potrebuje pri opravljanju nadzora nad banko v skladu s tem zakonom.</w:t>
      </w:r>
    </w:p>
    <w:p w14:paraId="48DFF20F" w14:textId="77777777" w:rsidR="002B689C" w:rsidRPr="00215B2F" w:rsidRDefault="002B689C" w:rsidP="00FD5520">
      <w:pPr>
        <w:shd w:val="clear" w:color="auto" w:fill="FFFFFF" w:themeFill="background1"/>
        <w:spacing w:after="0" w:line="240" w:lineRule="auto"/>
        <w:jc w:val="both"/>
        <w:rPr>
          <w:rStyle w:val="Slog1Znak"/>
          <w:b w:val="0"/>
          <w:bCs w:val="0"/>
          <w:sz w:val="20"/>
          <w:szCs w:val="20"/>
        </w:rPr>
      </w:pPr>
    </w:p>
    <w:p w14:paraId="1FE9A20C" w14:textId="745AD4F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Style w:val="Slog1Znak"/>
          <w:b w:val="0"/>
          <w:bCs w:val="0"/>
          <w:sz w:val="20"/>
          <w:szCs w:val="20"/>
        </w:rPr>
        <w:t>(4) Po</w:t>
      </w:r>
      <w:r w:rsidR="00711879" w:rsidRPr="00215B2F">
        <w:rPr>
          <w:rStyle w:val="Slog1Znak"/>
          <w:b w:val="0"/>
          <w:bCs w:val="0"/>
          <w:sz w:val="20"/>
          <w:szCs w:val="20"/>
        </w:rPr>
        <w:t>šilj</w:t>
      </w:r>
      <w:r w:rsidRPr="00215B2F">
        <w:rPr>
          <w:rStyle w:val="Slog1Znak"/>
          <w:b w:val="0"/>
          <w:bCs w:val="0"/>
          <w:sz w:val="20"/>
          <w:szCs w:val="20"/>
        </w:rPr>
        <w:t xml:space="preserve">anje podatkov Banki Slovenije </w:t>
      </w:r>
      <w:r w:rsidR="009E5B76" w:rsidRPr="00215B2F">
        <w:rPr>
          <w:rStyle w:val="Slog1Znak"/>
          <w:b w:val="0"/>
          <w:bCs w:val="0"/>
          <w:sz w:val="20"/>
          <w:szCs w:val="20"/>
        </w:rPr>
        <w:t xml:space="preserve">v skladu s prvim </w:t>
      </w:r>
      <w:r w:rsidRPr="00215B2F">
        <w:rPr>
          <w:rStyle w:val="Slog1Znak"/>
          <w:b w:val="0"/>
          <w:bCs w:val="0"/>
          <w:sz w:val="20"/>
          <w:szCs w:val="20"/>
        </w:rPr>
        <w:t xml:space="preserve">do </w:t>
      </w:r>
      <w:r w:rsidR="009E5B76" w:rsidRPr="00215B2F">
        <w:rPr>
          <w:rStyle w:val="Slog1Znak"/>
          <w:b w:val="0"/>
          <w:bCs w:val="0"/>
          <w:sz w:val="20"/>
          <w:szCs w:val="20"/>
        </w:rPr>
        <w:t xml:space="preserve">tretjim odstavkom </w:t>
      </w:r>
      <w:r w:rsidRPr="00215B2F">
        <w:rPr>
          <w:rStyle w:val="Slog1Znak"/>
          <w:b w:val="0"/>
          <w:bCs w:val="0"/>
          <w:sz w:val="20"/>
          <w:szCs w:val="20"/>
        </w:rPr>
        <w:t>tega člena nima</w:t>
      </w:r>
      <w:r w:rsidRPr="00215B2F">
        <w:rPr>
          <w:rFonts w:ascii="Arial" w:eastAsia="Arial" w:hAnsi="Arial" w:cs="Arial"/>
          <w:sz w:val="20"/>
          <w:szCs w:val="20"/>
        </w:rPr>
        <w:t xml:space="preserve"> značilnosti kršitve revizorjeve obveznosti varovanja zaupnih podatkov po zakonu, ki ureja revidiranje, ali na podlagi pogodbe.</w:t>
      </w:r>
    </w:p>
    <w:p w14:paraId="7B9BB01C"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60FA68BF" w14:textId="132B34F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Če revizijska družba krši obveznosti iz tega člena, lahko Banka Slovenije od banke zahteva, da imenuje drugo revizijsko družbo.</w:t>
      </w:r>
    </w:p>
    <w:p w14:paraId="18B14768"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188721DF" w14:textId="77777777" w:rsidR="002B689C" w:rsidRPr="00215B2F" w:rsidRDefault="002B689C"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75" w:name="_Ref202964101"/>
      <w:r w:rsidRPr="00215B2F">
        <w:rPr>
          <w:rFonts w:ascii="Arial" w:eastAsia="Arial" w:hAnsi="Arial" w:cs="Arial"/>
          <w:b/>
          <w:bCs/>
          <w:sz w:val="20"/>
          <w:szCs w:val="20"/>
        </w:rPr>
        <w:t>člen</w:t>
      </w:r>
      <w:bookmarkEnd w:id="175"/>
    </w:p>
    <w:p w14:paraId="3C1E6424"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(objava revidiranega letnega poročila banke)</w:t>
      </w:r>
    </w:p>
    <w:p w14:paraId="2BC4F91F" w14:textId="77777777" w:rsidR="002B689C" w:rsidRPr="00215B2F" w:rsidRDefault="002B689C" w:rsidP="00FD5520">
      <w:pPr>
        <w:shd w:val="clear" w:color="auto" w:fill="FFFFFF" w:themeFill="background1"/>
        <w:spacing w:after="0" w:line="240" w:lineRule="auto"/>
        <w:jc w:val="center"/>
        <w:rPr>
          <w:rFonts w:ascii="Arial" w:eastAsia="Arial" w:hAnsi="Arial" w:cs="Arial"/>
          <w:sz w:val="20"/>
          <w:szCs w:val="20"/>
        </w:rPr>
      </w:pPr>
    </w:p>
    <w:p w14:paraId="74F48521" w14:textId="475F3D7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mora v štirih mesecih po koncu koledarskega leta na svojih uradnih spletnih straneh javno objaviti letno poročilo skupaj z revizorjevima poročiloma iz 57. člena ZGD-1.</w:t>
      </w:r>
    </w:p>
    <w:p w14:paraId="27B434ED"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63A4364D" w14:textId="012947C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Če letnega poročila do roka iz prejšnjega odstavka še ni sprejel pristojni organ banke, mora banka v navedenem roku objaviti sestavljeno letno poročilo, ki ga mora uprava banke predložiti nadzornemu svetu po tretjem odstavku 272. člena ZGD-1 (v nadaljnjem besedilu: sestavljeno letno poročilo), in na to v objavi opozoriti.</w:t>
      </w:r>
    </w:p>
    <w:p w14:paraId="1AE5E906"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2DC416CB" w14:textId="391CA4A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V primeru iz prejšnjega odstavka mora banka v petnajstih dneh po dnevu, ko letno poročilo sprejme njen pristojni organ, objaviti tudi sprejeto letno poročilo. Če pristojni organ banke pri sprejetju letnega poročila ni spremenil sestavljenega letnega poročila, lahko banka namesto ponovne objave celotnega letnega poročila objavi samo informacijo, da je pristojni organ banke sprejel letno poročilo z vsebino sestavljenega letnega poročila.</w:t>
      </w:r>
    </w:p>
    <w:p w14:paraId="28A0BA6D"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56AB3606" w14:textId="000BE46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mora zagotoviti, da ostane</w:t>
      </w:r>
      <w:r w:rsidR="002E216E" w:rsidRPr="00215B2F">
        <w:rPr>
          <w:rFonts w:ascii="Arial" w:eastAsia="Arial" w:hAnsi="Arial" w:cs="Arial"/>
          <w:sz w:val="20"/>
          <w:szCs w:val="20"/>
        </w:rPr>
        <w:t>jo</w:t>
      </w:r>
      <w:r w:rsidRPr="00215B2F">
        <w:rPr>
          <w:rFonts w:ascii="Arial" w:eastAsia="Arial" w:hAnsi="Arial" w:cs="Arial"/>
          <w:sz w:val="20"/>
          <w:szCs w:val="20"/>
        </w:rPr>
        <w:t xml:space="preserve"> letno poročilo in revizorjevi poročili iz 57. člena ZGD-1 dostopn</w:t>
      </w:r>
      <w:r w:rsidR="002E216E" w:rsidRPr="00215B2F">
        <w:rPr>
          <w:rFonts w:ascii="Arial" w:eastAsia="Arial" w:hAnsi="Arial" w:cs="Arial"/>
          <w:sz w:val="20"/>
          <w:szCs w:val="20"/>
        </w:rPr>
        <w:t>i</w:t>
      </w:r>
      <w:r w:rsidRPr="00215B2F">
        <w:rPr>
          <w:rFonts w:ascii="Arial" w:eastAsia="Arial" w:hAnsi="Arial" w:cs="Arial"/>
          <w:sz w:val="20"/>
          <w:szCs w:val="20"/>
        </w:rPr>
        <w:t xml:space="preserve"> na njenih uradnih spletnih straneh najmanj deset let po nj</w:t>
      </w:r>
      <w:r w:rsidR="002E216E" w:rsidRPr="00215B2F">
        <w:rPr>
          <w:rFonts w:ascii="Arial" w:eastAsia="Arial" w:hAnsi="Arial" w:cs="Arial"/>
          <w:sz w:val="20"/>
          <w:szCs w:val="20"/>
        </w:rPr>
        <w:t>ihov</w:t>
      </w:r>
      <w:r w:rsidRPr="00215B2F">
        <w:rPr>
          <w:rFonts w:ascii="Arial" w:eastAsia="Arial" w:hAnsi="Arial" w:cs="Arial"/>
          <w:sz w:val="20"/>
          <w:szCs w:val="20"/>
        </w:rPr>
        <w:t>i objavi.</w:t>
      </w:r>
    </w:p>
    <w:p w14:paraId="7445F2AC"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01445A93" w14:textId="0E0C41A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(5) Banka mora v </w:t>
      </w:r>
      <w:r w:rsidR="002E216E" w:rsidRPr="00215B2F">
        <w:rPr>
          <w:rFonts w:ascii="Arial" w:eastAsia="Arial" w:hAnsi="Arial" w:cs="Arial"/>
          <w:sz w:val="20"/>
          <w:szCs w:val="20"/>
        </w:rPr>
        <w:t xml:space="preserve">petnajstih </w:t>
      </w:r>
      <w:r w:rsidRPr="00215B2F">
        <w:rPr>
          <w:rFonts w:ascii="Arial" w:eastAsia="Arial" w:hAnsi="Arial" w:cs="Arial"/>
          <w:sz w:val="20"/>
          <w:szCs w:val="20"/>
        </w:rPr>
        <w:t>dneh po spreje</w:t>
      </w:r>
      <w:r w:rsidR="002E216E" w:rsidRPr="00215B2F">
        <w:rPr>
          <w:rFonts w:ascii="Arial" w:eastAsia="Arial" w:hAnsi="Arial" w:cs="Arial"/>
          <w:sz w:val="20"/>
          <w:szCs w:val="20"/>
        </w:rPr>
        <w:t>tj</w:t>
      </w:r>
      <w:r w:rsidRPr="00215B2F">
        <w:rPr>
          <w:rFonts w:ascii="Arial" w:eastAsia="Arial" w:hAnsi="Arial" w:cs="Arial"/>
          <w:sz w:val="20"/>
          <w:szCs w:val="20"/>
        </w:rPr>
        <w:t>u letnega poročila, vendar najpozneje v šestih mesecih po koncu koledarskega leta, letno poročilo skupaj z revizorjevima poročiloma iz 57. člena ZGD-1 predložiti Agenciji Republike Slovenije za javnopravne evidence in storitve zaradi javne objave.</w:t>
      </w:r>
    </w:p>
    <w:p w14:paraId="0BC48E3C"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36537D70" w14:textId="1860540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Podružnica banke države članice ali banke tretje države mora na svojih uradnih spletnih straneh javno objaviti slovenski prevod računovodskih izkazov in konsolidiranih računovodskih izkazov banke države članice ali banke tretje države skupaj z revizorjevim poročilom ter povezavo do spletne strani, na kateri sta dostopna njeno revidirano letno poročilo in revidirano konsolidirano letno poročilo, najpozneje v </w:t>
      </w:r>
      <w:r w:rsidR="009E5B76" w:rsidRPr="00215B2F">
        <w:rPr>
          <w:rFonts w:ascii="Arial" w:eastAsia="Arial" w:hAnsi="Arial" w:cs="Arial"/>
          <w:sz w:val="20"/>
          <w:szCs w:val="20"/>
        </w:rPr>
        <w:t xml:space="preserve">15 </w:t>
      </w:r>
      <w:r w:rsidRPr="00215B2F">
        <w:rPr>
          <w:rFonts w:ascii="Arial" w:eastAsia="Arial" w:hAnsi="Arial" w:cs="Arial"/>
          <w:sz w:val="20"/>
          <w:szCs w:val="20"/>
        </w:rPr>
        <w:t>dneh po izteku roka za javno objavo v državi sedeža banke. Če letno poročilo oziroma konsolidirano letno poročilo banke države članice ali banke tretje države ni bilo sestavljeno v skladu z MSRP oziroma Direktivo 2013/34/EU in Direktivo 86/635/EGS ali na enakovreden način, mora podružnica v istem roku razkriti v slovenskem jeziku računovodsko poročilo za dejavnosti podružnice v skladu s tem zakonom.</w:t>
      </w:r>
    </w:p>
    <w:p w14:paraId="3C0008D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85F9BD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76" w:name="_Ref202964109"/>
      <w:r w:rsidRPr="00215B2F">
        <w:rPr>
          <w:rFonts w:ascii="Arial" w:eastAsia="Arial" w:hAnsi="Arial" w:cs="Arial"/>
          <w:b/>
          <w:bCs/>
          <w:sz w:val="20"/>
          <w:szCs w:val="20"/>
        </w:rPr>
        <w:t>člen</w:t>
      </w:r>
      <w:bookmarkEnd w:id="176"/>
    </w:p>
    <w:p w14:paraId="50CDEF35" w14:textId="77777777" w:rsidR="00D91782" w:rsidRPr="00215B2F" w:rsidRDefault="00D91782" w:rsidP="00FD5520">
      <w:pPr>
        <w:pStyle w:val="Slog1"/>
        <w:shd w:val="clear" w:color="auto" w:fill="FFFFFF" w:themeFill="background1"/>
        <w:rPr>
          <w:sz w:val="20"/>
          <w:szCs w:val="20"/>
        </w:rPr>
      </w:pPr>
      <w:r w:rsidRPr="00215B2F">
        <w:rPr>
          <w:sz w:val="20"/>
          <w:szCs w:val="20"/>
        </w:rPr>
        <w:t>(podzakonski predpisi o poslovnih knjigah in letnih poročilih banke)</w:t>
      </w:r>
    </w:p>
    <w:p w14:paraId="075EAEA8" w14:textId="77777777" w:rsidR="00D91782" w:rsidRPr="00215B2F" w:rsidRDefault="00D91782" w:rsidP="00FD5520">
      <w:pPr>
        <w:pStyle w:val="Slog1"/>
        <w:shd w:val="clear" w:color="auto" w:fill="FFFFFF" w:themeFill="background1"/>
        <w:jc w:val="both"/>
        <w:rPr>
          <w:sz w:val="20"/>
          <w:szCs w:val="20"/>
        </w:rPr>
      </w:pPr>
    </w:p>
    <w:p w14:paraId="565F13CF" w14:textId="6D4597D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Slovenije v zvezi s poslovnimi knjigami in letnimi poročili banke predpiše:</w:t>
      </w:r>
    </w:p>
    <w:p w14:paraId="392FB779" w14:textId="77777777" w:rsidR="003E05E7" w:rsidRPr="00215B2F" w:rsidRDefault="003E05E7" w:rsidP="00FD5520">
      <w:pPr>
        <w:shd w:val="clear" w:color="auto" w:fill="FFFFFF" w:themeFill="background1"/>
        <w:spacing w:after="0" w:line="240" w:lineRule="auto"/>
        <w:jc w:val="both"/>
        <w:rPr>
          <w:rFonts w:ascii="Arial" w:eastAsia="Arial" w:hAnsi="Arial" w:cs="Arial"/>
          <w:sz w:val="20"/>
          <w:szCs w:val="20"/>
        </w:rPr>
      </w:pPr>
    </w:p>
    <w:p w14:paraId="4C5E537C" w14:textId="77777777" w:rsidR="00895214" w:rsidRPr="00215B2F" w:rsidRDefault="00D91782">
      <w:pPr>
        <w:pStyle w:val="tevilnatoka"/>
        <w:numPr>
          <w:ilvl w:val="0"/>
          <w:numId w:val="92"/>
        </w:numPr>
        <w:shd w:val="clear" w:color="auto" w:fill="FFFFFF" w:themeFill="background1"/>
        <w:tabs>
          <w:tab w:val="clear" w:pos="425"/>
        </w:tabs>
        <w:rPr>
          <w:rFonts w:cs="Arial"/>
          <w:bCs/>
          <w:sz w:val="20"/>
          <w:szCs w:val="20"/>
        </w:rPr>
      </w:pPr>
      <w:r w:rsidRPr="00215B2F">
        <w:rPr>
          <w:rFonts w:eastAsia="Arial" w:cs="Arial"/>
          <w:sz w:val="20"/>
          <w:szCs w:val="20"/>
        </w:rPr>
        <w:t>vsebino glavne knjige v okviru vodenja poslovnih knjig ter vrste in sheme računovodskih in konsolidiranih računovodskih izkazov banke;</w:t>
      </w:r>
    </w:p>
    <w:p w14:paraId="03CB4E16" w14:textId="77777777" w:rsidR="00895214" w:rsidRPr="00215B2F" w:rsidRDefault="00D91782">
      <w:pPr>
        <w:pStyle w:val="tevilnatoka"/>
        <w:numPr>
          <w:ilvl w:val="0"/>
          <w:numId w:val="92"/>
        </w:numPr>
        <w:shd w:val="clear" w:color="auto" w:fill="FFFFFF" w:themeFill="background1"/>
        <w:tabs>
          <w:tab w:val="clear" w:pos="425"/>
        </w:tabs>
        <w:rPr>
          <w:rFonts w:cs="Arial"/>
          <w:bCs/>
          <w:sz w:val="20"/>
          <w:szCs w:val="20"/>
        </w:rPr>
      </w:pPr>
      <w:r w:rsidRPr="00215B2F">
        <w:rPr>
          <w:rFonts w:eastAsia="Arial" w:cs="Arial"/>
          <w:sz w:val="20"/>
          <w:szCs w:val="20"/>
        </w:rPr>
        <w:t>podrobnejšo vsebino, obliko in način pošiljanja letnega poročila in konsolidiranega letnega poročila;</w:t>
      </w:r>
    </w:p>
    <w:p w14:paraId="2C323D35" w14:textId="77777777" w:rsidR="00895214" w:rsidRPr="00215B2F" w:rsidRDefault="00D91782">
      <w:pPr>
        <w:pStyle w:val="tevilnatoka"/>
        <w:numPr>
          <w:ilvl w:val="0"/>
          <w:numId w:val="92"/>
        </w:numPr>
        <w:shd w:val="clear" w:color="auto" w:fill="FFFFFF" w:themeFill="background1"/>
        <w:tabs>
          <w:tab w:val="clear" w:pos="425"/>
        </w:tabs>
        <w:rPr>
          <w:rFonts w:cs="Arial"/>
          <w:bCs/>
          <w:sz w:val="20"/>
          <w:szCs w:val="20"/>
        </w:rPr>
      </w:pPr>
      <w:r w:rsidRPr="00215B2F">
        <w:rPr>
          <w:rFonts w:eastAsia="Arial" w:cs="Arial"/>
          <w:sz w:val="20"/>
          <w:szCs w:val="20"/>
        </w:rPr>
        <w:t>podrobnejši način vrednotenja knjigovodskih postavk;</w:t>
      </w:r>
    </w:p>
    <w:p w14:paraId="38A5B38C" w14:textId="6D229251" w:rsidR="00D91782" w:rsidRPr="00215B2F" w:rsidRDefault="00D91782">
      <w:pPr>
        <w:pStyle w:val="tevilnatoka"/>
        <w:numPr>
          <w:ilvl w:val="0"/>
          <w:numId w:val="92"/>
        </w:numPr>
        <w:shd w:val="clear" w:color="auto" w:fill="FFFFFF" w:themeFill="background1"/>
        <w:tabs>
          <w:tab w:val="clear" w:pos="425"/>
        </w:tabs>
        <w:rPr>
          <w:rFonts w:cs="Arial"/>
          <w:bCs/>
          <w:sz w:val="20"/>
          <w:szCs w:val="20"/>
        </w:rPr>
      </w:pPr>
      <w:r w:rsidRPr="00215B2F">
        <w:rPr>
          <w:rFonts w:eastAsia="Arial" w:cs="Arial"/>
          <w:sz w:val="20"/>
          <w:szCs w:val="20"/>
        </w:rPr>
        <w:t>podrobnejšo vsebino, obliko, način, pogostost in roke za po</w:t>
      </w:r>
      <w:r w:rsidR="002E216E" w:rsidRPr="00215B2F">
        <w:rPr>
          <w:rFonts w:eastAsia="Arial" w:cs="Arial"/>
          <w:sz w:val="20"/>
          <w:szCs w:val="20"/>
        </w:rPr>
        <w:t>šilj</w:t>
      </w:r>
      <w:r w:rsidRPr="00215B2F">
        <w:rPr>
          <w:rFonts w:eastAsia="Arial" w:cs="Arial"/>
          <w:sz w:val="20"/>
          <w:szCs w:val="20"/>
        </w:rPr>
        <w:t xml:space="preserve">anje finančnih informacij iz tretjega odstavka </w:t>
      </w:r>
      <w:r w:rsidR="000B7B47" w:rsidRPr="00215B2F">
        <w:rPr>
          <w:rFonts w:eastAsia="Arial" w:cs="Arial"/>
          <w:sz w:val="20"/>
          <w:szCs w:val="20"/>
        </w:rPr>
        <w:t>130</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5807B540"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3AC13CBB"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r w:rsidRPr="00215B2F">
        <w:rPr>
          <w:rFonts w:ascii="Arial" w:eastAsia="Arial" w:hAnsi="Arial" w:cs="Arial"/>
          <w:sz w:val="20"/>
          <w:szCs w:val="20"/>
        </w:rPr>
        <w:t xml:space="preserve">5. POGLAVJE: </w:t>
      </w:r>
      <w:r w:rsidRPr="00215B2F">
        <w:rPr>
          <w:rFonts w:ascii="Arial" w:eastAsia="Arial" w:hAnsi="Arial" w:cs="Arial"/>
          <w:sz w:val="20"/>
          <w:szCs w:val="20"/>
        </w:rPr>
        <w:br/>
        <w:t>OPRAVLJANJE STORITEV BANK</w:t>
      </w:r>
    </w:p>
    <w:p w14:paraId="22439BAA"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16B79869" w14:textId="62542932" w:rsidR="00D91782" w:rsidRPr="00215B2F" w:rsidRDefault="00D91782" w:rsidP="00FD5520">
      <w:pPr>
        <w:pStyle w:val="Slog3"/>
        <w:shd w:val="clear" w:color="auto" w:fill="FFFFFF" w:themeFill="background1"/>
        <w:rPr>
          <w:sz w:val="20"/>
          <w:szCs w:val="20"/>
        </w:rPr>
      </w:pPr>
      <w:r w:rsidRPr="00215B2F">
        <w:rPr>
          <w:sz w:val="20"/>
          <w:szCs w:val="20"/>
        </w:rPr>
        <w:t>5.1 SPLOŠNE DOLOČBE</w:t>
      </w:r>
    </w:p>
    <w:p w14:paraId="1C5EAAD8"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76CCEADF"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77" w:name="_Ref202964117"/>
      <w:r w:rsidRPr="00215B2F">
        <w:rPr>
          <w:rFonts w:ascii="Arial" w:eastAsia="Arial" w:hAnsi="Arial" w:cs="Arial"/>
          <w:b/>
          <w:bCs/>
          <w:sz w:val="20"/>
          <w:szCs w:val="20"/>
        </w:rPr>
        <w:t>člen</w:t>
      </w:r>
      <w:bookmarkEnd w:id="177"/>
    </w:p>
    <w:p w14:paraId="00D9326E" w14:textId="77777777" w:rsidR="00D91782" w:rsidRPr="00215B2F" w:rsidRDefault="00D91782" w:rsidP="00FD5520">
      <w:pPr>
        <w:pStyle w:val="Slog1"/>
        <w:shd w:val="clear" w:color="auto" w:fill="FFFFFF" w:themeFill="background1"/>
        <w:rPr>
          <w:sz w:val="20"/>
          <w:szCs w:val="20"/>
        </w:rPr>
      </w:pPr>
      <w:r w:rsidRPr="00215B2F">
        <w:rPr>
          <w:sz w:val="20"/>
          <w:szCs w:val="20"/>
        </w:rPr>
        <w:t>(sprejemanje depozitov in drugih vračljivih sredstev)</w:t>
      </w:r>
    </w:p>
    <w:p w14:paraId="27704D60" w14:textId="77777777" w:rsidR="00D91782" w:rsidRPr="00215B2F" w:rsidRDefault="00D91782" w:rsidP="00FD5520">
      <w:pPr>
        <w:pStyle w:val="Slog1"/>
        <w:shd w:val="clear" w:color="auto" w:fill="FFFFFF" w:themeFill="background1"/>
        <w:jc w:val="both"/>
        <w:rPr>
          <w:sz w:val="20"/>
          <w:szCs w:val="20"/>
        </w:rPr>
      </w:pPr>
    </w:p>
    <w:p w14:paraId="1A55242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Depozit za namen opredelitve sprejemanja depozitov je vsako vplačilo denarnih sredstev ene osebe (v nadaljnjem besedilu: vplačnik) v korist druge osebe (v nadaljnjem besedilu: prejemnik vplačila), ki je opravljeno na podlagi pogodbe o denarnem depozitu ali na podlagi drugega pravnega posla, pri katerem vplačnik pridobi pravico od prejemnika vplačila zahtevati vrnitev vplačanih denarnih sredstev v določenih rokih, ter pogodba ali drugi pogoji, ki veljajo med strankama, ne določajo dodatnih pogojev, ki izključujejo ali omejujejo uveljavljanje pravice do vračila vplačanih denarnih sredstev.</w:t>
      </w:r>
    </w:p>
    <w:p w14:paraId="24481B47"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F59E8EA" w14:textId="349DC98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Sprejemanje depozitov in drugih vračljivih sredstev od javnosti je sprejemanje depozitov in drugih vračljivih sredstev od nepoučenih oseb.</w:t>
      </w:r>
    </w:p>
    <w:p w14:paraId="0A77E521"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749464A" w14:textId="55DC961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Nepoučena oseba je oseba, ki ni profesionalna stranka v skladu z Uredbo 2017/1129/EU.</w:t>
      </w:r>
    </w:p>
    <w:p w14:paraId="760FC3EF"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611A6EFB" w14:textId="7DFC2FB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Ne glede na drugi </w:t>
      </w:r>
      <w:r w:rsidR="00746E88" w:rsidRPr="00215B2F">
        <w:rPr>
          <w:rFonts w:ascii="Arial" w:eastAsia="Arial" w:hAnsi="Arial" w:cs="Arial"/>
          <w:sz w:val="20"/>
          <w:szCs w:val="20"/>
        </w:rPr>
        <w:t>odstavek tega člena</w:t>
      </w:r>
      <w:r w:rsidRPr="00215B2F">
        <w:rPr>
          <w:rFonts w:ascii="Arial" w:eastAsia="Arial" w:hAnsi="Arial" w:cs="Arial"/>
          <w:sz w:val="20"/>
          <w:szCs w:val="20"/>
        </w:rPr>
        <w:t xml:space="preserve"> se po tem zakonu za sprejemanje depozitov in drugih vračljivih sredstev ne šteje:</w:t>
      </w:r>
    </w:p>
    <w:p w14:paraId="59B55BC4"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2247448E" w14:textId="77777777" w:rsidR="00895214" w:rsidRPr="00215B2F" w:rsidRDefault="00D91782">
      <w:pPr>
        <w:pStyle w:val="tevilnatoka"/>
        <w:numPr>
          <w:ilvl w:val="0"/>
          <w:numId w:val="93"/>
        </w:numPr>
        <w:shd w:val="clear" w:color="auto" w:fill="FFFFFF" w:themeFill="background1"/>
        <w:tabs>
          <w:tab w:val="clear" w:pos="425"/>
        </w:tabs>
        <w:rPr>
          <w:rFonts w:cs="Arial"/>
          <w:bCs/>
          <w:sz w:val="20"/>
          <w:szCs w:val="20"/>
        </w:rPr>
      </w:pPr>
      <w:r w:rsidRPr="00215B2F">
        <w:rPr>
          <w:rFonts w:eastAsia="Arial" w:cs="Arial"/>
          <w:sz w:val="20"/>
          <w:szCs w:val="20"/>
        </w:rPr>
        <w:t>ponudba za vplačilo dolžniških vrednostnih papirjev izdajatelja, ki ni kreditna institucija, razen če izdajatelj hkrati kot osnovno dejavnost opravlja storitve kreditiranja;</w:t>
      </w:r>
    </w:p>
    <w:p w14:paraId="4E2E4367" w14:textId="51BD56ED" w:rsidR="00D91782" w:rsidRPr="00215B2F" w:rsidRDefault="00D91782" w:rsidP="00543D80">
      <w:pPr>
        <w:pStyle w:val="tevilnatoka"/>
        <w:rPr>
          <w:rFonts w:cs="Arial"/>
          <w:bCs/>
          <w:sz w:val="20"/>
          <w:szCs w:val="20"/>
        </w:rPr>
      </w:pPr>
      <w:r w:rsidRPr="00215B2F">
        <w:rPr>
          <w:rFonts w:eastAsia="Arial" w:cs="Arial"/>
          <w:sz w:val="20"/>
          <w:szCs w:val="20"/>
        </w:rPr>
        <w:t>ponudba, ki je naslovljena izključno na profesionalne stranke, k</w:t>
      </w:r>
      <w:r w:rsidR="006B0B0E" w:rsidRPr="00215B2F">
        <w:rPr>
          <w:rFonts w:eastAsia="Arial" w:cs="Arial"/>
          <w:sz w:val="20"/>
          <w:szCs w:val="20"/>
        </w:rPr>
        <w:t>akor</w:t>
      </w:r>
      <w:r w:rsidRPr="00215B2F">
        <w:rPr>
          <w:rFonts w:eastAsia="Arial" w:cs="Arial"/>
          <w:sz w:val="20"/>
          <w:szCs w:val="20"/>
        </w:rPr>
        <w:t xml:space="preserve"> so opredeljene v Uredbi 2017/1129/EU.</w:t>
      </w:r>
    </w:p>
    <w:p w14:paraId="7295641C"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5FDC9936" w14:textId="0E79D2B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V primeru dvoma Banka Slovenije odloči, ali se ponudba ali drug posel šteje za sprejemanje depozitov in drugih vračljivih sredstev od javnosti.</w:t>
      </w:r>
    </w:p>
    <w:p w14:paraId="2CEEA1C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9C238F8"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78" w:name="_Ref202964125"/>
      <w:r w:rsidRPr="00215B2F">
        <w:rPr>
          <w:rFonts w:ascii="Arial" w:eastAsia="Arial" w:hAnsi="Arial" w:cs="Arial"/>
          <w:b/>
          <w:bCs/>
          <w:sz w:val="20"/>
          <w:szCs w:val="20"/>
        </w:rPr>
        <w:t>člen</w:t>
      </w:r>
      <w:bookmarkEnd w:id="178"/>
    </w:p>
    <w:p w14:paraId="121E9DE6" w14:textId="77777777" w:rsidR="00D91782" w:rsidRPr="00215B2F" w:rsidRDefault="00D91782" w:rsidP="00FD5520">
      <w:pPr>
        <w:pStyle w:val="Slog1"/>
        <w:shd w:val="clear" w:color="auto" w:fill="FFFFFF" w:themeFill="background1"/>
        <w:rPr>
          <w:sz w:val="20"/>
          <w:szCs w:val="20"/>
        </w:rPr>
      </w:pPr>
      <w:r w:rsidRPr="00215B2F">
        <w:rPr>
          <w:sz w:val="20"/>
          <w:szCs w:val="20"/>
        </w:rPr>
        <w:t>(opravljanje bančnih storitev)</w:t>
      </w:r>
    </w:p>
    <w:p w14:paraId="10448039" w14:textId="77777777" w:rsidR="00D10DDD" w:rsidRPr="00215B2F" w:rsidRDefault="00D10DDD" w:rsidP="00FD5520">
      <w:pPr>
        <w:shd w:val="clear" w:color="auto" w:fill="FFFFFF" w:themeFill="background1"/>
        <w:spacing w:after="0" w:line="240" w:lineRule="auto"/>
        <w:jc w:val="both"/>
        <w:rPr>
          <w:rFonts w:ascii="Arial" w:eastAsia="Arial" w:hAnsi="Arial" w:cs="Arial"/>
          <w:sz w:val="20"/>
          <w:szCs w:val="20"/>
        </w:rPr>
      </w:pPr>
    </w:p>
    <w:p w14:paraId="3B9C38E7" w14:textId="2D4A239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179" w:name="_Hlk203477452"/>
      <w:r w:rsidRPr="00215B2F">
        <w:rPr>
          <w:rFonts w:ascii="Arial" w:eastAsia="Arial" w:hAnsi="Arial" w:cs="Arial"/>
          <w:sz w:val="20"/>
          <w:szCs w:val="20"/>
        </w:rPr>
        <w:lastRenderedPageBreak/>
        <w:t>Na območju Republike Slovenije lahko bančne storitve opravlja:</w:t>
      </w:r>
    </w:p>
    <w:p w14:paraId="733FC02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88F9670" w14:textId="77777777" w:rsidR="00895214" w:rsidRPr="00215B2F" w:rsidRDefault="00D91782">
      <w:pPr>
        <w:pStyle w:val="tevilnatoka"/>
        <w:numPr>
          <w:ilvl w:val="0"/>
          <w:numId w:val="94"/>
        </w:numPr>
        <w:shd w:val="clear" w:color="auto" w:fill="FFFFFF" w:themeFill="background1"/>
        <w:tabs>
          <w:tab w:val="clear" w:pos="425"/>
        </w:tabs>
        <w:rPr>
          <w:rFonts w:cs="Arial"/>
          <w:bCs/>
          <w:sz w:val="20"/>
          <w:szCs w:val="20"/>
        </w:rPr>
      </w:pPr>
      <w:r w:rsidRPr="00215B2F">
        <w:rPr>
          <w:rFonts w:eastAsia="Arial" w:cs="Arial"/>
          <w:sz w:val="20"/>
          <w:szCs w:val="20"/>
        </w:rPr>
        <w:t>banka, ki je v skladu s tem zakonom pridobila dovoljenje za opravljanje bančnih storitev;</w:t>
      </w:r>
    </w:p>
    <w:p w14:paraId="67B4AE18" w14:textId="77777777" w:rsidR="00895214" w:rsidRPr="00215B2F" w:rsidRDefault="00D91782">
      <w:pPr>
        <w:pStyle w:val="tevilnatoka"/>
        <w:numPr>
          <w:ilvl w:val="0"/>
          <w:numId w:val="94"/>
        </w:numPr>
        <w:shd w:val="clear" w:color="auto" w:fill="FFFFFF" w:themeFill="background1"/>
        <w:tabs>
          <w:tab w:val="clear" w:pos="425"/>
        </w:tabs>
        <w:rPr>
          <w:rFonts w:cs="Arial"/>
          <w:bCs/>
          <w:sz w:val="20"/>
          <w:szCs w:val="20"/>
        </w:rPr>
      </w:pPr>
      <w:r w:rsidRPr="00215B2F">
        <w:rPr>
          <w:rFonts w:eastAsia="Arial" w:cs="Arial"/>
          <w:sz w:val="20"/>
          <w:szCs w:val="20"/>
        </w:rPr>
        <w:t>banka države članice, ki v skladu s tem zakonom ustanovi podružnico na območju Republike Slovenije oziroma je v skladu s tem zakonom upravičena neposredno opravljati bančne storitve na območju Republike Slovenije;</w:t>
      </w:r>
    </w:p>
    <w:p w14:paraId="17A67008" w14:textId="5A7B979A" w:rsidR="00D91782" w:rsidRPr="00215B2F" w:rsidRDefault="00D91782">
      <w:pPr>
        <w:pStyle w:val="tevilnatoka"/>
        <w:numPr>
          <w:ilvl w:val="0"/>
          <w:numId w:val="94"/>
        </w:numPr>
        <w:shd w:val="clear" w:color="auto" w:fill="FFFFFF" w:themeFill="background1"/>
        <w:tabs>
          <w:tab w:val="clear" w:pos="425"/>
        </w:tabs>
        <w:rPr>
          <w:rFonts w:cs="Arial"/>
          <w:bCs/>
          <w:sz w:val="20"/>
          <w:szCs w:val="20"/>
        </w:rPr>
      </w:pPr>
      <w:r w:rsidRPr="00215B2F">
        <w:rPr>
          <w:rFonts w:eastAsia="Arial" w:cs="Arial"/>
          <w:sz w:val="20"/>
          <w:szCs w:val="20"/>
        </w:rPr>
        <w:t xml:space="preserve">družba </w:t>
      </w:r>
      <w:r w:rsidR="00C1775D" w:rsidRPr="00215B2F">
        <w:rPr>
          <w:rFonts w:eastAsia="Arial" w:cs="Arial"/>
          <w:sz w:val="20"/>
          <w:szCs w:val="20"/>
        </w:rPr>
        <w:t xml:space="preserve">iz </w:t>
      </w:r>
      <w:r w:rsidRPr="00215B2F">
        <w:rPr>
          <w:rFonts w:eastAsia="Arial" w:cs="Arial"/>
          <w:sz w:val="20"/>
          <w:szCs w:val="20"/>
        </w:rPr>
        <w:t xml:space="preserve">tretje države, ki v matični državi lahko opravlja bančne </w:t>
      </w:r>
      <w:r w:rsidR="0059639B" w:rsidRPr="00215B2F">
        <w:rPr>
          <w:rFonts w:eastAsia="Arial" w:cs="Arial"/>
          <w:sz w:val="20"/>
          <w:szCs w:val="20"/>
        </w:rPr>
        <w:t>storitve</w:t>
      </w:r>
      <w:r w:rsidRPr="00215B2F">
        <w:rPr>
          <w:rFonts w:eastAsia="Arial" w:cs="Arial"/>
          <w:sz w:val="20"/>
          <w:szCs w:val="20"/>
        </w:rPr>
        <w:t>, v skladu s tem zakonom ustanovi podružnico iz tretje države in pridobi dovoljenje za podružnico iz tretje države v Republiki Sloveniji</w:t>
      </w:r>
      <w:bookmarkEnd w:id="179"/>
      <w:r w:rsidRPr="00215B2F">
        <w:rPr>
          <w:rFonts w:eastAsia="Arial" w:cs="Arial"/>
          <w:sz w:val="20"/>
          <w:szCs w:val="20"/>
        </w:rPr>
        <w:t>.</w:t>
      </w:r>
    </w:p>
    <w:p w14:paraId="05A6715E"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D57D10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80" w:name="_Ref202964135"/>
      <w:r w:rsidRPr="00215B2F">
        <w:rPr>
          <w:rFonts w:ascii="Arial" w:eastAsia="Arial" w:hAnsi="Arial" w:cs="Arial"/>
          <w:b/>
          <w:bCs/>
          <w:sz w:val="20"/>
          <w:szCs w:val="20"/>
        </w:rPr>
        <w:t>člen</w:t>
      </w:r>
      <w:bookmarkEnd w:id="180"/>
    </w:p>
    <w:p w14:paraId="6BFF2AB2" w14:textId="77777777" w:rsidR="00D91782" w:rsidRPr="00215B2F" w:rsidRDefault="00D91782" w:rsidP="00FD5520">
      <w:pPr>
        <w:pStyle w:val="Slog1"/>
        <w:shd w:val="clear" w:color="auto" w:fill="FFFFFF" w:themeFill="background1"/>
        <w:rPr>
          <w:sz w:val="20"/>
          <w:szCs w:val="20"/>
        </w:rPr>
      </w:pPr>
      <w:r w:rsidRPr="00215B2F">
        <w:rPr>
          <w:sz w:val="20"/>
          <w:szCs w:val="20"/>
        </w:rPr>
        <w:t>(prepoved opravljanja storitev sprejemanja depozitov ali drugih vračljivih sredstev od javnosti)</w:t>
      </w:r>
    </w:p>
    <w:p w14:paraId="3715ED85" w14:textId="77777777" w:rsidR="00D91782" w:rsidRPr="00215B2F" w:rsidRDefault="00D91782" w:rsidP="00FD5520">
      <w:pPr>
        <w:pStyle w:val="Slog1"/>
        <w:shd w:val="clear" w:color="auto" w:fill="FFFFFF" w:themeFill="background1"/>
        <w:jc w:val="both"/>
        <w:rPr>
          <w:sz w:val="20"/>
          <w:szCs w:val="20"/>
        </w:rPr>
      </w:pPr>
    </w:p>
    <w:p w14:paraId="5F45CEB9" w14:textId="4D5D4DD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Nihče drug razen oseb iz </w:t>
      </w:r>
      <w:r w:rsidR="00746E88" w:rsidRPr="00215B2F">
        <w:rPr>
          <w:rFonts w:ascii="Arial" w:eastAsia="Arial" w:hAnsi="Arial" w:cs="Arial"/>
          <w:sz w:val="20"/>
          <w:szCs w:val="20"/>
        </w:rPr>
        <w:t>prejšnjega člena</w:t>
      </w:r>
      <w:r w:rsidRPr="00215B2F">
        <w:rPr>
          <w:rFonts w:ascii="Arial" w:eastAsia="Arial" w:hAnsi="Arial" w:cs="Arial"/>
          <w:sz w:val="20"/>
          <w:szCs w:val="20"/>
        </w:rPr>
        <w:t xml:space="preserve"> ne sme na območju Republike Slovenije sprejemati depozitov ali drugih vračljivih sredstev od javnosti.</w:t>
      </w:r>
    </w:p>
    <w:p w14:paraId="5535DD5B"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14186D05" w14:textId="6A2CD6B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Prepoved iz prejšnjega odstavka ne velja:</w:t>
      </w:r>
    </w:p>
    <w:p w14:paraId="437492B4"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7AB8A37C" w14:textId="0F7F9AC8" w:rsidR="00895214" w:rsidRPr="00215B2F" w:rsidRDefault="00D91782">
      <w:pPr>
        <w:pStyle w:val="tevilnatoka"/>
        <w:numPr>
          <w:ilvl w:val="0"/>
          <w:numId w:val="95"/>
        </w:numPr>
        <w:shd w:val="clear" w:color="auto" w:fill="FFFFFF" w:themeFill="background1"/>
        <w:tabs>
          <w:tab w:val="clear" w:pos="425"/>
        </w:tabs>
        <w:rPr>
          <w:rFonts w:cs="Arial"/>
          <w:bCs/>
          <w:sz w:val="20"/>
          <w:szCs w:val="20"/>
        </w:rPr>
      </w:pPr>
      <w:r w:rsidRPr="00215B2F">
        <w:rPr>
          <w:rFonts w:eastAsia="Arial" w:cs="Arial"/>
          <w:sz w:val="20"/>
          <w:szCs w:val="20"/>
        </w:rPr>
        <w:t>za sprejemanje depozitov ali drugih vračljivih sredstev od Banke Slovenije, Republike Slovenije ter njenih regionalnih in lokalnih oblasti ali od mednarodnih organizacij, katerih članica je ena ali več držav članic;</w:t>
      </w:r>
    </w:p>
    <w:p w14:paraId="1314CF81" w14:textId="58637627" w:rsidR="00D91782" w:rsidRPr="00215B2F" w:rsidRDefault="00D91782">
      <w:pPr>
        <w:pStyle w:val="tevilnatoka"/>
        <w:numPr>
          <w:ilvl w:val="0"/>
          <w:numId w:val="95"/>
        </w:numPr>
        <w:shd w:val="clear" w:color="auto" w:fill="FFFFFF" w:themeFill="background1"/>
        <w:tabs>
          <w:tab w:val="clear" w:pos="425"/>
        </w:tabs>
        <w:rPr>
          <w:rFonts w:cs="Arial"/>
          <w:bCs/>
          <w:sz w:val="20"/>
          <w:szCs w:val="20"/>
        </w:rPr>
      </w:pPr>
      <w:r w:rsidRPr="00215B2F">
        <w:rPr>
          <w:rFonts w:eastAsia="Arial" w:cs="Arial"/>
          <w:sz w:val="20"/>
          <w:szCs w:val="20"/>
        </w:rPr>
        <w:t>v drugih primerih, ki so predvideni s predpisi Republike Slovenije ali predpisi Evropske unije, če so te storitve predmet urejanja in nadzora, s katerimi se zagotavlja zaščita vlagateljev in investitorjev.</w:t>
      </w:r>
    </w:p>
    <w:p w14:paraId="33FBC49C"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20694395" w14:textId="2D619930" w:rsidR="00D91782" w:rsidRPr="00215B2F" w:rsidRDefault="002B689C"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5.2 DOVOLJENJE ZA OPRAVLJANJE BANČNIH, FINANČNIH IN DODATNIH FINANČNIH STORITEV</w:t>
      </w:r>
    </w:p>
    <w:p w14:paraId="01527C0E"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46DDF28"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81" w:name="_Ref202964145"/>
      <w:r w:rsidRPr="00215B2F">
        <w:rPr>
          <w:rFonts w:ascii="Arial" w:eastAsia="Arial" w:hAnsi="Arial" w:cs="Arial"/>
          <w:b/>
          <w:bCs/>
          <w:sz w:val="20"/>
          <w:szCs w:val="20"/>
        </w:rPr>
        <w:t>člen</w:t>
      </w:r>
      <w:bookmarkEnd w:id="181"/>
    </w:p>
    <w:p w14:paraId="049A57C8" w14:textId="77777777" w:rsidR="00D91782" w:rsidRPr="00215B2F" w:rsidRDefault="00D91782" w:rsidP="00FD5520">
      <w:pPr>
        <w:pStyle w:val="Slog1"/>
        <w:shd w:val="clear" w:color="auto" w:fill="FFFFFF" w:themeFill="background1"/>
        <w:rPr>
          <w:sz w:val="20"/>
          <w:szCs w:val="20"/>
        </w:rPr>
      </w:pPr>
      <w:r w:rsidRPr="00215B2F">
        <w:rPr>
          <w:sz w:val="20"/>
          <w:szCs w:val="20"/>
        </w:rPr>
        <w:t>(dovoljenje za opravljanje storitev)</w:t>
      </w:r>
    </w:p>
    <w:p w14:paraId="30265478" w14:textId="77777777" w:rsidR="00D91782" w:rsidRPr="00215B2F" w:rsidRDefault="00D91782" w:rsidP="00FD5520">
      <w:pPr>
        <w:pStyle w:val="Slog1"/>
        <w:shd w:val="clear" w:color="auto" w:fill="FFFFFF" w:themeFill="background1"/>
        <w:jc w:val="both"/>
        <w:rPr>
          <w:sz w:val="20"/>
          <w:szCs w:val="20"/>
        </w:rPr>
      </w:pPr>
    </w:p>
    <w:p w14:paraId="49835E01" w14:textId="06DDE1F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Družba s sedežem v Republiki Sloveniji lahko začne opravljati bančne storitve na območju Republike Slovenije, </w:t>
      </w:r>
      <w:r w:rsidR="00E42050" w:rsidRPr="00215B2F">
        <w:rPr>
          <w:rFonts w:ascii="Arial" w:eastAsia="Arial" w:hAnsi="Arial" w:cs="Arial"/>
          <w:sz w:val="20"/>
          <w:szCs w:val="20"/>
        </w:rPr>
        <w:t xml:space="preserve">potem </w:t>
      </w:r>
      <w:r w:rsidRPr="00215B2F">
        <w:rPr>
          <w:rFonts w:ascii="Arial" w:eastAsia="Arial" w:hAnsi="Arial" w:cs="Arial"/>
          <w:sz w:val="20"/>
          <w:szCs w:val="20"/>
        </w:rPr>
        <w:t>ko pridobi dovoljenje Evropske centralne banke za opravljanje bančnih storitev v skladu s tem zakonom in Uredbo 1024/2013/EU.</w:t>
      </w:r>
    </w:p>
    <w:p w14:paraId="57E94D57"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FBA211B" w14:textId="3718DA0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lahko začne opravljati finančne storitve in dodatne finančne storitve na območju Republike Slovenije, </w:t>
      </w:r>
      <w:r w:rsidR="00E42050" w:rsidRPr="00215B2F">
        <w:rPr>
          <w:rFonts w:ascii="Arial" w:eastAsia="Arial" w:hAnsi="Arial" w:cs="Arial"/>
          <w:sz w:val="20"/>
          <w:szCs w:val="20"/>
        </w:rPr>
        <w:t xml:space="preserve">potem </w:t>
      </w:r>
      <w:r w:rsidRPr="00215B2F">
        <w:rPr>
          <w:rFonts w:ascii="Arial" w:eastAsia="Arial" w:hAnsi="Arial" w:cs="Arial"/>
          <w:sz w:val="20"/>
          <w:szCs w:val="20"/>
        </w:rPr>
        <w:t>ko pridobi dovoljenje Banke Slovenije za opravljanje teh storitev v skladu s tem zakonom.</w:t>
      </w:r>
    </w:p>
    <w:p w14:paraId="286D8B08"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3294F35C" w14:textId="58E3621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Ne glede na prejšnji odstavek sme banka opravljati dodatne finančne storitve iz 5. točke prvega odstavka 6.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pomožne storitve</w:t>
      </w:r>
      <w:r w:rsidR="000C53AF" w:rsidRPr="00215B2F">
        <w:rPr>
          <w:rFonts w:ascii="Arial" w:eastAsia="Arial" w:hAnsi="Arial" w:cs="Arial"/>
          <w:sz w:val="20"/>
          <w:szCs w:val="20"/>
        </w:rPr>
        <w:t xml:space="preserve"> iz tretjega odstavka 37. člena tega zakona</w:t>
      </w:r>
      <w:r w:rsidRPr="00215B2F">
        <w:rPr>
          <w:rFonts w:ascii="Arial" w:eastAsia="Arial" w:hAnsi="Arial" w:cs="Arial"/>
          <w:sz w:val="20"/>
          <w:szCs w:val="20"/>
        </w:rPr>
        <w:t xml:space="preserve">, če o tem predhodno obvesti Banko Slovenije v skladu s </w:t>
      </w:r>
      <w:r w:rsidR="000B7B47" w:rsidRPr="00215B2F">
        <w:rPr>
          <w:rFonts w:ascii="Arial" w:eastAsia="Arial" w:hAnsi="Arial" w:cs="Arial"/>
          <w:sz w:val="20"/>
          <w:szCs w:val="20"/>
        </w:rPr>
        <w:t>141.</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411E4231"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1748CF24" w14:textId="5251161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Družba iz podtočke (b) 1. točke prvega odstavka 4. člena Uredbe 575/2013/EU s sedežem v Republiki Sloveniji lahko začne opravljati investicijske storitve in posle iz 3. in 6. točke prvega odstavka 11. člena ZTFI-1 na območju Republike Slovenije kot kreditna družba, </w:t>
      </w:r>
      <w:r w:rsidR="00E42050" w:rsidRPr="00215B2F">
        <w:rPr>
          <w:rFonts w:ascii="Arial" w:eastAsia="Arial" w:hAnsi="Arial" w:cs="Arial"/>
          <w:sz w:val="20"/>
          <w:szCs w:val="20"/>
        </w:rPr>
        <w:t xml:space="preserve">potem </w:t>
      </w:r>
      <w:r w:rsidRPr="00215B2F">
        <w:rPr>
          <w:rFonts w:ascii="Arial" w:eastAsia="Arial" w:hAnsi="Arial" w:cs="Arial"/>
          <w:sz w:val="20"/>
          <w:szCs w:val="20"/>
        </w:rPr>
        <w:t>ko pridobi dovoljenje Evropske centralne banke za opravljanje teh storitev v skladu s tem zakonom in Uredbo 1024/2013/EU.</w:t>
      </w:r>
    </w:p>
    <w:p w14:paraId="5F3F4CD3"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1A733610"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82" w:name="_Ref202964155"/>
      <w:r w:rsidRPr="00215B2F">
        <w:rPr>
          <w:rFonts w:ascii="Arial" w:eastAsia="Arial" w:hAnsi="Arial" w:cs="Arial"/>
          <w:b/>
          <w:bCs/>
          <w:sz w:val="20"/>
          <w:szCs w:val="20"/>
        </w:rPr>
        <w:t>člen</w:t>
      </w:r>
      <w:bookmarkEnd w:id="182"/>
    </w:p>
    <w:p w14:paraId="4B8BF8D2" w14:textId="77777777" w:rsidR="00D91782" w:rsidRPr="00215B2F" w:rsidRDefault="00D91782" w:rsidP="00FD5520">
      <w:pPr>
        <w:pStyle w:val="Slog1"/>
        <w:shd w:val="clear" w:color="auto" w:fill="FFFFFF" w:themeFill="background1"/>
        <w:rPr>
          <w:sz w:val="20"/>
          <w:szCs w:val="20"/>
        </w:rPr>
      </w:pPr>
      <w:r w:rsidRPr="00215B2F">
        <w:rPr>
          <w:sz w:val="20"/>
          <w:szCs w:val="20"/>
        </w:rPr>
        <w:t>(obvestilo o opravljanju pomožnih storitev in kreditnega posredništva pri potrošniških in drugih kreditih)</w:t>
      </w:r>
    </w:p>
    <w:p w14:paraId="53D56CE6" w14:textId="77777777" w:rsidR="00D91782" w:rsidRPr="00215B2F" w:rsidRDefault="00D91782" w:rsidP="00FD5520">
      <w:pPr>
        <w:pStyle w:val="Slog1"/>
        <w:shd w:val="clear" w:color="auto" w:fill="FFFFFF" w:themeFill="background1"/>
        <w:jc w:val="both"/>
        <w:rPr>
          <w:sz w:val="20"/>
          <w:szCs w:val="20"/>
        </w:rPr>
      </w:pPr>
    </w:p>
    <w:p w14:paraId="3DBFA0E0" w14:textId="2ED4579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Pred začetkom opravljanja dodatnih finančnih storitev iz 5. točke prvega odstavka 6.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pomožnih storitev iz </w:t>
      </w:r>
      <w:r w:rsidR="00B168CD" w:rsidRPr="00215B2F">
        <w:rPr>
          <w:rFonts w:ascii="Arial" w:eastAsia="Arial" w:hAnsi="Arial" w:cs="Arial"/>
          <w:sz w:val="20"/>
          <w:szCs w:val="20"/>
        </w:rPr>
        <w:t xml:space="preserve">tretjega odstavka </w:t>
      </w:r>
      <w:r w:rsidR="00AB5E7C" w:rsidRPr="00215B2F">
        <w:rPr>
          <w:rFonts w:ascii="Arial" w:eastAsia="Arial" w:hAnsi="Arial" w:cs="Arial"/>
          <w:sz w:val="20"/>
          <w:szCs w:val="20"/>
        </w:rPr>
        <w:t>37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mora banka o tem predhodno obvestiti Banko Slovenije. </w:t>
      </w:r>
    </w:p>
    <w:p w14:paraId="6252C6EF"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7B8B8BBC" w14:textId="6FECF34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obvestilu iz prejšnjega odstavka priloži poslovni načrt za prva tri leta poslovanja, ki mora </w:t>
      </w:r>
      <w:r w:rsidR="007A7F5C" w:rsidRPr="00215B2F">
        <w:rPr>
          <w:rFonts w:ascii="Arial" w:eastAsia="Arial" w:hAnsi="Arial" w:cs="Arial"/>
          <w:sz w:val="20"/>
          <w:szCs w:val="20"/>
        </w:rPr>
        <w:t xml:space="preserve">vključevati </w:t>
      </w:r>
      <w:r w:rsidRPr="00215B2F">
        <w:rPr>
          <w:rFonts w:ascii="Arial" w:eastAsia="Arial" w:hAnsi="Arial" w:cs="Arial"/>
          <w:sz w:val="20"/>
          <w:szCs w:val="20"/>
        </w:rPr>
        <w:t xml:space="preserve">tudi: </w:t>
      </w:r>
    </w:p>
    <w:p w14:paraId="70C2FE70"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17D95161" w14:textId="406F82C9" w:rsidR="00895214" w:rsidRPr="00215B2F" w:rsidRDefault="00D91782">
      <w:pPr>
        <w:pStyle w:val="tevilnatoka"/>
        <w:numPr>
          <w:ilvl w:val="0"/>
          <w:numId w:val="96"/>
        </w:numPr>
        <w:shd w:val="clear" w:color="auto" w:fill="FFFFFF" w:themeFill="background1"/>
        <w:tabs>
          <w:tab w:val="clear" w:pos="425"/>
        </w:tabs>
        <w:rPr>
          <w:rFonts w:cs="Arial"/>
          <w:bCs/>
          <w:sz w:val="20"/>
          <w:szCs w:val="20"/>
        </w:rPr>
      </w:pPr>
      <w:r w:rsidRPr="00215B2F">
        <w:rPr>
          <w:rFonts w:eastAsia="Arial" w:cs="Arial"/>
          <w:sz w:val="20"/>
          <w:szCs w:val="20"/>
        </w:rPr>
        <w:t xml:space="preserve">podrobnejši opis storitev, ki jih </w:t>
      </w:r>
      <w:r w:rsidR="00E42050" w:rsidRPr="00215B2F">
        <w:rPr>
          <w:rFonts w:eastAsia="Arial" w:cs="Arial"/>
          <w:sz w:val="20"/>
          <w:szCs w:val="20"/>
        </w:rPr>
        <w:t xml:space="preserve">banka </w:t>
      </w:r>
      <w:r w:rsidRPr="00215B2F">
        <w:rPr>
          <w:rFonts w:eastAsia="Arial" w:cs="Arial"/>
          <w:sz w:val="20"/>
          <w:szCs w:val="20"/>
        </w:rPr>
        <w:t xml:space="preserve">namerava opravljati, </w:t>
      </w:r>
    </w:p>
    <w:p w14:paraId="51225B5E" w14:textId="29E23963" w:rsidR="00D91782" w:rsidRPr="00215B2F" w:rsidRDefault="00D91782">
      <w:pPr>
        <w:pStyle w:val="tevilnatoka"/>
        <w:numPr>
          <w:ilvl w:val="0"/>
          <w:numId w:val="96"/>
        </w:numPr>
        <w:shd w:val="clear" w:color="auto" w:fill="FFFFFF" w:themeFill="background1"/>
        <w:tabs>
          <w:tab w:val="clear" w:pos="425"/>
        </w:tabs>
        <w:rPr>
          <w:rFonts w:cs="Arial"/>
          <w:bCs/>
          <w:sz w:val="20"/>
          <w:szCs w:val="20"/>
        </w:rPr>
      </w:pPr>
      <w:r w:rsidRPr="00215B2F">
        <w:rPr>
          <w:rFonts w:eastAsia="Arial" w:cs="Arial"/>
          <w:sz w:val="20"/>
          <w:szCs w:val="20"/>
        </w:rPr>
        <w:lastRenderedPageBreak/>
        <w:t xml:space="preserve">opis ureditve notranjega upravljanja iz </w:t>
      </w:r>
      <w:r w:rsidR="00AB5E7C" w:rsidRPr="00215B2F">
        <w:rPr>
          <w:rFonts w:eastAsia="Arial" w:cs="Arial"/>
          <w:sz w:val="20"/>
          <w:szCs w:val="20"/>
        </w:rPr>
        <w:t>177</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v zvezi s storitvami iz prejšnjega odstavka. </w:t>
      </w:r>
    </w:p>
    <w:p w14:paraId="2265BBB1"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2E17FCF7" w14:textId="793E6B9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lahko začne opravljati storitve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w:t>
      </w:r>
    </w:p>
    <w:p w14:paraId="4610097A"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BD69299" w14:textId="10F934E3"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z dnem, ko prejme obvestilo Banke Slovenije, da obvestilo banke izpolnjuje zahteve iz prejšnjega odstavka in da predlagano opravljanje poslov vsebinsko s</w:t>
      </w:r>
      <w:r w:rsidR="00E42050" w:rsidRPr="00215B2F">
        <w:rPr>
          <w:rFonts w:ascii="Arial" w:eastAsia="Arial" w:hAnsi="Arial" w:cs="Arial"/>
          <w:sz w:val="20"/>
          <w:szCs w:val="20"/>
        </w:rPr>
        <w:t>pada</w:t>
      </w:r>
      <w:r w:rsidRPr="00215B2F">
        <w:rPr>
          <w:rFonts w:ascii="Arial" w:eastAsia="Arial" w:hAnsi="Arial" w:cs="Arial"/>
          <w:sz w:val="20"/>
          <w:szCs w:val="20"/>
        </w:rPr>
        <w:t xml:space="preserve"> v opredelitev storitev iz 5. točke prvega odstavka 6.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tretjega odstavka </w:t>
      </w:r>
      <w:r w:rsidR="00AB5E7C" w:rsidRPr="00215B2F">
        <w:rPr>
          <w:rFonts w:ascii="Arial" w:eastAsia="Arial" w:hAnsi="Arial" w:cs="Arial"/>
          <w:sz w:val="20"/>
          <w:szCs w:val="20"/>
        </w:rPr>
        <w:t>37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p>
    <w:p w14:paraId="4C425F78" w14:textId="1023E360"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z iztekom enega meseca od dneva, ko je Banka Slovenije prejela obvestilo s prilogami iz prejšnjega odstavka, če do izteka tega roka ne prejme obvestila Banke Slovenije iz prejšnje alineje ali zahteve Banke Slovenije za predložitev dodatnih informacij.</w:t>
      </w:r>
    </w:p>
    <w:p w14:paraId="2955691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CAC8F49"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83" w:name="_Ref202964163"/>
      <w:r w:rsidRPr="00215B2F">
        <w:rPr>
          <w:rFonts w:ascii="Arial" w:eastAsia="Arial" w:hAnsi="Arial" w:cs="Arial"/>
          <w:b/>
          <w:bCs/>
          <w:sz w:val="20"/>
          <w:szCs w:val="20"/>
        </w:rPr>
        <w:t>člen</w:t>
      </w:r>
      <w:bookmarkEnd w:id="183"/>
    </w:p>
    <w:p w14:paraId="2270EE3D" w14:textId="77777777" w:rsidR="00D91782" w:rsidRPr="00215B2F" w:rsidRDefault="00D91782" w:rsidP="00FD5520">
      <w:pPr>
        <w:pStyle w:val="Slog1"/>
        <w:shd w:val="clear" w:color="auto" w:fill="FFFFFF" w:themeFill="background1"/>
        <w:rPr>
          <w:sz w:val="20"/>
          <w:szCs w:val="20"/>
        </w:rPr>
      </w:pPr>
      <w:r w:rsidRPr="00215B2F">
        <w:rPr>
          <w:sz w:val="20"/>
          <w:szCs w:val="20"/>
        </w:rPr>
        <w:t>(območje opravljanja storitev)</w:t>
      </w:r>
    </w:p>
    <w:p w14:paraId="5BA03CD2" w14:textId="77777777" w:rsidR="00D10DDD" w:rsidRPr="00215B2F" w:rsidRDefault="00D10DDD" w:rsidP="00FD5520">
      <w:pPr>
        <w:shd w:val="clear" w:color="auto" w:fill="FFFFFF" w:themeFill="background1"/>
        <w:spacing w:after="0" w:line="240" w:lineRule="auto"/>
        <w:jc w:val="both"/>
        <w:rPr>
          <w:rFonts w:ascii="Arial" w:eastAsia="Arial" w:hAnsi="Arial" w:cs="Arial"/>
          <w:sz w:val="20"/>
          <w:szCs w:val="20"/>
        </w:rPr>
      </w:pPr>
    </w:p>
    <w:p w14:paraId="61705CFF" w14:textId="68ECB31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sme bančne in finančne storitve, ki jih je upravičena opravljati na območju Republike Slovenije, opravljati tudi:</w:t>
      </w:r>
    </w:p>
    <w:p w14:paraId="4658E415"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3C3E2799" w14:textId="436E901A" w:rsidR="00895214" w:rsidRPr="00215B2F" w:rsidRDefault="00D91782">
      <w:pPr>
        <w:pStyle w:val="tevilnatoka"/>
        <w:numPr>
          <w:ilvl w:val="0"/>
          <w:numId w:val="97"/>
        </w:numPr>
        <w:shd w:val="clear" w:color="auto" w:fill="FFFFFF" w:themeFill="background1"/>
        <w:tabs>
          <w:tab w:val="clear" w:pos="425"/>
        </w:tabs>
        <w:rPr>
          <w:rFonts w:cs="Arial"/>
          <w:bCs/>
          <w:sz w:val="20"/>
          <w:szCs w:val="20"/>
        </w:rPr>
      </w:pPr>
      <w:r w:rsidRPr="00215B2F">
        <w:rPr>
          <w:rFonts w:eastAsia="Arial" w:cs="Arial"/>
          <w:sz w:val="20"/>
          <w:szCs w:val="20"/>
        </w:rPr>
        <w:t>na območju druge države članice: bodisi prek podružnice bodisi neposredno, če so izpolnjeni pogoji, določeni v pododdelku 5.</w:t>
      </w:r>
      <w:r w:rsidR="00AB5E7C" w:rsidRPr="00215B2F">
        <w:rPr>
          <w:rFonts w:eastAsia="Arial" w:cs="Arial"/>
          <w:sz w:val="20"/>
          <w:szCs w:val="20"/>
        </w:rPr>
        <w:t>4</w:t>
      </w:r>
      <w:r w:rsidRPr="00215B2F">
        <w:rPr>
          <w:rFonts w:eastAsia="Arial" w:cs="Arial"/>
          <w:sz w:val="20"/>
          <w:szCs w:val="20"/>
        </w:rPr>
        <w:t>.1 tega zakona;</w:t>
      </w:r>
    </w:p>
    <w:p w14:paraId="2A52A471" w14:textId="039B12A9" w:rsidR="00D91782" w:rsidRPr="00215B2F" w:rsidRDefault="00D91782">
      <w:pPr>
        <w:pStyle w:val="tevilnatoka"/>
        <w:numPr>
          <w:ilvl w:val="0"/>
          <w:numId w:val="97"/>
        </w:numPr>
        <w:shd w:val="clear" w:color="auto" w:fill="FFFFFF" w:themeFill="background1"/>
        <w:tabs>
          <w:tab w:val="clear" w:pos="425"/>
        </w:tabs>
        <w:rPr>
          <w:rFonts w:cs="Arial"/>
          <w:bCs/>
          <w:sz w:val="20"/>
          <w:szCs w:val="20"/>
        </w:rPr>
      </w:pPr>
      <w:r w:rsidRPr="00215B2F">
        <w:rPr>
          <w:rFonts w:eastAsia="Arial" w:cs="Arial"/>
          <w:sz w:val="20"/>
          <w:szCs w:val="20"/>
        </w:rPr>
        <w:t>na območju tretje države: prek podružnice, če so izpolnjeni pogoji iz pod</w:t>
      </w:r>
      <w:r w:rsidR="005B0CC7" w:rsidRPr="00215B2F">
        <w:rPr>
          <w:rFonts w:eastAsia="Arial" w:cs="Arial"/>
          <w:sz w:val="20"/>
          <w:szCs w:val="20"/>
        </w:rPr>
        <w:t>o</w:t>
      </w:r>
      <w:r w:rsidR="001F2C7A" w:rsidRPr="00215B2F">
        <w:rPr>
          <w:rFonts w:eastAsia="Arial" w:cs="Arial"/>
          <w:sz w:val="20"/>
          <w:szCs w:val="20"/>
        </w:rPr>
        <w:t>ddelka</w:t>
      </w:r>
      <w:r w:rsidRPr="00215B2F">
        <w:rPr>
          <w:rFonts w:eastAsia="Arial" w:cs="Arial"/>
          <w:sz w:val="20"/>
          <w:szCs w:val="20"/>
        </w:rPr>
        <w:t xml:space="preserve"> 5.</w:t>
      </w:r>
      <w:r w:rsidR="00AB5E7C" w:rsidRPr="00215B2F">
        <w:rPr>
          <w:rFonts w:eastAsia="Arial" w:cs="Arial"/>
          <w:sz w:val="20"/>
          <w:szCs w:val="20"/>
        </w:rPr>
        <w:t>4</w:t>
      </w:r>
      <w:r w:rsidRPr="00215B2F">
        <w:rPr>
          <w:rFonts w:eastAsia="Arial" w:cs="Arial"/>
          <w:sz w:val="20"/>
          <w:szCs w:val="20"/>
        </w:rPr>
        <w:t>.2 tega zakona.</w:t>
      </w:r>
    </w:p>
    <w:p w14:paraId="61D41AE4"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3F7B515A" w14:textId="09822BB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sme dodatne finančne storitve, ki jih je upravičena opravljati v Republiki Sloveniji, opravljati tudi v drugi državi članici ali v tretji državi pod pogoji, ki jih za opravljanje teh storitev določajo predpisi te države.</w:t>
      </w:r>
    </w:p>
    <w:p w14:paraId="78ECBC6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D051CBB"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84" w:name="_Ref202964168"/>
      <w:r w:rsidRPr="00215B2F">
        <w:rPr>
          <w:rFonts w:ascii="Arial" w:eastAsia="Arial" w:hAnsi="Arial" w:cs="Arial"/>
          <w:b/>
          <w:bCs/>
          <w:sz w:val="20"/>
          <w:szCs w:val="20"/>
        </w:rPr>
        <w:t>člen</w:t>
      </w:r>
      <w:bookmarkEnd w:id="184"/>
    </w:p>
    <w:p w14:paraId="082C31E3" w14:textId="77777777" w:rsidR="00D91782" w:rsidRPr="00215B2F" w:rsidRDefault="00D91782" w:rsidP="00FD5520">
      <w:pPr>
        <w:pStyle w:val="Slog1"/>
        <w:shd w:val="clear" w:color="auto" w:fill="FFFFFF" w:themeFill="background1"/>
        <w:rPr>
          <w:sz w:val="20"/>
          <w:szCs w:val="20"/>
        </w:rPr>
      </w:pPr>
      <w:r w:rsidRPr="00215B2F">
        <w:rPr>
          <w:sz w:val="20"/>
          <w:szCs w:val="20"/>
        </w:rPr>
        <w:t>(dovoljenje za opravljanje bančnih storitev)</w:t>
      </w:r>
    </w:p>
    <w:p w14:paraId="22828E62" w14:textId="77777777" w:rsidR="00D91782" w:rsidRPr="00215B2F" w:rsidRDefault="00D91782" w:rsidP="00FD5520">
      <w:pPr>
        <w:pStyle w:val="Slog1"/>
        <w:shd w:val="clear" w:color="auto" w:fill="FFFFFF" w:themeFill="background1"/>
        <w:jc w:val="both"/>
        <w:rPr>
          <w:sz w:val="20"/>
          <w:szCs w:val="20"/>
        </w:rPr>
      </w:pPr>
    </w:p>
    <w:p w14:paraId="059D12E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mora pridobiti dovoljenje za opravljanje bančnih storitev pred vpisom ustanovitve banke v sodni register.</w:t>
      </w:r>
    </w:p>
    <w:p w14:paraId="75EBF95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8C895DA"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85" w:name="_Ref202964173"/>
      <w:r w:rsidRPr="00215B2F">
        <w:rPr>
          <w:rFonts w:ascii="Arial" w:eastAsia="Arial" w:hAnsi="Arial" w:cs="Arial"/>
          <w:b/>
          <w:bCs/>
          <w:sz w:val="20"/>
          <w:szCs w:val="20"/>
        </w:rPr>
        <w:t>člen</w:t>
      </w:r>
      <w:bookmarkEnd w:id="185"/>
    </w:p>
    <w:p w14:paraId="58FAB225" w14:textId="77777777" w:rsidR="00D91782" w:rsidRPr="00215B2F" w:rsidRDefault="00D91782" w:rsidP="00FD5520">
      <w:pPr>
        <w:pStyle w:val="Slog1"/>
        <w:shd w:val="clear" w:color="auto" w:fill="FFFFFF" w:themeFill="background1"/>
        <w:rPr>
          <w:sz w:val="20"/>
          <w:szCs w:val="20"/>
        </w:rPr>
      </w:pPr>
      <w:r w:rsidRPr="00215B2F">
        <w:rPr>
          <w:sz w:val="20"/>
          <w:szCs w:val="20"/>
        </w:rPr>
        <w:t>(zahteva za izdajo dovoljenja za opravljanje bančnih storitev)</w:t>
      </w:r>
    </w:p>
    <w:p w14:paraId="24911AE5" w14:textId="77777777" w:rsidR="00D91782" w:rsidRPr="00215B2F" w:rsidRDefault="00D91782" w:rsidP="00FD5520">
      <w:pPr>
        <w:pStyle w:val="Slog1"/>
        <w:shd w:val="clear" w:color="auto" w:fill="FFFFFF" w:themeFill="background1"/>
        <w:jc w:val="both"/>
        <w:rPr>
          <w:sz w:val="20"/>
          <w:szCs w:val="20"/>
        </w:rPr>
      </w:pPr>
    </w:p>
    <w:p w14:paraId="6DC19AC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Zahteva za izdajo dovoljenja za opravljanje bančnih storitev se vloži pri Banki Slovenije.</w:t>
      </w:r>
    </w:p>
    <w:p w14:paraId="42D53C96"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375BD175" w14:textId="20A7077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Zahtevi za izdajo dovoljenja za opravljanje bančnih storitev je treba priložiti:</w:t>
      </w:r>
    </w:p>
    <w:p w14:paraId="7D66716E" w14:textId="77777777" w:rsidR="003E05E7" w:rsidRPr="00215B2F" w:rsidRDefault="003E05E7" w:rsidP="00FD5520">
      <w:pPr>
        <w:shd w:val="clear" w:color="auto" w:fill="FFFFFF" w:themeFill="background1"/>
        <w:spacing w:after="0" w:line="240" w:lineRule="auto"/>
        <w:jc w:val="both"/>
        <w:rPr>
          <w:rFonts w:ascii="Arial" w:eastAsia="Arial" w:hAnsi="Arial" w:cs="Arial"/>
          <w:sz w:val="20"/>
          <w:szCs w:val="20"/>
        </w:rPr>
      </w:pPr>
    </w:p>
    <w:p w14:paraId="4859D397" w14:textId="77777777" w:rsidR="00895214" w:rsidRPr="00215B2F" w:rsidRDefault="00D91782">
      <w:pPr>
        <w:pStyle w:val="tevilnatoka"/>
        <w:numPr>
          <w:ilvl w:val="0"/>
          <w:numId w:val="98"/>
        </w:numPr>
        <w:shd w:val="clear" w:color="auto" w:fill="FFFFFF" w:themeFill="background1"/>
        <w:tabs>
          <w:tab w:val="clear" w:pos="425"/>
        </w:tabs>
        <w:rPr>
          <w:rFonts w:cs="Arial"/>
          <w:bCs/>
          <w:sz w:val="20"/>
          <w:szCs w:val="20"/>
        </w:rPr>
      </w:pPr>
      <w:r w:rsidRPr="00215B2F">
        <w:rPr>
          <w:rFonts w:eastAsia="Arial" w:cs="Arial"/>
          <w:sz w:val="20"/>
          <w:szCs w:val="20"/>
        </w:rPr>
        <w:t>statut banke v obliki overjenega prepisa notarskega zapisa;</w:t>
      </w:r>
    </w:p>
    <w:p w14:paraId="284A26AD" w14:textId="24923965" w:rsidR="00D91782" w:rsidRPr="00215B2F" w:rsidRDefault="00D91782">
      <w:pPr>
        <w:pStyle w:val="tevilnatoka"/>
        <w:numPr>
          <w:ilvl w:val="0"/>
          <w:numId w:val="98"/>
        </w:numPr>
        <w:shd w:val="clear" w:color="auto" w:fill="FFFFFF" w:themeFill="background1"/>
        <w:tabs>
          <w:tab w:val="clear" w:pos="425"/>
        </w:tabs>
        <w:rPr>
          <w:rFonts w:cs="Arial"/>
          <w:bCs/>
          <w:sz w:val="20"/>
          <w:szCs w:val="20"/>
        </w:rPr>
      </w:pPr>
      <w:r w:rsidRPr="00215B2F">
        <w:rPr>
          <w:rFonts w:eastAsia="Arial" w:cs="Arial"/>
          <w:sz w:val="20"/>
          <w:szCs w:val="20"/>
        </w:rPr>
        <w:t xml:space="preserve">poslovni načrt banke za prva tri leta poslovanja, ki mora </w:t>
      </w:r>
      <w:r w:rsidR="007A7F5C" w:rsidRPr="00215B2F">
        <w:rPr>
          <w:rFonts w:eastAsia="Arial" w:cs="Arial"/>
          <w:sz w:val="20"/>
          <w:szCs w:val="20"/>
        </w:rPr>
        <w:t>vključevati</w:t>
      </w:r>
      <w:r w:rsidRPr="00215B2F">
        <w:rPr>
          <w:rFonts w:eastAsia="Arial" w:cs="Arial"/>
          <w:sz w:val="20"/>
          <w:szCs w:val="20"/>
        </w:rPr>
        <w:t xml:space="preserve"> tudi:</w:t>
      </w:r>
    </w:p>
    <w:p w14:paraId="663D2608" w14:textId="5BB40F45" w:rsidR="0059639B"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podrobnejši opis storitev, ki jih </w:t>
      </w:r>
      <w:r w:rsidR="00E6579F" w:rsidRPr="00215B2F">
        <w:rPr>
          <w:rFonts w:ascii="Arial" w:eastAsia="Arial" w:hAnsi="Arial" w:cs="Arial"/>
          <w:sz w:val="20"/>
          <w:szCs w:val="20"/>
        </w:rPr>
        <w:t xml:space="preserve">banka </w:t>
      </w:r>
      <w:r w:rsidRPr="00215B2F">
        <w:rPr>
          <w:rFonts w:ascii="Arial" w:eastAsia="Arial" w:hAnsi="Arial" w:cs="Arial"/>
          <w:sz w:val="20"/>
          <w:szCs w:val="20"/>
        </w:rPr>
        <w:t>namerava opravljati,</w:t>
      </w:r>
    </w:p>
    <w:p w14:paraId="3813584D" w14:textId="25BAA94D" w:rsidR="0059639B"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opis ureditve notranjega upravljanja iz </w:t>
      </w:r>
      <w:r w:rsidR="00AB5E7C" w:rsidRPr="00215B2F">
        <w:rPr>
          <w:rFonts w:ascii="Arial" w:eastAsia="Arial" w:hAnsi="Arial" w:cs="Arial"/>
          <w:sz w:val="20"/>
          <w:szCs w:val="20"/>
        </w:rPr>
        <w:t>177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00E6579F" w:rsidRPr="00215B2F">
        <w:rPr>
          <w:rFonts w:ascii="Arial" w:eastAsia="Arial" w:hAnsi="Arial" w:cs="Arial"/>
          <w:sz w:val="20"/>
          <w:szCs w:val="20"/>
        </w:rPr>
        <w:t>,</w:t>
      </w:r>
      <w:r w:rsidRPr="00215B2F">
        <w:rPr>
          <w:rFonts w:ascii="Arial" w:eastAsia="Arial" w:hAnsi="Arial" w:cs="Arial"/>
          <w:sz w:val="20"/>
          <w:szCs w:val="20"/>
        </w:rPr>
        <w:t xml:space="preserve"> </w:t>
      </w:r>
    </w:p>
    <w:p w14:paraId="3C0B5965" w14:textId="21543F76"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finančni načrt, vključno s projekcijo izpolnjevanja kapitalskih zahtev;</w:t>
      </w:r>
    </w:p>
    <w:p w14:paraId="7C7BB72E" w14:textId="7166EC73" w:rsidR="00895214" w:rsidRPr="00215B2F" w:rsidRDefault="00D91782" w:rsidP="00543D80">
      <w:pPr>
        <w:pStyle w:val="tevilnatoka"/>
        <w:rPr>
          <w:rFonts w:cs="Arial"/>
          <w:bCs/>
          <w:sz w:val="20"/>
          <w:szCs w:val="20"/>
        </w:rPr>
      </w:pPr>
      <w:r w:rsidRPr="00215B2F">
        <w:rPr>
          <w:rFonts w:eastAsia="Arial" w:cs="Arial"/>
          <w:sz w:val="20"/>
          <w:szCs w:val="20"/>
        </w:rPr>
        <w:t>seznam oseb, ki bodo pridobile kvalificiran</w:t>
      </w:r>
      <w:r w:rsidR="00E6579F" w:rsidRPr="00215B2F">
        <w:rPr>
          <w:rFonts w:eastAsia="Arial" w:cs="Arial"/>
          <w:sz w:val="20"/>
          <w:szCs w:val="20"/>
        </w:rPr>
        <w:t>i</w:t>
      </w:r>
      <w:r w:rsidRPr="00215B2F">
        <w:rPr>
          <w:rFonts w:eastAsia="Arial" w:cs="Arial"/>
          <w:sz w:val="20"/>
          <w:szCs w:val="20"/>
        </w:rPr>
        <w:t xml:space="preserve"> delež v banki, in višino kvalificiranega deleža, ki ga bo pridobil posamezni imetnik, ali če v banki ne bo imetnikov kvalificiranih deležev, seznam 20 največjih delničarjev banke in višino deleža, ki ga bo pridobil posamezni delničar ob ustanovitvi banke;</w:t>
      </w:r>
    </w:p>
    <w:p w14:paraId="0CBA3D98" w14:textId="77777777" w:rsidR="00895214" w:rsidRPr="00215B2F" w:rsidRDefault="00D91782" w:rsidP="00543D80">
      <w:pPr>
        <w:pStyle w:val="tevilnatoka"/>
        <w:rPr>
          <w:rFonts w:cs="Arial"/>
          <w:bCs/>
          <w:sz w:val="20"/>
          <w:szCs w:val="20"/>
        </w:rPr>
      </w:pPr>
      <w:r w:rsidRPr="00215B2F">
        <w:rPr>
          <w:rFonts w:eastAsia="Arial" w:cs="Arial"/>
          <w:sz w:val="20"/>
          <w:szCs w:val="20"/>
        </w:rPr>
        <w:t>seznam oseb, ki bodo z banko v razmerju tesne povezanosti, z opisom načina teh povezav;</w:t>
      </w:r>
    </w:p>
    <w:p w14:paraId="09DF5511" w14:textId="77777777" w:rsidR="00895214" w:rsidRPr="00215B2F" w:rsidRDefault="00D91782" w:rsidP="00543D80">
      <w:pPr>
        <w:pStyle w:val="tevilnatoka"/>
        <w:rPr>
          <w:rFonts w:cs="Arial"/>
          <w:bCs/>
          <w:sz w:val="20"/>
          <w:szCs w:val="20"/>
        </w:rPr>
      </w:pPr>
      <w:r w:rsidRPr="00215B2F">
        <w:rPr>
          <w:rFonts w:eastAsia="Arial" w:cs="Arial"/>
          <w:sz w:val="20"/>
          <w:szCs w:val="20"/>
        </w:rPr>
        <w:t>organizacijsko strukturo banke, vključno z navedbo nadrejenih oseb, finančnih holdingov in mešanih finančnih holdingov znotraj skupine;</w:t>
      </w:r>
    </w:p>
    <w:p w14:paraId="086C62CE" w14:textId="4D8974A4" w:rsidR="00895214" w:rsidRPr="00215B2F" w:rsidRDefault="00D91782" w:rsidP="00543D80">
      <w:pPr>
        <w:pStyle w:val="tevilnatoka"/>
        <w:rPr>
          <w:rFonts w:cs="Arial"/>
          <w:bCs/>
          <w:sz w:val="20"/>
          <w:szCs w:val="20"/>
        </w:rPr>
      </w:pPr>
      <w:r w:rsidRPr="00215B2F">
        <w:rPr>
          <w:rFonts w:eastAsia="Arial" w:cs="Arial"/>
          <w:sz w:val="20"/>
          <w:szCs w:val="20"/>
        </w:rPr>
        <w:t xml:space="preserve">zahteve za izdajo dovoljenj za opravljanje funkcij članov uprave v skladu z </w:t>
      </w:r>
      <w:r w:rsidR="00AB5E7C" w:rsidRPr="00215B2F">
        <w:rPr>
          <w:rFonts w:eastAsia="Arial" w:cs="Arial"/>
          <w:sz w:val="20"/>
          <w:szCs w:val="20"/>
        </w:rPr>
        <w:t>49</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 xml:space="preserve"> in funkcij članov nadzornega sveta v skladu s </w:t>
      </w:r>
      <w:r w:rsidR="00AB5E7C" w:rsidRPr="00215B2F">
        <w:rPr>
          <w:rFonts w:eastAsia="Arial" w:cs="Arial"/>
          <w:sz w:val="20"/>
          <w:szCs w:val="20"/>
        </w:rPr>
        <w:t>64</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w:t>
      </w:r>
    </w:p>
    <w:p w14:paraId="25876D5C" w14:textId="708DBBD9" w:rsidR="00D91782" w:rsidRPr="00215B2F" w:rsidRDefault="00D91782" w:rsidP="00543D80">
      <w:pPr>
        <w:pStyle w:val="tevilnatoka"/>
        <w:rPr>
          <w:rFonts w:cs="Arial"/>
          <w:bCs/>
          <w:sz w:val="20"/>
          <w:szCs w:val="20"/>
        </w:rPr>
      </w:pPr>
      <w:r w:rsidRPr="00215B2F">
        <w:rPr>
          <w:rFonts w:eastAsia="Arial" w:cs="Arial"/>
          <w:sz w:val="20"/>
          <w:szCs w:val="20"/>
        </w:rPr>
        <w:t>druge dokaze, iz katerih izhaja, da so izpolnjeni pogoji za izdajo dovoljenja za opravljanje bančnih storitev.</w:t>
      </w:r>
    </w:p>
    <w:p w14:paraId="392D79D1"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577B2D80" w14:textId="3389667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Če namerava banka poleg bančnih storitev opravljati tudi finančne ali dodatne finančne storitve, mora vložnik vložiti zahtevo in predložiti dokazila o izpolnjevanju pogojev za izdajo dovoljenja za opravljanje teh storitev.</w:t>
      </w:r>
    </w:p>
    <w:p w14:paraId="67C60A63"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42AF70A0" w14:textId="37AD8420" w:rsidR="00895214"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(4) Vložnik mora zagotoviti, da hkrati z vložitvijo zahteve za izdajo dovoljenja za opravljanje bančnih storitev</w:t>
      </w:r>
      <w:r w:rsidR="0059639B" w:rsidRPr="00215B2F">
        <w:rPr>
          <w:rFonts w:ascii="Arial" w:eastAsia="Arial" w:hAnsi="Arial" w:cs="Arial"/>
          <w:sz w:val="20"/>
          <w:szCs w:val="20"/>
        </w:rPr>
        <w:t xml:space="preserve"> </w:t>
      </w:r>
      <w:r w:rsidRPr="00215B2F">
        <w:rPr>
          <w:rFonts w:ascii="Arial" w:eastAsia="Arial" w:hAnsi="Arial" w:cs="Arial"/>
          <w:sz w:val="20"/>
          <w:szCs w:val="20"/>
        </w:rPr>
        <w:t>osebe, ki bodo z ustanovitvijo banke pridobile kvalificiran</w:t>
      </w:r>
      <w:r w:rsidR="00164D15" w:rsidRPr="00215B2F">
        <w:rPr>
          <w:rFonts w:ascii="Arial" w:eastAsia="Arial" w:hAnsi="Arial" w:cs="Arial"/>
          <w:sz w:val="20"/>
          <w:szCs w:val="20"/>
        </w:rPr>
        <w:t>i</w:t>
      </w:r>
      <w:r w:rsidRPr="00215B2F">
        <w:rPr>
          <w:rFonts w:ascii="Arial" w:eastAsia="Arial" w:hAnsi="Arial" w:cs="Arial"/>
          <w:sz w:val="20"/>
          <w:szCs w:val="20"/>
        </w:rPr>
        <w:t xml:space="preserve"> delež v banki, vložijo zahteve za izdajo dovoljenj za pridobitev kvalificiranih deležev v banki v skladu </w:t>
      </w:r>
      <w:r w:rsidR="00164D15" w:rsidRPr="00215B2F">
        <w:rPr>
          <w:rFonts w:ascii="Arial" w:eastAsia="Arial" w:hAnsi="Arial" w:cs="Arial"/>
          <w:sz w:val="20"/>
          <w:szCs w:val="20"/>
        </w:rPr>
        <w:t xml:space="preserve">s </w:t>
      </w:r>
      <w:r w:rsidR="00AB5E7C" w:rsidRPr="00215B2F">
        <w:rPr>
          <w:rFonts w:ascii="Arial" w:eastAsia="Arial" w:hAnsi="Arial" w:cs="Arial"/>
          <w:sz w:val="20"/>
          <w:szCs w:val="20"/>
        </w:rPr>
        <w:t>85</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00005926" w:rsidRPr="00215B2F">
        <w:rPr>
          <w:rFonts w:ascii="Arial" w:eastAsia="Arial" w:hAnsi="Arial" w:cs="Arial"/>
          <w:sz w:val="20"/>
          <w:szCs w:val="20"/>
        </w:rPr>
        <w:t>.</w:t>
      </w:r>
    </w:p>
    <w:p w14:paraId="7949BAB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C8C7677"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86" w:name="_Ref202964185"/>
      <w:r w:rsidRPr="00215B2F">
        <w:rPr>
          <w:rFonts w:ascii="Arial" w:eastAsia="Arial" w:hAnsi="Arial" w:cs="Arial"/>
          <w:b/>
          <w:bCs/>
          <w:sz w:val="20"/>
          <w:szCs w:val="20"/>
        </w:rPr>
        <w:t>člen</w:t>
      </w:r>
      <w:bookmarkEnd w:id="186"/>
    </w:p>
    <w:p w14:paraId="281799EC" w14:textId="77777777" w:rsidR="00D91782" w:rsidRPr="00215B2F" w:rsidRDefault="00D91782" w:rsidP="00FD5520">
      <w:pPr>
        <w:pStyle w:val="Slog1"/>
        <w:shd w:val="clear" w:color="auto" w:fill="FFFFFF" w:themeFill="background1"/>
        <w:rPr>
          <w:sz w:val="20"/>
          <w:szCs w:val="20"/>
        </w:rPr>
      </w:pPr>
      <w:r w:rsidRPr="00215B2F">
        <w:rPr>
          <w:sz w:val="20"/>
          <w:szCs w:val="20"/>
        </w:rPr>
        <w:t>(posvetovanje s pristojnimi organi držav članic)</w:t>
      </w:r>
    </w:p>
    <w:p w14:paraId="2C78C648" w14:textId="77777777" w:rsidR="00D91782" w:rsidRPr="00215B2F" w:rsidRDefault="00D91782" w:rsidP="00FD5520">
      <w:pPr>
        <w:pStyle w:val="Slog1"/>
        <w:shd w:val="clear" w:color="auto" w:fill="FFFFFF" w:themeFill="background1"/>
        <w:rPr>
          <w:sz w:val="20"/>
          <w:szCs w:val="20"/>
        </w:rPr>
      </w:pPr>
    </w:p>
    <w:p w14:paraId="305B7FF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se v zvezi s presojo zahteve za izdajo dovoljenja za opravljanje bančnih storitev posvetuje s pristojnim organom države članice, če bo:</w:t>
      </w:r>
    </w:p>
    <w:p w14:paraId="16A015FA"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7F2318C4" w14:textId="77777777" w:rsidR="00895214" w:rsidRPr="00215B2F" w:rsidRDefault="00D91782">
      <w:pPr>
        <w:pStyle w:val="tevilnatoka"/>
        <w:numPr>
          <w:ilvl w:val="0"/>
          <w:numId w:val="100"/>
        </w:numPr>
        <w:shd w:val="clear" w:color="auto" w:fill="FFFFFF" w:themeFill="background1"/>
        <w:tabs>
          <w:tab w:val="clear" w:pos="425"/>
        </w:tabs>
        <w:rPr>
          <w:rFonts w:cs="Arial"/>
          <w:bCs/>
          <w:sz w:val="20"/>
          <w:szCs w:val="20"/>
        </w:rPr>
      </w:pPr>
      <w:r w:rsidRPr="00215B2F">
        <w:rPr>
          <w:rFonts w:eastAsia="Arial" w:cs="Arial"/>
          <w:sz w:val="20"/>
          <w:szCs w:val="20"/>
        </w:rPr>
        <w:t>banka podrejena banki države članice,</w:t>
      </w:r>
    </w:p>
    <w:p w14:paraId="0C9237E1" w14:textId="77777777" w:rsidR="00895214" w:rsidRPr="00215B2F" w:rsidRDefault="00D91782">
      <w:pPr>
        <w:pStyle w:val="tevilnatoka"/>
        <w:numPr>
          <w:ilvl w:val="0"/>
          <w:numId w:val="100"/>
        </w:numPr>
        <w:shd w:val="clear" w:color="auto" w:fill="FFFFFF" w:themeFill="background1"/>
        <w:tabs>
          <w:tab w:val="clear" w:pos="425"/>
        </w:tabs>
        <w:rPr>
          <w:rFonts w:cs="Arial"/>
          <w:bCs/>
          <w:sz w:val="20"/>
          <w:szCs w:val="20"/>
        </w:rPr>
      </w:pPr>
      <w:r w:rsidRPr="00215B2F">
        <w:rPr>
          <w:rFonts w:eastAsia="Arial" w:cs="Arial"/>
          <w:sz w:val="20"/>
          <w:szCs w:val="20"/>
        </w:rPr>
        <w:t>banka podrejena nadrejeni družbi banke države članice,</w:t>
      </w:r>
    </w:p>
    <w:p w14:paraId="005BCCB8" w14:textId="3FC53BC1" w:rsidR="00D91782" w:rsidRPr="00215B2F" w:rsidRDefault="00D91782">
      <w:pPr>
        <w:pStyle w:val="tevilnatoka"/>
        <w:numPr>
          <w:ilvl w:val="0"/>
          <w:numId w:val="100"/>
        </w:numPr>
        <w:shd w:val="clear" w:color="auto" w:fill="FFFFFF" w:themeFill="background1"/>
        <w:tabs>
          <w:tab w:val="clear" w:pos="425"/>
        </w:tabs>
        <w:rPr>
          <w:rFonts w:cs="Arial"/>
          <w:bCs/>
          <w:sz w:val="20"/>
          <w:szCs w:val="20"/>
        </w:rPr>
      </w:pPr>
      <w:r w:rsidRPr="00215B2F">
        <w:rPr>
          <w:rFonts w:eastAsia="Arial" w:cs="Arial"/>
          <w:sz w:val="20"/>
          <w:szCs w:val="20"/>
        </w:rPr>
        <w:t>banko obvladovala ista fizična ali pravna oseba, ki obvladuje banko države članice.</w:t>
      </w:r>
    </w:p>
    <w:p w14:paraId="5D2E4835"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5CC958F4" w14:textId="7226FFB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se v zvezi z zahtevo za izdajo dovoljenja za opravljanje bančnih storitev posvetuje z organom države članice, ki je pristojen za nadzor nad zavarovalnicami ter za nadzor nad investicijskimi podjetji, če bo:</w:t>
      </w:r>
    </w:p>
    <w:p w14:paraId="11AE98C2"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63CD154A" w14:textId="77777777" w:rsidR="00895214" w:rsidRPr="00215B2F" w:rsidRDefault="00D91782">
      <w:pPr>
        <w:pStyle w:val="tevilnatoka"/>
        <w:numPr>
          <w:ilvl w:val="0"/>
          <w:numId w:val="101"/>
        </w:numPr>
        <w:shd w:val="clear" w:color="auto" w:fill="FFFFFF" w:themeFill="background1"/>
        <w:tabs>
          <w:tab w:val="clear" w:pos="425"/>
        </w:tabs>
        <w:rPr>
          <w:rFonts w:cs="Arial"/>
          <w:bCs/>
          <w:sz w:val="20"/>
          <w:szCs w:val="20"/>
        </w:rPr>
      </w:pPr>
      <w:r w:rsidRPr="00215B2F">
        <w:rPr>
          <w:rFonts w:eastAsia="Arial" w:cs="Arial"/>
          <w:sz w:val="20"/>
          <w:szCs w:val="20"/>
        </w:rPr>
        <w:t>banka podrejena investicijskemu podjetju ali zavarovalnici države članice,</w:t>
      </w:r>
    </w:p>
    <w:p w14:paraId="7E8BCE47" w14:textId="77777777" w:rsidR="00895214" w:rsidRPr="00215B2F" w:rsidRDefault="00D91782">
      <w:pPr>
        <w:pStyle w:val="tevilnatoka"/>
        <w:numPr>
          <w:ilvl w:val="0"/>
          <w:numId w:val="101"/>
        </w:numPr>
        <w:shd w:val="clear" w:color="auto" w:fill="FFFFFF" w:themeFill="background1"/>
        <w:tabs>
          <w:tab w:val="clear" w:pos="425"/>
        </w:tabs>
        <w:rPr>
          <w:rFonts w:cs="Arial"/>
          <w:bCs/>
          <w:sz w:val="20"/>
          <w:szCs w:val="20"/>
        </w:rPr>
      </w:pPr>
      <w:r w:rsidRPr="00215B2F">
        <w:rPr>
          <w:rFonts w:eastAsia="Arial" w:cs="Arial"/>
          <w:sz w:val="20"/>
          <w:szCs w:val="20"/>
        </w:rPr>
        <w:t>banka podrejena nadrejeni družbi investicijskega podjetja ali zavarovalnice države članice,</w:t>
      </w:r>
    </w:p>
    <w:p w14:paraId="5C73BECC" w14:textId="16474E29" w:rsidR="00D91782" w:rsidRPr="00215B2F" w:rsidRDefault="00D91782">
      <w:pPr>
        <w:pStyle w:val="tevilnatoka"/>
        <w:numPr>
          <w:ilvl w:val="0"/>
          <w:numId w:val="101"/>
        </w:numPr>
        <w:shd w:val="clear" w:color="auto" w:fill="FFFFFF" w:themeFill="background1"/>
        <w:tabs>
          <w:tab w:val="clear" w:pos="425"/>
        </w:tabs>
        <w:rPr>
          <w:rFonts w:cs="Arial"/>
          <w:bCs/>
          <w:sz w:val="20"/>
          <w:szCs w:val="20"/>
        </w:rPr>
      </w:pPr>
      <w:r w:rsidRPr="00215B2F">
        <w:rPr>
          <w:rFonts w:eastAsia="Arial" w:cs="Arial"/>
          <w:sz w:val="20"/>
          <w:szCs w:val="20"/>
        </w:rPr>
        <w:t>banko obvladovala ista fizična ali pravna oseba, ki obvladuje investicijsko podjetje ali zavarovalnic</w:t>
      </w:r>
      <w:r w:rsidR="00375F6F" w:rsidRPr="00215B2F">
        <w:rPr>
          <w:rFonts w:eastAsia="Arial" w:cs="Arial"/>
          <w:sz w:val="20"/>
          <w:szCs w:val="20"/>
        </w:rPr>
        <w:t>o</w:t>
      </w:r>
      <w:r w:rsidRPr="00215B2F">
        <w:rPr>
          <w:rFonts w:eastAsia="Arial" w:cs="Arial"/>
          <w:sz w:val="20"/>
          <w:szCs w:val="20"/>
        </w:rPr>
        <w:t xml:space="preserve"> države članice.</w:t>
      </w:r>
    </w:p>
    <w:p w14:paraId="5E15658E"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5F6B7026" w14:textId="545C13B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v okviru posvetovanja na podlagi prvega in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pridobi mnenje pristojnega ali nadzornega organa države članice predvsem glede okoliščin, ki so pomembne za presojo primernosti imetnikov kvalificiranih deležev ter za presojo ugleda in izkušenj članov organov upravljanja banke, ki sodelujejo pri upravljanju drugih družb v skupini, ki so pomembne.</w:t>
      </w:r>
    </w:p>
    <w:p w14:paraId="37BA4C0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1047E4C"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87" w:name="_Ref202964201"/>
      <w:r w:rsidRPr="00215B2F">
        <w:rPr>
          <w:rFonts w:ascii="Arial" w:eastAsia="Arial" w:hAnsi="Arial" w:cs="Arial"/>
          <w:b/>
          <w:bCs/>
          <w:sz w:val="20"/>
          <w:szCs w:val="20"/>
        </w:rPr>
        <w:t>člen</w:t>
      </w:r>
      <w:bookmarkEnd w:id="187"/>
    </w:p>
    <w:p w14:paraId="22B0EA3B" w14:textId="77777777" w:rsidR="00D91782" w:rsidRPr="00215B2F" w:rsidRDefault="00D91782" w:rsidP="00FD5520">
      <w:pPr>
        <w:pStyle w:val="Slog1"/>
        <w:shd w:val="clear" w:color="auto" w:fill="FFFFFF" w:themeFill="background1"/>
        <w:rPr>
          <w:sz w:val="20"/>
          <w:szCs w:val="20"/>
        </w:rPr>
      </w:pPr>
      <w:r w:rsidRPr="00215B2F">
        <w:rPr>
          <w:sz w:val="20"/>
          <w:szCs w:val="20"/>
        </w:rPr>
        <w:t>(združitev odločitev o zahtevi za dovoljenje za opravljanje bančnih storitev)</w:t>
      </w:r>
    </w:p>
    <w:p w14:paraId="18ECD16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02ACB83" w14:textId="575C748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Slovenije pri odločanju o zahtevi za dovoljenje za opravljanje bančnih storitev odloči tudi o:</w:t>
      </w:r>
    </w:p>
    <w:p w14:paraId="4C105498"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1C913C15" w14:textId="77777777"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zahtevi za oceno primernosti za pridobitev kvalificiranega deleža, </w:t>
      </w:r>
    </w:p>
    <w:p w14:paraId="474E0AFE" w14:textId="77777777"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zahtevah za izdajo dovoljenja za opravljanje funkcije člana uprave,</w:t>
      </w:r>
    </w:p>
    <w:p w14:paraId="09C00C20" w14:textId="77777777"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zahtevah za izdajo dovoljenja za opravljanje funkcije člana nadzornega sveta,</w:t>
      </w:r>
    </w:p>
    <w:p w14:paraId="3B6AFF9F" w14:textId="28EF91FB"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zahtevi banke za opravljanje finančnih storitev. </w:t>
      </w:r>
    </w:p>
    <w:p w14:paraId="12DD45B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DC9285E"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88" w:name="_Ref202964205"/>
      <w:r w:rsidRPr="00215B2F">
        <w:rPr>
          <w:rFonts w:ascii="Arial" w:eastAsia="Arial" w:hAnsi="Arial" w:cs="Arial"/>
          <w:b/>
          <w:bCs/>
          <w:sz w:val="20"/>
          <w:szCs w:val="20"/>
        </w:rPr>
        <w:t>člen</w:t>
      </w:r>
      <w:bookmarkEnd w:id="188"/>
    </w:p>
    <w:p w14:paraId="642CB134" w14:textId="77777777" w:rsidR="00D91782" w:rsidRPr="00215B2F" w:rsidRDefault="00D91782" w:rsidP="00FD5520">
      <w:pPr>
        <w:pStyle w:val="Slog1"/>
        <w:shd w:val="clear" w:color="auto" w:fill="FFFFFF" w:themeFill="background1"/>
        <w:rPr>
          <w:sz w:val="20"/>
          <w:szCs w:val="20"/>
        </w:rPr>
      </w:pPr>
      <w:r w:rsidRPr="00215B2F">
        <w:rPr>
          <w:sz w:val="20"/>
          <w:szCs w:val="20"/>
        </w:rPr>
        <w:t>(odločanje o zahtevi za dovoljenje za opravljanje bančnih storitev)</w:t>
      </w:r>
    </w:p>
    <w:p w14:paraId="219715EC" w14:textId="77777777" w:rsidR="00D91782" w:rsidRPr="00215B2F" w:rsidRDefault="00D91782" w:rsidP="00FD5520">
      <w:pPr>
        <w:pStyle w:val="Slog1"/>
        <w:shd w:val="clear" w:color="auto" w:fill="FFFFFF" w:themeFill="background1"/>
        <w:jc w:val="both"/>
        <w:rPr>
          <w:sz w:val="20"/>
          <w:szCs w:val="20"/>
        </w:rPr>
      </w:pPr>
    </w:p>
    <w:p w14:paraId="3C30C62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zavrne zahtevo za izdajo dovoljenja za opravljanje bančnih storitev, če niso izpolnjene zahteve glede:</w:t>
      </w:r>
    </w:p>
    <w:p w14:paraId="3D8754BA"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29680EAD" w14:textId="433CD9E7" w:rsidR="00895214" w:rsidRPr="00215B2F" w:rsidRDefault="00D91782">
      <w:pPr>
        <w:pStyle w:val="tevilnatoka"/>
        <w:numPr>
          <w:ilvl w:val="0"/>
          <w:numId w:val="102"/>
        </w:numPr>
        <w:shd w:val="clear" w:color="auto" w:fill="FFFFFF" w:themeFill="background1"/>
        <w:tabs>
          <w:tab w:val="clear" w:pos="425"/>
        </w:tabs>
        <w:rPr>
          <w:rFonts w:cs="Arial"/>
          <w:bCs/>
          <w:sz w:val="20"/>
          <w:szCs w:val="20"/>
        </w:rPr>
      </w:pPr>
      <w:r w:rsidRPr="00215B2F">
        <w:rPr>
          <w:rFonts w:eastAsia="Arial" w:cs="Arial"/>
          <w:sz w:val="20"/>
          <w:szCs w:val="20"/>
        </w:rPr>
        <w:t xml:space="preserve">statusnega ustroja banke v skladu z določbami </w:t>
      </w:r>
      <w:r w:rsidR="005B0CC7" w:rsidRPr="00215B2F">
        <w:rPr>
          <w:rFonts w:eastAsia="Arial" w:cs="Arial"/>
          <w:sz w:val="20"/>
          <w:szCs w:val="20"/>
        </w:rPr>
        <w:t>o</w:t>
      </w:r>
      <w:r w:rsidR="001F2C7A" w:rsidRPr="00215B2F">
        <w:rPr>
          <w:rFonts w:eastAsia="Arial" w:cs="Arial"/>
          <w:sz w:val="20"/>
          <w:szCs w:val="20"/>
        </w:rPr>
        <w:t>ddelk</w:t>
      </w:r>
      <w:r w:rsidR="00375F6F" w:rsidRPr="00215B2F">
        <w:rPr>
          <w:rFonts w:eastAsia="Arial" w:cs="Arial"/>
          <w:sz w:val="20"/>
          <w:szCs w:val="20"/>
        </w:rPr>
        <w:t xml:space="preserve">ov </w:t>
      </w:r>
      <w:r w:rsidRPr="00215B2F">
        <w:rPr>
          <w:rFonts w:eastAsia="Arial" w:cs="Arial"/>
          <w:sz w:val="20"/>
          <w:szCs w:val="20"/>
        </w:rPr>
        <w:t>3.1 do 3.5 tega zakona, vključno s pogoji za nenasprotovanje pridobitvi kvalificiranih deležev kvalificiranim imetnikom ter pogoji za izdajo dovoljenj za opravljanje funkcij članov upravljalnih organov te banke</w:t>
      </w:r>
      <w:r w:rsidR="00E10B7C" w:rsidRPr="00215B2F">
        <w:rPr>
          <w:rFonts w:eastAsia="Arial" w:cs="Arial"/>
          <w:sz w:val="20"/>
          <w:szCs w:val="20"/>
        </w:rPr>
        <w:t>,</w:t>
      </w:r>
      <w:r w:rsidRPr="00215B2F">
        <w:rPr>
          <w:rFonts w:eastAsia="Arial" w:cs="Arial"/>
          <w:sz w:val="20"/>
          <w:szCs w:val="20"/>
        </w:rPr>
        <w:t xml:space="preserve"> ali</w:t>
      </w:r>
    </w:p>
    <w:p w14:paraId="48E24864" w14:textId="10803AC7" w:rsidR="00895214" w:rsidRPr="00215B2F" w:rsidRDefault="00D91782">
      <w:pPr>
        <w:pStyle w:val="tevilnatoka"/>
        <w:numPr>
          <w:ilvl w:val="0"/>
          <w:numId w:val="102"/>
        </w:numPr>
        <w:shd w:val="clear" w:color="auto" w:fill="FFFFFF" w:themeFill="background1"/>
        <w:tabs>
          <w:tab w:val="clear" w:pos="425"/>
        </w:tabs>
        <w:rPr>
          <w:rFonts w:cs="Arial"/>
          <w:bCs/>
          <w:sz w:val="20"/>
          <w:szCs w:val="20"/>
        </w:rPr>
      </w:pPr>
      <w:r w:rsidRPr="00215B2F">
        <w:rPr>
          <w:rFonts w:eastAsia="Arial" w:cs="Arial"/>
          <w:sz w:val="20"/>
          <w:szCs w:val="20"/>
        </w:rPr>
        <w:t xml:space="preserve">ureditve notranjega upravljanja v skladu s </w:t>
      </w:r>
      <w:r w:rsidR="00DA7B28" w:rsidRPr="00215B2F">
        <w:rPr>
          <w:rFonts w:eastAsia="Arial" w:cs="Arial"/>
          <w:sz w:val="20"/>
          <w:szCs w:val="20"/>
        </w:rPr>
        <w:t>177</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 ki omogoča preudarno in učinkovito upravljanje tveganj</w:t>
      </w:r>
      <w:r w:rsidR="00E10B7C" w:rsidRPr="00215B2F">
        <w:rPr>
          <w:rFonts w:eastAsia="Arial" w:cs="Arial"/>
          <w:sz w:val="20"/>
          <w:szCs w:val="20"/>
        </w:rPr>
        <w:t>,</w:t>
      </w:r>
      <w:r w:rsidRPr="00215B2F">
        <w:rPr>
          <w:rFonts w:eastAsia="Arial" w:cs="Arial"/>
          <w:sz w:val="20"/>
          <w:szCs w:val="20"/>
        </w:rPr>
        <w:t xml:space="preserve"> ali</w:t>
      </w:r>
    </w:p>
    <w:p w14:paraId="233726E6" w14:textId="225B9F30" w:rsidR="00895214" w:rsidRPr="00215B2F" w:rsidRDefault="00D91782">
      <w:pPr>
        <w:pStyle w:val="tevilnatoka"/>
        <w:numPr>
          <w:ilvl w:val="0"/>
          <w:numId w:val="102"/>
        </w:numPr>
        <w:shd w:val="clear" w:color="auto" w:fill="FFFFFF" w:themeFill="background1"/>
        <w:tabs>
          <w:tab w:val="clear" w:pos="425"/>
        </w:tabs>
        <w:rPr>
          <w:rFonts w:cs="Arial"/>
          <w:bCs/>
          <w:sz w:val="20"/>
          <w:szCs w:val="20"/>
        </w:rPr>
      </w:pPr>
      <w:r w:rsidRPr="00215B2F">
        <w:rPr>
          <w:rFonts w:eastAsia="Arial" w:cs="Arial"/>
          <w:sz w:val="20"/>
          <w:szCs w:val="20"/>
        </w:rPr>
        <w:t>pogojev za izvajanje učinkovitega nadzora v skladu s tem zakonom in Uredbo 575/2013/EU, zlasti če bo zaradi tesnih povezav banke z drugimi osebami oteženo izvajanje takega nadzora</w:t>
      </w:r>
      <w:r w:rsidR="00E10B7C" w:rsidRPr="00215B2F">
        <w:rPr>
          <w:rFonts w:eastAsia="Arial" w:cs="Arial"/>
          <w:sz w:val="20"/>
          <w:szCs w:val="20"/>
        </w:rPr>
        <w:t>,</w:t>
      </w:r>
      <w:r w:rsidRPr="00215B2F">
        <w:rPr>
          <w:rFonts w:eastAsia="Arial" w:cs="Arial"/>
          <w:sz w:val="20"/>
          <w:szCs w:val="20"/>
        </w:rPr>
        <w:t xml:space="preserve"> ali</w:t>
      </w:r>
    </w:p>
    <w:p w14:paraId="30A94EF0" w14:textId="2FF6C570" w:rsidR="00D91782" w:rsidRPr="00215B2F" w:rsidRDefault="00D91782">
      <w:pPr>
        <w:pStyle w:val="tevilnatoka"/>
        <w:numPr>
          <w:ilvl w:val="0"/>
          <w:numId w:val="102"/>
        </w:numPr>
        <w:shd w:val="clear" w:color="auto" w:fill="FFFFFF" w:themeFill="background1"/>
        <w:tabs>
          <w:tab w:val="clear" w:pos="425"/>
        </w:tabs>
        <w:rPr>
          <w:rFonts w:cs="Arial"/>
          <w:bCs/>
          <w:sz w:val="20"/>
          <w:szCs w:val="20"/>
        </w:rPr>
      </w:pPr>
      <w:r w:rsidRPr="00215B2F">
        <w:rPr>
          <w:rFonts w:eastAsia="Arial" w:cs="Arial"/>
          <w:sz w:val="20"/>
          <w:szCs w:val="20"/>
        </w:rPr>
        <w:t>zagotavljanja ustreznega kapitala, k</w:t>
      </w:r>
      <w:r w:rsidR="00EB484E" w:rsidRPr="00215B2F">
        <w:rPr>
          <w:rFonts w:eastAsia="Arial" w:cs="Arial"/>
          <w:sz w:val="20"/>
          <w:szCs w:val="20"/>
        </w:rPr>
        <w:t>akor</w:t>
      </w:r>
      <w:r w:rsidRPr="00215B2F">
        <w:rPr>
          <w:rFonts w:eastAsia="Arial" w:cs="Arial"/>
          <w:sz w:val="20"/>
          <w:szCs w:val="20"/>
        </w:rPr>
        <w:t xml:space="preserve"> je opredeljen v poslovnem načrtu iz 2. točke drugega odstavka </w:t>
      </w:r>
      <w:r w:rsidR="00DA7B28" w:rsidRPr="00215B2F">
        <w:rPr>
          <w:rFonts w:eastAsia="Arial" w:cs="Arial"/>
          <w:sz w:val="20"/>
          <w:szCs w:val="20"/>
        </w:rPr>
        <w:t>144</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20D3AC87" w14:textId="77777777" w:rsidR="002B689C" w:rsidRPr="00215B2F" w:rsidRDefault="002B689C" w:rsidP="00FD5520">
      <w:pPr>
        <w:shd w:val="clear" w:color="auto" w:fill="FFFFFF" w:themeFill="background1"/>
        <w:spacing w:after="0" w:line="240" w:lineRule="auto"/>
        <w:jc w:val="both"/>
        <w:rPr>
          <w:rFonts w:ascii="Arial" w:eastAsia="Arial" w:hAnsi="Arial" w:cs="Arial"/>
          <w:sz w:val="20"/>
          <w:szCs w:val="20"/>
        </w:rPr>
      </w:pPr>
    </w:p>
    <w:p w14:paraId="6A461E1C" w14:textId="29011AB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zavrne zahtevo za izdajo dovoljenja za opravljanje bančnih storitev, kadar zakoni in drugi predpisi v tretji državi, ki veljajo za eno ali več oseb, ki so v razmerju tesne povezanosti z banko, ali težave pri izv</w:t>
      </w:r>
      <w:r w:rsidR="00E10B7C" w:rsidRPr="00215B2F">
        <w:rPr>
          <w:rFonts w:ascii="Arial" w:eastAsia="Arial" w:hAnsi="Arial" w:cs="Arial"/>
          <w:sz w:val="20"/>
          <w:szCs w:val="20"/>
        </w:rPr>
        <w:t>aj</w:t>
      </w:r>
      <w:r w:rsidRPr="00215B2F">
        <w:rPr>
          <w:rFonts w:ascii="Arial" w:eastAsia="Arial" w:hAnsi="Arial" w:cs="Arial"/>
          <w:sz w:val="20"/>
          <w:szCs w:val="20"/>
        </w:rPr>
        <w:t>anju navedenih zakonov in drugih predpisov preprečujejo učinkovito izvajanje nadzora nad banko.</w:t>
      </w:r>
    </w:p>
    <w:p w14:paraId="525D6579"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1EFDF89B" w14:textId="1C0E022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(3) Če Banka Slovenije ugotovi, da razlogi iz prvega ali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za zavrnitev zahteve za izdajo dovoljenja za opravljanje bančnih storitev niso podani, zahtevo za izdajo dovoljenja po</w:t>
      </w:r>
      <w:r w:rsidR="00AF5955" w:rsidRPr="00215B2F">
        <w:rPr>
          <w:rFonts w:ascii="Arial" w:eastAsia="Arial" w:hAnsi="Arial" w:cs="Arial"/>
          <w:sz w:val="20"/>
          <w:szCs w:val="20"/>
        </w:rPr>
        <w:t>šl</w:t>
      </w:r>
      <w:r w:rsidRPr="00215B2F">
        <w:rPr>
          <w:rFonts w:ascii="Arial" w:eastAsia="Arial" w:hAnsi="Arial" w:cs="Arial"/>
          <w:sz w:val="20"/>
          <w:szCs w:val="20"/>
        </w:rPr>
        <w:t xml:space="preserve">je Evropski centralni banki v skladu s 14. členom in točko (a) prvega odstavka 4. člena Uredbe 1024/2013/EU </w:t>
      </w:r>
      <w:r w:rsidR="00AF5955" w:rsidRPr="00215B2F">
        <w:rPr>
          <w:rFonts w:ascii="Arial" w:eastAsia="Arial" w:hAnsi="Arial" w:cs="Arial"/>
          <w:sz w:val="20"/>
          <w:szCs w:val="20"/>
        </w:rPr>
        <w:t xml:space="preserve">ter </w:t>
      </w:r>
      <w:r w:rsidRPr="00215B2F">
        <w:rPr>
          <w:rFonts w:ascii="Arial" w:eastAsia="Arial" w:hAnsi="Arial" w:cs="Arial"/>
          <w:sz w:val="20"/>
          <w:szCs w:val="20"/>
        </w:rPr>
        <w:t xml:space="preserve">o tem obvesti stranke postopka. Postopek odločanja o zahtevi za izdajo dovoljenja za opravljanje bančnih storitev se nadaljuje pred Evropsko centralno banko </w:t>
      </w:r>
      <w:r w:rsidR="00AF5955" w:rsidRPr="00215B2F">
        <w:rPr>
          <w:rFonts w:ascii="Arial" w:eastAsia="Arial" w:hAnsi="Arial" w:cs="Arial"/>
          <w:sz w:val="20"/>
          <w:szCs w:val="20"/>
        </w:rPr>
        <w:t xml:space="preserve">v </w:t>
      </w:r>
      <w:r w:rsidRPr="00215B2F">
        <w:rPr>
          <w:rFonts w:ascii="Arial" w:eastAsia="Arial" w:hAnsi="Arial" w:cs="Arial"/>
          <w:sz w:val="20"/>
          <w:szCs w:val="20"/>
        </w:rPr>
        <w:t>sklad</w:t>
      </w:r>
      <w:r w:rsidR="00AF5955" w:rsidRPr="00215B2F">
        <w:rPr>
          <w:rFonts w:ascii="Arial" w:eastAsia="Arial" w:hAnsi="Arial" w:cs="Arial"/>
          <w:sz w:val="20"/>
          <w:szCs w:val="20"/>
        </w:rPr>
        <w:t>u</w:t>
      </w:r>
      <w:r w:rsidRPr="00215B2F">
        <w:rPr>
          <w:rFonts w:ascii="Arial" w:eastAsia="Arial" w:hAnsi="Arial" w:cs="Arial"/>
          <w:sz w:val="20"/>
          <w:szCs w:val="20"/>
        </w:rPr>
        <w:t xml:space="preserve"> z Uredbo 1024/2013/EU.</w:t>
      </w:r>
    </w:p>
    <w:p w14:paraId="26AB67D3"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10372362" w14:textId="6BD6701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V dovoljenju za opravljanje bančnih storitev se lahko, </w:t>
      </w:r>
      <w:r w:rsidR="00AB0740" w:rsidRPr="00215B2F">
        <w:rPr>
          <w:rFonts w:ascii="Arial" w:eastAsia="Arial" w:hAnsi="Arial" w:cs="Arial"/>
          <w:sz w:val="20"/>
          <w:szCs w:val="20"/>
        </w:rPr>
        <w:t xml:space="preserve">z namenom </w:t>
      </w:r>
      <w:r w:rsidRPr="00215B2F">
        <w:rPr>
          <w:rFonts w:ascii="Arial" w:eastAsia="Arial" w:hAnsi="Arial" w:cs="Arial"/>
          <w:sz w:val="20"/>
          <w:szCs w:val="20"/>
        </w:rPr>
        <w:t xml:space="preserve">da se preprečijo </w:t>
      </w:r>
      <w:bookmarkStart w:id="189" w:name="_Hlk214737491"/>
      <w:r w:rsidRPr="00215B2F">
        <w:rPr>
          <w:rFonts w:ascii="Arial" w:eastAsia="Arial" w:hAnsi="Arial" w:cs="Arial"/>
          <w:sz w:val="20"/>
          <w:szCs w:val="20"/>
        </w:rPr>
        <w:t>kršitve tega zakona ali Uredbe 575/2013/EU, določijo pogoji ali omejitve za opravljanje storitev, za katere se izdaja dovoljenje.</w:t>
      </w:r>
      <w:bookmarkEnd w:id="189"/>
    </w:p>
    <w:p w14:paraId="14E9DF8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B30209E"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90" w:name="_Ref202964215"/>
      <w:r w:rsidRPr="00215B2F">
        <w:rPr>
          <w:rFonts w:ascii="Arial" w:eastAsia="Arial" w:hAnsi="Arial" w:cs="Arial"/>
          <w:b/>
          <w:bCs/>
          <w:sz w:val="20"/>
          <w:szCs w:val="20"/>
        </w:rPr>
        <w:t>člen</w:t>
      </w:r>
      <w:bookmarkEnd w:id="190"/>
    </w:p>
    <w:p w14:paraId="75F32847" w14:textId="77777777" w:rsidR="00D91782" w:rsidRPr="00215B2F" w:rsidRDefault="00D91782" w:rsidP="00FD5520">
      <w:pPr>
        <w:pStyle w:val="Slog1"/>
        <w:shd w:val="clear" w:color="auto" w:fill="FFFFFF" w:themeFill="background1"/>
        <w:rPr>
          <w:sz w:val="20"/>
          <w:szCs w:val="20"/>
        </w:rPr>
      </w:pPr>
      <w:r w:rsidRPr="00215B2F">
        <w:rPr>
          <w:sz w:val="20"/>
          <w:szCs w:val="20"/>
        </w:rPr>
        <w:t>(dovoljenje za opravljanje finančnih in dodatnih finančnih storitev)</w:t>
      </w:r>
    </w:p>
    <w:p w14:paraId="0C5D25A1" w14:textId="77777777" w:rsidR="00D91782" w:rsidRPr="00215B2F" w:rsidRDefault="00D91782" w:rsidP="00FD5520">
      <w:pPr>
        <w:pStyle w:val="Slog1"/>
        <w:shd w:val="clear" w:color="auto" w:fill="FFFFFF" w:themeFill="background1"/>
        <w:rPr>
          <w:sz w:val="20"/>
          <w:szCs w:val="20"/>
        </w:rPr>
      </w:pPr>
    </w:p>
    <w:p w14:paraId="6C795273" w14:textId="2937D5B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ki namerava po ustanovitvi začeti opravljati finančne storitve iz 5.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ali dodatne finančne storitve iz 6.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mora za vsako od teh storitev pridobiti dovoljenje Banke Slovenije, razen za storitve iz tretjega odstavka </w:t>
      </w:r>
      <w:r w:rsidR="00DA7B28" w:rsidRPr="00215B2F">
        <w:rPr>
          <w:rFonts w:ascii="Arial" w:eastAsia="Arial" w:hAnsi="Arial" w:cs="Arial"/>
          <w:sz w:val="20"/>
          <w:szCs w:val="20"/>
        </w:rPr>
        <w:t>140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401AFD3C"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055CF221" w14:textId="0422A4D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mora pridobiti dovoljenje za opravljanje finančnih in dodatnih finančnih storitev iz prejšnjega odstavka pred začetkom opravljanja teh storitev.</w:t>
      </w:r>
    </w:p>
    <w:p w14:paraId="59C1824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FAFB0A9"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91" w:name="_Ref202964221"/>
      <w:r w:rsidRPr="00215B2F">
        <w:rPr>
          <w:rFonts w:ascii="Arial" w:eastAsia="Arial" w:hAnsi="Arial" w:cs="Arial"/>
          <w:b/>
          <w:bCs/>
          <w:sz w:val="20"/>
          <w:szCs w:val="20"/>
        </w:rPr>
        <w:t>člen</w:t>
      </w:r>
      <w:bookmarkEnd w:id="191"/>
    </w:p>
    <w:p w14:paraId="5DA7DD50" w14:textId="77777777" w:rsidR="00D91782" w:rsidRPr="00215B2F" w:rsidRDefault="00D91782" w:rsidP="00FD5520">
      <w:pPr>
        <w:pStyle w:val="Slog1"/>
        <w:shd w:val="clear" w:color="auto" w:fill="FFFFFF" w:themeFill="background1"/>
        <w:rPr>
          <w:sz w:val="20"/>
          <w:szCs w:val="20"/>
        </w:rPr>
      </w:pPr>
      <w:r w:rsidRPr="00215B2F">
        <w:rPr>
          <w:sz w:val="20"/>
          <w:szCs w:val="20"/>
        </w:rPr>
        <w:t>(zahteva za izdajo dovoljenja za opravljanje finančnih in dodatnih finančnih storitev)</w:t>
      </w:r>
    </w:p>
    <w:p w14:paraId="0BE21EC8" w14:textId="77777777" w:rsidR="00D91782" w:rsidRPr="00215B2F" w:rsidRDefault="00D91782" w:rsidP="00FD5520">
      <w:pPr>
        <w:pStyle w:val="Slog1"/>
        <w:shd w:val="clear" w:color="auto" w:fill="FFFFFF" w:themeFill="background1"/>
        <w:jc w:val="both"/>
        <w:rPr>
          <w:sz w:val="20"/>
          <w:szCs w:val="20"/>
        </w:rPr>
      </w:pPr>
    </w:p>
    <w:p w14:paraId="7CC3948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192" w:name="_Hlk203565898"/>
      <w:r w:rsidRPr="00215B2F">
        <w:rPr>
          <w:rFonts w:ascii="Arial" w:eastAsia="Arial" w:hAnsi="Arial" w:cs="Arial"/>
          <w:sz w:val="20"/>
          <w:szCs w:val="20"/>
        </w:rPr>
        <w:t>(1) Zahteva za izdajo dovoljenja za opravljanje finančnih in dodatnih finančnih storitev se vloži pri Banki Slovenije.</w:t>
      </w:r>
    </w:p>
    <w:p w14:paraId="4BD34C4B"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7625EFE2" w14:textId="6F3E80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Zahtevi iz prejšnjega odstavka mora banka priložiti:</w:t>
      </w:r>
    </w:p>
    <w:p w14:paraId="4DBD38F2"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2870A039" w14:textId="4B2A9C03" w:rsidR="00D91782" w:rsidRPr="00215B2F" w:rsidRDefault="00D91782">
      <w:pPr>
        <w:pStyle w:val="tevilnatoka"/>
        <w:numPr>
          <w:ilvl w:val="0"/>
          <w:numId w:val="103"/>
        </w:numPr>
        <w:shd w:val="clear" w:color="auto" w:fill="FFFFFF" w:themeFill="background1"/>
        <w:tabs>
          <w:tab w:val="clear" w:pos="425"/>
        </w:tabs>
        <w:rPr>
          <w:rFonts w:cs="Arial"/>
          <w:bCs/>
          <w:sz w:val="20"/>
          <w:szCs w:val="20"/>
        </w:rPr>
      </w:pPr>
      <w:r w:rsidRPr="00215B2F">
        <w:rPr>
          <w:rFonts w:eastAsia="Arial" w:cs="Arial"/>
          <w:sz w:val="20"/>
          <w:szCs w:val="20"/>
        </w:rPr>
        <w:t xml:space="preserve">poslovni načrt banke za prva tri leta poslovanja, ki mora </w:t>
      </w:r>
      <w:r w:rsidR="00AB0740" w:rsidRPr="00215B2F">
        <w:rPr>
          <w:rFonts w:eastAsia="Arial" w:cs="Arial"/>
          <w:sz w:val="20"/>
          <w:szCs w:val="20"/>
        </w:rPr>
        <w:t xml:space="preserve">vključevati </w:t>
      </w:r>
      <w:r w:rsidRPr="00215B2F">
        <w:rPr>
          <w:rFonts w:eastAsia="Arial" w:cs="Arial"/>
          <w:sz w:val="20"/>
          <w:szCs w:val="20"/>
        </w:rPr>
        <w:t>tudi:</w:t>
      </w:r>
    </w:p>
    <w:p w14:paraId="25E0A758" w14:textId="6B2B7AEE"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podrobnejši opis dejavnosti, ki jih </w:t>
      </w:r>
      <w:r w:rsidR="00E96A13" w:rsidRPr="00215B2F">
        <w:rPr>
          <w:rFonts w:ascii="Arial" w:eastAsia="Arial" w:hAnsi="Arial" w:cs="Arial"/>
          <w:sz w:val="20"/>
          <w:szCs w:val="20"/>
        </w:rPr>
        <w:t xml:space="preserve">banka </w:t>
      </w:r>
      <w:r w:rsidRPr="00215B2F">
        <w:rPr>
          <w:rFonts w:ascii="Arial" w:eastAsia="Arial" w:hAnsi="Arial" w:cs="Arial"/>
          <w:sz w:val="20"/>
          <w:szCs w:val="20"/>
        </w:rPr>
        <w:t>namerava opravljati</w:t>
      </w:r>
      <w:r w:rsidR="00E96A13" w:rsidRPr="00215B2F">
        <w:rPr>
          <w:rFonts w:ascii="Arial" w:eastAsia="Arial" w:hAnsi="Arial" w:cs="Arial"/>
          <w:sz w:val="20"/>
          <w:szCs w:val="20"/>
        </w:rPr>
        <w:t>,</w:t>
      </w:r>
      <w:r w:rsidRPr="00215B2F">
        <w:rPr>
          <w:rFonts w:ascii="Arial" w:eastAsia="Arial" w:hAnsi="Arial" w:cs="Arial"/>
          <w:sz w:val="20"/>
          <w:szCs w:val="20"/>
        </w:rPr>
        <w:t xml:space="preserve"> in</w:t>
      </w:r>
    </w:p>
    <w:p w14:paraId="61B4E9EA" w14:textId="5E0DE46E"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opis ureditve notranjega upravljanja iz </w:t>
      </w:r>
      <w:r w:rsidR="00DA7B28" w:rsidRPr="00215B2F">
        <w:rPr>
          <w:rFonts w:ascii="Arial" w:eastAsia="Arial" w:hAnsi="Arial" w:cs="Arial"/>
          <w:sz w:val="20"/>
          <w:szCs w:val="20"/>
        </w:rPr>
        <w:t>177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6B3FCA43" w14:textId="77777777" w:rsidR="00895214" w:rsidRPr="00215B2F" w:rsidRDefault="00D91782" w:rsidP="00543D80">
      <w:pPr>
        <w:pStyle w:val="tevilnatoka"/>
        <w:rPr>
          <w:rFonts w:cs="Arial"/>
          <w:bCs/>
          <w:sz w:val="20"/>
          <w:szCs w:val="20"/>
        </w:rPr>
      </w:pPr>
      <w:r w:rsidRPr="00215B2F">
        <w:rPr>
          <w:rFonts w:eastAsia="Arial" w:cs="Arial"/>
          <w:sz w:val="20"/>
          <w:szCs w:val="20"/>
        </w:rPr>
        <w:t>druge informacije in dokazila, iz katerih izhaja, da bo banka v zvezi z izvajanjem načrtovanih storitev zagotavljala varno in skrbno upravljanje banke;</w:t>
      </w:r>
    </w:p>
    <w:p w14:paraId="74E3552A" w14:textId="425CB3E5" w:rsidR="00895214" w:rsidRPr="00215B2F" w:rsidRDefault="00D91782" w:rsidP="00543D80">
      <w:pPr>
        <w:pStyle w:val="tevilnatoka"/>
        <w:rPr>
          <w:rFonts w:cs="Arial"/>
          <w:bCs/>
          <w:sz w:val="20"/>
          <w:szCs w:val="20"/>
        </w:rPr>
      </w:pPr>
      <w:r w:rsidRPr="00215B2F">
        <w:rPr>
          <w:rFonts w:eastAsia="Arial" w:cs="Arial"/>
          <w:sz w:val="20"/>
          <w:szCs w:val="20"/>
        </w:rPr>
        <w:t>dokaze o izpolnjevanju pogojev, ki jih za opravljanje storitev iz prejšnjega odstavka določajo drugi predpisi</w:t>
      </w:r>
      <w:r w:rsidR="00E96A13" w:rsidRPr="00215B2F">
        <w:rPr>
          <w:rFonts w:eastAsia="Arial" w:cs="Arial"/>
          <w:sz w:val="20"/>
          <w:szCs w:val="20"/>
        </w:rPr>
        <w:t>,</w:t>
      </w:r>
    </w:p>
    <w:p w14:paraId="6C76A2EA" w14:textId="7E17F53E" w:rsidR="00D91782" w:rsidRPr="00215B2F" w:rsidRDefault="00D91782" w:rsidP="00543D80">
      <w:pPr>
        <w:pStyle w:val="tevilnatoka"/>
        <w:rPr>
          <w:rFonts w:cs="Arial"/>
          <w:bCs/>
          <w:sz w:val="20"/>
          <w:szCs w:val="20"/>
        </w:rPr>
      </w:pPr>
      <w:r w:rsidRPr="00215B2F">
        <w:rPr>
          <w:rFonts w:eastAsia="Arial" w:cs="Arial"/>
          <w:sz w:val="20"/>
          <w:szCs w:val="20"/>
        </w:rPr>
        <w:t xml:space="preserve">finančni načrt, vključno s projekcijo </w:t>
      </w:r>
      <w:r w:rsidR="00E96A13" w:rsidRPr="00215B2F">
        <w:rPr>
          <w:rFonts w:eastAsia="Arial" w:cs="Arial"/>
          <w:sz w:val="20"/>
          <w:szCs w:val="20"/>
        </w:rPr>
        <w:t>i</w:t>
      </w:r>
      <w:r w:rsidRPr="00215B2F">
        <w:rPr>
          <w:rFonts w:eastAsia="Arial" w:cs="Arial"/>
          <w:sz w:val="20"/>
          <w:szCs w:val="20"/>
        </w:rPr>
        <w:t>zpolnjevanja kapitalskih zahtev.</w:t>
      </w:r>
    </w:p>
    <w:p w14:paraId="5C04A98D"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1E54D88E" w14:textId="031F1F6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zavrne zahtevo za izdajo dovoljenja za opravljanje finančnih ali dodatnih finančnih storitev banke, če:</w:t>
      </w:r>
    </w:p>
    <w:p w14:paraId="41F117AB" w14:textId="77777777" w:rsidR="00EE2E1D" w:rsidRPr="00215B2F" w:rsidRDefault="00EE2E1D" w:rsidP="00FD5520">
      <w:pPr>
        <w:shd w:val="clear" w:color="auto" w:fill="FFFFFF" w:themeFill="background1"/>
        <w:spacing w:after="0" w:line="240" w:lineRule="auto"/>
        <w:jc w:val="both"/>
        <w:rPr>
          <w:rFonts w:ascii="Arial" w:eastAsia="Arial" w:hAnsi="Arial" w:cs="Arial"/>
          <w:sz w:val="20"/>
          <w:szCs w:val="20"/>
        </w:rPr>
      </w:pPr>
    </w:p>
    <w:p w14:paraId="2C663B9C" w14:textId="7828443B" w:rsidR="00EE2E1D" w:rsidRPr="00215B2F" w:rsidRDefault="00D91782" w:rsidP="00E94A53">
      <w:pPr>
        <w:pStyle w:val="tevilnatoka"/>
        <w:numPr>
          <w:ilvl w:val="0"/>
          <w:numId w:val="406"/>
        </w:numPr>
        <w:shd w:val="clear" w:color="auto" w:fill="FFFFFF" w:themeFill="background1"/>
        <w:tabs>
          <w:tab w:val="clear" w:pos="425"/>
        </w:tabs>
        <w:rPr>
          <w:rFonts w:cs="Arial"/>
          <w:bCs/>
          <w:sz w:val="20"/>
          <w:szCs w:val="20"/>
        </w:rPr>
      </w:pPr>
      <w:r w:rsidRPr="00215B2F">
        <w:rPr>
          <w:rFonts w:eastAsia="Arial" w:cs="Arial"/>
          <w:sz w:val="20"/>
          <w:szCs w:val="20"/>
        </w:rPr>
        <w:t xml:space="preserve">načrtovana ureditev notranjega upravljanja iz </w:t>
      </w:r>
      <w:r w:rsidR="00DA7B28" w:rsidRPr="00215B2F">
        <w:rPr>
          <w:rFonts w:eastAsia="Arial" w:cs="Arial"/>
          <w:sz w:val="20"/>
          <w:szCs w:val="20"/>
        </w:rPr>
        <w:t>177</w:t>
      </w:r>
      <w:r w:rsidRPr="00215B2F">
        <w:rPr>
          <w:rFonts w:eastAsia="Arial" w:cs="Arial"/>
          <w:sz w:val="20"/>
          <w:szCs w:val="20"/>
        </w:rPr>
        <w:t>. </w:t>
      </w:r>
      <w:r w:rsidR="001F2C7A" w:rsidRPr="00215B2F">
        <w:rPr>
          <w:rFonts w:eastAsia="Arial" w:cs="Arial"/>
          <w:sz w:val="20"/>
          <w:szCs w:val="20"/>
        </w:rPr>
        <w:t>člena tega zakona</w:t>
      </w:r>
      <w:r w:rsidRPr="00215B2F">
        <w:rPr>
          <w:rFonts w:eastAsia="Arial" w:cs="Arial"/>
          <w:sz w:val="20"/>
          <w:szCs w:val="20"/>
        </w:rPr>
        <w:t xml:space="preserve"> ni ustrezna in primerna za upravljanje tveganj, ki jim bo banka pri opravljanju načrtovanih storitev izpostavljena</w:t>
      </w:r>
      <w:r w:rsidR="00E808A6" w:rsidRPr="00215B2F">
        <w:rPr>
          <w:rFonts w:eastAsia="Arial" w:cs="Arial"/>
          <w:sz w:val="20"/>
          <w:szCs w:val="20"/>
        </w:rPr>
        <w:t>,</w:t>
      </w:r>
      <w:r w:rsidRPr="00215B2F">
        <w:rPr>
          <w:rFonts w:eastAsia="Arial" w:cs="Arial"/>
          <w:sz w:val="20"/>
          <w:szCs w:val="20"/>
        </w:rPr>
        <w:t xml:space="preserve"> ali</w:t>
      </w:r>
    </w:p>
    <w:p w14:paraId="203B3C8B" w14:textId="3BCE7D40" w:rsidR="00EE2E1D" w:rsidRPr="00215B2F" w:rsidRDefault="00D91782" w:rsidP="003D4DE0">
      <w:pPr>
        <w:pStyle w:val="tevilnatoka"/>
        <w:numPr>
          <w:ilvl w:val="0"/>
          <w:numId w:val="299"/>
        </w:numPr>
        <w:shd w:val="clear" w:color="auto" w:fill="FFFFFF" w:themeFill="background1"/>
        <w:tabs>
          <w:tab w:val="clear" w:pos="425"/>
        </w:tabs>
        <w:rPr>
          <w:rFonts w:cs="Arial"/>
          <w:bCs/>
          <w:sz w:val="20"/>
          <w:szCs w:val="20"/>
        </w:rPr>
      </w:pPr>
      <w:r w:rsidRPr="00215B2F">
        <w:rPr>
          <w:rFonts w:eastAsia="Arial" w:cs="Arial"/>
          <w:sz w:val="20"/>
          <w:szCs w:val="20"/>
        </w:rPr>
        <w:t>banka ne izpolnjuje pogojev, ki jih za opravljanje teh storitev določajo drugi predpisi</w:t>
      </w:r>
      <w:r w:rsidR="00E808A6" w:rsidRPr="00215B2F">
        <w:rPr>
          <w:rFonts w:eastAsia="Arial" w:cs="Arial"/>
          <w:sz w:val="20"/>
          <w:szCs w:val="20"/>
        </w:rPr>
        <w:t>,</w:t>
      </w:r>
      <w:r w:rsidRPr="00215B2F">
        <w:rPr>
          <w:rFonts w:eastAsia="Arial" w:cs="Arial"/>
          <w:sz w:val="20"/>
          <w:szCs w:val="20"/>
        </w:rPr>
        <w:t xml:space="preserve"> ali</w:t>
      </w:r>
    </w:p>
    <w:p w14:paraId="526CD4F2" w14:textId="7BA7D6CA" w:rsidR="00D91782" w:rsidRPr="00215B2F" w:rsidRDefault="00D91782" w:rsidP="003D4DE0">
      <w:pPr>
        <w:pStyle w:val="tevilnatoka"/>
        <w:numPr>
          <w:ilvl w:val="0"/>
          <w:numId w:val="299"/>
        </w:numPr>
        <w:shd w:val="clear" w:color="auto" w:fill="FFFFFF" w:themeFill="background1"/>
        <w:tabs>
          <w:tab w:val="clear" w:pos="425"/>
        </w:tabs>
        <w:rPr>
          <w:rFonts w:cs="Arial"/>
          <w:bCs/>
          <w:sz w:val="20"/>
          <w:szCs w:val="20"/>
        </w:rPr>
      </w:pPr>
      <w:r w:rsidRPr="00215B2F">
        <w:rPr>
          <w:rFonts w:eastAsia="Arial" w:cs="Arial"/>
          <w:sz w:val="20"/>
          <w:szCs w:val="20"/>
        </w:rPr>
        <w:t>ne zagotavlja ustreznega kapitala, k</w:t>
      </w:r>
      <w:r w:rsidR="00EB484E" w:rsidRPr="00215B2F">
        <w:rPr>
          <w:rFonts w:eastAsia="Arial" w:cs="Arial"/>
          <w:sz w:val="20"/>
          <w:szCs w:val="20"/>
        </w:rPr>
        <w:t>akor</w:t>
      </w:r>
      <w:r w:rsidRPr="00215B2F">
        <w:rPr>
          <w:rFonts w:eastAsia="Arial" w:cs="Arial"/>
          <w:sz w:val="20"/>
          <w:szCs w:val="20"/>
        </w:rPr>
        <w:t xml:space="preserve"> je opredeljen v poslovnem načrtu iz 2. točke drugega odstavka </w:t>
      </w:r>
      <w:r w:rsidR="00DA7B28" w:rsidRPr="00215B2F">
        <w:rPr>
          <w:rFonts w:eastAsia="Arial" w:cs="Arial"/>
          <w:sz w:val="20"/>
          <w:szCs w:val="20"/>
        </w:rPr>
        <w:t>144</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04BDBF38"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3432354F" w14:textId="0B8ADDC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Kadar v skladu z Uredbo 1024/2013/EU vse pristojnosti in naloge nadzora iz prvega odstavka 4. člena </w:t>
      </w:r>
      <w:r w:rsidR="00091BC8" w:rsidRPr="00215B2F">
        <w:rPr>
          <w:rFonts w:ascii="Arial" w:eastAsia="Arial" w:hAnsi="Arial" w:cs="Arial"/>
          <w:sz w:val="20"/>
          <w:szCs w:val="20"/>
        </w:rPr>
        <w:t>navedene uredbe</w:t>
      </w:r>
      <w:r w:rsidRPr="00215B2F">
        <w:rPr>
          <w:rFonts w:ascii="Arial" w:eastAsia="Arial" w:hAnsi="Arial" w:cs="Arial"/>
          <w:sz w:val="20"/>
          <w:szCs w:val="20"/>
        </w:rPr>
        <w:t xml:space="preserve"> v zvezi z banko izvaja Evropska centralna banka, se Banka Slovenije v zvezi z okoliščinami iz 1. točke prejšnjega odstavka posvetuje z Evropsko centralno banko.</w:t>
      </w:r>
    </w:p>
    <w:p w14:paraId="4BBE3C43"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0533F909" w14:textId="692131B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izda dovoljenje za opravljanje finančnih ali dodatnih finančnih storitev ter navede storitve, za katere se dovoljenje izdaja, če pri banki niso podani razlogi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67CDB7B4"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35E57FDF" w14:textId="5100F33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Banka Slovenije lahko, </w:t>
      </w:r>
      <w:r w:rsidR="00FD7832" w:rsidRPr="00215B2F">
        <w:rPr>
          <w:rFonts w:ascii="Arial" w:eastAsia="Arial" w:hAnsi="Arial" w:cs="Arial"/>
          <w:sz w:val="20"/>
          <w:szCs w:val="20"/>
        </w:rPr>
        <w:t xml:space="preserve">z namenom </w:t>
      </w:r>
      <w:r w:rsidRPr="00215B2F">
        <w:rPr>
          <w:rFonts w:ascii="Arial" w:eastAsia="Arial" w:hAnsi="Arial" w:cs="Arial"/>
          <w:sz w:val="20"/>
          <w:szCs w:val="20"/>
        </w:rPr>
        <w:t>da se preprečijo kršitve tega zakona ali Uredbe 575/2013/EU, v odločbi o izdaji dovoljenja določi pogoje ali omejitve za opravljanje storitev, za katere se izdaja dovoljenje.</w:t>
      </w:r>
    </w:p>
    <w:p w14:paraId="349D7CF4"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4067714B" w14:textId="780CFA3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Banka Slovenije agencijo, pristojno za finančne trge, obvešča o izdaji ali odvzemu dovoljenj iz 17. in 18. točke drugega odstavka 5.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bookmarkEnd w:id="192"/>
    <w:p w14:paraId="4EBA40A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A5012AD"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93" w:name="_Ref202964266"/>
      <w:r w:rsidRPr="00215B2F">
        <w:rPr>
          <w:rFonts w:ascii="Arial" w:eastAsia="Arial" w:hAnsi="Arial" w:cs="Arial"/>
          <w:b/>
          <w:bCs/>
          <w:sz w:val="20"/>
          <w:szCs w:val="20"/>
        </w:rPr>
        <w:t>člen</w:t>
      </w:r>
      <w:bookmarkEnd w:id="193"/>
    </w:p>
    <w:p w14:paraId="2CEBEB92" w14:textId="77777777" w:rsidR="00D91782" w:rsidRPr="00215B2F" w:rsidRDefault="00D91782" w:rsidP="00FD5520">
      <w:pPr>
        <w:pStyle w:val="Slog1"/>
        <w:shd w:val="clear" w:color="auto" w:fill="FFFFFF" w:themeFill="background1"/>
        <w:rPr>
          <w:sz w:val="20"/>
          <w:szCs w:val="20"/>
        </w:rPr>
      </w:pPr>
      <w:r w:rsidRPr="00215B2F">
        <w:rPr>
          <w:sz w:val="20"/>
          <w:szCs w:val="20"/>
        </w:rPr>
        <w:t>(prenehanje dovoljenja za opravljanje storitev)</w:t>
      </w:r>
    </w:p>
    <w:p w14:paraId="71B8FD7A" w14:textId="77777777" w:rsidR="00D91782" w:rsidRPr="00215B2F" w:rsidRDefault="00D91782" w:rsidP="00FD5520">
      <w:pPr>
        <w:pStyle w:val="Slog1"/>
        <w:shd w:val="clear" w:color="auto" w:fill="FFFFFF" w:themeFill="background1"/>
        <w:jc w:val="both"/>
        <w:rPr>
          <w:sz w:val="20"/>
          <w:szCs w:val="20"/>
        </w:rPr>
      </w:pPr>
    </w:p>
    <w:p w14:paraId="60E12F6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Dovoljenje za opravljanje posameznih storitev preneha, če banka:</w:t>
      </w:r>
    </w:p>
    <w:p w14:paraId="265D5955"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56EBE411" w14:textId="77777777" w:rsidR="00895214" w:rsidRPr="00215B2F" w:rsidRDefault="00D91782">
      <w:pPr>
        <w:pStyle w:val="tevilnatoka"/>
        <w:numPr>
          <w:ilvl w:val="0"/>
          <w:numId w:val="104"/>
        </w:numPr>
        <w:shd w:val="clear" w:color="auto" w:fill="FFFFFF" w:themeFill="background1"/>
        <w:tabs>
          <w:tab w:val="clear" w:pos="425"/>
        </w:tabs>
        <w:rPr>
          <w:rFonts w:cs="Arial"/>
          <w:bCs/>
          <w:sz w:val="20"/>
          <w:szCs w:val="20"/>
        </w:rPr>
      </w:pPr>
      <w:r w:rsidRPr="00215B2F">
        <w:rPr>
          <w:rFonts w:eastAsia="Arial" w:cs="Arial"/>
          <w:sz w:val="20"/>
          <w:szCs w:val="20"/>
        </w:rPr>
        <w:t>v enem letu od izdaje dovoljenja ne začne opravljati storitev, za katere je bilo izdano dovoljenje;</w:t>
      </w:r>
    </w:p>
    <w:p w14:paraId="3EDC15E4" w14:textId="77777777" w:rsidR="00895214" w:rsidRPr="00215B2F" w:rsidRDefault="00D91782">
      <w:pPr>
        <w:pStyle w:val="tevilnatoka"/>
        <w:numPr>
          <w:ilvl w:val="0"/>
          <w:numId w:val="104"/>
        </w:numPr>
        <w:shd w:val="clear" w:color="auto" w:fill="FFFFFF" w:themeFill="background1"/>
        <w:tabs>
          <w:tab w:val="clear" w:pos="425"/>
        </w:tabs>
        <w:rPr>
          <w:rFonts w:cs="Arial"/>
          <w:bCs/>
          <w:sz w:val="20"/>
          <w:szCs w:val="20"/>
        </w:rPr>
      </w:pPr>
      <w:r w:rsidRPr="00215B2F">
        <w:rPr>
          <w:rFonts w:eastAsia="Arial" w:cs="Arial"/>
          <w:sz w:val="20"/>
          <w:szCs w:val="20"/>
        </w:rPr>
        <w:t>za več kot šest mesecev preneha opravljati storitve;</w:t>
      </w:r>
    </w:p>
    <w:p w14:paraId="54A3876E" w14:textId="3D09DFD0" w:rsidR="00D91782" w:rsidRPr="00215B2F" w:rsidRDefault="00D91782">
      <w:pPr>
        <w:pStyle w:val="tevilnatoka"/>
        <w:numPr>
          <w:ilvl w:val="0"/>
          <w:numId w:val="104"/>
        </w:numPr>
        <w:shd w:val="clear" w:color="auto" w:fill="FFFFFF" w:themeFill="background1"/>
        <w:tabs>
          <w:tab w:val="clear" w:pos="425"/>
        </w:tabs>
        <w:rPr>
          <w:rFonts w:cs="Arial"/>
          <w:bCs/>
          <w:sz w:val="20"/>
          <w:szCs w:val="20"/>
        </w:rPr>
      </w:pPr>
      <w:r w:rsidRPr="00215B2F">
        <w:rPr>
          <w:rFonts w:eastAsia="Arial" w:cs="Arial"/>
          <w:sz w:val="20"/>
          <w:szCs w:val="20"/>
        </w:rPr>
        <w:t>poda izjavo o prenehanju opravljanja storitev.</w:t>
      </w:r>
    </w:p>
    <w:p w14:paraId="2D1D0D08"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208F68F8" w14:textId="6638D3A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Če nastopijo razlogi iz prejšnjega odstavka v zvezi z opravljanjem bančnih storitev banke, Banka Slovenije izda odločbo, da je dovoljenje za opravljanje bančnih storitev prenehalo na podlagi zakona:</w:t>
      </w:r>
    </w:p>
    <w:p w14:paraId="1378C4A2"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710B81B0" w14:textId="77777777" w:rsidR="00895214" w:rsidRPr="00215B2F" w:rsidRDefault="00D91782">
      <w:pPr>
        <w:pStyle w:val="tevilnatoka"/>
        <w:numPr>
          <w:ilvl w:val="0"/>
          <w:numId w:val="105"/>
        </w:numPr>
        <w:shd w:val="clear" w:color="auto" w:fill="FFFFFF" w:themeFill="background1"/>
        <w:tabs>
          <w:tab w:val="clear" w:pos="425"/>
        </w:tabs>
        <w:rPr>
          <w:rFonts w:cs="Arial"/>
          <w:bCs/>
          <w:sz w:val="20"/>
          <w:szCs w:val="20"/>
        </w:rPr>
      </w:pPr>
      <w:r w:rsidRPr="00215B2F">
        <w:rPr>
          <w:rFonts w:eastAsia="Arial" w:cs="Arial"/>
          <w:sz w:val="20"/>
          <w:szCs w:val="20"/>
        </w:rPr>
        <w:t>v primeru iz 1. in 2. točke prejšnjega odstavka: z dnem izteka roka;</w:t>
      </w:r>
    </w:p>
    <w:p w14:paraId="6ECCFCE9" w14:textId="7B841E06" w:rsidR="00D91782" w:rsidRPr="00215B2F" w:rsidRDefault="00D91782">
      <w:pPr>
        <w:pStyle w:val="tevilnatoka"/>
        <w:numPr>
          <w:ilvl w:val="0"/>
          <w:numId w:val="105"/>
        </w:numPr>
        <w:shd w:val="clear" w:color="auto" w:fill="FFFFFF" w:themeFill="background1"/>
        <w:tabs>
          <w:tab w:val="clear" w:pos="425"/>
        </w:tabs>
        <w:rPr>
          <w:rFonts w:cs="Arial"/>
          <w:bCs/>
          <w:sz w:val="20"/>
          <w:szCs w:val="20"/>
        </w:rPr>
      </w:pPr>
      <w:r w:rsidRPr="00215B2F">
        <w:rPr>
          <w:rFonts w:eastAsia="Arial" w:cs="Arial"/>
          <w:sz w:val="20"/>
          <w:szCs w:val="20"/>
        </w:rPr>
        <w:t>v primeru iz 3. točke prejšnjega odstavka: z dnem, ko je banka prenehala sprejemati depozite.</w:t>
      </w:r>
    </w:p>
    <w:p w14:paraId="7E8F7881"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490F6DB5" w14:textId="31D74AB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nastopi razlog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 zvezi z opravljanjem finančnih ali dodatnih finančnih storitev, Banka Slovenije izda odločbo, s katero ugotovi, da je prenehalo dovoljenje za opravljanje določenih storitev, pri katerih </w:t>
      </w:r>
      <w:r w:rsidR="00330C80" w:rsidRPr="00215B2F">
        <w:rPr>
          <w:rFonts w:ascii="Arial" w:eastAsia="Arial" w:hAnsi="Arial" w:cs="Arial"/>
          <w:sz w:val="20"/>
          <w:szCs w:val="20"/>
        </w:rPr>
        <w:t>obstajajo</w:t>
      </w:r>
      <w:r w:rsidRPr="00215B2F">
        <w:rPr>
          <w:rFonts w:ascii="Arial" w:eastAsia="Arial" w:hAnsi="Arial" w:cs="Arial"/>
          <w:sz w:val="20"/>
          <w:szCs w:val="20"/>
        </w:rPr>
        <w:t xml:space="preserve"> okoliščine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1914CB34"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6FF0845B" w14:textId="56FC27E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Če razlog iz 1. do 3. točke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nastopi v zvezi z opravljanjem bančnih storitev, preneha dovoljenje za opravljanje vseh storitev, ki jih opravlja banka.</w:t>
      </w:r>
    </w:p>
    <w:p w14:paraId="09A282A7"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79127B76" w14:textId="44F86E0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Banka ne sme več sklepati novih poslov v zvezi z opravljanjem bančnih, finančnih ali dodatnih finančnih storitev, za katere je dovoljenje prenehalo v skladu s tem členom:</w:t>
      </w:r>
    </w:p>
    <w:p w14:paraId="10F93F27"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7BF30383" w14:textId="66024854" w:rsidR="00895214" w:rsidRPr="00215B2F" w:rsidRDefault="00D91782">
      <w:pPr>
        <w:pStyle w:val="tevilnatoka"/>
        <w:numPr>
          <w:ilvl w:val="0"/>
          <w:numId w:val="106"/>
        </w:numPr>
        <w:shd w:val="clear" w:color="auto" w:fill="FFFFFF" w:themeFill="background1"/>
        <w:tabs>
          <w:tab w:val="clear" w:pos="425"/>
        </w:tabs>
        <w:rPr>
          <w:rFonts w:cs="Arial"/>
          <w:bCs/>
          <w:sz w:val="20"/>
          <w:szCs w:val="20"/>
        </w:rPr>
      </w:pPr>
      <w:r w:rsidRPr="00215B2F">
        <w:rPr>
          <w:rFonts w:eastAsia="Arial" w:cs="Arial"/>
          <w:sz w:val="20"/>
          <w:szCs w:val="20"/>
        </w:rPr>
        <w:t xml:space="preserve">v primeru iz 1. in 2. točke prvega </w:t>
      </w:r>
      <w:r w:rsidR="00746E88" w:rsidRPr="00215B2F">
        <w:rPr>
          <w:rFonts w:eastAsia="Arial" w:cs="Arial"/>
          <w:sz w:val="20"/>
          <w:szCs w:val="20"/>
        </w:rPr>
        <w:t>odstavka tega člena</w:t>
      </w:r>
      <w:r w:rsidRPr="00215B2F">
        <w:rPr>
          <w:rFonts w:eastAsia="Arial" w:cs="Arial"/>
          <w:sz w:val="20"/>
          <w:szCs w:val="20"/>
        </w:rPr>
        <w:t>: od dneva izteka roka, od katerega dovoljenje preneha veljati;</w:t>
      </w:r>
    </w:p>
    <w:p w14:paraId="790B521D" w14:textId="3C20DEBF" w:rsidR="00D91782" w:rsidRPr="00215B2F" w:rsidRDefault="00D91782">
      <w:pPr>
        <w:pStyle w:val="tevilnatoka"/>
        <w:numPr>
          <w:ilvl w:val="0"/>
          <w:numId w:val="106"/>
        </w:numPr>
        <w:shd w:val="clear" w:color="auto" w:fill="FFFFFF" w:themeFill="background1"/>
        <w:tabs>
          <w:tab w:val="clear" w:pos="425"/>
        </w:tabs>
        <w:rPr>
          <w:rFonts w:cs="Arial"/>
          <w:bCs/>
          <w:sz w:val="20"/>
          <w:szCs w:val="20"/>
        </w:rPr>
      </w:pPr>
      <w:r w:rsidRPr="00215B2F">
        <w:rPr>
          <w:rFonts w:eastAsia="Arial" w:cs="Arial"/>
          <w:sz w:val="20"/>
          <w:szCs w:val="20"/>
        </w:rPr>
        <w:t xml:space="preserve">v primeru iz 3. točke prvega </w:t>
      </w:r>
      <w:r w:rsidR="00746E88" w:rsidRPr="00215B2F">
        <w:rPr>
          <w:rFonts w:eastAsia="Arial" w:cs="Arial"/>
          <w:sz w:val="20"/>
          <w:szCs w:val="20"/>
        </w:rPr>
        <w:t>odstavka tega člena</w:t>
      </w:r>
      <w:r w:rsidRPr="00215B2F">
        <w:rPr>
          <w:rFonts w:eastAsia="Arial" w:cs="Arial"/>
          <w:sz w:val="20"/>
          <w:szCs w:val="20"/>
        </w:rPr>
        <w:t>: od dneva, ki ga banka navede v izjavi o prenehanju opravljanja.</w:t>
      </w:r>
    </w:p>
    <w:p w14:paraId="425A2C8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86C0D8B"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94" w:name="_Ref202964273"/>
      <w:r w:rsidRPr="00215B2F">
        <w:rPr>
          <w:rFonts w:ascii="Arial" w:eastAsia="Arial" w:hAnsi="Arial" w:cs="Arial"/>
          <w:b/>
          <w:bCs/>
          <w:sz w:val="20"/>
          <w:szCs w:val="20"/>
        </w:rPr>
        <w:t>člen</w:t>
      </w:r>
      <w:bookmarkEnd w:id="194"/>
    </w:p>
    <w:p w14:paraId="17746FA3" w14:textId="77777777" w:rsidR="00D91782" w:rsidRPr="00215B2F" w:rsidRDefault="00D91782" w:rsidP="00FD5520">
      <w:pPr>
        <w:pStyle w:val="Slog1"/>
        <w:shd w:val="clear" w:color="auto" w:fill="FFFFFF" w:themeFill="background1"/>
        <w:rPr>
          <w:sz w:val="20"/>
          <w:szCs w:val="20"/>
        </w:rPr>
      </w:pPr>
      <w:r w:rsidRPr="00215B2F">
        <w:rPr>
          <w:sz w:val="20"/>
          <w:szCs w:val="20"/>
        </w:rPr>
        <w:t>(podzakonski predpis v zvezi z izdajo dovoljenj za opravljanje storitev)</w:t>
      </w:r>
    </w:p>
    <w:p w14:paraId="68EB8BBE" w14:textId="77777777" w:rsidR="00D91782" w:rsidRPr="00215B2F" w:rsidRDefault="00D91782" w:rsidP="00FD5520">
      <w:pPr>
        <w:pStyle w:val="Slog1"/>
        <w:shd w:val="clear" w:color="auto" w:fill="FFFFFF" w:themeFill="background1"/>
        <w:jc w:val="both"/>
        <w:rPr>
          <w:sz w:val="20"/>
          <w:szCs w:val="20"/>
        </w:rPr>
      </w:pPr>
    </w:p>
    <w:p w14:paraId="2F5CD57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Slovenije predpiše podrobnejša pravila glede:</w:t>
      </w:r>
    </w:p>
    <w:p w14:paraId="4EF705FA"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47FE34E5" w14:textId="1604BE4B" w:rsidR="00895214" w:rsidRPr="00215B2F" w:rsidRDefault="00D91782">
      <w:pPr>
        <w:pStyle w:val="tevilnatoka"/>
        <w:numPr>
          <w:ilvl w:val="0"/>
          <w:numId w:val="99"/>
        </w:numPr>
        <w:shd w:val="clear" w:color="auto" w:fill="FFFFFF" w:themeFill="background1"/>
        <w:tabs>
          <w:tab w:val="clear" w:pos="425"/>
        </w:tabs>
        <w:rPr>
          <w:rFonts w:cs="Arial"/>
          <w:bCs/>
          <w:sz w:val="20"/>
          <w:szCs w:val="20"/>
        </w:rPr>
      </w:pPr>
      <w:r w:rsidRPr="00215B2F">
        <w:rPr>
          <w:rFonts w:eastAsia="Arial" w:cs="Arial"/>
          <w:sz w:val="20"/>
          <w:szCs w:val="20"/>
        </w:rPr>
        <w:t xml:space="preserve">dokumentacije in informacij, ki se </w:t>
      </w:r>
      <w:r w:rsidR="007D6619" w:rsidRPr="00215B2F">
        <w:rPr>
          <w:rFonts w:eastAsia="Arial" w:cs="Arial"/>
          <w:sz w:val="20"/>
          <w:szCs w:val="20"/>
        </w:rPr>
        <w:t xml:space="preserve">priložijo </w:t>
      </w:r>
      <w:r w:rsidRPr="00215B2F">
        <w:rPr>
          <w:rFonts w:eastAsia="Arial" w:cs="Arial"/>
          <w:sz w:val="20"/>
          <w:szCs w:val="20"/>
        </w:rPr>
        <w:t xml:space="preserve">zahtevi za izdajo dovoljenja za opravljanje bančnih storitev, vključno z zahtevami glede poslovnega načrta iz 2. točke drugega odstavka </w:t>
      </w:r>
      <w:r w:rsidR="00F64953" w:rsidRPr="00215B2F">
        <w:rPr>
          <w:rFonts w:eastAsia="Arial" w:cs="Arial"/>
          <w:sz w:val="20"/>
          <w:szCs w:val="20"/>
        </w:rPr>
        <w:t>144</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1EBC5726" w14:textId="0BC1F129" w:rsidR="00D91782" w:rsidRPr="00215B2F" w:rsidRDefault="00D91782" w:rsidP="00543D80">
      <w:pPr>
        <w:pStyle w:val="tevilnatoka"/>
        <w:rPr>
          <w:rFonts w:cs="Arial"/>
          <w:bCs/>
          <w:sz w:val="20"/>
          <w:szCs w:val="20"/>
        </w:rPr>
      </w:pPr>
      <w:r w:rsidRPr="00215B2F">
        <w:rPr>
          <w:rFonts w:eastAsia="Arial" w:cs="Arial"/>
          <w:sz w:val="20"/>
          <w:szCs w:val="20"/>
        </w:rPr>
        <w:t xml:space="preserve">dokumentacije in informacij, ki se </w:t>
      </w:r>
      <w:r w:rsidR="007D6619" w:rsidRPr="00215B2F">
        <w:rPr>
          <w:rFonts w:eastAsia="Arial" w:cs="Arial"/>
          <w:sz w:val="20"/>
          <w:szCs w:val="20"/>
        </w:rPr>
        <w:t xml:space="preserve">priložijo </w:t>
      </w:r>
      <w:r w:rsidRPr="00215B2F">
        <w:rPr>
          <w:rFonts w:eastAsia="Arial" w:cs="Arial"/>
          <w:sz w:val="20"/>
          <w:szCs w:val="20"/>
        </w:rPr>
        <w:t xml:space="preserve">zahtevi za izdajo dovoljenja za opravljanje finančnih in dodatnih finančnih storitev, ter </w:t>
      </w:r>
      <w:r w:rsidR="00726A9E" w:rsidRPr="00215B2F">
        <w:rPr>
          <w:rFonts w:eastAsia="Arial" w:cs="Arial"/>
          <w:sz w:val="20"/>
          <w:szCs w:val="20"/>
        </w:rPr>
        <w:t xml:space="preserve">glede </w:t>
      </w:r>
      <w:r w:rsidRPr="00215B2F">
        <w:rPr>
          <w:rFonts w:eastAsia="Arial" w:cs="Arial"/>
          <w:sz w:val="20"/>
          <w:szCs w:val="20"/>
        </w:rPr>
        <w:t>statusn</w:t>
      </w:r>
      <w:r w:rsidR="00726A9E" w:rsidRPr="00215B2F">
        <w:rPr>
          <w:rFonts w:eastAsia="Arial" w:cs="Arial"/>
          <w:sz w:val="20"/>
          <w:szCs w:val="20"/>
        </w:rPr>
        <w:t>ih</w:t>
      </w:r>
      <w:r w:rsidRPr="00215B2F">
        <w:rPr>
          <w:rFonts w:eastAsia="Arial" w:cs="Arial"/>
          <w:sz w:val="20"/>
          <w:szCs w:val="20"/>
        </w:rPr>
        <w:t xml:space="preserve"> sprememb, kadar se zahteva za izdajo dovoljenja v skladu s tem zakonom in Uredbo 1024/2013/EU vloži pri Banki Slovenije.</w:t>
      </w:r>
    </w:p>
    <w:p w14:paraId="3A6806A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3D3F0D6" w14:textId="2F3B6EFE"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5.</w:t>
      </w:r>
      <w:r w:rsidR="0044147E" w:rsidRPr="00215B2F">
        <w:rPr>
          <w:rFonts w:ascii="Arial" w:eastAsia="Arial" w:hAnsi="Arial" w:cs="Arial"/>
          <w:b/>
          <w:bCs/>
          <w:sz w:val="20"/>
          <w:szCs w:val="20"/>
        </w:rPr>
        <w:t>3</w:t>
      </w:r>
      <w:r w:rsidRPr="00215B2F">
        <w:rPr>
          <w:rFonts w:ascii="Arial" w:eastAsia="Arial" w:hAnsi="Arial" w:cs="Arial"/>
          <w:b/>
          <w:bCs/>
          <w:sz w:val="20"/>
          <w:szCs w:val="20"/>
        </w:rPr>
        <w:t xml:space="preserve"> DOVOLJENJE ZA OPRAVLJANJE INVESTICIJSKIH STORITEV IN POSLOV KOT KREDITNA DRUŽBA</w:t>
      </w:r>
    </w:p>
    <w:p w14:paraId="34CB161D"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E1C1E3D"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95" w:name="_Ref202964280"/>
      <w:r w:rsidRPr="00215B2F">
        <w:rPr>
          <w:rFonts w:ascii="Arial" w:eastAsia="Arial" w:hAnsi="Arial" w:cs="Arial"/>
          <w:b/>
          <w:bCs/>
          <w:sz w:val="20"/>
          <w:szCs w:val="20"/>
        </w:rPr>
        <w:t>člen</w:t>
      </w:r>
      <w:bookmarkEnd w:id="195"/>
    </w:p>
    <w:p w14:paraId="52BD4EB5" w14:textId="77777777" w:rsidR="00D91782" w:rsidRPr="00215B2F" w:rsidRDefault="00D91782" w:rsidP="00FD5520">
      <w:pPr>
        <w:pStyle w:val="Slog1"/>
        <w:shd w:val="clear" w:color="auto" w:fill="FFFFFF" w:themeFill="background1"/>
        <w:rPr>
          <w:sz w:val="20"/>
          <w:szCs w:val="20"/>
        </w:rPr>
      </w:pPr>
      <w:r w:rsidRPr="00215B2F">
        <w:rPr>
          <w:sz w:val="20"/>
          <w:szCs w:val="20"/>
        </w:rPr>
        <w:t>(dovoljenje kreditnim družbam za opravljanje investicijskih storitev in poslov iz 3. in 6. točke prvega odstavka 11. člena ZTFI-1)</w:t>
      </w:r>
    </w:p>
    <w:p w14:paraId="43815C68" w14:textId="77777777" w:rsidR="00D91782" w:rsidRPr="00215B2F" w:rsidRDefault="00D91782" w:rsidP="00FD5520">
      <w:pPr>
        <w:pStyle w:val="Slog1"/>
        <w:shd w:val="clear" w:color="auto" w:fill="FFFFFF" w:themeFill="background1"/>
        <w:jc w:val="both"/>
        <w:rPr>
          <w:sz w:val="20"/>
          <w:szCs w:val="20"/>
        </w:rPr>
      </w:pPr>
    </w:p>
    <w:p w14:paraId="54C2D5C6" w14:textId="5FC175A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Kreditna družba, ki namerava začeti opravljati </w:t>
      </w:r>
      <w:r w:rsidR="00FD7832" w:rsidRPr="00215B2F">
        <w:rPr>
          <w:rFonts w:ascii="Arial" w:eastAsia="Arial" w:hAnsi="Arial" w:cs="Arial"/>
          <w:sz w:val="20"/>
          <w:szCs w:val="20"/>
        </w:rPr>
        <w:t xml:space="preserve">katere koli </w:t>
      </w:r>
      <w:r w:rsidRPr="00215B2F">
        <w:rPr>
          <w:rFonts w:ascii="Arial" w:eastAsia="Arial" w:hAnsi="Arial" w:cs="Arial"/>
          <w:sz w:val="20"/>
          <w:szCs w:val="20"/>
        </w:rPr>
        <w:t xml:space="preserve">investicijske storitve in posle iz 3. in 6. točke prvega odstavka 11. člena ZTFI-1, mora za vsako od teh storitev pridobiti dovoljenje Evropske centralne banke (dovoljenje za opravljanje investicijskih storitev in poslov kot kreditna družba). </w:t>
      </w:r>
    </w:p>
    <w:p w14:paraId="08D90E95"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518FFE85" w14:textId="66EF63E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Kreditna družba mora pridobiti dovoljenje za opravljanje poslov in storitev iz prejšnjega odstavka pred začetkom opravljanja teh poslov in storitev. </w:t>
      </w:r>
    </w:p>
    <w:p w14:paraId="2E5DFE3E"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1C241C3F" w14:textId="041666D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Za zahtevo za izdajo dovoljenja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se smiselno uporablja </w:t>
      </w:r>
      <w:r w:rsidR="00F64953" w:rsidRPr="00215B2F">
        <w:rPr>
          <w:rFonts w:ascii="Arial" w:eastAsia="Arial" w:hAnsi="Arial" w:cs="Arial"/>
          <w:sz w:val="20"/>
          <w:szCs w:val="20"/>
        </w:rPr>
        <w:t>149</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 xml:space="preserve">. </w:t>
      </w:r>
    </w:p>
    <w:p w14:paraId="35DA5E4C"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305C4DE4" w14:textId="6A744E2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(4) Glede prenehanja dovoljenja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se smiselno uporablja </w:t>
      </w:r>
      <w:r w:rsidR="00F64953" w:rsidRPr="00215B2F">
        <w:rPr>
          <w:rFonts w:ascii="Arial" w:eastAsia="Arial" w:hAnsi="Arial" w:cs="Arial"/>
          <w:sz w:val="20"/>
          <w:szCs w:val="20"/>
        </w:rPr>
        <w:t>150</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 xml:space="preserve">. </w:t>
      </w:r>
    </w:p>
    <w:p w14:paraId="6024F5B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4F3A88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96" w:name="_Ref203478292"/>
      <w:r w:rsidRPr="00215B2F">
        <w:rPr>
          <w:rFonts w:ascii="Arial" w:eastAsia="Arial" w:hAnsi="Arial" w:cs="Arial"/>
          <w:b/>
          <w:bCs/>
          <w:sz w:val="20"/>
          <w:szCs w:val="20"/>
        </w:rPr>
        <w:t>člen</w:t>
      </w:r>
      <w:bookmarkEnd w:id="196"/>
    </w:p>
    <w:p w14:paraId="576B9272" w14:textId="77777777" w:rsidR="00D91782" w:rsidRPr="00215B2F" w:rsidRDefault="00D91782" w:rsidP="00FD5520">
      <w:pPr>
        <w:pStyle w:val="Slog1"/>
        <w:shd w:val="clear" w:color="auto" w:fill="FFFFFF" w:themeFill="background1"/>
        <w:rPr>
          <w:sz w:val="20"/>
          <w:szCs w:val="20"/>
        </w:rPr>
      </w:pPr>
      <w:r w:rsidRPr="00215B2F">
        <w:rPr>
          <w:sz w:val="20"/>
          <w:szCs w:val="20"/>
        </w:rPr>
        <w:t>(dovoljenje kreditnim družbam, ki že imajo dovoljenje za opravljanje investicijskih storitev in poslov na podlagi ZTFI-1)</w:t>
      </w:r>
    </w:p>
    <w:p w14:paraId="54DE0730" w14:textId="77777777" w:rsidR="00D91782" w:rsidRPr="00215B2F" w:rsidRDefault="00D91782" w:rsidP="00FD5520">
      <w:pPr>
        <w:pStyle w:val="Slog1"/>
        <w:shd w:val="clear" w:color="auto" w:fill="FFFFFF" w:themeFill="background1"/>
        <w:jc w:val="both"/>
        <w:rPr>
          <w:sz w:val="20"/>
          <w:szCs w:val="20"/>
        </w:rPr>
      </w:pPr>
    </w:p>
    <w:p w14:paraId="64C6AC3B" w14:textId="0E4C025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197" w:name="_Hlk203566192"/>
      <w:r w:rsidRPr="00215B2F">
        <w:rPr>
          <w:rFonts w:ascii="Arial" w:eastAsia="Arial" w:hAnsi="Arial" w:cs="Arial"/>
          <w:sz w:val="20"/>
          <w:szCs w:val="20"/>
        </w:rPr>
        <w:t xml:space="preserve">(1) Družba iz podtočke (b) 1. točke prvega odstavka 4. člena Uredbe 575/2013/EU, ki je že pridobila dovoljenje za opravljanje katere </w:t>
      </w:r>
      <w:r w:rsidR="00E92AC2" w:rsidRPr="00215B2F">
        <w:rPr>
          <w:rFonts w:ascii="Arial" w:eastAsia="Arial" w:hAnsi="Arial" w:cs="Arial"/>
          <w:sz w:val="20"/>
          <w:szCs w:val="20"/>
        </w:rPr>
        <w:t xml:space="preserve">od </w:t>
      </w:r>
      <w:r w:rsidRPr="00215B2F">
        <w:rPr>
          <w:rFonts w:ascii="Arial" w:eastAsia="Arial" w:hAnsi="Arial" w:cs="Arial"/>
          <w:sz w:val="20"/>
          <w:szCs w:val="20"/>
        </w:rPr>
        <w:t xml:space="preserve">dejavnosti iz 3. in 6. točke prvega odstavka 11. člena ZTFI-1, vloži vlogo za izdajo dovoljenja v skladu s </w:t>
      </w:r>
      <w:r w:rsidR="00F64953" w:rsidRPr="00215B2F">
        <w:rPr>
          <w:rFonts w:ascii="Arial" w:eastAsia="Arial" w:hAnsi="Arial" w:cs="Arial"/>
          <w:sz w:val="20"/>
          <w:szCs w:val="20"/>
        </w:rPr>
        <w:t>140</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najpozneje na dan, ko se zgodi kaj od naslednjega: </w:t>
      </w:r>
    </w:p>
    <w:p w14:paraId="4FB8B8CE"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03727B02" w14:textId="1E038DEA" w:rsidR="008612B7" w:rsidRPr="00215B2F" w:rsidRDefault="00D91782" w:rsidP="003D4DE0">
      <w:pPr>
        <w:pStyle w:val="Odstavekseznama"/>
        <w:numPr>
          <w:ilvl w:val="0"/>
          <w:numId w:val="304"/>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povprečna mesečna bilančna vsota, izračunana v obdobju 12 zaporednih mesecev, je </w:t>
      </w:r>
      <w:r w:rsidR="00FD7832" w:rsidRPr="00215B2F">
        <w:rPr>
          <w:rFonts w:ascii="Arial" w:eastAsia="Arial" w:hAnsi="Arial" w:cs="Arial"/>
          <w:sz w:val="20"/>
          <w:szCs w:val="20"/>
        </w:rPr>
        <w:t xml:space="preserve">enaka ali več kot </w:t>
      </w:r>
      <w:r w:rsidR="00077D61" w:rsidRPr="00215B2F">
        <w:rPr>
          <w:rFonts w:ascii="Arial" w:eastAsia="Arial" w:hAnsi="Arial" w:cs="Arial"/>
          <w:sz w:val="20"/>
          <w:szCs w:val="20"/>
        </w:rPr>
        <w:t xml:space="preserve">30 milijard eurov </w:t>
      </w:r>
      <w:r w:rsidRPr="00215B2F">
        <w:rPr>
          <w:rFonts w:ascii="Arial" w:eastAsia="Arial" w:hAnsi="Arial" w:cs="Arial"/>
          <w:sz w:val="20"/>
          <w:szCs w:val="20"/>
        </w:rPr>
        <w:t xml:space="preserve">ali </w:t>
      </w:r>
    </w:p>
    <w:p w14:paraId="4B432795" w14:textId="504EC907" w:rsidR="00D91782" w:rsidRPr="00215B2F" w:rsidRDefault="00D91782" w:rsidP="003D4DE0">
      <w:pPr>
        <w:pStyle w:val="Odstavekseznama"/>
        <w:numPr>
          <w:ilvl w:val="0"/>
          <w:numId w:val="304"/>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povprečna mesečna bilančna vsota, izračunana v obdobju 12 zaporednih mesecev, je nižja od 30 milijard eurov, družba pa je del skupine, v kateri je skupna vrednost konsolidiranih sredstev vseh družb v skupini s sedežem v </w:t>
      </w:r>
      <w:r w:rsidR="00C57D35" w:rsidRPr="00215B2F">
        <w:rPr>
          <w:rFonts w:ascii="Arial" w:eastAsia="Arial" w:hAnsi="Arial" w:cs="Arial"/>
          <w:sz w:val="20"/>
          <w:szCs w:val="20"/>
        </w:rPr>
        <w:t>Evropski u</w:t>
      </w:r>
      <w:r w:rsidRPr="00215B2F">
        <w:rPr>
          <w:rFonts w:ascii="Arial" w:eastAsia="Arial" w:hAnsi="Arial" w:cs="Arial"/>
          <w:sz w:val="20"/>
          <w:szCs w:val="20"/>
        </w:rPr>
        <w:t xml:space="preserve">niji, vključno z vsemi njihovimi podružnicami in podrejenimi družbami, ustanovljenimi v tretjih državah, ki imajo posamezno bilančno vsoto nižjo od 30 milijard eurov in opravljajo katero </w:t>
      </w:r>
      <w:r w:rsidR="00E92AC2" w:rsidRPr="00215B2F">
        <w:rPr>
          <w:rFonts w:ascii="Arial" w:eastAsia="Arial" w:hAnsi="Arial" w:cs="Arial"/>
          <w:sz w:val="20"/>
          <w:szCs w:val="20"/>
        </w:rPr>
        <w:t xml:space="preserve">od </w:t>
      </w:r>
      <w:r w:rsidRPr="00215B2F">
        <w:rPr>
          <w:rFonts w:ascii="Arial" w:eastAsia="Arial" w:hAnsi="Arial" w:cs="Arial"/>
          <w:sz w:val="20"/>
          <w:szCs w:val="20"/>
        </w:rPr>
        <w:t>dejavnost</w:t>
      </w:r>
      <w:r w:rsidR="00E92AC2" w:rsidRPr="00215B2F">
        <w:rPr>
          <w:rFonts w:ascii="Arial" w:eastAsia="Arial" w:hAnsi="Arial" w:cs="Arial"/>
          <w:sz w:val="20"/>
          <w:szCs w:val="20"/>
        </w:rPr>
        <w:t>i</w:t>
      </w:r>
      <w:r w:rsidRPr="00215B2F">
        <w:rPr>
          <w:rFonts w:ascii="Arial" w:eastAsia="Arial" w:hAnsi="Arial" w:cs="Arial"/>
          <w:sz w:val="20"/>
          <w:szCs w:val="20"/>
        </w:rPr>
        <w:t xml:space="preserve"> iz 3. in 6. točke prvega odstavka 11. člena ZTFI-1, </w:t>
      </w:r>
      <w:r w:rsidR="00FD7832" w:rsidRPr="00215B2F">
        <w:rPr>
          <w:rFonts w:ascii="Arial" w:eastAsia="Arial" w:hAnsi="Arial" w:cs="Arial"/>
          <w:sz w:val="20"/>
          <w:szCs w:val="20"/>
        </w:rPr>
        <w:t xml:space="preserve">enaka ali več kot </w:t>
      </w:r>
      <w:r w:rsidR="00077D61" w:rsidRPr="00215B2F">
        <w:rPr>
          <w:rFonts w:ascii="Arial" w:eastAsia="Arial" w:hAnsi="Arial" w:cs="Arial"/>
          <w:sz w:val="20"/>
          <w:szCs w:val="20"/>
        </w:rPr>
        <w:t>30 milijard eurov</w:t>
      </w:r>
      <w:r w:rsidRPr="00215B2F">
        <w:rPr>
          <w:rFonts w:ascii="Arial" w:eastAsia="Arial" w:hAnsi="Arial" w:cs="Arial"/>
          <w:sz w:val="20"/>
          <w:szCs w:val="20"/>
        </w:rPr>
        <w:t xml:space="preserve">, oboje izračunano kot povprečje v obdobju 12 zaporednih mesecev. </w:t>
      </w:r>
    </w:p>
    <w:p w14:paraId="125967BC"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6A526E65" w14:textId="7E57ACD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Ne glede na četrti odstavek </w:t>
      </w:r>
      <w:r w:rsidR="00557247" w:rsidRPr="00215B2F">
        <w:rPr>
          <w:rFonts w:ascii="Arial" w:eastAsia="Arial" w:hAnsi="Arial" w:cs="Arial"/>
          <w:sz w:val="20"/>
          <w:szCs w:val="20"/>
        </w:rPr>
        <w:t>140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lahko družbe iz prejšnjega odstavka še naprej opravljajo dejavnosti iz podtočke (b) 1. točke prvega odstavka 4. člena Uredbe 575/2013/EU, dokler ne pridobijo dovoljenja za opravljanje investicijskih storitev in poslov kot kreditna družba. </w:t>
      </w:r>
    </w:p>
    <w:p w14:paraId="4C583532"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77620EC6" w14:textId="218A291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v primeru ponovne izdaje dovoljenja zagotovi, da je postopek čim bolj racionalen in da se upoštevajo informacije iz veljavnih dovoljenj. </w:t>
      </w:r>
    </w:p>
    <w:p w14:paraId="07DDCC5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2F45282" w14:textId="38026E4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Ob izdaji dovoljenja za opravljanje poslov in storitev kot kreditna družba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pridobijo predhodno izdana dovoljenja za opravljanje investicijskih storitev in poslov na podlagi </w:t>
      </w:r>
      <w:r w:rsidR="00E94A53" w:rsidRPr="00215B2F">
        <w:rPr>
          <w:rFonts w:ascii="Arial" w:eastAsia="Arial" w:hAnsi="Arial" w:cs="Arial"/>
          <w:sz w:val="20"/>
          <w:szCs w:val="20"/>
        </w:rPr>
        <w:t>ZTFI-1</w:t>
      </w:r>
      <w:r w:rsidRPr="00215B2F">
        <w:rPr>
          <w:rFonts w:ascii="Arial" w:eastAsia="Arial" w:hAnsi="Arial" w:cs="Arial"/>
          <w:sz w:val="20"/>
          <w:szCs w:val="20"/>
        </w:rPr>
        <w:t xml:space="preserve"> status mirovanja do: </w:t>
      </w:r>
    </w:p>
    <w:p w14:paraId="65F27548"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2C5E8C18" w14:textId="42CA386F" w:rsidR="0089521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izdaje odločbe o prenehanju dovoljenja za opravljanje investicijskih storitev in poslov kot kreditna družba v skladu s </w:t>
      </w:r>
      <w:r w:rsidR="00557247" w:rsidRPr="00215B2F">
        <w:rPr>
          <w:rFonts w:ascii="Arial" w:eastAsia="Arial" w:hAnsi="Arial" w:cs="Arial"/>
          <w:sz w:val="20"/>
          <w:szCs w:val="20"/>
        </w:rPr>
        <w:t>150</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ali </w:t>
      </w:r>
    </w:p>
    <w:p w14:paraId="06039BBC" w14:textId="68EB1EA2"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izdaje odločbe o odvzemu dovoljenja za opravljanje investicijskih storitev in poslov kot kreditna družba na podlagi </w:t>
      </w:r>
      <w:r w:rsidR="00557247" w:rsidRPr="00215B2F">
        <w:rPr>
          <w:rFonts w:ascii="Arial" w:eastAsia="Arial" w:hAnsi="Arial" w:cs="Arial"/>
          <w:sz w:val="20"/>
          <w:szCs w:val="20"/>
        </w:rPr>
        <w:t>362.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p>
    <w:bookmarkEnd w:id="197"/>
    <w:p w14:paraId="537A34D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24A092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98" w:name="_Ref202964309"/>
      <w:r w:rsidRPr="00215B2F">
        <w:rPr>
          <w:rFonts w:ascii="Arial" w:eastAsia="Arial" w:hAnsi="Arial" w:cs="Arial"/>
          <w:b/>
          <w:bCs/>
          <w:sz w:val="20"/>
          <w:szCs w:val="20"/>
        </w:rPr>
        <w:t>člen</w:t>
      </w:r>
      <w:bookmarkEnd w:id="198"/>
    </w:p>
    <w:p w14:paraId="4C7235E4" w14:textId="77777777" w:rsidR="00D91782" w:rsidRPr="00215B2F" w:rsidRDefault="00D91782" w:rsidP="00FD5520">
      <w:pPr>
        <w:pStyle w:val="Slog1"/>
        <w:shd w:val="clear" w:color="auto" w:fill="FFFFFF" w:themeFill="background1"/>
        <w:rPr>
          <w:sz w:val="20"/>
          <w:szCs w:val="20"/>
        </w:rPr>
      </w:pPr>
      <w:r w:rsidRPr="00215B2F">
        <w:rPr>
          <w:sz w:val="20"/>
          <w:szCs w:val="20"/>
        </w:rPr>
        <w:t>(zahteva za opustitev izdaje dovoljenja kreditnim družbam, ki že imajo dovoljenje za opravljanje investicijskih storitev in poslov na podlagi ZTFI-1)</w:t>
      </w:r>
    </w:p>
    <w:p w14:paraId="548A4D3C" w14:textId="77777777" w:rsidR="00D91782" w:rsidRPr="00215B2F" w:rsidRDefault="00D91782" w:rsidP="00FD5520">
      <w:pPr>
        <w:pStyle w:val="Slog1"/>
        <w:shd w:val="clear" w:color="auto" w:fill="FFFFFF" w:themeFill="background1"/>
        <w:jc w:val="both"/>
        <w:rPr>
          <w:sz w:val="20"/>
          <w:szCs w:val="20"/>
        </w:rPr>
      </w:pPr>
    </w:p>
    <w:p w14:paraId="58C1D5BB" w14:textId="0D0EDD0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Družba iz podtočke (b) 1. točke prvega odstavka 4. člena Uredbe 575/2013/EU, ki je že pridobila dovoljenje za opravljanje katere </w:t>
      </w:r>
      <w:r w:rsidR="00E92AC2" w:rsidRPr="00215B2F">
        <w:rPr>
          <w:rFonts w:ascii="Arial" w:eastAsia="Arial" w:hAnsi="Arial" w:cs="Arial"/>
          <w:sz w:val="20"/>
          <w:szCs w:val="20"/>
        </w:rPr>
        <w:t xml:space="preserve">od </w:t>
      </w:r>
      <w:r w:rsidRPr="00215B2F">
        <w:rPr>
          <w:rFonts w:ascii="Arial" w:eastAsia="Arial" w:hAnsi="Arial" w:cs="Arial"/>
          <w:sz w:val="20"/>
          <w:szCs w:val="20"/>
        </w:rPr>
        <w:t>dejavnosti iz 3. in 6. točke prvega odstavka 11. člena ZTFI-1</w:t>
      </w:r>
      <w:r w:rsidR="004D3BF5" w:rsidRPr="00215B2F">
        <w:rPr>
          <w:rFonts w:ascii="Arial" w:eastAsia="Arial" w:hAnsi="Arial" w:cs="Arial"/>
          <w:sz w:val="20"/>
          <w:szCs w:val="20"/>
        </w:rPr>
        <w:t>,</w:t>
      </w:r>
      <w:r w:rsidRPr="00215B2F">
        <w:rPr>
          <w:rFonts w:ascii="Arial" w:eastAsia="Arial" w:hAnsi="Arial" w:cs="Arial"/>
          <w:sz w:val="20"/>
          <w:szCs w:val="20"/>
        </w:rPr>
        <w:t xml:space="preserve"> lahko skupaj z vlogo za izdajo dovoljenja v skladu s </w:t>
      </w:r>
      <w:r w:rsidR="00557247" w:rsidRPr="00215B2F">
        <w:rPr>
          <w:rFonts w:ascii="Arial" w:eastAsia="Arial" w:hAnsi="Arial" w:cs="Arial"/>
          <w:sz w:val="20"/>
          <w:szCs w:val="20"/>
        </w:rPr>
        <w:t>140</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vloži zahtevo za opustitev pridobitve dovoljenja v skladu s </w:t>
      </w:r>
      <w:r w:rsidR="00557247" w:rsidRPr="00215B2F">
        <w:rPr>
          <w:rFonts w:ascii="Arial" w:eastAsia="Arial" w:hAnsi="Arial" w:cs="Arial"/>
          <w:sz w:val="20"/>
          <w:szCs w:val="20"/>
        </w:rPr>
        <w:t>140</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(v nadaljnjem besedilu: zahteva za opustitev). </w:t>
      </w:r>
    </w:p>
    <w:p w14:paraId="1EB31594"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1F314618" w14:textId="6181A40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o prejeti zahtevi za opustitev dovoljenja uradno obvesti </w:t>
      </w:r>
      <w:r w:rsidR="00C23E0A" w:rsidRPr="00215B2F">
        <w:rPr>
          <w:rFonts w:ascii="Arial" w:eastAsia="Arial" w:hAnsi="Arial" w:cs="Arial"/>
          <w:sz w:val="20"/>
          <w:szCs w:val="20"/>
        </w:rPr>
        <w:t>Evropski bančni organ</w:t>
      </w:r>
      <w:r w:rsidRPr="00215B2F">
        <w:rPr>
          <w:rFonts w:ascii="Arial" w:eastAsia="Arial" w:hAnsi="Arial" w:cs="Arial"/>
          <w:sz w:val="20"/>
          <w:szCs w:val="20"/>
        </w:rPr>
        <w:t xml:space="preserve">. </w:t>
      </w:r>
      <w:r w:rsidR="00C23E0A" w:rsidRPr="00215B2F">
        <w:rPr>
          <w:rFonts w:ascii="Arial" w:eastAsia="Arial" w:hAnsi="Arial" w:cs="Arial"/>
          <w:sz w:val="20"/>
          <w:szCs w:val="20"/>
        </w:rPr>
        <w:t>Evropski bančni organ</w:t>
      </w:r>
      <w:r w:rsidRPr="00215B2F">
        <w:rPr>
          <w:rFonts w:ascii="Arial" w:eastAsia="Arial" w:hAnsi="Arial" w:cs="Arial"/>
          <w:sz w:val="20"/>
          <w:szCs w:val="20"/>
        </w:rPr>
        <w:t xml:space="preserve"> o zahtevi za opustitev izda mnenje v enem mesecu od </w:t>
      </w:r>
      <w:r w:rsidR="004D3BF5" w:rsidRPr="00215B2F">
        <w:rPr>
          <w:rFonts w:ascii="Arial" w:eastAsia="Arial" w:hAnsi="Arial" w:cs="Arial"/>
          <w:sz w:val="20"/>
          <w:szCs w:val="20"/>
        </w:rPr>
        <w:t xml:space="preserve">prejema </w:t>
      </w:r>
      <w:r w:rsidRPr="00215B2F">
        <w:rPr>
          <w:rFonts w:ascii="Arial" w:eastAsia="Arial" w:hAnsi="Arial" w:cs="Arial"/>
          <w:sz w:val="20"/>
          <w:szCs w:val="20"/>
        </w:rPr>
        <w:t xml:space="preserve">uradnega obvestila Banke Slovenije. </w:t>
      </w:r>
    </w:p>
    <w:p w14:paraId="55175788" w14:textId="77777777" w:rsidR="008612B7" w:rsidRPr="00215B2F" w:rsidRDefault="008612B7" w:rsidP="00FD5520">
      <w:pPr>
        <w:shd w:val="clear" w:color="auto" w:fill="FFFFFF" w:themeFill="background1"/>
        <w:spacing w:after="0" w:line="240" w:lineRule="auto"/>
        <w:jc w:val="both"/>
        <w:rPr>
          <w:rFonts w:ascii="Arial" w:eastAsia="Arial" w:hAnsi="Arial" w:cs="Arial"/>
          <w:sz w:val="20"/>
          <w:szCs w:val="20"/>
        </w:rPr>
      </w:pPr>
    </w:p>
    <w:p w14:paraId="405AD46B" w14:textId="13378C8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pri odločanju o zahtevi za opustitev upošteva: </w:t>
      </w:r>
    </w:p>
    <w:p w14:paraId="249CC426"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6B1E6377" w14:textId="457F30AF" w:rsidR="008612B7" w:rsidRPr="00215B2F" w:rsidRDefault="00D91782" w:rsidP="003D4DE0">
      <w:pPr>
        <w:pStyle w:val="Odstavekseznama"/>
        <w:numPr>
          <w:ilvl w:val="0"/>
          <w:numId w:val="30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mnenje </w:t>
      </w:r>
      <w:r w:rsidR="00C23E0A" w:rsidRPr="00215B2F">
        <w:rPr>
          <w:rFonts w:ascii="Arial" w:eastAsia="Arial" w:hAnsi="Arial" w:cs="Arial"/>
          <w:sz w:val="20"/>
          <w:szCs w:val="20"/>
        </w:rPr>
        <w:t>Evropskega bančnega organa</w:t>
      </w:r>
      <w:r w:rsidRPr="00215B2F">
        <w:rPr>
          <w:rFonts w:ascii="Arial" w:eastAsia="Arial" w:hAnsi="Arial" w:cs="Arial"/>
          <w:sz w:val="20"/>
          <w:szCs w:val="20"/>
        </w:rPr>
        <w:t xml:space="preserve"> iz prejšnjega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13391910" w14:textId="77777777" w:rsidR="008612B7" w:rsidRPr="00215B2F" w:rsidRDefault="00D91782" w:rsidP="003D4DE0">
      <w:pPr>
        <w:pStyle w:val="Odstavekseznama"/>
        <w:numPr>
          <w:ilvl w:val="0"/>
          <w:numId w:val="30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kadar je družba del skupine, organizacijsko strukturo skupine, prevladujoče prakse knjiženja v skupini in razporeditev sredstev med subjekti v skupini;</w:t>
      </w:r>
    </w:p>
    <w:p w14:paraId="2ED872C4" w14:textId="0E427F55" w:rsidR="008612B7" w:rsidRPr="00215B2F" w:rsidRDefault="00D91782" w:rsidP="003D4DE0">
      <w:pPr>
        <w:pStyle w:val="Odstavekseznama"/>
        <w:numPr>
          <w:ilvl w:val="0"/>
          <w:numId w:val="30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naravo, obseg in zapletenost dejavnosti, ki jih izvaja družba v Republiki Sloveniji in v celotni </w:t>
      </w:r>
      <w:r w:rsidR="004D3BF5" w:rsidRPr="00215B2F">
        <w:rPr>
          <w:rFonts w:ascii="Arial" w:eastAsia="Arial" w:hAnsi="Arial" w:cs="Arial"/>
          <w:sz w:val="20"/>
          <w:szCs w:val="20"/>
        </w:rPr>
        <w:t>Evropski u</w:t>
      </w:r>
      <w:r w:rsidRPr="00215B2F">
        <w:rPr>
          <w:rFonts w:ascii="Arial" w:eastAsia="Arial" w:hAnsi="Arial" w:cs="Arial"/>
          <w:sz w:val="20"/>
          <w:szCs w:val="20"/>
        </w:rPr>
        <w:t>niji;</w:t>
      </w:r>
    </w:p>
    <w:p w14:paraId="448C71D5" w14:textId="77777777" w:rsidR="0061405D" w:rsidRPr="00215B2F" w:rsidRDefault="0061405D" w:rsidP="0061405D">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č)   </w:t>
      </w:r>
      <w:r w:rsidR="00D91782" w:rsidRPr="00215B2F">
        <w:rPr>
          <w:rFonts w:ascii="Arial" w:eastAsia="Arial" w:hAnsi="Arial" w:cs="Arial"/>
          <w:sz w:val="20"/>
          <w:szCs w:val="20"/>
        </w:rPr>
        <w:t xml:space="preserve">pomen dejavnosti, ki jih izvaja družba v Republiki Sloveniji in v celotni </w:t>
      </w:r>
      <w:r w:rsidR="004D3BF5" w:rsidRPr="00215B2F">
        <w:rPr>
          <w:rFonts w:ascii="Arial" w:eastAsia="Arial" w:hAnsi="Arial" w:cs="Arial"/>
          <w:sz w:val="20"/>
          <w:szCs w:val="20"/>
        </w:rPr>
        <w:t>Evropski u</w:t>
      </w:r>
      <w:r w:rsidR="00D91782" w:rsidRPr="00215B2F">
        <w:rPr>
          <w:rFonts w:ascii="Arial" w:eastAsia="Arial" w:hAnsi="Arial" w:cs="Arial"/>
          <w:sz w:val="20"/>
          <w:szCs w:val="20"/>
        </w:rPr>
        <w:t xml:space="preserve">niji, ter sistemsko </w:t>
      </w:r>
      <w:r w:rsidRPr="00215B2F">
        <w:rPr>
          <w:rFonts w:ascii="Arial" w:eastAsia="Arial" w:hAnsi="Arial" w:cs="Arial"/>
          <w:sz w:val="20"/>
          <w:szCs w:val="20"/>
        </w:rPr>
        <w:t xml:space="preserve"> </w:t>
      </w:r>
    </w:p>
    <w:p w14:paraId="4A79C28A" w14:textId="183DB380" w:rsidR="00D91782" w:rsidRPr="00215B2F" w:rsidRDefault="0061405D" w:rsidP="0061405D">
      <w:p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      </w:t>
      </w:r>
      <w:r w:rsidR="00D91782" w:rsidRPr="00215B2F">
        <w:rPr>
          <w:rFonts w:ascii="Arial" w:eastAsia="Arial" w:hAnsi="Arial" w:cs="Arial"/>
          <w:sz w:val="20"/>
          <w:szCs w:val="20"/>
        </w:rPr>
        <w:t>tveganje, ki ga te dejavnosti p</w:t>
      </w:r>
      <w:r w:rsidR="004D3BF5" w:rsidRPr="00215B2F">
        <w:rPr>
          <w:rFonts w:ascii="Arial" w:eastAsia="Arial" w:hAnsi="Arial" w:cs="Arial"/>
          <w:sz w:val="20"/>
          <w:szCs w:val="20"/>
        </w:rPr>
        <w:t>omeni</w:t>
      </w:r>
      <w:r w:rsidR="00D91782" w:rsidRPr="00215B2F">
        <w:rPr>
          <w:rFonts w:ascii="Arial" w:eastAsia="Arial" w:hAnsi="Arial" w:cs="Arial"/>
          <w:sz w:val="20"/>
          <w:szCs w:val="20"/>
        </w:rPr>
        <w:t xml:space="preserve">jo. </w:t>
      </w:r>
    </w:p>
    <w:p w14:paraId="01C47C25"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3C290771" w14:textId="37959D6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(4) Banka Slovenije zavrne zahtevo za opustitev, če ob upoštevanju elementov prejšnjega odstavka oceni, da bi opustitev negativno vplivala na izvajanje nadzora, stabilnost družbe ali stabilnost finančnega sistema.</w:t>
      </w:r>
    </w:p>
    <w:p w14:paraId="32B72866"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0D0F55B1" w14:textId="3B7B78A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Če Banka Slovenije pri odločanju o zahtevi za opustitev odstopa od mnenja </w:t>
      </w:r>
      <w:r w:rsidR="00C23E0A" w:rsidRPr="00215B2F">
        <w:rPr>
          <w:rFonts w:ascii="Arial" w:eastAsia="Arial" w:hAnsi="Arial" w:cs="Arial"/>
          <w:sz w:val="20"/>
          <w:szCs w:val="20"/>
        </w:rPr>
        <w:t>Evropskega bančnega organa</w:t>
      </w:r>
      <w:r w:rsidRPr="00215B2F">
        <w:rPr>
          <w:rFonts w:ascii="Arial" w:eastAsia="Arial" w:hAnsi="Arial" w:cs="Arial"/>
          <w:sz w:val="20"/>
          <w:szCs w:val="20"/>
        </w:rPr>
        <w:t xml:space="preserve">, navede razloge za to odstopanje. </w:t>
      </w:r>
    </w:p>
    <w:p w14:paraId="625E39C9"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20572066" w14:textId="0ACF5DC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Banka Slovenije o svoji odločitvi uradno obvesti zadevno družbo in </w:t>
      </w:r>
      <w:r w:rsidR="00C23E0A" w:rsidRPr="00215B2F">
        <w:rPr>
          <w:rFonts w:ascii="Arial" w:eastAsia="Arial" w:hAnsi="Arial" w:cs="Arial"/>
          <w:sz w:val="20"/>
          <w:szCs w:val="20"/>
        </w:rPr>
        <w:t>Evropski bančni organ</w:t>
      </w:r>
      <w:r w:rsidRPr="00215B2F">
        <w:rPr>
          <w:rFonts w:ascii="Arial" w:eastAsia="Arial" w:hAnsi="Arial" w:cs="Arial"/>
          <w:sz w:val="20"/>
          <w:szCs w:val="20"/>
        </w:rPr>
        <w:t xml:space="preserve">. </w:t>
      </w:r>
    </w:p>
    <w:p w14:paraId="2A68D68E"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4982AC44" w14:textId="0442A7E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Banka Slovenije pozitivno odločitev o zahtevi za opustitev po uradni dolžnosti </w:t>
      </w:r>
      <w:r w:rsidR="00F455AB" w:rsidRPr="00215B2F">
        <w:rPr>
          <w:rFonts w:ascii="Arial" w:eastAsia="Arial" w:hAnsi="Arial" w:cs="Arial"/>
          <w:sz w:val="20"/>
          <w:szCs w:val="20"/>
        </w:rPr>
        <w:t>z</w:t>
      </w:r>
      <w:r w:rsidRPr="00215B2F">
        <w:rPr>
          <w:rFonts w:ascii="Arial" w:eastAsia="Arial" w:hAnsi="Arial" w:cs="Arial"/>
          <w:sz w:val="20"/>
          <w:szCs w:val="20"/>
        </w:rPr>
        <w:t>nov</w:t>
      </w:r>
      <w:r w:rsidR="00F455AB" w:rsidRPr="00215B2F">
        <w:rPr>
          <w:rFonts w:ascii="Arial" w:eastAsia="Arial" w:hAnsi="Arial" w:cs="Arial"/>
          <w:sz w:val="20"/>
          <w:szCs w:val="20"/>
        </w:rPr>
        <w:t>a</w:t>
      </w:r>
      <w:r w:rsidRPr="00215B2F">
        <w:rPr>
          <w:rFonts w:ascii="Arial" w:eastAsia="Arial" w:hAnsi="Arial" w:cs="Arial"/>
          <w:sz w:val="20"/>
          <w:szCs w:val="20"/>
        </w:rPr>
        <w:t xml:space="preserve"> oceni vsak</w:t>
      </w:r>
      <w:r w:rsidR="004D3BF5" w:rsidRPr="00215B2F">
        <w:rPr>
          <w:rFonts w:ascii="Arial" w:eastAsia="Arial" w:hAnsi="Arial" w:cs="Arial"/>
          <w:sz w:val="20"/>
          <w:szCs w:val="20"/>
        </w:rPr>
        <w:t>a</w:t>
      </w:r>
      <w:r w:rsidRPr="00215B2F">
        <w:rPr>
          <w:rFonts w:ascii="Arial" w:eastAsia="Arial" w:hAnsi="Arial" w:cs="Arial"/>
          <w:sz w:val="20"/>
          <w:szCs w:val="20"/>
        </w:rPr>
        <w:t xml:space="preserve"> tri leta. </w:t>
      </w:r>
    </w:p>
    <w:p w14:paraId="351783EC"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22CB8B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199" w:name="_Ref202964324"/>
      <w:r w:rsidRPr="00215B2F">
        <w:rPr>
          <w:rFonts w:ascii="Arial" w:eastAsia="Arial" w:hAnsi="Arial" w:cs="Arial"/>
          <w:b/>
          <w:bCs/>
          <w:sz w:val="20"/>
          <w:szCs w:val="20"/>
        </w:rPr>
        <w:t>člen</w:t>
      </w:r>
      <w:bookmarkEnd w:id="199"/>
    </w:p>
    <w:p w14:paraId="35E17D38" w14:textId="77777777" w:rsidR="00D91782" w:rsidRPr="00215B2F" w:rsidRDefault="00D91782" w:rsidP="00FD5520">
      <w:pPr>
        <w:pStyle w:val="Slog1"/>
        <w:shd w:val="clear" w:color="auto" w:fill="FFFFFF" w:themeFill="background1"/>
        <w:rPr>
          <w:sz w:val="20"/>
          <w:szCs w:val="20"/>
        </w:rPr>
      </w:pPr>
      <w:r w:rsidRPr="00215B2F">
        <w:rPr>
          <w:sz w:val="20"/>
          <w:szCs w:val="20"/>
        </w:rPr>
        <w:t>(prenehanje izpolnjevanja pogojev za kreditno družbo)</w:t>
      </w:r>
    </w:p>
    <w:p w14:paraId="268DA144" w14:textId="77777777" w:rsidR="00D91782" w:rsidRPr="00215B2F" w:rsidRDefault="00D91782" w:rsidP="00FD5520">
      <w:pPr>
        <w:pStyle w:val="Slog1"/>
        <w:shd w:val="clear" w:color="auto" w:fill="FFFFFF" w:themeFill="background1"/>
        <w:jc w:val="both"/>
        <w:rPr>
          <w:sz w:val="20"/>
          <w:szCs w:val="20"/>
        </w:rPr>
      </w:pPr>
    </w:p>
    <w:p w14:paraId="227071F7" w14:textId="2F530B6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Družba, ki je pridobila dovoljenje za opravljanje investicijskih storitev in poslov kot kreditna družba in ki pet zaporednih let ne izpolnjuje pogojev glede povprečne bilančne vsote iz podtočke (b) 1. točke prvega odstavka 4. člena Uredbe 575/2013/EU, mora o tem obvestiti Banko Slovenije. </w:t>
      </w:r>
    </w:p>
    <w:p w14:paraId="414B9268"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4ED0D66A" w14:textId="1FE90B5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Kadar Banka Slovenije ugotovi, da kreditna družba ne izpolnjuje več pogojev iz podtočke (b) 1. točke prvega odstavka 4. člena Uredbe 575/2013/EU, začne postopek za odvzem dovoljenja za opravljanje poslov in storitev kot kreditna družba v skladu </w:t>
      </w:r>
      <w:r w:rsidR="004C0951" w:rsidRPr="00215B2F">
        <w:rPr>
          <w:rFonts w:ascii="Arial" w:eastAsia="Arial" w:hAnsi="Arial" w:cs="Arial"/>
          <w:sz w:val="20"/>
          <w:szCs w:val="20"/>
        </w:rPr>
        <w:t xml:space="preserve">s </w:t>
      </w:r>
      <w:r w:rsidR="00557247" w:rsidRPr="00215B2F">
        <w:rPr>
          <w:rFonts w:ascii="Arial" w:eastAsia="Arial" w:hAnsi="Arial" w:cs="Arial"/>
          <w:sz w:val="20"/>
          <w:szCs w:val="20"/>
        </w:rPr>
        <w:t>362.</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Banka Slovenije o začetku postopka za odvzem dovoljenja kreditni družbi na podlagi 5. točke prvega odstavka </w:t>
      </w:r>
      <w:r w:rsidR="00557247" w:rsidRPr="00215B2F">
        <w:rPr>
          <w:rFonts w:ascii="Arial" w:eastAsia="Arial" w:hAnsi="Arial" w:cs="Arial"/>
          <w:sz w:val="20"/>
          <w:szCs w:val="20"/>
        </w:rPr>
        <w:t>362.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obvesti agencijo, pristojno za finančne trge. </w:t>
      </w:r>
    </w:p>
    <w:p w14:paraId="53B8AA43"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3CBE7780" w14:textId="504C897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Kreditna družba, ki je pridobila dovoljenje za opravljanje investicijskih storitev in poslov izključno na podlagi tega zakona, mora za nadaljnje opravljanje teh storitev in poslov vložiti vlogo za izdajo dovoljenja v skladu z </w:t>
      </w:r>
      <w:r w:rsidR="00E94A53" w:rsidRPr="00215B2F">
        <w:rPr>
          <w:rFonts w:ascii="Arial" w:eastAsia="Arial" w:hAnsi="Arial" w:cs="Arial"/>
          <w:sz w:val="20"/>
          <w:szCs w:val="20"/>
        </w:rPr>
        <w:t>ZTFI-1</w:t>
      </w:r>
      <w:r w:rsidRPr="00215B2F">
        <w:rPr>
          <w:rFonts w:ascii="Arial" w:eastAsia="Arial" w:hAnsi="Arial" w:cs="Arial"/>
          <w:sz w:val="20"/>
          <w:szCs w:val="20"/>
        </w:rPr>
        <w:t xml:space="preserve">. </w:t>
      </w:r>
    </w:p>
    <w:p w14:paraId="78F7BBB6"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71FB3EEA" w14:textId="234313A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Kreditna družba iz prejšnjega odstavka lahko še naprej opravlja dejavnosti, za katere je že pridobila dovoljenje za opravljanje investicijskih storitev in poslov izključno na podlagi tega zakona, do odločitve agencije, pristojne za finančne trge, o vlogi za izdajo dovoljenja v skladu z </w:t>
      </w:r>
      <w:r w:rsidR="00E94A53" w:rsidRPr="00215B2F">
        <w:rPr>
          <w:rFonts w:ascii="Arial" w:eastAsia="Arial" w:hAnsi="Arial" w:cs="Arial"/>
          <w:sz w:val="20"/>
          <w:szCs w:val="20"/>
        </w:rPr>
        <w:t>ZTFI-1</w:t>
      </w:r>
      <w:r w:rsidRPr="00215B2F">
        <w:rPr>
          <w:rFonts w:ascii="Arial" w:eastAsia="Arial" w:hAnsi="Arial" w:cs="Arial"/>
          <w:sz w:val="20"/>
          <w:szCs w:val="20"/>
        </w:rPr>
        <w:t xml:space="preserve">. </w:t>
      </w:r>
    </w:p>
    <w:p w14:paraId="6D7BFD3C"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4EA999E8" w14:textId="16BD0BD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Agencija, pristojna za finančne trge, v primeru ponovne izdaje dovoljenja zagotovi, da je postopek čim bolj racionaliziran in da se upoštevajo informacije iz veljavnih dovoljenj. </w:t>
      </w:r>
    </w:p>
    <w:p w14:paraId="458EEA3D"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2ED2E835" w14:textId="0F7885F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Z izdajo odločbe o odvzemu dovoljenja za opravljanje investicijskih storitev in poslov kot kreditna družba na podlagi 5. točke prvega odstavka </w:t>
      </w:r>
      <w:r w:rsidR="00557247" w:rsidRPr="00215B2F">
        <w:rPr>
          <w:rFonts w:ascii="Arial" w:eastAsia="Arial" w:hAnsi="Arial" w:cs="Arial"/>
          <w:sz w:val="20"/>
          <w:szCs w:val="20"/>
        </w:rPr>
        <w:t>362.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pristojnost za nadzor nad opravljanjem investicijskih storitev preide na agencijo, pristojno za finančne trge. O prenosu nadzora z Banke Slovenije na agencijo, pristojno za finančne trge, se pripravi zapisnik, ki ga potrdita oba pristojna organa.</w:t>
      </w:r>
    </w:p>
    <w:p w14:paraId="00A19EEC" w14:textId="77777777" w:rsidR="0059639B" w:rsidRPr="00215B2F" w:rsidRDefault="0059639B" w:rsidP="00FD5520">
      <w:pPr>
        <w:shd w:val="clear" w:color="auto" w:fill="FFFFFF" w:themeFill="background1"/>
        <w:spacing w:after="0" w:line="240" w:lineRule="auto"/>
        <w:jc w:val="both"/>
        <w:rPr>
          <w:rFonts w:ascii="Arial" w:eastAsia="Arial" w:hAnsi="Arial" w:cs="Arial"/>
          <w:sz w:val="20"/>
          <w:szCs w:val="20"/>
        </w:rPr>
      </w:pPr>
    </w:p>
    <w:p w14:paraId="6C2310D8" w14:textId="028985D8" w:rsidR="00D91782" w:rsidRPr="00215B2F" w:rsidRDefault="00D91782" w:rsidP="00FD5520">
      <w:pPr>
        <w:pStyle w:val="Slog3"/>
        <w:shd w:val="clear" w:color="auto" w:fill="FFFFFF" w:themeFill="background1"/>
        <w:rPr>
          <w:sz w:val="20"/>
          <w:szCs w:val="20"/>
        </w:rPr>
      </w:pPr>
      <w:r w:rsidRPr="00215B2F">
        <w:rPr>
          <w:sz w:val="20"/>
          <w:szCs w:val="20"/>
        </w:rPr>
        <w:t>5.</w:t>
      </w:r>
      <w:r w:rsidR="006B2743" w:rsidRPr="00215B2F">
        <w:rPr>
          <w:sz w:val="20"/>
          <w:szCs w:val="20"/>
        </w:rPr>
        <w:t>4</w:t>
      </w:r>
      <w:r w:rsidRPr="00215B2F">
        <w:rPr>
          <w:sz w:val="20"/>
          <w:szCs w:val="20"/>
        </w:rPr>
        <w:t xml:space="preserve"> ČEZMEJNO OPRAVLJANJE STORITEV</w:t>
      </w:r>
    </w:p>
    <w:p w14:paraId="184A1546"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D1ED9FF"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00" w:name="_Ref202964371"/>
      <w:r w:rsidRPr="00215B2F">
        <w:rPr>
          <w:rFonts w:ascii="Arial" w:eastAsia="Arial" w:hAnsi="Arial" w:cs="Arial"/>
          <w:b/>
          <w:bCs/>
          <w:sz w:val="20"/>
          <w:szCs w:val="20"/>
        </w:rPr>
        <w:t>člen</w:t>
      </w:r>
      <w:bookmarkEnd w:id="200"/>
    </w:p>
    <w:p w14:paraId="6DCC505E" w14:textId="77777777" w:rsidR="00D91782" w:rsidRPr="00215B2F" w:rsidRDefault="00D91782" w:rsidP="00FD5520">
      <w:pPr>
        <w:pStyle w:val="Slog1"/>
        <w:shd w:val="clear" w:color="auto" w:fill="FFFFFF" w:themeFill="background1"/>
        <w:rPr>
          <w:sz w:val="20"/>
          <w:szCs w:val="20"/>
        </w:rPr>
      </w:pPr>
      <w:r w:rsidRPr="00215B2F">
        <w:rPr>
          <w:sz w:val="20"/>
          <w:szCs w:val="20"/>
        </w:rPr>
        <w:t>(neposredno opravljanje storitev)</w:t>
      </w:r>
    </w:p>
    <w:p w14:paraId="52342AC5" w14:textId="77777777" w:rsidR="00D91782" w:rsidRPr="00215B2F" w:rsidRDefault="00D91782" w:rsidP="00FD5520">
      <w:pPr>
        <w:pStyle w:val="Slog1"/>
        <w:shd w:val="clear" w:color="auto" w:fill="FFFFFF" w:themeFill="background1"/>
        <w:jc w:val="both"/>
        <w:rPr>
          <w:sz w:val="20"/>
          <w:szCs w:val="20"/>
        </w:rPr>
      </w:pPr>
    </w:p>
    <w:p w14:paraId="3659B4E3" w14:textId="70E05F5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Za namene tega zakona se šteje, da se storitve neposredno opravljajo na območju </w:t>
      </w:r>
      <w:r w:rsidR="004C0951" w:rsidRPr="00215B2F">
        <w:rPr>
          <w:rFonts w:ascii="Arial" w:eastAsia="Arial" w:hAnsi="Arial" w:cs="Arial"/>
          <w:sz w:val="20"/>
          <w:szCs w:val="20"/>
        </w:rPr>
        <w:t>posamez</w:t>
      </w:r>
      <w:r w:rsidRPr="00215B2F">
        <w:rPr>
          <w:rFonts w:ascii="Arial" w:eastAsia="Arial" w:hAnsi="Arial" w:cs="Arial"/>
          <w:sz w:val="20"/>
          <w:szCs w:val="20"/>
        </w:rPr>
        <w:t>ne države, če se na območju te države:</w:t>
      </w:r>
    </w:p>
    <w:p w14:paraId="075BA7B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0D628F0" w14:textId="6AB6B5CB" w:rsidR="00895214" w:rsidRPr="00215B2F" w:rsidRDefault="00D91782">
      <w:pPr>
        <w:pStyle w:val="tevilnatoka"/>
        <w:numPr>
          <w:ilvl w:val="0"/>
          <w:numId w:val="107"/>
        </w:numPr>
        <w:shd w:val="clear" w:color="auto" w:fill="FFFFFF" w:themeFill="background1"/>
        <w:tabs>
          <w:tab w:val="clear" w:pos="425"/>
        </w:tabs>
        <w:rPr>
          <w:rFonts w:cs="Arial"/>
          <w:bCs/>
          <w:sz w:val="20"/>
          <w:szCs w:val="20"/>
        </w:rPr>
      </w:pPr>
      <w:r w:rsidRPr="00215B2F">
        <w:rPr>
          <w:rFonts w:eastAsia="Arial" w:cs="Arial"/>
          <w:sz w:val="20"/>
          <w:szCs w:val="20"/>
        </w:rPr>
        <w:t>sklepajo pravni posli, katerih predmet so vzajemno priznane finančne storitve</w:t>
      </w:r>
      <w:r w:rsidR="004C0951" w:rsidRPr="00215B2F">
        <w:rPr>
          <w:rFonts w:eastAsia="Arial" w:cs="Arial"/>
          <w:sz w:val="20"/>
          <w:szCs w:val="20"/>
        </w:rPr>
        <w:t>,</w:t>
      </w:r>
      <w:r w:rsidRPr="00215B2F">
        <w:rPr>
          <w:rFonts w:eastAsia="Arial" w:cs="Arial"/>
          <w:sz w:val="20"/>
          <w:szCs w:val="20"/>
        </w:rPr>
        <w:t xml:space="preserve"> ali</w:t>
      </w:r>
    </w:p>
    <w:p w14:paraId="5C81D448" w14:textId="052378E2" w:rsidR="007C0B91" w:rsidRPr="00215B2F" w:rsidRDefault="00D91782" w:rsidP="00543D80">
      <w:pPr>
        <w:pStyle w:val="tevilnatoka"/>
        <w:rPr>
          <w:rFonts w:cs="Arial"/>
          <w:bCs/>
          <w:sz w:val="20"/>
          <w:szCs w:val="20"/>
        </w:rPr>
      </w:pPr>
      <w:r w:rsidRPr="00215B2F">
        <w:rPr>
          <w:rFonts w:eastAsia="Arial" w:cs="Arial"/>
          <w:sz w:val="20"/>
          <w:szCs w:val="20"/>
        </w:rPr>
        <w:t>javnosti ponujajo vzajemno priznane finančne storitve p</w:t>
      </w:r>
      <w:r w:rsidR="004C0951" w:rsidRPr="00215B2F">
        <w:rPr>
          <w:rFonts w:eastAsia="Arial" w:cs="Arial"/>
          <w:sz w:val="20"/>
          <w:szCs w:val="20"/>
        </w:rPr>
        <w:t>o</w:t>
      </w:r>
      <w:r w:rsidRPr="00215B2F">
        <w:rPr>
          <w:rFonts w:eastAsia="Arial" w:cs="Arial"/>
          <w:sz w:val="20"/>
          <w:szCs w:val="20"/>
        </w:rPr>
        <w:t xml:space="preserve"> zastopnik</w:t>
      </w:r>
      <w:r w:rsidR="004C0951" w:rsidRPr="00215B2F">
        <w:rPr>
          <w:rFonts w:eastAsia="Arial" w:cs="Arial"/>
          <w:sz w:val="20"/>
          <w:szCs w:val="20"/>
        </w:rPr>
        <w:t>ih</w:t>
      </w:r>
      <w:r w:rsidRPr="00215B2F">
        <w:rPr>
          <w:rFonts w:eastAsia="Arial" w:cs="Arial"/>
          <w:sz w:val="20"/>
          <w:szCs w:val="20"/>
        </w:rPr>
        <w:t xml:space="preserve"> oziroma posrednik</w:t>
      </w:r>
      <w:r w:rsidR="004C0951" w:rsidRPr="00215B2F">
        <w:rPr>
          <w:rFonts w:eastAsia="Arial" w:cs="Arial"/>
          <w:sz w:val="20"/>
          <w:szCs w:val="20"/>
        </w:rPr>
        <w:t>ih</w:t>
      </w:r>
      <w:r w:rsidR="007C0B91" w:rsidRPr="00215B2F">
        <w:rPr>
          <w:rFonts w:eastAsia="Arial" w:cs="Arial"/>
          <w:sz w:val="20"/>
          <w:szCs w:val="20"/>
        </w:rPr>
        <w:t>.</w:t>
      </w:r>
    </w:p>
    <w:p w14:paraId="1C3AF5A4" w14:textId="77777777" w:rsidR="007C0B91" w:rsidRPr="00215B2F" w:rsidRDefault="007C0B91" w:rsidP="00FD5520">
      <w:pPr>
        <w:shd w:val="clear" w:color="auto" w:fill="FFFFFF" w:themeFill="background1"/>
        <w:spacing w:after="0" w:line="240" w:lineRule="auto"/>
        <w:jc w:val="both"/>
        <w:rPr>
          <w:rFonts w:ascii="Arial" w:eastAsia="Arial" w:hAnsi="Arial" w:cs="Arial"/>
          <w:sz w:val="20"/>
          <w:szCs w:val="20"/>
        </w:rPr>
      </w:pPr>
    </w:p>
    <w:p w14:paraId="22799B1B" w14:textId="6442795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države članice lahko na območju Republike Slovenije oglašuje vzajemno priznane storitve </w:t>
      </w:r>
      <w:r w:rsidR="004C0951" w:rsidRPr="00215B2F">
        <w:rPr>
          <w:rFonts w:ascii="Arial" w:eastAsia="Arial" w:hAnsi="Arial" w:cs="Arial"/>
          <w:sz w:val="20"/>
          <w:szCs w:val="20"/>
        </w:rPr>
        <w:t xml:space="preserve">z </w:t>
      </w:r>
      <w:r w:rsidRPr="00215B2F">
        <w:rPr>
          <w:rFonts w:ascii="Arial" w:eastAsia="Arial" w:hAnsi="Arial" w:cs="Arial"/>
          <w:sz w:val="20"/>
          <w:szCs w:val="20"/>
        </w:rPr>
        <w:t>reklamni</w:t>
      </w:r>
      <w:r w:rsidR="004C0951" w:rsidRPr="00215B2F">
        <w:rPr>
          <w:rFonts w:ascii="Arial" w:eastAsia="Arial" w:hAnsi="Arial" w:cs="Arial"/>
          <w:sz w:val="20"/>
          <w:szCs w:val="20"/>
        </w:rPr>
        <w:t>mi</w:t>
      </w:r>
      <w:r w:rsidRPr="00215B2F">
        <w:rPr>
          <w:rFonts w:ascii="Arial" w:eastAsia="Arial" w:hAnsi="Arial" w:cs="Arial"/>
          <w:sz w:val="20"/>
          <w:szCs w:val="20"/>
        </w:rPr>
        <w:t xml:space="preserve"> sporočil</w:t>
      </w:r>
      <w:r w:rsidR="004C0951" w:rsidRPr="00215B2F">
        <w:rPr>
          <w:rFonts w:ascii="Arial" w:eastAsia="Arial" w:hAnsi="Arial" w:cs="Arial"/>
          <w:sz w:val="20"/>
          <w:szCs w:val="20"/>
        </w:rPr>
        <w:t xml:space="preserve">i </w:t>
      </w:r>
      <w:r w:rsidRPr="00215B2F">
        <w:rPr>
          <w:rFonts w:ascii="Arial" w:eastAsia="Arial" w:hAnsi="Arial" w:cs="Arial"/>
          <w:sz w:val="20"/>
          <w:szCs w:val="20"/>
        </w:rPr>
        <w:t>ali drugi</w:t>
      </w:r>
      <w:r w:rsidR="004C0951" w:rsidRPr="00215B2F">
        <w:rPr>
          <w:rFonts w:ascii="Arial" w:eastAsia="Arial" w:hAnsi="Arial" w:cs="Arial"/>
          <w:sz w:val="20"/>
          <w:szCs w:val="20"/>
        </w:rPr>
        <w:t>mi</w:t>
      </w:r>
      <w:r w:rsidRPr="00215B2F">
        <w:rPr>
          <w:rFonts w:ascii="Arial" w:eastAsia="Arial" w:hAnsi="Arial" w:cs="Arial"/>
          <w:sz w:val="20"/>
          <w:szCs w:val="20"/>
        </w:rPr>
        <w:t xml:space="preserve"> sredstv</w:t>
      </w:r>
      <w:r w:rsidR="004C0951" w:rsidRPr="00215B2F">
        <w:rPr>
          <w:rFonts w:ascii="Arial" w:eastAsia="Arial" w:hAnsi="Arial" w:cs="Arial"/>
          <w:sz w:val="20"/>
          <w:szCs w:val="20"/>
        </w:rPr>
        <w:t>i</w:t>
      </w:r>
      <w:r w:rsidRPr="00215B2F">
        <w:rPr>
          <w:rFonts w:ascii="Arial" w:eastAsia="Arial" w:hAnsi="Arial" w:cs="Arial"/>
          <w:sz w:val="20"/>
          <w:szCs w:val="20"/>
        </w:rPr>
        <w:t xml:space="preserve"> komuniciranja z javnostjo, če </w:t>
      </w:r>
      <w:r w:rsidR="004C0951" w:rsidRPr="00215B2F">
        <w:rPr>
          <w:rFonts w:ascii="Arial" w:eastAsia="Arial" w:hAnsi="Arial" w:cs="Arial"/>
          <w:sz w:val="20"/>
          <w:szCs w:val="20"/>
        </w:rPr>
        <w:t xml:space="preserve">sta </w:t>
      </w:r>
      <w:r w:rsidRPr="00215B2F">
        <w:rPr>
          <w:rFonts w:ascii="Arial" w:eastAsia="Arial" w:hAnsi="Arial" w:cs="Arial"/>
          <w:sz w:val="20"/>
          <w:szCs w:val="20"/>
        </w:rPr>
        <w:t>oblika in vsebina tega oglaševanja v skladu s predpisi, ki urejajo oglaševanje v zvezi z varstvom potrošnikov. Tako oglaševanje se ne šteje za neposredno opravljanje storitev.</w:t>
      </w:r>
    </w:p>
    <w:p w14:paraId="2E40175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BCCA88A"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01" w:name="_Ref202964380"/>
      <w:r w:rsidRPr="00215B2F">
        <w:rPr>
          <w:rFonts w:ascii="Arial" w:eastAsia="Arial" w:hAnsi="Arial" w:cs="Arial"/>
          <w:b/>
          <w:bCs/>
          <w:sz w:val="20"/>
          <w:szCs w:val="20"/>
        </w:rPr>
        <w:t>člen</w:t>
      </w:r>
      <w:bookmarkEnd w:id="201"/>
    </w:p>
    <w:p w14:paraId="09D373B7" w14:textId="77777777" w:rsidR="00D91782" w:rsidRPr="00215B2F" w:rsidRDefault="00D91782" w:rsidP="00FD5520">
      <w:pPr>
        <w:pStyle w:val="Slog1"/>
        <w:shd w:val="clear" w:color="auto" w:fill="FFFFFF" w:themeFill="background1"/>
        <w:rPr>
          <w:sz w:val="20"/>
          <w:szCs w:val="20"/>
        </w:rPr>
      </w:pPr>
      <w:r w:rsidRPr="00215B2F">
        <w:rPr>
          <w:sz w:val="20"/>
          <w:szCs w:val="20"/>
        </w:rPr>
        <w:t>(opravljanje storitev prek podružnice)</w:t>
      </w:r>
    </w:p>
    <w:p w14:paraId="100AE2B0" w14:textId="77777777" w:rsidR="00D91782" w:rsidRPr="00215B2F" w:rsidRDefault="00D91782" w:rsidP="00FD5520">
      <w:pPr>
        <w:pStyle w:val="Slog1"/>
        <w:shd w:val="clear" w:color="auto" w:fill="FFFFFF" w:themeFill="background1"/>
        <w:jc w:val="both"/>
        <w:rPr>
          <w:sz w:val="20"/>
          <w:szCs w:val="20"/>
        </w:rPr>
      </w:pPr>
    </w:p>
    <w:p w14:paraId="0CA73E0D" w14:textId="36D8A1D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Dve ali več podružnic, ki jih ustanovi banka v posamezni državi članici, se za namene tega zakona štejejo kot ena sama podružnica banke v tej državi članici.</w:t>
      </w:r>
    </w:p>
    <w:p w14:paraId="7E33C6B8"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7043079" w14:textId="1D59197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Prejšnji odstavek se uporablja tudi za podružnice, ki jih na območju Republike Slovenije ustanovi banka države članice ali banka tretje države.</w:t>
      </w:r>
    </w:p>
    <w:p w14:paraId="73EE705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6C44AD4" w14:textId="6535E45B"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5.</w:t>
      </w:r>
      <w:r w:rsidR="006B2743" w:rsidRPr="00215B2F">
        <w:rPr>
          <w:rFonts w:ascii="Arial" w:eastAsia="Arial" w:hAnsi="Arial" w:cs="Arial"/>
          <w:i/>
          <w:iCs/>
          <w:sz w:val="20"/>
          <w:szCs w:val="20"/>
        </w:rPr>
        <w:t>4</w:t>
      </w:r>
      <w:r w:rsidRPr="00215B2F">
        <w:rPr>
          <w:rFonts w:ascii="Arial" w:eastAsia="Arial" w:hAnsi="Arial" w:cs="Arial"/>
          <w:i/>
          <w:iCs/>
          <w:sz w:val="20"/>
          <w:szCs w:val="20"/>
        </w:rPr>
        <w:t>.1 Opravljanje vzajemno priznanih storitev bank na območju druge države članice</w:t>
      </w:r>
    </w:p>
    <w:p w14:paraId="73777BAF"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49D0CC27"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člen</w:t>
      </w:r>
    </w:p>
    <w:p w14:paraId="092019C3" w14:textId="77777777" w:rsidR="00D91782" w:rsidRPr="00215B2F" w:rsidRDefault="00D91782" w:rsidP="00FD5520">
      <w:pPr>
        <w:pStyle w:val="Slog1"/>
        <w:shd w:val="clear" w:color="auto" w:fill="FFFFFF" w:themeFill="background1"/>
        <w:rPr>
          <w:sz w:val="20"/>
          <w:szCs w:val="20"/>
        </w:rPr>
      </w:pPr>
      <w:r w:rsidRPr="00215B2F">
        <w:rPr>
          <w:sz w:val="20"/>
          <w:szCs w:val="20"/>
        </w:rPr>
        <w:t>(obvestilo o nameri ustanovitve podružnice banke v drugi državi članici)</w:t>
      </w:r>
    </w:p>
    <w:p w14:paraId="2F88FBEC" w14:textId="77777777" w:rsidR="00D91782" w:rsidRPr="00215B2F" w:rsidRDefault="00D91782" w:rsidP="00FD5520">
      <w:pPr>
        <w:pStyle w:val="Slog1"/>
        <w:shd w:val="clear" w:color="auto" w:fill="FFFFFF" w:themeFill="background1"/>
        <w:jc w:val="both"/>
        <w:rPr>
          <w:sz w:val="20"/>
          <w:szCs w:val="20"/>
        </w:rPr>
      </w:pPr>
    </w:p>
    <w:p w14:paraId="35355B69" w14:textId="67EB389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ki namerava zaradi opravljanja vzajemno priznanih finančnih storitev, za katere je pridobila ustrezno dovoljenje v skladu s tem zakonom, v drugi državi članici ustanoviti podružnico, mora o tem obvestiti Banko Slovenije ali Evropsko centralno banko, kadar je ta pri opravljanju nadzora nad banko v skladu z Uredbo 1024/2013/EU odgovorna za izvajanje nalog iz točke (b) prvega odstavka 4. člena </w:t>
      </w:r>
      <w:r w:rsidR="00091BC8" w:rsidRPr="00215B2F">
        <w:rPr>
          <w:rFonts w:ascii="Arial" w:eastAsia="Arial" w:hAnsi="Arial" w:cs="Arial"/>
          <w:sz w:val="20"/>
          <w:szCs w:val="20"/>
        </w:rPr>
        <w:t>navedene uredbe</w:t>
      </w:r>
      <w:r w:rsidRPr="00215B2F">
        <w:rPr>
          <w:rFonts w:ascii="Arial" w:eastAsia="Arial" w:hAnsi="Arial" w:cs="Arial"/>
          <w:sz w:val="20"/>
          <w:szCs w:val="20"/>
        </w:rPr>
        <w:t>.</w:t>
      </w:r>
    </w:p>
    <w:p w14:paraId="62ED724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B009A58" w14:textId="0091581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Obvestilu o nameri ustanovitve podružnice mora banka priložiti naslednje informacije:</w:t>
      </w:r>
    </w:p>
    <w:p w14:paraId="31A7771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73B9ABD" w14:textId="42B16CFF" w:rsidR="00895214" w:rsidRPr="00215B2F" w:rsidRDefault="00D908CC">
      <w:pPr>
        <w:pStyle w:val="tevilnatoka"/>
        <w:numPr>
          <w:ilvl w:val="0"/>
          <w:numId w:val="108"/>
        </w:numPr>
        <w:shd w:val="clear" w:color="auto" w:fill="FFFFFF" w:themeFill="background1"/>
        <w:tabs>
          <w:tab w:val="clear" w:pos="425"/>
        </w:tabs>
        <w:rPr>
          <w:rFonts w:cs="Arial"/>
          <w:bCs/>
          <w:sz w:val="20"/>
          <w:szCs w:val="20"/>
        </w:rPr>
      </w:pPr>
      <w:r w:rsidRPr="00215B2F">
        <w:rPr>
          <w:rFonts w:eastAsia="Arial" w:cs="Arial"/>
          <w:sz w:val="20"/>
          <w:szCs w:val="20"/>
        </w:rPr>
        <w:t xml:space="preserve">navedba </w:t>
      </w:r>
      <w:r w:rsidR="00D91782" w:rsidRPr="00215B2F">
        <w:rPr>
          <w:rFonts w:eastAsia="Arial" w:cs="Arial"/>
          <w:sz w:val="20"/>
          <w:szCs w:val="20"/>
        </w:rPr>
        <w:t>držav</w:t>
      </w:r>
      <w:r w:rsidRPr="00215B2F">
        <w:rPr>
          <w:rFonts w:eastAsia="Arial" w:cs="Arial"/>
          <w:sz w:val="20"/>
          <w:szCs w:val="20"/>
        </w:rPr>
        <w:t>e</w:t>
      </w:r>
      <w:r w:rsidR="00D91782" w:rsidRPr="00215B2F">
        <w:rPr>
          <w:rFonts w:eastAsia="Arial" w:cs="Arial"/>
          <w:sz w:val="20"/>
          <w:szCs w:val="20"/>
        </w:rPr>
        <w:t xml:space="preserve"> članic</w:t>
      </w:r>
      <w:r w:rsidRPr="00215B2F">
        <w:rPr>
          <w:rFonts w:eastAsia="Arial" w:cs="Arial"/>
          <w:sz w:val="20"/>
          <w:szCs w:val="20"/>
        </w:rPr>
        <w:t>e</w:t>
      </w:r>
      <w:r w:rsidR="00D91782" w:rsidRPr="00215B2F">
        <w:rPr>
          <w:rFonts w:eastAsia="Arial" w:cs="Arial"/>
          <w:sz w:val="20"/>
          <w:szCs w:val="20"/>
        </w:rPr>
        <w:t>, v kateri namerava ustanoviti podružnico;</w:t>
      </w:r>
    </w:p>
    <w:p w14:paraId="6B0ED558" w14:textId="3D14D011" w:rsidR="00895214" w:rsidRPr="00215B2F" w:rsidRDefault="00D91782">
      <w:pPr>
        <w:pStyle w:val="tevilnatoka"/>
        <w:numPr>
          <w:ilvl w:val="0"/>
          <w:numId w:val="108"/>
        </w:numPr>
        <w:shd w:val="clear" w:color="auto" w:fill="FFFFFF" w:themeFill="background1"/>
        <w:tabs>
          <w:tab w:val="clear" w:pos="425"/>
        </w:tabs>
        <w:rPr>
          <w:rFonts w:cs="Arial"/>
          <w:bCs/>
          <w:sz w:val="20"/>
          <w:szCs w:val="20"/>
        </w:rPr>
      </w:pPr>
      <w:r w:rsidRPr="00215B2F">
        <w:rPr>
          <w:rFonts w:eastAsia="Arial" w:cs="Arial"/>
          <w:sz w:val="20"/>
          <w:szCs w:val="20"/>
        </w:rPr>
        <w:t xml:space="preserve">poslovni načrt, ki med drugim </w:t>
      </w:r>
      <w:r w:rsidR="00FD7832" w:rsidRPr="00215B2F">
        <w:rPr>
          <w:rFonts w:eastAsia="Arial" w:cs="Arial"/>
          <w:sz w:val="20"/>
          <w:szCs w:val="20"/>
        </w:rPr>
        <w:t xml:space="preserve">vključuje </w:t>
      </w:r>
      <w:r w:rsidRPr="00215B2F">
        <w:rPr>
          <w:rFonts w:eastAsia="Arial" w:cs="Arial"/>
          <w:sz w:val="20"/>
          <w:szCs w:val="20"/>
        </w:rPr>
        <w:t>podrobnejši opis dejavnosti, ki jih namerava opravljati prek podružnice, in organizacijsk</w:t>
      </w:r>
      <w:r w:rsidR="00FD7832" w:rsidRPr="00215B2F">
        <w:rPr>
          <w:rFonts w:eastAsia="Arial" w:cs="Arial"/>
          <w:sz w:val="20"/>
          <w:szCs w:val="20"/>
        </w:rPr>
        <w:t>o</w:t>
      </w:r>
      <w:r w:rsidRPr="00215B2F">
        <w:rPr>
          <w:rFonts w:eastAsia="Arial" w:cs="Arial"/>
          <w:sz w:val="20"/>
          <w:szCs w:val="20"/>
        </w:rPr>
        <w:t xml:space="preserve"> struktur</w:t>
      </w:r>
      <w:r w:rsidR="00FD7832" w:rsidRPr="00215B2F">
        <w:rPr>
          <w:rFonts w:eastAsia="Arial" w:cs="Arial"/>
          <w:sz w:val="20"/>
          <w:szCs w:val="20"/>
        </w:rPr>
        <w:t>o</w:t>
      </w:r>
      <w:r w:rsidRPr="00215B2F">
        <w:rPr>
          <w:rFonts w:eastAsia="Arial" w:cs="Arial"/>
          <w:sz w:val="20"/>
          <w:szCs w:val="20"/>
        </w:rPr>
        <w:t xml:space="preserve"> podružnice;</w:t>
      </w:r>
    </w:p>
    <w:p w14:paraId="001E2F96" w14:textId="77777777" w:rsidR="00895214" w:rsidRPr="00215B2F" w:rsidRDefault="00D91782">
      <w:pPr>
        <w:pStyle w:val="tevilnatoka"/>
        <w:numPr>
          <w:ilvl w:val="0"/>
          <w:numId w:val="108"/>
        </w:numPr>
        <w:shd w:val="clear" w:color="auto" w:fill="FFFFFF" w:themeFill="background1"/>
        <w:tabs>
          <w:tab w:val="clear" w:pos="425"/>
        </w:tabs>
        <w:rPr>
          <w:rFonts w:cs="Arial"/>
          <w:bCs/>
          <w:sz w:val="20"/>
          <w:szCs w:val="20"/>
        </w:rPr>
      </w:pPr>
      <w:r w:rsidRPr="00215B2F">
        <w:rPr>
          <w:rFonts w:eastAsia="Arial" w:cs="Arial"/>
          <w:sz w:val="20"/>
          <w:szCs w:val="20"/>
        </w:rPr>
        <w:t>naslov v državi članici gostiteljici, na katerem bo mogoče pridobiti dokumentacijo o podružnici;</w:t>
      </w:r>
    </w:p>
    <w:p w14:paraId="3E84EE09" w14:textId="4F76155B" w:rsidR="00D91782" w:rsidRPr="00215B2F" w:rsidRDefault="00D91782">
      <w:pPr>
        <w:pStyle w:val="tevilnatoka"/>
        <w:numPr>
          <w:ilvl w:val="0"/>
          <w:numId w:val="108"/>
        </w:numPr>
        <w:shd w:val="clear" w:color="auto" w:fill="FFFFFF" w:themeFill="background1"/>
        <w:tabs>
          <w:tab w:val="clear" w:pos="425"/>
        </w:tabs>
        <w:rPr>
          <w:rFonts w:cs="Arial"/>
          <w:bCs/>
          <w:sz w:val="20"/>
          <w:szCs w:val="20"/>
        </w:rPr>
      </w:pPr>
      <w:r w:rsidRPr="00215B2F">
        <w:rPr>
          <w:rFonts w:eastAsia="Arial" w:cs="Arial"/>
          <w:sz w:val="20"/>
          <w:szCs w:val="20"/>
        </w:rPr>
        <w:t>podatke o osebah, pooblaščenih za vodenje podružnice.</w:t>
      </w:r>
    </w:p>
    <w:p w14:paraId="1F1072A9" w14:textId="77777777" w:rsidR="00895214" w:rsidRPr="00215B2F" w:rsidRDefault="00895214" w:rsidP="00FD5520">
      <w:pPr>
        <w:shd w:val="clear" w:color="auto" w:fill="FFFFFF" w:themeFill="background1"/>
        <w:spacing w:after="0" w:line="240" w:lineRule="auto"/>
        <w:jc w:val="both"/>
        <w:rPr>
          <w:rFonts w:ascii="Arial" w:eastAsia="Arial" w:hAnsi="Arial" w:cs="Arial"/>
          <w:sz w:val="20"/>
          <w:szCs w:val="20"/>
        </w:rPr>
      </w:pPr>
    </w:p>
    <w:p w14:paraId="0CACA597" w14:textId="45E7CD6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Šteje se, da obvestilo banke o nameri ustanovitve podružnice, ki ga banka po</w:t>
      </w:r>
      <w:r w:rsidR="00BD3E67" w:rsidRPr="00215B2F">
        <w:rPr>
          <w:rFonts w:ascii="Arial" w:eastAsia="Arial" w:hAnsi="Arial" w:cs="Arial"/>
          <w:sz w:val="20"/>
          <w:szCs w:val="20"/>
        </w:rPr>
        <w:t>šl</w:t>
      </w:r>
      <w:r w:rsidRPr="00215B2F">
        <w:rPr>
          <w:rFonts w:ascii="Arial" w:eastAsia="Arial" w:hAnsi="Arial" w:cs="Arial"/>
          <w:sz w:val="20"/>
          <w:szCs w:val="20"/>
        </w:rPr>
        <w:t>je Banki Slovenije, vsebuje zahtevo za po</w:t>
      </w:r>
      <w:r w:rsidR="00BD3E67" w:rsidRPr="00215B2F">
        <w:rPr>
          <w:rFonts w:ascii="Arial" w:eastAsia="Arial" w:hAnsi="Arial" w:cs="Arial"/>
          <w:sz w:val="20"/>
          <w:szCs w:val="20"/>
        </w:rPr>
        <w:t>šilj</w:t>
      </w:r>
      <w:r w:rsidRPr="00215B2F">
        <w:rPr>
          <w:rFonts w:ascii="Arial" w:eastAsia="Arial" w:hAnsi="Arial" w:cs="Arial"/>
          <w:sz w:val="20"/>
          <w:szCs w:val="20"/>
        </w:rPr>
        <w:t>anje obvestila pristojnemu organu države članice, v kateri namerava banka ustanoviti podružnico (v nadaljnjem besedilu: zahteva za po</w:t>
      </w:r>
      <w:r w:rsidR="00BD3E67" w:rsidRPr="00215B2F">
        <w:rPr>
          <w:rFonts w:ascii="Arial" w:eastAsia="Arial" w:hAnsi="Arial" w:cs="Arial"/>
          <w:sz w:val="20"/>
          <w:szCs w:val="20"/>
        </w:rPr>
        <w:t>šilj</w:t>
      </w:r>
      <w:r w:rsidRPr="00215B2F">
        <w:rPr>
          <w:rFonts w:ascii="Arial" w:eastAsia="Arial" w:hAnsi="Arial" w:cs="Arial"/>
          <w:sz w:val="20"/>
          <w:szCs w:val="20"/>
        </w:rPr>
        <w:t xml:space="preserve">anje obvestila pristojnemu organu države članice). Kadar pristojnosti in naloge nadzora iz točke (b) prvega odstavka 4. člena Uredbe 1024/2013/EU v zvezi z banko izvaja Evropska centralna banka, se postopek nadaljuje v skladu </w:t>
      </w:r>
      <w:r w:rsidR="00091BC8" w:rsidRPr="00215B2F">
        <w:rPr>
          <w:rFonts w:ascii="Arial" w:eastAsia="Arial" w:hAnsi="Arial" w:cs="Arial"/>
          <w:sz w:val="20"/>
          <w:szCs w:val="20"/>
        </w:rPr>
        <w:t xml:space="preserve"> z navedeno uredbo</w:t>
      </w:r>
      <w:r w:rsidRPr="00215B2F">
        <w:rPr>
          <w:rFonts w:ascii="Arial" w:eastAsia="Arial" w:hAnsi="Arial" w:cs="Arial"/>
          <w:sz w:val="20"/>
          <w:szCs w:val="20"/>
        </w:rPr>
        <w:t xml:space="preserve"> in Uredbo 468/2014/EU.</w:t>
      </w:r>
    </w:p>
    <w:p w14:paraId="56594EE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B358EFF"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člen</w:t>
      </w:r>
    </w:p>
    <w:p w14:paraId="0B4D1838" w14:textId="7B0F321B" w:rsidR="00D91782" w:rsidRPr="00215B2F" w:rsidRDefault="00D91782" w:rsidP="00FD5520">
      <w:pPr>
        <w:pStyle w:val="Slog1"/>
        <w:shd w:val="clear" w:color="auto" w:fill="FFFFFF" w:themeFill="background1"/>
        <w:rPr>
          <w:sz w:val="20"/>
          <w:szCs w:val="20"/>
        </w:rPr>
      </w:pPr>
      <w:r w:rsidRPr="00215B2F">
        <w:rPr>
          <w:sz w:val="20"/>
          <w:szCs w:val="20"/>
        </w:rPr>
        <w:t>(po</w:t>
      </w:r>
      <w:r w:rsidR="00BD3E67" w:rsidRPr="00215B2F">
        <w:rPr>
          <w:sz w:val="20"/>
          <w:szCs w:val="20"/>
        </w:rPr>
        <w:t>šilj</w:t>
      </w:r>
      <w:r w:rsidRPr="00215B2F">
        <w:rPr>
          <w:sz w:val="20"/>
          <w:szCs w:val="20"/>
        </w:rPr>
        <w:t>anje obvestila pristojnemu organu države članice)</w:t>
      </w:r>
    </w:p>
    <w:p w14:paraId="27A6CB53" w14:textId="77777777" w:rsidR="00D91782" w:rsidRPr="00215B2F" w:rsidRDefault="00D91782" w:rsidP="00FD5520">
      <w:pPr>
        <w:pStyle w:val="Slog1"/>
        <w:shd w:val="clear" w:color="auto" w:fill="FFFFFF" w:themeFill="background1"/>
        <w:jc w:val="both"/>
        <w:rPr>
          <w:sz w:val="20"/>
          <w:szCs w:val="20"/>
        </w:rPr>
      </w:pPr>
    </w:p>
    <w:p w14:paraId="44D304B8" w14:textId="110236C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zavrne zahtevo za po</w:t>
      </w:r>
      <w:r w:rsidR="00BD3E67" w:rsidRPr="00215B2F">
        <w:rPr>
          <w:rFonts w:ascii="Arial" w:eastAsia="Arial" w:hAnsi="Arial" w:cs="Arial"/>
          <w:sz w:val="20"/>
          <w:szCs w:val="20"/>
        </w:rPr>
        <w:t>šilj</w:t>
      </w:r>
      <w:r w:rsidRPr="00215B2F">
        <w:rPr>
          <w:rFonts w:ascii="Arial" w:eastAsia="Arial" w:hAnsi="Arial" w:cs="Arial"/>
          <w:sz w:val="20"/>
          <w:szCs w:val="20"/>
        </w:rPr>
        <w:t>anje obvestila pristojnemu organu države članice gostiteljice, če ob upoštevanju obsega in vrste storitev, ki jih namerava banka opravljati prek podružnice, obstaja dvom o ustreznosti organizacije glede upravljanja podružnice oziroma o ustreznosti finančnega položaja banke.</w:t>
      </w:r>
    </w:p>
    <w:p w14:paraId="41A8AA4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E68F150" w14:textId="1CFBA18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Če razlogi iz prejšnjega odstavka niso podani, Banka Slovenije najpozneje v treh mesecih po prejemu obvestila in prilog iz drugega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po</w:t>
      </w:r>
      <w:r w:rsidR="00BD3E67" w:rsidRPr="00215B2F">
        <w:rPr>
          <w:rFonts w:ascii="Arial" w:eastAsia="Arial" w:hAnsi="Arial" w:cs="Arial"/>
          <w:sz w:val="20"/>
          <w:szCs w:val="20"/>
        </w:rPr>
        <w:t>šl</w:t>
      </w:r>
      <w:r w:rsidRPr="00215B2F">
        <w:rPr>
          <w:rFonts w:ascii="Arial" w:eastAsia="Arial" w:hAnsi="Arial" w:cs="Arial"/>
          <w:sz w:val="20"/>
          <w:szCs w:val="20"/>
        </w:rPr>
        <w:t xml:space="preserve">je </w:t>
      </w:r>
      <w:r w:rsidR="007F1963" w:rsidRPr="00215B2F">
        <w:rPr>
          <w:rFonts w:ascii="Arial" w:eastAsia="Arial" w:hAnsi="Arial" w:cs="Arial"/>
          <w:sz w:val="20"/>
          <w:szCs w:val="20"/>
        </w:rPr>
        <w:t xml:space="preserve">obvestilo </w:t>
      </w:r>
      <w:r w:rsidRPr="00215B2F">
        <w:rPr>
          <w:rFonts w:ascii="Arial" w:eastAsia="Arial" w:hAnsi="Arial" w:cs="Arial"/>
          <w:sz w:val="20"/>
          <w:szCs w:val="20"/>
        </w:rPr>
        <w:t>pristojnemu organu države članice gostiteljice in o tem obvesti banko.</w:t>
      </w:r>
    </w:p>
    <w:p w14:paraId="0E402218"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AFE8E89" w14:textId="1D252D9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Hkrati z obvestilom iz prejšnjega odstavka Banka Slovenije po</w:t>
      </w:r>
      <w:r w:rsidR="007F1963" w:rsidRPr="00215B2F">
        <w:rPr>
          <w:rFonts w:ascii="Arial" w:eastAsia="Arial" w:hAnsi="Arial" w:cs="Arial"/>
          <w:sz w:val="20"/>
          <w:szCs w:val="20"/>
        </w:rPr>
        <w:t>šl</w:t>
      </w:r>
      <w:r w:rsidRPr="00215B2F">
        <w:rPr>
          <w:rFonts w:ascii="Arial" w:eastAsia="Arial" w:hAnsi="Arial" w:cs="Arial"/>
          <w:sz w:val="20"/>
          <w:szCs w:val="20"/>
        </w:rPr>
        <w:t>je pristojnemu organu države članice gostiteljice tudi podatke o višini in sestavi kapitala banke ter o kapitalskih zahtevah, k</w:t>
      </w:r>
      <w:r w:rsidR="006B0B0E" w:rsidRPr="00215B2F">
        <w:rPr>
          <w:rFonts w:ascii="Arial" w:eastAsia="Arial" w:hAnsi="Arial" w:cs="Arial"/>
          <w:sz w:val="20"/>
          <w:szCs w:val="20"/>
        </w:rPr>
        <w:t>akor</w:t>
      </w:r>
      <w:r w:rsidRPr="00215B2F">
        <w:rPr>
          <w:rFonts w:ascii="Arial" w:eastAsia="Arial" w:hAnsi="Arial" w:cs="Arial"/>
          <w:sz w:val="20"/>
          <w:szCs w:val="20"/>
        </w:rPr>
        <w:t xml:space="preserve"> so določene v skladu z 92. členom Uredbe 575/2013/EU.</w:t>
      </w:r>
    </w:p>
    <w:p w14:paraId="478C47C8"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2AEFD01" w14:textId="57475A3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Če banka v treh mesecih po po</w:t>
      </w:r>
      <w:r w:rsidR="007F1963" w:rsidRPr="00215B2F">
        <w:rPr>
          <w:rFonts w:ascii="Arial" w:eastAsia="Arial" w:hAnsi="Arial" w:cs="Arial"/>
          <w:sz w:val="20"/>
          <w:szCs w:val="20"/>
        </w:rPr>
        <w:t>šilj</w:t>
      </w:r>
      <w:r w:rsidRPr="00215B2F">
        <w:rPr>
          <w:rFonts w:ascii="Arial" w:eastAsia="Arial" w:hAnsi="Arial" w:cs="Arial"/>
          <w:sz w:val="20"/>
          <w:szCs w:val="20"/>
        </w:rPr>
        <w:t xml:space="preserve">anju obvestila in prilog iz drugega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Banki Slovenije ne prejme obvestila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in tudi ne prejme odločbe o zavrnitvi zahteve za po</w:t>
      </w:r>
      <w:r w:rsidR="007F1963" w:rsidRPr="00215B2F">
        <w:rPr>
          <w:rFonts w:ascii="Arial" w:eastAsia="Arial" w:hAnsi="Arial" w:cs="Arial"/>
          <w:sz w:val="20"/>
          <w:szCs w:val="20"/>
        </w:rPr>
        <w:t>šilj</w:t>
      </w:r>
      <w:r w:rsidRPr="00215B2F">
        <w:rPr>
          <w:rFonts w:ascii="Arial" w:eastAsia="Arial" w:hAnsi="Arial" w:cs="Arial"/>
          <w:sz w:val="20"/>
          <w:szCs w:val="20"/>
        </w:rPr>
        <w:t>anje tega obvestila, se šteje, da je zahteva za po</w:t>
      </w:r>
      <w:r w:rsidR="007F1963" w:rsidRPr="00215B2F">
        <w:rPr>
          <w:rFonts w:ascii="Arial" w:eastAsia="Arial" w:hAnsi="Arial" w:cs="Arial"/>
          <w:sz w:val="20"/>
          <w:szCs w:val="20"/>
        </w:rPr>
        <w:t>šilj</w:t>
      </w:r>
      <w:r w:rsidRPr="00215B2F">
        <w:rPr>
          <w:rFonts w:ascii="Arial" w:eastAsia="Arial" w:hAnsi="Arial" w:cs="Arial"/>
          <w:sz w:val="20"/>
          <w:szCs w:val="20"/>
        </w:rPr>
        <w:t>anje obvestila zavrnjena.</w:t>
      </w:r>
    </w:p>
    <w:p w14:paraId="525EAC18"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E2CE409" w14:textId="12FEA19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Banka Slovenije obve</w:t>
      </w:r>
      <w:r w:rsidR="007F1963" w:rsidRPr="00215B2F">
        <w:rPr>
          <w:rFonts w:ascii="Arial" w:eastAsia="Arial" w:hAnsi="Arial" w:cs="Arial"/>
          <w:sz w:val="20"/>
          <w:szCs w:val="20"/>
        </w:rPr>
        <w:t>šča</w:t>
      </w:r>
      <w:r w:rsidRPr="00215B2F">
        <w:rPr>
          <w:rFonts w:ascii="Arial" w:eastAsia="Arial" w:hAnsi="Arial" w:cs="Arial"/>
          <w:sz w:val="20"/>
          <w:szCs w:val="20"/>
        </w:rPr>
        <w:t xml:space="preserve"> Komisijo in Evropski bančni organ o številu primerov in o razlogih za zavrnitev zahteve za po</w:t>
      </w:r>
      <w:r w:rsidR="007F1963" w:rsidRPr="00215B2F">
        <w:rPr>
          <w:rFonts w:ascii="Arial" w:eastAsia="Arial" w:hAnsi="Arial" w:cs="Arial"/>
          <w:sz w:val="20"/>
          <w:szCs w:val="20"/>
        </w:rPr>
        <w:t>šilj</w:t>
      </w:r>
      <w:r w:rsidRPr="00215B2F">
        <w:rPr>
          <w:rFonts w:ascii="Arial" w:eastAsia="Arial" w:hAnsi="Arial" w:cs="Arial"/>
          <w:sz w:val="20"/>
          <w:szCs w:val="20"/>
        </w:rPr>
        <w:t>anje obvestila pristojnemu organu države članice gostiteljice.</w:t>
      </w:r>
    </w:p>
    <w:p w14:paraId="0B34EA7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8148040"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člen</w:t>
      </w:r>
    </w:p>
    <w:p w14:paraId="3BF891B1" w14:textId="77777777" w:rsidR="00D91782" w:rsidRPr="00215B2F" w:rsidRDefault="00D91782" w:rsidP="00FD5520">
      <w:pPr>
        <w:pStyle w:val="Slog1"/>
        <w:shd w:val="clear" w:color="auto" w:fill="FFFFFF" w:themeFill="background1"/>
        <w:rPr>
          <w:sz w:val="20"/>
          <w:szCs w:val="20"/>
        </w:rPr>
      </w:pPr>
      <w:r w:rsidRPr="00215B2F">
        <w:rPr>
          <w:sz w:val="20"/>
          <w:szCs w:val="20"/>
        </w:rPr>
        <w:t>(začetek poslovanja podružnice banke v državi članici)</w:t>
      </w:r>
    </w:p>
    <w:p w14:paraId="49FA019A" w14:textId="77777777" w:rsidR="00D91782" w:rsidRPr="00215B2F" w:rsidRDefault="00D91782" w:rsidP="00FD5520">
      <w:pPr>
        <w:pStyle w:val="Slog1"/>
        <w:shd w:val="clear" w:color="auto" w:fill="FFFFFF" w:themeFill="background1"/>
        <w:jc w:val="both"/>
        <w:rPr>
          <w:sz w:val="20"/>
          <w:szCs w:val="20"/>
        </w:rPr>
      </w:pPr>
    </w:p>
    <w:p w14:paraId="171C43A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lahko začne opravljati posle prek podružnice v državi članici:</w:t>
      </w:r>
    </w:p>
    <w:p w14:paraId="5BA3287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2771AA4" w14:textId="4D8A51C2" w:rsidR="00895214" w:rsidRPr="00215B2F" w:rsidRDefault="00D91782">
      <w:pPr>
        <w:pStyle w:val="tevilnatoka"/>
        <w:numPr>
          <w:ilvl w:val="0"/>
          <w:numId w:val="109"/>
        </w:numPr>
        <w:shd w:val="clear" w:color="auto" w:fill="FFFFFF" w:themeFill="background1"/>
        <w:tabs>
          <w:tab w:val="clear" w:pos="425"/>
        </w:tabs>
        <w:rPr>
          <w:rFonts w:cs="Arial"/>
          <w:bCs/>
          <w:sz w:val="20"/>
          <w:szCs w:val="20"/>
        </w:rPr>
      </w:pPr>
      <w:r w:rsidRPr="00215B2F">
        <w:rPr>
          <w:rFonts w:eastAsia="Arial" w:cs="Arial"/>
          <w:sz w:val="20"/>
          <w:szCs w:val="20"/>
        </w:rPr>
        <w:t>z dnem, ko prejme obvestilo pristojnega organa države članice gostiteljice o morebitnih pogojih, ki jih mora zaradi zaščite javnih koristi upoštevati banka pri opravljanju storitev v državi članici gostiteljici</w:t>
      </w:r>
      <w:r w:rsidR="00261364" w:rsidRPr="00215B2F">
        <w:rPr>
          <w:rFonts w:eastAsia="Arial" w:cs="Arial"/>
          <w:sz w:val="20"/>
          <w:szCs w:val="20"/>
        </w:rPr>
        <w:t>,</w:t>
      </w:r>
      <w:r w:rsidRPr="00215B2F">
        <w:rPr>
          <w:rFonts w:eastAsia="Arial" w:cs="Arial"/>
          <w:sz w:val="20"/>
          <w:szCs w:val="20"/>
        </w:rPr>
        <w:t xml:space="preserve"> ali</w:t>
      </w:r>
    </w:p>
    <w:p w14:paraId="2B175E14" w14:textId="2BAF8A32" w:rsidR="00D91782" w:rsidRPr="00215B2F" w:rsidRDefault="00D91782" w:rsidP="00543D80">
      <w:pPr>
        <w:pStyle w:val="tevilnatoka"/>
        <w:rPr>
          <w:rFonts w:cs="Arial"/>
          <w:bCs/>
          <w:sz w:val="20"/>
          <w:szCs w:val="20"/>
        </w:rPr>
      </w:pPr>
      <w:r w:rsidRPr="00215B2F">
        <w:rPr>
          <w:rFonts w:eastAsia="Arial" w:cs="Arial"/>
          <w:sz w:val="20"/>
          <w:szCs w:val="20"/>
        </w:rPr>
        <w:t xml:space="preserve">z iztekom dveh mesecev od dneva, ko je pristojni organ države članice gostiteljice prejel obvestilo v skladu z drugim </w:t>
      </w:r>
      <w:r w:rsidR="00746E88" w:rsidRPr="00215B2F">
        <w:rPr>
          <w:rFonts w:eastAsia="Arial" w:cs="Arial"/>
          <w:sz w:val="20"/>
          <w:szCs w:val="20"/>
        </w:rPr>
        <w:t>odstavkom prejšnjega člena</w:t>
      </w:r>
      <w:r w:rsidRPr="00215B2F">
        <w:rPr>
          <w:rFonts w:eastAsia="Arial" w:cs="Arial"/>
          <w:sz w:val="20"/>
          <w:szCs w:val="20"/>
        </w:rPr>
        <w:t>, če do izteka tega roka ne prejme obvestila pristojnega organa države članice gostiteljice iz prejšnje točke.</w:t>
      </w:r>
    </w:p>
    <w:p w14:paraId="3A80F64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0744FBF"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02" w:name="_Ref203380312"/>
      <w:r w:rsidRPr="00215B2F">
        <w:rPr>
          <w:rFonts w:ascii="Arial" w:eastAsia="Arial" w:hAnsi="Arial" w:cs="Arial"/>
          <w:b/>
          <w:bCs/>
          <w:sz w:val="20"/>
          <w:szCs w:val="20"/>
        </w:rPr>
        <w:t>člen</w:t>
      </w:r>
      <w:bookmarkEnd w:id="202"/>
    </w:p>
    <w:p w14:paraId="44135734" w14:textId="77777777" w:rsidR="00D91782" w:rsidRPr="00215B2F" w:rsidRDefault="00D91782" w:rsidP="00FD5520">
      <w:pPr>
        <w:pStyle w:val="Slog1"/>
        <w:shd w:val="clear" w:color="auto" w:fill="FFFFFF" w:themeFill="background1"/>
        <w:rPr>
          <w:sz w:val="20"/>
          <w:szCs w:val="20"/>
        </w:rPr>
      </w:pPr>
      <w:r w:rsidRPr="00215B2F">
        <w:rPr>
          <w:sz w:val="20"/>
          <w:szCs w:val="20"/>
        </w:rPr>
        <w:t>(obvestilo o spremembah glede podružnice banke v državi članici)</w:t>
      </w:r>
    </w:p>
    <w:p w14:paraId="350536B4" w14:textId="77777777" w:rsidR="00D91782" w:rsidRPr="00215B2F" w:rsidRDefault="00D91782" w:rsidP="00FD5520">
      <w:pPr>
        <w:pStyle w:val="Slog1"/>
        <w:shd w:val="clear" w:color="auto" w:fill="FFFFFF" w:themeFill="background1"/>
        <w:jc w:val="both"/>
        <w:rPr>
          <w:sz w:val="20"/>
          <w:szCs w:val="20"/>
        </w:rPr>
      </w:pPr>
    </w:p>
    <w:p w14:paraId="24105A3B" w14:textId="137D32A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namerava banka spremeniti katerega od dejstev oziroma okoliščin iz drugega odstavka </w:t>
      </w:r>
      <w:r w:rsidR="008E198A" w:rsidRPr="00215B2F">
        <w:rPr>
          <w:rFonts w:ascii="Arial" w:eastAsia="Arial" w:hAnsi="Arial" w:cs="Arial"/>
          <w:sz w:val="20"/>
          <w:szCs w:val="20"/>
        </w:rPr>
        <w:t>158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mora o tem obvestiti Banko Slovenije ter pristojni organ države članice gostiteljice en mesec pred izvršitvijo take spremembe.</w:t>
      </w:r>
    </w:p>
    <w:p w14:paraId="7821C8B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2623DD0" w14:textId="63B1B50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Za spremembo iz prejšnjega odstavka se smiselno uporabljajo </w:t>
      </w:r>
      <w:r w:rsidR="00557247" w:rsidRPr="00215B2F">
        <w:rPr>
          <w:rFonts w:ascii="Arial" w:eastAsia="Arial" w:hAnsi="Arial" w:cs="Arial"/>
          <w:sz w:val="20"/>
          <w:szCs w:val="20"/>
        </w:rPr>
        <w:t>158</w:t>
      </w:r>
      <w:r w:rsidRPr="00215B2F">
        <w:rPr>
          <w:rFonts w:ascii="Arial" w:eastAsia="Arial" w:hAnsi="Arial" w:cs="Arial"/>
          <w:sz w:val="20"/>
          <w:szCs w:val="20"/>
        </w:rPr>
        <w:t xml:space="preserve">. do </w:t>
      </w:r>
      <w:r w:rsidR="00557247" w:rsidRPr="00215B2F">
        <w:rPr>
          <w:rFonts w:ascii="Arial" w:eastAsia="Arial" w:hAnsi="Arial" w:cs="Arial"/>
          <w:sz w:val="20"/>
          <w:szCs w:val="20"/>
        </w:rPr>
        <w:t>160</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 xml:space="preserve">, le da se roki iz drugega in četrtega odstavka </w:t>
      </w:r>
      <w:r w:rsidR="00557247" w:rsidRPr="00215B2F">
        <w:rPr>
          <w:rFonts w:ascii="Arial" w:eastAsia="Arial" w:hAnsi="Arial" w:cs="Arial"/>
          <w:sz w:val="20"/>
          <w:szCs w:val="20"/>
        </w:rPr>
        <w:t>159</w:t>
      </w:r>
      <w:r w:rsidRPr="00215B2F">
        <w:rPr>
          <w:rFonts w:ascii="Arial" w:eastAsia="Arial" w:hAnsi="Arial" w:cs="Arial"/>
          <w:sz w:val="20"/>
          <w:szCs w:val="20"/>
        </w:rPr>
        <w:t xml:space="preserve">. člena ter iz 2. točke </w:t>
      </w:r>
      <w:r w:rsidR="00557247" w:rsidRPr="00215B2F">
        <w:rPr>
          <w:rFonts w:ascii="Arial" w:eastAsia="Arial" w:hAnsi="Arial" w:cs="Arial"/>
          <w:sz w:val="20"/>
          <w:szCs w:val="20"/>
        </w:rPr>
        <w:t>160</w:t>
      </w:r>
      <w:r w:rsidRPr="00215B2F">
        <w:rPr>
          <w:rFonts w:ascii="Arial" w:eastAsia="Arial" w:hAnsi="Arial" w:cs="Arial"/>
          <w:sz w:val="20"/>
          <w:szCs w:val="20"/>
        </w:rPr>
        <w:t>.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skrajšajo na en mesec.</w:t>
      </w:r>
    </w:p>
    <w:p w14:paraId="2DEA06C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6125B82"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03" w:name="_Ref202964414"/>
      <w:r w:rsidRPr="00215B2F">
        <w:rPr>
          <w:rFonts w:ascii="Arial" w:eastAsia="Arial" w:hAnsi="Arial" w:cs="Arial"/>
          <w:b/>
          <w:bCs/>
          <w:sz w:val="20"/>
          <w:szCs w:val="20"/>
        </w:rPr>
        <w:t>člen</w:t>
      </w:r>
      <w:bookmarkEnd w:id="203"/>
    </w:p>
    <w:p w14:paraId="7233E058" w14:textId="77777777" w:rsidR="00D91782" w:rsidRPr="00215B2F" w:rsidRDefault="00D91782" w:rsidP="00FD5520">
      <w:pPr>
        <w:pStyle w:val="Slog1"/>
        <w:shd w:val="clear" w:color="auto" w:fill="FFFFFF" w:themeFill="background1"/>
        <w:rPr>
          <w:sz w:val="20"/>
          <w:szCs w:val="20"/>
        </w:rPr>
      </w:pPr>
      <w:r w:rsidRPr="00215B2F">
        <w:rPr>
          <w:sz w:val="20"/>
          <w:szCs w:val="20"/>
        </w:rPr>
        <w:t>(neposredno opravljanje storitev v državi članici)</w:t>
      </w:r>
    </w:p>
    <w:p w14:paraId="4B329797" w14:textId="77777777" w:rsidR="00D91782" w:rsidRPr="00215B2F" w:rsidRDefault="00D91782" w:rsidP="00FD5520">
      <w:pPr>
        <w:pStyle w:val="Slog1"/>
        <w:shd w:val="clear" w:color="auto" w:fill="FFFFFF" w:themeFill="background1"/>
        <w:jc w:val="both"/>
        <w:rPr>
          <w:sz w:val="20"/>
          <w:szCs w:val="20"/>
        </w:rPr>
      </w:pPr>
    </w:p>
    <w:p w14:paraId="6EEE4D00" w14:textId="7005EE6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ki namerava v drugi državi članici začeti neposredno opravljati vzajemno priznane finančne storitve, za katere je pridobila dovoljenje v skladu s tem zakonom, mora o tem predhodno obvestiti Banko Slovenije ali Evropsko centralno banko, kadar je ta pri opravljanju nadzora nad banko v skladu z Uredbo 1024/2013/EU odgovorna za izvajanje nalog iz točke (b) prvega odstavka 4. člena </w:t>
      </w:r>
      <w:r w:rsidR="00091BC8" w:rsidRPr="00215B2F">
        <w:rPr>
          <w:rFonts w:ascii="Arial" w:eastAsia="Arial" w:hAnsi="Arial" w:cs="Arial"/>
          <w:sz w:val="20"/>
          <w:szCs w:val="20"/>
        </w:rPr>
        <w:t>navedene uredbe</w:t>
      </w:r>
      <w:r w:rsidRPr="00215B2F">
        <w:rPr>
          <w:rFonts w:ascii="Arial" w:eastAsia="Arial" w:hAnsi="Arial" w:cs="Arial"/>
          <w:sz w:val="20"/>
          <w:szCs w:val="20"/>
        </w:rPr>
        <w:t>, ter navesti državo članico gostiteljico, v kateri namerava začeti neposredno opravljati te storitve.</w:t>
      </w:r>
    </w:p>
    <w:p w14:paraId="0C77BD9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70CEE56" w14:textId="4E6F5DE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ali Evropska centralna banka v enem mesecu po prejemu obvestila banke iz prejšnjega odstavka to obvestilo po</w:t>
      </w:r>
      <w:r w:rsidR="00FA619E" w:rsidRPr="00215B2F">
        <w:rPr>
          <w:rFonts w:ascii="Arial" w:eastAsia="Arial" w:hAnsi="Arial" w:cs="Arial"/>
          <w:sz w:val="20"/>
          <w:szCs w:val="20"/>
        </w:rPr>
        <w:t>šl</w:t>
      </w:r>
      <w:r w:rsidRPr="00215B2F">
        <w:rPr>
          <w:rFonts w:ascii="Arial" w:eastAsia="Arial" w:hAnsi="Arial" w:cs="Arial"/>
          <w:sz w:val="20"/>
          <w:szCs w:val="20"/>
        </w:rPr>
        <w:t>je pristojnemu organu države članice gostiteljice in o tem obvesti banko.</w:t>
      </w:r>
    </w:p>
    <w:p w14:paraId="032CE84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6204477" w14:textId="4865BF0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lahko začne neposredno opravljati vzajemno priznane finančne storitve, navedene v obvestilu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v državi članici gostiteljici z dnem, ko pristojni organ države članice gostiteljice prejme obvestilo pristojnega organa iz prejšnjega odstavka.</w:t>
      </w:r>
    </w:p>
    <w:p w14:paraId="69F6047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EEF604C" w14:textId="2171A236"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5.</w:t>
      </w:r>
      <w:r w:rsidR="006B2743" w:rsidRPr="00215B2F">
        <w:rPr>
          <w:rFonts w:ascii="Arial" w:eastAsia="Arial" w:hAnsi="Arial" w:cs="Arial"/>
          <w:i/>
          <w:iCs/>
          <w:sz w:val="20"/>
          <w:szCs w:val="20"/>
        </w:rPr>
        <w:t>4</w:t>
      </w:r>
      <w:r w:rsidRPr="00215B2F">
        <w:rPr>
          <w:rFonts w:ascii="Arial" w:eastAsia="Arial" w:hAnsi="Arial" w:cs="Arial"/>
          <w:i/>
          <w:iCs/>
          <w:sz w:val="20"/>
          <w:szCs w:val="20"/>
        </w:rPr>
        <w:t>.2 Opravljanje storitev bank na območju tretje države</w:t>
      </w:r>
    </w:p>
    <w:p w14:paraId="304E1FFF" w14:textId="77777777"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p>
    <w:p w14:paraId="402E520D"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04" w:name="_Ref202964424"/>
      <w:r w:rsidRPr="00215B2F">
        <w:rPr>
          <w:rFonts w:ascii="Arial" w:eastAsia="Arial" w:hAnsi="Arial" w:cs="Arial"/>
          <w:b/>
          <w:bCs/>
          <w:sz w:val="20"/>
          <w:szCs w:val="20"/>
        </w:rPr>
        <w:t>člen</w:t>
      </w:r>
      <w:bookmarkEnd w:id="204"/>
    </w:p>
    <w:p w14:paraId="68A14DBD" w14:textId="77777777" w:rsidR="00D91782" w:rsidRPr="00215B2F" w:rsidRDefault="00D91782" w:rsidP="00FD5520">
      <w:pPr>
        <w:pStyle w:val="Slog1"/>
        <w:shd w:val="clear" w:color="auto" w:fill="FFFFFF" w:themeFill="background1"/>
        <w:rPr>
          <w:sz w:val="20"/>
          <w:szCs w:val="20"/>
        </w:rPr>
      </w:pPr>
      <w:r w:rsidRPr="00215B2F">
        <w:rPr>
          <w:sz w:val="20"/>
          <w:szCs w:val="20"/>
        </w:rPr>
        <w:t>(dovoljenje za ustanovitev podružnice banke v tretji državi)</w:t>
      </w:r>
    </w:p>
    <w:p w14:paraId="0F303922" w14:textId="77777777" w:rsidR="00D91782" w:rsidRPr="00215B2F" w:rsidRDefault="00D91782" w:rsidP="00FD5520">
      <w:pPr>
        <w:pStyle w:val="Slog1"/>
        <w:shd w:val="clear" w:color="auto" w:fill="FFFFFF" w:themeFill="background1"/>
        <w:jc w:val="both"/>
        <w:rPr>
          <w:sz w:val="20"/>
          <w:szCs w:val="20"/>
        </w:rPr>
      </w:pPr>
    </w:p>
    <w:p w14:paraId="480C8F4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sme z namenom opravljanja storitev, ki jih opravlja na območju Republike Slovenije, ustanoviti podružnico v tretji državi, če pridobi dovoljenje za ustanovitev podružnice v tretji državi v skladu s tem zakonom.</w:t>
      </w:r>
    </w:p>
    <w:p w14:paraId="5D75C87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4E1DDBB" w14:textId="46AC5CE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Zahteva za izdajo dovoljenja za ustanovitev podružnice v tretji državi se vloži pri Banki Slovenije.</w:t>
      </w:r>
    </w:p>
    <w:p w14:paraId="06DCA4C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8040C3B" w14:textId="74FABF5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Za zahtevo in odločanje o zahtevi za izdajo dovoljenja za ustanovitev podružnice banke v tretji državi se smiselno </w:t>
      </w:r>
      <w:r w:rsidR="00F45536" w:rsidRPr="00215B2F">
        <w:rPr>
          <w:rFonts w:ascii="Arial" w:eastAsia="Arial" w:hAnsi="Arial" w:cs="Arial"/>
          <w:sz w:val="20"/>
          <w:szCs w:val="20"/>
        </w:rPr>
        <w:t xml:space="preserve">uporabljata </w:t>
      </w:r>
      <w:r w:rsidRPr="00215B2F">
        <w:rPr>
          <w:rFonts w:ascii="Arial" w:eastAsia="Arial" w:hAnsi="Arial" w:cs="Arial"/>
          <w:sz w:val="20"/>
          <w:szCs w:val="20"/>
        </w:rPr>
        <w:t xml:space="preserve">prvi in drugi odstavek </w:t>
      </w:r>
      <w:r w:rsidR="005A1ACB" w:rsidRPr="00215B2F">
        <w:rPr>
          <w:rFonts w:ascii="Arial" w:eastAsia="Arial" w:hAnsi="Arial" w:cs="Arial"/>
          <w:sz w:val="20"/>
          <w:szCs w:val="20"/>
        </w:rPr>
        <w:t>158</w:t>
      </w:r>
      <w:r w:rsidRPr="00215B2F">
        <w:rPr>
          <w:rFonts w:ascii="Arial" w:eastAsia="Arial" w:hAnsi="Arial" w:cs="Arial"/>
          <w:sz w:val="20"/>
          <w:szCs w:val="20"/>
        </w:rPr>
        <w:t xml:space="preserve">. člena ter prvi do tretji odstavek </w:t>
      </w:r>
      <w:r w:rsidR="00557247" w:rsidRPr="00215B2F">
        <w:rPr>
          <w:rFonts w:ascii="Arial" w:eastAsia="Arial" w:hAnsi="Arial" w:cs="Arial"/>
          <w:sz w:val="20"/>
          <w:szCs w:val="20"/>
        </w:rPr>
        <w:t>159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5FD63BD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E55D6E1" w14:textId="3CBAA84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zavrne zahtevo za izdajo dovoljenja za ustanovitev podružnice v tretji državi tudi, če je ob upoštevanju predpisov države, v kateri namerava banka ustanoviti podružnico, oziroma ob upoštevanju prakse pri izvajanju teh predpisov verjetno, da bo ovirano izvajanje nadzora nad banko.</w:t>
      </w:r>
    </w:p>
    <w:p w14:paraId="5E2125F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8BB5A37" w14:textId="1F68B5CE"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5.</w:t>
      </w:r>
      <w:r w:rsidR="006B2743" w:rsidRPr="00215B2F">
        <w:rPr>
          <w:rFonts w:ascii="Arial" w:eastAsia="Arial" w:hAnsi="Arial" w:cs="Arial"/>
          <w:i/>
          <w:iCs/>
          <w:sz w:val="20"/>
          <w:szCs w:val="20"/>
        </w:rPr>
        <w:t>4</w:t>
      </w:r>
      <w:r w:rsidRPr="00215B2F">
        <w:rPr>
          <w:rFonts w:ascii="Arial" w:eastAsia="Arial" w:hAnsi="Arial" w:cs="Arial"/>
          <w:i/>
          <w:iCs/>
          <w:sz w:val="20"/>
          <w:szCs w:val="20"/>
        </w:rPr>
        <w:t>.3 Čezmejno opravljanje vzajemno priznanih finančnih storitev posebnih finančnih institucij</w:t>
      </w:r>
    </w:p>
    <w:p w14:paraId="0680BAC3"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138988F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05" w:name="_Ref202964430"/>
      <w:r w:rsidRPr="00215B2F">
        <w:rPr>
          <w:rFonts w:ascii="Arial" w:eastAsia="Arial" w:hAnsi="Arial" w:cs="Arial"/>
          <w:b/>
          <w:bCs/>
          <w:sz w:val="20"/>
          <w:szCs w:val="20"/>
        </w:rPr>
        <w:t>člen</w:t>
      </w:r>
      <w:bookmarkEnd w:id="205"/>
    </w:p>
    <w:p w14:paraId="2D8843F2" w14:textId="77777777" w:rsidR="00D91782" w:rsidRPr="00215B2F" w:rsidRDefault="00D91782" w:rsidP="00FD5520">
      <w:pPr>
        <w:pStyle w:val="Slog1"/>
        <w:shd w:val="clear" w:color="auto" w:fill="FFFFFF" w:themeFill="background1"/>
        <w:rPr>
          <w:sz w:val="20"/>
          <w:szCs w:val="20"/>
        </w:rPr>
      </w:pPr>
      <w:r w:rsidRPr="00215B2F">
        <w:rPr>
          <w:sz w:val="20"/>
          <w:szCs w:val="20"/>
        </w:rPr>
        <w:t>(posebna finančna institucija)</w:t>
      </w:r>
    </w:p>
    <w:p w14:paraId="5FA377F9" w14:textId="77777777" w:rsidR="00D91782" w:rsidRPr="00215B2F" w:rsidRDefault="00D91782" w:rsidP="00FD5520">
      <w:pPr>
        <w:pStyle w:val="Slog1"/>
        <w:shd w:val="clear" w:color="auto" w:fill="FFFFFF" w:themeFill="background1"/>
        <w:jc w:val="both"/>
        <w:rPr>
          <w:sz w:val="20"/>
          <w:szCs w:val="20"/>
        </w:rPr>
      </w:pPr>
    </w:p>
    <w:p w14:paraId="1D3E7C3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(1) Posebna finančna institucija je družba s sedežem v Republiki Sloveniji, ki izpolnjuje naslednje pogoje:</w:t>
      </w:r>
    </w:p>
    <w:p w14:paraId="450DC7E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75CA1A4" w14:textId="77777777" w:rsidR="00895214" w:rsidRPr="00215B2F" w:rsidRDefault="00D91782">
      <w:pPr>
        <w:pStyle w:val="tevilnatoka"/>
        <w:numPr>
          <w:ilvl w:val="0"/>
          <w:numId w:val="110"/>
        </w:numPr>
        <w:shd w:val="clear" w:color="auto" w:fill="FFFFFF" w:themeFill="background1"/>
        <w:tabs>
          <w:tab w:val="clear" w:pos="425"/>
        </w:tabs>
        <w:rPr>
          <w:rFonts w:cs="Arial"/>
          <w:bCs/>
          <w:sz w:val="20"/>
          <w:szCs w:val="20"/>
        </w:rPr>
      </w:pPr>
      <w:r w:rsidRPr="00215B2F">
        <w:rPr>
          <w:rFonts w:eastAsia="Arial" w:cs="Arial"/>
          <w:sz w:val="20"/>
          <w:szCs w:val="20"/>
        </w:rPr>
        <w:t>ni banka;</w:t>
      </w:r>
    </w:p>
    <w:p w14:paraId="5ED54D2B" w14:textId="0F135E8E" w:rsidR="00895214" w:rsidRPr="00215B2F" w:rsidRDefault="00FB120D">
      <w:pPr>
        <w:pStyle w:val="tevilnatoka"/>
        <w:numPr>
          <w:ilvl w:val="0"/>
          <w:numId w:val="110"/>
        </w:numPr>
        <w:shd w:val="clear" w:color="auto" w:fill="FFFFFF" w:themeFill="background1"/>
        <w:tabs>
          <w:tab w:val="clear" w:pos="425"/>
        </w:tabs>
        <w:rPr>
          <w:rFonts w:cs="Arial"/>
          <w:bCs/>
          <w:sz w:val="20"/>
          <w:szCs w:val="20"/>
        </w:rPr>
      </w:pPr>
      <w:r w:rsidRPr="00215B2F">
        <w:rPr>
          <w:rFonts w:eastAsia="Arial" w:cs="Arial"/>
          <w:sz w:val="20"/>
          <w:szCs w:val="20"/>
        </w:rPr>
        <w:t xml:space="preserve">njena </w:t>
      </w:r>
      <w:r w:rsidR="00D91782" w:rsidRPr="00215B2F">
        <w:rPr>
          <w:rFonts w:eastAsia="Arial" w:cs="Arial"/>
          <w:sz w:val="20"/>
          <w:szCs w:val="20"/>
        </w:rPr>
        <w:t>nadrejena družba je banka samostojno ali skupaj z drugimi bankami;</w:t>
      </w:r>
    </w:p>
    <w:p w14:paraId="01C65F7B" w14:textId="751F2255" w:rsidR="00895214" w:rsidRPr="00215B2F" w:rsidRDefault="00D91782">
      <w:pPr>
        <w:pStyle w:val="tevilnatoka"/>
        <w:numPr>
          <w:ilvl w:val="0"/>
          <w:numId w:val="110"/>
        </w:numPr>
        <w:shd w:val="clear" w:color="auto" w:fill="FFFFFF" w:themeFill="background1"/>
        <w:tabs>
          <w:tab w:val="clear" w:pos="425"/>
        </w:tabs>
        <w:rPr>
          <w:rFonts w:cs="Arial"/>
          <w:bCs/>
          <w:sz w:val="20"/>
          <w:szCs w:val="20"/>
        </w:rPr>
      </w:pPr>
      <w:r w:rsidRPr="00215B2F">
        <w:rPr>
          <w:rFonts w:eastAsia="Arial" w:cs="Arial"/>
          <w:sz w:val="20"/>
          <w:szCs w:val="20"/>
        </w:rPr>
        <w:t xml:space="preserve">glede na ustanovitvene akte </w:t>
      </w:r>
      <w:r w:rsidR="00FB120D" w:rsidRPr="00215B2F">
        <w:rPr>
          <w:rFonts w:eastAsia="Arial" w:cs="Arial"/>
          <w:sz w:val="20"/>
          <w:szCs w:val="20"/>
        </w:rPr>
        <w:t xml:space="preserve">je </w:t>
      </w:r>
      <w:r w:rsidRPr="00215B2F">
        <w:rPr>
          <w:rFonts w:eastAsia="Arial" w:cs="Arial"/>
          <w:sz w:val="20"/>
          <w:szCs w:val="20"/>
        </w:rPr>
        <w:t>upravičena opravljati vzajemno priznane finančne storitve;</w:t>
      </w:r>
    </w:p>
    <w:p w14:paraId="76C8101E" w14:textId="6CDD5302" w:rsidR="00D91782" w:rsidRPr="00215B2F" w:rsidRDefault="00D91782">
      <w:pPr>
        <w:pStyle w:val="tevilnatoka"/>
        <w:numPr>
          <w:ilvl w:val="0"/>
          <w:numId w:val="110"/>
        </w:numPr>
        <w:shd w:val="clear" w:color="auto" w:fill="FFFFFF" w:themeFill="background1"/>
        <w:tabs>
          <w:tab w:val="clear" w:pos="425"/>
        </w:tabs>
        <w:rPr>
          <w:rFonts w:cs="Arial"/>
          <w:bCs/>
          <w:sz w:val="20"/>
          <w:szCs w:val="20"/>
        </w:rPr>
      </w:pPr>
      <w:r w:rsidRPr="00215B2F">
        <w:rPr>
          <w:rFonts w:eastAsia="Arial" w:cs="Arial"/>
          <w:sz w:val="20"/>
          <w:szCs w:val="20"/>
        </w:rPr>
        <w:t>izpolnjuje vse naslednje dodatne pogoje:</w:t>
      </w:r>
    </w:p>
    <w:p w14:paraId="0F10F5AD"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banke iz 2. točke tega odstavka so pridobile dovoljenje za opravljanje bančnih storitev v skladu s tem zakonom,</w:t>
      </w:r>
    </w:p>
    <w:p w14:paraId="6019C0D0"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v Republiki Sloveniji dejansko opravlja vzajemno priznane finančne storitve, ki jih namerava opravljati v drugi državi članici,</w:t>
      </w:r>
    </w:p>
    <w:p w14:paraId="53E974F1"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banke iz 2. točke tega odstavka so skupaj imetnice delnic ali deležev, iz katerih izhaja najmanj 90 odstotkov glasovalnih pravic,</w:t>
      </w:r>
    </w:p>
    <w:p w14:paraId="72CDED59" w14:textId="6DF0332C"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banke iz 2. točke tega odstavka po oceni Banke Slovenije upravljajo družbo z ustrezno </w:t>
      </w:r>
      <w:r w:rsidR="002D7513" w:rsidRPr="00215B2F">
        <w:rPr>
          <w:rFonts w:ascii="Arial" w:eastAsia="Arial" w:hAnsi="Arial" w:cs="Arial"/>
          <w:sz w:val="20"/>
          <w:szCs w:val="20"/>
        </w:rPr>
        <w:t xml:space="preserve">profesionalno </w:t>
      </w:r>
      <w:r w:rsidRPr="00215B2F">
        <w:rPr>
          <w:rFonts w:ascii="Arial" w:eastAsia="Arial" w:hAnsi="Arial" w:cs="Arial"/>
          <w:sz w:val="20"/>
          <w:szCs w:val="20"/>
        </w:rPr>
        <w:t>skrbnostjo in so s soglasjem Banke Slovenije prevzele solidarno odgovornost za vse obveznosti posebne finančne institucije,</w:t>
      </w:r>
    </w:p>
    <w:p w14:paraId="546CEAE9" w14:textId="0E45658D"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posebna finančna institucija je glede vzajemno priznanih finančnih storitev, ki jih opravlja, vključena v konsolidirani nadzor nadrejene banke ali vseh nadrejenih bank v skladu z </w:t>
      </w:r>
      <w:r w:rsidR="005B0CC7" w:rsidRPr="00215B2F">
        <w:rPr>
          <w:rFonts w:ascii="Arial" w:eastAsia="Arial" w:hAnsi="Arial" w:cs="Arial"/>
          <w:sz w:val="20"/>
          <w:szCs w:val="20"/>
        </w:rPr>
        <w:t>o</w:t>
      </w:r>
      <w:r w:rsidR="001F2C7A" w:rsidRPr="00215B2F">
        <w:rPr>
          <w:rFonts w:ascii="Arial" w:eastAsia="Arial" w:hAnsi="Arial" w:cs="Arial"/>
          <w:sz w:val="20"/>
          <w:szCs w:val="20"/>
        </w:rPr>
        <w:t>ddelkom</w:t>
      </w:r>
      <w:r w:rsidRPr="00215B2F">
        <w:rPr>
          <w:rFonts w:ascii="Arial" w:eastAsia="Arial" w:hAnsi="Arial" w:cs="Arial"/>
          <w:sz w:val="20"/>
          <w:szCs w:val="20"/>
        </w:rPr>
        <w:t xml:space="preserve"> </w:t>
      </w:r>
      <w:r w:rsidR="00557247" w:rsidRPr="00215B2F">
        <w:rPr>
          <w:rFonts w:ascii="Arial" w:eastAsia="Arial" w:hAnsi="Arial" w:cs="Arial"/>
          <w:sz w:val="20"/>
          <w:szCs w:val="20"/>
        </w:rPr>
        <w:t>2</w:t>
      </w:r>
      <w:r w:rsidRPr="00215B2F">
        <w:rPr>
          <w:rFonts w:ascii="Arial" w:eastAsia="Arial" w:hAnsi="Arial" w:cs="Arial"/>
          <w:sz w:val="20"/>
          <w:szCs w:val="20"/>
        </w:rPr>
        <w:t xml:space="preserve">.3 tega zakona in 2. poglavjem II. naslova 1. dela Uredbe 575/2013/EU, zlasti za namene izračuna kapitalskih zahtev v skladu z 92. členom Uredbe 575/2013/EU, nadzora velikih izpostavljenosti v skladu s 4. delom Uredbe 575/2013/EU in za namene omejitev kvalificiranih deležev </w:t>
      </w:r>
      <w:r w:rsidR="00BB3C21" w:rsidRPr="00215B2F">
        <w:rPr>
          <w:rFonts w:ascii="Arial" w:eastAsia="Arial" w:hAnsi="Arial" w:cs="Arial"/>
          <w:sz w:val="20"/>
          <w:szCs w:val="20"/>
        </w:rPr>
        <w:t xml:space="preserve">izven </w:t>
      </w:r>
      <w:r w:rsidRPr="00215B2F">
        <w:rPr>
          <w:rFonts w:ascii="Arial" w:eastAsia="Arial" w:hAnsi="Arial" w:cs="Arial"/>
          <w:sz w:val="20"/>
          <w:szCs w:val="20"/>
        </w:rPr>
        <w:t>finančnega sektorja v skladu z 89. in 90. členom Uredbe 575/2013/EU.</w:t>
      </w:r>
    </w:p>
    <w:p w14:paraId="041B7C6C"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17CC7FB" w14:textId="00C797E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Posebna finančna institucija iz prejšnjega odstavka lahko te storitve opravlja tudi na območju druge države članice pod pogoji, ki so določeni v tem zakonu.</w:t>
      </w:r>
    </w:p>
    <w:p w14:paraId="25CE921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B10D222" w14:textId="273E8DB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Določbe tega zakona o opravljanju vzajemno priznanih finančnih storitev bank v drugih državah članicah se smiselno uporabljajo tudi za posebne finančne institucije.</w:t>
      </w:r>
    </w:p>
    <w:p w14:paraId="63E36FA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F5A3633" w14:textId="29E1943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pristojnemu organu države članice gostiteljice, v kateri namerava posebna finančna institucija ustanoviti podružnico, z obvestilom iz drugega odstavka </w:t>
      </w:r>
      <w:r w:rsidR="00557247" w:rsidRPr="00215B2F">
        <w:rPr>
          <w:rFonts w:ascii="Arial" w:eastAsia="Arial" w:hAnsi="Arial" w:cs="Arial"/>
          <w:sz w:val="20"/>
          <w:szCs w:val="20"/>
        </w:rPr>
        <w:t>159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po</w:t>
      </w:r>
      <w:r w:rsidR="002A238F" w:rsidRPr="00215B2F">
        <w:rPr>
          <w:rFonts w:ascii="Arial" w:eastAsia="Arial" w:hAnsi="Arial" w:cs="Arial"/>
          <w:sz w:val="20"/>
          <w:szCs w:val="20"/>
        </w:rPr>
        <w:t>šl</w:t>
      </w:r>
      <w:r w:rsidRPr="00215B2F">
        <w:rPr>
          <w:rFonts w:ascii="Arial" w:eastAsia="Arial" w:hAnsi="Arial" w:cs="Arial"/>
          <w:sz w:val="20"/>
          <w:szCs w:val="20"/>
        </w:rPr>
        <w:t>je tudi:</w:t>
      </w:r>
    </w:p>
    <w:p w14:paraId="06FF6B8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0A9671A" w14:textId="0B485367" w:rsidR="00764E1F" w:rsidRPr="00215B2F" w:rsidRDefault="00D91782">
      <w:pPr>
        <w:pStyle w:val="tevilnatoka"/>
        <w:numPr>
          <w:ilvl w:val="0"/>
          <w:numId w:val="111"/>
        </w:numPr>
        <w:shd w:val="clear" w:color="auto" w:fill="FFFFFF" w:themeFill="background1"/>
        <w:tabs>
          <w:tab w:val="clear" w:pos="425"/>
        </w:tabs>
        <w:rPr>
          <w:rFonts w:cs="Arial"/>
          <w:bCs/>
          <w:sz w:val="20"/>
          <w:szCs w:val="20"/>
        </w:rPr>
      </w:pPr>
      <w:r w:rsidRPr="00215B2F">
        <w:rPr>
          <w:rFonts w:eastAsia="Arial" w:cs="Arial"/>
          <w:sz w:val="20"/>
          <w:szCs w:val="20"/>
        </w:rPr>
        <w:t xml:space="preserve">potrdilo, da so v zvezi s posebno finančno institucijo izpolnjeni pogoji iz prvega </w:t>
      </w:r>
      <w:r w:rsidR="00746E88" w:rsidRPr="00215B2F">
        <w:rPr>
          <w:rFonts w:eastAsia="Arial" w:cs="Arial"/>
          <w:sz w:val="20"/>
          <w:szCs w:val="20"/>
        </w:rPr>
        <w:t>odstavka tega člena</w:t>
      </w:r>
      <w:r w:rsidRPr="00215B2F">
        <w:rPr>
          <w:rFonts w:eastAsia="Arial" w:cs="Arial"/>
          <w:sz w:val="20"/>
          <w:szCs w:val="20"/>
        </w:rPr>
        <w:t>;</w:t>
      </w:r>
    </w:p>
    <w:p w14:paraId="09ABE519" w14:textId="50F3AE4D" w:rsidR="00D91782" w:rsidRPr="00215B2F" w:rsidRDefault="00D91782" w:rsidP="00543D80">
      <w:pPr>
        <w:pStyle w:val="tevilnatoka"/>
        <w:rPr>
          <w:rFonts w:cs="Arial"/>
          <w:bCs/>
          <w:sz w:val="20"/>
          <w:szCs w:val="20"/>
        </w:rPr>
      </w:pPr>
      <w:r w:rsidRPr="00215B2F">
        <w:rPr>
          <w:rFonts w:eastAsia="Arial" w:cs="Arial"/>
          <w:sz w:val="20"/>
          <w:szCs w:val="20"/>
        </w:rPr>
        <w:t xml:space="preserve">podatke o višini in sestavi kapitala posebne finančne institucije ter o znesku skupne izpostavljenosti tveganju banke iz 2. točke prvega </w:t>
      </w:r>
      <w:r w:rsidR="00746E88" w:rsidRPr="00215B2F">
        <w:rPr>
          <w:rFonts w:eastAsia="Arial" w:cs="Arial"/>
          <w:sz w:val="20"/>
          <w:szCs w:val="20"/>
        </w:rPr>
        <w:t>odstavka tega člena</w:t>
      </w:r>
      <w:r w:rsidRPr="00215B2F">
        <w:rPr>
          <w:rFonts w:eastAsia="Arial" w:cs="Arial"/>
          <w:sz w:val="20"/>
          <w:szCs w:val="20"/>
        </w:rPr>
        <w:t>, izračunanem v skladu z 92. členom Uredbe 575/2013/EU.</w:t>
      </w:r>
    </w:p>
    <w:p w14:paraId="04AB5F1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280A057" w14:textId="4FE302A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Če posebna finančna institucija, ki opravlja vzajemno priznane finančne storitve na območju države članice gostiteljice, preneha izpolnjevati katerega od pogojev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ni več upravičena opravljati vzajemno priznanih finančnih storitev na območju druge države članice na podlagi tega člena. Banka Slovenije o tem nemudoma obvesti pristojni organ te države članice.</w:t>
      </w:r>
    </w:p>
    <w:p w14:paraId="30EBDAB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B93DC2F" w14:textId="6CDA9C6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w:t>
      </w:r>
      <w:r w:rsidR="00F45536" w:rsidRPr="00215B2F">
        <w:rPr>
          <w:rFonts w:ascii="Arial" w:eastAsia="Arial" w:hAnsi="Arial" w:cs="Arial"/>
          <w:sz w:val="20"/>
          <w:szCs w:val="20"/>
        </w:rPr>
        <w:t>Ta</w:t>
      </w:r>
      <w:r w:rsidRPr="00215B2F">
        <w:rPr>
          <w:rFonts w:ascii="Arial" w:eastAsia="Arial" w:hAnsi="Arial" w:cs="Arial"/>
          <w:sz w:val="20"/>
          <w:szCs w:val="20"/>
        </w:rPr>
        <w:t xml:space="preserve"> člen se smiselno uporablja tudi za družbe, ki so podrejene posebni finančni instituciji.</w:t>
      </w:r>
    </w:p>
    <w:p w14:paraId="3272C1DB"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7783ACAC" w14:textId="4E0073EC"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5.</w:t>
      </w:r>
      <w:r w:rsidR="006B2743" w:rsidRPr="00215B2F">
        <w:rPr>
          <w:rFonts w:ascii="Arial" w:eastAsia="Arial" w:hAnsi="Arial" w:cs="Arial"/>
          <w:i/>
          <w:iCs/>
          <w:sz w:val="20"/>
          <w:szCs w:val="20"/>
        </w:rPr>
        <w:t>4</w:t>
      </w:r>
      <w:r w:rsidRPr="00215B2F">
        <w:rPr>
          <w:rFonts w:ascii="Arial" w:eastAsia="Arial" w:hAnsi="Arial" w:cs="Arial"/>
          <w:i/>
          <w:iCs/>
          <w:sz w:val="20"/>
          <w:szCs w:val="20"/>
        </w:rPr>
        <w:t>.4 Opravljanje vzajemno priznanih finančnih storitev bank držav članic</w:t>
      </w:r>
    </w:p>
    <w:p w14:paraId="11843295"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1795276B"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06" w:name="_Ref202964436"/>
      <w:r w:rsidRPr="00215B2F">
        <w:rPr>
          <w:rFonts w:ascii="Arial" w:eastAsia="Arial" w:hAnsi="Arial" w:cs="Arial"/>
          <w:b/>
          <w:bCs/>
          <w:sz w:val="20"/>
          <w:szCs w:val="20"/>
        </w:rPr>
        <w:t>člen</w:t>
      </w:r>
      <w:bookmarkEnd w:id="206"/>
    </w:p>
    <w:p w14:paraId="73D4AD71" w14:textId="77777777" w:rsidR="00D91782" w:rsidRPr="00215B2F" w:rsidRDefault="00D91782" w:rsidP="00FD5520">
      <w:pPr>
        <w:pStyle w:val="Slog1"/>
        <w:shd w:val="clear" w:color="auto" w:fill="FFFFFF" w:themeFill="background1"/>
        <w:rPr>
          <w:sz w:val="20"/>
          <w:szCs w:val="20"/>
        </w:rPr>
      </w:pPr>
      <w:r w:rsidRPr="00215B2F">
        <w:rPr>
          <w:sz w:val="20"/>
          <w:szCs w:val="20"/>
        </w:rPr>
        <w:t>(opravljanje vzajemno priznanih finančnih storitev bank držav članic)</w:t>
      </w:r>
    </w:p>
    <w:p w14:paraId="410EB00D" w14:textId="77777777" w:rsidR="00D91782" w:rsidRPr="00215B2F" w:rsidRDefault="00D91782" w:rsidP="00FD5520">
      <w:pPr>
        <w:pStyle w:val="Slog1"/>
        <w:shd w:val="clear" w:color="auto" w:fill="FFFFFF" w:themeFill="background1"/>
        <w:jc w:val="both"/>
        <w:rPr>
          <w:sz w:val="20"/>
          <w:szCs w:val="20"/>
        </w:rPr>
      </w:pPr>
    </w:p>
    <w:p w14:paraId="6B84C10E" w14:textId="026C126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države članice sme vzajemno priznane finančne storitve, ki jih v skladu z dovoljenjem pristojnega organa opravlja v matični državi članici, opravljati tudi na območju Republike Slovenije prek podružnice ali neposredno, če Banka Slovenije predhodno prejme obvestilo pristojnega organa matične države članice o opravljanju storitev banke na območju Republike Slovenije prek podružnice ali neposredno z informacijami iz drugega odstavka </w:t>
      </w:r>
      <w:r w:rsidR="009A42D2" w:rsidRPr="00215B2F">
        <w:rPr>
          <w:rFonts w:ascii="Arial" w:eastAsia="Arial" w:hAnsi="Arial" w:cs="Arial"/>
          <w:sz w:val="20"/>
          <w:szCs w:val="20"/>
        </w:rPr>
        <w:t>158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669522A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EEF2A39" w14:textId="070BDCC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države članice lahko na območju Republike Slovenije ustanovi podružnico ali začne neposredno opravljati vzajemno priznane finančne storitve v Republiki Sloveniji, </w:t>
      </w:r>
      <w:r w:rsidR="00B8037E" w:rsidRPr="00215B2F">
        <w:rPr>
          <w:rFonts w:ascii="Arial" w:eastAsia="Arial" w:hAnsi="Arial" w:cs="Arial"/>
          <w:sz w:val="20"/>
          <w:szCs w:val="20"/>
        </w:rPr>
        <w:t xml:space="preserve">potem </w:t>
      </w:r>
      <w:r w:rsidRPr="00215B2F">
        <w:rPr>
          <w:rFonts w:ascii="Arial" w:eastAsia="Arial" w:hAnsi="Arial" w:cs="Arial"/>
          <w:sz w:val="20"/>
          <w:szCs w:val="20"/>
        </w:rPr>
        <w:t>ko Banka Slovenije banki države članice po</w:t>
      </w:r>
      <w:r w:rsidR="00B8037E" w:rsidRPr="00215B2F">
        <w:rPr>
          <w:rFonts w:ascii="Arial" w:eastAsia="Arial" w:hAnsi="Arial" w:cs="Arial"/>
          <w:sz w:val="20"/>
          <w:szCs w:val="20"/>
        </w:rPr>
        <w:t>šl</w:t>
      </w:r>
      <w:r w:rsidRPr="00215B2F">
        <w:rPr>
          <w:rFonts w:ascii="Arial" w:eastAsia="Arial" w:hAnsi="Arial" w:cs="Arial"/>
          <w:sz w:val="20"/>
          <w:szCs w:val="20"/>
        </w:rPr>
        <w:t xml:space="preserve">je obvestilo iz tretjega odstavka </w:t>
      </w:r>
      <w:r w:rsidR="009A42D2" w:rsidRPr="00215B2F">
        <w:rPr>
          <w:rFonts w:ascii="Arial" w:eastAsia="Arial" w:hAnsi="Arial" w:cs="Arial"/>
          <w:sz w:val="20"/>
          <w:szCs w:val="20"/>
        </w:rPr>
        <w:t>166</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Podružnica banke države članice se lahko vpiše v sodni register, </w:t>
      </w:r>
      <w:r w:rsidR="00B8037E" w:rsidRPr="00215B2F">
        <w:rPr>
          <w:rFonts w:ascii="Arial" w:eastAsia="Arial" w:hAnsi="Arial" w:cs="Arial"/>
          <w:sz w:val="20"/>
          <w:szCs w:val="20"/>
        </w:rPr>
        <w:t xml:space="preserve">potem </w:t>
      </w:r>
      <w:r w:rsidRPr="00215B2F">
        <w:rPr>
          <w:rFonts w:ascii="Arial" w:eastAsia="Arial" w:hAnsi="Arial" w:cs="Arial"/>
          <w:sz w:val="20"/>
          <w:szCs w:val="20"/>
        </w:rPr>
        <w:t>ko prejme obvestilo iz prejšnjega stavka.</w:t>
      </w:r>
    </w:p>
    <w:p w14:paraId="4F02B2E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833BB87" w14:textId="33DD524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(3) Banka Slovenije je pristojna za nadzor nad podružnico banke države članice v obsegu in pod pogoji, določenimi v oddelku </w:t>
      </w:r>
      <w:r w:rsidR="009A42D2" w:rsidRPr="00215B2F">
        <w:rPr>
          <w:rFonts w:ascii="Arial" w:eastAsia="Arial" w:hAnsi="Arial" w:cs="Arial"/>
          <w:sz w:val="20"/>
          <w:szCs w:val="20"/>
        </w:rPr>
        <w:t>12.</w:t>
      </w:r>
      <w:r w:rsidRPr="00215B2F">
        <w:rPr>
          <w:rFonts w:ascii="Arial" w:eastAsia="Arial" w:hAnsi="Arial" w:cs="Arial"/>
          <w:sz w:val="20"/>
          <w:szCs w:val="20"/>
        </w:rPr>
        <w:t>2 tega zakona.</w:t>
      </w:r>
    </w:p>
    <w:p w14:paraId="102D819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3ADF653" w14:textId="4849537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V zvezi z letnim nadomestilom za nadzor Banke Slovenije nad poslovanjem podružnice banke države članice v skladu s tem zakonom se smiselno uporablja </w:t>
      </w:r>
      <w:r w:rsidR="009A42D2" w:rsidRPr="00215B2F">
        <w:rPr>
          <w:rFonts w:ascii="Arial" w:eastAsia="Arial" w:hAnsi="Arial" w:cs="Arial"/>
          <w:sz w:val="20"/>
          <w:szCs w:val="20"/>
        </w:rPr>
        <w:t>333</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w:t>
      </w:r>
    </w:p>
    <w:p w14:paraId="38B78FF4"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3CF7E2F" w14:textId="4014F59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Če namerava banka države članice v zvezi s svojo podružnico v Republiki Sloveniji spremeniti katero od dejstev oziroma okoliščin iz drugega odstavka </w:t>
      </w:r>
      <w:r w:rsidR="009A42D2" w:rsidRPr="00215B2F">
        <w:rPr>
          <w:rFonts w:ascii="Arial" w:eastAsia="Arial" w:hAnsi="Arial" w:cs="Arial"/>
          <w:sz w:val="20"/>
          <w:szCs w:val="20"/>
        </w:rPr>
        <w:t>158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mora o tem obvestiti Banko Slovenije en mesec pred izvršitvijo take spremembe.</w:t>
      </w:r>
    </w:p>
    <w:p w14:paraId="5BC6B2C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A28951D" w14:textId="6FBA5E7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Podružnica banke države članice mora Banki Slovenije poročati v zvezi s poslovanjem na območju Republike Slovenije.</w:t>
      </w:r>
    </w:p>
    <w:p w14:paraId="56009754"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1ED2A51" w14:textId="7F1DB1F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Banka Slovenije predpiše podrobnejši obseg podatkov in informacij iz prejšnjega odstavka, ki jih potrebuje za izvajanje nadzora nad poslovanjem podružnice v skladu s tem zakonom, za informativne in statistične namene ter za namene ugotavljanja pomembnosti podružnice v skladu s </w:t>
      </w:r>
      <w:r w:rsidR="009A42D2" w:rsidRPr="00215B2F">
        <w:rPr>
          <w:rFonts w:ascii="Arial" w:eastAsia="Arial" w:hAnsi="Arial" w:cs="Arial"/>
          <w:sz w:val="20"/>
          <w:szCs w:val="20"/>
        </w:rPr>
        <w:t>405</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227D226B"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359E372B"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07" w:name="_Ref202964444"/>
      <w:r w:rsidRPr="00215B2F">
        <w:rPr>
          <w:rFonts w:ascii="Arial" w:eastAsia="Arial" w:hAnsi="Arial" w:cs="Arial"/>
          <w:b/>
          <w:bCs/>
          <w:sz w:val="20"/>
          <w:szCs w:val="20"/>
        </w:rPr>
        <w:t>člen</w:t>
      </w:r>
      <w:bookmarkEnd w:id="207"/>
    </w:p>
    <w:p w14:paraId="3B53F9DD" w14:textId="77777777" w:rsidR="00D91782" w:rsidRPr="00215B2F" w:rsidRDefault="00D91782" w:rsidP="00FD5520">
      <w:pPr>
        <w:pStyle w:val="Slog1"/>
        <w:shd w:val="clear" w:color="auto" w:fill="FFFFFF" w:themeFill="background1"/>
        <w:rPr>
          <w:sz w:val="20"/>
          <w:szCs w:val="20"/>
        </w:rPr>
      </w:pPr>
      <w:r w:rsidRPr="00215B2F">
        <w:rPr>
          <w:sz w:val="20"/>
          <w:szCs w:val="20"/>
        </w:rPr>
        <w:t>(uporaba predpisov glede dejavnosti banke države članice)</w:t>
      </w:r>
    </w:p>
    <w:p w14:paraId="1FA56C27" w14:textId="77777777" w:rsidR="00D91782" w:rsidRPr="00215B2F" w:rsidRDefault="00D91782" w:rsidP="00FD5520">
      <w:pPr>
        <w:pStyle w:val="Slog1"/>
        <w:shd w:val="clear" w:color="auto" w:fill="FFFFFF" w:themeFill="background1"/>
        <w:jc w:val="both"/>
        <w:rPr>
          <w:sz w:val="20"/>
          <w:szCs w:val="20"/>
        </w:rPr>
      </w:pPr>
    </w:p>
    <w:p w14:paraId="2832D7F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države članice opravlja vzajemno priznane storitve na območju Republike Slovenije v skladu s predpisi Republike Slovenije, ki se uporabljajo v zvezi z izvajanjem vzajemno priznanih finančnih storitev.</w:t>
      </w:r>
    </w:p>
    <w:p w14:paraId="40B6B197"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1947A6C" w14:textId="3BB8EF0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države članice, ki opravlja storitve na območju Republike Slovenije v skladu s tem zakonom, ne glede na pravo, ki se uporablja med strankami, pri opravljanju poslov ne more izključiti uporabe predpisov Republike Slovenije, ki urejajo:</w:t>
      </w:r>
    </w:p>
    <w:p w14:paraId="79AC703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8D4E430" w14:textId="13B1B0BD" w:rsidR="00764E1F" w:rsidRPr="00215B2F" w:rsidRDefault="00D91782">
      <w:pPr>
        <w:pStyle w:val="tevilnatoka"/>
        <w:numPr>
          <w:ilvl w:val="0"/>
          <w:numId w:val="112"/>
        </w:numPr>
        <w:shd w:val="clear" w:color="auto" w:fill="FFFFFF" w:themeFill="background1"/>
        <w:tabs>
          <w:tab w:val="clear" w:pos="425"/>
        </w:tabs>
        <w:rPr>
          <w:rFonts w:cs="Arial"/>
          <w:bCs/>
          <w:sz w:val="20"/>
          <w:szCs w:val="20"/>
        </w:rPr>
      </w:pPr>
      <w:r w:rsidRPr="00215B2F">
        <w:rPr>
          <w:rFonts w:eastAsia="Arial" w:cs="Arial"/>
          <w:sz w:val="20"/>
          <w:szCs w:val="20"/>
        </w:rPr>
        <w:t xml:space="preserve">varovanje zaupnih podatkov v skladu z </w:t>
      </w:r>
      <w:r w:rsidR="005B0CC7" w:rsidRPr="00215B2F">
        <w:rPr>
          <w:rFonts w:eastAsia="Arial" w:cs="Arial"/>
          <w:sz w:val="20"/>
          <w:szCs w:val="20"/>
        </w:rPr>
        <w:t>o</w:t>
      </w:r>
      <w:r w:rsidR="001F2C7A" w:rsidRPr="00215B2F">
        <w:rPr>
          <w:rFonts w:eastAsia="Arial" w:cs="Arial"/>
          <w:sz w:val="20"/>
          <w:szCs w:val="20"/>
        </w:rPr>
        <w:t>ddelkom</w:t>
      </w:r>
      <w:r w:rsidRPr="00215B2F">
        <w:rPr>
          <w:rFonts w:eastAsia="Arial" w:cs="Arial"/>
          <w:sz w:val="20"/>
          <w:szCs w:val="20"/>
        </w:rPr>
        <w:t xml:space="preserve"> 5.</w:t>
      </w:r>
      <w:r w:rsidR="009A42D2" w:rsidRPr="00215B2F">
        <w:rPr>
          <w:rFonts w:eastAsia="Arial" w:cs="Arial"/>
          <w:sz w:val="20"/>
          <w:szCs w:val="20"/>
        </w:rPr>
        <w:t>6</w:t>
      </w:r>
      <w:r w:rsidRPr="00215B2F">
        <w:rPr>
          <w:rFonts w:eastAsia="Arial" w:cs="Arial"/>
          <w:sz w:val="20"/>
          <w:szCs w:val="20"/>
        </w:rPr>
        <w:t xml:space="preserve"> tega zakona;</w:t>
      </w:r>
    </w:p>
    <w:p w14:paraId="1F37E518" w14:textId="77777777" w:rsidR="00764E1F" w:rsidRPr="00215B2F" w:rsidRDefault="00D91782">
      <w:pPr>
        <w:pStyle w:val="tevilnatoka"/>
        <w:numPr>
          <w:ilvl w:val="0"/>
          <w:numId w:val="112"/>
        </w:numPr>
        <w:shd w:val="clear" w:color="auto" w:fill="FFFFFF" w:themeFill="background1"/>
        <w:tabs>
          <w:tab w:val="clear" w:pos="425"/>
        </w:tabs>
        <w:rPr>
          <w:rFonts w:cs="Arial"/>
          <w:bCs/>
          <w:sz w:val="20"/>
          <w:szCs w:val="20"/>
        </w:rPr>
      </w:pPr>
      <w:r w:rsidRPr="00215B2F">
        <w:rPr>
          <w:rFonts w:eastAsia="Arial" w:cs="Arial"/>
          <w:sz w:val="20"/>
          <w:szCs w:val="20"/>
        </w:rPr>
        <w:t>varstvo osebnih podatkov v skladu z zakonom, ki ureja varstvo osebnih podatkov;</w:t>
      </w:r>
    </w:p>
    <w:p w14:paraId="44D27012" w14:textId="77777777" w:rsidR="00764E1F" w:rsidRPr="00215B2F" w:rsidRDefault="00D91782">
      <w:pPr>
        <w:pStyle w:val="tevilnatoka"/>
        <w:numPr>
          <w:ilvl w:val="0"/>
          <w:numId w:val="112"/>
        </w:numPr>
        <w:shd w:val="clear" w:color="auto" w:fill="FFFFFF" w:themeFill="background1"/>
        <w:tabs>
          <w:tab w:val="clear" w:pos="425"/>
        </w:tabs>
        <w:rPr>
          <w:rFonts w:cs="Arial"/>
          <w:bCs/>
          <w:sz w:val="20"/>
          <w:szCs w:val="20"/>
        </w:rPr>
      </w:pPr>
      <w:r w:rsidRPr="00215B2F">
        <w:rPr>
          <w:rFonts w:eastAsia="Arial" w:cs="Arial"/>
          <w:sz w:val="20"/>
          <w:szCs w:val="20"/>
        </w:rPr>
        <w:t>varstvo potrošnikov v skladu s predpisi, ki so namenjeni varstvu potrošnikov;</w:t>
      </w:r>
    </w:p>
    <w:p w14:paraId="5C8FE498" w14:textId="77777777" w:rsidR="00764E1F" w:rsidRPr="00215B2F" w:rsidRDefault="00D91782">
      <w:pPr>
        <w:pStyle w:val="tevilnatoka"/>
        <w:numPr>
          <w:ilvl w:val="0"/>
          <w:numId w:val="112"/>
        </w:numPr>
        <w:shd w:val="clear" w:color="auto" w:fill="FFFFFF" w:themeFill="background1"/>
        <w:tabs>
          <w:tab w:val="clear" w:pos="425"/>
        </w:tabs>
        <w:rPr>
          <w:rFonts w:cs="Arial"/>
          <w:bCs/>
          <w:sz w:val="20"/>
          <w:szCs w:val="20"/>
        </w:rPr>
      </w:pPr>
      <w:r w:rsidRPr="00215B2F">
        <w:rPr>
          <w:rFonts w:eastAsia="Arial" w:cs="Arial"/>
          <w:sz w:val="20"/>
          <w:szCs w:val="20"/>
        </w:rPr>
        <w:t>zahteve glede preprečevanja pranja denarja in financiranja terorizma v skladu z zakonom, ki ureja preprečevanje pranja denarja in financiranja terorizma;</w:t>
      </w:r>
    </w:p>
    <w:p w14:paraId="3BF00CD0" w14:textId="793AB71E" w:rsidR="00D91782" w:rsidRPr="00215B2F" w:rsidRDefault="00D91782">
      <w:pPr>
        <w:pStyle w:val="tevilnatoka"/>
        <w:numPr>
          <w:ilvl w:val="0"/>
          <w:numId w:val="112"/>
        </w:numPr>
        <w:shd w:val="clear" w:color="auto" w:fill="FFFFFF" w:themeFill="background1"/>
        <w:tabs>
          <w:tab w:val="clear" w:pos="425"/>
        </w:tabs>
        <w:rPr>
          <w:rFonts w:cs="Arial"/>
          <w:bCs/>
          <w:sz w:val="20"/>
          <w:szCs w:val="20"/>
        </w:rPr>
      </w:pPr>
      <w:r w:rsidRPr="00215B2F">
        <w:rPr>
          <w:rFonts w:eastAsia="Arial" w:cs="Arial"/>
          <w:sz w:val="20"/>
          <w:szCs w:val="20"/>
        </w:rPr>
        <w:t>druge zahteve, ki veljajo za banke v Republiki Sloveniji, da se zaščiti javni interes.</w:t>
      </w:r>
    </w:p>
    <w:p w14:paraId="31FC6B9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3285A96" w14:textId="372FA78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banko države članice, ki v skladu s tem zakonom namerava ustanoviti podružnico v Republiki Sloveniji ali namerava neposredno opravljati vzajemno priznane finančne storitve, v dveh mesecih po prejemu obvestila pristojnega organa iz prvega odstavka </w:t>
      </w:r>
      <w:r w:rsidR="00091BC8"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 xml:space="preserve">člena </w:t>
      </w:r>
      <w:r w:rsidRPr="00215B2F">
        <w:rPr>
          <w:rFonts w:ascii="Arial" w:eastAsia="Arial" w:hAnsi="Arial" w:cs="Arial"/>
          <w:sz w:val="20"/>
          <w:szCs w:val="20"/>
        </w:rPr>
        <w:t>obvesti o predpisih iz prejšnjega odstavka.</w:t>
      </w:r>
    </w:p>
    <w:p w14:paraId="530DEC92" w14:textId="77777777" w:rsidR="00FF337B" w:rsidRPr="00215B2F" w:rsidRDefault="00FF337B" w:rsidP="00FD5520">
      <w:pPr>
        <w:shd w:val="clear" w:color="auto" w:fill="FFFFFF" w:themeFill="background1"/>
        <w:spacing w:after="0" w:line="240" w:lineRule="auto"/>
        <w:jc w:val="both"/>
        <w:rPr>
          <w:rFonts w:ascii="Arial" w:eastAsia="Arial" w:hAnsi="Arial" w:cs="Arial"/>
          <w:i/>
          <w:iCs/>
          <w:sz w:val="20"/>
          <w:szCs w:val="20"/>
        </w:rPr>
      </w:pPr>
    </w:p>
    <w:p w14:paraId="3E27E9DC" w14:textId="22D5F5C3"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5.</w:t>
      </w:r>
      <w:r w:rsidR="006B2743" w:rsidRPr="00215B2F">
        <w:rPr>
          <w:rFonts w:ascii="Arial" w:eastAsia="Arial" w:hAnsi="Arial" w:cs="Arial"/>
          <w:i/>
          <w:iCs/>
          <w:sz w:val="20"/>
          <w:szCs w:val="20"/>
        </w:rPr>
        <w:t>4</w:t>
      </w:r>
      <w:r w:rsidRPr="00215B2F">
        <w:rPr>
          <w:rFonts w:ascii="Arial" w:eastAsia="Arial" w:hAnsi="Arial" w:cs="Arial"/>
          <w:i/>
          <w:iCs/>
          <w:sz w:val="20"/>
          <w:szCs w:val="20"/>
        </w:rPr>
        <w:t>.5 Opravljanje vzajemno priznanih finančnih storitev posebnih finančnih institucij držav članic</w:t>
      </w:r>
    </w:p>
    <w:p w14:paraId="1C436DB3"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1D42F29"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08" w:name="_Ref202964450"/>
      <w:r w:rsidRPr="00215B2F">
        <w:rPr>
          <w:rFonts w:ascii="Arial" w:eastAsia="Arial" w:hAnsi="Arial" w:cs="Arial"/>
          <w:b/>
          <w:bCs/>
          <w:sz w:val="20"/>
          <w:szCs w:val="20"/>
        </w:rPr>
        <w:t>člen</w:t>
      </w:r>
      <w:bookmarkEnd w:id="208"/>
    </w:p>
    <w:p w14:paraId="4E5EF94F" w14:textId="77777777" w:rsidR="00D91782" w:rsidRPr="00215B2F" w:rsidRDefault="00D91782" w:rsidP="00FD5520">
      <w:pPr>
        <w:pStyle w:val="Slog1"/>
        <w:shd w:val="clear" w:color="auto" w:fill="FFFFFF" w:themeFill="background1"/>
        <w:rPr>
          <w:sz w:val="20"/>
          <w:szCs w:val="20"/>
        </w:rPr>
      </w:pPr>
      <w:r w:rsidRPr="00215B2F">
        <w:rPr>
          <w:sz w:val="20"/>
          <w:szCs w:val="20"/>
        </w:rPr>
        <w:t>(opravljanje vzajemno priznanih finančnih storitev posebnih finančnih institucij držav članic)</w:t>
      </w:r>
    </w:p>
    <w:p w14:paraId="2C8F1B80" w14:textId="77777777" w:rsidR="00D91782" w:rsidRPr="00215B2F" w:rsidRDefault="00D91782" w:rsidP="00FD5520">
      <w:pPr>
        <w:pStyle w:val="Slog1"/>
        <w:shd w:val="clear" w:color="auto" w:fill="FFFFFF" w:themeFill="background1"/>
        <w:jc w:val="both"/>
        <w:rPr>
          <w:sz w:val="20"/>
          <w:szCs w:val="20"/>
        </w:rPr>
      </w:pPr>
    </w:p>
    <w:p w14:paraId="091EC223" w14:textId="546FFF7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Posebna finančna institucija države članice je družba s sedežem v drugi državi članici, ki v matični državi članici izpolnjuje pogoje kot posebna finančna institucija iz prvega odstavka </w:t>
      </w:r>
      <w:r w:rsidR="009A42D2" w:rsidRPr="00215B2F">
        <w:rPr>
          <w:rFonts w:ascii="Arial" w:eastAsia="Arial" w:hAnsi="Arial" w:cs="Arial"/>
          <w:sz w:val="20"/>
          <w:szCs w:val="20"/>
        </w:rPr>
        <w:t>164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je pridobila potrdilo pristojnega organa matične države članice o izpolnjevanju teh pogojev.</w:t>
      </w:r>
    </w:p>
    <w:p w14:paraId="6A4CC80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C0A7AE0" w14:textId="54415AF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Določbe tega zakona o opravljanju vzajemno priznanih finančnih storitev banke države članice v Republiki Sloveniji se smiselno uporabljajo tudi za posebne finančne institucije držav članic.</w:t>
      </w:r>
    </w:p>
    <w:p w14:paraId="31E25E1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918CC20" w14:textId="67A8410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Obvestilo pristojnega organa države članice iz prvega odstavka </w:t>
      </w:r>
      <w:r w:rsidR="009A42D2" w:rsidRPr="00215B2F">
        <w:rPr>
          <w:rFonts w:ascii="Arial" w:eastAsia="Arial" w:hAnsi="Arial" w:cs="Arial"/>
          <w:sz w:val="20"/>
          <w:szCs w:val="20"/>
        </w:rPr>
        <w:t>165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mora vključevati tudi:</w:t>
      </w:r>
    </w:p>
    <w:p w14:paraId="3936061C"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03BDF7E9" w14:textId="05420F0A" w:rsidR="0059639B" w:rsidRPr="00215B2F" w:rsidRDefault="00D91782">
      <w:pPr>
        <w:pStyle w:val="tevilnatoka"/>
        <w:numPr>
          <w:ilvl w:val="0"/>
          <w:numId w:val="113"/>
        </w:numPr>
        <w:shd w:val="clear" w:color="auto" w:fill="FFFFFF" w:themeFill="background1"/>
        <w:tabs>
          <w:tab w:val="clear" w:pos="425"/>
        </w:tabs>
        <w:rPr>
          <w:rFonts w:cs="Arial"/>
          <w:bCs/>
          <w:sz w:val="20"/>
          <w:szCs w:val="20"/>
        </w:rPr>
      </w:pPr>
      <w:r w:rsidRPr="00215B2F">
        <w:rPr>
          <w:rFonts w:eastAsia="Arial" w:cs="Arial"/>
          <w:sz w:val="20"/>
          <w:szCs w:val="20"/>
        </w:rPr>
        <w:t>potrdilo pristojnega organa države članice, da posebna finančna institucija države članice izpolnjuje pogoje, k</w:t>
      </w:r>
      <w:r w:rsidR="006B0B0E" w:rsidRPr="00215B2F">
        <w:rPr>
          <w:rFonts w:eastAsia="Arial" w:cs="Arial"/>
          <w:sz w:val="20"/>
          <w:szCs w:val="20"/>
        </w:rPr>
        <w:t>akor</w:t>
      </w:r>
      <w:r w:rsidRPr="00215B2F">
        <w:rPr>
          <w:rFonts w:eastAsia="Arial" w:cs="Arial"/>
          <w:sz w:val="20"/>
          <w:szCs w:val="20"/>
        </w:rPr>
        <w:t xml:space="preserve"> so določeni v prvem odstavku </w:t>
      </w:r>
      <w:r w:rsidR="009A42D2" w:rsidRPr="00215B2F">
        <w:rPr>
          <w:rFonts w:eastAsia="Arial" w:cs="Arial"/>
          <w:sz w:val="20"/>
          <w:szCs w:val="20"/>
        </w:rPr>
        <w:t>164</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65BDC80A" w14:textId="436E9103" w:rsidR="00D91782" w:rsidRPr="00215B2F" w:rsidRDefault="00D91782">
      <w:pPr>
        <w:pStyle w:val="tevilnatoka"/>
        <w:numPr>
          <w:ilvl w:val="0"/>
          <w:numId w:val="113"/>
        </w:numPr>
        <w:shd w:val="clear" w:color="auto" w:fill="FFFFFF" w:themeFill="background1"/>
        <w:tabs>
          <w:tab w:val="clear" w:pos="425"/>
        </w:tabs>
        <w:rPr>
          <w:rFonts w:cs="Arial"/>
          <w:bCs/>
          <w:sz w:val="20"/>
          <w:szCs w:val="20"/>
        </w:rPr>
      </w:pPr>
      <w:r w:rsidRPr="00215B2F">
        <w:rPr>
          <w:rFonts w:eastAsia="Arial" w:cs="Arial"/>
          <w:sz w:val="20"/>
          <w:szCs w:val="20"/>
        </w:rPr>
        <w:lastRenderedPageBreak/>
        <w:t>podatke o višini in sestavi kapitala posebne finančne institucije države članice ter o znesku skupne izpostavljenosti tveganju nadrejene banke države članice, izračunanem v skladu z 92. členom Uredbe 575/2013/EU.</w:t>
      </w:r>
    </w:p>
    <w:p w14:paraId="04811F97"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CB011CF" w14:textId="5665C91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Če pristojni organ matične države članice obvesti Banko Slovenije, da je posebna finančna institucija države članice prenehala izpolnjevati katerega od pogojev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posebna finančna institucija države članice ni več upravičena upravljati vzajemno priznanih finančnih storitev v Republiki Sloveniji na podlagi tega člena.</w:t>
      </w:r>
    </w:p>
    <w:p w14:paraId="25BEEA2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9A7F470" w14:textId="4056189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w:t>
      </w:r>
      <w:r w:rsidR="00091BC8" w:rsidRPr="00215B2F">
        <w:rPr>
          <w:rFonts w:ascii="Arial" w:eastAsia="Arial" w:hAnsi="Arial" w:cs="Arial"/>
          <w:sz w:val="20"/>
          <w:szCs w:val="20"/>
        </w:rPr>
        <w:t>T</w:t>
      </w:r>
      <w:r w:rsidRPr="00215B2F">
        <w:rPr>
          <w:rFonts w:ascii="Arial" w:eastAsia="Arial" w:hAnsi="Arial" w:cs="Arial"/>
          <w:sz w:val="20"/>
          <w:szCs w:val="20"/>
        </w:rPr>
        <w:t>a člen se smiselno uporablja tudi za družbe, ki so podrejene posebni finančni instituciji države članice.</w:t>
      </w:r>
    </w:p>
    <w:p w14:paraId="4B59360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87B172B" w14:textId="23C6216E"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5.</w:t>
      </w:r>
      <w:r w:rsidR="006B2743" w:rsidRPr="00215B2F">
        <w:rPr>
          <w:rFonts w:ascii="Arial" w:eastAsia="Arial" w:hAnsi="Arial" w:cs="Arial"/>
          <w:i/>
          <w:iCs/>
          <w:sz w:val="20"/>
          <w:szCs w:val="20"/>
        </w:rPr>
        <w:t>4</w:t>
      </w:r>
      <w:r w:rsidRPr="00215B2F">
        <w:rPr>
          <w:rFonts w:ascii="Arial" w:eastAsia="Arial" w:hAnsi="Arial" w:cs="Arial"/>
          <w:i/>
          <w:iCs/>
          <w:sz w:val="20"/>
          <w:szCs w:val="20"/>
        </w:rPr>
        <w:t>.6 Opravljanje storitev družb iz tretjih držav prek podružnice</w:t>
      </w:r>
    </w:p>
    <w:p w14:paraId="653497EC"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2DB527A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09" w:name="_Ref202964457"/>
      <w:r w:rsidRPr="00215B2F">
        <w:rPr>
          <w:rFonts w:ascii="Arial" w:eastAsia="Arial" w:hAnsi="Arial" w:cs="Arial"/>
          <w:b/>
          <w:bCs/>
          <w:sz w:val="20"/>
          <w:szCs w:val="20"/>
        </w:rPr>
        <w:t>člen</w:t>
      </w:r>
      <w:bookmarkEnd w:id="209"/>
    </w:p>
    <w:p w14:paraId="2DADE492" w14:textId="02FD38E1" w:rsidR="00D91782" w:rsidRPr="00215B2F" w:rsidRDefault="00D91782" w:rsidP="00FD5520">
      <w:pPr>
        <w:pStyle w:val="Slog1"/>
        <w:shd w:val="clear" w:color="auto" w:fill="FFFFFF" w:themeFill="background1"/>
        <w:rPr>
          <w:sz w:val="20"/>
          <w:szCs w:val="20"/>
        </w:rPr>
      </w:pPr>
      <w:r w:rsidRPr="00215B2F">
        <w:rPr>
          <w:sz w:val="20"/>
          <w:szCs w:val="20"/>
        </w:rPr>
        <w:t>(opravljanje storitev družbe iz tretje države prek podružnice)</w:t>
      </w:r>
    </w:p>
    <w:p w14:paraId="03267974" w14:textId="77777777" w:rsidR="00D91782" w:rsidRPr="00215B2F" w:rsidRDefault="00D91782" w:rsidP="00FD5520">
      <w:pPr>
        <w:pStyle w:val="Slog1"/>
        <w:shd w:val="clear" w:color="auto" w:fill="FFFFFF" w:themeFill="background1"/>
        <w:jc w:val="both"/>
        <w:rPr>
          <w:sz w:val="20"/>
          <w:szCs w:val="20"/>
        </w:rPr>
      </w:pPr>
    </w:p>
    <w:p w14:paraId="760E0465" w14:textId="04A753B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Družba iz tretje države, ki opravlja:</w:t>
      </w:r>
    </w:p>
    <w:p w14:paraId="3561F99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79DECEF" w14:textId="77777777" w:rsidR="008612B7" w:rsidRPr="00215B2F" w:rsidRDefault="00D91782" w:rsidP="003D4DE0">
      <w:pPr>
        <w:pStyle w:val="Odstavekseznama"/>
        <w:numPr>
          <w:ilvl w:val="0"/>
          <w:numId w:val="306"/>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sprejemanje depozitov ali drugih vračljivih sredstev od javnosti v skladu s tem zakonom ali</w:t>
      </w:r>
    </w:p>
    <w:p w14:paraId="7910F1FB" w14:textId="087E0157" w:rsidR="008612B7" w:rsidRPr="00215B2F" w:rsidRDefault="00D91782" w:rsidP="003D4DE0">
      <w:pPr>
        <w:pStyle w:val="Odstavekseznama"/>
        <w:numPr>
          <w:ilvl w:val="0"/>
          <w:numId w:val="306"/>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finančne storitve iz 2. točke ali 6. točke drugega odstavka 5.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bi se, če bi imela sedež v EU, štela za kreditno institucijo ali bi izpolnjevala merila iz </w:t>
      </w:r>
      <w:r w:rsidR="00B622AB" w:rsidRPr="00215B2F">
        <w:rPr>
          <w:rFonts w:ascii="Arial" w:eastAsia="Arial" w:hAnsi="Arial" w:cs="Arial"/>
          <w:sz w:val="20"/>
          <w:szCs w:val="20"/>
        </w:rPr>
        <w:t xml:space="preserve">točke (1b) prvega odstavka 4. </w:t>
      </w:r>
      <w:r w:rsidRPr="00215B2F">
        <w:rPr>
          <w:rFonts w:ascii="Arial" w:eastAsia="Arial" w:hAnsi="Arial" w:cs="Arial"/>
          <w:sz w:val="20"/>
          <w:szCs w:val="20"/>
        </w:rPr>
        <w:t xml:space="preserve">člena Uredbe 575/2013/EU, </w:t>
      </w:r>
    </w:p>
    <w:p w14:paraId="36AD5828" w14:textId="6CBFC7EC" w:rsidR="00D91782" w:rsidRPr="00215B2F" w:rsidRDefault="00D91782" w:rsidP="00543D80">
      <w:p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mora pred začetkom opravljanja bančnih ali finančnih storitev na območju Republike Slovenije ustanoviti podružnico v Republiki Sloveniji in pridobiti dovoljenje za podružnico iz tretje države v skladu z </w:t>
      </w:r>
      <w:r w:rsidR="00FA12A9" w:rsidRPr="00215B2F">
        <w:rPr>
          <w:rFonts w:ascii="Arial" w:eastAsia="Arial" w:hAnsi="Arial" w:cs="Arial"/>
          <w:sz w:val="20"/>
          <w:szCs w:val="20"/>
        </w:rPr>
        <w:t>9.</w:t>
      </w:r>
      <w:r w:rsidRPr="00215B2F">
        <w:rPr>
          <w:rFonts w:ascii="Arial" w:eastAsia="Arial" w:hAnsi="Arial" w:cs="Arial"/>
          <w:sz w:val="20"/>
          <w:szCs w:val="20"/>
        </w:rPr>
        <w:t xml:space="preserve"> </w:t>
      </w:r>
      <w:r w:rsidR="001F2C7A" w:rsidRPr="00215B2F">
        <w:rPr>
          <w:rFonts w:ascii="Arial" w:eastAsia="Arial" w:hAnsi="Arial" w:cs="Arial"/>
          <w:sz w:val="20"/>
          <w:szCs w:val="20"/>
        </w:rPr>
        <w:t>poglavjem tega zakona</w:t>
      </w:r>
      <w:r w:rsidRPr="00215B2F">
        <w:rPr>
          <w:rFonts w:ascii="Arial" w:eastAsia="Arial" w:hAnsi="Arial" w:cs="Arial"/>
          <w:sz w:val="20"/>
          <w:szCs w:val="20"/>
        </w:rPr>
        <w:t>.</w:t>
      </w:r>
    </w:p>
    <w:p w14:paraId="77EAFA0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C86AFFE" w14:textId="5E63AFF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Zahteva iz </w:t>
      </w:r>
      <w:r w:rsidR="003F63A6" w:rsidRPr="00215B2F">
        <w:rPr>
          <w:rFonts w:ascii="Arial" w:eastAsia="Arial" w:hAnsi="Arial" w:cs="Arial"/>
          <w:sz w:val="20"/>
          <w:szCs w:val="20"/>
        </w:rPr>
        <w:t xml:space="preserve">prejšnjega </w:t>
      </w:r>
      <w:r w:rsidR="00746E88" w:rsidRPr="00215B2F">
        <w:rPr>
          <w:rFonts w:ascii="Arial" w:eastAsia="Arial" w:hAnsi="Arial" w:cs="Arial"/>
          <w:sz w:val="20"/>
          <w:szCs w:val="20"/>
        </w:rPr>
        <w:t>odstavka</w:t>
      </w:r>
      <w:r w:rsidRPr="00215B2F">
        <w:rPr>
          <w:rFonts w:ascii="Arial" w:eastAsia="Arial" w:hAnsi="Arial" w:cs="Arial"/>
          <w:sz w:val="20"/>
          <w:szCs w:val="20"/>
        </w:rPr>
        <w:t xml:space="preserve"> se ne uporablja, kadar družba s sedežem v tretji državi opravlja storitev ali dejavnost za stranko ali nasprotno stranko, ki ima sedež ali stalno ali začasno prebivališče v E</w:t>
      </w:r>
      <w:r w:rsidR="006815FB" w:rsidRPr="00215B2F">
        <w:rPr>
          <w:rFonts w:ascii="Arial" w:eastAsia="Arial" w:hAnsi="Arial" w:cs="Arial"/>
          <w:sz w:val="20"/>
          <w:szCs w:val="20"/>
        </w:rPr>
        <w:t>vropski uniji</w:t>
      </w:r>
      <w:r w:rsidRPr="00215B2F">
        <w:rPr>
          <w:rFonts w:ascii="Arial" w:eastAsia="Arial" w:hAnsi="Arial" w:cs="Arial"/>
          <w:sz w:val="20"/>
          <w:szCs w:val="20"/>
        </w:rPr>
        <w:t xml:space="preserve"> in je:</w:t>
      </w:r>
    </w:p>
    <w:p w14:paraId="253C08D8"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DCCBCB7" w14:textId="0DFE041F" w:rsidR="008612B7" w:rsidRPr="00215B2F" w:rsidRDefault="00D91782" w:rsidP="003D4DE0">
      <w:pPr>
        <w:pStyle w:val="Odstavekseznama"/>
        <w:numPr>
          <w:ilvl w:val="0"/>
          <w:numId w:val="31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neprofesionalna stranka, primerna nasprotna stranka ali profesionalna stranka, k</w:t>
      </w:r>
      <w:r w:rsidR="00EB0D50" w:rsidRPr="00215B2F">
        <w:rPr>
          <w:rFonts w:ascii="Arial" w:eastAsia="Arial" w:hAnsi="Arial" w:cs="Arial"/>
          <w:sz w:val="20"/>
          <w:szCs w:val="20"/>
        </w:rPr>
        <w:t>akor je</w:t>
      </w:r>
      <w:r w:rsidRPr="00215B2F">
        <w:rPr>
          <w:rFonts w:ascii="Arial" w:eastAsia="Arial" w:hAnsi="Arial" w:cs="Arial"/>
          <w:sz w:val="20"/>
          <w:szCs w:val="20"/>
        </w:rPr>
        <w:t xml:space="preserve"> določeno z </w:t>
      </w:r>
      <w:r w:rsidR="00DF3FEF" w:rsidRPr="00215B2F">
        <w:rPr>
          <w:rFonts w:ascii="Arial" w:eastAsia="Arial" w:hAnsi="Arial" w:cs="Arial"/>
          <w:sz w:val="20"/>
          <w:szCs w:val="20"/>
        </w:rPr>
        <w:t>ZTFI-1</w:t>
      </w:r>
      <w:r w:rsidRPr="00215B2F">
        <w:rPr>
          <w:rFonts w:ascii="Arial" w:eastAsia="Arial" w:hAnsi="Arial" w:cs="Arial"/>
          <w:sz w:val="20"/>
          <w:szCs w:val="20"/>
        </w:rPr>
        <w:t xml:space="preserve"> oziroma v smislu </w:t>
      </w:r>
      <w:r w:rsidR="00077706" w:rsidRPr="00215B2F">
        <w:rPr>
          <w:rFonts w:ascii="Arial" w:eastAsia="Arial" w:hAnsi="Arial" w:cs="Arial"/>
          <w:sz w:val="20"/>
          <w:szCs w:val="20"/>
        </w:rPr>
        <w:t xml:space="preserve">oddelka I in II Priloge </w:t>
      </w:r>
      <w:r w:rsidRPr="00215B2F">
        <w:rPr>
          <w:rFonts w:ascii="Arial" w:eastAsia="Arial" w:hAnsi="Arial" w:cs="Arial"/>
          <w:sz w:val="20"/>
          <w:szCs w:val="20"/>
        </w:rPr>
        <w:t xml:space="preserve">II  </w:t>
      </w:r>
      <w:r w:rsidR="00077706" w:rsidRPr="00215B2F">
        <w:rPr>
          <w:rFonts w:ascii="Arial" w:eastAsia="Arial" w:hAnsi="Arial" w:cs="Arial"/>
          <w:sz w:val="20"/>
          <w:szCs w:val="20"/>
        </w:rPr>
        <w:t xml:space="preserve">Direktive </w:t>
      </w:r>
      <w:r w:rsidRPr="00215B2F">
        <w:rPr>
          <w:rFonts w:ascii="Arial" w:eastAsia="Arial" w:hAnsi="Arial" w:cs="Arial"/>
          <w:sz w:val="20"/>
          <w:szCs w:val="20"/>
        </w:rPr>
        <w:t xml:space="preserve">2014/65/EU, ki ima sedež ali stalno ali začasno prebivališče v EU, kadar taka stranka ali nasprotna stranka izključno na lastno pobudo pristopi k družbi s sedežem v tretji državi glede opravljanja katere </w:t>
      </w:r>
      <w:r w:rsidR="00E92AC2" w:rsidRPr="00215B2F">
        <w:rPr>
          <w:rFonts w:ascii="Arial" w:eastAsia="Arial" w:hAnsi="Arial" w:cs="Arial"/>
          <w:sz w:val="20"/>
          <w:szCs w:val="20"/>
        </w:rPr>
        <w:t xml:space="preserve">od </w:t>
      </w:r>
      <w:r w:rsidRPr="00215B2F">
        <w:rPr>
          <w:rFonts w:ascii="Arial" w:eastAsia="Arial" w:hAnsi="Arial" w:cs="Arial"/>
          <w:sz w:val="20"/>
          <w:szCs w:val="20"/>
        </w:rPr>
        <w:t>storit</w:t>
      </w:r>
      <w:r w:rsidR="00E92AC2" w:rsidRPr="00215B2F">
        <w:rPr>
          <w:rFonts w:ascii="Arial" w:eastAsia="Arial" w:hAnsi="Arial" w:cs="Arial"/>
          <w:sz w:val="20"/>
          <w:szCs w:val="20"/>
        </w:rPr>
        <w:t>e</w:t>
      </w:r>
      <w:r w:rsidRPr="00215B2F">
        <w:rPr>
          <w:rFonts w:ascii="Arial" w:eastAsia="Arial" w:hAnsi="Arial" w:cs="Arial"/>
          <w:sz w:val="20"/>
          <w:szCs w:val="20"/>
        </w:rPr>
        <w:t xml:space="preserve">v ali dejavnosti iz </w:t>
      </w:r>
      <w:r w:rsidR="00077706" w:rsidRPr="00215B2F">
        <w:rPr>
          <w:rFonts w:ascii="Arial" w:eastAsia="Arial" w:hAnsi="Arial" w:cs="Arial"/>
          <w:sz w:val="20"/>
          <w:szCs w:val="20"/>
        </w:rPr>
        <w:t xml:space="preserve">prejšnjega </w:t>
      </w:r>
      <w:r w:rsidR="00746E88" w:rsidRPr="00215B2F">
        <w:rPr>
          <w:rFonts w:ascii="Arial" w:eastAsia="Arial" w:hAnsi="Arial" w:cs="Arial"/>
          <w:sz w:val="20"/>
          <w:szCs w:val="20"/>
        </w:rPr>
        <w:t>odstavka</w:t>
      </w:r>
      <w:r w:rsidRPr="00215B2F">
        <w:rPr>
          <w:rFonts w:ascii="Arial" w:eastAsia="Arial" w:hAnsi="Arial" w:cs="Arial"/>
          <w:sz w:val="20"/>
          <w:szCs w:val="20"/>
        </w:rPr>
        <w:t>;</w:t>
      </w:r>
    </w:p>
    <w:p w14:paraId="064E3604" w14:textId="77777777" w:rsidR="008612B7" w:rsidRPr="00215B2F" w:rsidRDefault="00D91782" w:rsidP="003D4DE0">
      <w:pPr>
        <w:pStyle w:val="Odstavekseznama"/>
        <w:numPr>
          <w:ilvl w:val="0"/>
          <w:numId w:val="31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kreditna institucija;</w:t>
      </w:r>
    </w:p>
    <w:p w14:paraId="6284B8B1" w14:textId="3CC5AB6C" w:rsidR="00D91782" w:rsidRPr="00215B2F" w:rsidRDefault="00D91782" w:rsidP="003D4DE0">
      <w:pPr>
        <w:pStyle w:val="Odstavekseznama"/>
        <w:numPr>
          <w:ilvl w:val="0"/>
          <w:numId w:val="31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družba iz iste skupine kot družba s sedežem v tretji državi.</w:t>
      </w:r>
    </w:p>
    <w:p w14:paraId="18AE5B9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3FC3193" w14:textId="730FEE8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V primeru, ko družba iz tretje države poskuša pridobiti stranko ali nasprotno stranko ali </w:t>
      </w:r>
      <w:r w:rsidR="003076C9" w:rsidRPr="00215B2F">
        <w:rPr>
          <w:rFonts w:ascii="Arial" w:eastAsia="Arial" w:hAnsi="Arial" w:cs="Arial"/>
          <w:sz w:val="20"/>
          <w:szCs w:val="20"/>
        </w:rPr>
        <w:t>potencialno</w:t>
      </w:r>
      <w:r w:rsidRPr="00215B2F">
        <w:rPr>
          <w:rFonts w:ascii="Arial" w:eastAsia="Arial" w:hAnsi="Arial" w:cs="Arial"/>
          <w:sz w:val="20"/>
          <w:szCs w:val="20"/>
        </w:rPr>
        <w:t xml:space="preserve"> stranko ali nasprotno stranko iz točke a) </w:t>
      </w:r>
      <w:r w:rsidR="00077706" w:rsidRPr="00215B2F">
        <w:rPr>
          <w:rFonts w:ascii="Arial" w:eastAsia="Arial" w:hAnsi="Arial" w:cs="Arial"/>
          <w:sz w:val="20"/>
          <w:szCs w:val="20"/>
        </w:rPr>
        <w:t xml:space="preserve">prejšnjega </w:t>
      </w:r>
      <w:r w:rsidR="00746E88" w:rsidRPr="00215B2F">
        <w:rPr>
          <w:rFonts w:ascii="Arial" w:eastAsia="Arial" w:hAnsi="Arial" w:cs="Arial"/>
          <w:sz w:val="20"/>
          <w:szCs w:val="20"/>
        </w:rPr>
        <w:t xml:space="preserve">odstavka </w:t>
      </w:r>
      <w:r w:rsidRPr="00215B2F">
        <w:rPr>
          <w:rFonts w:ascii="Arial" w:eastAsia="Arial" w:hAnsi="Arial" w:cs="Arial"/>
          <w:sz w:val="20"/>
          <w:szCs w:val="20"/>
        </w:rPr>
        <w:t xml:space="preserve">prek subjekta, ki deluje v lastnem imenu ali je s to družbo iz tretje države tesno povezan, ali prek katere koli druge osebe, ki deluje v imenu take družbe, to ne šteje za storitev, ki se opravlja izključno na lastno pobudo stranke ali nasprotne stranke ali </w:t>
      </w:r>
      <w:r w:rsidR="003076C9" w:rsidRPr="00215B2F">
        <w:rPr>
          <w:rFonts w:ascii="Arial" w:eastAsia="Arial" w:hAnsi="Arial" w:cs="Arial"/>
          <w:sz w:val="20"/>
          <w:szCs w:val="20"/>
        </w:rPr>
        <w:t xml:space="preserve">potencialne </w:t>
      </w:r>
      <w:r w:rsidRPr="00215B2F">
        <w:rPr>
          <w:rFonts w:ascii="Arial" w:eastAsia="Arial" w:hAnsi="Arial" w:cs="Arial"/>
          <w:sz w:val="20"/>
          <w:szCs w:val="20"/>
        </w:rPr>
        <w:t xml:space="preserve">stranke ali nasprotne stranke. Navedeno ne velja za stranke in nasprotne stranke, ki so družbe iz točke c) </w:t>
      </w:r>
      <w:r w:rsidR="003F63A6" w:rsidRPr="00215B2F">
        <w:rPr>
          <w:rFonts w:ascii="Arial" w:eastAsia="Arial" w:hAnsi="Arial" w:cs="Arial"/>
          <w:sz w:val="20"/>
          <w:szCs w:val="20"/>
        </w:rPr>
        <w:t xml:space="preserve">prejšnjega </w:t>
      </w:r>
      <w:r w:rsidR="00746E88" w:rsidRPr="00215B2F">
        <w:rPr>
          <w:rFonts w:ascii="Arial" w:eastAsia="Arial" w:hAnsi="Arial" w:cs="Arial"/>
          <w:sz w:val="20"/>
          <w:szCs w:val="20"/>
        </w:rPr>
        <w:t>odstavka</w:t>
      </w:r>
      <w:r w:rsidRPr="00215B2F">
        <w:rPr>
          <w:rFonts w:ascii="Arial" w:eastAsia="Arial" w:hAnsi="Arial" w:cs="Arial"/>
          <w:sz w:val="20"/>
          <w:szCs w:val="20"/>
        </w:rPr>
        <w:t xml:space="preserve">. </w:t>
      </w:r>
    </w:p>
    <w:p w14:paraId="2D06DB6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B1CA45C" w14:textId="50EE13E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9A39E1" w:rsidRPr="00215B2F">
        <w:rPr>
          <w:rFonts w:ascii="Arial" w:eastAsia="Arial" w:hAnsi="Arial" w:cs="Arial"/>
          <w:sz w:val="20"/>
          <w:szCs w:val="20"/>
        </w:rPr>
        <w:t>4</w:t>
      </w:r>
      <w:r w:rsidRPr="00215B2F">
        <w:rPr>
          <w:rFonts w:ascii="Arial" w:eastAsia="Arial" w:hAnsi="Arial" w:cs="Arial"/>
          <w:sz w:val="20"/>
          <w:szCs w:val="20"/>
        </w:rPr>
        <w:t>) Banka Slovenije lahko od kreditnih institucij in podružnic iz tretjih držav, ki imajo sedež v Republiki Sloveniji</w:t>
      </w:r>
      <w:r w:rsidR="006815FB" w:rsidRPr="00215B2F">
        <w:rPr>
          <w:rFonts w:ascii="Arial" w:eastAsia="Arial" w:hAnsi="Arial" w:cs="Arial"/>
          <w:sz w:val="20"/>
          <w:szCs w:val="20"/>
        </w:rPr>
        <w:t>,</w:t>
      </w:r>
      <w:r w:rsidRPr="00215B2F">
        <w:rPr>
          <w:rFonts w:ascii="Arial" w:eastAsia="Arial" w:hAnsi="Arial" w:cs="Arial"/>
          <w:sz w:val="20"/>
          <w:szCs w:val="20"/>
        </w:rPr>
        <w:t xml:space="preserve"> zahteva, da ji po</w:t>
      </w:r>
      <w:r w:rsidR="006815FB" w:rsidRPr="00215B2F">
        <w:rPr>
          <w:rFonts w:ascii="Arial" w:eastAsia="Arial" w:hAnsi="Arial" w:cs="Arial"/>
          <w:sz w:val="20"/>
          <w:szCs w:val="20"/>
        </w:rPr>
        <w:t>šl</w:t>
      </w:r>
      <w:r w:rsidRPr="00215B2F">
        <w:rPr>
          <w:rFonts w:ascii="Arial" w:eastAsia="Arial" w:hAnsi="Arial" w:cs="Arial"/>
          <w:sz w:val="20"/>
          <w:szCs w:val="20"/>
        </w:rPr>
        <w:t xml:space="preserve">jejo informacije, ki jih Banka Slovenije potrebuje za spremljanje storitev, ki jih opravljajo izključno na lastno pobudo stranke ali nasprotne stranke, ki ima sedež ali </w:t>
      </w:r>
      <w:r w:rsidR="006815FB" w:rsidRPr="00215B2F">
        <w:rPr>
          <w:rFonts w:ascii="Arial" w:eastAsia="Arial" w:hAnsi="Arial" w:cs="Arial"/>
          <w:sz w:val="20"/>
          <w:szCs w:val="20"/>
        </w:rPr>
        <w:t>je</w:t>
      </w:r>
      <w:r w:rsidRPr="00215B2F">
        <w:rPr>
          <w:rFonts w:ascii="Arial" w:eastAsia="Arial" w:hAnsi="Arial" w:cs="Arial"/>
          <w:sz w:val="20"/>
          <w:szCs w:val="20"/>
        </w:rPr>
        <w:t xml:space="preserve"> v Republiki Sloveniji, kadar take storitve opravljajo družbe s sedežem v tretjih državah, ki so del iste skupine. </w:t>
      </w:r>
    </w:p>
    <w:p w14:paraId="14DA4D5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5D6D103" w14:textId="587F325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9A39E1" w:rsidRPr="00215B2F">
        <w:rPr>
          <w:rFonts w:ascii="Arial" w:eastAsia="Arial" w:hAnsi="Arial" w:cs="Arial"/>
          <w:sz w:val="20"/>
          <w:szCs w:val="20"/>
        </w:rPr>
        <w:t>5</w:t>
      </w:r>
      <w:r w:rsidRPr="00215B2F">
        <w:rPr>
          <w:rFonts w:ascii="Arial" w:eastAsia="Arial" w:hAnsi="Arial" w:cs="Arial"/>
          <w:sz w:val="20"/>
          <w:szCs w:val="20"/>
        </w:rPr>
        <w:t xml:space="preserve">) Pobuda stranke ali nasprotne stranke iz točke a)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družbi iz tretje države ne daje pravice, da bi kategorije produktov, dejavnosti ali storitev, po katerih stranka ali nasprotna stranka ni povpraševala, tržila drugače kot prek podružnice </w:t>
      </w:r>
      <w:r w:rsidR="0089418F" w:rsidRPr="00215B2F">
        <w:rPr>
          <w:rFonts w:ascii="Arial" w:eastAsia="Arial" w:hAnsi="Arial" w:cs="Arial"/>
          <w:sz w:val="20"/>
          <w:szCs w:val="20"/>
        </w:rPr>
        <w:t xml:space="preserve">iz </w:t>
      </w:r>
      <w:r w:rsidRPr="00215B2F">
        <w:rPr>
          <w:rFonts w:ascii="Arial" w:eastAsia="Arial" w:hAnsi="Arial" w:cs="Arial"/>
          <w:sz w:val="20"/>
          <w:szCs w:val="20"/>
        </w:rPr>
        <w:t>tretje države, ustanovljene v Republiki Sloveniji. Vendar družbi iz tretje države ni treba ustanoviti podružnice iz tretje države za storitve, dejavnosti ali produkte, ki so potrebni ali tesno povezani z zagotavljanjem storitve, produkta ali dejavnosti, po katerih je stranka ali nasprotna stranka prvotno povpraševala, tudi kadar se take tesno povezane storitve, dejavnosti ali produkti zagotovijo pozneje kot tiste, po katerih je bilo prvotno povpraševano.</w:t>
      </w:r>
    </w:p>
    <w:p w14:paraId="6D1D2CF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352E782" w14:textId="2DE1455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w:t>
      </w:r>
      <w:r w:rsidR="009A39E1" w:rsidRPr="00215B2F">
        <w:rPr>
          <w:rFonts w:ascii="Arial" w:eastAsia="Arial" w:hAnsi="Arial" w:cs="Arial"/>
          <w:sz w:val="20"/>
          <w:szCs w:val="20"/>
        </w:rPr>
        <w:t>6</w:t>
      </w:r>
      <w:r w:rsidRPr="00215B2F">
        <w:rPr>
          <w:rFonts w:ascii="Arial" w:eastAsia="Arial" w:hAnsi="Arial" w:cs="Arial"/>
          <w:sz w:val="20"/>
          <w:szCs w:val="20"/>
        </w:rPr>
        <w:t xml:space="preserve">) Zahteva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se ne uporablja za družbe iz tretje države, ki opravlja</w:t>
      </w:r>
      <w:r w:rsidR="006B7C21" w:rsidRPr="00215B2F">
        <w:rPr>
          <w:rFonts w:ascii="Arial" w:eastAsia="Arial" w:hAnsi="Arial" w:cs="Arial"/>
          <w:sz w:val="20"/>
          <w:szCs w:val="20"/>
        </w:rPr>
        <w:t>jo</w:t>
      </w:r>
      <w:r w:rsidRPr="00215B2F">
        <w:rPr>
          <w:rFonts w:ascii="Arial" w:eastAsia="Arial" w:hAnsi="Arial" w:cs="Arial"/>
          <w:sz w:val="20"/>
          <w:szCs w:val="20"/>
        </w:rPr>
        <w:t xml:space="preserve"> storitve in posle v zvezi s finančnimi instrumenti iz 11. člena ZTFI-1 oziroma </w:t>
      </w:r>
      <w:r w:rsidR="00F7123D" w:rsidRPr="00215B2F">
        <w:rPr>
          <w:rFonts w:ascii="Arial" w:eastAsia="Arial" w:hAnsi="Arial" w:cs="Arial"/>
          <w:sz w:val="20"/>
          <w:szCs w:val="20"/>
        </w:rPr>
        <w:t xml:space="preserve">oddelka </w:t>
      </w:r>
      <w:r w:rsidR="00077706" w:rsidRPr="00215B2F">
        <w:rPr>
          <w:rFonts w:ascii="Arial" w:eastAsia="Arial" w:hAnsi="Arial" w:cs="Arial"/>
          <w:sz w:val="20"/>
          <w:szCs w:val="20"/>
        </w:rPr>
        <w:t xml:space="preserve">A Priloge I </w:t>
      </w:r>
      <w:r w:rsidRPr="00215B2F">
        <w:rPr>
          <w:rFonts w:ascii="Arial" w:eastAsia="Arial" w:hAnsi="Arial" w:cs="Arial"/>
          <w:sz w:val="20"/>
          <w:szCs w:val="20"/>
        </w:rPr>
        <w:t>Direktiv</w:t>
      </w:r>
      <w:r w:rsidR="00F7123D" w:rsidRPr="00215B2F">
        <w:rPr>
          <w:rFonts w:ascii="Arial" w:eastAsia="Arial" w:hAnsi="Arial" w:cs="Arial"/>
          <w:sz w:val="20"/>
          <w:szCs w:val="20"/>
        </w:rPr>
        <w:t>e</w:t>
      </w:r>
      <w:r w:rsidRPr="00215B2F">
        <w:rPr>
          <w:rFonts w:ascii="Arial" w:eastAsia="Arial" w:hAnsi="Arial" w:cs="Arial"/>
          <w:sz w:val="20"/>
          <w:szCs w:val="20"/>
        </w:rPr>
        <w:t xml:space="preserve"> 2014/65/EU, vključno s katerimi koli pomožnimi storitvami, kot je povezano sprejemanje vlog ali odobritev kreditov ali posojil, katerih namen je opravljanje storitev na podlagi navedenega zakona oziroma direktive.</w:t>
      </w:r>
    </w:p>
    <w:p w14:paraId="6633F42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22A0874"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10" w:name="_Ref202964493"/>
      <w:r w:rsidRPr="00215B2F">
        <w:rPr>
          <w:rFonts w:ascii="Arial" w:eastAsia="Arial" w:hAnsi="Arial" w:cs="Arial"/>
          <w:b/>
          <w:bCs/>
          <w:sz w:val="20"/>
          <w:szCs w:val="20"/>
        </w:rPr>
        <w:t>člen</w:t>
      </w:r>
      <w:bookmarkEnd w:id="210"/>
    </w:p>
    <w:p w14:paraId="196171AF" w14:textId="77777777" w:rsidR="00D91782" w:rsidRPr="00215B2F" w:rsidRDefault="00D91782" w:rsidP="00FD5520">
      <w:pPr>
        <w:pStyle w:val="Slog1"/>
        <w:shd w:val="clear" w:color="auto" w:fill="FFFFFF" w:themeFill="background1"/>
        <w:rPr>
          <w:sz w:val="20"/>
          <w:szCs w:val="20"/>
        </w:rPr>
      </w:pPr>
      <w:r w:rsidRPr="00215B2F">
        <w:rPr>
          <w:sz w:val="20"/>
          <w:szCs w:val="20"/>
        </w:rPr>
        <w:t>(predstavništvo banke tretje države)</w:t>
      </w:r>
    </w:p>
    <w:p w14:paraId="4A5317A5" w14:textId="77777777" w:rsidR="00D91782" w:rsidRPr="00215B2F" w:rsidRDefault="00D91782" w:rsidP="00FD5520">
      <w:pPr>
        <w:pStyle w:val="Slog1"/>
        <w:shd w:val="clear" w:color="auto" w:fill="FFFFFF" w:themeFill="background1"/>
        <w:rPr>
          <w:sz w:val="20"/>
          <w:szCs w:val="20"/>
        </w:rPr>
      </w:pPr>
    </w:p>
    <w:p w14:paraId="70BF034F" w14:textId="77F4B8D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tretje države lahko predstavlja in po</w:t>
      </w:r>
      <w:r w:rsidR="006B7C21" w:rsidRPr="00215B2F">
        <w:rPr>
          <w:rFonts w:ascii="Arial" w:eastAsia="Arial" w:hAnsi="Arial" w:cs="Arial"/>
          <w:sz w:val="20"/>
          <w:szCs w:val="20"/>
        </w:rPr>
        <w:t>šilja</w:t>
      </w:r>
      <w:r w:rsidRPr="00215B2F">
        <w:rPr>
          <w:rFonts w:ascii="Arial" w:eastAsia="Arial" w:hAnsi="Arial" w:cs="Arial"/>
          <w:sz w:val="20"/>
          <w:szCs w:val="20"/>
        </w:rPr>
        <w:t xml:space="preserve"> informacije o svojih storitvah ter opravlja raziskave trga prek predstavništva kot svojega organizacijskega dela v Republiki Sloveniji.</w:t>
      </w:r>
    </w:p>
    <w:p w14:paraId="55F08DA7"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AEEDCE4" w14:textId="3BB56A2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Predstavništvo </w:t>
      </w:r>
      <w:r w:rsidR="001E1611" w:rsidRPr="00215B2F">
        <w:rPr>
          <w:rFonts w:ascii="Arial" w:eastAsia="Arial" w:hAnsi="Arial" w:cs="Arial"/>
          <w:sz w:val="20"/>
          <w:szCs w:val="20"/>
        </w:rPr>
        <w:t xml:space="preserve">banke tretje države </w:t>
      </w:r>
      <w:r w:rsidRPr="00215B2F">
        <w:rPr>
          <w:rFonts w:ascii="Arial" w:eastAsia="Arial" w:hAnsi="Arial" w:cs="Arial"/>
          <w:sz w:val="20"/>
          <w:szCs w:val="20"/>
        </w:rPr>
        <w:t>ni pravna oseba.</w:t>
      </w:r>
    </w:p>
    <w:p w14:paraId="007E70E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89D05F2" w14:textId="0265112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Predstavništvo banke tretje države v Republiki Sloveniji ne sme opravljati nobenih drugih poslov razen poslov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6AF9FD2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3711AF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11" w:name="_Ref203380517"/>
      <w:r w:rsidRPr="00215B2F">
        <w:rPr>
          <w:rFonts w:ascii="Arial" w:eastAsia="Arial" w:hAnsi="Arial" w:cs="Arial"/>
          <w:b/>
          <w:bCs/>
          <w:sz w:val="20"/>
          <w:szCs w:val="20"/>
        </w:rPr>
        <w:t>člen</w:t>
      </w:r>
      <w:bookmarkEnd w:id="211"/>
    </w:p>
    <w:p w14:paraId="7DEA940A" w14:textId="77777777" w:rsidR="00D91782" w:rsidRPr="00215B2F" w:rsidRDefault="00D91782" w:rsidP="00FD5520">
      <w:pPr>
        <w:pStyle w:val="Slog1"/>
        <w:shd w:val="clear" w:color="auto" w:fill="FFFFFF" w:themeFill="background1"/>
        <w:rPr>
          <w:sz w:val="20"/>
          <w:szCs w:val="20"/>
        </w:rPr>
      </w:pPr>
      <w:r w:rsidRPr="00215B2F">
        <w:rPr>
          <w:sz w:val="20"/>
          <w:szCs w:val="20"/>
        </w:rPr>
        <w:t>(dovoljenje za ustanovitev predstavništva banke tretje države)</w:t>
      </w:r>
    </w:p>
    <w:p w14:paraId="2B3E3C0B" w14:textId="77777777" w:rsidR="00D91782" w:rsidRPr="00215B2F" w:rsidRDefault="00D91782" w:rsidP="00FD5520">
      <w:pPr>
        <w:pStyle w:val="Slog1"/>
        <w:shd w:val="clear" w:color="auto" w:fill="FFFFFF" w:themeFill="background1"/>
        <w:jc w:val="both"/>
        <w:rPr>
          <w:sz w:val="20"/>
          <w:szCs w:val="20"/>
        </w:rPr>
      </w:pPr>
    </w:p>
    <w:p w14:paraId="0D9247F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Za ustanovitev predstavništva mora banka tretje države pridobiti dovoljenje Banke Slovenije.</w:t>
      </w:r>
    </w:p>
    <w:p w14:paraId="065FE05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FDEA924" w14:textId="5A44398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Zahtevi za izdajo dovoljenja iz prejšnjega odstavka je treba priložiti:</w:t>
      </w:r>
    </w:p>
    <w:p w14:paraId="355D36F7" w14:textId="77777777" w:rsidR="0059639B" w:rsidRPr="00215B2F" w:rsidRDefault="0059639B" w:rsidP="00FD5520">
      <w:pPr>
        <w:pStyle w:val="tevilnatoka"/>
        <w:numPr>
          <w:ilvl w:val="0"/>
          <w:numId w:val="0"/>
        </w:numPr>
        <w:shd w:val="clear" w:color="auto" w:fill="FFFFFF" w:themeFill="background1"/>
        <w:ind w:left="357" w:hanging="357"/>
        <w:rPr>
          <w:rFonts w:cs="Arial"/>
          <w:bCs/>
          <w:sz w:val="20"/>
          <w:szCs w:val="20"/>
        </w:rPr>
      </w:pPr>
    </w:p>
    <w:p w14:paraId="0A0A2876" w14:textId="472A1B11" w:rsidR="0059639B" w:rsidRPr="00215B2F" w:rsidRDefault="00D91782" w:rsidP="003D4DE0">
      <w:pPr>
        <w:pStyle w:val="tevilnatoka"/>
        <w:numPr>
          <w:ilvl w:val="0"/>
          <w:numId w:val="358"/>
        </w:numPr>
        <w:shd w:val="clear" w:color="auto" w:fill="FFFFFF" w:themeFill="background1"/>
        <w:tabs>
          <w:tab w:val="num" w:pos="360"/>
        </w:tabs>
        <w:rPr>
          <w:rFonts w:cs="Arial"/>
          <w:bCs/>
          <w:sz w:val="20"/>
          <w:szCs w:val="20"/>
        </w:rPr>
      </w:pPr>
      <w:r w:rsidRPr="00215B2F">
        <w:rPr>
          <w:rFonts w:eastAsia="Arial" w:cs="Arial"/>
          <w:sz w:val="20"/>
          <w:szCs w:val="20"/>
        </w:rPr>
        <w:t>izpisek iz sodnega oziroma drugega ustreznega registra države sedeža za matično banko;</w:t>
      </w:r>
    </w:p>
    <w:p w14:paraId="18EE23FB" w14:textId="77777777" w:rsidR="0059639B" w:rsidRPr="00215B2F" w:rsidRDefault="00D91782" w:rsidP="003D4DE0">
      <w:pPr>
        <w:pStyle w:val="tevilnatoka"/>
        <w:numPr>
          <w:ilvl w:val="0"/>
          <w:numId w:val="358"/>
        </w:numPr>
        <w:shd w:val="clear" w:color="auto" w:fill="FFFFFF" w:themeFill="background1"/>
        <w:tabs>
          <w:tab w:val="num" w:pos="360"/>
        </w:tabs>
        <w:rPr>
          <w:rFonts w:cs="Arial"/>
          <w:bCs/>
          <w:sz w:val="20"/>
          <w:szCs w:val="20"/>
        </w:rPr>
      </w:pPr>
      <w:r w:rsidRPr="00215B2F">
        <w:rPr>
          <w:rFonts w:eastAsia="Arial" w:cs="Arial"/>
          <w:sz w:val="20"/>
          <w:szCs w:val="20"/>
        </w:rPr>
        <w:t>statut oziroma druga ustrezna pravila matične banke;</w:t>
      </w:r>
    </w:p>
    <w:p w14:paraId="26668C89" w14:textId="77777777" w:rsidR="0059639B" w:rsidRPr="00215B2F" w:rsidRDefault="00D91782" w:rsidP="003D4DE0">
      <w:pPr>
        <w:pStyle w:val="tevilnatoka"/>
        <w:numPr>
          <w:ilvl w:val="0"/>
          <w:numId w:val="358"/>
        </w:numPr>
        <w:shd w:val="clear" w:color="auto" w:fill="FFFFFF" w:themeFill="background1"/>
        <w:tabs>
          <w:tab w:val="num" w:pos="360"/>
        </w:tabs>
        <w:rPr>
          <w:rFonts w:cs="Arial"/>
          <w:bCs/>
          <w:sz w:val="20"/>
          <w:szCs w:val="20"/>
        </w:rPr>
      </w:pPr>
      <w:r w:rsidRPr="00215B2F">
        <w:rPr>
          <w:rFonts w:eastAsia="Arial" w:cs="Arial"/>
          <w:sz w:val="20"/>
          <w:szCs w:val="20"/>
        </w:rPr>
        <w:t>revidirana letna poročila matične banke za zadnja tri leta poslovanja;</w:t>
      </w:r>
    </w:p>
    <w:p w14:paraId="0A2BBAFE" w14:textId="36E265C2" w:rsidR="00D91782" w:rsidRPr="00215B2F" w:rsidRDefault="00D91782" w:rsidP="003D4DE0">
      <w:pPr>
        <w:pStyle w:val="tevilnatoka"/>
        <w:numPr>
          <w:ilvl w:val="0"/>
          <w:numId w:val="358"/>
        </w:numPr>
        <w:shd w:val="clear" w:color="auto" w:fill="FFFFFF" w:themeFill="background1"/>
        <w:tabs>
          <w:tab w:val="num" w:pos="360"/>
        </w:tabs>
        <w:rPr>
          <w:rFonts w:cs="Arial"/>
          <w:bCs/>
          <w:sz w:val="20"/>
          <w:szCs w:val="20"/>
        </w:rPr>
      </w:pPr>
      <w:r w:rsidRPr="00215B2F">
        <w:rPr>
          <w:rFonts w:eastAsia="Arial" w:cs="Arial"/>
          <w:sz w:val="20"/>
          <w:szCs w:val="20"/>
        </w:rPr>
        <w:t>seznam oseb, ki bodo vodile predstavništvo.</w:t>
      </w:r>
    </w:p>
    <w:p w14:paraId="254B713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AB1481D" w14:textId="3AC7FD4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vodi register predstavništev.</w:t>
      </w:r>
    </w:p>
    <w:p w14:paraId="006EEEB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E284FF6" w14:textId="64F0DFD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odvzame dovoljenje za ustanovitev predstavništva banke tretje države, če predstavništvo ravna v nasprotju z določbo tretjega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w:t>
      </w:r>
    </w:p>
    <w:p w14:paraId="5AA4017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B905886" w14:textId="7A503D1D" w:rsidR="00D91782" w:rsidRPr="00215B2F" w:rsidRDefault="00FF337B"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5.</w:t>
      </w:r>
      <w:r w:rsidR="006B2743" w:rsidRPr="00215B2F">
        <w:rPr>
          <w:rFonts w:ascii="Arial" w:eastAsia="Arial" w:hAnsi="Arial" w:cs="Arial"/>
          <w:b/>
          <w:bCs/>
          <w:sz w:val="20"/>
          <w:szCs w:val="20"/>
        </w:rPr>
        <w:t>5</w:t>
      </w:r>
      <w:r w:rsidRPr="00215B2F">
        <w:rPr>
          <w:rFonts w:ascii="Arial" w:eastAsia="Arial" w:hAnsi="Arial" w:cs="Arial"/>
          <w:b/>
          <w:bCs/>
          <w:sz w:val="20"/>
          <w:szCs w:val="20"/>
        </w:rPr>
        <w:t xml:space="preserve"> VMESNA EU NADREJENA OSEBA</w:t>
      </w:r>
    </w:p>
    <w:p w14:paraId="2BA0E373"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642734A"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12" w:name="_Ref202964517"/>
      <w:r w:rsidRPr="00215B2F">
        <w:rPr>
          <w:rFonts w:ascii="Arial" w:eastAsia="Arial" w:hAnsi="Arial" w:cs="Arial"/>
          <w:b/>
          <w:bCs/>
          <w:sz w:val="20"/>
          <w:szCs w:val="20"/>
        </w:rPr>
        <w:t>člen</w:t>
      </w:r>
      <w:bookmarkEnd w:id="212"/>
    </w:p>
    <w:p w14:paraId="18CFCBE3" w14:textId="77777777" w:rsidR="00D91782" w:rsidRPr="00215B2F" w:rsidRDefault="00D91782" w:rsidP="00FD5520">
      <w:pPr>
        <w:pStyle w:val="Slog1"/>
        <w:shd w:val="clear" w:color="auto" w:fill="FFFFFF" w:themeFill="background1"/>
        <w:rPr>
          <w:sz w:val="20"/>
          <w:szCs w:val="20"/>
        </w:rPr>
      </w:pPr>
      <w:r w:rsidRPr="00215B2F">
        <w:rPr>
          <w:sz w:val="20"/>
          <w:szCs w:val="20"/>
        </w:rPr>
        <w:t>(vmesna EU nadrejena oseba)</w:t>
      </w:r>
    </w:p>
    <w:p w14:paraId="76CD8626" w14:textId="77777777" w:rsidR="00D91782" w:rsidRPr="00215B2F" w:rsidRDefault="00D91782" w:rsidP="00FD5520">
      <w:pPr>
        <w:pStyle w:val="Slog1"/>
        <w:shd w:val="clear" w:color="auto" w:fill="FFFFFF" w:themeFill="background1"/>
        <w:jc w:val="both"/>
        <w:rPr>
          <w:sz w:val="20"/>
          <w:szCs w:val="20"/>
        </w:rPr>
      </w:pPr>
    </w:p>
    <w:p w14:paraId="45A052F8" w14:textId="73457EF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Dve ali več institucij s sedežem v Evropski uniji, ki so del iste skupine iz tretje države, mora imeti eno samo vmesno EU nadrejeno osebo, če:</w:t>
      </w:r>
    </w:p>
    <w:p w14:paraId="0D50B1D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3F3AA48" w14:textId="4C24BD32" w:rsidR="00764E1F"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je vsaj ena </w:t>
      </w:r>
      <w:r w:rsidR="0040277D" w:rsidRPr="00215B2F">
        <w:rPr>
          <w:rFonts w:ascii="Arial" w:eastAsia="Arial" w:hAnsi="Arial" w:cs="Arial"/>
          <w:sz w:val="20"/>
          <w:szCs w:val="20"/>
        </w:rPr>
        <w:t>o</w:t>
      </w:r>
      <w:r w:rsidRPr="00215B2F">
        <w:rPr>
          <w:rFonts w:ascii="Arial" w:eastAsia="Arial" w:hAnsi="Arial" w:cs="Arial"/>
          <w:sz w:val="20"/>
          <w:szCs w:val="20"/>
        </w:rPr>
        <w:t>d teh institucij banka in</w:t>
      </w:r>
    </w:p>
    <w:p w14:paraId="1F464F57" w14:textId="5209905A"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skupna vrednost sredstev skupine iz tretje države v Evropski uniji presega 40 milijard eurov.</w:t>
      </w:r>
    </w:p>
    <w:p w14:paraId="1C7F9A46" w14:textId="77777777" w:rsidR="00764E1F" w:rsidRPr="00215B2F" w:rsidRDefault="00764E1F" w:rsidP="00FD5520">
      <w:pPr>
        <w:shd w:val="clear" w:color="auto" w:fill="FFFFFF" w:themeFill="background1"/>
        <w:spacing w:after="0" w:line="240" w:lineRule="auto"/>
        <w:jc w:val="both"/>
        <w:rPr>
          <w:rFonts w:ascii="Arial" w:eastAsia="Arial" w:hAnsi="Arial" w:cs="Arial"/>
          <w:sz w:val="20"/>
          <w:szCs w:val="20"/>
        </w:rPr>
      </w:pPr>
    </w:p>
    <w:p w14:paraId="675E923F" w14:textId="45D877F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lahko v sodelovanju z drugimi pristojnimi organi v državah članicah dovoli, da ima skupina iz tretje države dodatno vmesno EU nadrejeno osebo, če ustanovitev ene same vmesne EU nadrejene osebe:</w:t>
      </w:r>
    </w:p>
    <w:p w14:paraId="5FCEA23E" w14:textId="77777777" w:rsidR="00764E1F" w:rsidRPr="00215B2F" w:rsidRDefault="00764E1F" w:rsidP="00FD5520">
      <w:pPr>
        <w:shd w:val="clear" w:color="auto" w:fill="FFFFFF" w:themeFill="background1"/>
        <w:spacing w:after="0" w:line="240" w:lineRule="auto"/>
        <w:jc w:val="both"/>
        <w:rPr>
          <w:rFonts w:ascii="Arial" w:eastAsia="Arial" w:hAnsi="Arial" w:cs="Arial"/>
          <w:sz w:val="20"/>
          <w:szCs w:val="20"/>
        </w:rPr>
      </w:pPr>
    </w:p>
    <w:p w14:paraId="580D0376" w14:textId="77777777" w:rsidR="00764E1F"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ne bi bila združljiva z zahtevo za ločene dejavnosti, ki jo nalagajo pravila ali nadzorni organi tretje države, v kateri ima končna nadrejena oseba skupine svoj sedež, ali</w:t>
      </w:r>
    </w:p>
    <w:p w14:paraId="2DD1AC82" w14:textId="78117218"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bi bilo reševanje ene vmesne EU nadrejene osebe v skladu z oceno, ki jo je izvedel pristojni organ za njeno reševanje, manj učinkovito kot v primeru dveh vmesnih EU nadrejenih oseb.</w:t>
      </w:r>
    </w:p>
    <w:p w14:paraId="6D3E7DC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FD3B078" w14:textId="2610CAB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Zahteva za dovoljenje iz prejšnjega odstavka se vloži pri Banki Slovenije. Zahtevi morajo biti priložena dokazila, iz katerih izhaja, da je izpolnjen vsaj en pogoj iz prejšnjega odstavka.</w:t>
      </w:r>
    </w:p>
    <w:p w14:paraId="1534CFB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725E31A" w14:textId="48CA03C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Vmesna EU nadrejena oseba je banka, banka države članice ali kreditna institucija, ki je pridobila dovoljenje pristojnega organa v skladu s </w:t>
      </w:r>
      <w:r w:rsidR="009E55E7" w:rsidRPr="00215B2F">
        <w:rPr>
          <w:rFonts w:ascii="Arial" w:eastAsia="Arial" w:hAnsi="Arial" w:cs="Arial"/>
          <w:sz w:val="20"/>
          <w:szCs w:val="20"/>
        </w:rPr>
        <w:t>140</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oziroma 8. členom Direktive </w:t>
      </w:r>
      <w:r w:rsidRPr="00215B2F">
        <w:rPr>
          <w:rFonts w:ascii="Arial" w:eastAsia="Arial" w:hAnsi="Arial" w:cs="Arial"/>
          <w:sz w:val="20"/>
          <w:szCs w:val="20"/>
        </w:rPr>
        <w:lastRenderedPageBreak/>
        <w:t xml:space="preserve">2013/36/EU, ali finančni holding ali mešani finančni holding, ki je pridobil odobritev pristojnega organa v skladu s </w:t>
      </w:r>
      <w:r w:rsidR="009E55E7"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ali 21</w:t>
      </w:r>
      <w:r w:rsidR="0003713C" w:rsidRPr="00215B2F">
        <w:rPr>
          <w:rFonts w:ascii="Arial" w:eastAsia="Arial" w:hAnsi="Arial" w:cs="Arial"/>
          <w:sz w:val="20"/>
          <w:szCs w:val="20"/>
        </w:rPr>
        <w:t>.</w:t>
      </w:r>
      <w:r w:rsidRPr="00215B2F">
        <w:rPr>
          <w:rFonts w:ascii="Arial" w:eastAsia="Arial" w:hAnsi="Arial" w:cs="Arial"/>
          <w:sz w:val="20"/>
          <w:szCs w:val="20"/>
        </w:rPr>
        <w:t>a členom Direktive 2013/36/EU.</w:t>
      </w:r>
    </w:p>
    <w:p w14:paraId="6F6120C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38651C8" w14:textId="4071F8C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Vsaka banka, ki je del skupine iz tretje države, izpolnjuje enega od naslednjih pogojev:</w:t>
      </w:r>
    </w:p>
    <w:p w14:paraId="6724EC1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B9E6872" w14:textId="77777777" w:rsidR="00764E1F" w:rsidRPr="00215B2F" w:rsidRDefault="00D91782" w:rsidP="003D4DE0">
      <w:pPr>
        <w:pStyle w:val="tevilnatoka"/>
        <w:numPr>
          <w:ilvl w:val="0"/>
          <w:numId w:val="356"/>
        </w:numPr>
        <w:shd w:val="clear" w:color="auto" w:fill="FFFFFF" w:themeFill="background1"/>
        <w:tabs>
          <w:tab w:val="clear" w:pos="425"/>
        </w:tabs>
        <w:rPr>
          <w:rFonts w:cs="Arial"/>
          <w:bCs/>
          <w:sz w:val="20"/>
          <w:szCs w:val="20"/>
        </w:rPr>
      </w:pPr>
      <w:r w:rsidRPr="00215B2F">
        <w:rPr>
          <w:rFonts w:eastAsia="Arial" w:cs="Arial"/>
          <w:sz w:val="20"/>
          <w:szCs w:val="20"/>
        </w:rPr>
        <w:t>ima vmesno EU nadrejeno osebo;</w:t>
      </w:r>
    </w:p>
    <w:p w14:paraId="166FB786" w14:textId="77777777" w:rsidR="00764E1F" w:rsidRPr="00215B2F" w:rsidRDefault="00D91782" w:rsidP="00543D80">
      <w:pPr>
        <w:pStyle w:val="tevilnatoka"/>
        <w:rPr>
          <w:rFonts w:cs="Arial"/>
          <w:bCs/>
          <w:sz w:val="20"/>
          <w:szCs w:val="20"/>
        </w:rPr>
      </w:pPr>
      <w:r w:rsidRPr="00215B2F">
        <w:rPr>
          <w:rFonts w:eastAsia="Arial" w:cs="Arial"/>
          <w:sz w:val="20"/>
          <w:szCs w:val="20"/>
        </w:rPr>
        <w:t>je vmesna EU nadrejena oseba;</w:t>
      </w:r>
    </w:p>
    <w:p w14:paraId="21DFB071" w14:textId="77777777" w:rsidR="00764E1F" w:rsidRPr="00215B2F" w:rsidRDefault="00D91782" w:rsidP="00543D80">
      <w:pPr>
        <w:pStyle w:val="tevilnatoka"/>
        <w:rPr>
          <w:rFonts w:cs="Arial"/>
          <w:bCs/>
          <w:sz w:val="20"/>
          <w:szCs w:val="20"/>
        </w:rPr>
      </w:pPr>
      <w:r w:rsidRPr="00215B2F">
        <w:rPr>
          <w:rFonts w:eastAsia="Arial" w:cs="Arial"/>
          <w:sz w:val="20"/>
          <w:szCs w:val="20"/>
        </w:rPr>
        <w:t>je edina institucija v Evropski uniji v tej skupini;</w:t>
      </w:r>
    </w:p>
    <w:p w14:paraId="26F2BFB8" w14:textId="282C2157" w:rsidR="00D91782" w:rsidRPr="00215B2F" w:rsidRDefault="00D91782" w:rsidP="00543D80">
      <w:pPr>
        <w:pStyle w:val="tevilnatoka"/>
        <w:rPr>
          <w:rFonts w:cs="Arial"/>
          <w:bCs/>
          <w:sz w:val="20"/>
          <w:szCs w:val="20"/>
        </w:rPr>
      </w:pPr>
      <w:r w:rsidRPr="00215B2F">
        <w:rPr>
          <w:rFonts w:eastAsia="Arial" w:cs="Arial"/>
          <w:sz w:val="20"/>
          <w:szCs w:val="20"/>
        </w:rPr>
        <w:t xml:space="preserve">je del skupine iz tretje države, katere skupna vrednost sredstev, izračunana v skladu s </w:t>
      </w:r>
      <w:r w:rsidR="009E55E7" w:rsidRPr="00215B2F">
        <w:rPr>
          <w:rFonts w:eastAsia="Arial" w:cs="Arial"/>
          <w:sz w:val="20"/>
          <w:szCs w:val="20"/>
        </w:rPr>
        <w:t>172</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 je nižja od 40 milijard eurov.</w:t>
      </w:r>
    </w:p>
    <w:p w14:paraId="1E1FAE64"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9B1BD40" w14:textId="07C83F5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Ne glede na prvi </w:t>
      </w:r>
      <w:r w:rsidR="00746E88" w:rsidRPr="00215B2F">
        <w:rPr>
          <w:rFonts w:ascii="Arial" w:eastAsia="Arial" w:hAnsi="Arial" w:cs="Arial"/>
          <w:sz w:val="20"/>
          <w:szCs w:val="20"/>
        </w:rPr>
        <w:t>odstavek tega člena</w:t>
      </w:r>
      <w:r w:rsidRPr="00215B2F">
        <w:rPr>
          <w:rFonts w:ascii="Arial" w:eastAsia="Arial" w:hAnsi="Arial" w:cs="Arial"/>
          <w:sz w:val="20"/>
          <w:szCs w:val="20"/>
        </w:rPr>
        <w:t xml:space="preserve"> je</w:t>
      </w:r>
      <w:r w:rsidR="00256D7F" w:rsidRPr="00215B2F">
        <w:rPr>
          <w:rFonts w:ascii="Arial" w:eastAsia="Arial" w:hAnsi="Arial" w:cs="Arial"/>
          <w:sz w:val="20"/>
          <w:szCs w:val="20"/>
        </w:rPr>
        <w:t>,</w:t>
      </w:r>
      <w:r w:rsidRPr="00215B2F">
        <w:rPr>
          <w:rFonts w:ascii="Arial" w:eastAsia="Arial" w:hAnsi="Arial" w:cs="Arial"/>
          <w:sz w:val="20"/>
          <w:szCs w:val="20"/>
        </w:rPr>
        <w:t xml:space="preserve"> </w:t>
      </w:r>
      <w:r w:rsidR="00256D7F" w:rsidRPr="00215B2F">
        <w:rPr>
          <w:rFonts w:ascii="Arial" w:eastAsia="Arial" w:hAnsi="Arial" w:cs="Arial"/>
          <w:sz w:val="20"/>
          <w:szCs w:val="20"/>
        </w:rPr>
        <w:t>če</w:t>
      </w:r>
      <w:r w:rsidRPr="00215B2F">
        <w:rPr>
          <w:rFonts w:ascii="Arial" w:eastAsia="Arial" w:hAnsi="Arial" w:cs="Arial"/>
          <w:sz w:val="20"/>
          <w:szCs w:val="20"/>
        </w:rPr>
        <w:t xml:space="preserve"> nobena od institucij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ni banka ali </w:t>
      </w:r>
      <w:r w:rsidR="00DF3FEF" w:rsidRPr="00215B2F">
        <w:rPr>
          <w:rFonts w:ascii="Arial" w:eastAsia="Arial" w:hAnsi="Arial" w:cs="Arial"/>
          <w:sz w:val="20"/>
          <w:szCs w:val="20"/>
        </w:rPr>
        <w:t>če</w:t>
      </w:r>
      <w:r w:rsidRPr="00215B2F">
        <w:rPr>
          <w:rFonts w:ascii="Arial" w:eastAsia="Arial" w:hAnsi="Arial" w:cs="Arial"/>
          <w:sz w:val="20"/>
          <w:szCs w:val="20"/>
        </w:rPr>
        <w:t xml:space="preserve"> je treba v povezavi z investicijskimi dejavnostmi vzpostaviti dodatno vmesno EU nadrejeno osebo, da se zagotovi skladnost z zahtevo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vmesn</w:t>
      </w:r>
      <w:r w:rsidR="0003713C" w:rsidRPr="00215B2F">
        <w:rPr>
          <w:rFonts w:ascii="Arial" w:eastAsia="Arial" w:hAnsi="Arial" w:cs="Arial"/>
          <w:sz w:val="20"/>
          <w:szCs w:val="20"/>
        </w:rPr>
        <w:t>a</w:t>
      </w:r>
      <w:r w:rsidRPr="00215B2F">
        <w:rPr>
          <w:rFonts w:ascii="Arial" w:eastAsia="Arial" w:hAnsi="Arial" w:cs="Arial"/>
          <w:sz w:val="20"/>
          <w:szCs w:val="20"/>
        </w:rPr>
        <w:t xml:space="preserve"> EU nadrejen</w:t>
      </w:r>
      <w:r w:rsidR="0003713C" w:rsidRPr="00215B2F">
        <w:rPr>
          <w:rFonts w:ascii="Arial" w:eastAsia="Arial" w:hAnsi="Arial" w:cs="Arial"/>
          <w:sz w:val="20"/>
          <w:szCs w:val="20"/>
        </w:rPr>
        <w:t>a</w:t>
      </w:r>
      <w:r w:rsidRPr="00215B2F">
        <w:rPr>
          <w:rFonts w:ascii="Arial" w:eastAsia="Arial" w:hAnsi="Arial" w:cs="Arial"/>
          <w:sz w:val="20"/>
          <w:szCs w:val="20"/>
        </w:rPr>
        <w:t xml:space="preserve"> oseb</w:t>
      </w:r>
      <w:r w:rsidR="0003713C" w:rsidRPr="00215B2F">
        <w:rPr>
          <w:rFonts w:ascii="Arial" w:eastAsia="Arial" w:hAnsi="Arial" w:cs="Arial"/>
          <w:sz w:val="20"/>
          <w:szCs w:val="20"/>
        </w:rPr>
        <w:t>a</w:t>
      </w:r>
      <w:r w:rsidRPr="00215B2F">
        <w:rPr>
          <w:rFonts w:ascii="Arial" w:eastAsia="Arial" w:hAnsi="Arial" w:cs="Arial"/>
          <w:sz w:val="20"/>
          <w:szCs w:val="20"/>
        </w:rPr>
        <w:t xml:space="preserve"> ali dodatn</w:t>
      </w:r>
      <w:r w:rsidR="0003713C" w:rsidRPr="00215B2F">
        <w:rPr>
          <w:rFonts w:ascii="Arial" w:eastAsia="Arial" w:hAnsi="Arial" w:cs="Arial"/>
          <w:sz w:val="20"/>
          <w:szCs w:val="20"/>
        </w:rPr>
        <w:t>a</w:t>
      </w:r>
      <w:r w:rsidRPr="00215B2F">
        <w:rPr>
          <w:rFonts w:ascii="Arial" w:eastAsia="Arial" w:hAnsi="Arial" w:cs="Arial"/>
          <w:sz w:val="20"/>
          <w:szCs w:val="20"/>
        </w:rPr>
        <w:t xml:space="preserve"> vmesn</w:t>
      </w:r>
      <w:r w:rsidR="0003713C" w:rsidRPr="00215B2F">
        <w:rPr>
          <w:rFonts w:ascii="Arial" w:eastAsia="Arial" w:hAnsi="Arial" w:cs="Arial"/>
          <w:sz w:val="20"/>
          <w:szCs w:val="20"/>
        </w:rPr>
        <w:t>a</w:t>
      </w:r>
      <w:r w:rsidRPr="00215B2F">
        <w:rPr>
          <w:rFonts w:ascii="Arial" w:eastAsia="Arial" w:hAnsi="Arial" w:cs="Arial"/>
          <w:sz w:val="20"/>
          <w:szCs w:val="20"/>
        </w:rPr>
        <w:t xml:space="preserve"> EU nadrejen</w:t>
      </w:r>
      <w:r w:rsidR="0003713C" w:rsidRPr="00215B2F">
        <w:rPr>
          <w:rFonts w:ascii="Arial" w:eastAsia="Arial" w:hAnsi="Arial" w:cs="Arial"/>
          <w:sz w:val="20"/>
          <w:szCs w:val="20"/>
        </w:rPr>
        <w:t>a</w:t>
      </w:r>
      <w:r w:rsidRPr="00215B2F">
        <w:rPr>
          <w:rFonts w:ascii="Arial" w:eastAsia="Arial" w:hAnsi="Arial" w:cs="Arial"/>
          <w:sz w:val="20"/>
          <w:szCs w:val="20"/>
        </w:rPr>
        <w:t xml:space="preserve"> oseb</w:t>
      </w:r>
      <w:r w:rsidR="0003713C" w:rsidRPr="00215B2F">
        <w:rPr>
          <w:rFonts w:ascii="Arial" w:eastAsia="Arial" w:hAnsi="Arial" w:cs="Arial"/>
          <w:sz w:val="20"/>
          <w:szCs w:val="20"/>
        </w:rPr>
        <w:t>a</w:t>
      </w:r>
      <w:r w:rsidRPr="00215B2F">
        <w:rPr>
          <w:rFonts w:ascii="Arial" w:eastAsia="Arial" w:hAnsi="Arial" w:cs="Arial"/>
          <w:sz w:val="20"/>
          <w:szCs w:val="20"/>
        </w:rPr>
        <w:t xml:space="preserve"> lahko investicijsko podjetje, ki ima dovoljenje agencije, pristojne za finančne trge, v skladu s prvim odstavkom 5. člena Direktive 2014/65/EU oziroma 197. člen</w:t>
      </w:r>
      <w:r w:rsidR="0003713C" w:rsidRPr="00215B2F">
        <w:rPr>
          <w:rFonts w:ascii="Arial" w:eastAsia="Arial" w:hAnsi="Arial" w:cs="Arial"/>
          <w:sz w:val="20"/>
          <w:szCs w:val="20"/>
        </w:rPr>
        <w:t>om</w:t>
      </w:r>
      <w:r w:rsidRPr="00215B2F">
        <w:rPr>
          <w:rFonts w:ascii="Arial" w:eastAsia="Arial" w:hAnsi="Arial" w:cs="Arial"/>
          <w:sz w:val="20"/>
          <w:szCs w:val="20"/>
        </w:rPr>
        <w:t xml:space="preserve"> ZTFI-1 in za katero velja Direktiva 2014/59/EU oziroma 293. člen </w:t>
      </w:r>
      <w:r w:rsidR="008350E0" w:rsidRPr="00215B2F">
        <w:rPr>
          <w:rFonts w:ascii="Arial" w:eastAsia="Arial" w:hAnsi="Arial" w:cs="Arial"/>
          <w:sz w:val="20"/>
          <w:szCs w:val="20"/>
        </w:rPr>
        <w:t>ZRPPB-1</w:t>
      </w:r>
      <w:r w:rsidRPr="00215B2F">
        <w:rPr>
          <w:rFonts w:ascii="Arial" w:eastAsia="Arial" w:hAnsi="Arial" w:cs="Arial"/>
          <w:sz w:val="20"/>
          <w:szCs w:val="20"/>
        </w:rPr>
        <w:t xml:space="preserve">. V tem primeru se zahteva za dovoljenje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vloži pri agenciji, pristojni za finančne trge.</w:t>
      </w:r>
    </w:p>
    <w:p w14:paraId="42B61E0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FAC0F2C"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13" w:name="_Ref203481846"/>
      <w:r w:rsidRPr="00215B2F">
        <w:rPr>
          <w:rFonts w:ascii="Arial" w:eastAsia="Arial" w:hAnsi="Arial" w:cs="Arial"/>
          <w:b/>
          <w:bCs/>
          <w:sz w:val="20"/>
          <w:szCs w:val="20"/>
        </w:rPr>
        <w:t>člen</w:t>
      </w:r>
      <w:bookmarkEnd w:id="213"/>
    </w:p>
    <w:p w14:paraId="2BDF50CC" w14:textId="77777777" w:rsidR="00D91782" w:rsidRPr="00215B2F" w:rsidRDefault="00D91782" w:rsidP="00FD5520">
      <w:pPr>
        <w:pStyle w:val="Slog1"/>
        <w:shd w:val="clear" w:color="auto" w:fill="FFFFFF" w:themeFill="background1"/>
        <w:rPr>
          <w:sz w:val="20"/>
          <w:szCs w:val="20"/>
        </w:rPr>
      </w:pPr>
      <w:r w:rsidRPr="00215B2F">
        <w:rPr>
          <w:sz w:val="20"/>
          <w:szCs w:val="20"/>
        </w:rPr>
        <w:t>(izračun skupne vrednosti sredstev skupine)</w:t>
      </w:r>
    </w:p>
    <w:p w14:paraId="38B73EB0" w14:textId="77777777" w:rsidR="00D10DDD" w:rsidRPr="00215B2F" w:rsidRDefault="00D10DDD" w:rsidP="00FD5520">
      <w:pPr>
        <w:shd w:val="clear" w:color="auto" w:fill="FFFFFF" w:themeFill="background1"/>
        <w:spacing w:after="0" w:line="240" w:lineRule="auto"/>
        <w:jc w:val="both"/>
        <w:rPr>
          <w:rFonts w:ascii="Arial" w:eastAsia="Arial" w:hAnsi="Arial" w:cs="Arial"/>
          <w:sz w:val="20"/>
          <w:szCs w:val="20"/>
        </w:rPr>
      </w:pPr>
    </w:p>
    <w:p w14:paraId="312B7308" w14:textId="740337A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Skupna vrednost sredstev skupine iz tretje države v Evropski uniji za namen prvega odstavka </w:t>
      </w:r>
      <w:r w:rsidR="001E1611"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 xml:space="preserve">člena </w:t>
      </w:r>
      <w:r w:rsidRPr="00215B2F">
        <w:rPr>
          <w:rFonts w:ascii="Arial" w:eastAsia="Arial" w:hAnsi="Arial" w:cs="Arial"/>
          <w:sz w:val="20"/>
          <w:szCs w:val="20"/>
        </w:rPr>
        <w:t>je vsota:</w:t>
      </w:r>
    </w:p>
    <w:p w14:paraId="77CA16E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63D128F" w14:textId="77777777" w:rsidR="008612B7" w:rsidRPr="00215B2F" w:rsidRDefault="00D91782" w:rsidP="003D4DE0">
      <w:pPr>
        <w:pStyle w:val="Odstavekseznama"/>
        <w:numPr>
          <w:ilvl w:val="0"/>
          <w:numId w:val="308"/>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zneska skupnih sredstev vsake institucije v Evropski uniji, ki je del skupine iz tretje države, kot je razviden iz njene konsolidirane bilance stanja ali njenih bilanc stanja na posamični podlagi, če institucija ni konsolidirana, in</w:t>
      </w:r>
    </w:p>
    <w:p w14:paraId="32DF65CE" w14:textId="539FC6FF" w:rsidR="004761A7" w:rsidRPr="00215B2F" w:rsidRDefault="00D91782" w:rsidP="004761A7">
      <w:pPr>
        <w:pStyle w:val="Odstavekseznama"/>
        <w:numPr>
          <w:ilvl w:val="0"/>
          <w:numId w:val="308"/>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zneska skupnih sredstev vsake podružnice skupine iz tretje države, ki ima dovoljenje pristojnega organa v Evropski uniji v skladu s tem zakonom, Direktivo 2013/36/EU, </w:t>
      </w:r>
      <w:r w:rsidR="00DF3FEF" w:rsidRPr="00215B2F">
        <w:rPr>
          <w:rFonts w:ascii="Arial" w:eastAsia="Arial" w:hAnsi="Arial" w:cs="Arial"/>
          <w:sz w:val="20"/>
          <w:szCs w:val="20"/>
        </w:rPr>
        <w:t>ZTFI-1</w:t>
      </w:r>
      <w:r w:rsidRPr="00215B2F">
        <w:rPr>
          <w:rFonts w:ascii="Arial" w:eastAsia="Arial" w:hAnsi="Arial" w:cs="Arial"/>
          <w:sz w:val="20"/>
          <w:szCs w:val="20"/>
        </w:rPr>
        <w:t xml:space="preserve">, Direktivo 2014/65/EU ali </w:t>
      </w:r>
      <w:r w:rsidR="004761A7" w:rsidRPr="00215B2F">
        <w:rPr>
          <w:rFonts w:ascii="Arial" w:eastAsia="Arial" w:hAnsi="Arial" w:cs="Arial"/>
          <w:sz w:val="20"/>
          <w:szCs w:val="20"/>
        </w:rPr>
        <w:t>Uredbo (EU) št. 600/2014 Evropskega parlamenta in Sveta z dne 15. maja 2014 o trgih finančnih instrumentov in spremembi Uredbe (EU) št. 648/2012</w:t>
      </w:r>
      <w:r w:rsidR="004761A7" w:rsidRPr="00215B2F">
        <w:rPr>
          <w:rFonts w:ascii="Arial" w:hAnsi="Arial" w:cs="Arial"/>
          <w:color w:val="212529"/>
          <w:sz w:val="20"/>
          <w:szCs w:val="20"/>
          <w:shd w:val="clear" w:color="auto" w:fill="FFFFFF"/>
        </w:rPr>
        <w:t xml:space="preserve"> (</w:t>
      </w:r>
      <w:r w:rsidR="004761A7" w:rsidRPr="00215B2F">
        <w:rPr>
          <w:rFonts w:ascii="Arial" w:eastAsia="Arial" w:hAnsi="Arial" w:cs="Arial"/>
          <w:sz w:val="20"/>
          <w:szCs w:val="20"/>
        </w:rPr>
        <w:t>UL L št. 173 z dne 12. 6. 2014).</w:t>
      </w:r>
    </w:p>
    <w:p w14:paraId="71347D4E" w14:textId="77777777" w:rsidR="004761A7" w:rsidRPr="00215B2F" w:rsidRDefault="004761A7" w:rsidP="00FD5520">
      <w:pPr>
        <w:shd w:val="clear" w:color="auto" w:fill="FFFFFF" w:themeFill="background1"/>
        <w:spacing w:after="0" w:line="240" w:lineRule="auto"/>
        <w:jc w:val="both"/>
        <w:rPr>
          <w:rFonts w:ascii="Arial" w:eastAsia="Arial" w:hAnsi="Arial" w:cs="Arial"/>
          <w:sz w:val="20"/>
          <w:szCs w:val="20"/>
        </w:rPr>
      </w:pPr>
    </w:p>
    <w:p w14:paraId="49AC375E" w14:textId="29E641D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Za namen tega člena izraz »institucija« vključuje tudi investicijska podjetja.</w:t>
      </w:r>
    </w:p>
    <w:p w14:paraId="6ED4E7EA"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78D1F9E2"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14" w:name="_Ref203481860"/>
      <w:r w:rsidRPr="00215B2F">
        <w:rPr>
          <w:rFonts w:ascii="Arial" w:eastAsia="Arial" w:hAnsi="Arial" w:cs="Arial"/>
          <w:b/>
          <w:bCs/>
          <w:sz w:val="20"/>
          <w:szCs w:val="20"/>
        </w:rPr>
        <w:t>člen</w:t>
      </w:r>
      <w:bookmarkEnd w:id="214"/>
    </w:p>
    <w:p w14:paraId="19AA9EBD" w14:textId="77777777" w:rsidR="00D91782" w:rsidRPr="00215B2F" w:rsidRDefault="00D91782" w:rsidP="00FD5520">
      <w:pPr>
        <w:pStyle w:val="Slog1"/>
        <w:shd w:val="clear" w:color="auto" w:fill="FFFFFF" w:themeFill="background1"/>
        <w:rPr>
          <w:sz w:val="20"/>
          <w:szCs w:val="20"/>
        </w:rPr>
      </w:pPr>
      <w:r w:rsidRPr="00215B2F">
        <w:rPr>
          <w:sz w:val="20"/>
          <w:szCs w:val="20"/>
        </w:rPr>
        <w:t>(obveščanje Evropskega bančnega organa)</w:t>
      </w:r>
    </w:p>
    <w:p w14:paraId="4198823D" w14:textId="77777777" w:rsidR="00D91782" w:rsidRPr="00215B2F" w:rsidRDefault="00D91782" w:rsidP="00FD5520">
      <w:pPr>
        <w:pStyle w:val="Slog1"/>
        <w:shd w:val="clear" w:color="auto" w:fill="FFFFFF" w:themeFill="background1"/>
        <w:jc w:val="both"/>
        <w:rPr>
          <w:sz w:val="20"/>
          <w:szCs w:val="20"/>
        </w:rPr>
      </w:pPr>
    </w:p>
    <w:p w14:paraId="12C9463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Slovenije v zvezi z vsako skupino iz tretje države, ki posluje v Republiki Sloveniji in katere del je tudi banka, sporoči Evropskemu bančnemu organu naslednje podatke:</w:t>
      </w:r>
    </w:p>
    <w:p w14:paraId="133D189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AC463A1" w14:textId="77777777" w:rsidR="00764E1F" w:rsidRPr="00215B2F" w:rsidRDefault="00D91782">
      <w:pPr>
        <w:pStyle w:val="tevilnatoka"/>
        <w:numPr>
          <w:ilvl w:val="0"/>
          <w:numId w:val="114"/>
        </w:numPr>
        <w:shd w:val="clear" w:color="auto" w:fill="FFFFFF" w:themeFill="background1"/>
        <w:tabs>
          <w:tab w:val="clear" w:pos="425"/>
        </w:tabs>
        <w:rPr>
          <w:rFonts w:cs="Arial"/>
          <w:bCs/>
          <w:sz w:val="20"/>
          <w:szCs w:val="20"/>
        </w:rPr>
      </w:pPr>
      <w:r w:rsidRPr="00215B2F">
        <w:rPr>
          <w:rFonts w:eastAsia="Arial" w:cs="Arial"/>
          <w:sz w:val="20"/>
          <w:szCs w:val="20"/>
        </w:rPr>
        <w:t>ime in skupno vrednost sredstev institucij, ki spadajo v skupino iz tretje države;</w:t>
      </w:r>
    </w:p>
    <w:p w14:paraId="7D6C4DA3" w14:textId="6128A217" w:rsidR="00764E1F" w:rsidRPr="00215B2F" w:rsidRDefault="00D91782">
      <w:pPr>
        <w:pStyle w:val="tevilnatoka"/>
        <w:numPr>
          <w:ilvl w:val="0"/>
          <w:numId w:val="114"/>
        </w:numPr>
        <w:shd w:val="clear" w:color="auto" w:fill="FFFFFF" w:themeFill="background1"/>
        <w:tabs>
          <w:tab w:val="clear" w:pos="425"/>
        </w:tabs>
        <w:rPr>
          <w:rFonts w:cs="Arial"/>
          <w:bCs/>
          <w:sz w:val="20"/>
          <w:szCs w:val="20"/>
        </w:rPr>
      </w:pPr>
      <w:r w:rsidRPr="00215B2F">
        <w:rPr>
          <w:rFonts w:eastAsia="Arial" w:cs="Arial"/>
          <w:sz w:val="20"/>
          <w:szCs w:val="20"/>
        </w:rPr>
        <w:t xml:space="preserve">ime in skupno vrednost sredstev, ki se nanašajo na podružnice bank tretje države, ki so del skupine iz tretje države, ter </w:t>
      </w:r>
      <w:r w:rsidR="0003713C" w:rsidRPr="00215B2F">
        <w:rPr>
          <w:rFonts w:eastAsia="Arial" w:cs="Arial"/>
          <w:sz w:val="20"/>
          <w:szCs w:val="20"/>
        </w:rPr>
        <w:t xml:space="preserve">o </w:t>
      </w:r>
      <w:r w:rsidRPr="00215B2F">
        <w:rPr>
          <w:rFonts w:eastAsia="Arial" w:cs="Arial"/>
          <w:sz w:val="20"/>
          <w:szCs w:val="20"/>
        </w:rPr>
        <w:t>vrst</w:t>
      </w:r>
      <w:r w:rsidR="0003713C" w:rsidRPr="00215B2F">
        <w:rPr>
          <w:rFonts w:eastAsia="Arial" w:cs="Arial"/>
          <w:sz w:val="20"/>
          <w:szCs w:val="20"/>
        </w:rPr>
        <w:t>ah</w:t>
      </w:r>
      <w:r w:rsidRPr="00215B2F">
        <w:rPr>
          <w:rFonts w:eastAsia="Arial" w:cs="Arial"/>
          <w:sz w:val="20"/>
          <w:szCs w:val="20"/>
        </w:rPr>
        <w:t xml:space="preserve"> dejavnosti, za opravljanje katerih imajo dovoljenje po tem zakonu;</w:t>
      </w:r>
    </w:p>
    <w:p w14:paraId="027EDA21" w14:textId="0668C78D" w:rsidR="00D91782" w:rsidRPr="00215B2F" w:rsidRDefault="00D91782">
      <w:pPr>
        <w:pStyle w:val="tevilnatoka"/>
        <w:numPr>
          <w:ilvl w:val="0"/>
          <w:numId w:val="114"/>
        </w:numPr>
        <w:shd w:val="clear" w:color="auto" w:fill="FFFFFF" w:themeFill="background1"/>
        <w:tabs>
          <w:tab w:val="clear" w:pos="425"/>
        </w:tabs>
        <w:rPr>
          <w:rFonts w:cs="Arial"/>
          <w:bCs/>
          <w:sz w:val="20"/>
          <w:szCs w:val="20"/>
        </w:rPr>
      </w:pPr>
      <w:r w:rsidRPr="00215B2F">
        <w:rPr>
          <w:rFonts w:eastAsia="Arial" w:cs="Arial"/>
          <w:sz w:val="20"/>
          <w:szCs w:val="20"/>
        </w:rPr>
        <w:t xml:space="preserve">ime in tip vmesne EU nadrejene osebe s sedežem v Republiki Slovenije, kakor je določen v četrtem odstavku </w:t>
      </w:r>
      <w:r w:rsidR="009E55E7" w:rsidRPr="00215B2F">
        <w:rPr>
          <w:rFonts w:eastAsia="Arial" w:cs="Arial"/>
          <w:sz w:val="20"/>
          <w:szCs w:val="20"/>
        </w:rPr>
        <w:t>171</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ter ime skupine iz tretje države, v katero spada ta vmesna EU nadrejena oseba.</w:t>
      </w:r>
    </w:p>
    <w:p w14:paraId="22C00ED9" w14:textId="77777777" w:rsidR="00D10DDD" w:rsidRPr="00215B2F" w:rsidRDefault="00D10DDD" w:rsidP="00FD5520">
      <w:pPr>
        <w:pStyle w:val="tevilnatoka"/>
        <w:numPr>
          <w:ilvl w:val="0"/>
          <w:numId w:val="0"/>
        </w:numPr>
        <w:shd w:val="clear" w:color="auto" w:fill="FFFFFF" w:themeFill="background1"/>
        <w:rPr>
          <w:rFonts w:cs="Arial"/>
          <w:bCs/>
          <w:sz w:val="20"/>
          <w:szCs w:val="20"/>
        </w:rPr>
      </w:pPr>
    </w:p>
    <w:p w14:paraId="5782DECE" w14:textId="6EDF321B" w:rsidR="00D91782" w:rsidRPr="00215B2F" w:rsidRDefault="00FF337B"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5.</w:t>
      </w:r>
      <w:r w:rsidR="006B2743" w:rsidRPr="00215B2F">
        <w:rPr>
          <w:rFonts w:ascii="Arial" w:eastAsia="Arial" w:hAnsi="Arial" w:cs="Arial"/>
          <w:b/>
          <w:bCs/>
          <w:sz w:val="20"/>
          <w:szCs w:val="20"/>
        </w:rPr>
        <w:t>6</w:t>
      </w:r>
      <w:r w:rsidRPr="00215B2F">
        <w:rPr>
          <w:rFonts w:ascii="Arial" w:eastAsia="Arial" w:hAnsi="Arial" w:cs="Arial"/>
          <w:b/>
          <w:bCs/>
          <w:sz w:val="20"/>
          <w:szCs w:val="20"/>
        </w:rPr>
        <w:t xml:space="preserve"> VAROVANJE ZAUPNIH PODATKOV</w:t>
      </w:r>
    </w:p>
    <w:p w14:paraId="6E71FBF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0603498"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15" w:name="_Ref202964569"/>
      <w:r w:rsidRPr="00215B2F">
        <w:rPr>
          <w:rFonts w:ascii="Arial" w:eastAsia="Arial" w:hAnsi="Arial" w:cs="Arial"/>
          <w:b/>
          <w:bCs/>
          <w:sz w:val="20"/>
          <w:szCs w:val="20"/>
        </w:rPr>
        <w:t>člen</w:t>
      </w:r>
      <w:bookmarkEnd w:id="215"/>
    </w:p>
    <w:p w14:paraId="513A8685" w14:textId="77777777" w:rsidR="00D91782" w:rsidRPr="00215B2F" w:rsidRDefault="00D91782" w:rsidP="00FD5520">
      <w:pPr>
        <w:pStyle w:val="Slog1"/>
        <w:shd w:val="clear" w:color="auto" w:fill="FFFFFF" w:themeFill="background1"/>
        <w:rPr>
          <w:sz w:val="20"/>
          <w:szCs w:val="20"/>
        </w:rPr>
      </w:pPr>
      <w:r w:rsidRPr="00215B2F">
        <w:rPr>
          <w:sz w:val="20"/>
          <w:szCs w:val="20"/>
        </w:rPr>
        <w:t>(zaupni podatki)</w:t>
      </w:r>
    </w:p>
    <w:p w14:paraId="4D477D20" w14:textId="77777777" w:rsidR="00D91782" w:rsidRPr="00215B2F" w:rsidRDefault="00D91782" w:rsidP="00FD5520">
      <w:pPr>
        <w:pStyle w:val="Slog1"/>
        <w:shd w:val="clear" w:color="auto" w:fill="FFFFFF" w:themeFill="background1"/>
        <w:jc w:val="both"/>
        <w:rPr>
          <w:sz w:val="20"/>
          <w:szCs w:val="20"/>
        </w:rPr>
      </w:pPr>
    </w:p>
    <w:p w14:paraId="4A98022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Zaupni podatki po tem zakonu so vsi podatki, dejstva in okoliščine o posamezni stranki, s katerimi razpolaga banka.</w:t>
      </w:r>
    </w:p>
    <w:p w14:paraId="4498521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292ED3E"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16" w:name="_Ref202964576"/>
      <w:r w:rsidRPr="00215B2F">
        <w:rPr>
          <w:rFonts w:ascii="Arial" w:eastAsia="Arial" w:hAnsi="Arial" w:cs="Arial"/>
          <w:b/>
          <w:bCs/>
          <w:sz w:val="20"/>
          <w:szCs w:val="20"/>
        </w:rPr>
        <w:t>člen</w:t>
      </w:r>
      <w:bookmarkEnd w:id="216"/>
    </w:p>
    <w:p w14:paraId="27A00656" w14:textId="77777777" w:rsidR="00D91782" w:rsidRPr="00215B2F" w:rsidRDefault="00D91782" w:rsidP="00FD5520">
      <w:pPr>
        <w:pStyle w:val="Slog1"/>
        <w:shd w:val="clear" w:color="auto" w:fill="FFFFFF" w:themeFill="background1"/>
        <w:rPr>
          <w:sz w:val="20"/>
          <w:szCs w:val="20"/>
        </w:rPr>
      </w:pPr>
      <w:r w:rsidRPr="00215B2F">
        <w:rPr>
          <w:sz w:val="20"/>
          <w:szCs w:val="20"/>
        </w:rPr>
        <w:t>(dolžnost varovanja zaupnih podatkov)</w:t>
      </w:r>
    </w:p>
    <w:p w14:paraId="411FE097" w14:textId="77777777" w:rsidR="00D91782" w:rsidRPr="00215B2F" w:rsidRDefault="00D91782" w:rsidP="00FD5520">
      <w:pPr>
        <w:pStyle w:val="Slog1"/>
        <w:shd w:val="clear" w:color="auto" w:fill="FFFFFF" w:themeFill="background1"/>
        <w:jc w:val="both"/>
        <w:rPr>
          <w:sz w:val="20"/>
          <w:szCs w:val="20"/>
        </w:rPr>
      </w:pPr>
    </w:p>
    <w:p w14:paraId="7EF7E867" w14:textId="0392294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(1) Banka mora varovati zaupne podatke iz </w:t>
      </w:r>
      <w:r w:rsidR="00746E88" w:rsidRPr="00215B2F">
        <w:rPr>
          <w:rFonts w:ascii="Arial" w:eastAsia="Arial" w:hAnsi="Arial" w:cs="Arial"/>
          <w:sz w:val="20"/>
          <w:szCs w:val="20"/>
        </w:rPr>
        <w:t>prejšnjega člena</w:t>
      </w:r>
      <w:r w:rsidRPr="00215B2F">
        <w:rPr>
          <w:rFonts w:ascii="Arial" w:eastAsia="Arial" w:hAnsi="Arial" w:cs="Arial"/>
          <w:sz w:val="20"/>
          <w:szCs w:val="20"/>
        </w:rPr>
        <w:t xml:space="preserve"> ne glede na način, na katerega je te podatke pridobila.</w:t>
      </w:r>
    </w:p>
    <w:p w14:paraId="246A9CB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79BB8AC" w14:textId="4C17A5B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Člani organov banke, delničarji banke, delavci banke oziroma druge osebe, ki so jim v zvezi z njihovim delom v banki oziroma pri opravljanju storitev za banko na kakršen</w:t>
      </w:r>
      <w:r w:rsidR="00606685" w:rsidRPr="00215B2F">
        <w:rPr>
          <w:rFonts w:ascii="Arial" w:eastAsia="Arial" w:hAnsi="Arial" w:cs="Arial"/>
          <w:sz w:val="20"/>
          <w:szCs w:val="20"/>
        </w:rPr>
        <w:t xml:space="preserve"> </w:t>
      </w:r>
      <w:r w:rsidRPr="00215B2F">
        <w:rPr>
          <w:rFonts w:ascii="Arial" w:eastAsia="Arial" w:hAnsi="Arial" w:cs="Arial"/>
          <w:sz w:val="20"/>
          <w:szCs w:val="20"/>
        </w:rPr>
        <w:t xml:space="preserve">koli način dostopni zaupni podatki iz </w:t>
      </w:r>
      <w:r w:rsidR="00746E88" w:rsidRPr="00215B2F">
        <w:rPr>
          <w:rFonts w:ascii="Arial" w:eastAsia="Arial" w:hAnsi="Arial" w:cs="Arial"/>
          <w:sz w:val="20"/>
          <w:szCs w:val="20"/>
        </w:rPr>
        <w:t>prejšnjega člena</w:t>
      </w:r>
      <w:r w:rsidRPr="00215B2F">
        <w:rPr>
          <w:rFonts w:ascii="Arial" w:eastAsia="Arial" w:hAnsi="Arial" w:cs="Arial"/>
          <w:sz w:val="20"/>
          <w:szCs w:val="20"/>
        </w:rPr>
        <w:t>, teh podatkov ne smejo sporočiti tretjim osebam, niti omogočiti, da bi jih uporabile tretje osebe, ali jih sami uporabiti za lastne namene.</w:t>
      </w:r>
    </w:p>
    <w:p w14:paraId="646F779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C085EB2" w14:textId="41509B1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Dolžnost banke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glede varovanja zaupnih podatkov ne velja:</w:t>
      </w:r>
    </w:p>
    <w:p w14:paraId="3FE9AFD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25759AE" w14:textId="194638D3" w:rsidR="00C95B7A" w:rsidRPr="00215B2F" w:rsidRDefault="00D91782">
      <w:pPr>
        <w:pStyle w:val="tevilnatoka"/>
        <w:numPr>
          <w:ilvl w:val="0"/>
          <w:numId w:val="115"/>
        </w:numPr>
        <w:shd w:val="clear" w:color="auto" w:fill="FFFFFF" w:themeFill="background1"/>
        <w:tabs>
          <w:tab w:val="clear" w:pos="425"/>
        </w:tabs>
        <w:rPr>
          <w:rFonts w:cs="Arial"/>
          <w:bCs/>
          <w:sz w:val="20"/>
          <w:szCs w:val="20"/>
        </w:rPr>
      </w:pPr>
      <w:r w:rsidRPr="00215B2F">
        <w:rPr>
          <w:rFonts w:eastAsia="Arial" w:cs="Arial"/>
          <w:sz w:val="20"/>
          <w:szCs w:val="20"/>
        </w:rPr>
        <w:t xml:space="preserve">če stranka izrecno pisno </w:t>
      </w:r>
      <w:r w:rsidR="00606685" w:rsidRPr="00215B2F">
        <w:rPr>
          <w:rFonts w:eastAsia="Arial" w:cs="Arial"/>
          <w:sz w:val="20"/>
          <w:szCs w:val="20"/>
        </w:rPr>
        <w:t>privoli</w:t>
      </w:r>
      <w:r w:rsidRPr="00215B2F">
        <w:rPr>
          <w:rFonts w:eastAsia="Arial" w:cs="Arial"/>
          <w:sz w:val="20"/>
          <w:szCs w:val="20"/>
        </w:rPr>
        <w:t>, da se sporočijo posamezni zaupni podatki;</w:t>
      </w:r>
    </w:p>
    <w:p w14:paraId="074DF81E" w14:textId="35FEBAB0" w:rsidR="00C95B7A" w:rsidRPr="00215B2F" w:rsidRDefault="00D91782" w:rsidP="00543D80">
      <w:pPr>
        <w:pStyle w:val="tevilnatoka"/>
        <w:rPr>
          <w:rFonts w:cs="Arial"/>
          <w:bCs/>
          <w:sz w:val="20"/>
          <w:szCs w:val="20"/>
        </w:rPr>
      </w:pPr>
      <w:r w:rsidRPr="00215B2F">
        <w:rPr>
          <w:rFonts w:eastAsia="Arial" w:cs="Arial"/>
          <w:sz w:val="20"/>
          <w:szCs w:val="20"/>
        </w:rPr>
        <w:t>če te podatke potrebuje Banka Slovenije, Evropska centralna banka ali nadzorni organ za potrebe nadzora nad banko, ki ga vodi v okviru svojih pristojnosti;</w:t>
      </w:r>
    </w:p>
    <w:p w14:paraId="0FD90D29" w14:textId="084CC915" w:rsidR="00C95B7A" w:rsidRPr="00215B2F" w:rsidRDefault="00D91782" w:rsidP="00543D80">
      <w:pPr>
        <w:pStyle w:val="tevilnatoka"/>
        <w:rPr>
          <w:rFonts w:cs="Arial"/>
          <w:bCs/>
          <w:sz w:val="20"/>
          <w:szCs w:val="20"/>
        </w:rPr>
      </w:pPr>
      <w:r w:rsidRPr="00215B2F">
        <w:rPr>
          <w:rFonts w:eastAsia="Arial" w:cs="Arial"/>
          <w:sz w:val="20"/>
          <w:szCs w:val="20"/>
        </w:rPr>
        <w:t>če te podatke pisno zahteva komisija za preprečevanje korupcije ali če jih zaradi izvedbe predkazenskega ali kazenskega postopka pisno zahteva sodišče, državno tožilstvo ali policija, razen v primerih, ko za po</w:t>
      </w:r>
      <w:r w:rsidR="00606685" w:rsidRPr="00215B2F">
        <w:rPr>
          <w:rFonts w:eastAsia="Arial" w:cs="Arial"/>
          <w:sz w:val="20"/>
          <w:szCs w:val="20"/>
        </w:rPr>
        <w:t>šilj</w:t>
      </w:r>
      <w:r w:rsidRPr="00215B2F">
        <w:rPr>
          <w:rFonts w:eastAsia="Arial" w:cs="Arial"/>
          <w:sz w:val="20"/>
          <w:szCs w:val="20"/>
        </w:rPr>
        <w:t>anje zaupnih podatkov zakon izrecno določa odredbo preiskovalnega sodnika;</w:t>
      </w:r>
    </w:p>
    <w:p w14:paraId="0CA07974" w14:textId="7724930E" w:rsidR="00C95B7A" w:rsidRPr="00215B2F" w:rsidRDefault="00D91782" w:rsidP="00543D80">
      <w:pPr>
        <w:pStyle w:val="tevilnatoka"/>
        <w:rPr>
          <w:rFonts w:cs="Arial"/>
          <w:bCs/>
          <w:sz w:val="20"/>
          <w:szCs w:val="20"/>
        </w:rPr>
      </w:pPr>
      <w:r w:rsidRPr="00215B2F">
        <w:rPr>
          <w:rFonts w:eastAsia="Arial" w:cs="Arial"/>
          <w:sz w:val="20"/>
          <w:szCs w:val="20"/>
        </w:rPr>
        <w:t>v primerih po</w:t>
      </w:r>
      <w:r w:rsidR="00606685" w:rsidRPr="00215B2F">
        <w:rPr>
          <w:rFonts w:eastAsia="Arial" w:cs="Arial"/>
          <w:sz w:val="20"/>
          <w:szCs w:val="20"/>
        </w:rPr>
        <w:t>šilj</w:t>
      </w:r>
      <w:r w:rsidRPr="00215B2F">
        <w:rPr>
          <w:rFonts w:eastAsia="Arial" w:cs="Arial"/>
          <w:sz w:val="20"/>
          <w:szCs w:val="20"/>
        </w:rPr>
        <w:t xml:space="preserve">anja podatkov nadrejenim osebam v zvezi z nadzorom na konsolidirani podlagi v skladu z določbami </w:t>
      </w:r>
      <w:r w:rsidR="005B0CC7" w:rsidRPr="00215B2F">
        <w:rPr>
          <w:rFonts w:eastAsia="Arial" w:cs="Arial"/>
          <w:sz w:val="20"/>
          <w:szCs w:val="20"/>
        </w:rPr>
        <w:t>o</w:t>
      </w:r>
      <w:r w:rsidR="001F2C7A" w:rsidRPr="00215B2F">
        <w:rPr>
          <w:rFonts w:eastAsia="Arial" w:cs="Arial"/>
          <w:sz w:val="20"/>
          <w:szCs w:val="20"/>
        </w:rPr>
        <w:t>ddelka</w:t>
      </w:r>
      <w:r w:rsidRPr="00215B2F">
        <w:rPr>
          <w:rFonts w:eastAsia="Arial" w:cs="Arial"/>
          <w:sz w:val="20"/>
          <w:szCs w:val="20"/>
        </w:rPr>
        <w:t xml:space="preserve"> </w:t>
      </w:r>
      <w:r w:rsidR="009E55E7" w:rsidRPr="00215B2F">
        <w:rPr>
          <w:rFonts w:eastAsia="Arial" w:cs="Arial"/>
          <w:sz w:val="20"/>
          <w:szCs w:val="20"/>
        </w:rPr>
        <w:t>12</w:t>
      </w:r>
      <w:r w:rsidRPr="00215B2F">
        <w:rPr>
          <w:rFonts w:eastAsia="Arial" w:cs="Arial"/>
          <w:sz w:val="20"/>
          <w:szCs w:val="20"/>
        </w:rPr>
        <w:t>.3 tega zakona ali v skladu z ZFK;</w:t>
      </w:r>
    </w:p>
    <w:p w14:paraId="02B5ABC8" w14:textId="77777777" w:rsidR="00C95B7A" w:rsidRPr="00215B2F" w:rsidRDefault="00D91782" w:rsidP="00543D80">
      <w:pPr>
        <w:pStyle w:val="tevilnatoka"/>
        <w:rPr>
          <w:rFonts w:cs="Arial"/>
          <w:bCs/>
          <w:sz w:val="20"/>
          <w:szCs w:val="20"/>
        </w:rPr>
      </w:pPr>
      <w:r w:rsidRPr="00215B2F">
        <w:rPr>
          <w:rFonts w:eastAsia="Arial" w:cs="Arial"/>
          <w:sz w:val="20"/>
          <w:szCs w:val="20"/>
        </w:rPr>
        <w:t>če te podatke pisno zahteva preiskovalna komisija, kadar v skladu z zakonom, ki ureja parlamentarno preiskavo, izvaja preiskavo;</w:t>
      </w:r>
    </w:p>
    <w:p w14:paraId="20CD6390" w14:textId="77777777" w:rsidR="00C95B7A" w:rsidRPr="00215B2F" w:rsidRDefault="00D91782" w:rsidP="00543D80">
      <w:pPr>
        <w:pStyle w:val="tevilnatoka"/>
        <w:rPr>
          <w:rFonts w:cs="Arial"/>
          <w:bCs/>
          <w:sz w:val="20"/>
          <w:szCs w:val="20"/>
        </w:rPr>
      </w:pPr>
      <w:r w:rsidRPr="00215B2F">
        <w:rPr>
          <w:rFonts w:eastAsia="Arial" w:cs="Arial"/>
          <w:sz w:val="20"/>
          <w:szCs w:val="20"/>
        </w:rPr>
        <w:t>če te podatke pisno zahteva Računsko sodišče Republike Slovenije pri izvrševanju svojih pristojnosti v skladu z zakonom, ki ureja računsko sodišče;</w:t>
      </w:r>
    </w:p>
    <w:p w14:paraId="5152A583" w14:textId="162B93AF" w:rsidR="00D91782" w:rsidRPr="00215B2F" w:rsidRDefault="00D91782" w:rsidP="00543D80">
      <w:pPr>
        <w:pStyle w:val="tevilnatoka"/>
        <w:rPr>
          <w:rFonts w:cs="Arial"/>
          <w:bCs/>
          <w:sz w:val="20"/>
          <w:szCs w:val="20"/>
        </w:rPr>
      </w:pPr>
      <w:r w:rsidRPr="00215B2F">
        <w:rPr>
          <w:rFonts w:eastAsia="Arial" w:cs="Arial"/>
          <w:sz w:val="20"/>
          <w:szCs w:val="20"/>
        </w:rPr>
        <w:t>za izmenjavo informacij o boniteti strank za namen upravljanja kreditnega tveganja:</w:t>
      </w:r>
    </w:p>
    <w:p w14:paraId="23F20CDC"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med člani sistema izmenjave informacij o boniteti strank, ki je vzpostavljen v skladu s predpisi za namene upravljanja kreditnega tveganja bank, ali</w:t>
      </w:r>
    </w:p>
    <w:p w14:paraId="42E0329D" w14:textId="7FD4DB67"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z bankami držav članic ali sistemi za izmenjavo informacij o boniteti strank, organiziranih v drugih državah članicah, glede informacij o boniteti strank, ki so pravne osebe;</w:t>
      </w:r>
    </w:p>
    <w:p w14:paraId="2E0285C8" w14:textId="512A6730" w:rsidR="00D91782" w:rsidRPr="00215B2F" w:rsidRDefault="00D91782" w:rsidP="00543D80">
      <w:pPr>
        <w:pStyle w:val="tevilnatoka"/>
        <w:rPr>
          <w:rFonts w:cs="Arial"/>
          <w:bCs/>
          <w:sz w:val="20"/>
          <w:szCs w:val="20"/>
        </w:rPr>
      </w:pPr>
      <w:r w:rsidRPr="00215B2F">
        <w:rPr>
          <w:rFonts w:eastAsia="Arial" w:cs="Arial"/>
          <w:sz w:val="20"/>
          <w:szCs w:val="20"/>
        </w:rPr>
        <w:t>v drugih primerih, kjer zakon izrecno določa dolžnost banke glede po</w:t>
      </w:r>
      <w:r w:rsidR="00606685" w:rsidRPr="00215B2F">
        <w:rPr>
          <w:rFonts w:eastAsia="Arial" w:cs="Arial"/>
          <w:sz w:val="20"/>
          <w:szCs w:val="20"/>
        </w:rPr>
        <w:t>šilj</w:t>
      </w:r>
      <w:r w:rsidRPr="00215B2F">
        <w:rPr>
          <w:rFonts w:eastAsia="Arial" w:cs="Arial"/>
          <w:sz w:val="20"/>
          <w:szCs w:val="20"/>
        </w:rPr>
        <w:t>anja zaupnih podatkov o posamezni stranki.</w:t>
      </w:r>
    </w:p>
    <w:p w14:paraId="5799243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1D30DD8" w14:textId="4BFB579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Dolžnost varovanja zaupnih podatkov ne velja, če banka ali oseba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te podatke po</w:t>
      </w:r>
      <w:r w:rsidR="00606685" w:rsidRPr="00215B2F">
        <w:rPr>
          <w:rFonts w:ascii="Arial" w:eastAsia="Arial" w:hAnsi="Arial" w:cs="Arial"/>
          <w:sz w:val="20"/>
          <w:szCs w:val="20"/>
        </w:rPr>
        <w:t>šl</w:t>
      </w:r>
      <w:r w:rsidRPr="00215B2F">
        <w:rPr>
          <w:rFonts w:ascii="Arial" w:eastAsia="Arial" w:hAnsi="Arial" w:cs="Arial"/>
          <w:sz w:val="20"/>
          <w:szCs w:val="20"/>
        </w:rPr>
        <w:t>je tožilstvu ali policiji z namenom naznani</w:t>
      </w:r>
      <w:r w:rsidR="00621E88" w:rsidRPr="00215B2F">
        <w:rPr>
          <w:rFonts w:ascii="Arial" w:eastAsia="Arial" w:hAnsi="Arial" w:cs="Arial"/>
          <w:sz w:val="20"/>
          <w:szCs w:val="20"/>
        </w:rPr>
        <w:t>ti</w:t>
      </w:r>
      <w:r w:rsidRPr="00215B2F">
        <w:rPr>
          <w:rFonts w:ascii="Arial" w:eastAsia="Arial" w:hAnsi="Arial" w:cs="Arial"/>
          <w:sz w:val="20"/>
          <w:szCs w:val="20"/>
        </w:rPr>
        <w:t xml:space="preserve"> razloge za sum, da je bilo storjeno kaznivo dejanje.</w:t>
      </w:r>
    </w:p>
    <w:p w14:paraId="2071919C"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8C6D630" w14:textId="0102AD8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Poleg primerov iz tretjega in četrtega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lahko banka razkrije zaupne podatke tudi, če je to potrebno za izvedbo pogajanj za sklenitev pogodbe ali za izpolnjevanje pogodbe, ki jo banka sklene v okviru običajne bančne dejavnosti, in če prejemnik zagotovi ustrezno varovanje zaupnosti podatkov. Banka lahko za potrebe iz prejšnjega stavka razkrije le tiste zaupne podatke v zvezi s stranko, ki so nujno potrebni za sklenitev ali izvajanje pogodbe.</w:t>
      </w:r>
    </w:p>
    <w:p w14:paraId="060FC83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F13A430" w14:textId="766583D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Banka mora za vsako po</w:t>
      </w:r>
      <w:r w:rsidR="00606685" w:rsidRPr="00215B2F">
        <w:rPr>
          <w:rFonts w:ascii="Arial" w:eastAsia="Arial" w:hAnsi="Arial" w:cs="Arial"/>
          <w:sz w:val="20"/>
          <w:szCs w:val="20"/>
        </w:rPr>
        <w:t>šilj</w:t>
      </w:r>
      <w:r w:rsidRPr="00215B2F">
        <w:rPr>
          <w:rFonts w:ascii="Arial" w:eastAsia="Arial" w:hAnsi="Arial" w:cs="Arial"/>
          <w:sz w:val="20"/>
          <w:szCs w:val="20"/>
        </w:rPr>
        <w:t>anje zaupnih podatkov zagotoviti, da je mogoče pozneje ugotoviti, kateri zaupni podatki so bili pos</w:t>
      </w:r>
      <w:r w:rsidR="00606685" w:rsidRPr="00215B2F">
        <w:rPr>
          <w:rFonts w:ascii="Arial" w:eastAsia="Arial" w:hAnsi="Arial" w:cs="Arial"/>
          <w:sz w:val="20"/>
          <w:szCs w:val="20"/>
        </w:rPr>
        <w:t>l</w:t>
      </w:r>
      <w:r w:rsidRPr="00215B2F">
        <w:rPr>
          <w:rFonts w:ascii="Arial" w:eastAsia="Arial" w:hAnsi="Arial" w:cs="Arial"/>
          <w:sz w:val="20"/>
          <w:szCs w:val="20"/>
        </w:rPr>
        <w:t>ani, komu, kdaj in na kakšni podlagi, in sicer za obdobje desetih let po po</w:t>
      </w:r>
      <w:r w:rsidR="00606685" w:rsidRPr="00215B2F">
        <w:rPr>
          <w:rFonts w:ascii="Arial" w:eastAsia="Arial" w:hAnsi="Arial" w:cs="Arial"/>
          <w:sz w:val="20"/>
          <w:szCs w:val="20"/>
        </w:rPr>
        <w:t>šilj</w:t>
      </w:r>
      <w:r w:rsidRPr="00215B2F">
        <w:rPr>
          <w:rFonts w:ascii="Arial" w:eastAsia="Arial" w:hAnsi="Arial" w:cs="Arial"/>
          <w:sz w:val="20"/>
          <w:szCs w:val="20"/>
        </w:rPr>
        <w:t>anju teh podatkov.</w:t>
      </w:r>
    </w:p>
    <w:p w14:paraId="3F8E9A7B"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CC940BD"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17" w:name="_Ref202964583"/>
      <w:r w:rsidRPr="00215B2F">
        <w:rPr>
          <w:rFonts w:ascii="Arial" w:eastAsia="Arial" w:hAnsi="Arial" w:cs="Arial"/>
          <w:b/>
          <w:bCs/>
          <w:sz w:val="20"/>
          <w:szCs w:val="20"/>
        </w:rPr>
        <w:t>člen</w:t>
      </w:r>
      <w:bookmarkEnd w:id="217"/>
    </w:p>
    <w:p w14:paraId="48D6C302" w14:textId="77777777" w:rsidR="00D91782" w:rsidRPr="00215B2F" w:rsidRDefault="00D91782" w:rsidP="00FD5520">
      <w:pPr>
        <w:pStyle w:val="Slog1"/>
        <w:shd w:val="clear" w:color="auto" w:fill="FFFFFF" w:themeFill="background1"/>
        <w:rPr>
          <w:sz w:val="20"/>
          <w:szCs w:val="20"/>
        </w:rPr>
      </w:pPr>
      <w:r w:rsidRPr="00215B2F">
        <w:rPr>
          <w:sz w:val="20"/>
          <w:szCs w:val="20"/>
        </w:rPr>
        <w:t>(uporaba zaupnih podatkov)</w:t>
      </w:r>
    </w:p>
    <w:p w14:paraId="7204110B" w14:textId="77777777" w:rsidR="00D91782" w:rsidRPr="00215B2F" w:rsidRDefault="00D91782" w:rsidP="00FD5520">
      <w:pPr>
        <w:pStyle w:val="Slog1"/>
        <w:shd w:val="clear" w:color="auto" w:fill="FFFFFF" w:themeFill="background1"/>
        <w:jc w:val="both"/>
        <w:rPr>
          <w:sz w:val="20"/>
          <w:szCs w:val="20"/>
        </w:rPr>
      </w:pPr>
    </w:p>
    <w:p w14:paraId="210ED3BA" w14:textId="6583202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Banka Slovenije oziroma drugi organi in osebe smejo podatke, ki so jih pridobili na podlagi </w:t>
      </w:r>
      <w:r w:rsidR="00746E88" w:rsidRPr="00215B2F">
        <w:rPr>
          <w:rFonts w:ascii="Arial" w:eastAsia="Arial" w:hAnsi="Arial" w:cs="Arial"/>
          <w:sz w:val="20"/>
          <w:szCs w:val="20"/>
        </w:rPr>
        <w:t>prejšnjega člena</w:t>
      </w:r>
      <w:r w:rsidRPr="00215B2F">
        <w:rPr>
          <w:rFonts w:ascii="Arial" w:eastAsia="Arial" w:hAnsi="Arial" w:cs="Arial"/>
          <w:sz w:val="20"/>
          <w:szCs w:val="20"/>
        </w:rPr>
        <w:t>, uporabiti izključno za namen, za katerega so bili podatki pridobljeni, in jih lahko po</w:t>
      </w:r>
      <w:r w:rsidR="00606685" w:rsidRPr="00215B2F">
        <w:rPr>
          <w:rFonts w:ascii="Arial" w:eastAsia="Arial" w:hAnsi="Arial" w:cs="Arial"/>
          <w:sz w:val="20"/>
          <w:szCs w:val="20"/>
        </w:rPr>
        <w:t>šl</w:t>
      </w:r>
      <w:r w:rsidRPr="00215B2F">
        <w:rPr>
          <w:rFonts w:ascii="Arial" w:eastAsia="Arial" w:hAnsi="Arial" w:cs="Arial"/>
          <w:sz w:val="20"/>
          <w:szCs w:val="20"/>
        </w:rPr>
        <w:t>jejo drugim osebam izključno pod pogoji, določenimi v tem ali drugem zakonu.</w:t>
      </w:r>
    </w:p>
    <w:p w14:paraId="50DD3C7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264ABE4"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r w:rsidRPr="00215B2F">
        <w:rPr>
          <w:rFonts w:ascii="Arial" w:eastAsia="Arial" w:hAnsi="Arial" w:cs="Arial"/>
          <w:sz w:val="20"/>
          <w:szCs w:val="20"/>
        </w:rPr>
        <w:t xml:space="preserve">6. POGLAVJE: </w:t>
      </w:r>
      <w:r w:rsidRPr="00215B2F">
        <w:rPr>
          <w:rFonts w:ascii="Arial" w:eastAsia="Arial" w:hAnsi="Arial" w:cs="Arial"/>
          <w:sz w:val="20"/>
          <w:szCs w:val="20"/>
        </w:rPr>
        <w:br/>
        <w:t>UREDITEV NOTRANJEGA UPRAVLJANJA IN USTREZNI NOTRANJI KAPITAL</w:t>
      </w:r>
    </w:p>
    <w:p w14:paraId="7B2338CB"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1146C454" w14:textId="72767673" w:rsidR="00D91782" w:rsidRPr="00215B2F" w:rsidRDefault="00D91782" w:rsidP="00FD5520">
      <w:pPr>
        <w:pStyle w:val="Slog3"/>
        <w:shd w:val="clear" w:color="auto" w:fill="FFFFFF" w:themeFill="background1"/>
        <w:rPr>
          <w:sz w:val="20"/>
          <w:szCs w:val="20"/>
        </w:rPr>
      </w:pPr>
      <w:r w:rsidRPr="00215B2F">
        <w:rPr>
          <w:sz w:val="20"/>
          <w:szCs w:val="20"/>
        </w:rPr>
        <w:t>6.1 SPLOŠNE DOLOČBE</w:t>
      </w:r>
    </w:p>
    <w:p w14:paraId="62E6724D"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3DBBDF1F"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18" w:name="_Ref202964590"/>
      <w:r w:rsidRPr="00215B2F">
        <w:rPr>
          <w:rFonts w:ascii="Arial" w:eastAsia="Arial" w:hAnsi="Arial" w:cs="Arial"/>
          <w:b/>
          <w:bCs/>
          <w:sz w:val="20"/>
          <w:szCs w:val="20"/>
        </w:rPr>
        <w:t>člen</w:t>
      </w:r>
      <w:bookmarkEnd w:id="218"/>
    </w:p>
    <w:p w14:paraId="14F541EF" w14:textId="5FE9D35B" w:rsidR="00D91782" w:rsidRPr="00215B2F" w:rsidRDefault="00D91782" w:rsidP="00FD5520">
      <w:pPr>
        <w:pStyle w:val="Slog1"/>
        <w:shd w:val="clear" w:color="auto" w:fill="FFFFFF" w:themeFill="background1"/>
        <w:rPr>
          <w:sz w:val="20"/>
          <w:szCs w:val="20"/>
        </w:rPr>
      </w:pPr>
      <w:r w:rsidRPr="00215B2F">
        <w:rPr>
          <w:sz w:val="20"/>
          <w:szCs w:val="20"/>
        </w:rPr>
        <w:t>(stabiln</w:t>
      </w:r>
      <w:r w:rsidR="00D575D0" w:rsidRPr="00215B2F">
        <w:rPr>
          <w:sz w:val="20"/>
          <w:szCs w:val="20"/>
        </w:rPr>
        <w:t>e</w:t>
      </w:r>
      <w:r w:rsidRPr="00215B2F">
        <w:rPr>
          <w:sz w:val="20"/>
          <w:szCs w:val="20"/>
        </w:rPr>
        <w:t xml:space="preserve"> ureditv</w:t>
      </w:r>
      <w:r w:rsidR="00D575D0" w:rsidRPr="00215B2F">
        <w:rPr>
          <w:sz w:val="20"/>
          <w:szCs w:val="20"/>
        </w:rPr>
        <w:t>e</w:t>
      </w:r>
      <w:r w:rsidRPr="00215B2F">
        <w:rPr>
          <w:sz w:val="20"/>
          <w:szCs w:val="20"/>
        </w:rPr>
        <w:t xml:space="preserve"> notranjega upravljanja)</w:t>
      </w:r>
    </w:p>
    <w:p w14:paraId="1FEF1F81" w14:textId="77777777" w:rsidR="00D91782" w:rsidRPr="00215B2F" w:rsidRDefault="00D91782" w:rsidP="00FD5520">
      <w:pPr>
        <w:pStyle w:val="Slog1"/>
        <w:shd w:val="clear" w:color="auto" w:fill="FFFFFF" w:themeFill="background1"/>
        <w:jc w:val="both"/>
        <w:rPr>
          <w:sz w:val="20"/>
          <w:szCs w:val="20"/>
        </w:rPr>
      </w:pPr>
    </w:p>
    <w:p w14:paraId="33985BC0" w14:textId="285E256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(1) Banka mora imeti stabiln</w:t>
      </w:r>
      <w:r w:rsidR="00D575D0" w:rsidRPr="00215B2F">
        <w:rPr>
          <w:rFonts w:ascii="Arial" w:eastAsia="Arial" w:hAnsi="Arial" w:cs="Arial"/>
          <w:sz w:val="20"/>
          <w:szCs w:val="20"/>
        </w:rPr>
        <w:t>e</w:t>
      </w:r>
      <w:r w:rsidRPr="00215B2F">
        <w:rPr>
          <w:rFonts w:ascii="Arial" w:eastAsia="Arial" w:hAnsi="Arial" w:cs="Arial"/>
          <w:sz w:val="20"/>
          <w:szCs w:val="20"/>
        </w:rPr>
        <w:t xml:space="preserve"> ureditv</w:t>
      </w:r>
      <w:r w:rsidR="00D575D0" w:rsidRPr="00215B2F">
        <w:rPr>
          <w:rFonts w:ascii="Arial" w:eastAsia="Arial" w:hAnsi="Arial" w:cs="Arial"/>
          <w:sz w:val="20"/>
          <w:szCs w:val="20"/>
        </w:rPr>
        <w:t>e</w:t>
      </w:r>
      <w:r w:rsidRPr="00215B2F">
        <w:rPr>
          <w:rFonts w:ascii="Arial" w:eastAsia="Arial" w:hAnsi="Arial" w:cs="Arial"/>
          <w:sz w:val="20"/>
          <w:szCs w:val="20"/>
        </w:rPr>
        <w:t xml:space="preserve"> notranjega upravljanja, ki </w:t>
      </w:r>
      <w:r w:rsidR="00D575D0" w:rsidRPr="00215B2F">
        <w:rPr>
          <w:rFonts w:ascii="Arial" w:eastAsia="Arial" w:hAnsi="Arial" w:cs="Arial"/>
          <w:sz w:val="20"/>
          <w:szCs w:val="20"/>
        </w:rPr>
        <w:t>vključujejo</w:t>
      </w:r>
      <w:r w:rsidRPr="00215B2F">
        <w:rPr>
          <w:rFonts w:ascii="Arial" w:eastAsia="Arial" w:hAnsi="Arial" w:cs="Arial"/>
          <w:sz w:val="20"/>
          <w:szCs w:val="20"/>
        </w:rPr>
        <w:t>:</w:t>
      </w:r>
    </w:p>
    <w:p w14:paraId="6346EE2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0D68546" w14:textId="77777777" w:rsidR="00C95B7A" w:rsidRPr="00215B2F" w:rsidRDefault="00D91782">
      <w:pPr>
        <w:pStyle w:val="tevilnatoka"/>
        <w:numPr>
          <w:ilvl w:val="0"/>
          <w:numId w:val="116"/>
        </w:numPr>
        <w:shd w:val="clear" w:color="auto" w:fill="FFFFFF" w:themeFill="background1"/>
        <w:tabs>
          <w:tab w:val="clear" w:pos="425"/>
        </w:tabs>
        <w:rPr>
          <w:rFonts w:cs="Arial"/>
          <w:bCs/>
          <w:sz w:val="20"/>
          <w:szCs w:val="20"/>
        </w:rPr>
      </w:pPr>
      <w:r w:rsidRPr="00215B2F">
        <w:rPr>
          <w:rFonts w:eastAsia="Arial" w:cs="Arial"/>
          <w:sz w:val="20"/>
          <w:szCs w:val="20"/>
        </w:rPr>
        <w:t>jasno organizacijsko strukturo z natančno opredeljenimi, preglednimi in doslednimi notranjimi razmerji glede odgovornosti;</w:t>
      </w:r>
    </w:p>
    <w:p w14:paraId="021B8620" w14:textId="3E1ACCC7" w:rsidR="00C95B7A" w:rsidRPr="00215B2F" w:rsidRDefault="00D91782">
      <w:pPr>
        <w:pStyle w:val="tevilnatoka"/>
        <w:numPr>
          <w:ilvl w:val="0"/>
          <w:numId w:val="116"/>
        </w:numPr>
        <w:shd w:val="clear" w:color="auto" w:fill="FFFFFF" w:themeFill="background1"/>
        <w:tabs>
          <w:tab w:val="clear" w:pos="425"/>
        </w:tabs>
        <w:rPr>
          <w:rFonts w:cs="Arial"/>
          <w:bCs/>
          <w:sz w:val="20"/>
          <w:szCs w:val="20"/>
        </w:rPr>
      </w:pPr>
      <w:r w:rsidRPr="00215B2F">
        <w:rPr>
          <w:rFonts w:eastAsia="Arial" w:cs="Arial"/>
          <w:sz w:val="20"/>
          <w:szCs w:val="20"/>
        </w:rPr>
        <w:t xml:space="preserve">učinkovite </w:t>
      </w:r>
      <w:r w:rsidR="00D575D0" w:rsidRPr="00215B2F">
        <w:rPr>
          <w:rFonts w:eastAsia="Arial" w:cs="Arial"/>
          <w:sz w:val="20"/>
          <w:szCs w:val="20"/>
        </w:rPr>
        <w:t xml:space="preserve">procese </w:t>
      </w:r>
      <w:r w:rsidRPr="00215B2F">
        <w:rPr>
          <w:rFonts w:eastAsia="Arial" w:cs="Arial"/>
          <w:sz w:val="20"/>
          <w:szCs w:val="20"/>
        </w:rPr>
        <w:t xml:space="preserve">upravljanja tveganj za ugotavljanje, upravljanje, merjenje oziroma ocenjevanje in spremljanje tveganj, vključno z ESG tveganji v kratkoročnem, srednjeročnem in dolgoročnem obdobju in tveganjem koncentracije, ki izhaja iz izpostavljenosti do centralnih nasprotnih strank, ob upoštevanju pogojev iz </w:t>
      </w:r>
      <w:r w:rsidR="00947D95" w:rsidRPr="00215B2F">
        <w:rPr>
          <w:rFonts w:eastAsia="Arial" w:cs="Arial"/>
          <w:sz w:val="20"/>
          <w:szCs w:val="20"/>
        </w:rPr>
        <w:t xml:space="preserve">7.a </w:t>
      </w:r>
      <w:r w:rsidRPr="00215B2F">
        <w:rPr>
          <w:rFonts w:eastAsia="Arial" w:cs="Arial"/>
          <w:sz w:val="20"/>
          <w:szCs w:val="20"/>
        </w:rPr>
        <w:t>člena Uredbe 648/2012/EU</w:t>
      </w:r>
      <w:r w:rsidR="00947D95" w:rsidRPr="00215B2F">
        <w:rPr>
          <w:rFonts w:eastAsia="Arial" w:cs="Arial"/>
          <w:sz w:val="20"/>
          <w:szCs w:val="20"/>
        </w:rPr>
        <w:t>,</w:t>
      </w:r>
      <w:r w:rsidRPr="00215B2F">
        <w:rPr>
          <w:rFonts w:eastAsia="Arial" w:cs="Arial"/>
          <w:sz w:val="20"/>
          <w:szCs w:val="20"/>
        </w:rPr>
        <w:t xml:space="preserve"> načrt</w:t>
      </w:r>
      <w:r w:rsidR="00F6193E" w:rsidRPr="00215B2F">
        <w:rPr>
          <w:rFonts w:eastAsia="Arial" w:cs="Arial"/>
          <w:sz w:val="20"/>
          <w:szCs w:val="20"/>
        </w:rPr>
        <w:t>om</w:t>
      </w:r>
      <w:r w:rsidRPr="00215B2F">
        <w:rPr>
          <w:rFonts w:eastAsia="Arial" w:cs="Arial"/>
          <w:sz w:val="20"/>
          <w:szCs w:val="20"/>
        </w:rPr>
        <w:t xml:space="preserve"> sanacije </w:t>
      </w:r>
      <w:r w:rsidR="00947D95" w:rsidRPr="00215B2F">
        <w:rPr>
          <w:rFonts w:eastAsia="Arial" w:cs="Arial"/>
          <w:sz w:val="20"/>
          <w:szCs w:val="20"/>
        </w:rPr>
        <w:t xml:space="preserve">in </w:t>
      </w:r>
      <w:r w:rsidRPr="00215B2F">
        <w:rPr>
          <w:rFonts w:eastAsia="Arial" w:cs="Arial"/>
          <w:sz w:val="20"/>
          <w:szCs w:val="20"/>
        </w:rPr>
        <w:t>poročanjem o tveganjih, ki jim je banka izpostavljena pri svojem poslovanju ali bi jim lahko bila</w:t>
      </w:r>
      <w:r w:rsidR="00223C43" w:rsidRPr="00215B2F">
        <w:rPr>
          <w:rFonts w:eastAsia="Arial" w:cs="Arial"/>
          <w:sz w:val="20"/>
          <w:szCs w:val="20"/>
        </w:rPr>
        <w:t xml:space="preserve"> izpostavljena</w:t>
      </w:r>
      <w:r w:rsidRPr="00215B2F">
        <w:rPr>
          <w:rFonts w:eastAsia="Arial" w:cs="Arial"/>
          <w:sz w:val="20"/>
          <w:szCs w:val="20"/>
        </w:rPr>
        <w:t>;</w:t>
      </w:r>
    </w:p>
    <w:p w14:paraId="626AD511" w14:textId="131F4CC4" w:rsidR="00C95B7A" w:rsidRPr="00215B2F" w:rsidRDefault="00D91782">
      <w:pPr>
        <w:pStyle w:val="tevilnatoka"/>
        <w:numPr>
          <w:ilvl w:val="0"/>
          <w:numId w:val="116"/>
        </w:numPr>
        <w:shd w:val="clear" w:color="auto" w:fill="FFFFFF" w:themeFill="background1"/>
        <w:tabs>
          <w:tab w:val="clear" w:pos="425"/>
        </w:tabs>
        <w:rPr>
          <w:rFonts w:cs="Arial"/>
          <w:bCs/>
          <w:sz w:val="20"/>
          <w:szCs w:val="20"/>
        </w:rPr>
      </w:pPr>
      <w:r w:rsidRPr="00215B2F">
        <w:rPr>
          <w:rFonts w:eastAsia="Arial" w:cs="Arial"/>
          <w:sz w:val="20"/>
          <w:szCs w:val="20"/>
        </w:rPr>
        <w:t>primerne mehanizme notranjih kontrol, vključno z zanesljivimi administrativnimi in računovodskimi postopki</w:t>
      </w:r>
      <w:r w:rsidR="00947D95" w:rsidRPr="00215B2F">
        <w:rPr>
          <w:rFonts w:eastAsia="Arial" w:cs="Arial"/>
          <w:sz w:val="20"/>
          <w:szCs w:val="20"/>
        </w:rPr>
        <w:t>;</w:t>
      </w:r>
      <w:r w:rsidRPr="00215B2F">
        <w:rPr>
          <w:rFonts w:eastAsia="Arial" w:cs="Arial"/>
          <w:sz w:val="20"/>
          <w:szCs w:val="20"/>
        </w:rPr>
        <w:t xml:space="preserve"> </w:t>
      </w:r>
    </w:p>
    <w:p w14:paraId="5DE54929" w14:textId="69F6F11E" w:rsidR="004761A7" w:rsidRPr="00215B2F" w:rsidRDefault="00D91782" w:rsidP="004761A7">
      <w:pPr>
        <w:pStyle w:val="tevilnatoka"/>
        <w:numPr>
          <w:ilvl w:val="0"/>
          <w:numId w:val="116"/>
        </w:numPr>
        <w:shd w:val="clear" w:color="auto" w:fill="FFFFFF" w:themeFill="background1"/>
        <w:tabs>
          <w:tab w:val="clear" w:pos="425"/>
        </w:tabs>
        <w:rPr>
          <w:rFonts w:cs="Arial"/>
          <w:bCs/>
          <w:sz w:val="20"/>
          <w:szCs w:val="20"/>
        </w:rPr>
      </w:pPr>
      <w:r w:rsidRPr="00215B2F">
        <w:rPr>
          <w:rFonts w:eastAsia="Arial" w:cs="Arial"/>
          <w:sz w:val="20"/>
          <w:szCs w:val="20"/>
        </w:rPr>
        <w:t xml:space="preserve">omrežne in informacijske sisteme, ki so vzpostavljeni in upravljani v skladu z Uredbo (EU) 2022/2554 Evropskega parlamenta in Sveta z dne 14. decembra 2022 o digitalni operativni odpornosti za finančni sektor in spremembi uredb (ES) št. 1060/2009, (EU) št. 648/2012, (EU) št. 600/2014, (EU) št. 909/2014 in (EU) 2016/1011 (UL L št. 333 z dne 27. 12. 2022, str. 1), zadnjič dopolnjeno z </w:t>
      </w:r>
      <w:r w:rsidR="004761A7" w:rsidRPr="00215B2F">
        <w:rPr>
          <w:rFonts w:eastAsia="Arial" w:cs="Arial"/>
          <w:sz w:val="20"/>
          <w:szCs w:val="20"/>
        </w:rPr>
        <w:t>Delegirano uredbo Komisije (EU) 2025/1190 z dne 13. februarja 2025 o dopolnitvi Uredbe (EU) 2022/2554 Evropskega parlamenta in Sveta v zvezi z regulativnimi tehničnimi standardi, ki določajo merila, ki se uporabljajo za opredelitev finančnih subjektov, ki morajo izvajati penetracijsko testiranje na podlagi groženj, zahteve in standarde, ki urejajo uporabo notranjih preizkuševalcev, zahteve v zvezi z obsegom, metodologijo in pristopom testiranja za vsako fazo testiranja, rezultate, zaključno fazo in fazo sanacije ter vrsto sodelovanja nadzornih organov in drugega ustreznega sodelovanja, ki je potrebno za izvedbo penetracijskega testiranja na podlagi analize groženj in njegovo lažje vzajemno priznavanje</w:t>
      </w:r>
      <w:r w:rsidR="004761A7" w:rsidRPr="00215B2F">
        <w:rPr>
          <w:rFonts w:ascii="Roboto" w:eastAsiaTheme="minorHAnsi" w:hAnsi="Roboto" w:cstheme="minorBidi"/>
          <w:color w:val="333333"/>
          <w:kern w:val="2"/>
          <w:sz w:val="21"/>
          <w:szCs w:val="21"/>
          <w:shd w:val="clear" w:color="auto" w:fill="FFFFFF"/>
          <w:lang w:eastAsia="en-US"/>
          <w14:ligatures w14:val="standardContextual"/>
        </w:rPr>
        <w:t xml:space="preserve"> (</w:t>
      </w:r>
      <w:r w:rsidR="004761A7" w:rsidRPr="00215B2F">
        <w:rPr>
          <w:rFonts w:eastAsia="Arial" w:cs="Arial"/>
          <w:sz w:val="20"/>
          <w:szCs w:val="20"/>
        </w:rPr>
        <w:t>UL L št. 2025/1190 z dne 18. 6. 2025), (v nadaljnjem besedilu: Uredba 2022/2554/EU);</w:t>
      </w:r>
    </w:p>
    <w:p w14:paraId="344AD50F" w14:textId="32D0B02E" w:rsidR="00D91782" w:rsidRPr="00215B2F" w:rsidRDefault="00D91782">
      <w:pPr>
        <w:pStyle w:val="tevilnatoka"/>
        <w:numPr>
          <w:ilvl w:val="0"/>
          <w:numId w:val="116"/>
        </w:numPr>
        <w:shd w:val="clear" w:color="auto" w:fill="FFFFFF" w:themeFill="background1"/>
        <w:tabs>
          <w:tab w:val="clear" w:pos="425"/>
        </w:tabs>
        <w:rPr>
          <w:rFonts w:cs="Arial"/>
          <w:bCs/>
          <w:sz w:val="20"/>
          <w:szCs w:val="20"/>
        </w:rPr>
      </w:pPr>
      <w:r w:rsidRPr="00215B2F">
        <w:rPr>
          <w:rFonts w:eastAsia="Arial" w:cs="Arial"/>
          <w:sz w:val="20"/>
          <w:szCs w:val="20"/>
        </w:rPr>
        <w:t xml:space="preserve">ustrezne politike in prakse prejemkov, ki so skladne s preudarnim in učinkovitim upravljanjem tveganj </w:t>
      </w:r>
      <w:r w:rsidR="00947D95" w:rsidRPr="00215B2F">
        <w:rPr>
          <w:rFonts w:eastAsia="Arial" w:cs="Arial"/>
          <w:sz w:val="20"/>
          <w:szCs w:val="20"/>
        </w:rPr>
        <w:t xml:space="preserve">ter </w:t>
      </w:r>
      <w:r w:rsidRPr="00215B2F">
        <w:rPr>
          <w:rFonts w:eastAsia="Arial" w:cs="Arial"/>
          <w:sz w:val="20"/>
          <w:szCs w:val="20"/>
        </w:rPr>
        <w:t>tako upravljanje tudi spodbujajo, tudi z upoštevanjem nagnjenosti banke k prevzemanju tveganj z vidika ESG tveganj, ter so nevtralne glede na spol.</w:t>
      </w:r>
    </w:p>
    <w:p w14:paraId="4C3F44B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5DC75A5" w14:textId="7E84EB2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Ureditev notranjega upravljanja mora biti celovita in sorazmerna z naravo, obsegom in zapletenostjo tveganj, ki izhajajo iz poslovnega modela banke in dejavnosti, ki jih opravlja banka. Pri tem banka upošteva tehnična merila iz tega poglavja.</w:t>
      </w:r>
    </w:p>
    <w:p w14:paraId="659A029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0618DC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19" w:name="_Ref202964599"/>
      <w:r w:rsidRPr="00215B2F">
        <w:rPr>
          <w:rFonts w:ascii="Arial" w:eastAsia="Arial" w:hAnsi="Arial" w:cs="Arial"/>
          <w:b/>
          <w:bCs/>
          <w:sz w:val="20"/>
          <w:szCs w:val="20"/>
        </w:rPr>
        <w:t>člen</w:t>
      </w:r>
      <w:bookmarkEnd w:id="219"/>
    </w:p>
    <w:p w14:paraId="11D3C23D" w14:textId="77777777" w:rsidR="00D91782" w:rsidRPr="00215B2F" w:rsidRDefault="00D91782" w:rsidP="00FD5520">
      <w:pPr>
        <w:pStyle w:val="Slog1"/>
        <w:shd w:val="clear" w:color="auto" w:fill="FFFFFF" w:themeFill="background1"/>
        <w:rPr>
          <w:sz w:val="20"/>
          <w:szCs w:val="20"/>
        </w:rPr>
      </w:pPr>
      <w:r w:rsidRPr="00215B2F">
        <w:rPr>
          <w:sz w:val="20"/>
          <w:szCs w:val="20"/>
        </w:rPr>
        <w:t>(kapitalska ustreznost)</w:t>
      </w:r>
    </w:p>
    <w:p w14:paraId="03CF4F51" w14:textId="77777777" w:rsidR="00D91782" w:rsidRPr="00215B2F" w:rsidRDefault="00D91782" w:rsidP="00FD5520">
      <w:pPr>
        <w:pStyle w:val="Slog1"/>
        <w:shd w:val="clear" w:color="auto" w:fill="FFFFFF" w:themeFill="background1"/>
        <w:jc w:val="both"/>
        <w:rPr>
          <w:sz w:val="20"/>
          <w:szCs w:val="20"/>
        </w:rPr>
      </w:pPr>
    </w:p>
    <w:p w14:paraId="43228FE5" w14:textId="071C968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mora zagotoviti, da vedno razpolaga z ustreznim kapitalom za pokrivanje kapitalskih zahtev iz 92. člena Uredbe 575/2013/EU, zahtev na podlagi </w:t>
      </w:r>
      <w:r w:rsidR="009E55E7" w:rsidRPr="00215B2F">
        <w:rPr>
          <w:rFonts w:ascii="Arial" w:eastAsia="Arial" w:hAnsi="Arial" w:cs="Arial"/>
          <w:sz w:val="20"/>
          <w:szCs w:val="20"/>
        </w:rPr>
        <w:t>238</w:t>
      </w:r>
      <w:r w:rsidRPr="00215B2F">
        <w:rPr>
          <w:rFonts w:ascii="Arial" w:eastAsia="Arial" w:hAnsi="Arial" w:cs="Arial"/>
          <w:sz w:val="20"/>
          <w:szCs w:val="20"/>
        </w:rPr>
        <w:t xml:space="preserve">. člena in 1. točke drugega odstavka </w:t>
      </w:r>
      <w:r w:rsidR="009E55E7" w:rsidRPr="00215B2F">
        <w:rPr>
          <w:rFonts w:ascii="Arial" w:eastAsia="Arial" w:hAnsi="Arial" w:cs="Arial"/>
          <w:sz w:val="20"/>
          <w:szCs w:val="20"/>
        </w:rPr>
        <w:t>345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zahtev po vzdrževanju kapitalskih blažilnikov na podlagi 7. </w:t>
      </w:r>
      <w:r w:rsidR="001F2C7A" w:rsidRPr="00215B2F">
        <w:rPr>
          <w:rFonts w:ascii="Arial" w:eastAsia="Arial" w:hAnsi="Arial" w:cs="Arial"/>
          <w:sz w:val="20"/>
          <w:szCs w:val="20"/>
        </w:rPr>
        <w:t>poglavja tega zakona</w:t>
      </w:r>
      <w:r w:rsidRPr="00215B2F">
        <w:rPr>
          <w:rFonts w:ascii="Arial" w:eastAsia="Arial" w:hAnsi="Arial" w:cs="Arial"/>
          <w:sz w:val="20"/>
          <w:szCs w:val="20"/>
        </w:rPr>
        <w:t xml:space="preserve"> ter za zagotavljanje ustreznega notranjega kapitala v skladu s </w:t>
      </w:r>
      <w:r w:rsidR="009E55E7" w:rsidRPr="00215B2F">
        <w:rPr>
          <w:rFonts w:ascii="Arial" w:eastAsia="Arial" w:hAnsi="Arial" w:cs="Arial"/>
          <w:sz w:val="20"/>
          <w:szCs w:val="20"/>
        </w:rPr>
        <w:t>180</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62958861"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FF72A3F" w14:textId="7473EB0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lahko vključi kapitalske instrumente iz 52. in 63. člena Uredbe 575/2013/EU v izračun kapitala, če pridobi dovoljenje Banke Slovenije ali Evropske centralne banke, kadar je ta pri opravljanju nadzora nad banko v skladu z Uredbo 1024/2013/EU odgovorna za izvajanje nalog iz točke (d) prvega odstavka 4. člena </w:t>
      </w:r>
      <w:r w:rsidR="00091BC8" w:rsidRPr="00215B2F">
        <w:rPr>
          <w:rFonts w:ascii="Arial" w:eastAsia="Arial" w:hAnsi="Arial" w:cs="Arial"/>
          <w:sz w:val="20"/>
          <w:szCs w:val="20"/>
        </w:rPr>
        <w:t>navedene uredbe</w:t>
      </w:r>
      <w:r w:rsidRPr="00215B2F">
        <w:rPr>
          <w:rFonts w:ascii="Arial" w:eastAsia="Arial" w:hAnsi="Arial" w:cs="Arial"/>
          <w:sz w:val="20"/>
          <w:szCs w:val="20"/>
        </w:rPr>
        <w:t>, za vključitev posameznega kapitalskega instrumenta v izračun kapitala.</w:t>
      </w:r>
    </w:p>
    <w:p w14:paraId="39E2D8D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81C757F" w14:textId="075097F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Dovoljenje iz prejšnjega odstavka se izda, če kapitalski instrument izpolnjuje pogoje, določene v Uredbi 575/2013/EU.</w:t>
      </w:r>
    </w:p>
    <w:p w14:paraId="3E8ECCB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6D47556" w14:textId="6FE8519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predpiše:</w:t>
      </w:r>
    </w:p>
    <w:p w14:paraId="78D00ECB"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3DA8EBD9" w14:textId="487C4331" w:rsidR="00C95B7A"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dokumentacijo, ki jo predloži banka zahtevi za izdajo dovoljenja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ter dovoljenja iz tretjega odstavka 26. člena Uredbe 575/2013/EU</w:t>
      </w:r>
      <w:r w:rsidR="00F374F5" w:rsidRPr="00215B2F">
        <w:rPr>
          <w:rFonts w:ascii="Arial" w:eastAsia="Arial" w:hAnsi="Arial" w:cs="Arial"/>
          <w:sz w:val="20"/>
          <w:szCs w:val="20"/>
        </w:rPr>
        <w:t>,</w:t>
      </w:r>
      <w:r w:rsidRPr="00215B2F">
        <w:rPr>
          <w:rFonts w:ascii="Arial" w:eastAsia="Arial" w:hAnsi="Arial" w:cs="Arial"/>
          <w:sz w:val="20"/>
          <w:szCs w:val="20"/>
        </w:rPr>
        <w:t xml:space="preserve"> in</w:t>
      </w:r>
    </w:p>
    <w:p w14:paraId="63922C60" w14:textId="23F66F4E"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dokumentacijo, ki jo predloži banka obvestilu za naknadne izdaje oblik instrumentov navadnega lastniškega temeljnega kapitala iz drugega pododstavka tretjega odstavka 26. člena Uredbe 575/2013/EU, in rok za po</w:t>
      </w:r>
      <w:r w:rsidR="00F374F5" w:rsidRPr="00215B2F">
        <w:rPr>
          <w:rFonts w:ascii="Arial" w:eastAsia="Arial" w:hAnsi="Arial" w:cs="Arial"/>
          <w:sz w:val="20"/>
          <w:szCs w:val="20"/>
        </w:rPr>
        <w:t>šilj</w:t>
      </w:r>
      <w:r w:rsidRPr="00215B2F">
        <w:rPr>
          <w:rFonts w:ascii="Arial" w:eastAsia="Arial" w:hAnsi="Arial" w:cs="Arial"/>
          <w:sz w:val="20"/>
          <w:szCs w:val="20"/>
        </w:rPr>
        <w:t>anje obvestila pred razvrstitvijo instrumentov kot instrumentov navadnega lastniškega temeljnega kapitala.</w:t>
      </w:r>
    </w:p>
    <w:p w14:paraId="79BD3C2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BB9D03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20" w:name="_Ref202964615"/>
      <w:r w:rsidRPr="00215B2F">
        <w:rPr>
          <w:rFonts w:ascii="Arial" w:eastAsia="Arial" w:hAnsi="Arial" w:cs="Arial"/>
          <w:b/>
          <w:bCs/>
          <w:sz w:val="20"/>
          <w:szCs w:val="20"/>
        </w:rPr>
        <w:t>člen</w:t>
      </w:r>
      <w:bookmarkEnd w:id="220"/>
    </w:p>
    <w:p w14:paraId="75B9B893" w14:textId="77777777" w:rsidR="00D91782" w:rsidRPr="00215B2F" w:rsidRDefault="00D91782" w:rsidP="00FD5520">
      <w:pPr>
        <w:pStyle w:val="Slog1"/>
        <w:shd w:val="clear" w:color="auto" w:fill="FFFFFF" w:themeFill="background1"/>
        <w:rPr>
          <w:sz w:val="20"/>
          <w:szCs w:val="20"/>
        </w:rPr>
      </w:pPr>
      <w:r w:rsidRPr="00215B2F">
        <w:rPr>
          <w:sz w:val="20"/>
          <w:szCs w:val="20"/>
        </w:rPr>
        <w:t>(ustrezna likvidnost)</w:t>
      </w:r>
    </w:p>
    <w:p w14:paraId="70EACFF1" w14:textId="77777777" w:rsidR="00D91782" w:rsidRPr="00215B2F" w:rsidRDefault="00D91782" w:rsidP="00FD5520">
      <w:pPr>
        <w:pStyle w:val="Slog1"/>
        <w:shd w:val="clear" w:color="auto" w:fill="FFFFFF" w:themeFill="background1"/>
        <w:jc w:val="both"/>
        <w:rPr>
          <w:sz w:val="20"/>
          <w:szCs w:val="20"/>
        </w:rPr>
      </w:pPr>
    </w:p>
    <w:p w14:paraId="7B384A28" w14:textId="58FC8B4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Banka mora zagotoviti, da je vedno sposobna izpolnjevati likvidnostne zahteve iz 6. dela Uredbe 575/2013/EU in predpisov, izdanih </w:t>
      </w:r>
      <w:r w:rsidR="003669BD" w:rsidRPr="00215B2F">
        <w:rPr>
          <w:rFonts w:ascii="Arial" w:eastAsia="Arial" w:hAnsi="Arial" w:cs="Arial"/>
          <w:sz w:val="20"/>
          <w:szCs w:val="20"/>
        </w:rPr>
        <w:t>v skladu s</w:t>
      </w:r>
      <w:r w:rsidRPr="00215B2F">
        <w:rPr>
          <w:rFonts w:ascii="Arial" w:eastAsia="Arial" w:hAnsi="Arial" w:cs="Arial"/>
          <w:sz w:val="20"/>
          <w:szCs w:val="20"/>
        </w:rPr>
        <w:t xml:space="preserve"> 460. in 510. člen</w:t>
      </w:r>
      <w:r w:rsidR="003669BD" w:rsidRPr="00215B2F">
        <w:rPr>
          <w:rFonts w:ascii="Arial" w:eastAsia="Arial" w:hAnsi="Arial" w:cs="Arial"/>
          <w:sz w:val="20"/>
          <w:szCs w:val="20"/>
        </w:rPr>
        <w:t>om</w:t>
      </w:r>
      <w:r w:rsidRPr="00215B2F">
        <w:rPr>
          <w:rFonts w:ascii="Arial" w:eastAsia="Arial" w:hAnsi="Arial" w:cs="Arial"/>
          <w:sz w:val="20"/>
          <w:szCs w:val="20"/>
        </w:rPr>
        <w:t xml:space="preserve"> </w:t>
      </w:r>
      <w:r w:rsidR="00091BC8" w:rsidRPr="00215B2F">
        <w:rPr>
          <w:rFonts w:ascii="Arial" w:eastAsia="Arial" w:hAnsi="Arial" w:cs="Arial"/>
          <w:sz w:val="20"/>
          <w:szCs w:val="20"/>
        </w:rPr>
        <w:t>navedene uredbe</w:t>
      </w:r>
      <w:r w:rsidRPr="00215B2F">
        <w:rPr>
          <w:rFonts w:ascii="Arial" w:eastAsia="Arial" w:hAnsi="Arial" w:cs="Arial"/>
          <w:sz w:val="20"/>
          <w:szCs w:val="20"/>
        </w:rPr>
        <w:t xml:space="preserve">, ter zahteve na podlagi petega odstavka </w:t>
      </w:r>
      <w:r w:rsidR="00222745" w:rsidRPr="00215B2F">
        <w:rPr>
          <w:rFonts w:ascii="Arial" w:eastAsia="Arial" w:hAnsi="Arial" w:cs="Arial"/>
          <w:sz w:val="20"/>
          <w:szCs w:val="20"/>
        </w:rPr>
        <w:t>345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da je v vsakem trenutku sposobna pravočasno izpolnjevati svoje zapadle obveznosti.</w:t>
      </w:r>
    </w:p>
    <w:p w14:paraId="3981D93E"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4577EAFA"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21" w:name="_Ref202964622"/>
      <w:r w:rsidRPr="00215B2F">
        <w:rPr>
          <w:rFonts w:ascii="Arial" w:eastAsia="Arial" w:hAnsi="Arial" w:cs="Arial"/>
          <w:b/>
          <w:bCs/>
          <w:sz w:val="20"/>
          <w:szCs w:val="20"/>
        </w:rPr>
        <w:t>člen</w:t>
      </w:r>
      <w:bookmarkEnd w:id="221"/>
    </w:p>
    <w:p w14:paraId="1CB494E3" w14:textId="77777777" w:rsidR="00D91782" w:rsidRPr="00215B2F" w:rsidRDefault="00D91782" w:rsidP="00FD5520">
      <w:pPr>
        <w:pStyle w:val="Slog1"/>
        <w:shd w:val="clear" w:color="auto" w:fill="FFFFFF" w:themeFill="background1"/>
        <w:rPr>
          <w:sz w:val="20"/>
          <w:szCs w:val="20"/>
        </w:rPr>
      </w:pPr>
      <w:r w:rsidRPr="00215B2F">
        <w:rPr>
          <w:sz w:val="20"/>
          <w:szCs w:val="20"/>
        </w:rPr>
        <w:t>(ocenjevanje in zagotavljanje ustreznega notranjega kapitala)</w:t>
      </w:r>
    </w:p>
    <w:p w14:paraId="56C09B7C" w14:textId="77777777" w:rsidR="00D91782" w:rsidRPr="00215B2F" w:rsidRDefault="00D91782" w:rsidP="00FD5520">
      <w:pPr>
        <w:pStyle w:val="Slog1"/>
        <w:shd w:val="clear" w:color="auto" w:fill="FFFFFF" w:themeFill="background1"/>
        <w:jc w:val="both"/>
        <w:rPr>
          <w:sz w:val="20"/>
          <w:szCs w:val="20"/>
        </w:rPr>
      </w:pPr>
    </w:p>
    <w:p w14:paraId="3619C7C7" w14:textId="264C6CF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mora imeti primerne, učinkovite in celovite strategije in </w:t>
      </w:r>
      <w:r w:rsidR="00D575D0" w:rsidRPr="00215B2F">
        <w:rPr>
          <w:rFonts w:ascii="Arial" w:eastAsia="Arial" w:hAnsi="Arial" w:cs="Arial"/>
          <w:sz w:val="20"/>
          <w:szCs w:val="20"/>
        </w:rPr>
        <w:t xml:space="preserve">procese </w:t>
      </w:r>
      <w:r w:rsidR="007E60CE" w:rsidRPr="00215B2F">
        <w:rPr>
          <w:rFonts w:ascii="Arial" w:eastAsia="Arial" w:hAnsi="Arial" w:cs="Arial"/>
          <w:sz w:val="20"/>
          <w:szCs w:val="20"/>
        </w:rPr>
        <w:t>za</w:t>
      </w:r>
      <w:r w:rsidRPr="00215B2F">
        <w:rPr>
          <w:rFonts w:ascii="Arial" w:eastAsia="Arial" w:hAnsi="Arial" w:cs="Arial"/>
          <w:sz w:val="20"/>
          <w:szCs w:val="20"/>
        </w:rPr>
        <w:t>:</w:t>
      </w:r>
    </w:p>
    <w:p w14:paraId="320B2071"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D0EC7E7" w14:textId="144BC023" w:rsidR="00C95B7A"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stalno ocenjevanje ter zagotavljanje potrebnih zneskov, vrst in razporeditve notranjega kapitala, ki ga ocenjuje kot potrebno kritje glede na značilnosti in obseg tveganj, ki jim je pri svojem poslovanju izpostavljena ali bi jim lahko bila izpostavljena, in</w:t>
      </w:r>
    </w:p>
    <w:p w14:paraId="48E6D4AC" w14:textId="3916AE38"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zagotovitev, da lahko kapital banke pokrije morebitne izgube, ki izhajajo iz stresnih scenarijev, vključno s tistimi, ki so bile ugotovljene z nadzorniškim stresnim testom iz šestega odstavka </w:t>
      </w:r>
      <w:r w:rsidR="00222745" w:rsidRPr="00215B2F">
        <w:rPr>
          <w:rFonts w:ascii="Arial" w:eastAsia="Arial" w:hAnsi="Arial" w:cs="Arial"/>
          <w:sz w:val="20"/>
          <w:szCs w:val="20"/>
        </w:rPr>
        <w:t>223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5A57F57B" w14:textId="77777777" w:rsidR="00C95B7A" w:rsidRPr="00215B2F" w:rsidRDefault="00C95B7A" w:rsidP="00FD5520">
      <w:pPr>
        <w:shd w:val="clear" w:color="auto" w:fill="FFFFFF" w:themeFill="background1"/>
        <w:spacing w:after="0" w:line="240" w:lineRule="auto"/>
        <w:jc w:val="both"/>
        <w:rPr>
          <w:rFonts w:ascii="Arial" w:hAnsi="Arial" w:cs="Arial"/>
          <w:sz w:val="20"/>
          <w:szCs w:val="20"/>
        </w:rPr>
      </w:pPr>
    </w:p>
    <w:p w14:paraId="5A79A3CC" w14:textId="4A8D05E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Banke pri strategijah in </w:t>
      </w:r>
      <w:r w:rsidR="00D575D0" w:rsidRPr="00215B2F">
        <w:rPr>
          <w:rFonts w:ascii="Arial" w:eastAsia="Arial" w:hAnsi="Arial" w:cs="Arial"/>
          <w:sz w:val="20"/>
          <w:szCs w:val="20"/>
        </w:rPr>
        <w:t xml:space="preserve">procesih </w:t>
      </w:r>
      <w:r w:rsidRPr="00215B2F">
        <w:rPr>
          <w:rFonts w:ascii="Arial" w:eastAsia="Arial" w:hAnsi="Arial" w:cs="Arial"/>
          <w:sz w:val="20"/>
          <w:szCs w:val="20"/>
        </w:rPr>
        <w:t xml:space="preserve">iz prejšnjega odstavka za kritje ESG tveganj izrecno upoštevajo kratkoročno, srednjeročno in dolgoročno obdobje. </w:t>
      </w:r>
    </w:p>
    <w:p w14:paraId="3CE5377C"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78DB6BC" w14:textId="5843942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mora na podlagi rednih pregledov zagotavljati, da so strategije in </w:t>
      </w:r>
      <w:r w:rsidR="00D575D0" w:rsidRPr="00215B2F">
        <w:rPr>
          <w:rFonts w:ascii="Arial" w:eastAsia="Arial" w:hAnsi="Arial" w:cs="Arial"/>
          <w:sz w:val="20"/>
          <w:szCs w:val="20"/>
        </w:rPr>
        <w:t xml:space="preserve">procesi </w:t>
      </w:r>
      <w:r w:rsidRPr="00215B2F">
        <w:rPr>
          <w:rFonts w:ascii="Arial" w:eastAsia="Arial" w:hAnsi="Arial" w:cs="Arial"/>
          <w:sz w:val="20"/>
          <w:szCs w:val="20"/>
        </w:rPr>
        <w:t xml:space="preserve">iz </w:t>
      </w:r>
      <w:r w:rsidR="00223DEA" w:rsidRPr="00215B2F">
        <w:rPr>
          <w:rFonts w:ascii="Arial" w:eastAsia="Arial" w:hAnsi="Arial" w:cs="Arial"/>
          <w:sz w:val="20"/>
          <w:szCs w:val="20"/>
        </w:rPr>
        <w:t xml:space="preserve">prvega </w:t>
      </w:r>
      <w:r w:rsidRPr="00215B2F">
        <w:rPr>
          <w:rFonts w:ascii="Arial" w:eastAsia="Arial" w:hAnsi="Arial" w:cs="Arial"/>
          <w:sz w:val="20"/>
          <w:szCs w:val="20"/>
        </w:rPr>
        <w:t xml:space="preserve">odstavka </w:t>
      </w:r>
      <w:r w:rsidR="00223DEA" w:rsidRPr="00215B2F">
        <w:rPr>
          <w:rFonts w:ascii="Arial" w:eastAsia="Arial" w:hAnsi="Arial" w:cs="Arial"/>
          <w:sz w:val="20"/>
          <w:szCs w:val="20"/>
        </w:rPr>
        <w:t xml:space="preserve">tega člena </w:t>
      </w:r>
      <w:r w:rsidRPr="00215B2F">
        <w:rPr>
          <w:rFonts w:ascii="Arial" w:eastAsia="Arial" w:hAnsi="Arial" w:cs="Arial"/>
          <w:sz w:val="20"/>
          <w:szCs w:val="20"/>
        </w:rPr>
        <w:t>celoviti ter sorazmerni z naravo, obsegom in zapletenostjo dejavnosti, ki jih opravlja banka, ter ustrezni notranji kapital za pokritje teh tveganj.</w:t>
      </w:r>
    </w:p>
    <w:p w14:paraId="08557264"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2A7F3CE" w14:textId="09CBCDF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lahko v skladu z 10. členom Uredbe 575/2013/EU odloči, da se za posamezno banko, ki je povezana s centralnim organom, v celoti ali deloma ne uporabljajo zahteve iz prvega in </w:t>
      </w:r>
      <w:r w:rsidR="003F1FE9" w:rsidRPr="00215B2F">
        <w:rPr>
          <w:rFonts w:ascii="Arial" w:eastAsia="Arial" w:hAnsi="Arial" w:cs="Arial"/>
          <w:sz w:val="20"/>
          <w:szCs w:val="20"/>
        </w:rPr>
        <w:t xml:space="preserve">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604117C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C3AF7E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22" w:name="_Ref202964633"/>
      <w:r w:rsidRPr="00215B2F">
        <w:rPr>
          <w:rFonts w:ascii="Arial" w:eastAsia="Arial" w:hAnsi="Arial" w:cs="Arial"/>
          <w:b/>
          <w:bCs/>
          <w:sz w:val="20"/>
          <w:szCs w:val="20"/>
        </w:rPr>
        <w:t>člen</w:t>
      </w:r>
      <w:bookmarkEnd w:id="222"/>
    </w:p>
    <w:p w14:paraId="7CC54344" w14:textId="77777777" w:rsidR="00D91782" w:rsidRPr="00215B2F" w:rsidRDefault="00D91782" w:rsidP="00FD5520">
      <w:pPr>
        <w:pStyle w:val="Slog1"/>
        <w:shd w:val="clear" w:color="auto" w:fill="FFFFFF" w:themeFill="background1"/>
        <w:rPr>
          <w:sz w:val="20"/>
          <w:szCs w:val="20"/>
        </w:rPr>
      </w:pPr>
      <w:r w:rsidRPr="00215B2F">
        <w:rPr>
          <w:sz w:val="20"/>
          <w:szCs w:val="20"/>
        </w:rPr>
        <w:t>(ustrezni notranji kapital za tržna tveganja)</w:t>
      </w:r>
    </w:p>
    <w:p w14:paraId="36B28AC1" w14:textId="77777777" w:rsidR="00D91782" w:rsidRPr="00215B2F" w:rsidRDefault="00D91782" w:rsidP="00FD5520">
      <w:pPr>
        <w:pStyle w:val="Slog1"/>
        <w:shd w:val="clear" w:color="auto" w:fill="FFFFFF" w:themeFill="background1"/>
        <w:jc w:val="both"/>
        <w:rPr>
          <w:sz w:val="20"/>
          <w:szCs w:val="20"/>
        </w:rPr>
      </w:pPr>
    </w:p>
    <w:p w14:paraId="7A81DC1C" w14:textId="17EBB42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mora na podlagi vzpostavljenih politik in </w:t>
      </w:r>
      <w:r w:rsidR="00D575D0" w:rsidRPr="00215B2F">
        <w:rPr>
          <w:rFonts w:ascii="Arial" w:eastAsia="Arial" w:hAnsi="Arial" w:cs="Arial"/>
          <w:sz w:val="20"/>
          <w:szCs w:val="20"/>
        </w:rPr>
        <w:t xml:space="preserve">procesov </w:t>
      </w:r>
      <w:r w:rsidRPr="00215B2F">
        <w:rPr>
          <w:rFonts w:ascii="Arial" w:eastAsia="Arial" w:hAnsi="Arial" w:cs="Arial"/>
          <w:sz w:val="20"/>
          <w:szCs w:val="20"/>
        </w:rPr>
        <w:t>upravljanja tržnih tveganj pri ocenjevanju in zagotavljanju ustreznega notranjega kapitala v skladu s prejšnjim členom upoštevati pomembna tržna tveganja, ki niso predmet kapitalskih zahtev v skladu z Uredbo 575/2013/EU.</w:t>
      </w:r>
    </w:p>
    <w:p w14:paraId="5D08164E"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2E621BF" w14:textId="7FA4871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ki pri izračunavanju kapitalskih zahtev za pozicijsko tveganje v skladu z 2. poglavjem IV. naslova 3. dela Uredbe 575/2013/EU pobota svoje pozicije v enem ali več lastniških finančnih instrumentih, ki sestavljajo delniški indeks, z eno ali več pozicijami v terminski pogodbi na delniški indeks ali </w:t>
      </w:r>
      <w:r w:rsidR="006F0E4F" w:rsidRPr="00215B2F">
        <w:rPr>
          <w:rFonts w:ascii="Arial" w:eastAsia="Arial" w:hAnsi="Arial" w:cs="Arial"/>
          <w:sz w:val="20"/>
          <w:szCs w:val="20"/>
        </w:rPr>
        <w:t xml:space="preserve">v </w:t>
      </w:r>
      <w:r w:rsidRPr="00215B2F">
        <w:rPr>
          <w:rFonts w:ascii="Arial" w:eastAsia="Arial" w:hAnsi="Arial" w:cs="Arial"/>
          <w:sz w:val="20"/>
          <w:szCs w:val="20"/>
        </w:rPr>
        <w:t>drugem produktu na delniški indeks, mora zagotavljati ustrezni notranji kapital za kritje osnovnega tveganja izgube, ki je posledica drugačnega gibanja vrednosti terminskih pogodb ali drugih izvedenih instrumentov glede na gibanje vrednosti osnovnih instrumentov, na katere so vezani.</w:t>
      </w:r>
    </w:p>
    <w:p w14:paraId="5EA9D0F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1A974BA" w14:textId="735FEE3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mora zagotavljati ustrezni notranji kapital tudi, kadar ima nasprotne pozicije v terminskih pogodbah na delniške indekse, ki se ne ujemajo glede na zapadlost ali sestavo ali oboje.</w:t>
      </w:r>
    </w:p>
    <w:p w14:paraId="31535527"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CEFE354" w14:textId="29DD7EB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mora pri uporabi postopka iz 345. člena Uredbe 575/2013/EU zagotavljati ustrezni notranji kapital za kritje tveganja izgube, ki obstaja v času od prevzema obveznosti do naslednjega delovnega dne.</w:t>
      </w:r>
    </w:p>
    <w:p w14:paraId="29F0EC9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AB196AE"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23" w:name="_Ref202964640"/>
      <w:r w:rsidRPr="00215B2F">
        <w:rPr>
          <w:rFonts w:ascii="Arial" w:eastAsia="Arial" w:hAnsi="Arial" w:cs="Arial"/>
          <w:b/>
          <w:bCs/>
          <w:sz w:val="20"/>
          <w:szCs w:val="20"/>
        </w:rPr>
        <w:t>člen</w:t>
      </w:r>
      <w:bookmarkEnd w:id="223"/>
    </w:p>
    <w:p w14:paraId="377FC692" w14:textId="77777777" w:rsidR="00D91782" w:rsidRPr="00215B2F" w:rsidRDefault="00D91782" w:rsidP="00FD5520">
      <w:pPr>
        <w:pStyle w:val="Slog1"/>
        <w:shd w:val="clear" w:color="auto" w:fill="FFFFFF" w:themeFill="background1"/>
        <w:rPr>
          <w:sz w:val="20"/>
          <w:szCs w:val="20"/>
        </w:rPr>
      </w:pPr>
      <w:r w:rsidRPr="00215B2F">
        <w:rPr>
          <w:sz w:val="20"/>
          <w:szCs w:val="20"/>
        </w:rPr>
        <w:t>(raven izpolnjevanja obveznosti glede ustreznega notranjega kapitala)</w:t>
      </w:r>
    </w:p>
    <w:p w14:paraId="3BF1B0D2" w14:textId="77777777" w:rsidR="00D91782" w:rsidRPr="00215B2F" w:rsidRDefault="00D91782" w:rsidP="00FD5520">
      <w:pPr>
        <w:pStyle w:val="Slog1"/>
        <w:shd w:val="clear" w:color="auto" w:fill="FFFFFF" w:themeFill="background1"/>
        <w:jc w:val="both"/>
        <w:rPr>
          <w:sz w:val="20"/>
          <w:szCs w:val="20"/>
        </w:rPr>
      </w:pPr>
    </w:p>
    <w:p w14:paraId="421943B4" w14:textId="4241E0E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224" w:name="_Hlk203482207"/>
      <w:r w:rsidRPr="00215B2F">
        <w:rPr>
          <w:rFonts w:ascii="Arial" w:eastAsia="Arial" w:hAnsi="Arial" w:cs="Arial"/>
          <w:sz w:val="20"/>
          <w:szCs w:val="20"/>
        </w:rPr>
        <w:t xml:space="preserve">(1) Banka, ki v Republiki Sloveniji nima položaja podrejene ali nadrejene banke, </w:t>
      </w:r>
      <w:r w:rsidR="009A3E22" w:rsidRPr="00215B2F">
        <w:rPr>
          <w:rFonts w:ascii="Arial" w:eastAsia="Arial" w:hAnsi="Arial" w:cs="Arial"/>
          <w:sz w:val="20"/>
          <w:szCs w:val="20"/>
        </w:rPr>
        <w:t xml:space="preserve">in </w:t>
      </w:r>
      <w:r w:rsidRPr="00215B2F">
        <w:rPr>
          <w:rFonts w:ascii="Arial" w:eastAsia="Arial" w:hAnsi="Arial" w:cs="Arial"/>
          <w:sz w:val="20"/>
          <w:szCs w:val="20"/>
        </w:rPr>
        <w:t xml:space="preserve">banka, ki ni vključena v bonitetno konsolidacijo v skladu z 19. členom Uredbe 575/2013/EU, morata na posamični podlagi izpolnjevati obveznosti glede ocenjevanja ter zagotavljanja ustreznega notranjega kapitala v skladu s </w:t>
      </w:r>
      <w:r w:rsidR="00440472" w:rsidRPr="00215B2F">
        <w:rPr>
          <w:rFonts w:ascii="Arial" w:eastAsia="Arial" w:hAnsi="Arial" w:cs="Arial"/>
          <w:sz w:val="20"/>
          <w:szCs w:val="20"/>
        </w:rPr>
        <w:t>180</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50FD8B8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E471AF1" w14:textId="745D2D8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EU nadrejena banka oziroma nadrejena banka Republike Slovenije mora v obsegu in na način, ki sta določena v 2. in 3. oddelku 2. poglavja II. naslova 1. dela Uredbe 575/2013/EU, na konsolidirani </w:t>
      </w:r>
      <w:r w:rsidRPr="00215B2F">
        <w:rPr>
          <w:rFonts w:ascii="Arial" w:eastAsia="Arial" w:hAnsi="Arial" w:cs="Arial"/>
          <w:sz w:val="20"/>
          <w:szCs w:val="20"/>
        </w:rPr>
        <w:lastRenderedPageBreak/>
        <w:t xml:space="preserve">podlagi izpolnjevati obveznosti glede ocenjevanja in zagotavljanja ustreznega notranjega kapitala v skladu s </w:t>
      </w:r>
      <w:r w:rsidR="00440472" w:rsidRPr="00215B2F">
        <w:rPr>
          <w:rFonts w:ascii="Arial" w:eastAsia="Arial" w:hAnsi="Arial" w:cs="Arial"/>
          <w:sz w:val="20"/>
          <w:szCs w:val="20"/>
        </w:rPr>
        <w:t>180</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0CE9F41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8E1857C" w14:textId="1435F57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Podrejena banka, ki je sama ali </w:t>
      </w:r>
      <w:r w:rsidR="009A3E22" w:rsidRPr="00215B2F">
        <w:rPr>
          <w:rFonts w:ascii="Arial" w:eastAsia="Arial" w:hAnsi="Arial" w:cs="Arial"/>
          <w:sz w:val="20"/>
          <w:szCs w:val="20"/>
        </w:rPr>
        <w:t xml:space="preserve">je </w:t>
      </w:r>
      <w:r w:rsidRPr="00215B2F">
        <w:rPr>
          <w:rFonts w:ascii="Arial" w:eastAsia="Arial" w:hAnsi="Arial" w:cs="Arial"/>
          <w:sz w:val="20"/>
          <w:szCs w:val="20"/>
        </w:rPr>
        <w:t xml:space="preserve">njen nadrejeni finančni holding ali mešani finančni holding nadrejen ali udeležen v drugi instituciji, finančni instituciji ali družbi za upravljanje s sedežem v tretji državi, mora izpolnjevati obveznosti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na subkonsolidirani podlagi.</w:t>
      </w:r>
    </w:p>
    <w:bookmarkEnd w:id="224"/>
    <w:p w14:paraId="2ECAE281"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38603D64"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25" w:name="_Ref202964645"/>
      <w:r w:rsidRPr="00215B2F">
        <w:rPr>
          <w:rFonts w:ascii="Arial" w:eastAsia="Arial" w:hAnsi="Arial" w:cs="Arial"/>
          <w:b/>
          <w:bCs/>
          <w:sz w:val="20"/>
          <w:szCs w:val="20"/>
        </w:rPr>
        <w:t>člen</w:t>
      </w:r>
      <w:bookmarkEnd w:id="225"/>
    </w:p>
    <w:p w14:paraId="65DE10B6" w14:textId="77777777" w:rsidR="00D91782" w:rsidRPr="00215B2F" w:rsidRDefault="00D91782" w:rsidP="00FD5520">
      <w:pPr>
        <w:pStyle w:val="Slog1"/>
        <w:shd w:val="clear" w:color="auto" w:fill="FFFFFF" w:themeFill="background1"/>
        <w:rPr>
          <w:sz w:val="20"/>
          <w:szCs w:val="20"/>
        </w:rPr>
      </w:pPr>
      <w:r w:rsidRPr="00215B2F">
        <w:rPr>
          <w:sz w:val="20"/>
          <w:szCs w:val="20"/>
        </w:rPr>
        <w:t>(raven izpolnjevanja obveznosti glede ureditve notranjega upravljanja)</w:t>
      </w:r>
    </w:p>
    <w:p w14:paraId="1333F880" w14:textId="77777777" w:rsidR="00D91782" w:rsidRPr="00215B2F" w:rsidRDefault="00D91782" w:rsidP="00FD5520">
      <w:pPr>
        <w:pStyle w:val="Slog1"/>
        <w:shd w:val="clear" w:color="auto" w:fill="FFFFFF" w:themeFill="background1"/>
        <w:jc w:val="both"/>
        <w:rPr>
          <w:sz w:val="20"/>
          <w:szCs w:val="20"/>
        </w:rPr>
      </w:pPr>
    </w:p>
    <w:p w14:paraId="4BD10CEF" w14:textId="1C2DF13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mora izpolnjevati zahteve glede ureditve notranjega upravljanja iz </w:t>
      </w:r>
      <w:r w:rsidR="00CD42B2" w:rsidRPr="00215B2F">
        <w:rPr>
          <w:rFonts w:ascii="Arial" w:eastAsia="Arial" w:hAnsi="Arial" w:cs="Arial"/>
          <w:sz w:val="20"/>
          <w:szCs w:val="20"/>
        </w:rPr>
        <w:t>177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na posamični podlagi, razen v primerih, ko Banka Slovenije za posamezno banko delno ali v celoti opusti uporabo teh zahtev v skladu s 7. členom Uredbe 575/2013/EU.</w:t>
      </w:r>
    </w:p>
    <w:p w14:paraId="2BB7411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DE9FCC6" w14:textId="0B1B1D8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EU nadrejena banka oziroma nadrejena banka Republike Slovenije ter njene podrejene družbe, za katere se uporablja ta zakon ali Direktiva 2013/36/EU, morajo izpolnjevati zahteve glede ureditve notranjega upravljanja na konsolidirani ali subkonsolidirani podlagi, s katerimi zagotovijo, da so njihove ureditve, </w:t>
      </w:r>
      <w:r w:rsidR="00D575D0" w:rsidRPr="00215B2F">
        <w:rPr>
          <w:rFonts w:ascii="Arial" w:eastAsia="Arial" w:hAnsi="Arial" w:cs="Arial"/>
          <w:sz w:val="20"/>
          <w:szCs w:val="20"/>
        </w:rPr>
        <w:t xml:space="preserve">procesi </w:t>
      </w:r>
      <w:r w:rsidRPr="00215B2F">
        <w:rPr>
          <w:rFonts w:ascii="Arial" w:eastAsia="Arial" w:hAnsi="Arial" w:cs="Arial"/>
          <w:sz w:val="20"/>
          <w:szCs w:val="20"/>
        </w:rPr>
        <w:t>in mehanizmi dosledni in dobro integrirani ter omogočajo pripravo vseh podatkov in informacij, ki so pomembni za nadzor.</w:t>
      </w:r>
    </w:p>
    <w:p w14:paraId="102F4391"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4930A81" w14:textId="47F23BC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EU nadrejena banka oziroma nadrejena banka Republike Slovenije in njene podrejene družbe, za katere se uporablja ta zakon ali Direktiva 2013/36/EU, morajo zagotoviti, da je ureditev notranjega upravljanja ustrezno integrirana in se dosledno izvaja tudi v vseh njihovih preostalih podrejenih družbah, za katere se ta zakon ali Direktiva 2013/36/EU ne uporabljata, vključno s tistimi, ki imajo sedež v finančnih središčih</w:t>
      </w:r>
      <w:r w:rsidR="009B2DF1" w:rsidRPr="00215B2F">
        <w:rPr>
          <w:rFonts w:ascii="Arial" w:eastAsia="Arial" w:hAnsi="Arial" w:cs="Arial"/>
          <w:sz w:val="20"/>
          <w:szCs w:val="20"/>
        </w:rPr>
        <w:t xml:space="preserve"> davčnih oaz</w:t>
      </w:r>
      <w:r w:rsidRPr="00215B2F">
        <w:rPr>
          <w:rFonts w:ascii="Arial" w:eastAsia="Arial" w:hAnsi="Arial" w:cs="Arial"/>
          <w:sz w:val="20"/>
          <w:szCs w:val="20"/>
        </w:rPr>
        <w:t>, tako da so te podrejene družbe zmožne pripraviti vse podatke in informacije, ki so pomembne za nadzor. Podrejene družbe, za katere se ta zakon ali Direktiva 2013/36/EU ne uporabljata, izpolnjujejo svoje sektorske zahteve na posamični podlagi.</w:t>
      </w:r>
    </w:p>
    <w:p w14:paraId="4CD436A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806B0C9" w14:textId="54FF59D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Ne glede na prejšnji odstavek EU nadrejena banka oziroma nadrejena banka Republike Slovenije ni zavezana izpolnjevanju </w:t>
      </w:r>
      <w:r w:rsidR="007E60CE" w:rsidRPr="00215B2F">
        <w:rPr>
          <w:rFonts w:ascii="Arial" w:eastAsia="Arial" w:hAnsi="Arial" w:cs="Arial"/>
          <w:sz w:val="20"/>
          <w:szCs w:val="20"/>
        </w:rPr>
        <w:t xml:space="preserve">zahtev </w:t>
      </w:r>
      <w:r w:rsidRPr="00215B2F">
        <w:rPr>
          <w:rFonts w:ascii="Arial" w:eastAsia="Arial" w:hAnsi="Arial" w:cs="Arial"/>
          <w:sz w:val="20"/>
          <w:szCs w:val="20"/>
        </w:rPr>
        <w:t>glede uredit</w:t>
      </w:r>
      <w:r w:rsidR="00D575D0" w:rsidRPr="00215B2F">
        <w:rPr>
          <w:rFonts w:ascii="Arial" w:eastAsia="Arial" w:hAnsi="Arial" w:cs="Arial"/>
          <w:sz w:val="20"/>
          <w:szCs w:val="20"/>
        </w:rPr>
        <w:t>e</w:t>
      </w:r>
      <w:r w:rsidRPr="00215B2F">
        <w:rPr>
          <w:rFonts w:ascii="Arial" w:eastAsia="Arial" w:hAnsi="Arial" w:cs="Arial"/>
          <w:sz w:val="20"/>
          <w:szCs w:val="20"/>
        </w:rPr>
        <w:t>v notranjega upravljanja v zvezi s podrejenimi družbami, za katere se ta zakon ali Direktiva 2013/36/EU ne uporablja, če Banki Slovenije dokaže, da je izpolnjevanje teh zahtev v nasprotju z veljavnimi predpisi tretje države, v kateri ima ta podrejena družba sedež.</w:t>
      </w:r>
    </w:p>
    <w:p w14:paraId="2CBC483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3B8D228" w14:textId="3D21CD0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Določbe četrtega odstavka </w:t>
      </w:r>
      <w:r w:rsidR="00102C24" w:rsidRPr="00215B2F">
        <w:rPr>
          <w:rFonts w:ascii="Arial" w:eastAsia="Arial" w:hAnsi="Arial" w:cs="Arial"/>
          <w:sz w:val="20"/>
          <w:szCs w:val="20"/>
        </w:rPr>
        <w:t>58</w:t>
      </w:r>
      <w:r w:rsidRPr="00215B2F">
        <w:rPr>
          <w:rFonts w:ascii="Arial" w:eastAsia="Arial" w:hAnsi="Arial" w:cs="Arial"/>
          <w:sz w:val="20"/>
          <w:szCs w:val="20"/>
        </w:rPr>
        <w:t>. člena</w:t>
      </w:r>
      <w:r w:rsidR="007E60CE" w:rsidRPr="00215B2F">
        <w:rPr>
          <w:rFonts w:ascii="Arial" w:eastAsia="Arial" w:hAnsi="Arial" w:cs="Arial"/>
          <w:sz w:val="20"/>
          <w:szCs w:val="20"/>
        </w:rPr>
        <w:t xml:space="preserve"> in</w:t>
      </w:r>
      <w:r w:rsidRPr="00215B2F">
        <w:rPr>
          <w:rFonts w:ascii="Arial" w:eastAsia="Arial" w:hAnsi="Arial" w:cs="Arial"/>
          <w:sz w:val="20"/>
          <w:szCs w:val="20"/>
        </w:rPr>
        <w:t xml:space="preserve"> </w:t>
      </w:r>
      <w:r w:rsidR="00102C24" w:rsidRPr="00215B2F">
        <w:rPr>
          <w:rFonts w:ascii="Arial" w:eastAsia="Arial" w:hAnsi="Arial" w:cs="Arial"/>
          <w:sz w:val="20"/>
          <w:szCs w:val="20"/>
        </w:rPr>
        <w:t>61</w:t>
      </w:r>
      <w:r w:rsidRPr="00215B2F">
        <w:rPr>
          <w:rFonts w:ascii="Arial" w:eastAsia="Arial" w:hAnsi="Arial" w:cs="Arial"/>
          <w:sz w:val="20"/>
          <w:szCs w:val="20"/>
        </w:rPr>
        <w:t xml:space="preserve">., </w:t>
      </w:r>
      <w:r w:rsidR="00102C24" w:rsidRPr="00215B2F">
        <w:rPr>
          <w:rFonts w:ascii="Arial" w:eastAsia="Arial" w:hAnsi="Arial" w:cs="Arial"/>
          <w:sz w:val="20"/>
          <w:szCs w:val="20"/>
        </w:rPr>
        <w:t>220</w:t>
      </w:r>
      <w:r w:rsidRPr="00215B2F">
        <w:rPr>
          <w:rFonts w:ascii="Arial" w:eastAsia="Arial" w:hAnsi="Arial" w:cs="Arial"/>
          <w:sz w:val="20"/>
          <w:szCs w:val="20"/>
        </w:rPr>
        <w:t xml:space="preserve">. in </w:t>
      </w:r>
      <w:r w:rsidR="00102C24" w:rsidRPr="00215B2F">
        <w:rPr>
          <w:rFonts w:ascii="Arial" w:eastAsia="Arial" w:hAnsi="Arial" w:cs="Arial"/>
          <w:sz w:val="20"/>
          <w:szCs w:val="20"/>
        </w:rPr>
        <w:t>221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 politikah prejemkov se ne uporabljajo na konsolidirani podlagi za:</w:t>
      </w:r>
    </w:p>
    <w:p w14:paraId="362BDC46"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645DC9CA" w14:textId="77777777" w:rsidR="00C95B7A"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podrejene družbe s sedežem v Evropski uniji, kadar zanje veljajo posebne zahteve glede prejemkov v skladu z drugimi pravnimi akti Evropske unije;</w:t>
      </w:r>
    </w:p>
    <w:p w14:paraId="18BA78BD" w14:textId="52BE29FE"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podrejene družbe s sedežem v tretji državi, kadar bi zanje veljale posebne zahteve glede prejemkov v skladu z drugimi pravnimi akti Evropske unije, če bi imele sedež v Evropski uniji.</w:t>
      </w:r>
    </w:p>
    <w:p w14:paraId="28A7D1E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4B6BA9C" w14:textId="6B78E5B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Ne glede na prejšnji odstavek se določbe </w:t>
      </w:r>
      <w:r w:rsidR="00102C24" w:rsidRPr="00215B2F">
        <w:rPr>
          <w:rFonts w:ascii="Arial" w:eastAsia="Arial" w:hAnsi="Arial" w:cs="Arial"/>
          <w:sz w:val="20"/>
          <w:szCs w:val="20"/>
        </w:rPr>
        <w:t>61</w:t>
      </w:r>
      <w:r w:rsidRPr="00215B2F">
        <w:rPr>
          <w:rFonts w:ascii="Arial" w:eastAsia="Arial" w:hAnsi="Arial" w:cs="Arial"/>
          <w:sz w:val="20"/>
          <w:szCs w:val="20"/>
        </w:rPr>
        <w:t xml:space="preserve">., </w:t>
      </w:r>
      <w:r w:rsidR="00102C24" w:rsidRPr="00215B2F">
        <w:rPr>
          <w:rFonts w:ascii="Arial" w:eastAsia="Arial" w:hAnsi="Arial" w:cs="Arial"/>
          <w:sz w:val="20"/>
          <w:szCs w:val="20"/>
        </w:rPr>
        <w:t>220</w:t>
      </w:r>
      <w:r w:rsidRPr="00215B2F">
        <w:rPr>
          <w:rFonts w:ascii="Arial" w:eastAsia="Arial" w:hAnsi="Arial" w:cs="Arial"/>
          <w:sz w:val="20"/>
          <w:szCs w:val="20"/>
        </w:rPr>
        <w:t xml:space="preserve">. in </w:t>
      </w:r>
      <w:r w:rsidR="00102C24" w:rsidRPr="00215B2F">
        <w:rPr>
          <w:rFonts w:ascii="Arial" w:eastAsia="Arial" w:hAnsi="Arial" w:cs="Arial"/>
          <w:sz w:val="20"/>
          <w:szCs w:val="20"/>
        </w:rPr>
        <w:t>221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 politikah prejemkov uporabljajo na posamični podlagi za zaposlene v podrejenih družbah, za katere se ta zakon, </w:t>
      </w:r>
      <w:r w:rsidR="00DF3FEF" w:rsidRPr="00215B2F">
        <w:rPr>
          <w:rFonts w:ascii="Arial" w:eastAsia="Arial" w:hAnsi="Arial" w:cs="Arial"/>
          <w:sz w:val="20"/>
          <w:szCs w:val="20"/>
        </w:rPr>
        <w:t>ZTFI-1</w:t>
      </w:r>
      <w:r w:rsidRPr="00215B2F">
        <w:rPr>
          <w:rFonts w:ascii="Arial" w:eastAsia="Arial" w:hAnsi="Arial" w:cs="Arial"/>
          <w:sz w:val="20"/>
          <w:szCs w:val="20"/>
        </w:rPr>
        <w:t>, ali Direktiva 2013/36/EU ne uporablja, če:</w:t>
      </w:r>
    </w:p>
    <w:p w14:paraId="7CE0A85E"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533AA900" w14:textId="0585BB54" w:rsidR="00C95B7A"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je podrejena družba banke družba za upravljanje ali podjetje, ki opravlja investicijske storitve in posle, navedene v 2</w:t>
      </w:r>
      <w:r w:rsidR="007E60CE" w:rsidRPr="00215B2F">
        <w:rPr>
          <w:rFonts w:ascii="Arial" w:eastAsia="Arial" w:hAnsi="Arial" w:cs="Arial"/>
          <w:sz w:val="20"/>
          <w:szCs w:val="20"/>
        </w:rPr>
        <w:t>.</w:t>
      </w:r>
      <w:r w:rsidRPr="00215B2F">
        <w:rPr>
          <w:rFonts w:ascii="Arial" w:eastAsia="Arial" w:hAnsi="Arial" w:cs="Arial"/>
          <w:sz w:val="20"/>
          <w:szCs w:val="20"/>
        </w:rPr>
        <w:t>, 3</w:t>
      </w:r>
      <w:r w:rsidR="007E60CE" w:rsidRPr="00215B2F">
        <w:rPr>
          <w:rFonts w:ascii="Arial" w:eastAsia="Arial" w:hAnsi="Arial" w:cs="Arial"/>
          <w:sz w:val="20"/>
          <w:szCs w:val="20"/>
        </w:rPr>
        <w:t>.</w:t>
      </w:r>
      <w:r w:rsidRPr="00215B2F">
        <w:rPr>
          <w:rFonts w:ascii="Arial" w:eastAsia="Arial" w:hAnsi="Arial" w:cs="Arial"/>
          <w:sz w:val="20"/>
          <w:szCs w:val="20"/>
        </w:rPr>
        <w:t>, 4</w:t>
      </w:r>
      <w:r w:rsidR="007E60CE" w:rsidRPr="00215B2F">
        <w:rPr>
          <w:rFonts w:ascii="Arial" w:eastAsia="Arial" w:hAnsi="Arial" w:cs="Arial"/>
          <w:sz w:val="20"/>
          <w:szCs w:val="20"/>
        </w:rPr>
        <w:t>.</w:t>
      </w:r>
      <w:r w:rsidRPr="00215B2F">
        <w:rPr>
          <w:rFonts w:ascii="Arial" w:eastAsia="Arial" w:hAnsi="Arial" w:cs="Arial"/>
          <w:sz w:val="20"/>
          <w:szCs w:val="20"/>
        </w:rPr>
        <w:t>, 6</w:t>
      </w:r>
      <w:r w:rsidR="007E60CE" w:rsidRPr="00215B2F">
        <w:rPr>
          <w:rFonts w:ascii="Arial" w:eastAsia="Arial" w:hAnsi="Arial" w:cs="Arial"/>
          <w:sz w:val="20"/>
          <w:szCs w:val="20"/>
        </w:rPr>
        <w:t>.</w:t>
      </w:r>
      <w:r w:rsidRPr="00215B2F">
        <w:rPr>
          <w:rFonts w:ascii="Arial" w:eastAsia="Arial" w:hAnsi="Arial" w:cs="Arial"/>
          <w:sz w:val="20"/>
          <w:szCs w:val="20"/>
        </w:rPr>
        <w:t xml:space="preserve"> in 7</w:t>
      </w:r>
      <w:r w:rsidR="007E60CE" w:rsidRPr="00215B2F">
        <w:rPr>
          <w:rFonts w:ascii="Arial" w:eastAsia="Arial" w:hAnsi="Arial" w:cs="Arial"/>
          <w:sz w:val="20"/>
          <w:szCs w:val="20"/>
        </w:rPr>
        <w:t>.</w:t>
      </w:r>
      <w:r w:rsidRPr="00215B2F">
        <w:rPr>
          <w:rFonts w:ascii="Arial" w:eastAsia="Arial" w:hAnsi="Arial" w:cs="Arial"/>
          <w:sz w:val="20"/>
          <w:szCs w:val="20"/>
        </w:rPr>
        <w:t xml:space="preserve"> </w:t>
      </w:r>
      <w:r w:rsidR="007E60CE" w:rsidRPr="00215B2F">
        <w:rPr>
          <w:rFonts w:ascii="Arial" w:eastAsia="Arial" w:hAnsi="Arial" w:cs="Arial"/>
          <w:sz w:val="20"/>
          <w:szCs w:val="20"/>
        </w:rPr>
        <w:t xml:space="preserve">točki </w:t>
      </w:r>
      <w:r w:rsidR="005B0CC7" w:rsidRPr="00215B2F">
        <w:rPr>
          <w:rFonts w:ascii="Arial" w:eastAsia="Arial" w:hAnsi="Arial" w:cs="Arial"/>
          <w:sz w:val="20"/>
          <w:szCs w:val="20"/>
        </w:rPr>
        <w:t>o</w:t>
      </w:r>
      <w:r w:rsidR="001F2C7A" w:rsidRPr="00215B2F">
        <w:rPr>
          <w:rFonts w:ascii="Arial" w:eastAsia="Arial" w:hAnsi="Arial" w:cs="Arial"/>
          <w:sz w:val="20"/>
          <w:szCs w:val="20"/>
        </w:rPr>
        <w:t>ddelka</w:t>
      </w:r>
      <w:r w:rsidRPr="00215B2F">
        <w:rPr>
          <w:rFonts w:ascii="Arial" w:eastAsia="Arial" w:hAnsi="Arial" w:cs="Arial"/>
          <w:sz w:val="20"/>
          <w:szCs w:val="20"/>
        </w:rPr>
        <w:t xml:space="preserve"> A Priloge I Direktive 2014/65/EU</w:t>
      </w:r>
      <w:r w:rsidR="007E60CE" w:rsidRPr="00215B2F">
        <w:rPr>
          <w:rFonts w:ascii="Arial" w:eastAsia="Arial" w:hAnsi="Arial" w:cs="Arial"/>
          <w:sz w:val="20"/>
          <w:szCs w:val="20"/>
        </w:rPr>
        <w:t>,</w:t>
      </w:r>
      <w:r w:rsidRPr="00215B2F">
        <w:rPr>
          <w:rFonts w:ascii="Arial" w:eastAsia="Arial" w:hAnsi="Arial" w:cs="Arial"/>
          <w:sz w:val="20"/>
          <w:szCs w:val="20"/>
        </w:rPr>
        <w:t xml:space="preserve"> in</w:t>
      </w:r>
    </w:p>
    <w:p w14:paraId="7798BBCE" w14:textId="6B5C6925"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so bili ti zaposleni pooblaščeni za opravljanje poklicnih dejavnosti, ki pomembno vplivajo na profil tveganosti ali posle na ravni skupine.</w:t>
      </w:r>
    </w:p>
    <w:p w14:paraId="3969B75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7AB2E7E"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26" w:name="_Ref202964653"/>
      <w:r w:rsidRPr="00215B2F">
        <w:rPr>
          <w:rFonts w:ascii="Arial" w:eastAsia="Arial" w:hAnsi="Arial" w:cs="Arial"/>
          <w:b/>
          <w:bCs/>
          <w:sz w:val="20"/>
          <w:szCs w:val="20"/>
        </w:rPr>
        <w:t>člen</w:t>
      </w:r>
      <w:bookmarkEnd w:id="226"/>
    </w:p>
    <w:p w14:paraId="0121245D" w14:textId="1BA32508" w:rsidR="00D91782" w:rsidRPr="00215B2F" w:rsidRDefault="00D91782" w:rsidP="00FD5520">
      <w:pPr>
        <w:pStyle w:val="Slog1"/>
        <w:shd w:val="clear" w:color="auto" w:fill="FFFFFF" w:themeFill="background1"/>
        <w:rPr>
          <w:sz w:val="20"/>
          <w:szCs w:val="20"/>
        </w:rPr>
      </w:pPr>
      <w:r w:rsidRPr="00215B2F">
        <w:rPr>
          <w:sz w:val="20"/>
          <w:szCs w:val="20"/>
        </w:rPr>
        <w:t>(podzakonski predpisi</w:t>
      </w:r>
      <w:r w:rsidR="00DF3FEF" w:rsidRPr="00215B2F">
        <w:rPr>
          <w:sz w:val="20"/>
          <w:szCs w:val="20"/>
        </w:rPr>
        <w:t xml:space="preserve"> glede ureditve notranjega upravljanja in ustreznosti notranjega kapitala</w:t>
      </w:r>
      <w:r w:rsidRPr="00215B2F">
        <w:rPr>
          <w:sz w:val="20"/>
          <w:szCs w:val="20"/>
        </w:rPr>
        <w:t>)</w:t>
      </w:r>
      <w:r w:rsidR="00DF3FEF" w:rsidRPr="00215B2F">
        <w:rPr>
          <w:sz w:val="20"/>
          <w:szCs w:val="20"/>
        </w:rPr>
        <w:t xml:space="preserve"> </w:t>
      </w:r>
    </w:p>
    <w:p w14:paraId="50C821B6" w14:textId="77777777" w:rsidR="00DF3FEF" w:rsidRPr="00215B2F" w:rsidRDefault="00DF3FEF" w:rsidP="00FD5520">
      <w:pPr>
        <w:shd w:val="clear" w:color="auto" w:fill="FFFFFF" w:themeFill="background1"/>
        <w:spacing w:after="0" w:line="240" w:lineRule="auto"/>
        <w:jc w:val="both"/>
        <w:rPr>
          <w:rFonts w:ascii="Arial" w:eastAsia="Arial" w:hAnsi="Arial" w:cs="Arial"/>
          <w:sz w:val="20"/>
          <w:szCs w:val="20"/>
        </w:rPr>
      </w:pPr>
    </w:p>
    <w:p w14:paraId="1B64BB7C" w14:textId="180D49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Slovenije predpiše podrobnejša pravila:</w:t>
      </w:r>
    </w:p>
    <w:p w14:paraId="273A9A1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7BD7E0A" w14:textId="77777777" w:rsidR="00C95B7A" w:rsidRPr="00215B2F" w:rsidRDefault="00D91782">
      <w:pPr>
        <w:pStyle w:val="tevilnatoka"/>
        <w:numPr>
          <w:ilvl w:val="0"/>
          <w:numId w:val="117"/>
        </w:numPr>
        <w:shd w:val="clear" w:color="auto" w:fill="FFFFFF" w:themeFill="background1"/>
        <w:tabs>
          <w:tab w:val="clear" w:pos="425"/>
        </w:tabs>
        <w:rPr>
          <w:rFonts w:cs="Arial"/>
          <w:bCs/>
          <w:sz w:val="20"/>
          <w:szCs w:val="20"/>
        </w:rPr>
      </w:pPr>
      <w:r w:rsidRPr="00215B2F">
        <w:rPr>
          <w:rFonts w:eastAsia="Arial" w:cs="Arial"/>
          <w:sz w:val="20"/>
          <w:szCs w:val="20"/>
        </w:rPr>
        <w:t>o ureditvi notranjega upravljanja, vključno s podrobnejšimi pravili glede upravljanja tveganj ter politike in praks prejemkov;</w:t>
      </w:r>
    </w:p>
    <w:p w14:paraId="63B8A7EE" w14:textId="77777777" w:rsidR="00C95B7A" w:rsidRPr="00215B2F" w:rsidRDefault="00D91782" w:rsidP="00543D80">
      <w:pPr>
        <w:pStyle w:val="tevilnatoka"/>
        <w:rPr>
          <w:rFonts w:cs="Arial"/>
          <w:bCs/>
          <w:sz w:val="20"/>
          <w:szCs w:val="20"/>
        </w:rPr>
      </w:pPr>
      <w:r w:rsidRPr="00215B2F">
        <w:rPr>
          <w:rFonts w:eastAsia="Arial" w:cs="Arial"/>
          <w:sz w:val="20"/>
          <w:szCs w:val="20"/>
        </w:rPr>
        <w:t>o ocenjevanju ustreznega notranjega kapitala;</w:t>
      </w:r>
    </w:p>
    <w:p w14:paraId="2DF05682" w14:textId="42BD4E7F" w:rsidR="00D91782" w:rsidRPr="00215B2F" w:rsidRDefault="00D91782" w:rsidP="00543D80">
      <w:pPr>
        <w:pStyle w:val="tevilnatoka"/>
        <w:rPr>
          <w:rFonts w:cs="Arial"/>
          <w:bCs/>
          <w:sz w:val="20"/>
          <w:szCs w:val="20"/>
        </w:rPr>
      </w:pPr>
      <w:r w:rsidRPr="00215B2F">
        <w:rPr>
          <w:rFonts w:eastAsia="Arial" w:cs="Arial"/>
          <w:sz w:val="20"/>
          <w:szCs w:val="20"/>
        </w:rPr>
        <w:t>v zvezi s poročanjem, podrobnejšo vsebino obvestil in poročil o okoliščinah v zvezi z izpolnjevanjem zahtev na podlagi tega zakona ali Uredbe 575/2013/EU ter rok</w:t>
      </w:r>
      <w:r w:rsidR="00DC5FAA" w:rsidRPr="00215B2F">
        <w:rPr>
          <w:rFonts w:eastAsia="Arial" w:cs="Arial"/>
          <w:sz w:val="20"/>
          <w:szCs w:val="20"/>
        </w:rPr>
        <w:t>e</w:t>
      </w:r>
      <w:r w:rsidRPr="00215B2F">
        <w:rPr>
          <w:rFonts w:eastAsia="Arial" w:cs="Arial"/>
          <w:sz w:val="20"/>
          <w:szCs w:val="20"/>
        </w:rPr>
        <w:t xml:space="preserve"> in način</w:t>
      </w:r>
      <w:r w:rsidR="00DC5FAA" w:rsidRPr="00215B2F">
        <w:rPr>
          <w:rFonts w:eastAsia="Arial" w:cs="Arial"/>
          <w:sz w:val="20"/>
          <w:szCs w:val="20"/>
        </w:rPr>
        <w:t>e</w:t>
      </w:r>
      <w:r w:rsidRPr="00215B2F">
        <w:rPr>
          <w:rFonts w:eastAsia="Arial" w:cs="Arial"/>
          <w:sz w:val="20"/>
          <w:szCs w:val="20"/>
        </w:rPr>
        <w:t xml:space="preserve"> poročanja.</w:t>
      </w:r>
    </w:p>
    <w:p w14:paraId="747EA69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83374A3" w14:textId="76703FA8" w:rsidR="00D91782" w:rsidRPr="00215B2F" w:rsidRDefault="00FF337B"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6.2 ORGANIZACIJSKA STRUKTURA</w:t>
      </w:r>
    </w:p>
    <w:p w14:paraId="10AA1A46" w14:textId="77777777" w:rsidR="00FF337B" w:rsidRPr="00215B2F" w:rsidRDefault="00FF337B" w:rsidP="00FD5520">
      <w:pPr>
        <w:shd w:val="clear" w:color="auto" w:fill="FFFFFF" w:themeFill="background1"/>
        <w:spacing w:after="0" w:line="240" w:lineRule="auto"/>
        <w:jc w:val="center"/>
        <w:rPr>
          <w:rFonts w:ascii="Arial" w:eastAsia="Arial" w:hAnsi="Arial" w:cs="Arial"/>
          <w:sz w:val="20"/>
          <w:szCs w:val="20"/>
        </w:rPr>
      </w:pPr>
    </w:p>
    <w:p w14:paraId="690E8B59" w14:textId="4B470E6F"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6.2.1 Odgovornost uprave in nadzornega sveta</w:t>
      </w:r>
    </w:p>
    <w:p w14:paraId="6E04B22A"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4533F77C"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27" w:name="_Ref202964666"/>
      <w:r w:rsidRPr="00215B2F">
        <w:rPr>
          <w:rFonts w:ascii="Arial" w:eastAsia="Arial" w:hAnsi="Arial" w:cs="Arial"/>
          <w:b/>
          <w:bCs/>
          <w:sz w:val="20"/>
          <w:szCs w:val="20"/>
        </w:rPr>
        <w:t>člen</w:t>
      </w:r>
      <w:bookmarkEnd w:id="227"/>
    </w:p>
    <w:p w14:paraId="1A554F50" w14:textId="77777777" w:rsidR="00D91782" w:rsidRPr="00215B2F" w:rsidRDefault="00D91782" w:rsidP="00FD5520">
      <w:pPr>
        <w:pStyle w:val="Slog1"/>
        <w:shd w:val="clear" w:color="auto" w:fill="FFFFFF" w:themeFill="background1"/>
        <w:rPr>
          <w:sz w:val="20"/>
          <w:szCs w:val="20"/>
        </w:rPr>
      </w:pPr>
      <w:r w:rsidRPr="00215B2F">
        <w:rPr>
          <w:sz w:val="20"/>
          <w:szCs w:val="20"/>
        </w:rPr>
        <w:t>(delovanje uprave)</w:t>
      </w:r>
    </w:p>
    <w:p w14:paraId="55D0804F" w14:textId="77777777" w:rsidR="00D91782" w:rsidRPr="00215B2F" w:rsidRDefault="00D91782" w:rsidP="00FD5520">
      <w:pPr>
        <w:pStyle w:val="Slog1"/>
        <w:shd w:val="clear" w:color="auto" w:fill="FFFFFF" w:themeFill="background1"/>
        <w:jc w:val="both"/>
        <w:rPr>
          <w:sz w:val="20"/>
          <w:szCs w:val="20"/>
        </w:rPr>
      </w:pPr>
    </w:p>
    <w:p w14:paraId="3AD74525" w14:textId="0001A2A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Uprava banke mora vzpostaviti in izvajati tako ureditev notranjega upravljanja banke iz </w:t>
      </w:r>
      <w:r w:rsidR="00102C24" w:rsidRPr="00215B2F">
        <w:rPr>
          <w:rFonts w:ascii="Arial" w:eastAsia="Arial" w:hAnsi="Arial" w:cs="Arial"/>
          <w:sz w:val="20"/>
          <w:szCs w:val="20"/>
        </w:rPr>
        <w:t>177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ki omogoča učinkovito in skrbno upravljanje banke na podlagi jasne opredelitve pristojnosti in odgovornosti v banki ter politik in ukrepov za preprečevanje nastanka nasprotja interesov.</w:t>
      </w:r>
    </w:p>
    <w:p w14:paraId="75FC08F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F846C3D" w14:textId="4D88038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Za namene iz prejšnjega odstavka je uprava banke v celoti odgovorna za poslovanje banke in njeno upravljanje tveganj, vključno z:</w:t>
      </w:r>
    </w:p>
    <w:p w14:paraId="4D0ED82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2408B3F" w14:textId="77777777" w:rsidR="00C95B7A" w:rsidRPr="00215B2F" w:rsidRDefault="00D91782">
      <w:pPr>
        <w:pStyle w:val="tevilnatoka"/>
        <w:numPr>
          <w:ilvl w:val="0"/>
          <w:numId w:val="118"/>
        </w:numPr>
        <w:shd w:val="clear" w:color="auto" w:fill="FFFFFF" w:themeFill="background1"/>
        <w:tabs>
          <w:tab w:val="clear" w:pos="425"/>
        </w:tabs>
        <w:rPr>
          <w:rFonts w:cs="Arial"/>
          <w:bCs/>
          <w:sz w:val="20"/>
          <w:szCs w:val="20"/>
        </w:rPr>
      </w:pPr>
      <w:r w:rsidRPr="00215B2F">
        <w:rPr>
          <w:rFonts w:eastAsia="Arial" w:cs="Arial"/>
          <w:sz w:val="20"/>
          <w:szCs w:val="20"/>
        </w:rPr>
        <w:t>odobritvijo strateških ciljev banke, določanjem, sprejemanjem in rednim pregledovanjem strategije prevzemanja in upravljanja tveganj ter ureditvijo notranjega upravljanja banke;</w:t>
      </w:r>
    </w:p>
    <w:p w14:paraId="4231AD33" w14:textId="77777777" w:rsidR="00C95B7A" w:rsidRPr="00215B2F" w:rsidRDefault="00D91782">
      <w:pPr>
        <w:pStyle w:val="tevilnatoka"/>
        <w:numPr>
          <w:ilvl w:val="0"/>
          <w:numId w:val="118"/>
        </w:numPr>
        <w:shd w:val="clear" w:color="auto" w:fill="FFFFFF" w:themeFill="background1"/>
        <w:tabs>
          <w:tab w:val="clear" w:pos="425"/>
        </w:tabs>
        <w:rPr>
          <w:rFonts w:cs="Arial"/>
          <w:bCs/>
          <w:sz w:val="20"/>
          <w:szCs w:val="20"/>
        </w:rPr>
      </w:pPr>
      <w:r w:rsidRPr="00215B2F">
        <w:rPr>
          <w:rFonts w:eastAsia="Arial" w:cs="Arial"/>
          <w:sz w:val="20"/>
          <w:szCs w:val="20"/>
        </w:rPr>
        <w:t>zagotavljanjem celovitosti sistemov računovodskega in finančnega poročanja, ki vključujejo tudi finančni in operativni nadzor ter zagotavljanje skladnosti poslovanja banke z veljavnimi predpisi in standardi;</w:t>
      </w:r>
    </w:p>
    <w:p w14:paraId="75668CF0" w14:textId="77777777" w:rsidR="00C95B7A" w:rsidRPr="00215B2F" w:rsidRDefault="00D91782">
      <w:pPr>
        <w:pStyle w:val="tevilnatoka"/>
        <w:numPr>
          <w:ilvl w:val="0"/>
          <w:numId w:val="118"/>
        </w:numPr>
        <w:shd w:val="clear" w:color="auto" w:fill="FFFFFF" w:themeFill="background1"/>
        <w:tabs>
          <w:tab w:val="clear" w:pos="425"/>
        </w:tabs>
        <w:rPr>
          <w:rFonts w:cs="Arial"/>
          <w:bCs/>
          <w:sz w:val="20"/>
          <w:szCs w:val="20"/>
        </w:rPr>
      </w:pPr>
      <w:r w:rsidRPr="00215B2F">
        <w:rPr>
          <w:rFonts w:eastAsia="Arial" w:cs="Arial"/>
          <w:sz w:val="20"/>
          <w:szCs w:val="20"/>
        </w:rPr>
        <w:t>nadzorovanjem postopkov razkrivanja informacij banke ter postopkov obveščanja pristojnih organov in drugih zainteresiranih strani;</w:t>
      </w:r>
    </w:p>
    <w:p w14:paraId="2BDF1C09" w14:textId="6DAF33E3" w:rsidR="00D91782" w:rsidRPr="00215B2F" w:rsidRDefault="00D91782">
      <w:pPr>
        <w:pStyle w:val="tevilnatoka"/>
        <w:numPr>
          <w:ilvl w:val="0"/>
          <w:numId w:val="118"/>
        </w:numPr>
        <w:shd w:val="clear" w:color="auto" w:fill="FFFFFF" w:themeFill="background1"/>
        <w:tabs>
          <w:tab w:val="clear" w:pos="425"/>
        </w:tabs>
        <w:rPr>
          <w:rFonts w:cs="Arial"/>
          <w:bCs/>
          <w:sz w:val="20"/>
          <w:szCs w:val="20"/>
        </w:rPr>
      </w:pPr>
      <w:r w:rsidRPr="00215B2F">
        <w:rPr>
          <w:rFonts w:eastAsia="Arial" w:cs="Arial"/>
          <w:sz w:val="20"/>
          <w:szCs w:val="20"/>
        </w:rPr>
        <w:t>zagotavljanjem učinkovitega nadzora nad višjim vodstvom.</w:t>
      </w:r>
    </w:p>
    <w:p w14:paraId="7D04F50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9435033" w14:textId="2BC3439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Uprava banke mora spremljati in redno ocenjevati učinkovitost ureditev notranjega upravljanja ter zagotoviti ustrezne ukrepe za odpravo morebitnih pomanjkljivosti.</w:t>
      </w:r>
    </w:p>
    <w:p w14:paraId="77CDC31E"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6688095" w14:textId="39AE891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Uprava banke mora nemudoma pisno obvestiti nadzorni svet:</w:t>
      </w:r>
    </w:p>
    <w:p w14:paraId="046BE14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AC27863" w14:textId="59C98A7A" w:rsidR="00C95B7A" w:rsidRPr="00215B2F" w:rsidRDefault="00D91782">
      <w:pPr>
        <w:pStyle w:val="tevilnatoka"/>
        <w:numPr>
          <w:ilvl w:val="0"/>
          <w:numId w:val="119"/>
        </w:numPr>
        <w:shd w:val="clear" w:color="auto" w:fill="FFFFFF" w:themeFill="background1"/>
        <w:tabs>
          <w:tab w:val="clear" w:pos="425"/>
        </w:tabs>
        <w:rPr>
          <w:rFonts w:cs="Arial"/>
          <w:bCs/>
          <w:sz w:val="20"/>
          <w:szCs w:val="20"/>
        </w:rPr>
      </w:pPr>
      <w:r w:rsidRPr="00215B2F">
        <w:rPr>
          <w:rFonts w:eastAsia="Arial" w:cs="Arial"/>
          <w:sz w:val="20"/>
          <w:szCs w:val="20"/>
        </w:rPr>
        <w:t>če nastopijo razlogi za prenehanje ali odvzem dovoljenja za opravljanje bančnih storitev ali finančnih storitev oziroma prepoved opravljanja posameznih poslov, ki jih opravlja banka</w:t>
      </w:r>
      <w:r w:rsidR="00C14718" w:rsidRPr="00215B2F">
        <w:rPr>
          <w:rFonts w:eastAsia="Arial" w:cs="Arial"/>
          <w:sz w:val="20"/>
          <w:szCs w:val="20"/>
        </w:rPr>
        <w:t>, ali obstaja verjetnost, da bodo nastopili navedeni razlogi</w:t>
      </w:r>
      <w:r w:rsidRPr="00215B2F">
        <w:rPr>
          <w:rFonts w:eastAsia="Arial" w:cs="Arial"/>
          <w:sz w:val="20"/>
          <w:szCs w:val="20"/>
        </w:rPr>
        <w:t>;</w:t>
      </w:r>
    </w:p>
    <w:p w14:paraId="5A84699B" w14:textId="3257AB62" w:rsidR="00C95B7A" w:rsidRPr="00215B2F" w:rsidRDefault="00D91782" w:rsidP="00543D80">
      <w:pPr>
        <w:pStyle w:val="tevilnatoka"/>
        <w:rPr>
          <w:rFonts w:cs="Arial"/>
          <w:bCs/>
          <w:sz w:val="20"/>
          <w:szCs w:val="20"/>
        </w:rPr>
      </w:pPr>
      <w:r w:rsidRPr="00215B2F">
        <w:rPr>
          <w:rFonts w:eastAsia="Arial" w:cs="Arial"/>
          <w:sz w:val="20"/>
          <w:szCs w:val="20"/>
        </w:rPr>
        <w:t xml:space="preserve">če se položaj banke spremeni tako, da banka ne zagotavlja ali verjetno ne bo zagotavljala kapitalske ustreznosti iz </w:t>
      </w:r>
      <w:r w:rsidR="00102C24" w:rsidRPr="00215B2F">
        <w:rPr>
          <w:rFonts w:eastAsia="Arial" w:cs="Arial"/>
          <w:sz w:val="20"/>
          <w:szCs w:val="20"/>
        </w:rPr>
        <w:t>178</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ali ustrezne likvidnosti iz </w:t>
      </w:r>
      <w:r w:rsidR="00102C24" w:rsidRPr="00215B2F">
        <w:rPr>
          <w:rFonts w:eastAsia="Arial" w:cs="Arial"/>
          <w:sz w:val="20"/>
          <w:szCs w:val="20"/>
        </w:rPr>
        <w:t>179</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4174B618" w14:textId="77777777" w:rsidR="00C95B7A" w:rsidRPr="00215B2F" w:rsidRDefault="00D91782" w:rsidP="00543D80">
      <w:pPr>
        <w:pStyle w:val="tevilnatoka"/>
        <w:rPr>
          <w:rFonts w:cs="Arial"/>
          <w:bCs/>
          <w:sz w:val="20"/>
          <w:szCs w:val="20"/>
        </w:rPr>
      </w:pPr>
      <w:r w:rsidRPr="00215B2F">
        <w:rPr>
          <w:rFonts w:eastAsia="Arial" w:cs="Arial"/>
          <w:sz w:val="20"/>
          <w:szCs w:val="20"/>
        </w:rPr>
        <w:t>o ugotovitvah Banke Slovenije, davčne inšpekcije in drugih nadzornih organov v postopkih nadzora nad banko;</w:t>
      </w:r>
    </w:p>
    <w:p w14:paraId="041D8F8C" w14:textId="737937D3" w:rsidR="00D91782" w:rsidRPr="00215B2F" w:rsidRDefault="00D91782" w:rsidP="00543D80">
      <w:pPr>
        <w:pStyle w:val="tevilnatoka"/>
        <w:rPr>
          <w:rFonts w:cs="Arial"/>
          <w:bCs/>
          <w:sz w:val="20"/>
          <w:szCs w:val="20"/>
        </w:rPr>
      </w:pPr>
      <w:r w:rsidRPr="00215B2F">
        <w:rPr>
          <w:rFonts w:eastAsia="Arial" w:cs="Arial"/>
          <w:sz w:val="20"/>
          <w:szCs w:val="20"/>
        </w:rPr>
        <w:t xml:space="preserve">o drugih zadevah, kadar je to treba ali je primerno zaradi izvajanja pristojnosti in dolžnosti nadzornega sveta v skladu s tem ali drugim zakonom, zlasti o okoliščinah, da so v banki nastopile ali bodo verjetno nastopile pomembnejše kršitve predpisov iz </w:t>
      </w:r>
      <w:r w:rsidR="00702635" w:rsidRPr="00215B2F">
        <w:rPr>
          <w:rFonts w:eastAsia="Arial" w:cs="Arial"/>
          <w:sz w:val="20"/>
          <w:szCs w:val="20"/>
        </w:rPr>
        <w:t xml:space="preserve">tretjega </w:t>
      </w:r>
      <w:r w:rsidRPr="00215B2F">
        <w:rPr>
          <w:rFonts w:eastAsia="Arial" w:cs="Arial"/>
          <w:sz w:val="20"/>
          <w:szCs w:val="20"/>
        </w:rPr>
        <w:t xml:space="preserve">odstavka 9. </w:t>
      </w:r>
      <w:r w:rsidR="001F2C7A" w:rsidRPr="00215B2F">
        <w:rPr>
          <w:rFonts w:eastAsia="Arial" w:cs="Arial"/>
          <w:sz w:val="20"/>
          <w:szCs w:val="20"/>
        </w:rPr>
        <w:t>člena tega zakona</w:t>
      </w:r>
      <w:r w:rsidRPr="00215B2F">
        <w:rPr>
          <w:rFonts w:eastAsia="Arial" w:cs="Arial"/>
          <w:sz w:val="20"/>
          <w:szCs w:val="20"/>
        </w:rPr>
        <w:t>.</w:t>
      </w:r>
    </w:p>
    <w:p w14:paraId="7D18B33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7A13302"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28" w:name="_Ref202964678"/>
      <w:r w:rsidRPr="00215B2F">
        <w:rPr>
          <w:rFonts w:ascii="Arial" w:eastAsia="Arial" w:hAnsi="Arial" w:cs="Arial"/>
          <w:b/>
          <w:bCs/>
          <w:sz w:val="20"/>
          <w:szCs w:val="20"/>
        </w:rPr>
        <w:t>člen</w:t>
      </w:r>
      <w:bookmarkEnd w:id="228"/>
    </w:p>
    <w:p w14:paraId="1BD7529D" w14:textId="77777777" w:rsidR="00D91782" w:rsidRPr="00215B2F" w:rsidRDefault="00D91782" w:rsidP="00FD5520">
      <w:pPr>
        <w:pStyle w:val="Slog1"/>
        <w:shd w:val="clear" w:color="auto" w:fill="FFFFFF" w:themeFill="background1"/>
        <w:rPr>
          <w:sz w:val="20"/>
          <w:szCs w:val="20"/>
        </w:rPr>
      </w:pPr>
      <w:r w:rsidRPr="00215B2F">
        <w:rPr>
          <w:sz w:val="20"/>
          <w:szCs w:val="20"/>
        </w:rPr>
        <w:t>(delovanje nadzornega sveta)</w:t>
      </w:r>
    </w:p>
    <w:p w14:paraId="2E891AFE" w14:textId="77777777" w:rsidR="00D91782" w:rsidRPr="00215B2F" w:rsidRDefault="00D91782" w:rsidP="00FD5520">
      <w:pPr>
        <w:pStyle w:val="Slog1"/>
        <w:shd w:val="clear" w:color="auto" w:fill="FFFFFF" w:themeFill="background1"/>
        <w:jc w:val="both"/>
        <w:rPr>
          <w:sz w:val="20"/>
          <w:szCs w:val="20"/>
        </w:rPr>
      </w:pPr>
    </w:p>
    <w:p w14:paraId="5CDD4076" w14:textId="68568EA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Nadzorni svet mora v okviru izvajanja funkcij nadzora nad delovanjem uprave ter pri sprejemanju politik in odločitev v pristojnosti nadzornega sveta zlasti nadzorovati izvajanje strateških ciljev banke, določati, sprejemati in redno pregledovati strategije prevzemanja in upravljanja tveganj ter prispevati k vzpostavitvi in uresničevanju stabilne ureditve notranjega upravljanja banke iz </w:t>
      </w:r>
      <w:r w:rsidR="00102C24" w:rsidRPr="00215B2F">
        <w:rPr>
          <w:rFonts w:ascii="Arial" w:eastAsia="Arial" w:hAnsi="Arial" w:cs="Arial"/>
          <w:sz w:val="20"/>
          <w:szCs w:val="20"/>
        </w:rPr>
        <w:t>177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ter pri tem upoštevati politike in ukrepe za preprečevanje nastanka nasprotja interesov.</w:t>
      </w:r>
    </w:p>
    <w:p w14:paraId="2E3A0DD7"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EFEE5EE" w14:textId="28ACCBD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Nadzorni svet z izvajanjem nadzora nad delovanjem uprave ter </w:t>
      </w:r>
      <w:r w:rsidR="00531B51" w:rsidRPr="00215B2F">
        <w:rPr>
          <w:rFonts w:ascii="Arial" w:eastAsia="Arial" w:hAnsi="Arial" w:cs="Arial"/>
          <w:sz w:val="20"/>
          <w:szCs w:val="20"/>
        </w:rPr>
        <w:t xml:space="preserve">z </w:t>
      </w:r>
      <w:r w:rsidRPr="00215B2F">
        <w:rPr>
          <w:rFonts w:ascii="Arial" w:eastAsia="Arial" w:hAnsi="Arial" w:cs="Arial"/>
          <w:sz w:val="20"/>
          <w:szCs w:val="20"/>
        </w:rPr>
        <w:t>izvajanjem svojih pristojnosti v skladu s tem zakonom skupaj z upravo banke prevzema splošno odgovornost za učinkovito in skrbno upravljanje banke.</w:t>
      </w:r>
    </w:p>
    <w:p w14:paraId="70E5ECC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3C7A6FE" w14:textId="7B47146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Uprava banke mora zagotoviti ustrezne kadrovske in finančne vire za uvajanje in usposabljanje članov nadzornega sveta in komisije za tveganja, kadar je ustanovljena, vključno z zagotavljanjem možnosti uporabe zunanjih strokovnjakov za obravnavo posameznih vprašanj.</w:t>
      </w:r>
    </w:p>
    <w:p w14:paraId="44C601F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D5E1559" w14:textId="23D251CD"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6.2.2 Funkcije notranje kontrole</w:t>
      </w:r>
    </w:p>
    <w:p w14:paraId="3D65BE37"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033F1761" w14:textId="77777777" w:rsidR="00D91782" w:rsidRPr="00215B2F" w:rsidRDefault="00D91782" w:rsidP="00BA518B">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29" w:name="_Ref202964685"/>
      <w:r w:rsidRPr="00215B2F">
        <w:rPr>
          <w:rFonts w:ascii="Arial" w:eastAsia="Arial" w:hAnsi="Arial" w:cs="Arial"/>
          <w:b/>
          <w:bCs/>
          <w:sz w:val="20"/>
          <w:szCs w:val="20"/>
        </w:rPr>
        <w:lastRenderedPageBreak/>
        <w:t>člen</w:t>
      </w:r>
      <w:bookmarkEnd w:id="229"/>
    </w:p>
    <w:p w14:paraId="496D6E29" w14:textId="14403C3B" w:rsidR="00D91782" w:rsidRPr="00215B2F" w:rsidRDefault="00D91782" w:rsidP="00FD5520">
      <w:pPr>
        <w:pStyle w:val="Slog1"/>
        <w:shd w:val="clear" w:color="auto" w:fill="FFFFFF" w:themeFill="background1"/>
        <w:rPr>
          <w:sz w:val="20"/>
          <w:szCs w:val="20"/>
        </w:rPr>
      </w:pPr>
      <w:r w:rsidRPr="00215B2F">
        <w:rPr>
          <w:sz w:val="20"/>
          <w:szCs w:val="20"/>
        </w:rPr>
        <w:t>(funkcije notranje kontrole)</w:t>
      </w:r>
    </w:p>
    <w:p w14:paraId="06280645" w14:textId="77777777" w:rsidR="00D91782" w:rsidRPr="00215B2F" w:rsidRDefault="00D91782" w:rsidP="00FD5520">
      <w:pPr>
        <w:pStyle w:val="Slog1"/>
        <w:shd w:val="clear" w:color="auto" w:fill="FFFFFF" w:themeFill="background1"/>
        <w:jc w:val="both"/>
        <w:rPr>
          <w:sz w:val="20"/>
          <w:szCs w:val="20"/>
        </w:rPr>
      </w:pPr>
    </w:p>
    <w:p w14:paraId="488543B5" w14:textId="3C35030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Uprava banke mora organizirati </w:t>
      </w:r>
      <w:r w:rsidR="00DC5FAA" w:rsidRPr="00215B2F">
        <w:rPr>
          <w:rFonts w:ascii="Arial" w:eastAsia="Arial" w:hAnsi="Arial" w:cs="Arial"/>
          <w:sz w:val="20"/>
          <w:szCs w:val="20"/>
        </w:rPr>
        <w:t xml:space="preserve">funkcije </w:t>
      </w:r>
      <w:r w:rsidRPr="00215B2F">
        <w:rPr>
          <w:rFonts w:ascii="Arial" w:eastAsia="Arial" w:hAnsi="Arial" w:cs="Arial"/>
          <w:sz w:val="20"/>
          <w:szCs w:val="20"/>
        </w:rPr>
        <w:t xml:space="preserve">notranje kontrole, </w:t>
      </w:r>
      <w:r w:rsidR="00DC5FAA" w:rsidRPr="00215B2F">
        <w:rPr>
          <w:rFonts w:ascii="Arial" w:eastAsia="Arial" w:hAnsi="Arial" w:cs="Arial"/>
          <w:sz w:val="20"/>
          <w:szCs w:val="20"/>
        </w:rPr>
        <w:t xml:space="preserve">ki </w:t>
      </w:r>
      <w:r w:rsidR="006873B8" w:rsidRPr="00215B2F">
        <w:rPr>
          <w:rFonts w:ascii="Arial" w:eastAsia="Arial" w:hAnsi="Arial" w:cs="Arial"/>
          <w:sz w:val="20"/>
          <w:szCs w:val="20"/>
        </w:rPr>
        <w:t xml:space="preserve">so </w:t>
      </w:r>
      <w:r w:rsidRPr="00215B2F">
        <w:rPr>
          <w:rFonts w:ascii="Arial" w:eastAsia="Arial" w:hAnsi="Arial" w:cs="Arial"/>
          <w:sz w:val="20"/>
          <w:szCs w:val="20"/>
        </w:rPr>
        <w:t>neposredno podrejen</w:t>
      </w:r>
      <w:r w:rsidR="00DC5FAA" w:rsidRPr="00215B2F">
        <w:rPr>
          <w:rFonts w:ascii="Arial" w:eastAsia="Arial" w:hAnsi="Arial" w:cs="Arial"/>
          <w:sz w:val="20"/>
          <w:szCs w:val="20"/>
        </w:rPr>
        <w:t>e</w:t>
      </w:r>
      <w:r w:rsidRPr="00215B2F">
        <w:rPr>
          <w:rFonts w:ascii="Arial" w:eastAsia="Arial" w:hAnsi="Arial" w:cs="Arial"/>
          <w:sz w:val="20"/>
          <w:szCs w:val="20"/>
        </w:rPr>
        <w:t xml:space="preserve"> upravi banke ter funkcionalno in organizacijsko neodvisn</w:t>
      </w:r>
      <w:r w:rsidR="00DC5FAA" w:rsidRPr="00215B2F">
        <w:rPr>
          <w:rFonts w:ascii="Arial" w:eastAsia="Arial" w:hAnsi="Arial" w:cs="Arial"/>
          <w:sz w:val="20"/>
          <w:szCs w:val="20"/>
        </w:rPr>
        <w:t>e</w:t>
      </w:r>
      <w:r w:rsidRPr="00215B2F">
        <w:rPr>
          <w:rFonts w:ascii="Arial" w:eastAsia="Arial" w:hAnsi="Arial" w:cs="Arial"/>
          <w:sz w:val="20"/>
          <w:szCs w:val="20"/>
        </w:rPr>
        <w:t xml:space="preserve"> od operativn</w:t>
      </w:r>
      <w:r w:rsidR="00DC5FAA" w:rsidRPr="00215B2F">
        <w:rPr>
          <w:rFonts w:ascii="Arial" w:eastAsia="Arial" w:hAnsi="Arial" w:cs="Arial"/>
          <w:sz w:val="20"/>
          <w:szCs w:val="20"/>
        </w:rPr>
        <w:t>ih</w:t>
      </w:r>
      <w:r w:rsidRPr="00215B2F">
        <w:rPr>
          <w:rFonts w:ascii="Arial" w:eastAsia="Arial" w:hAnsi="Arial" w:cs="Arial"/>
          <w:sz w:val="20"/>
          <w:szCs w:val="20"/>
        </w:rPr>
        <w:t xml:space="preserve"> funkcij banke</w:t>
      </w:r>
      <w:r w:rsidR="006873B8" w:rsidRPr="00215B2F">
        <w:rPr>
          <w:rFonts w:ascii="Arial" w:eastAsia="Arial" w:hAnsi="Arial" w:cs="Arial"/>
          <w:sz w:val="20"/>
          <w:szCs w:val="20"/>
        </w:rPr>
        <w:t xml:space="preserve">, </w:t>
      </w:r>
      <w:r w:rsidR="00DC5FAA" w:rsidRPr="00215B2F">
        <w:rPr>
          <w:rFonts w:ascii="Arial" w:eastAsia="Arial" w:hAnsi="Arial" w:cs="Arial"/>
          <w:sz w:val="20"/>
          <w:szCs w:val="20"/>
        </w:rPr>
        <w:t xml:space="preserve">pri katerih lahko prihaja do </w:t>
      </w:r>
      <w:r w:rsidRPr="00215B2F">
        <w:rPr>
          <w:rFonts w:ascii="Arial" w:eastAsia="Arial" w:hAnsi="Arial" w:cs="Arial"/>
          <w:sz w:val="20"/>
          <w:szCs w:val="20"/>
        </w:rPr>
        <w:t>nasprotja interesov</w:t>
      </w:r>
      <w:r w:rsidR="00DC5FAA" w:rsidRPr="00215B2F">
        <w:rPr>
          <w:rFonts w:ascii="Arial" w:eastAsia="Arial" w:hAnsi="Arial" w:cs="Arial"/>
          <w:sz w:val="20"/>
          <w:szCs w:val="20"/>
        </w:rPr>
        <w:t xml:space="preserve"> s funkcijami notranje kontrole</w:t>
      </w:r>
      <w:r w:rsidR="00946477" w:rsidRPr="00215B2F">
        <w:rPr>
          <w:rFonts w:ascii="Arial" w:eastAsia="Arial" w:hAnsi="Arial" w:cs="Arial"/>
          <w:sz w:val="20"/>
          <w:szCs w:val="20"/>
        </w:rPr>
        <w:t>,</w:t>
      </w:r>
      <w:r w:rsidRPr="00215B2F">
        <w:rPr>
          <w:rFonts w:ascii="Arial" w:eastAsia="Arial" w:hAnsi="Arial" w:cs="Arial"/>
          <w:sz w:val="20"/>
          <w:szCs w:val="20"/>
        </w:rPr>
        <w:t xml:space="preserve"> ter mora pri tem upoštevati naravo, obseg in zapletenost dejavnosti, ki jih opravlja</w:t>
      </w:r>
      <w:r w:rsidR="00946477" w:rsidRPr="00215B2F">
        <w:rPr>
          <w:rFonts w:ascii="Arial" w:eastAsia="Arial" w:hAnsi="Arial" w:cs="Arial"/>
          <w:sz w:val="20"/>
          <w:szCs w:val="20"/>
        </w:rPr>
        <w:t>jo</w:t>
      </w:r>
      <w:r w:rsidR="006873B8" w:rsidRPr="00215B2F">
        <w:rPr>
          <w:rFonts w:ascii="Arial" w:eastAsia="Arial" w:hAnsi="Arial" w:cs="Arial"/>
          <w:sz w:val="20"/>
          <w:szCs w:val="20"/>
        </w:rPr>
        <w:t xml:space="preserve"> </w:t>
      </w:r>
      <w:r w:rsidR="005C7C27" w:rsidRPr="00215B2F">
        <w:rPr>
          <w:rFonts w:ascii="Arial" w:eastAsia="Arial" w:hAnsi="Arial" w:cs="Arial"/>
          <w:sz w:val="20"/>
          <w:szCs w:val="20"/>
        </w:rPr>
        <w:t>nosilci funkcije</w:t>
      </w:r>
      <w:r w:rsidR="006873B8" w:rsidRPr="00215B2F">
        <w:rPr>
          <w:rFonts w:ascii="Arial" w:eastAsia="Arial" w:hAnsi="Arial" w:cs="Arial"/>
          <w:sz w:val="20"/>
          <w:szCs w:val="20"/>
        </w:rPr>
        <w:t xml:space="preserve"> notranje kontrole</w:t>
      </w:r>
      <w:r w:rsidRPr="00215B2F">
        <w:rPr>
          <w:rFonts w:ascii="Arial" w:eastAsia="Arial" w:hAnsi="Arial" w:cs="Arial"/>
          <w:sz w:val="20"/>
          <w:szCs w:val="20"/>
        </w:rPr>
        <w:t xml:space="preserve">. </w:t>
      </w:r>
    </w:p>
    <w:p w14:paraId="4BC29D9E"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B834AE6" w14:textId="4AC0B6C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Uprava banke mora zagotoviti, da imajo funkcije notranje kontrole ustrezna pooblastila, ugled in vpliv za opravljanje te funkcije ter zadostne kadrovske in finančne vire za učinkovito izvajanje </w:t>
      </w:r>
      <w:r w:rsidR="00DC5FAA" w:rsidRPr="00215B2F">
        <w:rPr>
          <w:rFonts w:ascii="Arial" w:eastAsia="Arial" w:hAnsi="Arial" w:cs="Arial"/>
          <w:sz w:val="20"/>
          <w:szCs w:val="20"/>
        </w:rPr>
        <w:t xml:space="preserve">funkcij </w:t>
      </w:r>
      <w:r w:rsidRPr="00215B2F">
        <w:rPr>
          <w:rFonts w:ascii="Arial" w:eastAsia="Arial" w:hAnsi="Arial" w:cs="Arial"/>
          <w:sz w:val="20"/>
          <w:szCs w:val="20"/>
        </w:rPr>
        <w:t>notranje kontrole.</w:t>
      </w:r>
    </w:p>
    <w:p w14:paraId="1EB3258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EEF9C87" w14:textId="5E2FDF6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w:t>
      </w:r>
      <w:r w:rsidR="00EF13D8" w:rsidRPr="00215B2F">
        <w:rPr>
          <w:rFonts w:ascii="Arial" w:eastAsia="Arial" w:hAnsi="Arial" w:cs="Arial"/>
          <w:sz w:val="20"/>
          <w:szCs w:val="20"/>
        </w:rPr>
        <w:t>F</w:t>
      </w:r>
      <w:r w:rsidRPr="00215B2F">
        <w:rPr>
          <w:rFonts w:ascii="Arial" w:eastAsia="Arial" w:hAnsi="Arial" w:cs="Arial"/>
          <w:sz w:val="20"/>
          <w:szCs w:val="20"/>
        </w:rPr>
        <w:t>unkcije notranje kontrole zagotavljajo:</w:t>
      </w:r>
    </w:p>
    <w:p w14:paraId="12C5ED1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91FBB94" w14:textId="77777777" w:rsidR="00C95B7A" w:rsidRPr="00215B2F" w:rsidRDefault="00D91782">
      <w:pPr>
        <w:pStyle w:val="tevilnatoka"/>
        <w:numPr>
          <w:ilvl w:val="0"/>
          <w:numId w:val="120"/>
        </w:numPr>
        <w:shd w:val="clear" w:color="auto" w:fill="FFFFFF" w:themeFill="background1"/>
        <w:tabs>
          <w:tab w:val="clear" w:pos="425"/>
        </w:tabs>
        <w:rPr>
          <w:rFonts w:eastAsiaTheme="minorHAnsi" w:cs="Arial"/>
          <w:bCs/>
          <w:sz w:val="20"/>
          <w:szCs w:val="20"/>
        </w:rPr>
      </w:pPr>
      <w:r w:rsidRPr="00215B2F">
        <w:rPr>
          <w:rFonts w:eastAsia="Arial" w:cs="Arial"/>
          <w:sz w:val="20"/>
          <w:szCs w:val="20"/>
        </w:rPr>
        <w:t>da so vsa pomembna tveganja ustrezno ugotovljena, ocenjena oziroma izmerjena in da se o njih ustrezno poroča;</w:t>
      </w:r>
    </w:p>
    <w:p w14:paraId="461154D5" w14:textId="5EEC5613" w:rsidR="00D91782" w:rsidRPr="00215B2F" w:rsidRDefault="00D91782">
      <w:pPr>
        <w:pStyle w:val="tevilnatoka"/>
        <w:numPr>
          <w:ilvl w:val="0"/>
          <w:numId w:val="120"/>
        </w:numPr>
        <w:shd w:val="clear" w:color="auto" w:fill="FFFFFF" w:themeFill="background1"/>
        <w:tabs>
          <w:tab w:val="clear" w:pos="425"/>
        </w:tabs>
        <w:rPr>
          <w:rFonts w:eastAsiaTheme="minorHAnsi" w:cs="Arial"/>
          <w:bCs/>
          <w:sz w:val="20"/>
          <w:szCs w:val="20"/>
        </w:rPr>
      </w:pPr>
      <w:r w:rsidRPr="00215B2F">
        <w:rPr>
          <w:rFonts w:eastAsia="Arial" w:cs="Arial"/>
          <w:sz w:val="20"/>
          <w:szCs w:val="20"/>
        </w:rPr>
        <w:t>celovit pregled nad celotnim razponom tveganj, ki jim je banka pri svojem poslovanju izpostavljena ali bi jim lahko bila</w:t>
      </w:r>
      <w:r w:rsidR="00D26A46" w:rsidRPr="00215B2F">
        <w:rPr>
          <w:rFonts w:eastAsia="Arial" w:cs="Arial"/>
          <w:sz w:val="20"/>
          <w:szCs w:val="20"/>
        </w:rPr>
        <w:t xml:space="preserve"> izpostavljena</w:t>
      </w:r>
      <w:r w:rsidRPr="00215B2F">
        <w:rPr>
          <w:rFonts w:eastAsia="Arial" w:cs="Arial"/>
          <w:sz w:val="20"/>
          <w:szCs w:val="20"/>
        </w:rPr>
        <w:t>.</w:t>
      </w:r>
    </w:p>
    <w:p w14:paraId="312F03E7"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1F05B5A" w14:textId="71425B9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w:t>
      </w:r>
      <w:r w:rsidR="00EF13D8" w:rsidRPr="00215B2F">
        <w:rPr>
          <w:rFonts w:ascii="Arial" w:eastAsia="Arial" w:hAnsi="Arial" w:cs="Arial"/>
          <w:sz w:val="20"/>
          <w:szCs w:val="20"/>
        </w:rPr>
        <w:t>F</w:t>
      </w:r>
      <w:r w:rsidRPr="00215B2F">
        <w:rPr>
          <w:rFonts w:ascii="Arial" w:eastAsia="Arial" w:hAnsi="Arial" w:cs="Arial"/>
          <w:sz w:val="20"/>
          <w:szCs w:val="20"/>
        </w:rPr>
        <w:t>unkcije notranje kontrole imajo neposred</w:t>
      </w:r>
      <w:r w:rsidR="00337A37" w:rsidRPr="00215B2F">
        <w:rPr>
          <w:rFonts w:ascii="Arial" w:eastAsia="Arial" w:hAnsi="Arial" w:cs="Arial"/>
          <w:sz w:val="20"/>
          <w:szCs w:val="20"/>
        </w:rPr>
        <w:t>e</w:t>
      </w:r>
      <w:r w:rsidRPr="00215B2F">
        <w:rPr>
          <w:rFonts w:ascii="Arial" w:eastAsia="Arial" w:hAnsi="Arial" w:cs="Arial"/>
          <w:sz w:val="20"/>
          <w:szCs w:val="20"/>
        </w:rPr>
        <w:t xml:space="preserve">n dostop do nadzornega sveta in mu lahko neposredno poročajo. </w:t>
      </w:r>
      <w:r w:rsidR="00EF13D8" w:rsidRPr="00215B2F">
        <w:rPr>
          <w:rFonts w:ascii="Arial" w:eastAsia="Arial" w:hAnsi="Arial" w:cs="Arial"/>
          <w:sz w:val="20"/>
          <w:szCs w:val="20"/>
        </w:rPr>
        <w:t>F</w:t>
      </w:r>
      <w:r w:rsidRPr="00215B2F">
        <w:rPr>
          <w:rFonts w:ascii="Arial" w:eastAsia="Arial" w:hAnsi="Arial" w:cs="Arial"/>
          <w:sz w:val="20"/>
          <w:szCs w:val="20"/>
        </w:rPr>
        <w:t>unkcije notranje kontrole so v ta namen neodvisn</w:t>
      </w:r>
      <w:r w:rsidR="005C7C27" w:rsidRPr="00215B2F">
        <w:rPr>
          <w:rFonts w:ascii="Arial" w:eastAsia="Arial" w:hAnsi="Arial" w:cs="Arial"/>
          <w:sz w:val="20"/>
          <w:szCs w:val="20"/>
        </w:rPr>
        <w:t>i</w:t>
      </w:r>
      <w:r w:rsidRPr="00215B2F">
        <w:rPr>
          <w:rFonts w:ascii="Arial" w:eastAsia="Arial" w:hAnsi="Arial" w:cs="Arial"/>
          <w:sz w:val="20"/>
          <w:szCs w:val="20"/>
        </w:rPr>
        <w:t xml:space="preserve"> od članov uprave in višjega vodstva ter zlasti lahko izražajo pomisleke in opozarjajo nadzorni svet, kadar je </w:t>
      </w:r>
      <w:r w:rsidR="005C7C27" w:rsidRPr="00215B2F">
        <w:rPr>
          <w:rFonts w:ascii="Arial" w:eastAsia="Arial" w:hAnsi="Arial" w:cs="Arial"/>
          <w:sz w:val="20"/>
          <w:szCs w:val="20"/>
        </w:rPr>
        <w:t xml:space="preserve">to </w:t>
      </w:r>
      <w:r w:rsidRPr="00215B2F">
        <w:rPr>
          <w:rFonts w:ascii="Arial" w:eastAsia="Arial" w:hAnsi="Arial" w:cs="Arial"/>
          <w:sz w:val="20"/>
          <w:szCs w:val="20"/>
        </w:rPr>
        <w:t>ustrezno ali kadar razvoj na področju tveganja vpliva na banko ali bi nanjo lahko vplival, brez poseganja v pristojnosti uprave na podlagi tega zakona in Uredbe 575/2013</w:t>
      </w:r>
      <w:r w:rsidR="0061482B" w:rsidRPr="00215B2F">
        <w:rPr>
          <w:rFonts w:ascii="Arial" w:eastAsia="Arial" w:hAnsi="Arial" w:cs="Arial"/>
          <w:sz w:val="20"/>
          <w:szCs w:val="20"/>
        </w:rPr>
        <w:t>/EU</w:t>
      </w:r>
      <w:r w:rsidRPr="00215B2F">
        <w:rPr>
          <w:rFonts w:ascii="Arial" w:eastAsia="Arial" w:hAnsi="Arial" w:cs="Arial"/>
          <w:sz w:val="20"/>
          <w:szCs w:val="20"/>
        </w:rPr>
        <w:t xml:space="preserve">. </w:t>
      </w:r>
    </w:p>
    <w:p w14:paraId="6FB6E37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CED5BB9" w14:textId="25F5C9D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Vodje funkcij notranje kontrole</w:t>
      </w:r>
      <w:r w:rsidR="006873B8" w:rsidRPr="00215B2F">
        <w:rPr>
          <w:rFonts w:ascii="Arial" w:eastAsia="Arial" w:hAnsi="Arial" w:cs="Arial"/>
          <w:sz w:val="20"/>
          <w:szCs w:val="20"/>
        </w:rPr>
        <w:t>,</w:t>
      </w:r>
      <w:r w:rsidRPr="00215B2F">
        <w:rPr>
          <w:rFonts w:ascii="Arial" w:eastAsia="Arial" w:hAnsi="Arial" w:cs="Arial"/>
          <w:sz w:val="20"/>
          <w:szCs w:val="20"/>
        </w:rPr>
        <w:t xml:space="preserve"> so neodvisni višji vodstveni delavci z jasno odgovornostjo za </w:t>
      </w:r>
      <w:r w:rsidR="00C546D7" w:rsidRPr="00215B2F">
        <w:rPr>
          <w:rFonts w:ascii="Arial" w:eastAsia="Arial" w:hAnsi="Arial" w:cs="Arial"/>
          <w:sz w:val="20"/>
          <w:szCs w:val="20"/>
        </w:rPr>
        <w:t xml:space="preserve">funkcije </w:t>
      </w:r>
      <w:r w:rsidRPr="00215B2F">
        <w:rPr>
          <w:rFonts w:ascii="Arial" w:eastAsia="Arial" w:hAnsi="Arial" w:cs="Arial"/>
          <w:sz w:val="20"/>
          <w:szCs w:val="20"/>
        </w:rPr>
        <w:t xml:space="preserve">upravljanja tveganj, zagotavljanja skladnosti in notranje revizije. Kadar narava, obseg in zapletenost dejavnosti banke ne upravičujejo imenovanja posebne osebe </w:t>
      </w:r>
      <w:r w:rsidR="006873B8" w:rsidRPr="00215B2F">
        <w:rPr>
          <w:rFonts w:ascii="Arial" w:eastAsia="Arial" w:hAnsi="Arial" w:cs="Arial"/>
          <w:sz w:val="20"/>
          <w:szCs w:val="20"/>
        </w:rPr>
        <w:t xml:space="preserve">za </w:t>
      </w:r>
      <w:r w:rsidR="00C546D7" w:rsidRPr="00215B2F">
        <w:rPr>
          <w:rFonts w:ascii="Arial" w:eastAsia="Arial" w:hAnsi="Arial" w:cs="Arial"/>
          <w:sz w:val="20"/>
          <w:szCs w:val="20"/>
        </w:rPr>
        <w:t xml:space="preserve">funkcijo </w:t>
      </w:r>
      <w:r w:rsidRPr="00215B2F">
        <w:rPr>
          <w:rFonts w:ascii="Arial" w:eastAsia="Arial" w:hAnsi="Arial" w:cs="Arial"/>
          <w:sz w:val="20"/>
          <w:szCs w:val="20"/>
        </w:rPr>
        <w:t xml:space="preserve">upravljanja tveganj ali zagotavljanja skladnosti, je lahko za </w:t>
      </w:r>
      <w:r w:rsidR="00C546D7" w:rsidRPr="00215B2F">
        <w:rPr>
          <w:rFonts w:ascii="Arial" w:eastAsia="Arial" w:hAnsi="Arial" w:cs="Arial"/>
          <w:sz w:val="20"/>
          <w:szCs w:val="20"/>
        </w:rPr>
        <w:t xml:space="preserve">funkcijo </w:t>
      </w:r>
      <w:r w:rsidRPr="00215B2F">
        <w:rPr>
          <w:rFonts w:ascii="Arial" w:eastAsia="Arial" w:hAnsi="Arial" w:cs="Arial"/>
          <w:sz w:val="20"/>
          <w:szCs w:val="20"/>
        </w:rPr>
        <w:t xml:space="preserve">zagotavljanja skladnosti ali upravljanja tveganj pristojna oseba na višjem položaju, ki v banki opravlja druge naloge, če ni nasprotja interesov, in oseba, pristojna za </w:t>
      </w:r>
      <w:r w:rsidR="006873B8" w:rsidRPr="00215B2F">
        <w:rPr>
          <w:rFonts w:ascii="Arial" w:eastAsia="Arial" w:hAnsi="Arial" w:cs="Arial"/>
          <w:sz w:val="20"/>
          <w:szCs w:val="20"/>
        </w:rPr>
        <w:t xml:space="preserve">naloge </w:t>
      </w:r>
      <w:r w:rsidRPr="00215B2F">
        <w:rPr>
          <w:rFonts w:ascii="Arial" w:eastAsia="Arial" w:hAnsi="Arial" w:cs="Arial"/>
          <w:sz w:val="20"/>
          <w:szCs w:val="20"/>
        </w:rPr>
        <w:t>upravljanja tveganj in zagotavljanja skladnosti:</w:t>
      </w:r>
    </w:p>
    <w:p w14:paraId="778E5F2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8112B6A" w14:textId="6832396D" w:rsidR="008612B7" w:rsidRPr="00215B2F" w:rsidRDefault="00D91782" w:rsidP="003D4DE0">
      <w:pPr>
        <w:pStyle w:val="Odstavekseznama"/>
        <w:numPr>
          <w:ilvl w:val="0"/>
          <w:numId w:val="309"/>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izpolnjuje merila primernosti in zahteve po znanju, spretnostih in izkušnjah, potrebnih za različna zadevna področja, ter</w:t>
      </w:r>
    </w:p>
    <w:p w14:paraId="505E3AC3" w14:textId="2C32E893" w:rsidR="00D91782" w:rsidRPr="00215B2F" w:rsidRDefault="00D91782" w:rsidP="003D4DE0">
      <w:pPr>
        <w:pStyle w:val="Odstavekseznama"/>
        <w:numPr>
          <w:ilvl w:val="0"/>
          <w:numId w:val="309"/>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ima dovolj časa za ustrezno opravljanje obeh kontrolnih funkcij.</w:t>
      </w:r>
    </w:p>
    <w:p w14:paraId="1AB3E02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A0134B7" w14:textId="06CEAB8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Razrešitev vodij funkcij notranje kontrole predhodno odobri nadzorni svet. </w:t>
      </w:r>
    </w:p>
    <w:p w14:paraId="2141C6E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B501D3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30" w:name="_Ref202964709"/>
      <w:r w:rsidRPr="00215B2F">
        <w:rPr>
          <w:rFonts w:ascii="Arial" w:eastAsia="Arial" w:hAnsi="Arial" w:cs="Arial"/>
          <w:b/>
          <w:bCs/>
          <w:sz w:val="20"/>
          <w:szCs w:val="20"/>
        </w:rPr>
        <w:t>člen</w:t>
      </w:r>
      <w:bookmarkEnd w:id="230"/>
    </w:p>
    <w:p w14:paraId="520FEE64" w14:textId="77777777" w:rsidR="00D91782" w:rsidRPr="00215B2F" w:rsidRDefault="00D91782" w:rsidP="00FD5520">
      <w:pPr>
        <w:pStyle w:val="Slog1"/>
        <w:shd w:val="clear" w:color="auto" w:fill="FFFFFF" w:themeFill="background1"/>
        <w:rPr>
          <w:sz w:val="20"/>
          <w:szCs w:val="20"/>
        </w:rPr>
      </w:pPr>
      <w:r w:rsidRPr="00215B2F">
        <w:rPr>
          <w:sz w:val="20"/>
          <w:szCs w:val="20"/>
        </w:rPr>
        <w:t>(funkcija upravljanja tveganj)</w:t>
      </w:r>
    </w:p>
    <w:p w14:paraId="48394BB8" w14:textId="77777777" w:rsidR="00D91782" w:rsidRPr="00215B2F" w:rsidRDefault="00D91782" w:rsidP="00FD5520">
      <w:pPr>
        <w:pStyle w:val="Slog1"/>
        <w:shd w:val="clear" w:color="auto" w:fill="FFFFFF" w:themeFill="background1"/>
        <w:jc w:val="both"/>
        <w:rPr>
          <w:sz w:val="20"/>
          <w:szCs w:val="20"/>
        </w:rPr>
      </w:pPr>
    </w:p>
    <w:p w14:paraId="591AA011" w14:textId="74BA41B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w:t>
      </w:r>
      <w:r w:rsidR="00C546D7" w:rsidRPr="00215B2F">
        <w:rPr>
          <w:rFonts w:ascii="Arial" w:eastAsia="Arial" w:hAnsi="Arial" w:cs="Arial"/>
          <w:sz w:val="20"/>
          <w:szCs w:val="20"/>
        </w:rPr>
        <w:t>F</w:t>
      </w:r>
      <w:r w:rsidRPr="00215B2F">
        <w:rPr>
          <w:rFonts w:ascii="Arial" w:eastAsia="Arial" w:hAnsi="Arial" w:cs="Arial"/>
          <w:sz w:val="20"/>
          <w:szCs w:val="20"/>
        </w:rPr>
        <w:t>unkcij</w:t>
      </w:r>
      <w:r w:rsidR="00C546D7" w:rsidRPr="00215B2F">
        <w:rPr>
          <w:rFonts w:ascii="Arial" w:eastAsia="Arial" w:hAnsi="Arial" w:cs="Arial"/>
          <w:sz w:val="20"/>
          <w:szCs w:val="20"/>
        </w:rPr>
        <w:t>a</w:t>
      </w:r>
      <w:r w:rsidRPr="00215B2F">
        <w:rPr>
          <w:rFonts w:ascii="Arial" w:eastAsia="Arial" w:hAnsi="Arial" w:cs="Arial"/>
          <w:sz w:val="20"/>
          <w:szCs w:val="20"/>
        </w:rPr>
        <w:t xml:space="preserve"> upravljanja tveganj dejavno sodeluje pri pripravi strategije upravljanja tveganj banke in pri vseh njenih bistvenih odločitvah glede upravljanja tveganj </w:t>
      </w:r>
      <w:r w:rsidR="005C7C27" w:rsidRPr="00215B2F">
        <w:rPr>
          <w:rFonts w:ascii="Arial" w:eastAsia="Arial" w:hAnsi="Arial" w:cs="Arial"/>
          <w:sz w:val="20"/>
          <w:szCs w:val="20"/>
        </w:rPr>
        <w:t xml:space="preserve">ter </w:t>
      </w:r>
      <w:r w:rsidRPr="00215B2F">
        <w:rPr>
          <w:rFonts w:ascii="Arial" w:eastAsia="Arial" w:hAnsi="Arial" w:cs="Arial"/>
          <w:sz w:val="20"/>
          <w:szCs w:val="20"/>
        </w:rPr>
        <w:t>ima nadzor nad učinkovitim izvajanjem strategije tveganja institucije.</w:t>
      </w:r>
    </w:p>
    <w:p w14:paraId="1622968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D7B9E4A" w14:textId="1B632F7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Vodja funkcije upravljanja tveganj mora upravi banke poročati o vseh okoliščinah, ki vplivajo ali bi lahko vplivale na</w:t>
      </w:r>
      <w:r w:rsidR="00EB239D" w:rsidRPr="00215B2F">
        <w:rPr>
          <w:rFonts w:ascii="Arial" w:eastAsia="Arial" w:hAnsi="Arial" w:cs="Arial"/>
          <w:sz w:val="20"/>
          <w:szCs w:val="20"/>
        </w:rPr>
        <w:t xml:space="preserve"> specifičen</w:t>
      </w:r>
      <w:r w:rsidRPr="00215B2F">
        <w:rPr>
          <w:rFonts w:ascii="Arial" w:eastAsia="Arial" w:hAnsi="Arial" w:cs="Arial"/>
          <w:sz w:val="20"/>
          <w:szCs w:val="20"/>
        </w:rPr>
        <w:t xml:space="preserve"> razvoj tveganj banke.</w:t>
      </w:r>
    </w:p>
    <w:p w14:paraId="34DF368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A746F39" w14:textId="1812323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Vodja funkcije upravljanja tveganj mora o vseh pomembnih tveganjih in okoliščinah, ki vplivajo ali bi lahko vplivale na profil tveganosti banke, na lastno pobudo nemudoma obvestiti upravo banke. Če uprava ne sprejme ustreznih ukrepov, obvesti vodja funkcije upravljanja tveganj</w:t>
      </w:r>
      <w:r w:rsidR="005C7C27" w:rsidRPr="00215B2F">
        <w:rPr>
          <w:rFonts w:ascii="Arial" w:eastAsia="Arial" w:hAnsi="Arial" w:cs="Arial"/>
          <w:sz w:val="20"/>
          <w:szCs w:val="20"/>
        </w:rPr>
        <w:t>,</w:t>
      </w:r>
      <w:r w:rsidRPr="00215B2F">
        <w:rPr>
          <w:rFonts w:ascii="Arial" w:eastAsia="Arial" w:hAnsi="Arial" w:cs="Arial"/>
          <w:sz w:val="20"/>
          <w:szCs w:val="20"/>
        </w:rPr>
        <w:t xml:space="preserve"> o tveganjih in okoliščinah predsednika oziroma predsednico nadzornega sveta  in predsednika komisije za tveganja.</w:t>
      </w:r>
      <w:r w:rsidR="000C53AF" w:rsidRPr="00215B2F">
        <w:rPr>
          <w:rFonts w:ascii="Arial" w:eastAsia="Arial" w:hAnsi="Arial" w:cs="Arial"/>
          <w:sz w:val="20"/>
          <w:szCs w:val="20"/>
        </w:rPr>
        <w:t xml:space="preserve"> </w:t>
      </w:r>
    </w:p>
    <w:p w14:paraId="4C313B1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7B5BB4D"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31" w:name="_Ref202964732"/>
      <w:r w:rsidRPr="00215B2F">
        <w:rPr>
          <w:rFonts w:ascii="Arial" w:eastAsia="Arial" w:hAnsi="Arial" w:cs="Arial"/>
          <w:b/>
          <w:bCs/>
          <w:sz w:val="20"/>
          <w:szCs w:val="20"/>
        </w:rPr>
        <w:t>člen</w:t>
      </w:r>
      <w:bookmarkEnd w:id="231"/>
    </w:p>
    <w:p w14:paraId="5D5F3F6B" w14:textId="46A81CFF" w:rsidR="00D91782" w:rsidRPr="00215B2F" w:rsidRDefault="00D91782" w:rsidP="00FD5520">
      <w:pPr>
        <w:pStyle w:val="Slog1"/>
        <w:shd w:val="clear" w:color="auto" w:fill="FFFFFF" w:themeFill="background1"/>
        <w:rPr>
          <w:sz w:val="20"/>
          <w:szCs w:val="20"/>
        </w:rPr>
      </w:pPr>
      <w:r w:rsidRPr="00215B2F">
        <w:rPr>
          <w:sz w:val="20"/>
          <w:szCs w:val="20"/>
        </w:rPr>
        <w:t>(po</w:t>
      </w:r>
      <w:r w:rsidR="005C7C27" w:rsidRPr="00215B2F">
        <w:rPr>
          <w:sz w:val="20"/>
          <w:szCs w:val="20"/>
        </w:rPr>
        <w:t>šilj</w:t>
      </w:r>
      <w:r w:rsidRPr="00215B2F">
        <w:rPr>
          <w:sz w:val="20"/>
          <w:szCs w:val="20"/>
        </w:rPr>
        <w:t>anje informacij o tveganjih)</w:t>
      </w:r>
    </w:p>
    <w:p w14:paraId="2A10C8A2" w14:textId="77777777" w:rsidR="00D91782" w:rsidRPr="00215B2F" w:rsidRDefault="00D91782" w:rsidP="00FD5520">
      <w:pPr>
        <w:pStyle w:val="Slog1"/>
        <w:shd w:val="clear" w:color="auto" w:fill="FFFFFF" w:themeFill="background1"/>
        <w:jc w:val="both"/>
        <w:rPr>
          <w:sz w:val="20"/>
          <w:szCs w:val="20"/>
        </w:rPr>
      </w:pPr>
    </w:p>
    <w:p w14:paraId="60EDC3B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Nadzorni svet in komisija za tveganja lahko zahtevata od uprave banke vse informacije, ki so pomembne za ugotovitev profila tveganosti banke, ter določita vsebino, obseg, obliko in pogostost sporočanja informacij, ki jih mora predložiti uprava banke.</w:t>
      </w:r>
    </w:p>
    <w:p w14:paraId="7A0F8197"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C7B4883" w14:textId="42B1D90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(2) Nadzorni svet in komisija za tveganja lahko za obravnavo posameznih vprašanj v zvezi s profilom tveganosti banke zahtevata pojasnila tudi od vodje funkcije upravljanja tveganj.</w:t>
      </w:r>
    </w:p>
    <w:p w14:paraId="5AFD101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0998010" w14:textId="3A6D4E1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Ne glede na prvi in drugi </w:t>
      </w:r>
      <w:r w:rsidR="00746E88" w:rsidRPr="00215B2F">
        <w:rPr>
          <w:rFonts w:ascii="Arial" w:eastAsia="Arial" w:hAnsi="Arial" w:cs="Arial"/>
          <w:sz w:val="20"/>
          <w:szCs w:val="20"/>
        </w:rPr>
        <w:t>odstavek tega člena</w:t>
      </w:r>
      <w:r w:rsidRPr="00215B2F">
        <w:rPr>
          <w:rFonts w:ascii="Arial" w:eastAsia="Arial" w:hAnsi="Arial" w:cs="Arial"/>
          <w:sz w:val="20"/>
          <w:szCs w:val="20"/>
        </w:rPr>
        <w:t xml:space="preserve"> sta uprava banke in nadzorni svet v celoti odgovorna za oblikovanje in izvajanje strategije in politike glede prevzemanja, upravljanja, spremljanja </w:t>
      </w:r>
      <w:r w:rsidR="005C7C27" w:rsidRPr="00215B2F">
        <w:rPr>
          <w:rFonts w:ascii="Arial" w:eastAsia="Arial" w:hAnsi="Arial" w:cs="Arial"/>
          <w:sz w:val="20"/>
          <w:szCs w:val="20"/>
        </w:rPr>
        <w:t xml:space="preserve">ter </w:t>
      </w:r>
      <w:r w:rsidRPr="00215B2F">
        <w:rPr>
          <w:rFonts w:ascii="Arial" w:eastAsia="Arial" w:hAnsi="Arial" w:cs="Arial"/>
          <w:sz w:val="20"/>
          <w:szCs w:val="20"/>
        </w:rPr>
        <w:t>obvladovanja tveganj banke.</w:t>
      </w:r>
    </w:p>
    <w:p w14:paraId="629CF709"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3ABDF707"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32" w:name="_Ref202964756"/>
      <w:r w:rsidRPr="00215B2F">
        <w:rPr>
          <w:rFonts w:ascii="Arial" w:eastAsia="Arial" w:hAnsi="Arial" w:cs="Arial"/>
          <w:b/>
          <w:bCs/>
          <w:sz w:val="20"/>
          <w:szCs w:val="20"/>
        </w:rPr>
        <w:t>člen</w:t>
      </w:r>
      <w:bookmarkEnd w:id="232"/>
    </w:p>
    <w:p w14:paraId="235E65D9" w14:textId="45CE8D57" w:rsidR="00D91782" w:rsidRPr="00215B2F" w:rsidRDefault="00D91782" w:rsidP="00FD5520">
      <w:pPr>
        <w:pStyle w:val="Slog1"/>
        <w:shd w:val="clear" w:color="auto" w:fill="FFFFFF" w:themeFill="background1"/>
        <w:rPr>
          <w:sz w:val="20"/>
          <w:szCs w:val="20"/>
        </w:rPr>
      </w:pPr>
      <w:r w:rsidRPr="00215B2F">
        <w:rPr>
          <w:sz w:val="20"/>
          <w:szCs w:val="20"/>
        </w:rPr>
        <w:t>(funkcija notranje revizije)</w:t>
      </w:r>
    </w:p>
    <w:p w14:paraId="77760A46" w14:textId="77777777" w:rsidR="00D91782" w:rsidRPr="00215B2F" w:rsidRDefault="00D91782" w:rsidP="00FD5520">
      <w:pPr>
        <w:pStyle w:val="Slog1"/>
        <w:shd w:val="clear" w:color="auto" w:fill="FFFFFF" w:themeFill="background1"/>
        <w:jc w:val="both"/>
        <w:rPr>
          <w:sz w:val="20"/>
          <w:szCs w:val="20"/>
        </w:rPr>
      </w:pPr>
    </w:p>
    <w:p w14:paraId="06751479" w14:textId="0A55778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w:t>
      </w:r>
      <w:r w:rsidR="00EB239D" w:rsidRPr="00215B2F">
        <w:rPr>
          <w:rFonts w:ascii="Arial" w:eastAsia="Arial" w:hAnsi="Arial" w:cs="Arial"/>
          <w:sz w:val="20"/>
          <w:szCs w:val="20"/>
        </w:rPr>
        <w:t>F</w:t>
      </w:r>
      <w:r w:rsidRPr="00215B2F">
        <w:rPr>
          <w:rFonts w:ascii="Arial" w:eastAsia="Arial" w:hAnsi="Arial" w:cs="Arial"/>
          <w:sz w:val="20"/>
          <w:szCs w:val="20"/>
        </w:rPr>
        <w:t>unkcij</w:t>
      </w:r>
      <w:r w:rsidR="00EB239D" w:rsidRPr="00215B2F">
        <w:rPr>
          <w:rFonts w:ascii="Arial" w:eastAsia="Arial" w:hAnsi="Arial" w:cs="Arial"/>
          <w:sz w:val="20"/>
          <w:szCs w:val="20"/>
        </w:rPr>
        <w:t>a</w:t>
      </w:r>
      <w:r w:rsidRPr="00215B2F">
        <w:rPr>
          <w:rFonts w:ascii="Arial" w:eastAsia="Arial" w:hAnsi="Arial" w:cs="Arial"/>
          <w:sz w:val="20"/>
          <w:szCs w:val="20"/>
        </w:rPr>
        <w:t xml:space="preserve"> notranje revizije izvaja neodvisn</w:t>
      </w:r>
      <w:r w:rsidR="005C7C27" w:rsidRPr="00215B2F">
        <w:rPr>
          <w:rFonts w:ascii="Arial" w:eastAsia="Arial" w:hAnsi="Arial" w:cs="Arial"/>
          <w:sz w:val="20"/>
          <w:szCs w:val="20"/>
        </w:rPr>
        <w:t>i</w:t>
      </w:r>
      <w:r w:rsidRPr="00215B2F">
        <w:rPr>
          <w:rFonts w:ascii="Arial" w:eastAsia="Arial" w:hAnsi="Arial" w:cs="Arial"/>
          <w:sz w:val="20"/>
          <w:szCs w:val="20"/>
        </w:rPr>
        <w:t xml:space="preserve"> pregled učinkovitega izvajanja strategije tveganja banke. </w:t>
      </w:r>
    </w:p>
    <w:p w14:paraId="63E2962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49F0EF1" w14:textId="3B6D1C4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Funkcija notranje revizije ni združljiva z nobenim drugim poslovnim področjem ali kontrolno funkcijo banke.</w:t>
      </w:r>
    </w:p>
    <w:p w14:paraId="0C2D283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2D58F56" w14:textId="77231B8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Namen, pomen in naloge funkcije notranje revizije morajo biti opredeljeni v internem aktu, ki ga sprejme uprava banke v soglasju z nadzornim svetom banke.</w:t>
      </w:r>
    </w:p>
    <w:p w14:paraId="25E8967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6E0D387"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33" w:name="_Ref202964767"/>
      <w:r w:rsidRPr="00215B2F">
        <w:rPr>
          <w:rFonts w:ascii="Arial" w:eastAsia="Arial" w:hAnsi="Arial" w:cs="Arial"/>
          <w:b/>
          <w:bCs/>
          <w:sz w:val="20"/>
          <w:szCs w:val="20"/>
        </w:rPr>
        <w:t>člen</w:t>
      </w:r>
      <w:bookmarkEnd w:id="233"/>
    </w:p>
    <w:p w14:paraId="12A4EEAB" w14:textId="07069164" w:rsidR="00D91782" w:rsidRPr="00215B2F" w:rsidRDefault="00D91782" w:rsidP="00FD5520">
      <w:pPr>
        <w:pStyle w:val="Slog1"/>
        <w:shd w:val="clear" w:color="auto" w:fill="FFFFFF" w:themeFill="background1"/>
        <w:rPr>
          <w:sz w:val="20"/>
          <w:szCs w:val="20"/>
        </w:rPr>
      </w:pPr>
      <w:r w:rsidRPr="00215B2F">
        <w:rPr>
          <w:sz w:val="20"/>
          <w:szCs w:val="20"/>
        </w:rPr>
        <w:t>(naloge notranje revizije)</w:t>
      </w:r>
    </w:p>
    <w:p w14:paraId="5C64CAA5" w14:textId="77777777" w:rsidR="00D91782" w:rsidRPr="00215B2F" w:rsidRDefault="00D91782" w:rsidP="00FD5520">
      <w:pPr>
        <w:pStyle w:val="Slog1"/>
        <w:shd w:val="clear" w:color="auto" w:fill="FFFFFF" w:themeFill="background1"/>
        <w:jc w:val="both"/>
        <w:rPr>
          <w:sz w:val="20"/>
          <w:szCs w:val="20"/>
        </w:rPr>
      </w:pPr>
    </w:p>
    <w:p w14:paraId="21BF0272" w14:textId="56C5977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Notranje revidiranje </w:t>
      </w:r>
      <w:r w:rsidR="00EB239D" w:rsidRPr="00215B2F">
        <w:rPr>
          <w:rFonts w:ascii="Arial" w:eastAsia="Arial" w:hAnsi="Arial" w:cs="Arial"/>
          <w:sz w:val="20"/>
          <w:szCs w:val="20"/>
        </w:rPr>
        <w:t>vključuje</w:t>
      </w:r>
      <w:r w:rsidR="00FE2AC2" w:rsidRPr="00215B2F">
        <w:rPr>
          <w:rFonts w:ascii="Arial" w:eastAsia="Arial" w:hAnsi="Arial" w:cs="Arial"/>
          <w:sz w:val="20"/>
          <w:szCs w:val="20"/>
        </w:rPr>
        <w:t xml:space="preserve"> spremljanje, ocenjevanje in dajanje zagotovil ter svetovalnih storitev v zvezi z</w:t>
      </w:r>
      <w:r w:rsidRPr="00215B2F">
        <w:rPr>
          <w:rFonts w:ascii="Arial" w:eastAsia="Arial" w:hAnsi="Arial" w:cs="Arial"/>
          <w:sz w:val="20"/>
          <w:szCs w:val="20"/>
        </w:rPr>
        <w:t>:</w:t>
      </w:r>
    </w:p>
    <w:p w14:paraId="491F1EDC"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8930CAE" w14:textId="77777777" w:rsidR="00FE2AC2" w:rsidRPr="00215B2F" w:rsidRDefault="00FE2AC2" w:rsidP="00FE2AC2">
      <w:pPr>
        <w:numPr>
          <w:ilvl w:val="0"/>
          <w:numId w:val="26"/>
        </w:numPr>
        <w:shd w:val="clear" w:color="auto" w:fill="FFFFFF" w:themeFill="background1"/>
        <w:spacing w:after="0" w:line="240" w:lineRule="auto"/>
        <w:jc w:val="both"/>
        <w:rPr>
          <w:rFonts w:ascii="Arial" w:hAnsi="Arial" w:cs="Arial"/>
          <w:szCs w:val="20"/>
        </w:rPr>
      </w:pPr>
      <w:r w:rsidRPr="00215B2F">
        <w:rPr>
          <w:rFonts w:ascii="Arial" w:eastAsia="Arial" w:hAnsi="Arial" w:cs="Arial"/>
          <w:sz w:val="20"/>
          <w:szCs w:val="20"/>
        </w:rPr>
        <w:t xml:space="preserve">notranjim upravljanjem, </w:t>
      </w:r>
    </w:p>
    <w:p w14:paraId="4C5A5650" w14:textId="77777777" w:rsidR="00FE2AC2" w:rsidRPr="00215B2F" w:rsidRDefault="00FE2AC2" w:rsidP="00FE2AC2">
      <w:pPr>
        <w:numPr>
          <w:ilvl w:val="0"/>
          <w:numId w:val="26"/>
        </w:numPr>
        <w:shd w:val="clear" w:color="auto" w:fill="FFFFFF" w:themeFill="background1"/>
        <w:spacing w:after="0" w:line="240" w:lineRule="auto"/>
        <w:jc w:val="both"/>
        <w:rPr>
          <w:rFonts w:ascii="Arial" w:hAnsi="Arial" w:cs="Arial"/>
          <w:szCs w:val="20"/>
        </w:rPr>
      </w:pPr>
      <w:r w:rsidRPr="00215B2F">
        <w:rPr>
          <w:rFonts w:ascii="Arial" w:eastAsia="Arial" w:hAnsi="Arial" w:cs="Arial"/>
          <w:sz w:val="20"/>
          <w:szCs w:val="20"/>
        </w:rPr>
        <w:t>upravljanjem tveganj in</w:t>
      </w:r>
    </w:p>
    <w:p w14:paraId="40AE1281" w14:textId="77777777" w:rsidR="00FE2AC2" w:rsidRPr="00215B2F" w:rsidRDefault="00FE2AC2" w:rsidP="00FE2AC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notranjimi kontrolami.</w:t>
      </w:r>
    </w:p>
    <w:p w14:paraId="3238F63D" w14:textId="77777777" w:rsidR="00FE2AC2" w:rsidRPr="00215B2F" w:rsidRDefault="00FE2AC2" w:rsidP="00FD5520">
      <w:pPr>
        <w:shd w:val="clear" w:color="auto" w:fill="FFFFFF" w:themeFill="background1"/>
        <w:spacing w:after="0" w:line="240" w:lineRule="auto"/>
        <w:jc w:val="both"/>
        <w:rPr>
          <w:rFonts w:ascii="Arial" w:eastAsia="Arial" w:hAnsi="Arial" w:cs="Arial"/>
          <w:sz w:val="20"/>
          <w:szCs w:val="20"/>
        </w:rPr>
      </w:pPr>
    </w:p>
    <w:p w14:paraId="4F49DAA4" w14:textId="77777777" w:rsidR="00FE2AC2" w:rsidRPr="00215B2F" w:rsidRDefault="00FE2AC2" w:rsidP="00FE2AC2">
      <w:pPr>
        <w:shd w:val="clear" w:color="auto" w:fill="FFFFFF" w:themeFill="background1"/>
        <w:spacing w:after="0" w:line="240" w:lineRule="auto"/>
        <w:jc w:val="both"/>
        <w:rPr>
          <w:rFonts w:ascii="Arial" w:eastAsia="Arial" w:hAnsi="Arial" w:cs="Arial"/>
          <w:sz w:val="20"/>
          <w:szCs w:val="20"/>
        </w:rPr>
      </w:pPr>
      <w:bookmarkStart w:id="234" w:name="_Hlk212131971"/>
      <w:r w:rsidRPr="00215B2F">
        <w:rPr>
          <w:rFonts w:ascii="Arial" w:eastAsia="Arial" w:hAnsi="Arial" w:cs="Arial"/>
          <w:sz w:val="20"/>
          <w:szCs w:val="20"/>
        </w:rPr>
        <w:t xml:space="preserve">(2) Izvajanje notranjega revidiranja temelji na analizi tveganj banke in vključuje zlasti: </w:t>
      </w:r>
    </w:p>
    <w:bookmarkEnd w:id="234"/>
    <w:p w14:paraId="5F55AF27" w14:textId="77777777" w:rsidR="00FE2AC2" w:rsidRPr="00215B2F" w:rsidRDefault="00FE2AC2" w:rsidP="00FE2AC2">
      <w:pPr>
        <w:pStyle w:val="tevilnatoka"/>
        <w:numPr>
          <w:ilvl w:val="0"/>
          <w:numId w:val="0"/>
        </w:numPr>
        <w:shd w:val="clear" w:color="auto" w:fill="FFFFFF" w:themeFill="background1"/>
        <w:ind w:left="357"/>
        <w:rPr>
          <w:rFonts w:cs="Arial"/>
          <w:bCs/>
          <w:sz w:val="20"/>
          <w:szCs w:val="20"/>
        </w:rPr>
      </w:pPr>
    </w:p>
    <w:p w14:paraId="752D4262" w14:textId="77777777" w:rsidR="00FE2AC2" w:rsidRPr="00215B2F" w:rsidRDefault="00FE2AC2" w:rsidP="00FE2AC2">
      <w:pPr>
        <w:pStyle w:val="tevilnatoka"/>
        <w:numPr>
          <w:ilvl w:val="0"/>
          <w:numId w:val="121"/>
        </w:numPr>
        <w:shd w:val="clear" w:color="auto" w:fill="FFFFFF" w:themeFill="background1"/>
        <w:tabs>
          <w:tab w:val="clear" w:pos="425"/>
        </w:tabs>
        <w:rPr>
          <w:rFonts w:cs="Arial"/>
          <w:bCs/>
          <w:sz w:val="20"/>
          <w:szCs w:val="20"/>
        </w:rPr>
      </w:pPr>
      <w:r w:rsidRPr="00215B2F">
        <w:rPr>
          <w:rFonts w:eastAsia="Arial" w:cs="Arial"/>
          <w:sz w:val="20"/>
          <w:szCs w:val="20"/>
        </w:rPr>
        <w:t>spremljanje in ocenjevanje učinkovitosti ureditve notranjega upravljanja;</w:t>
      </w:r>
    </w:p>
    <w:p w14:paraId="645893EC" w14:textId="62549162" w:rsidR="00FE2AC2" w:rsidRPr="00215B2F" w:rsidRDefault="00FE2AC2" w:rsidP="00FE2AC2">
      <w:pPr>
        <w:pStyle w:val="tevilnatoka"/>
        <w:numPr>
          <w:ilvl w:val="0"/>
          <w:numId w:val="121"/>
        </w:numPr>
        <w:shd w:val="clear" w:color="auto" w:fill="FFFFFF" w:themeFill="background1"/>
        <w:tabs>
          <w:tab w:val="clear" w:pos="425"/>
        </w:tabs>
        <w:rPr>
          <w:rFonts w:cs="Arial"/>
          <w:bCs/>
          <w:sz w:val="20"/>
          <w:szCs w:val="20"/>
        </w:rPr>
      </w:pPr>
      <w:r w:rsidRPr="00215B2F">
        <w:rPr>
          <w:rFonts w:eastAsia="Arial" w:cs="Arial"/>
          <w:sz w:val="20"/>
          <w:szCs w:val="20"/>
        </w:rPr>
        <w:t>presojo procesa ocenjevanja ustreznega notranjega kapitala glede na lastno oceno tveganj banke;</w:t>
      </w:r>
    </w:p>
    <w:p w14:paraId="352FBB59" w14:textId="77777777" w:rsidR="00FE2AC2" w:rsidRPr="00215B2F" w:rsidRDefault="00FE2AC2" w:rsidP="00FE2AC2">
      <w:pPr>
        <w:pStyle w:val="tevilnatoka"/>
        <w:numPr>
          <w:ilvl w:val="0"/>
          <w:numId w:val="121"/>
        </w:numPr>
        <w:shd w:val="clear" w:color="auto" w:fill="FFFFFF" w:themeFill="background1"/>
        <w:tabs>
          <w:tab w:val="clear" w:pos="425"/>
        </w:tabs>
        <w:rPr>
          <w:rFonts w:cs="Arial"/>
          <w:bCs/>
          <w:sz w:val="20"/>
          <w:szCs w:val="20"/>
        </w:rPr>
      </w:pPr>
      <w:r w:rsidRPr="00215B2F">
        <w:rPr>
          <w:rFonts w:eastAsia="Arial" w:cs="Arial"/>
          <w:sz w:val="20"/>
          <w:szCs w:val="20"/>
        </w:rPr>
        <w:t>presojo zanesljivosti informacijskega sistema, vključno z elektronskim informacijskim sistemom in elektronskimi bančnimi storitvami;</w:t>
      </w:r>
    </w:p>
    <w:p w14:paraId="03330D6B" w14:textId="615A3A09" w:rsidR="00FE2AC2" w:rsidRPr="00215B2F" w:rsidRDefault="00FE2AC2" w:rsidP="00FE2AC2">
      <w:pPr>
        <w:pStyle w:val="tevilnatoka"/>
        <w:numPr>
          <w:ilvl w:val="0"/>
          <w:numId w:val="121"/>
        </w:numPr>
        <w:shd w:val="clear" w:color="auto" w:fill="FFFFFF" w:themeFill="background1"/>
        <w:tabs>
          <w:tab w:val="clear" w:pos="425"/>
        </w:tabs>
        <w:rPr>
          <w:rFonts w:cs="Arial"/>
          <w:bCs/>
          <w:sz w:val="20"/>
          <w:szCs w:val="20"/>
        </w:rPr>
      </w:pPr>
      <w:r w:rsidRPr="00215B2F">
        <w:rPr>
          <w:rFonts w:eastAsia="Arial" w:cs="Arial"/>
          <w:sz w:val="20"/>
          <w:szCs w:val="20"/>
        </w:rPr>
        <w:t>preverjanje pravilnega in pravočasnega regulatornega poročanja ;</w:t>
      </w:r>
    </w:p>
    <w:p w14:paraId="1D9F7A57" w14:textId="00EA9D8B" w:rsidR="00FE2AC2" w:rsidRPr="00215B2F" w:rsidRDefault="00FE2AC2" w:rsidP="00FE2AC2">
      <w:pPr>
        <w:pStyle w:val="tevilnatoka"/>
        <w:numPr>
          <w:ilvl w:val="0"/>
          <w:numId w:val="121"/>
        </w:numPr>
        <w:shd w:val="clear" w:color="auto" w:fill="FFFFFF" w:themeFill="background1"/>
        <w:tabs>
          <w:tab w:val="clear" w:pos="425"/>
        </w:tabs>
        <w:rPr>
          <w:rFonts w:cs="Arial"/>
          <w:bCs/>
          <w:sz w:val="20"/>
          <w:szCs w:val="20"/>
        </w:rPr>
      </w:pPr>
      <w:r w:rsidRPr="00215B2F">
        <w:rPr>
          <w:rFonts w:eastAsia="Arial" w:cs="Arial"/>
          <w:sz w:val="20"/>
          <w:szCs w:val="20"/>
        </w:rPr>
        <w:t>preverjanje skladnosti ravnanja banke s predpisi, internimi akti in ukrepi, sprejetimi na njihovi podlagi.</w:t>
      </w:r>
    </w:p>
    <w:p w14:paraId="4AA68B77" w14:textId="3DA3ACA7" w:rsidR="00FE2AC2" w:rsidRPr="00215B2F" w:rsidRDefault="00FE2AC2" w:rsidP="00DF3FEF">
      <w:pPr>
        <w:pStyle w:val="tevilnatoka"/>
        <w:numPr>
          <w:ilvl w:val="0"/>
          <w:numId w:val="0"/>
        </w:numPr>
        <w:shd w:val="clear" w:color="auto" w:fill="FFFFFF" w:themeFill="background1"/>
        <w:rPr>
          <w:rFonts w:eastAsia="Arial" w:cs="Arial"/>
          <w:sz w:val="20"/>
          <w:szCs w:val="20"/>
        </w:rPr>
      </w:pPr>
    </w:p>
    <w:p w14:paraId="72412C58" w14:textId="0D1C5400" w:rsidR="00FE2AC2" w:rsidRPr="00215B2F" w:rsidRDefault="00FE2AC2" w:rsidP="00FE2AC2">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Funkcija notranje revizije opravlja notranje revidiranje poslovanja v skladu z vsakokrat veljavnim </w:t>
      </w:r>
      <w:r w:rsidR="00F0735F" w:rsidRPr="00215B2F">
        <w:rPr>
          <w:rFonts w:ascii="Arial" w:eastAsia="Arial" w:hAnsi="Arial" w:cs="Arial"/>
          <w:sz w:val="20"/>
          <w:szCs w:val="20"/>
        </w:rPr>
        <w:t>m</w:t>
      </w:r>
      <w:r w:rsidRPr="00215B2F">
        <w:rPr>
          <w:rFonts w:ascii="Arial" w:eastAsia="Arial" w:hAnsi="Arial" w:cs="Arial"/>
          <w:sz w:val="20"/>
          <w:szCs w:val="20"/>
        </w:rPr>
        <w:t xml:space="preserve">ednarodnim okvirom strokovnega ravnanja notranje revizije in Hierarhijo pravil notranjega revidiranja. </w:t>
      </w:r>
    </w:p>
    <w:p w14:paraId="615199AB" w14:textId="4C1C4F6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281203C"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35" w:name="_Ref202964785"/>
      <w:r w:rsidRPr="00215B2F">
        <w:rPr>
          <w:rFonts w:ascii="Arial" w:eastAsia="Arial" w:hAnsi="Arial" w:cs="Arial"/>
          <w:b/>
          <w:bCs/>
          <w:sz w:val="20"/>
          <w:szCs w:val="20"/>
        </w:rPr>
        <w:t>člen</w:t>
      </w:r>
      <w:bookmarkEnd w:id="235"/>
    </w:p>
    <w:p w14:paraId="6723D1E2" w14:textId="46225E64" w:rsidR="00D91782" w:rsidRPr="00215B2F" w:rsidRDefault="00D91782" w:rsidP="00FD5520">
      <w:pPr>
        <w:pStyle w:val="Slog1"/>
        <w:shd w:val="clear" w:color="auto" w:fill="FFFFFF" w:themeFill="background1"/>
        <w:rPr>
          <w:sz w:val="20"/>
          <w:szCs w:val="20"/>
        </w:rPr>
      </w:pPr>
      <w:r w:rsidRPr="00215B2F">
        <w:rPr>
          <w:sz w:val="20"/>
          <w:szCs w:val="20"/>
        </w:rPr>
        <w:t>(</w:t>
      </w:r>
      <w:r w:rsidR="00F6193E" w:rsidRPr="00215B2F">
        <w:rPr>
          <w:sz w:val="20"/>
          <w:szCs w:val="20"/>
        </w:rPr>
        <w:t>zaposleni, ki opravljajo funkcije</w:t>
      </w:r>
      <w:r w:rsidR="005C7C27" w:rsidRPr="00215B2F">
        <w:rPr>
          <w:sz w:val="20"/>
          <w:szCs w:val="20"/>
        </w:rPr>
        <w:t xml:space="preserve"> </w:t>
      </w:r>
      <w:r w:rsidRPr="00215B2F">
        <w:rPr>
          <w:sz w:val="20"/>
          <w:szCs w:val="20"/>
        </w:rPr>
        <w:t>notranje revizije)</w:t>
      </w:r>
    </w:p>
    <w:p w14:paraId="6437B845" w14:textId="77777777" w:rsidR="00D91782" w:rsidRPr="00215B2F" w:rsidRDefault="00D91782" w:rsidP="00FD5520">
      <w:pPr>
        <w:pStyle w:val="Slog1"/>
        <w:shd w:val="clear" w:color="auto" w:fill="FFFFFF" w:themeFill="background1"/>
        <w:jc w:val="both"/>
        <w:rPr>
          <w:sz w:val="20"/>
          <w:szCs w:val="20"/>
        </w:rPr>
      </w:pPr>
    </w:p>
    <w:p w14:paraId="48A521DB" w14:textId="53A8A15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Za opravljanje nalog notranjega revidiranja mora biti v banki zaposlena najmanj ena oseba, ki je pridobila naziv preizkušeni notranji revizor ali preizkušena notranja revizorka v skladu z zakonom, ki ureja revidiranje, </w:t>
      </w:r>
      <w:r w:rsidR="00F6522A" w:rsidRPr="00215B2F">
        <w:rPr>
          <w:rFonts w:ascii="Arial" w:eastAsia="Arial" w:hAnsi="Arial" w:cs="Arial"/>
          <w:sz w:val="20"/>
          <w:szCs w:val="20"/>
        </w:rPr>
        <w:t xml:space="preserve">ali primerljiv mednarodni strokovni naziv s področja notranjega revidiranja, </w:t>
      </w:r>
      <w:r w:rsidRPr="00215B2F">
        <w:rPr>
          <w:rFonts w:ascii="Arial" w:eastAsia="Arial" w:hAnsi="Arial" w:cs="Arial"/>
          <w:sz w:val="20"/>
          <w:szCs w:val="20"/>
        </w:rPr>
        <w:t>ter ima ustrezne lastnosti in izkušnje za opravljanje nalog notranjega revidiranja v banki v skladu z dobrimi praksami in visokimi etičnimi standardi.</w:t>
      </w:r>
    </w:p>
    <w:p w14:paraId="37AFD6F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210B2E4" w14:textId="5ACE4EB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Osebe, ki opravljajo naloge notranjega revidiranja, v banki ne smejo opravljati nobenih drugih nalog.</w:t>
      </w:r>
    </w:p>
    <w:p w14:paraId="1CB4AFF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5AB909F" w14:textId="36C0C79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Nalog notranjega revidiranja ne smejo opravljati člani uprave banke.</w:t>
      </w:r>
    </w:p>
    <w:p w14:paraId="2BB7762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5B909FB" w14:textId="77777777" w:rsidR="00FF337B" w:rsidRPr="00215B2F" w:rsidRDefault="00FF337B"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36" w:name="_Ref202964793"/>
      <w:r w:rsidRPr="00215B2F">
        <w:rPr>
          <w:rFonts w:ascii="Arial" w:eastAsia="Arial" w:hAnsi="Arial" w:cs="Arial"/>
          <w:b/>
          <w:bCs/>
          <w:sz w:val="20"/>
          <w:szCs w:val="20"/>
        </w:rPr>
        <w:t>člen</w:t>
      </w:r>
      <w:bookmarkEnd w:id="236"/>
    </w:p>
    <w:p w14:paraId="45DE28FC" w14:textId="26CEE0E2"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(letni načrt dela funkcije notranje revizije in poročilo o notranjem revidiranju)</w:t>
      </w:r>
    </w:p>
    <w:p w14:paraId="6AA7B9BC" w14:textId="77777777" w:rsidR="00FF337B" w:rsidRPr="00215B2F" w:rsidRDefault="00FF337B" w:rsidP="00FD5520">
      <w:pPr>
        <w:shd w:val="clear" w:color="auto" w:fill="FFFFFF" w:themeFill="background1"/>
        <w:spacing w:after="0" w:line="240" w:lineRule="auto"/>
        <w:jc w:val="both"/>
        <w:rPr>
          <w:rStyle w:val="Slog1Znak"/>
          <w:b w:val="0"/>
          <w:bCs w:val="0"/>
          <w:sz w:val="20"/>
          <w:szCs w:val="20"/>
        </w:rPr>
      </w:pPr>
    </w:p>
    <w:p w14:paraId="76D713ED" w14:textId="3BD124D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237" w:name="_Hlk203482389"/>
      <w:r w:rsidRPr="00215B2F">
        <w:rPr>
          <w:rStyle w:val="Slog1Znak"/>
          <w:b w:val="0"/>
          <w:bCs w:val="0"/>
          <w:sz w:val="20"/>
          <w:szCs w:val="20"/>
        </w:rPr>
        <w:t>(1) Letni načrt dela funkcije notranje revizije mora biti zasnovan na oceni tveganj, pridobljeni</w:t>
      </w:r>
      <w:r w:rsidRPr="00215B2F">
        <w:rPr>
          <w:rFonts w:ascii="Arial" w:eastAsia="Arial" w:hAnsi="Arial" w:cs="Arial"/>
          <w:b/>
          <w:bCs/>
          <w:sz w:val="20"/>
          <w:szCs w:val="20"/>
        </w:rPr>
        <w:t xml:space="preserve"> </w:t>
      </w:r>
      <w:r w:rsidRPr="00215B2F">
        <w:rPr>
          <w:rFonts w:ascii="Arial" w:eastAsia="Arial" w:hAnsi="Arial" w:cs="Arial"/>
          <w:sz w:val="20"/>
          <w:szCs w:val="20"/>
        </w:rPr>
        <w:t>najmanj enkrat letno.</w:t>
      </w:r>
    </w:p>
    <w:p w14:paraId="24E0C832" w14:textId="77777777" w:rsidR="00802480" w:rsidRPr="00215B2F" w:rsidRDefault="00802480" w:rsidP="00FD5520">
      <w:pPr>
        <w:shd w:val="clear" w:color="auto" w:fill="FFFFFF" w:themeFill="background1"/>
        <w:spacing w:after="0" w:line="240" w:lineRule="auto"/>
        <w:jc w:val="both"/>
        <w:rPr>
          <w:rFonts w:ascii="Arial" w:eastAsia="Arial" w:hAnsi="Arial" w:cs="Arial"/>
          <w:b/>
          <w:bCs/>
          <w:sz w:val="20"/>
          <w:szCs w:val="20"/>
        </w:rPr>
      </w:pPr>
    </w:p>
    <w:p w14:paraId="342456C5" w14:textId="090A718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(2) Uprava banke v soglasju z nadzornim svetom sprejme letni načrt dela funkcije notranje revizije.</w:t>
      </w:r>
    </w:p>
    <w:p w14:paraId="79830F0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1219E27" w14:textId="28C09B7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Letni načrt dela </w:t>
      </w:r>
      <w:r w:rsidR="006A08C4" w:rsidRPr="00215B2F">
        <w:rPr>
          <w:rFonts w:ascii="Arial" w:eastAsia="Arial" w:hAnsi="Arial" w:cs="Arial"/>
          <w:sz w:val="20"/>
          <w:szCs w:val="20"/>
        </w:rPr>
        <w:t xml:space="preserve">nosilcev </w:t>
      </w:r>
      <w:r w:rsidRPr="00215B2F">
        <w:rPr>
          <w:rFonts w:ascii="Arial" w:eastAsia="Arial" w:hAnsi="Arial" w:cs="Arial"/>
          <w:sz w:val="20"/>
          <w:szCs w:val="20"/>
        </w:rPr>
        <w:t xml:space="preserve">funkcije notranje revizije mora </w:t>
      </w:r>
      <w:r w:rsidR="006A08C4" w:rsidRPr="00215B2F">
        <w:rPr>
          <w:rFonts w:ascii="Arial" w:eastAsia="Arial" w:hAnsi="Arial" w:cs="Arial"/>
          <w:sz w:val="20"/>
          <w:szCs w:val="20"/>
        </w:rPr>
        <w:t>zajem</w:t>
      </w:r>
      <w:r w:rsidRPr="00215B2F">
        <w:rPr>
          <w:rFonts w:ascii="Arial" w:eastAsia="Arial" w:hAnsi="Arial" w:cs="Arial"/>
          <w:sz w:val="20"/>
          <w:szCs w:val="20"/>
        </w:rPr>
        <w:t>ati:</w:t>
      </w:r>
    </w:p>
    <w:p w14:paraId="6E226D40"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0DB7524F" w14:textId="60718EF6" w:rsidR="006A1A88" w:rsidRPr="00215B2F" w:rsidRDefault="00D91782" w:rsidP="003D4DE0">
      <w:pPr>
        <w:pStyle w:val="tevilnatoka"/>
        <w:numPr>
          <w:ilvl w:val="0"/>
          <w:numId w:val="122"/>
        </w:numPr>
        <w:shd w:val="clear" w:color="auto" w:fill="FFFFFF" w:themeFill="background1"/>
        <w:tabs>
          <w:tab w:val="clear" w:pos="425"/>
        </w:tabs>
        <w:rPr>
          <w:rFonts w:cs="Arial"/>
          <w:bCs/>
          <w:sz w:val="20"/>
          <w:szCs w:val="20"/>
        </w:rPr>
      </w:pPr>
      <w:r w:rsidRPr="00215B2F">
        <w:rPr>
          <w:rFonts w:eastAsia="Arial" w:cs="Arial"/>
          <w:sz w:val="20"/>
          <w:szCs w:val="20"/>
        </w:rPr>
        <w:t>področja poslovanja, na katerih bo funkcij</w:t>
      </w:r>
      <w:r w:rsidR="00EB239D" w:rsidRPr="00215B2F">
        <w:rPr>
          <w:rFonts w:eastAsia="Arial" w:cs="Arial"/>
          <w:sz w:val="20"/>
          <w:szCs w:val="20"/>
        </w:rPr>
        <w:t>a</w:t>
      </w:r>
      <w:r w:rsidRPr="00215B2F">
        <w:rPr>
          <w:rFonts w:eastAsia="Arial" w:cs="Arial"/>
          <w:sz w:val="20"/>
          <w:szCs w:val="20"/>
        </w:rPr>
        <w:t xml:space="preserve"> notranje revizije opravil</w:t>
      </w:r>
      <w:r w:rsidR="00EB239D" w:rsidRPr="00215B2F">
        <w:rPr>
          <w:rFonts w:eastAsia="Arial" w:cs="Arial"/>
          <w:sz w:val="20"/>
          <w:szCs w:val="20"/>
        </w:rPr>
        <w:t>a</w:t>
      </w:r>
      <w:r w:rsidRPr="00215B2F">
        <w:rPr>
          <w:rFonts w:eastAsia="Arial" w:cs="Arial"/>
          <w:sz w:val="20"/>
          <w:szCs w:val="20"/>
        </w:rPr>
        <w:t xml:space="preserve"> pregled poslovanja;</w:t>
      </w:r>
    </w:p>
    <w:p w14:paraId="41C70E70" w14:textId="6EE6221B" w:rsidR="00D91782" w:rsidRPr="00215B2F" w:rsidRDefault="00D91782" w:rsidP="003D4DE0">
      <w:pPr>
        <w:pStyle w:val="tevilnatoka"/>
        <w:numPr>
          <w:ilvl w:val="0"/>
          <w:numId w:val="122"/>
        </w:numPr>
        <w:shd w:val="clear" w:color="auto" w:fill="FFFFFF" w:themeFill="background1"/>
        <w:tabs>
          <w:tab w:val="clear" w:pos="425"/>
        </w:tabs>
        <w:rPr>
          <w:rFonts w:cs="Arial"/>
          <w:bCs/>
          <w:sz w:val="20"/>
          <w:szCs w:val="20"/>
        </w:rPr>
      </w:pPr>
      <w:r w:rsidRPr="00215B2F">
        <w:rPr>
          <w:rFonts w:eastAsia="Arial" w:cs="Arial"/>
          <w:sz w:val="20"/>
          <w:szCs w:val="20"/>
        </w:rPr>
        <w:t>opis vsebine načrtovanih pregledov poslovanja po posameznih področjih.</w:t>
      </w:r>
    </w:p>
    <w:p w14:paraId="2CB4C37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C81B0AA" w14:textId="640196B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w:t>
      </w:r>
      <w:r w:rsidR="00EB239D" w:rsidRPr="00215B2F">
        <w:rPr>
          <w:rFonts w:ascii="Arial" w:eastAsia="Arial" w:hAnsi="Arial" w:cs="Arial"/>
          <w:sz w:val="20"/>
          <w:szCs w:val="20"/>
        </w:rPr>
        <w:t>F</w:t>
      </w:r>
      <w:r w:rsidRPr="00215B2F">
        <w:rPr>
          <w:rFonts w:ascii="Arial" w:eastAsia="Arial" w:hAnsi="Arial" w:cs="Arial"/>
          <w:sz w:val="20"/>
          <w:szCs w:val="20"/>
        </w:rPr>
        <w:t>unkcij</w:t>
      </w:r>
      <w:r w:rsidR="00EB239D" w:rsidRPr="00215B2F">
        <w:rPr>
          <w:rFonts w:ascii="Arial" w:eastAsia="Arial" w:hAnsi="Arial" w:cs="Arial"/>
          <w:sz w:val="20"/>
          <w:szCs w:val="20"/>
        </w:rPr>
        <w:t>a</w:t>
      </w:r>
      <w:r w:rsidRPr="00215B2F">
        <w:rPr>
          <w:rFonts w:ascii="Arial" w:eastAsia="Arial" w:hAnsi="Arial" w:cs="Arial"/>
          <w:sz w:val="20"/>
          <w:szCs w:val="20"/>
        </w:rPr>
        <w:t xml:space="preserve"> notranje revizije mora najmanj za vsako polletje izdelati poročilo o notranjem revidiranju, ki </w:t>
      </w:r>
      <w:r w:rsidR="00EB239D" w:rsidRPr="00215B2F">
        <w:rPr>
          <w:rFonts w:ascii="Arial" w:eastAsia="Arial" w:hAnsi="Arial" w:cs="Arial"/>
          <w:sz w:val="20"/>
          <w:szCs w:val="20"/>
        </w:rPr>
        <w:t>vključuje</w:t>
      </w:r>
      <w:r w:rsidRPr="00215B2F">
        <w:rPr>
          <w:rFonts w:ascii="Arial" w:eastAsia="Arial" w:hAnsi="Arial" w:cs="Arial"/>
          <w:sz w:val="20"/>
          <w:szCs w:val="20"/>
        </w:rPr>
        <w:t>:</w:t>
      </w:r>
    </w:p>
    <w:p w14:paraId="0A1357E1"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EC83FE4" w14:textId="77777777" w:rsidR="006A1A88" w:rsidRPr="00215B2F" w:rsidRDefault="00D91782" w:rsidP="003D4DE0">
      <w:pPr>
        <w:pStyle w:val="tevilnatoka"/>
        <w:numPr>
          <w:ilvl w:val="0"/>
          <w:numId w:val="123"/>
        </w:numPr>
        <w:shd w:val="clear" w:color="auto" w:fill="FFFFFF" w:themeFill="background1"/>
        <w:tabs>
          <w:tab w:val="clear" w:pos="425"/>
        </w:tabs>
        <w:rPr>
          <w:rFonts w:cs="Arial"/>
          <w:bCs/>
          <w:sz w:val="20"/>
          <w:szCs w:val="20"/>
        </w:rPr>
      </w:pPr>
      <w:r w:rsidRPr="00215B2F">
        <w:rPr>
          <w:rFonts w:eastAsia="Arial" w:cs="Arial"/>
          <w:sz w:val="20"/>
          <w:szCs w:val="20"/>
        </w:rPr>
        <w:t>opis vsebine opravljenih pregledov poslovanja;</w:t>
      </w:r>
    </w:p>
    <w:p w14:paraId="35388EB8" w14:textId="77777777" w:rsidR="006A1A88" w:rsidRPr="00215B2F" w:rsidRDefault="00D91782" w:rsidP="003D4DE0">
      <w:pPr>
        <w:pStyle w:val="tevilnatoka"/>
        <w:numPr>
          <w:ilvl w:val="0"/>
          <w:numId w:val="123"/>
        </w:numPr>
        <w:shd w:val="clear" w:color="auto" w:fill="FFFFFF" w:themeFill="background1"/>
        <w:tabs>
          <w:tab w:val="clear" w:pos="425"/>
        </w:tabs>
        <w:rPr>
          <w:rFonts w:cs="Arial"/>
          <w:bCs/>
          <w:sz w:val="20"/>
          <w:szCs w:val="20"/>
        </w:rPr>
      </w:pPr>
      <w:r w:rsidRPr="00215B2F">
        <w:rPr>
          <w:rFonts w:eastAsia="Arial" w:cs="Arial"/>
          <w:sz w:val="20"/>
          <w:szCs w:val="20"/>
        </w:rPr>
        <w:t>splošno oceno primernosti in učinkovitosti upravljanja tveganj;</w:t>
      </w:r>
    </w:p>
    <w:p w14:paraId="47D118E1" w14:textId="77777777" w:rsidR="006A1A88" w:rsidRPr="00215B2F" w:rsidRDefault="00D91782" w:rsidP="003D4DE0">
      <w:pPr>
        <w:pStyle w:val="tevilnatoka"/>
        <w:numPr>
          <w:ilvl w:val="0"/>
          <w:numId w:val="123"/>
        </w:numPr>
        <w:shd w:val="clear" w:color="auto" w:fill="FFFFFF" w:themeFill="background1"/>
        <w:tabs>
          <w:tab w:val="clear" w:pos="425"/>
        </w:tabs>
        <w:rPr>
          <w:rFonts w:cs="Arial"/>
          <w:bCs/>
          <w:sz w:val="20"/>
          <w:szCs w:val="20"/>
        </w:rPr>
      </w:pPr>
      <w:r w:rsidRPr="00215B2F">
        <w:rPr>
          <w:rFonts w:eastAsia="Arial" w:cs="Arial"/>
          <w:sz w:val="20"/>
          <w:szCs w:val="20"/>
        </w:rPr>
        <w:t>primernost in učinkovitost delovanja sistemov notranjih kontrol;</w:t>
      </w:r>
    </w:p>
    <w:p w14:paraId="36160608" w14:textId="02FEB5C8" w:rsidR="006A1A88" w:rsidRPr="00215B2F" w:rsidRDefault="00D91782" w:rsidP="003D4DE0">
      <w:pPr>
        <w:pStyle w:val="tevilnatoka"/>
        <w:numPr>
          <w:ilvl w:val="0"/>
          <w:numId w:val="123"/>
        </w:numPr>
        <w:shd w:val="clear" w:color="auto" w:fill="FFFFFF" w:themeFill="background1"/>
        <w:tabs>
          <w:tab w:val="clear" w:pos="425"/>
        </w:tabs>
        <w:rPr>
          <w:rFonts w:cs="Arial"/>
          <w:bCs/>
          <w:sz w:val="20"/>
          <w:szCs w:val="20"/>
        </w:rPr>
      </w:pPr>
      <w:r w:rsidRPr="00215B2F">
        <w:rPr>
          <w:rFonts w:eastAsia="Arial" w:cs="Arial"/>
          <w:sz w:val="20"/>
          <w:szCs w:val="20"/>
        </w:rPr>
        <w:t>kršitve in nepravilnosti, ki jih je funkcij</w:t>
      </w:r>
      <w:r w:rsidR="00EB239D" w:rsidRPr="00215B2F">
        <w:rPr>
          <w:rFonts w:eastAsia="Arial" w:cs="Arial"/>
          <w:sz w:val="20"/>
          <w:szCs w:val="20"/>
        </w:rPr>
        <w:t>a</w:t>
      </w:r>
      <w:r w:rsidRPr="00215B2F">
        <w:rPr>
          <w:rFonts w:eastAsia="Arial" w:cs="Arial"/>
          <w:sz w:val="20"/>
          <w:szCs w:val="20"/>
        </w:rPr>
        <w:t xml:space="preserve"> notranje revizije ugotovil</w:t>
      </w:r>
      <w:r w:rsidR="004A45D1" w:rsidRPr="00215B2F">
        <w:rPr>
          <w:rFonts w:eastAsia="Arial" w:cs="Arial"/>
          <w:sz w:val="20"/>
          <w:szCs w:val="20"/>
        </w:rPr>
        <w:t>a</w:t>
      </w:r>
      <w:r w:rsidRPr="00215B2F">
        <w:rPr>
          <w:rFonts w:eastAsia="Arial" w:cs="Arial"/>
          <w:sz w:val="20"/>
          <w:szCs w:val="20"/>
        </w:rPr>
        <w:t xml:space="preserve"> pri posameznem pregledu poslovanja, in predlog ukrepov za odpravo teh kršitev in nepravilnosti;</w:t>
      </w:r>
    </w:p>
    <w:p w14:paraId="35C793E3" w14:textId="0FC9B4DE" w:rsidR="00D91782" w:rsidRPr="00215B2F" w:rsidRDefault="00D91782" w:rsidP="003D4DE0">
      <w:pPr>
        <w:pStyle w:val="tevilnatoka"/>
        <w:numPr>
          <w:ilvl w:val="0"/>
          <w:numId w:val="123"/>
        </w:numPr>
        <w:shd w:val="clear" w:color="auto" w:fill="FFFFFF" w:themeFill="background1"/>
        <w:tabs>
          <w:tab w:val="clear" w:pos="425"/>
        </w:tabs>
        <w:rPr>
          <w:rFonts w:cs="Arial"/>
          <w:bCs/>
          <w:sz w:val="20"/>
          <w:szCs w:val="20"/>
        </w:rPr>
      </w:pPr>
      <w:r w:rsidRPr="00215B2F">
        <w:rPr>
          <w:rFonts w:eastAsia="Arial" w:cs="Arial"/>
          <w:sz w:val="20"/>
          <w:szCs w:val="20"/>
        </w:rPr>
        <w:t>ugotovitve v zvezi z odpravo kršitev in nepravilnosti, ki jih je ugotovil</w:t>
      </w:r>
      <w:r w:rsidR="00EB239D" w:rsidRPr="00215B2F">
        <w:rPr>
          <w:rFonts w:eastAsia="Arial" w:cs="Arial"/>
          <w:sz w:val="20"/>
          <w:szCs w:val="20"/>
        </w:rPr>
        <w:t>a</w:t>
      </w:r>
      <w:r w:rsidR="00425666" w:rsidRPr="00215B2F">
        <w:rPr>
          <w:rFonts w:eastAsia="Arial" w:cs="Arial"/>
          <w:sz w:val="20"/>
          <w:szCs w:val="20"/>
        </w:rPr>
        <w:t xml:space="preserve"> </w:t>
      </w:r>
      <w:r w:rsidRPr="00215B2F">
        <w:rPr>
          <w:rFonts w:eastAsia="Arial" w:cs="Arial"/>
          <w:sz w:val="20"/>
          <w:szCs w:val="20"/>
        </w:rPr>
        <w:t>funkcij</w:t>
      </w:r>
      <w:r w:rsidR="00EB239D" w:rsidRPr="00215B2F">
        <w:rPr>
          <w:rFonts w:eastAsia="Arial" w:cs="Arial"/>
          <w:sz w:val="20"/>
          <w:szCs w:val="20"/>
        </w:rPr>
        <w:t>a</w:t>
      </w:r>
      <w:r w:rsidRPr="00215B2F">
        <w:rPr>
          <w:rFonts w:eastAsia="Arial" w:cs="Arial"/>
          <w:sz w:val="20"/>
          <w:szCs w:val="20"/>
        </w:rPr>
        <w:t xml:space="preserve"> notranje revizije.</w:t>
      </w:r>
    </w:p>
    <w:p w14:paraId="48C1155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4814561" w14:textId="676D33C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w:t>
      </w:r>
      <w:r w:rsidR="004A45D1" w:rsidRPr="00215B2F">
        <w:rPr>
          <w:rFonts w:ascii="Arial" w:eastAsia="Arial" w:hAnsi="Arial" w:cs="Arial"/>
          <w:sz w:val="20"/>
          <w:szCs w:val="20"/>
        </w:rPr>
        <w:t xml:space="preserve">Funkcija </w:t>
      </w:r>
      <w:r w:rsidRPr="00215B2F">
        <w:rPr>
          <w:rFonts w:ascii="Arial" w:eastAsia="Arial" w:hAnsi="Arial" w:cs="Arial"/>
          <w:sz w:val="20"/>
          <w:szCs w:val="20"/>
        </w:rPr>
        <w:t xml:space="preserve">notranje revizije mora izdelati letno poročilo o notranjem revidiranju, ki </w:t>
      </w:r>
      <w:r w:rsidR="00EB239D" w:rsidRPr="00215B2F">
        <w:rPr>
          <w:rFonts w:ascii="Arial" w:eastAsia="Arial" w:hAnsi="Arial" w:cs="Arial"/>
          <w:sz w:val="20"/>
          <w:szCs w:val="20"/>
        </w:rPr>
        <w:t>vključuje</w:t>
      </w:r>
      <w:r w:rsidRPr="00215B2F">
        <w:rPr>
          <w:rFonts w:ascii="Arial" w:eastAsia="Arial" w:hAnsi="Arial" w:cs="Arial"/>
          <w:sz w:val="20"/>
          <w:szCs w:val="20"/>
        </w:rPr>
        <w:t>:</w:t>
      </w:r>
    </w:p>
    <w:p w14:paraId="20ACFF0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C3A3B6F" w14:textId="77777777" w:rsidR="006A1A88" w:rsidRPr="00215B2F" w:rsidRDefault="00D91782" w:rsidP="003D4DE0">
      <w:pPr>
        <w:pStyle w:val="tevilnatoka"/>
        <w:numPr>
          <w:ilvl w:val="0"/>
          <w:numId w:val="124"/>
        </w:numPr>
        <w:shd w:val="clear" w:color="auto" w:fill="FFFFFF" w:themeFill="background1"/>
        <w:tabs>
          <w:tab w:val="clear" w:pos="425"/>
        </w:tabs>
        <w:rPr>
          <w:rFonts w:cs="Arial"/>
          <w:bCs/>
          <w:sz w:val="20"/>
          <w:szCs w:val="20"/>
        </w:rPr>
      </w:pPr>
      <w:r w:rsidRPr="00215B2F">
        <w:rPr>
          <w:rFonts w:eastAsia="Arial" w:cs="Arial"/>
          <w:sz w:val="20"/>
          <w:szCs w:val="20"/>
        </w:rPr>
        <w:t>poročilo o uresničitvi letnega načrta dela,</w:t>
      </w:r>
    </w:p>
    <w:p w14:paraId="17DD8349" w14:textId="77777777" w:rsidR="006A1A88" w:rsidRPr="00215B2F" w:rsidRDefault="00D91782" w:rsidP="003D4DE0">
      <w:pPr>
        <w:pStyle w:val="tevilnatoka"/>
        <w:numPr>
          <w:ilvl w:val="0"/>
          <w:numId w:val="124"/>
        </w:numPr>
        <w:shd w:val="clear" w:color="auto" w:fill="FFFFFF" w:themeFill="background1"/>
        <w:tabs>
          <w:tab w:val="clear" w:pos="425"/>
        </w:tabs>
        <w:rPr>
          <w:rFonts w:cs="Arial"/>
          <w:bCs/>
          <w:sz w:val="20"/>
          <w:szCs w:val="20"/>
        </w:rPr>
      </w:pPr>
      <w:r w:rsidRPr="00215B2F">
        <w:rPr>
          <w:rFonts w:eastAsia="Arial" w:cs="Arial"/>
          <w:sz w:val="20"/>
          <w:szCs w:val="20"/>
        </w:rPr>
        <w:t>oceno skladnosti prakse prejemkov s politiko prejemkov in</w:t>
      </w:r>
    </w:p>
    <w:p w14:paraId="756ED653" w14:textId="76A44AFB" w:rsidR="00D91782" w:rsidRPr="00215B2F" w:rsidRDefault="00D91782" w:rsidP="003D4DE0">
      <w:pPr>
        <w:pStyle w:val="tevilnatoka"/>
        <w:numPr>
          <w:ilvl w:val="0"/>
          <w:numId w:val="124"/>
        </w:numPr>
        <w:shd w:val="clear" w:color="auto" w:fill="FFFFFF" w:themeFill="background1"/>
        <w:tabs>
          <w:tab w:val="clear" w:pos="425"/>
        </w:tabs>
        <w:rPr>
          <w:rFonts w:cs="Arial"/>
          <w:bCs/>
          <w:sz w:val="20"/>
          <w:szCs w:val="20"/>
        </w:rPr>
      </w:pPr>
      <w:r w:rsidRPr="00215B2F">
        <w:rPr>
          <w:rFonts w:eastAsia="Arial" w:cs="Arial"/>
          <w:sz w:val="20"/>
          <w:szCs w:val="20"/>
        </w:rPr>
        <w:t>povzetek pomembnejših ugotovitev opravljenih pregledov poslovanja.</w:t>
      </w:r>
    </w:p>
    <w:p w14:paraId="5A907FCA"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38211CBF" w14:textId="6AD0D08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Polletno in letno poročilo mora</w:t>
      </w:r>
      <w:r w:rsidR="00425666" w:rsidRPr="00215B2F">
        <w:rPr>
          <w:rFonts w:ascii="Arial" w:eastAsia="Arial" w:hAnsi="Arial" w:cs="Arial"/>
          <w:sz w:val="20"/>
          <w:szCs w:val="20"/>
        </w:rPr>
        <w:t xml:space="preserve"> </w:t>
      </w:r>
      <w:r w:rsidRPr="00215B2F">
        <w:rPr>
          <w:rFonts w:ascii="Arial" w:eastAsia="Arial" w:hAnsi="Arial" w:cs="Arial"/>
          <w:sz w:val="20"/>
          <w:szCs w:val="20"/>
        </w:rPr>
        <w:t>funkcij</w:t>
      </w:r>
      <w:r w:rsidR="00EB239D" w:rsidRPr="00215B2F">
        <w:rPr>
          <w:rFonts w:ascii="Arial" w:eastAsia="Arial" w:hAnsi="Arial" w:cs="Arial"/>
          <w:sz w:val="20"/>
          <w:szCs w:val="20"/>
        </w:rPr>
        <w:t>a</w:t>
      </w:r>
      <w:r w:rsidRPr="00215B2F">
        <w:rPr>
          <w:rFonts w:ascii="Arial" w:eastAsia="Arial" w:hAnsi="Arial" w:cs="Arial"/>
          <w:sz w:val="20"/>
          <w:szCs w:val="20"/>
        </w:rPr>
        <w:t xml:space="preserve"> notranje revizije predložiti upravi ter hkrati nadzornemu svetu in revizijski komisiji, če jo banka ima.</w:t>
      </w:r>
    </w:p>
    <w:p w14:paraId="14CA1A6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958A91F" w14:textId="2E83E3E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(7) Uprava banke mora skupščini banke predložiti letno poročilo o notranjem revidiranju z mnenjem nadzornega sveta hkrati s predložitvijo letnega poročila banke in poročila nadzornega sveta iz 282. člena ZGD-1.</w:t>
      </w:r>
    </w:p>
    <w:bookmarkEnd w:id="237"/>
    <w:p w14:paraId="095CED0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CFD9BBA"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38" w:name="_Ref202964801"/>
      <w:r w:rsidRPr="00215B2F">
        <w:rPr>
          <w:rFonts w:ascii="Arial" w:eastAsia="Arial" w:hAnsi="Arial" w:cs="Arial"/>
          <w:b/>
          <w:bCs/>
          <w:sz w:val="20"/>
          <w:szCs w:val="20"/>
        </w:rPr>
        <w:t>člen</w:t>
      </w:r>
      <w:bookmarkEnd w:id="238"/>
    </w:p>
    <w:p w14:paraId="5919483C" w14:textId="77777777" w:rsidR="00D91782" w:rsidRPr="00215B2F" w:rsidRDefault="00D91782" w:rsidP="00FD5520">
      <w:pPr>
        <w:pStyle w:val="Slog1"/>
        <w:shd w:val="clear" w:color="auto" w:fill="FFFFFF" w:themeFill="background1"/>
        <w:rPr>
          <w:sz w:val="20"/>
          <w:szCs w:val="20"/>
        </w:rPr>
      </w:pPr>
      <w:r w:rsidRPr="00215B2F">
        <w:rPr>
          <w:sz w:val="20"/>
          <w:szCs w:val="20"/>
        </w:rPr>
        <w:t>(obveščanje uprave banke in nadzornega sveta)</w:t>
      </w:r>
    </w:p>
    <w:p w14:paraId="39F51AD6" w14:textId="77777777" w:rsidR="00D91782" w:rsidRPr="00215B2F" w:rsidRDefault="00D91782" w:rsidP="00FD5520">
      <w:pPr>
        <w:pStyle w:val="Slog1"/>
        <w:shd w:val="clear" w:color="auto" w:fill="FFFFFF" w:themeFill="background1"/>
        <w:jc w:val="both"/>
        <w:rPr>
          <w:sz w:val="20"/>
          <w:szCs w:val="20"/>
        </w:rPr>
      </w:pPr>
    </w:p>
    <w:p w14:paraId="0B1352F2" w14:textId="0C1698D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Če funkcij</w:t>
      </w:r>
      <w:r w:rsidR="00EB239D" w:rsidRPr="00215B2F">
        <w:rPr>
          <w:rFonts w:ascii="Arial" w:eastAsia="Arial" w:hAnsi="Arial" w:cs="Arial"/>
          <w:sz w:val="20"/>
          <w:szCs w:val="20"/>
        </w:rPr>
        <w:t>a</w:t>
      </w:r>
      <w:r w:rsidRPr="00215B2F">
        <w:rPr>
          <w:rFonts w:ascii="Arial" w:eastAsia="Arial" w:hAnsi="Arial" w:cs="Arial"/>
          <w:sz w:val="20"/>
          <w:szCs w:val="20"/>
        </w:rPr>
        <w:t xml:space="preserve"> notranje revizije pri pregledu poslovanja ugotovi, da banka krši pravila o upravljanju tveganj </w:t>
      </w:r>
      <w:r w:rsidR="00425666" w:rsidRPr="00215B2F">
        <w:rPr>
          <w:rFonts w:ascii="Arial" w:eastAsia="Arial" w:hAnsi="Arial" w:cs="Arial"/>
          <w:sz w:val="20"/>
          <w:szCs w:val="20"/>
        </w:rPr>
        <w:t xml:space="preserve">in </w:t>
      </w:r>
      <w:r w:rsidRPr="00215B2F">
        <w:rPr>
          <w:rFonts w:ascii="Arial" w:eastAsia="Arial" w:hAnsi="Arial" w:cs="Arial"/>
          <w:sz w:val="20"/>
          <w:szCs w:val="20"/>
        </w:rPr>
        <w:t>je zaradi tega ogrožena likvidnost ali kapitalska ustreznost banke ali da je ogrožena varnost poslovanja in lahko nastopi možnost aktiviranja jamstva za zajamčene vloge, mora o tem nemudoma obvestiti upravo banke. Če uprava ne sprejeme ustreznih ukrepov, mora funkcij</w:t>
      </w:r>
      <w:r w:rsidR="00EB239D" w:rsidRPr="00215B2F">
        <w:rPr>
          <w:rFonts w:ascii="Arial" w:eastAsia="Arial" w:hAnsi="Arial" w:cs="Arial"/>
          <w:sz w:val="20"/>
          <w:szCs w:val="20"/>
        </w:rPr>
        <w:t>a</w:t>
      </w:r>
      <w:r w:rsidRPr="00215B2F">
        <w:rPr>
          <w:rFonts w:ascii="Arial" w:eastAsia="Arial" w:hAnsi="Arial" w:cs="Arial"/>
          <w:sz w:val="20"/>
          <w:szCs w:val="20"/>
        </w:rPr>
        <w:t xml:space="preserve"> notranje revizije o tem nemudoma obvestiti nadzorni svet.</w:t>
      </w:r>
    </w:p>
    <w:p w14:paraId="7C10E09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F61C129" w14:textId="2E36C74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Če funkcij</w:t>
      </w:r>
      <w:r w:rsidR="00EB239D" w:rsidRPr="00215B2F">
        <w:rPr>
          <w:rFonts w:ascii="Arial" w:eastAsia="Arial" w:hAnsi="Arial" w:cs="Arial"/>
          <w:sz w:val="20"/>
          <w:szCs w:val="20"/>
        </w:rPr>
        <w:t>a</w:t>
      </w:r>
      <w:r w:rsidRPr="00215B2F">
        <w:rPr>
          <w:rFonts w:ascii="Arial" w:eastAsia="Arial" w:hAnsi="Arial" w:cs="Arial"/>
          <w:sz w:val="20"/>
          <w:szCs w:val="20"/>
        </w:rPr>
        <w:t xml:space="preserve"> notranje revizije pri pregledu poslovanja ugotovi, da uprava banke krši pravila o upravljanju tveganj, mora o tem nemudoma obvestiti upravo in nadzorni svet.</w:t>
      </w:r>
    </w:p>
    <w:p w14:paraId="6496B4B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43C4B63" w14:textId="30332F4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uprava ne sprejeme ustreznih ukrepov, da se odpravijo ugotovljene kršitve iz prvega </w:t>
      </w:r>
      <w:r w:rsidR="00746E88" w:rsidRPr="00215B2F">
        <w:rPr>
          <w:rFonts w:ascii="Arial" w:eastAsia="Arial" w:hAnsi="Arial" w:cs="Arial"/>
          <w:sz w:val="20"/>
          <w:szCs w:val="20"/>
        </w:rPr>
        <w:t>odstavka tega člena</w:t>
      </w:r>
      <w:r w:rsidR="00425666" w:rsidRPr="00215B2F">
        <w:rPr>
          <w:rFonts w:ascii="Arial" w:eastAsia="Arial" w:hAnsi="Arial" w:cs="Arial"/>
          <w:sz w:val="20"/>
          <w:szCs w:val="20"/>
        </w:rPr>
        <w:t>,</w:t>
      </w:r>
      <w:r w:rsidRPr="00215B2F">
        <w:rPr>
          <w:rFonts w:ascii="Arial" w:eastAsia="Arial" w:hAnsi="Arial" w:cs="Arial"/>
          <w:sz w:val="20"/>
          <w:szCs w:val="20"/>
        </w:rPr>
        <w:t xml:space="preserve"> ali če uprava in nadzorni svet ne sprejmeta ustreznih ukrepov, da se odpravijo ugotovljene kršitve iz prejšnjega odstavka, mora funkcij</w:t>
      </w:r>
      <w:r w:rsidR="00EB239D" w:rsidRPr="00215B2F">
        <w:rPr>
          <w:rFonts w:ascii="Arial" w:eastAsia="Arial" w:hAnsi="Arial" w:cs="Arial"/>
          <w:sz w:val="20"/>
          <w:szCs w:val="20"/>
        </w:rPr>
        <w:t>a</w:t>
      </w:r>
      <w:r w:rsidRPr="00215B2F">
        <w:rPr>
          <w:rFonts w:ascii="Arial" w:eastAsia="Arial" w:hAnsi="Arial" w:cs="Arial"/>
          <w:sz w:val="20"/>
          <w:szCs w:val="20"/>
        </w:rPr>
        <w:t xml:space="preserve"> notranje revizije o tem nemudoma obvestiti Banko Slovenije.</w:t>
      </w:r>
    </w:p>
    <w:p w14:paraId="7824FAC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DB611D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39" w:name="_Ref202964810"/>
      <w:r w:rsidRPr="00215B2F">
        <w:rPr>
          <w:rFonts w:ascii="Arial" w:eastAsia="Arial" w:hAnsi="Arial" w:cs="Arial"/>
          <w:b/>
          <w:bCs/>
          <w:sz w:val="20"/>
          <w:szCs w:val="20"/>
        </w:rPr>
        <w:t>člen</w:t>
      </w:r>
      <w:bookmarkEnd w:id="239"/>
    </w:p>
    <w:p w14:paraId="14F8B5CF" w14:textId="11E45A72" w:rsidR="00D91782" w:rsidRPr="00215B2F" w:rsidRDefault="00D91782" w:rsidP="00FD5520">
      <w:pPr>
        <w:pStyle w:val="Slog1"/>
        <w:shd w:val="clear" w:color="auto" w:fill="FFFFFF" w:themeFill="background1"/>
        <w:rPr>
          <w:sz w:val="20"/>
          <w:szCs w:val="20"/>
        </w:rPr>
      </w:pPr>
      <w:r w:rsidRPr="00215B2F">
        <w:rPr>
          <w:sz w:val="20"/>
          <w:szCs w:val="20"/>
        </w:rPr>
        <w:t>(funkcija zagotavljanja skladnosti poslovanja)</w:t>
      </w:r>
    </w:p>
    <w:p w14:paraId="246395B3" w14:textId="77777777" w:rsidR="00D91782" w:rsidRPr="00215B2F" w:rsidRDefault="00D91782" w:rsidP="00FD5520">
      <w:pPr>
        <w:pStyle w:val="Slog1"/>
        <w:shd w:val="clear" w:color="auto" w:fill="FFFFFF" w:themeFill="background1"/>
        <w:jc w:val="both"/>
        <w:rPr>
          <w:sz w:val="20"/>
          <w:szCs w:val="20"/>
        </w:rPr>
      </w:pPr>
    </w:p>
    <w:p w14:paraId="1B72C327" w14:textId="12D358A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w:t>
      </w:r>
      <w:r w:rsidR="00EB239D" w:rsidRPr="00215B2F">
        <w:rPr>
          <w:rFonts w:ascii="Arial" w:eastAsia="Arial" w:hAnsi="Arial" w:cs="Arial"/>
          <w:sz w:val="20"/>
          <w:szCs w:val="20"/>
        </w:rPr>
        <w:t>F</w:t>
      </w:r>
      <w:r w:rsidRPr="00215B2F">
        <w:rPr>
          <w:rFonts w:ascii="Arial" w:eastAsia="Arial" w:hAnsi="Arial" w:cs="Arial"/>
          <w:sz w:val="20"/>
          <w:szCs w:val="20"/>
        </w:rPr>
        <w:t>unkcij</w:t>
      </w:r>
      <w:r w:rsidR="00EB239D" w:rsidRPr="00215B2F">
        <w:rPr>
          <w:rFonts w:ascii="Arial" w:eastAsia="Arial" w:hAnsi="Arial" w:cs="Arial"/>
          <w:sz w:val="20"/>
          <w:szCs w:val="20"/>
        </w:rPr>
        <w:t>a</w:t>
      </w:r>
      <w:r w:rsidRPr="00215B2F">
        <w:rPr>
          <w:rFonts w:ascii="Arial" w:eastAsia="Arial" w:hAnsi="Arial" w:cs="Arial"/>
          <w:sz w:val="20"/>
          <w:szCs w:val="20"/>
        </w:rPr>
        <w:t xml:space="preserve"> zagotavljanja skladnosti ocenjuje in zmanjšuje tveganje neskladnosti ter zagotavlja, da strategija tveganja banke upošteva tveganje neskladnosti in da se tveganje neskladnosti ustrezno upošteva pri vseh bistvenih odločitvah glede upravljanja tveganj.</w:t>
      </w:r>
    </w:p>
    <w:p w14:paraId="05DA55CD" w14:textId="2BEE51A9" w:rsidR="00FF337B"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 </w:t>
      </w:r>
    </w:p>
    <w:p w14:paraId="7A41EFCF" w14:textId="26C2791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w:t>
      </w:r>
      <w:r w:rsidR="00EB239D" w:rsidRPr="00215B2F">
        <w:rPr>
          <w:rFonts w:ascii="Arial" w:eastAsia="Arial" w:hAnsi="Arial" w:cs="Arial"/>
          <w:sz w:val="20"/>
          <w:szCs w:val="20"/>
        </w:rPr>
        <w:t>F</w:t>
      </w:r>
      <w:r w:rsidRPr="00215B2F">
        <w:rPr>
          <w:rFonts w:ascii="Arial" w:eastAsia="Arial" w:hAnsi="Arial" w:cs="Arial"/>
          <w:sz w:val="20"/>
          <w:szCs w:val="20"/>
        </w:rPr>
        <w:t>unkcij</w:t>
      </w:r>
      <w:r w:rsidR="00EB239D" w:rsidRPr="00215B2F">
        <w:rPr>
          <w:rFonts w:ascii="Arial" w:eastAsia="Arial" w:hAnsi="Arial" w:cs="Arial"/>
          <w:sz w:val="20"/>
          <w:szCs w:val="20"/>
        </w:rPr>
        <w:t>a</w:t>
      </w:r>
      <w:r w:rsidRPr="00215B2F">
        <w:rPr>
          <w:rFonts w:ascii="Arial" w:eastAsia="Arial" w:hAnsi="Arial" w:cs="Arial"/>
          <w:sz w:val="20"/>
          <w:szCs w:val="20"/>
        </w:rPr>
        <w:t xml:space="preserve"> zagotavljanja skladnosti poslovanja ugotavlja tveganje skladnosti poslovanja banke, ki jim je banka izpostavljena ali bi jim lahko bila izpostavljena pri svojem poslovanju, iz naslova kršitev veljavnih predpisov ali zahtev Banke Slovenije oziroma Evropske centralne banke, kadar je </w:t>
      </w:r>
      <w:r w:rsidR="00425666" w:rsidRPr="00215B2F">
        <w:rPr>
          <w:rFonts w:ascii="Arial" w:eastAsia="Arial" w:hAnsi="Arial" w:cs="Arial"/>
          <w:sz w:val="20"/>
          <w:szCs w:val="20"/>
        </w:rPr>
        <w:t xml:space="preserve">ta </w:t>
      </w:r>
      <w:r w:rsidRPr="00215B2F">
        <w:rPr>
          <w:rFonts w:ascii="Arial" w:eastAsia="Arial" w:hAnsi="Arial" w:cs="Arial"/>
          <w:sz w:val="20"/>
          <w:szCs w:val="20"/>
        </w:rPr>
        <w:t xml:space="preserve">v skladu z Uredbo 1024/2013/EU pri opravljanju nadzora nad banko odgovorna za izvajanje nalog iz prvega odstavka 4. člena </w:t>
      </w:r>
      <w:r w:rsidR="00091BC8" w:rsidRPr="00215B2F">
        <w:rPr>
          <w:rFonts w:ascii="Arial" w:eastAsia="Arial" w:hAnsi="Arial" w:cs="Arial"/>
          <w:sz w:val="20"/>
          <w:szCs w:val="20"/>
        </w:rPr>
        <w:t>navedene uredbe</w:t>
      </w:r>
      <w:r w:rsidRPr="00215B2F">
        <w:rPr>
          <w:rFonts w:ascii="Arial" w:eastAsia="Arial" w:hAnsi="Arial" w:cs="Arial"/>
          <w:sz w:val="20"/>
          <w:szCs w:val="20"/>
        </w:rPr>
        <w:t>, sklenjenih pogodb, predpisanih praks ali etičnih standardov, ki bi lahko vplivale na dohodke, kapital ali ugled banke.</w:t>
      </w:r>
    </w:p>
    <w:p w14:paraId="4B89FA1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E99E3F1" w14:textId="28CAD1A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w:t>
      </w:r>
      <w:r w:rsidR="00EB239D" w:rsidRPr="00215B2F">
        <w:rPr>
          <w:rFonts w:ascii="Arial" w:eastAsia="Arial" w:hAnsi="Arial" w:cs="Arial"/>
          <w:sz w:val="20"/>
          <w:szCs w:val="20"/>
        </w:rPr>
        <w:t>F</w:t>
      </w:r>
      <w:r w:rsidRPr="00215B2F">
        <w:rPr>
          <w:rFonts w:ascii="Arial" w:eastAsia="Arial" w:hAnsi="Arial" w:cs="Arial"/>
          <w:sz w:val="20"/>
          <w:szCs w:val="20"/>
        </w:rPr>
        <w:t>unkcij</w:t>
      </w:r>
      <w:r w:rsidR="00EB239D" w:rsidRPr="00215B2F">
        <w:rPr>
          <w:rFonts w:ascii="Arial" w:eastAsia="Arial" w:hAnsi="Arial" w:cs="Arial"/>
          <w:sz w:val="20"/>
          <w:szCs w:val="20"/>
        </w:rPr>
        <w:t>a</w:t>
      </w:r>
      <w:r w:rsidRPr="00215B2F">
        <w:rPr>
          <w:rFonts w:ascii="Arial" w:eastAsia="Arial" w:hAnsi="Arial" w:cs="Arial"/>
          <w:sz w:val="20"/>
          <w:szCs w:val="20"/>
        </w:rPr>
        <w:t xml:space="preserve"> zagotavljanja skladnosti poslovanja o svojih ugotovitvah poroča upravi in nadzornemu svetu, ter kadar je ustrezno, funkcij</w:t>
      </w:r>
      <w:r w:rsidR="00EB239D" w:rsidRPr="00215B2F">
        <w:rPr>
          <w:rFonts w:ascii="Arial" w:eastAsia="Arial" w:hAnsi="Arial" w:cs="Arial"/>
          <w:sz w:val="20"/>
          <w:szCs w:val="20"/>
        </w:rPr>
        <w:t>i</w:t>
      </w:r>
      <w:r w:rsidRPr="00215B2F">
        <w:rPr>
          <w:rFonts w:ascii="Arial" w:eastAsia="Arial" w:hAnsi="Arial" w:cs="Arial"/>
          <w:sz w:val="20"/>
          <w:szCs w:val="20"/>
        </w:rPr>
        <w:t xml:space="preserve"> upravljanja tveganj.</w:t>
      </w:r>
    </w:p>
    <w:p w14:paraId="00CA6541"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F9B13C6"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40" w:name="_Ref202964828"/>
      <w:r w:rsidRPr="00215B2F">
        <w:rPr>
          <w:rFonts w:ascii="Arial" w:eastAsia="Arial" w:hAnsi="Arial" w:cs="Arial"/>
          <w:b/>
          <w:bCs/>
          <w:sz w:val="20"/>
          <w:szCs w:val="20"/>
        </w:rPr>
        <w:t>člen</w:t>
      </w:r>
      <w:bookmarkEnd w:id="240"/>
    </w:p>
    <w:p w14:paraId="1A6D566F" w14:textId="77777777" w:rsidR="00D91782" w:rsidRPr="00215B2F" w:rsidRDefault="00D91782" w:rsidP="00FD5520">
      <w:pPr>
        <w:pStyle w:val="Slog1"/>
        <w:shd w:val="clear" w:color="auto" w:fill="FFFFFF" w:themeFill="background1"/>
        <w:rPr>
          <w:sz w:val="20"/>
          <w:szCs w:val="20"/>
        </w:rPr>
      </w:pPr>
      <w:r w:rsidRPr="00215B2F">
        <w:rPr>
          <w:sz w:val="20"/>
          <w:szCs w:val="20"/>
        </w:rPr>
        <w:t>(sistem obveščanja o kršitvah)</w:t>
      </w:r>
    </w:p>
    <w:p w14:paraId="6F999346" w14:textId="77777777" w:rsidR="00D91782" w:rsidRPr="00215B2F" w:rsidRDefault="00D91782" w:rsidP="00FD5520">
      <w:pPr>
        <w:pStyle w:val="Slog1"/>
        <w:shd w:val="clear" w:color="auto" w:fill="FFFFFF" w:themeFill="background1"/>
        <w:jc w:val="both"/>
        <w:rPr>
          <w:sz w:val="20"/>
          <w:szCs w:val="20"/>
        </w:rPr>
      </w:pPr>
    </w:p>
    <w:p w14:paraId="71B3D20C" w14:textId="4EFF418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mora vzpostaviti sistem obveščanja o kršitvah v banki, ki omogoča zaposlenim v banki, da prek neodvisnih in samostojnih poročevalskih linij interno poročajo o kršitvah predpisov in internih aktov banke. Banka lahko za ta namen uporabi tudi sisteme, ki so vzpostavljeni v banki v okviru neodvisnega organiziranega delovanja zaposlenih v banki, če so izpolnjeni pogoji iz tega člena.</w:t>
      </w:r>
    </w:p>
    <w:p w14:paraId="2474064C"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A8E0CAC" w14:textId="43283B3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Sistem iz prejšnjega odstavka mora omogočati </w:t>
      </w:r>
      <w:r w:rsidR="00EB239D" w:rsidRPr="00215B2F">
        <w:rPr>
          <w:rFonts w:ascii="Arial" w:eastAsia="Arial" w:hAnsi="Arial" w:cs="Arial"/>
          <w:sz w:val="20"/>
          <w:szCs w:val="20"/>
        </w:rPr>
        <w:t xml:space="preserve">enostaven </w:t>
      </w:r>
      <w:r w:rsidRPr="00215B2F">
        <w:rPr>
          <w:rFonts w:ascii="Arial" w:eastAsia="Arial" w:hAnsi="Arial" w:cs="Arial"/>
          <w:sz w:val="20"/>
          <w:szCs w:val="20"/>
        </w:rPr>
        <w:t>in lahko dostopen način po</w:t>
      </w:r>
      <w:r w:rsidR="00B1104C" w:rsidRPr="00215B2F">
        <w:rPr>
          <w:rFonts w:ascii="Arial" w:eastAsia="Arial" w:hAnsi="Arial" w:cs="Arial"/>
          <w:sz w:val="20"/>
          <w:szCs w:val="20"/>
        </w:rPr>
        <w:t>šilj</w:t>
      </w:r>
      <w:r w:rsidRPr="00215B2F">
        <w:rPr>
          <w:rFonts w:ascii="Arial" w:eastAsia="Arial" w:hAnsi="Arial" w:cs="Arial"/>
          <w:sz w:val="20"/>
          <w:szCs w:val="20"/>
        </w:rPr>
        <w:t>anja prijav zaposlenih ter vključevati jasno opredeljene postopke za spreje</w:t>
      </w:r>
      <w:r w:rsidR="00B1104C" w:rsidRPr="00215B2F">
        <w:rPr>
          <w:rFonts w:ascii="Arial" w:eastAsia="Arial" w:hAnsi="Arial" w:cs="Arial"/>
          <w:sz w:val="20"/>
          <w:szCs w:val="20"/>
        </w:rPr>
        <w:t>tje</w:t>
      </w:r>
      <w:r w:rsidRPr="00215B2F">
        <w:rPr>
          <w:rFonts w:ascii="Arial" w:eastAsia="Arial" w:hAnsi="Arial" w:cs="Arial"/>
          <w:sz w:val="20"/>
          <w:szCs w:val="20"/>
        </w:rPr>
        <w:t xml:space="preserve"> in obravnavo prijav, vključno s poročanjem o ugotovitvah v zvezi s prejetimi prijavami ter </w:t>
      </w:r>
      <w:r w:rsidR="00B1104C" w:rsidRPr="00215B2F">
        <w:rPr>
          <w:rFonts w:ascii="Arial" w:eastAsia="Arial" w:hAnsi="Arial" w:cs="Arial"/>
          <w:sz w:val="20"/>
          <w:szCs w:val="20"/>
        </w:rPr>
        <w:t xml:space="preserve">o </w:t>
      </w:r>
      <w:r w:rsidRPr="00215B2F">
        <w:rPr>
          <w:rFonts w:ascii="Arial" w:eastAsia="Arial" w:hAnsi="Arial" w:cs="Arial"/>
          <w:sz w:val="20"/>
          <w:szCs w:val="20"/>
        </w:rPr>
        <w:t>izvedenih aktivnostih.</w:t>
      </w:r>
    </w:p>
    <w:p w14:paraId="0E80E6D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688F521" w14:textId="1EF6E41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lahko</w:t>
      </w:r>
      <w:r w:rsidR="00A22F55" w:rsidRPr="00215B2F">
        <w:rPr>
          <w:rFonts w:ascii="Arial" w:eastAsia="Arial" w:hAnsi="Arial" w:cs="Arial"/>
          <w:sz w:val="20"/>
          <w:szCs w:val="20"/>
        </w:rPr>
        <w:t xml:space="preserve"> v skladu z zakonom</w:t>
      </w:r>
      <w:r w:rsidRPr="00215B2F">
        <w:rPr>
          <w:rFonts w:ascii="Arial" w:eastAsia="Arial" w:hAnsi="Arial" w:cs="Arial"/>
          <w:sz w:val="20"/>
          <w:szCs w:val="20"/>
        </w:rPr>
        <w:t xml:space="preserve">, ki ureja varstvo osebnih podatkov, za namene obravnave prijav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vključno s poročanjem o ugotovitvah v zvezi s prejetimi prijavami ter </w:t>
      </w:r>
      <w:r w:rsidR="00B1104C" w:rsidRPr="00215B2F">
        <w:rPr>
          <w:rFonts w:ascii="Arial" w:eastAsia="Arial" w:hAnsi="Arial" w:cs="Arial"/>
          <w:sz w:val="20"/>
          <w:szCs w:val="20"/>
        </w:rPr>
        <w:t xml:space="preserve">o </w:t>
      </w:r>
      <w:r w:rsidRPr="00215B2F">
        <w:rPr>
          <w:rFonts w:ascii="Arial" w:eastAsia="Arial" w:hAnsi="Arial" w:cs="Arial"/>
          <w:sz w:val="20"/>
          <w:szCs w:val="20"/>
        </w:rPr>
        <w:t xml:space="preserve">izvedenih aktivnostih, obdeluje osebne podatke osebe, ki je podala prijavo, in osebe, ki je domnevno odgovorna za kršitev. Banka mora zagotoviti, da se vsi podatki o osebah, ki so podale prijavo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obravnavajo kot zaupni</w:t>
      </w:r>
      <w:r w:rsidR="00B1104C" w:rsidRPr="00215B2F">
        <w:rPr>
          <w:rFonts w:ascii="Arial" w:eastAsia="Arial" w:hAnsi="Arial" w:cs="Arial"/>
          <w:sz w:val="20"/>
          <w:szCs w:val="20"/>
        </w:rPr>
        <w:t>,</w:t>
      </w:r>
      <w:r w:rsidRPr="00215B2F">
        <w:rPr>
          <w:rFonts w:ascii="Arial" w:eastAsia="Arial" w:hAnsi="Arial" w:cs="Arial"/>
          <w:sz w:val="20"/>
          <w:szCs w:val="20"/>
        </w:rPr>
        <w:t xml:space="preserve"> in teh podatkov ne sme razkriti brez soglasja oseb, ki so podale prijavo, razen kadar je razkritje identitete prijavitelja v skladu z zakonom nujno za izvedbo kazenskega postopka ali nadaljnjih sodnih postopkov.</w:t>
      </w:r>
    </w:p>
    <w:p w14:paraId="4FF99DD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F30DA3D" w14:textId="38FAC8F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mora zagotoviti ukrepe, s katerimi se preprečijo povračilni ukrepi, diskriminacija ali druge oblike neprimerne obravnave zaposlenih v banki, ki so podali prijavo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in ukrepe, s katerimi se odpravijo posledice povračilnih ukrepov, če je do neprimerne obravnave že prišlo.</w:t>
      </w:r>
    </w:p>
    <w:p w14:paraId="70313B89"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2BC5EDC2" w14:textId="37F43A5E"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6.3 UPRAVLJANJE TVEGANJ</w:t>
      </w:r>
    </w:p>
    <w:p w14:paraId="633EF009" w14:textId="77777777"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p>
    <w:p w14:paraId="008B6AD5" w14:textId="2F6FEA9C"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6.3.1 Splošne določbe o upravljanju tveganj</w:t>
      </w:r>
    </w:p>
    <w:p w14:paraId="7F8E0D85"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07A9A49A"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41" w:name="_Ref202964866"/>
      <w:r w:rsidRPr="00215B2F">
        <w:rPr>
          <w:rFonts w:ascii="Arial" w:eastAsia="Arial" w:hAnsi="Arial" w:cs="Arial"/>
          <w:b/>
          <w:bCs/>
          <w:sz w:val="20"/>
          <w:szCs w:val="20"/>
        </w:rPr>
        <w:t>člen</w:t>
      </w:r>
      <w:bookmarkEnd w:id="241"/>
    </w:p>
    <w:p w14:paraId="64F1CFA5" w14:textId="77777777" w:rsidR="00D91782" w:rsidRPr="00215B2F" w:rsidRDefault="00D91782" w:rsidP="00FD5520">
      <w:pPr>
        <w:pStyle w:val="Slog1"/>
        <w:shd w:val="clear" w:color="auto" w:fill="FFFFFF" w:themeFill="background1"/>
        <w:rPr>
          <w:sz w:val="20"/>
          <w:szCs w:val="20"/>
        </w:rPr>
      </w:pPr>
      <w:r w:rsidRPr="00215B2F">
        <w:rPr>
          <w:sz w:val="20"/>
          <w:szCs w:val="20"/>
        </w:rPr>
        <w:t>(strategija in politika upravljanja)</w:t>
      </w:r>
    </w:p>
    <w:p w14:paraId="2BB7E474" w14:textId="77777777" w:rsidR="00D91782" w:rsidRPr="00215B2F" w:rsidRDefault="00D91782" w:rsidP="00FD5520">
      <w:pPr>
        <w:pStyle w:val="Slog1"/>
        <w:shd w:val="clear" w:color="auto" w:fill="FFFFFF" w:themeFill="background1"/>
        <w:jc w:val="both"/>
        <w:rPr>
          <w:sz w:val="20"/>
          <w:szCs w:val="20"/>
        </w:rPr>
      </w:pPr>
    </w:p>
    <w:p w14:paraId="48C4051D" w14:textId="55E9D3C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242" w:name="_Hlk203641809"/>
      <w:r w:rsidRPr="00215B2F">
        <w:rPr>
          <w:rFonts w:ascii="Arial" w:eastAsia="Arial" w:hAnsi="Arial" w:cs="Arial"/>
          <w:sz w:val="20"/>
          <w:szCs w:val="20"/>
        </w:rPr>
        <w:t xml:space="preserve">(1) Uprava in nadzorni svet banke sta v okviru svojih pristojnosti in dolžnosti na podlagi tega zakona odgovorna za določanje in sprejemanje strategije in politike prevzemanja, upravljanja, spremljanja </w:t>
      </w:r>
      <w:r w:rsidR="00CC5741" w:rsidRPr="00215B2F">
        <w:rPr>
          <w:rFonts w:ascii="Arial" w:eastAsia="Arial" w:hAnsi="Arial" w:cs="Arial"/>
          <w:sz w:val="20"/>
          <w:szCs w:val="20"/>
        </w:rPr>
        <w:t xml:space="preserve">ter </w:t>
      </w:r>
      <w:r w:rsidRPr="00215B2F">
        <w:rPr>
          <w:rFonts w:ascii="Arial" w:eastAsia="Arial" w:hAnsi="Arial" w:cs="Arial"/>
          <w:sz w:val="20"/>
          <w:szCs w:val="20"/>
        </w:rPr>
        <w:t xml:space="preserve">zmanjševanja tveganj, ki jim je banka izpostavljena ali bi jim lahko bila izpostavljena pri svojem poslovanju, vključno s tveganji, ki izvirajo iz makroekonomskega okolja, v katerem banka posluje, z upoštevanjem vsakokratnega poslovnega cikla, ter s tveganji, ki izhajajo iz trenutnih </w:t>
      </w:r>
      <w:r w:rsidR="00CC5741" w:rsidRPr="00215B2F">
        <w:rPr>
          <w:rFonts w:ascii="Arial" w:eastAsia="Arial" w:hAnsi="Arial" w:cs="Arial"/>
          <w:sz w:val="20"/>
          <w:szCs w:val="20"/>
        </w:rPr>
        <w:t xml:space="preserve">in </w:t>
      </w:r>
      <w:r w:rsidRPr="00215B2F">
        <w:rPr>
          <w:rFonts w:ascii="Arial" w:eastAsia="Arial" w:hAnsi="Arial" w:cs="Arial"/>
          <w:sz w:val="20"/>
          <w:szCs w:val="20"/>
        </w:rPr>
        <w:t>kratkoročnih, srednjeročnih in dolgoročnih učinkov ESG dejavnikov. Uprava in nadzorni svet banke te strategije in politike odobrita ter jih pregledata vsaj vsaki dve leti. Strategija in politika upravljanja tveganj vključujeta usmeritve za prevzemanje tveganj ter postopke in orodja za upravljanje tveganj.</w:t>
      </w:r>
    </w:p>
    <w:p w14:paraId="236B5F9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305149C" w14:textId="34B03BE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Uprava mora zagotoviti ustrezne kadrovske in finančne vire za učinkovito in celostno obravnavo tveganj v banki, vključno z ugotavljanjem, merjenjem oziroma ocenjevanjem, spremljanjem in obvladovanjem tveganj, ki jim je banka izpostavljena pri svojem poslovanju ali bi jim lahko bila</w:t>
      </w:r>
      <w:r w:rsidR="00A22F55" w:rsidRPr="00215B2F">
        <w:rPr>
          <w:rFonts w:ascii="Arial" w:eastAsia="Arial" w:hAnsi="Arial" w:cs="Arial"/>
          <w:sz w:val="20"/>
          <w:szCs w:val="20"/>
        </w:rPr>
        <w:t xml:space="preserve"> izpostavljena</w:t>
      </w:r>
      <w:r w:rsidRPr="00215B2F">
        <w:rPr>
          <w:rFonts w:ascii="Arial" w:eastAsia="Arial" w:hAnsi="Arial" w:cs="Arial"/>
          <w:sz w:val="20"/>
          <w:szCs w:val="20"/>
        </w:rPr>
        <w:t>.</w:t>
      </w:r>
    </w:p>
    <w:p w14:paraId="0778AEF7"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4F46DCE" w14:textId="08D2F0E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Uprava in nadzorni svet morata nameniti dovolj časa obravnavi tveganj </w:t>
      </w:r>
      <w:r w:rsidR="00461A0A" w:rsidRPr="00215B2F">
        <w:rPr>
          <w:rFonts w:ascii="Arial" w:eastAsia="Arial" w:hAnsi="Arial" w:cs="Arial"/>
          <w:sz w:val="20"/>
          <w:szCs w:val="20"/>
        </w:rPr>
        <w:t xml:space="preserve">ter </w:t>
      </w:r>
      <w:r w:rsidRPr="00215B2F">
        <w:rPr>
          <w:rFonts w:ascii="Arial" w:eastAsia="Arial" w:hAnsi="Arial" w:cs="Arial"/>
          <w:sz w:val="20"/>
          <w:szCs w:val="20"/>
        </w:rPr>
        <w:t xml:space="preserve">morata vzpostaviti sistem poročanja, ki zagotavlja, da sta uprava in nadzorni svet pravočasno seznanjena </w:t>
      </w:r>
      <w:r w:rsidR="00461A0A" w:rsidRPr="00215B2F">
        <w:rPr>
          <w:rFonts w:ascii="Arial" w:eastAsia="Arial" w:hAnsi="Arial" w:cs="Arial"/>
          <w:sz w:val="20"/>
          <w:szCs w:val="20"/>
        </w:rPr>
        <w:t xml:space="preserve">z </w:t>
      </w:r>
      <w:r w:rsidRPr="00215B2F">
        <w:rPr>
          <w:rFonts w:ascii="Arial" w:eastAsia="Arial" w:hAnsi="Arial" w:cs="Arial"/>
          <w:sz w:val="20"/>
          <w:szCs w:val="20"/>
        </w:rPr>
        <w:t>vse</w:t>
      </w:r>
      <w:r w:rsidR="00461A0A" w:rsidRPr="00215B2F">
        <w:rPr>
          <w:rFonts w:ascii="Arial" w:eastAsia="Arial" w:hAnsi="Arial" w:cs="Arial"/>
          <w:sz w:val="20"/>
          <w:szCs w:val="20"/>
        </w:rPr>
        <w:t>mi</w:t>
      </w:r>
      <w:r w:rsidRPr="00215B2F">
        <w:rPr>
          <w:rFonts w:ascii="Arial" w:eastAsia="Arial" w:hAnsi="Arial" w:cs="Arial"/>
          <w:sz w:val="20"/>
          <w:szCs w:val="20"/>
        </w:rPr>
        <w:t xml:space="preserve"> pomembni</w:t>
      </w:r>
      <w:r w:rsidR="00461A0A" w:rsidRPr="00215B2F">
        <w:rPr>
          <w:rFonts w:ascii="Arial" w:eastAsia="Arial" w:hAnsi="Arial" w:cs="Arial"/>
          <w:sz w:val="20"/>
          <w:szCs w:val="20"/>
        </w:rPr>
        <w:t>mi</w:t>
      </w:r>
      <w:r w:rsidRPr="00215B2F">
        <w:rPr>
          <w:rFonts w:ascii="Arial" w:eastAsia="Arial" w:hAnsi="Arial" w:cs="Arial"/>
          <w:sz w:val="20"/>
          <w:szCs w:val="20"/>
        </w:rPr>
        <w:t xml:space="preserve"> tveganji banke, </w:t>
      </w:r>
      <w:r w:rsidR="00461A0A" w:rsidRPr="00215B2F">
        <w:rPr>
          <w:rFonts w:ascii="Arial" w:eastAsia="Arial" w:hAnsi="Arial" w:cs="Arial"/>
          <w:sz w:val="20"/>
          <w:szCs w:val="20"/>
        </w:rPr>
        <w:t>ter</w:t>
      </w:r>
      <w:r w:rsidRPr="00215B2F">
        <w:rPr>
          <w:rFonts w:ascii="Arial" w:eastAsia="Arial" w:hAnsi="Arial" w:cs="Arial"/>
          <w:sz w:val="20"/>
          <w:szCs w:val="20"/>
        </w:rPr>
        <w:t xml:space="preserve"> upošteva politiko upravljanja tveganj in njene spremembe.</w:t>
      </w:r>
    </w:p>
    <w:p w14:paraId="639C78CE" w14:textId="77777777" w:rsidR="0059639B" w:rsidRPr="00215B2F" w:rsidRDefault="0059639B" w:rsidP="00FD5520">
      <w:pPr>
        <w:shd w:val="clear" w:color="auto" w:fill="FFFFFF" w:themeFill="background1"/>
        <w:spacing w:after="0" w:line="240" w:lineRule="auto"/>
        <w:jc w:val="both"/>
        <w:rPr>
          <w:rFonts w:ascii="Arial" w:eastAsia="Arial" w:hAnsi="Arial" w:cs="Arial"/>
          <w:sz w:val="20"/>
          <w:szCs w:val="20"/>
        </w:rPr>
      </w:pPr>
    </w:p>
    <w:p w14:paraId="0025361B" w14:textId="0E54BB2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Uprava in nadzorni svet morata zlasti aktivno sodelovati pri odločitvah v zvezi z obravnavo pomembnih tveganj, opredeljenih v tem zakonu in Uredbi 575/2013/EU, vključno z vrednotenjem sredstev, uporabo zunanjih bonitetnih ocen in notranjih modelov, povezanih s temi tveganji.</w:t>
      </w:r>
    </w:p>
    <w:p w14:paraId="49CAB59E"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41D56F5" w14:textId="3168501C" w:rsidR="00CF5309"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Uprava in nadzorni svet v okviru svojih pristojnosti in dolžnosti na podlagi tega zakona pripravita in spremljata izvajanje posebnih načrtov, ki vključujejo merljive cilje in </w:t>
      </w:r>
      <w:r w:rsidR="00EB239D" w:rsidRPr="00215B2F">
        <w:rPr>
          <w:rFonts w:ascii="Arial" w:eastAsia="Arial" w:hAnsi="Arial" w:cs="Arial"/>
          <w:sz w:val="20"/>
          <w:szCs w:val="20"/>
        </w:rPr>
        <w:t xml:space="preserve">procese </w:t>
      </w:r>
      <w:r w:rsidR="001F4F98" w:rsidRPr="00215B2F">
        <w:rPr>
          <w:rFonts w:ascii="Arial" w:eastAsia="Arial" w:hAnsi="Arial" w:cs="Arial"/>
          <w:sz w:val="20"/>
          <w:szCs w:val="20"/>
        </w:rPr>
        <w:t>ter</w:t>
      </w:r>
      <w:r w:rsidRPr="00215B2F">
        <w:rPr>
          <w:rFonts w:ascii="Arial" w:eastAsia="Arial" w:hAnsi="Arial" w:cs="Arial"/>
          <w:sz w:val="20"/>
          <w:szCs w:val="20"/>
        </w:rPr>
        <w:t xml:space="preserve"> so namenjeni </w:t>
      </w:r>
      <w:r w:rsidRPr="00215B2F">
        <w:rPr>
          <w:rFonts w:ascii="Arial" w:eastAsia="Arial" w:hAnsi="Arial" w:cs="Arial"/>
          <w:sz w:val="20"/>
          <w:szCs w:val="20"/>
        </w:rPr>
        <w:lastRenderedPageBreak/>
        <w:t>spremljanju in obravnavanju finančnih tveganj, ki kratkoročno, srednjeročno in dolgoročno izhajajo iz ESG dejavnikov, vključno s tistimi, ki izhajajo iz procesa prilagajanja in trendov prehoda v zvezi</w:t>
      </w:r>
      <w:r w:rsidR="00CF5309" w:rsidRPr="00215B2F">
        <w:rPr>
          <w:rFonts w:ascii="Arial" w:eastAsia="Arial" w:hAnsi="Arial" w:cs="Arial"/>
          <w:sz w:val="20"/>
          <w:szCs w:val="20"/>
        </w:rPr>
        <w:t>:</w:t>
      </w:r>
    </w:p>
    <w:p w14:paraId="05638982" w14:textId="77777777" w:rsidR="00C16218" w:rsidRPr="00215B2F" w:rsidRDefault="00C16218" w:rsidP="00FD5520">
      <w:pPr>
        <w:shd w:val="clear" w:color="auto" w:fill="FFFFFF" w:themeFill="background1"/>
        <w:spacing w:after="0" w:line="240" w:lineRule="auto"/>
        <w:jc w:val="both"/>
        <w:rPr>
          <w:rFonts w:ascii="Arial" w:eastAsia="Arial" w:hAnsi="Arial" w:cs="Arial"/>
          <w:sz w:val="20"/>
          <w:szCs w:val="20"/>
        </w:rPr>
      </w:pPr>
    </w:p>
    <w:p w14:paraId="1C238930" w14:textId="09D61D97" w:rsidR="00C16218" w:rsidRPr="00215B2F" w:rsidRDefault="00D91782" w:rsidP="00FD5520">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z ustreznimi regulativnimi cilji in pravnimi akti </w:t>
      </w:r>
      <w:r w:rsidR="001F4F98" w:rsidRPr="00215B2F">
        <w:rPr>
          <w:rFonts w:ascii="Arial" w:eastAsia="Arial" w:hAnsi="Arial" w:cs="Arial"/>
          <w:sz w:val="20"/>
          <w:szCs w:val="20"/>
        </w:rPr>
        <w:t>Evropske u</w:t>
      </w:r>
      <w:r w:rsidRPr="00215B2F">
        <w:rPr>
          <w:rFonts w:ascii="Arial" w:eastAsia="Arial" w:hAnsi="Arial" w:cs="Arial"/>
          <w:sz w:val="20"/>
          <w:szCs w:val="20"/>
        </w:rPr>
        <w:t xml:space="preserve">nije in Republike Slovenije ter drugih držav članic glede ESG dejavnikov, zlasti </w:t>
      </w:r>
      <w:r w:rsidR="001F4F98" w:rsidRPr="00215B2F">
        <w:rPr>
          <w:rFonts w:ascii="Arial" w:eastAsia="Arial" w:hAnsi="Arial" w:cs="Arial"/>
          <w:sz w:val="20"/>
          <w:szCs w:val="20"/>
        </w:rPr>
        <w:t xml:space="preserve">s </w:t>
      </w:r>
      <w:r w:rsidRPr="00215B2F">
        <w:rPr>
          <w:rFonts w:ascii="Arial" w:eastAsia="Arial" w:hAnsi="Arial" w:cs="Arial"/>
          <w:sz w:val="20"/>
          <w:szCs w:val="20"/>
        </w:rPr>
        <w:t>cilj</w:t>
      </w:r>
      <w:r w:rsidR="00EB239D" w:rsidRPr="00215B2F">
        <w:rPr>
          <w:rFonts w:ascii="Arial" w:eastAsia="Arial" w:hAnsi="Arial" w:cs="Arial"/>
          <w:sz w:val="20"/>
          <w:szCs w:val="20"/>
        </w:rPr>
        <w:t>em</w:t>
      </w:r>
      <w:r w:rsidRPr="00215B2F">
        <w:rPr>
          <w:rFonts w:ascii="Arial" w:eastAsia="Arial" w:hAnsi="Arial" w:cs="Arial"/>
          <w:sz w:val="20"/>
          <w:szCs w:val="20"/>
        </w:rPr>
        <w:t xml:space="preserve"> doseganja podnebne nevtralnosti, </w:t>
      </w:r>
    </w:p>
    <w:p w14:paraId="2E995B1D" w14:textId="6CEB5B89" w:rsidR="00D91782" w:rsidRPr="00215B2F" w:rsidRDefault="00D91782" w:rsidP="00FD5520">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ter kadar je ustrezno, za mednarodno dejavne banke, </w:t>
      </w:r>
      <w:r w:rsidR="001F4F98" w:rsidRPr="00215B2F">
        <w:rPr>
          <w:rFonts w:ascii="Arial" w:eastAsia="Arial" w:hAnsi="Arial" w:cs="Arial"/>
          <w:sz w:val="20"/>
          <w:szCs w:val="20"/>
        </w:rPr>
        <w:t xml:space="preserve">s </w:t>
      </w:r>
      <w:r w:rsidRPr="00215B2F">
        <w:rPr>
          <w:rFonts w:ascii="Arial" w:eastAsia="Arial" w:hAnsi="Arial" w:cs="Arial"/>
          <w:sz w:val="20"/>
          <w:szCs w:val="20"/>
        </w:rPr>
        <w:t>pravni</w:t>
      </w:r>
      <w:r w:rsidR="001F4F98" w:rsidRPr="00215B2F">
        <w:rPr>
          <w:rFonts w:ascii="Arial" w:eastAsia="Arial" w:hAnsi="Arial" w:cs="Arial"/>
          <w:sz w:val="20"/>
          <w:szCs w:val="20"/>
        </w:rPr>
        <w:t>mi</w:t>
      </w:r>
      <w:r w:rsidRPr="00215B2F">
        <w:rPr>
          <w:rFonts w:ascii="Arial" w:eastAsia="Arial" w:hAnsi="Arial" w:cs="Arial"/>
          <w:sz w:val="20"/>
          <w:szCs w:val="20"/>
        </w:rPr>
        <w:t xml:space="preserve"> in regulativni</w:t>
      </w:r>
      <w:r w:rsidR="001F4F98" w:rsidRPr="00215B2F">
        <w:rPr>
          <w:rFonts w:ascii="Arial" w:eastAsia="Arial" w:hAnsi="Arial" w:cs="Arial"/>
          <w:sz w:val="20"/>
          <w:szCs w:val="20"/>
        </w:rPr>
        <w:t>mi</w:t>
      </w:r>
      <w:r w:rsidRPr="00215B2F">
        <w:rPr>
          <w:rFonts w:ascii="Arial" w:eastAsia="Arial" w:hAnsi="Arial" w:cs="Arial"/>
          <w:sz w:val="20"/>
          <w:szCs w:val="20"/>
        </w:rPr>
        <w:t xml:space="preserve"> cilj</w:t>
      </w:r>
      <w:r w:rsidR="001F4F98" w:rsidRPr="00215B2F">
        <w:rPr>
          <w:rFonts w:ascii="Arial" w:eastAsia="Arial" w:hAnsi="Arial" w:cs="Arial"/>
          <w:sz w:val="20"/>
          <w:szCs w:val="20"/>
        </w:rPr>
        <w:t>i</w:t>
      </w:r>
      <w:r w:rsidRPr="00215B2F">
        <w:rPr>
          <w:rFonts w:ascii="Arial" w:eastAsia="Arial" w:hAnsi="Arial" w:cs="Arial"/>
          <w:sz w:val="20"/>
          <w:szCs w:val="20"/>
        </w:rPr>
        <w:t xml:space="preserve"> tretjih držav. </w:t>
      </w:r>
    </w:p>
    <w:p w14:paraId="4B339C8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C492EF1" w14:textId="4CF9B41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Pri merljivih ciljih in </w:t>
      </w:r>
      <w:r w:rsidR="00EB239D" w:rsidRPr="00215B2F">
        <w:rPr>
          <w:rFonts w:ascii="Arial" w:eastAsia="Arial" w:hAnsi="Arial" w:cs="Arial"/>
          <w:sz w:val="20"/>
          <w:szCs w:val="20"/>
        </w:rPr>
        <w:t xml:space="preserve">procesih </w:t>
      </w:r>
      <w:r w:rsidRPr="00215B2F">
        <w:rPr>
          <w:rFonts w:ascii="Arial" w:eastAsia="Arial" w:hAnsi="Arial" w:cs="Arial"/>
          <w:sz w:val="20"/>
          <w:szCs w:val="20"/>
        </w:rPr>
        <w:t xml:space="preserve">za obravnavanje ESG tveganj, vključenih v načrte iz prejšnjega odstavka, se upoštevajo najnovejša poročila in ukrepi, ki jih predpiše Evropski znanstveni svetovalni odbor za podnebne spremembe, zlasti v zvezi z doseganjem podnebnih ciljev </w:t>
      </w:r>
      <w:r w:rsidR="001F4F98" w:rsidRPr="00215B2F">
        <w:rPr>
          <w:rFonts w:ascii="Arial" w:eastAsia="Arial" w:hAnsi="Arial" w:cs="Arial"/>
          <w:sz w:val="20"/>
          <w:szCs w:val="20"/>
        </w:rPr>
        <w:t>Evropske u</w:t>
      </w:r>
      <w:r w:rsidRPr="00215B2F">
        <w:rPr>
          <w:rFonts w:ascii="Arial" w:eastAsia="Arial" w:hAnsi="Arial" w:cs="Arial"/>
          <w:sz w:val="20"/>
          <w:szCs w:val="20"/>
        </w:rPr>
        <w:t xml:space="preserve">nije. </w:t>
      </w:r>
    </w:p>
    <w:p w14:paraId="2C92FF8E"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E9ABFC0" w14:textId="340E63C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w:t>
      </w:r>
      <w:r w:rsidR="00662151" w:rsidRPr="00215B2F">
        <w:rPr>
          <w:rFonts w:ascii="Arial" w:eastAsia="Arial" w:hAnsi="Arial" w:cs="Arial"/>
          <w:sz w:val="20"/>
          <w:szCs w:val="20"/>
        </w:rPr>
        <w:t>Kadar b</w:t>
      </w:r>
      <w:r w:rsidRPr="00215B2F">
        <w:rPr>
          <w:rFonts w:ascii="Arial" w:eastAsia="Arial" w:hAnsi="Arial" w:cs="Arial"/>
          <w:sz w:val="20"/>
          <w:szCs w:val="20"/>
        </w:rPr>
        <w:t xml:space="preserve">anka v skladu z </w:t>
      </w:r>
      <w:r w:rsidR="00F0735F" w:rsidRPr="00215B2F">
        <w:rPr>
          <w:rFonts w:ascii="Arial" w:eastAsia="Arial" w:hAnsi="Arial" w:cs="Arial"/>
          <w:sz w:val="20"/>
          <w:szCs w:val="20"/>
        </w:rPr>
        <w:t>ZGD-1</w:t>
      </w:r>
      <w:r w:rsidRPr="00215B2F">
        <w:rPr>
          <w:rFonts w:ascii="Arial" w:eastAsia="Arial" w:hAnsi="Arial" w:cs="Arial"/>
          <w:sz w:val="20"/>
          <w:szCs w:val="20"/>
        </w:rPr>
        <w:t xml:space="preserve"> pripravi poročilo o trajnostnosti ali konsolidirano poročilo o trajnostnosti, </w:t>
      </w:r>
      <w:r w:rsidR="00662151" w:rsidRPr="00215B2F">
        <w:rPr>
          <w:rFonts w:ascii="Arial" w:eastAsia="Arial" w:hAnsi="Arial" w:cs="Arial"/>
          <w:sz w:val="20"/>
          <w:szCs w:val="20"/>
        </w:rPr>
        <w:t xml:space="preserve">so </w:t>
      </w:r>
      <w:r w:rsidRPr="00215B2F">
        <w:rPr>
          <w:rFonts w:ascii="Arial" w:eastAsia="Arial" w:hAnsi="Arial" w:cs="Arial"/>
          <w:sz w:val="20"/>
          <w:szCs w:val="20"/>
        </w:rPr>
        <w:t>načrt</w:t>
      </w:r>
      <w:r w:rsidR="00662151" w:rsidRPr="00215B2F">
        <w:rPr>
          <w:rFonts w:ascii="Arial" w:eastAsia="Arial" w:hAnsi="Arial" w:cs="Arial"/>
          <w:sz w:val="20"/>
          <w:szCs w:val="20"/>
        </w:rPr>
        <w:t>i</w:t>
      </w:r>
      <w:r w:rsidRPr="00215B2F">
        <w:rPr>
          <w:rFonts w:ascii="Arial" w:eastAsia="Arial" w:hAnsi="Arial" w:cs="Arial"/>
          <w:sz w:val="20"/>
          <w:szCs w:val="20"/>
        </w:rPr>
        <w:t xml:space="preserve"> iz petega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sklad</w:t>
      </w:r>
      <w:r w:rsidR="00662151" w:rsidRPr="00215B2F">
        <w:rPr>
          <w:rFonts w:ascii="Arial" w:eastAsia="Arial" w:hAnsi="Arial" w:cs="Arial"/>
          <w:sz w:val="20"/>
          <w:szCs w:val="20"/>
        </w:rPr>
        <w:t>n</w:t>
      </w:r>
      <w:r w:rsidRPr="00215B2F">
        <w:rPr>
          <w:rFonts w:ascii="Arial" w:eastAsia="Arial" w:hAnsi="Arial" w:cs="Arial"/>
          <w:sz w:val="20"/>
          <w:szCs w:val="20"/>
        </w:rPr>
        <w:t xml:space="preserve">i z načrti iz poročila o trajnostnosti ali konsolidiranega poročila o trajnostnosti, </w:t>
      </w:r>
      <w:r w:rsidR="00662151" w:rsidRPr="00215B2F">
        <w:rPr>
          <w:rFonts w:ascii="Arial" w:eastAsia="Arial" w:hAnsi="Arial" w:cs="Arial"/>
          <w:sz w:val="20"/>
          <w:szCs w:val="20"/>
        </w:rPr>
        <w:t>in</w:t>
      </w:r>
      <w:r w:rsidRPr="00215B2F">
        <w:rPr>
          <w:rFonts w:ascii="Arial" w:eastAsia="Arial" w:hAnsi="Arial" w:cs="Arial"/>
          <w:sz w:val="20"/>
          <w:szCs w:val="20"/>
        </w:rPr>
        <w:t xml:space="preserve"> vključujejo zlasti ukrepe v zvezi s poslovnim modelom in strategijo banke, ki so skladni v obeh načrtih. </w:t>
      </w:r>
    </w:p>
    <w:p w14:paraId="7B6A5D4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1BAE752" w14:textId="74C19AB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(8) Banka Slovenije z namenom zagotoviti sorazmerno uporabo petega in šestega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za upravo in nadzorni svet majhnih in nekompleksnih bank v podzakonskem aktu določi, na katerih področjih se za majhne in nekompleksne banke lahko uporabi opustitev ali poenostavljeni postopek.</w:t>
      </w:r>
    </w:p>
    <w:p w14:paraId="1B856BBC"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A48DB99" w14:textId="07628DD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(9) Uprava in nadzorni svet banke pripravita </w:t>
      </w:r>
      <w:r w:rsidR="00465A0A" w:rsidRPr="00215B2F">
        <w:rPr>
          <w:rFonts w:ascii="Arial" w:eastAsia="Arial" w:hAnsi="Arial" w:cs="Arial"/>
          <w:sz w:val="20"/>
          <w:szCs w:val="20"/>
        </w:rPr>
        <w:t>jas</w:t>
      </w:r>
      <w:r w:rsidRPr="00215B2F">
        <w:rPr>
          <w:rFonts w:ascii="Arial" w:eastAsia="Arial" w:hAnsi="Arial" w:cs="Arial"/>
          <w:sz w:val="20"/>
          <w:szCs w:val="20"/>
        </w:rPr>
        <w:t xml:space="preserve">ne načrte in merljive cilje v skladu z zahtevami iz </w:t>
      </w:r>
      <w:r w:rsidR="001152B7" w:rsidRPr="00215B2F">
        <w:rPr>
          <w:rFonts w:ascii="Arial" w:eastAsia="Arial" w:hAnsi="Arial" w:cs="Arial"/>
          <w:sz w:val="20"/>
          <w:szCs w:val="20"/>
        </w:rPr>
        <w:t xml:space="preserve">7.a </w:t>
      </w:r>
      <w:r w:rsidRPr="00215B2F">
        <w:rPr>
          <w:rFonts w:ascii="Arial" w:eastAsia="Arial" w:hAnsi="Arial" w:cs="Arial"/>
          <w:sz w:val="20"/>
          <w:szCs w:val="20"/>
        </w:rPr>
        <w:t xml:space="preserve">člena Uredbe 648/2012/EU za spremljanje in obravnavanje tveganja koncentracije, ki izhaja iz izpostavljenosti do centralnih nasprotnih strank, ki ponujajo storitve znatnega sistemskega pomena za </w:t>
      </w:r>
      <w:r w:rsidR="001152B7" w:rsidRPr="00215B2F">
        <w:rPr>
          <w:rFonts w:ascii="Arial" w:eastAsia="Arial" w:hAnsi="Arial" w:cs="Arial"/>
          <w:sz w:val="20"/>
          <w:szCs w:val="20"/>
        </w:rPr>
        <w:t>Evropsko u</w:t>
      </w:r>
      <w:r w:rsidRPr="00215B2F">
        <w:rPr>
          <w:rFonts w:ascii="Arial" w:eastAsia="Arial" w:hAnsi="Arial" w:cs="Arial"/>
          <w:sz w:val="20"/>
          <w:szCs w:val="20"/>
        </w:rPr>
        <w:t xml:space="preserve">nijo ali Republiko Slovenijo ali več držav članic. </w:t>
      </w:r>
    </w:p>
    <w:bookmarkEnd w:id="242"/>
    <w:p w14:paraId="581D803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ECD4DBE"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43" w:name="_Ref202964874"/>
      <w:r w:rsidRPr="00215B2F">
        <w:rPr>
          <w:rFonts w:ascii="Arial" w:eastAsia="Arial" w:hAnsi="Arial" w:cs="Arial"/>
          <w:b/>
          <w:bCs/>
          <w:sz w:val="20"/>
          <w:szCs w:val="20"/>
        </w:rPr>
        <w:t>člen</w:t>
      </w:r>
      <w:bookmarkEnd w:id="243"/>
    </w:p>
    <w:p w14:paraId="34101970" w14:textId="77777777" w:rsidR="00D91782" w:rsidRPr="00215B2F" w:rsidRDefault="00D91782" w:rsidP="00FD5520">
      <w:pPr>
        <w:pStyle w:val="Slog1"/>
        <w:shd w:val="clear" w:color="auto" w:fill="FFFFFF" w:themeFill="background1"/>
        <w:rPr>
          <w:sz w:val="20"/>
          <w:szCs w:val="20"/>
        </w:rPr>
      </w:pPr>
      <w:r w:rsidRPr="00215B2F">
        <w:rPr>
          <w:sz w:val="20"/>
          <w:szCs w:val="20"/>
        </w:rPr>
        <w:t>(aktivnosti za upravljanje tveganj)</w:t>
      </w:r>
    </w:p>
    <w:p w14:paraId="68ACAEC2" w14:textId="77777777" w:rsidR="00D91782" w:rsidRPr="00215B2F" w:rsidRDefault="00D91782" w:rsidP="00FD5520">
      <w:pPr>
        <w:pStyle w:val="Slog1"/>
        <w:shd w:val="clear" w:color="auto" w:fill="FFFFFF" w:themeFill="background1"/>
        <w:jc w:val="both"/>
        <w:rPr>
          <w:sz w:val="20"/>
          <w:szCs w:val="20"/>
        </w:rPr>
      </w:pPr>
    </w:p>
    <w:p w14:paraId="43B936D9" w14:textId="343FB4A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mora določiti načrt aktivnosti za upravljanje tveganj v skladu s strategijami in politikami iz </w:t>
      </w:r>
      <w:r w:rsidR="00746E88" w:rsidRPr="00215B2F">
        <w:rPr>
          <w:rFonts w:ascii="Arial" w:eastAsia="Arial" w:hAnsi="Arial" w:cs="Arial"/>
          <w:sz w:val="20"/>
          <w:szCs w:val="20"/>
        </w:rPr>
        <w:t>prejšnjega člena</w:t>
      </w:r>
      <w:r w:rsidRPr="00215B2F">
        <w:rPr>
          <w:rFonts w:ascii="Arial" w:eastAsia="Arial" w:hAnsi="Arial" w:cs="Arial"/>
          <w:sz w:val="20"/>
          <w:szCs w:val="20"/>
        </w:rPr>
        <w:t xml:space="preserve">, ki </w:t>
      </w:r>
      <w:r w:rsidR="00CF5309" w:rsidRPr="00215B2F">
        <w:rPr>
          <w:rFonts w:ascii="Arial" w:eastAsia="Arial" w:hAnsi="Arial" w:cs="Arial"/>
          <w:sz w:val="20"/>
          <w:szCs w:val="20"/>
        </w:rPr>
        <w:t xml:space="preserve">vključuje </w:t>
      </w:r>
      <w:r w:rsidRPr="00215B2F">
        <w:rPr>
          <w:rFonts w:ascii="Arial" w:eastAsia="Arial" w:hAnsi="Arial" w:cs="Arial"/>
          <w:sz w:val="20"/>
          <w:szCs w:val="20"/>
        </w:rPr>
        <w:t>zlasti postopke za ugotavljanje, merjenje oziroma ocenjevanje, obvladovanje tveganj ter način spremljanja izvajanja teh postopkov.</w:t>
      </w:r>
    </w:p>
    <w:p w14:paraId="4C9DF3B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379EBAA" w14:textId="278CA61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mora v načrtu iz prejšnjega odstavka določiti postopke in aktivnosti za upravljanje vsake vrste tveganj, ki jim je banka izpostavljena ali bi jim lahko bila </w:t>
      </w:r>
      <w:r w:rsidR="00B15675" w:rsidRPr="00215B2F">
        <w:rPr>
          <w:rFonts w:ascii="Arial" w:eastAsia="Arial" w:hAnsi="Arial" w:cs="Arial"/>
          <w:sz w:val="20"/>
          <w:szCs w:val="20"/>
        </w:rPr>
        <w:t xml:space="preserve">izpostavljena </w:t>
      </w:r>
      <w:r w:rsidRPr="00215B2F">
        <w:rPr>
          <w:rFonts w:ascii="Arial" w:eastAsia="Arial" w:hAnsi="Arial" w:cs="Arial"/>
          <w:sz w:val="20"/>
          <w:szCs w:val="20"/>
        </w:rPr>
        <w:t>pri posameznih vrstah storitev, ki jih opravlja, in za tveganja, ki jim je izpostavljena ali bi jim lahko bila</w:t>
      </w:r>
      <w:r w:rsidR="00B15675" w:rsidRPr="00215B2F">
        <w:rPr>
          <w:rFonts w:ascii="Arial" w:eastAsia="Arial" w:hAnsi="Arial" w:cs="Arial"/>
          <w:sz w:val="20"/>
          <w:szCs w:val="20"/>
        </w:rPr>
        <w:t xml:space="preserve"> izpostavljena</w:t>
      </w:r>
      <w:r w:rsidRPr="00215B2F">
        <w:rPr>
          <w:rFonts w:ascii="Arial" w:eastAsia="Arial" w:hAnsi="Arial" w:cs="Arial"/>
          <w:sz w:val="20"/>
          <w:szCs w:val="20"/>
        </w:rPr>
        <w:t xml:space="preserve"> pri vseh dejavnostih, ki jih opravlja.</w:t>
      </w:r>
    </w:p>
    <w:p w14:paraId="2B249AA4"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752A183" w14:textId="3EA57D3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Načrt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sprejme uprava banke s soglasjem nadzornega sveta </w:t>
      </w:r>
      <w:r w:rsidR="00B15675" w:rsidRPr="00215B2F">
        <w:rPr>
          <w:rFonts w:ascii="Arial" w:eastAsia="Arial" w:hAnsi="Arial" w:cs="Arial"/>
          <w:sz w:val="20"/>
          <w:szCs w:val="20"/>
        </w:rPr>
        <w:t xml:space="preserve">in </w:t>
      </w:r>
      <w:r w:rsidRPr="00215B2F">
        <w:rPr>
          <w:rFonts w:ascii="Arial" w:eastAsia="Arial" w:hAnsi="Arial" w:cs="Arial"/>
          <w:sz w:val="20"/>
          <w:szCs w:val="20"/>
        </w:rPr>
        <w:t>po posvetovanju s komisijo za tveganja, kadar je ta imenovana.</w:t>
      </w:r>
    </w:p>
    <w:p w14:paraId="680B06B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A0E6CEF" w14:textId="6DC0A2BB"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6.3.2 Poslovanje z osebami v posebnem razmerju z banko</w:t>
      </w:r>
    </w:p>
    <w:p w14:paraId="6675D25B"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113DC7A"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44" w:name="_Ref202964880"/>
      <w:r w:rsidRPr="00215B2F">
        <w:rPr>
          <w:rFonts w:ascii="Arial" w:eastAsia="Arial" w:hAnsi="Arial" w:cs="Arial"/>
          <w:b/>
          <w:bCs/>
          <w:sz w:val="20"/>
          <w:szCs w:val="20"/>
        </w:rPr>
        <w:t>člen</w:t>
      </w:r>
      <w:bookmarkEnd w:id="244"/>
    </w:p>
    <w:p w14:paraId="0B04A5F9" w14:textId="77777777" w:rsidR="00D91782" w:rsidRPr="00215B2F" w:rsidRDefault="00D91782" w:rsidP="00FD5520">
      <w:pPr>
        <w:pStyle w:val="Slog1"/>
        <w:shd w:val="clear" w:color="auto" w:fill="FFFFFF" w:themeFill="background1"/>
        <w:rPr>
          <w:sz w:val="20"/>
          <w:szCs w:val="20"/>
        </w:rPr>
      </w:pPr>
      <w:r w:rsidRPr="00215B2F">
        <w:rPr>
          <w:sz w:val="20"/>
          <w:szCs w:val="20"/>
        </w:rPr>
        <w:t>(obravnava tveganj pri poslovanju z osebami v posebnem razmerju z banko)</w:t>
      </w:r>
    </w:p>
    <w:p w14:paraId="4C60087E" w14:textId="77777777" w:rsidR="00D91782" w:rsidRPr="00215B2F" w:rsidRDefault="00D91782" w:rsidP="00FD5520">
      <w:pPr>
        <w:pStyle w:val="Slog1"/>
        <w:shd w:val="clear" w:color="auto" w:fill="FFFFFF" w:themeFill="background1"/>
        <w:rPr>
          <w:sz w:val="20"/>
          <w:szCs w:val="20"/>
        </w:rPr>
      </w:pPr>
    </w:p>
    <w:p w14:paraId="1B329BBD" w14:textId="561BE46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245" w:name="_Hlk203482792"/>
      <w:r w:rsidRPr="00215B2F">
        <w:rPr>
          <w:rFonts w:ascii="Arial" w:eastAsia="Arial" w:hAnsi="Arial" w:cs="Arial"/>
          <w:sz w:val="20"/>
          <w:szCs w:val="20"/>
        </w:rPr>
        <w:t xml:space="preserve">(1) Banka mora vzpostaviti in izvajati politiko in postopke za ugotovitev poslov z osebami v posebnem razmerju z banko, </w:t>
      </w:r>
      <w:r w:rsidR="009E36EA" w:rsidRPr="00215B2F">
        <w:rPr>
          <w:rFonts w:ascii="Arial" w:eastAsia="Arial" w:hAnsi="Arial" w:cs="Arial"/>
          <w:sz w:val="20"/>
          <w:szCs w:val="20"/>
        </w:rPr>
        <w:t xml:space="preserve">za </w:t>
      </w:r>
      <w:r w:rsidRPr="00215B2F">
        <w:rPr>
          <w:rFonts w:ascii="Arial" w:eastAsia="Arial" w:hAnsi="Arial" w:cs="Arial"/>
          <w:sz w:val="20"/>
          <w:szCs w:val="20"/>
        </w:rPr>
        <w:t xml:space="preserve">določanje pogojev in omejitev za nastanek izpostavljenosti do teh oseb, </w:t>
      </w:r>
      <w:r w:rsidR="009E36EA" w:rsidRPr="00215B2F">
        <w:rPr>
          <w:rFonts w:ascii="Arial" w:eastAsia="Arial" w:hAnsi="Arial" w:cs="Arial"/>
          <w:sz w:val="20"/>
          <w:szCs w:val="20"/>
        </w:rPr>
        <w:t xml:space="preserve">za </w:t>
      </w:r>
      <w:r w:rsidRPr="00215B2F">
        <w:rPr>
          <w:rFonts w:ascii="Arial" w:eastAsia="Arial" w:hAnsi="Arial" w:cs="Arial"/>
          <w:sz w:val="20"/>
          <w:szCs w:val="20"/>
        </w:rPr>
        <w:t>spremljanje izpostavljenosti in njihovo upravljanje, vključno s pogoji za uporabo morebitnih izjem od sprejete politike in postopkov.</w:t>
      </w:r>
    </w:p>
    <w:p w14:paraId="3AC54FB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F8D6145" w14:textId="068516B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Oseba v posebnem razmerju z banko je:</w:t>
      </w:r>
    </w:p>
    <w:p w14:paraId="7E18551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E555AD9" w14:textId="111F6F6B" w:rsidR="006A1A88" w:rsidRPr="00215B2F" w:rsidRDefault="00D91782" w:rsidP="003D4DE0">
      <w:pPr>
        <w:pStyle w:val="tevilnatoka"/>
        <w:numPr>
          <w:ilvl w:val="0"/>
          <w:numId w:val="125"/>
        </w:numPr>
        <w:shd w:val="clear" w:color="auto" w:fill="FFFFFF" w:themeFill="background1"/>
        <w:tabs>
          <w:tab w:val="clear" w:pos="425"/>
        </w:tabs>
        <w:rPr>
          <w:rFonts w:cs="Arial"/>
          <w:bCs/>
          <w:sz w:val="20"/>
          <w:szCs w:val="20"/>
        </w:rPr>
      </w:pPr>
      <w:r w:rsidRPr="00215B2F">
        <w:rPr>
          <w:rFonts w:eastAsia="Arial" w:cs="Arial"/>
          <w:sz w:val="20"/>
          <w:szCs w:val="20"/>
        </w:rPr>
        <w:t>član uprave</w:t>
      </w:r>
      <w:r w:rsidR="00B94AA8" w:rsidRPr="00215B2F">
        <w:rPr>
          <w:rFonts w:eastAsia="Arial" w:cs="Arial"/>
          <w:sz w:val="20"/>
          <w:szCs w:val="20"/>
        </w:rPr>
        <w:t xml:space="preserve"> </w:t>
      </w:r>
      <w:r w:rsidRPr="00215B2F">
        <w:rPr>
          <w:rFonts w:eastAsia="Arial" w:cs="Arial"/>
          <w:sz w:val="20"/>
          <w:szCs w:val="20"/>
        </w:rPr>
        <w:t>in njegov ožji družinski član;</w:t>
      </w:r>
    </w:p>
    <w:p w14:paraId="0CDE515D" w14:textId="308F3572" w:rsidR="006A1A88" w:rsidRPr="00215B2F" w:rsidRDefault="00D91782" w:rsidP="003D4DE0">
      <w:pPr>
        <w:pStyle w:val="tevilnatoka"/>
        <w:numPr>
          <w:ilvl w:val="0"/>
          <w:numId w:val="125"/>
        </w:numPr>
        <w:shd w:val="clear" w:color="auto" w:fill="FFFFFF" w:themeFill="background1"/>
        <w:tabs>
          <w:tab w:val="clear" w:pos="425"/>
        </w:tabs>
        <w:rPr>
          <w:rFonts w:cs="Arial"/>
          <w:bCs/>
          <w:sz w:val="20"/>
          <w:szCs w:val="20"/>
        </w:rPr>
      </w:pPr>
      <w:r w:rsidRPr="00215B2F">
        <w:rPr>
          <w:rFonts w:eastAsia="Arial" w:cs="Arial"/>
          <w:sz w:val="20"/>
          <w:szCs w:val="20"/>
        </w:rPr>
        <w:t>član nadzornega sveta in njegov ožji družinski član;</w:t>
      </w:r>
    </w:p>
    <w:p w14:paraId="15C1B859" w14:textId="77777777" w:rsidR="006A1A88" w:rsidRPr="00215B2F" w:rsidRDefault="00D91782" w:rsidP="003D4DE0">
      <w:pPr>
        <w:pStyle w:val="tevilnatoka"/>
        <w:numPr>
          <w:ilvl w:val="0"/>
          <w:numId w:val="125"/>
        </w:numPr>
        <w:shd w:val="clear" w:color="auto" w:fill="FFFFFF" w:themeFill="background1"/>
        <w:tabs>
          <w:tab w:val="clear" w:pos="425"/>
        </w:tabs>
        <w:rPr>
          <w:rFonts w:cs="Arial"/>
          <w:bCs/>
          <w:sz w:val="20"/>
          <w:szCs w:val="20"/>
        </w:rPr>
      </w:pPr>
      <w:r w:rsidRPr="00215B2F">
        <w:rPr>
          <w:rFonts w:eastAsia="Arial" w:cs="Arial"/>
          <w:sz w:val="20"/>
          <w:szCs w:val="20"/>
        </w:rPr>
        <w:t>prokurist banke in njegov ožji družinski član;</w:t>
      </w:r>
    </w:p>
    <w:p w14:paraId="280DB26D" w14:textId="77777777" w:rsidR="006A1A88" w:rsidRPr="00215B2F" w:rsidRDefault="00D91782" w:rsidP="003D4DE0">
      <w:pPr>
        <w:pStyle w:val="tevilnatoka"/>
        <w:numPr>
          <w:ilvl w:val="0"/>
          <w:numId w:val="125"/>
        </w:numPr>
        <w:shd w:val="clear" w:color="auto" w:fill="FFFFFF" w:themeFill="background1"/>
        <w:tabs>
          <w:tab w:val="clear" w:pos="425"/>
        </w:tabs>
        <w:rPr>
          <w:rFonts w:cs="Arial"/>
          <w:bCs/>
          <w:sz w:val="20"/>
          <w:szCs w:val="20"/>
        </w:rPr>
      </w:pPr>
      <w:r w:rsidRPr="00215B2F">
        <w:rPr>
          <w:rFonts w:eastAsia="Arial" w:cs="Arial"/>
          <w:sz w:val="20"/>
          <w:szCs w:val="20"/>
        </w:rPr>
        <w:t>član višjega vodstva banke;</w:t>
      </w:r>
    </w:p>
    <w:p w14:paraId="77CA1505" w14:textId="77777777" w:rsidR="006A1A88" w:rsidRPr="00215B2F" w:rsidRDefault="00D91782" w:rsidP="003D4DE0">
      <w:pPr>
        <w:pStyle w:val="tevilnatoka"/>
        <w:numPr>
          <w:ilvl w:val="0"/>
          <w:numId w:val="125"/>
        </w:numPr>
        <w:shd w:val="clear" w:color="auto" w:fill="FFFFFF" w:themeFill="background1"/>
        <w:tabs>
          <w:tab w:val="clear" w:pos="425"/>
        </w:tabs>
        <w:rPr>
          <w:rFonts w:cs="Arial"/>
          <w:bCs/>
          <w:sz w:val="20"/>
          <w:szCs w:val="20"/>
        </w:rPr>
      </w:pPr>
      <w:r w:rsidRPr="00215B2F">
        <w:rPr>
          <w:rFonts w:eastAsia="Arial" w:cs="Arial"/>
          <w:sz w:val="20"/>
          <w:szCs w:val="20"/>
        </w:rPr>
        <w:t>pravna oseba, katere član uprave, član nadzornega sveta, prokurist ali član višjega vodstva je hkrati član uprave, član nadzornega sveta ali prokurist banke ali njihov ožji družinski član;</w:t>
      </w:r>
    </w:p>
    <w:p w14:paraId="0E042EE4" w14:textId="7735E893" w:rsidR="006A1A88" w:rsidRPr="00215B2F" w:rsidRDefault="00D91782" w:rsidP="003D4DE0">
      <w:pPr>
        <w:pStyle w:val="tevilnatoka"/>
        <w:numPr>
          <w:ilvl w:val="0"/>
          <w:numId w:val="125"/>
        </w:numPr>
        <w:shd w:val="clear" w:color="auto" w:fill="FFFFFF" w:themeFill="background1"/>
        <w:tabs>
          <w:tab w:val="clear" w:pos="425"/>
        </w:tabs>
        <w:rPr>
          <w:rFonts w:cs="Arial"/>
          <w:bCs/>
          <w:sz w:val="20"/>
          <w:szCs w:val="20"/>
        </w:rPr>
      </w:pPr>
      <w:r w:rsidRPr="00215B2F">
        <w:rPr>
          <w:rFonts w:eastAsia="Arial" w:cs="Arial"/>
          <w:sz w:val="20"/>
          <w:szCs w:val="20"/>
        </w:rPr>
        <w:t>pravna oseba, v kateri ima član uprave, nadzornega sveta ali prokurist banke oziroma ožji družinski član teh oseb kvalificiran</w:t>
      </w:r>
      <w:r w:rsidR="009E36EA" w:rsidRPr="00215B2F">
        <w:rPr>
          <w:rFonts w:eastAsia="Arial" w:cs="Arial"/>
          <w:sz w:val="20"/>
          <w:szCs w:val="20"/>
        </w:rPr>
        <w:t>i</w:t>
      </w:r>
      <w:r w:rsidRPr="00215B2F">
        <w:rPr>
          <w:rFonts w:eastAsia="Arial" w:cs="Arial"/>
          <w:sz w:val="20"/>
          <w:szCs w:val="20"/>
        </w:rPr>
        <w:t xml:space="preserve"> delež;</w:t>
      </w:r>
    </w:p>
    <w:p w14:paraId="350905FD" w14:textId="77777777" w:rsidR="006A1A88" w:rsidRPr="00215B2F" w:rsidRDefault="00D91782" w:rsidP="003D4DE0">
      <w:pPr>
        <w:pStyle w:val="tevilnatoka"/>
        <w:numPr>
          <w:ilvl w:val="0"/>
          <w:numId w:val="125"/>
        </w:numPr>
        <w:shd w:val="clear" w:color="auto" w:fill="FFFFFF" w:themeFill="background1"/>
        <w:tabs>
          <w:tab w:val="clear" w:pos="425"/>
        </w:tabs>
        <w:rPr>
          <w:rFonts w:cs="Arial"/>
          <w:bCs/>
          <w:sz w:val="20"/>
          <w:szCs w:val="20"/>
        </w:rPr>
      </w:pPr>
      <w:r w:rsidRPr="00215B2F">
        <w:rPr>
          <w:rFonts w:eastAsia="Arial" w:cs="Arial"/>
          <w:sz w:val="20"/>
          <w:szCs w:val="20"/>
        </w:rPr>
        <w:lastRenderedPageBreak/>
        <w:t>imetnik kvalificiranega deleža v banki;</w:t>
      </w:r>
    </w:p>
    <w:p w14:paraId="442694A8" w14:textId="214F29A8" w:rsidR="006A1A88" w:rsidRPr="00215B2F" w:rsidRDefault="00D91782" w:rsidP="003D4DE0">
      <w:pPr>
        <w:pStyle w:val="tevilnatoka"/>
        <w:numPr>
          <w:ilvl w:val="0"/>
          <w:numId w:val="125"/>
        </w:numPr>
        <w:shd w:val="clear" w:color="auto" w:fill="FFFFFF" w:themeFill="background1"/>
        <w:tabs>
          <w:tab w:val="clear" w:pos="425"/>
        </w:tabs>
        <w:rPr>
          <w:rFonts w:cs="Arial"/>
          <w:bCs/>
          <w:sz w:val="20"/>
          <w:szCs w:val="20"/>
        </w:rPr>
      </w:pPr>
      <w:r w:rsidRPr="00215B2F">
        <w:rPr>
          <w:rFonts w:eastAsia="Arial" w:cs="Arial"/>
          <w:sz w:val="20"/>
          <w:szCs w:val="20"/>
        </w:rPr>
        <w:t>pravna oseba, v kateri ima banka kvalificiran</w:t>
      </w:r>
      <w:r w:rsidR="009E36EA" w:rsidRPr="00215B2F">
        <w:rPr>
          <w:rFonts w:eastAsia="Arial" w:cs="Arial"/>
          <w:sz w:val="20"/>
          <w:szCs w:val="20"/>
        </w:rPr>
        <w:t>i</w:t>
      </w:r>
      <w:r w:rsidRPr="00215B2F">
        <w:rPr>
          <w:rFonts w:eastAsia="Arial" w:cs="Arial"/>
          <w:sz w:val="20"/>
          <w:szCs w:val="20"/>
        </w:rPr>
        <w:t xml:space="preserve"> delež;</w:t>
      </w:r>
    </w:p>
    <w:p w14:paraId="3B6B91F5" w14:textId="77777777" w:rsidR="006A1A88" w:rsidRPr="00215B2F" w:rsidRDefault="00D91782" w:rsidP="003D4DE0">
      <w:pPr>
        <w:pStyle w:val="tevilnatoka"/>
        <w:numPr>
          <w:ilvl w:val="0"/>
          <w:numId w:val="125"/>
        </w:numPr>
        <w:shd w:val="clear" w:color="auto" w:fill="FFFFFF" w:themeFill="background1"/>
        <w:tabs>
          <w:tab w:val="clear" w:pos="425"/>
        </w:tabs>
        <w:rPr>
          <w:rFonts w:cs="Arial"/>
          <w:bCs/>
          <w:sz w:val="20"/>
          <w:szCs w:val="20"/>
        </w:rPr>
      </w:pPr>
      <w:r w:rsidRPr="00215B2F">
        <w:rPr>
          <w:rFonts w:eastAsia="Arial" w:cs="Arial"/>
          <w:sz w:val="20"/>
          <w:szCs w:val="20"/>
        </w:rPr>
        <w:t>član uprave, član nadzornega sveta, član drugega organa vodenja ali nadzora oziroma prokurist pravne osebe iz 7. in 8. točke tega odstavka;</w:t>
      </w:r>
    </w:p>
    <w:p w14:paraId="6F07D926" w14:textId="122FC949" w:rsidR="00D91782" w:rsidRPr="00215B2F" w:rsidRDefault="00D91782" w:rsidP="003D4DE0">
      <w:pPr>
        <w:pStyle w:val="tevilnatoka"/>
        <w:numPr>
          <w:ilvl w:val="0"/>
          <w:numId w:val="125"/>
        </w:numPr>
        <w:shd w:val="clear" w:color="auto" w:fill="FFFFFF" w:themeFill="background1"/>
        <w:tabs>
          <w:tab w:val="clear" w:pos="425"/>
        </w:tabs>
        <w:rPr>
          <w:rFonts w:cs="Arial"/>
          <w:bCs/>
          <w:sz w:val="20"/>
          <w:szCs w:val="20"/>
        </w:rPr>
      </w:pPr>
      <w:r w:rsidRPr="00215B2F">
        <w:rPr>
          <w:rFonts w:eastAsia="Arial" w:cs="Arial"/>
          <w:sz w:val="20"/>
          <w:szCs w:val="20"/>
        </w:rPr>
        <w:t xml:space="preserve">druga oseba, ki jo banka opredeli kot osebo v posebnem razmerju z banko zaradi narave razmerja te osebe z banko oziroma osebami iz 1. do 9. točke tega odstavka, ker pri poslovanju banke s temi osebami </w:t>
      </w:r>
      <w:r w:rsidR="00F33366" w:rsidRPr="00215B2F">
        <w:rPr>
          <w:rFonts w:eastAsia="Arial" w:cs="Arial"/>
          <w:sz w:val="20"/>
          <w:szCs w:val="20"/>
        </w:rPr>
        <w:t xml:space="preserve">lahko </w:t>
      </w:r>
      <w:r w:rsidRPr="00215B2F">
        <w:rPr>
          <w:rFonts w:eastAsia="Arial" w:cs="Arial"/>
          <w:sz w:val="20"/>
          <w:szCs w:val="20"/>
        </w:rPr>
        <w:t>prihaja do nasprotja interesov.</w:t>
      </w:r>
    </w:p>
    <w:p w14:paraId="00251D5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B22758D" w14:textId="5C2208B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Član uprave, član nadzornega sveta in prokurist banke mora</w:t>
      </w:r>
      <w:r w:rsidR="00A22F55" w:rsidRPr="00215B2F">
        <w:rPr>
          <w:rFonts w:ascii="Arial" w:eastAsia="Arial" w:hAnsi="Arial" w:cs="Arial"/>
          <w:sz w:val="20"/>
          <w:szCs w:val="20"/>
        </w:rPr>
        <w:t>jo</w:t>
      </w:r>
      <w:r w:rsidRPr="00215B2F">
        <w:rPr>
          <w:rFonts w:ascii="Arial" w:eastAsia="Arial" w:hAnsi="Arial" w:cs="Arial"/>
          <w:sz w:val="20"/>
          <w:szCs w:val="20"/>
        </w:rPr>
        <w:t xml:space="preserve"> banki ob nastopu funkcije sporočiti imena in firme oseb, ki se zaradi razmerja z njim na podlagi prejšnjega odstavka štejejo kot osebe v posebnem razmerju z banko, ter banko nemudoma obvestiti o spremembah, ki vplivajo na opredelitev posamezne osebe kot osebe v posebnem razmerju z banko.</w:t>
      </w:r>
    </w:p>
    <w:p w14:paraId="519B5FF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40467AF" w14:textId="0D7F269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mora vzdrževati seznam oseb v posebnem razmerju z banko </w:t>
      </w:r>
      <w:r w:rsidR="00F33366" w:rsidRPr="00215B2F">
        <w:rPr>
          <w:rFonts w:ascii="Arial" w:eastAsia="Arial" w:hAnsi="Arial" w:cs="Arial"/>
          <w:sz w:val="20"/>
          <w:szCs w:val="20"/>
        </w:rPr>
        <w:t xml:space="preserve">in </w:t>
      </w:r>
      <w:r w:rsidRPr="00215B2F">
        <w:rPr>
          <w:rFonts w:ascii="Arial" w:eastAsia="Arial" w:hAnsi="Arial" w:cs="Arial"/>
          <w:sz w:val="20"/>
          <w:szCs w:val="20"/>
        </w:rPr>
        <w:t>zagotoviti ustrezno dokumentiranje podatkov o izpostavljenosti do teh oseb ter jih na zahtevo pos</w:t>
      </w:r>
      <w:r w:rsidR="00F33366" w:rsidRPr="00215B2F">
        <w:rPr>
          <w:rFonts w:ascii="Arial" w:eastAsia="Arial" w:hAnsi="Arial" w:cs="Arial"/>
          <w:sz w:val="20"/>
          <w:szCs w:val="20"/>
        </w:rPr>
        <w:t>l</w:t>
      </w:r>
      <w:r w:rsidRPr="00215B2F">
        <w:rPr>
          <w:rFonts w:ascii="Arial" w:eastAsia="Arial" w:hAnsi="Arial" w:cs="Arial"/>
          <w:sz w:val="20"/>
          <w:szCs w:val="20"/>
        </w:rPr>
        <w:t xml:space="preserve">ati Banki Slovenije ali Evropski centralni banki, kadar je </w:t>
      </w:r>
      <w:r w:rsidR="00F33366" w:rsidRPr="00215B2F">
        <w:rPr>
          <w:rFonts w:ascii="Arial" w:eastAsia="Arial" w:hAnsi="Arial" w:cs="Arial"/>
          <w:sz w:val="20"/>
          <w:szCs w:val="20"/>
        </w:rPr>
        <w:t xml:space="preserve">ta </w:t>
      </w:r>
      <w:r w:rsidRPr="00215B2F">
        <w:rPr>
          <w:rFonts w:ascii="Arial" w:eastAsia="Arial" w:hAnsi="Arial" w:cs="Arial"/>
          <w:sz w:val="20"/>
          <w:szCs w:val="20"/>
        </w:rPr>
        <w:t xml:space="preserve">v skladu z Uredbo 1024/2013/EU pri opravljanju nadzora nad banko odgovorna za izvajanje nalog iz točke (d) prvega odstavka 4. člena </w:t>
      </w:r>
      <w:r w:rsidR="00091BC8" w:rsidRPr="00215B2F">
        <w:rPr>
          <w:rFonts w:ascii="Arial" w:eastAsia="Arial" w:hAnsi="Arial" w:cs="Arial"/>
          <w:sz w:val="20"/>
          <w:szCs w:val="20"/>
        </w:rPr>
        <w:t>navedene uredbe</w:t>
      </w:r>
      <w:r w:rsidRPr="00215B2F">
        <w:rPr>
          <w:rFonts w:ascii="Arial" w:eastAsia="Arial" w:hAnsi="Arial" w:cs="Arial"/>
          <w:sz w:val="20"/>
          <w:szCs w:val="20"/>
        </w:rPr>
        <w:t>.</w:t>
      </w:r>
    </w:p>
    <w:bookmarkEnd w:id="245"/>
    <w:p w14:paraId="080A66A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211432E"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46" w:name="_Ref202964887"/>
      <w:r w:rsidRPr="00215B2F">
        <w:rPr>
          <w:rFonts w:ascii="Arial" w:eastAsia="Arial" w:hAnsi="Arial" w:cs="Arial"/>
          <w:b/>
          <w:bCs/>
          <w:sz w:val="20"/>
          <w:szCs w:val="20"/>
        </w:rPr>
        <w:t>člen</w:t>
      </w:r>
      <w:bookmarkEnd w:id="246"/>
    </w:p>
    <w:p w14:paraId="45033365" w14:textId="77777777" w:rsidR="00D91782" w:rsidRPr="00215B2F" w:rsidRDefault="00D91782" w:rsidP="00FD5520">
      <w:pPr>
        <w:pStyle w:val="Slog1"/>
        <w:shd w:val="clear" w:color="auto" w:fill="FFFFFF" w:themeFill="background1"/>
        <w:rPr>
          <w:sz w:val="20"/>
          <w:szCs w:val="20"/>
        </w:rPr>
      </w:pPr>
      <w:r w:rsidRPr="00215B2F">
        <w:rPr>
          <w:sz w:val="20"/>
          <w:szCs w:val="20"/>
        </w:rPr>
        <w:t>(poslovanje banke z osebami v posebnem razmerju z banko)</w:t>
      </w:r>
    </w:p>
    <w:p w14:paraId="26D77944" w14:textId="77777777" w:rsidR="00D91782" w:rsidRPr="00215B2F" w:rsidRDefault="00D91782" w:rsidP="00FD5520">
      <w:pPr>
        <w:pStyle w:val="Slog1"/>
        <w:shd w:val="clear" w:color="auto" w:fill="FFFFFF" w:themeFill="background1"/>
        <w:jc w:val="both"/>
        <w:rPr>
          <w:sz w:val="20"/>
          <w:szCs w:val="20"/>
        </w:rPr>
      </w:pPr>
    </w:p>
    <w:p w14:paraId="3353FBCC" w14:textId="2717311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247" w:name="_Hlk203642559"/>
      <w:r w:rsidRPr="00215B2F">
        <w:rPr>
          <w:rFonts w:ascii="Arial" w:eastAsia="Arial" w:hAnsi="Arial" w:cs="Arial"/>
          <w:sz w:val="20"/>
          <w:szCs w:val="20"/>
        </w:rPr>
        <w:t>(1) Banka sklepa pravne posle s posamezno osebo, ki ima položaj osebe v posebnem razmerju z banko, po</w:t>
      </w:r>
      <w:r w:rsidR="00F0735F" w:rsidRPr="00215B2F">
        <w:rPr>
          <w:rFonts w:ascii="Arial" w:eastAsia="Arial" w:hAnsi="Arial" w:cs="Arial"/>
          <w:sz w:val="20"/>
          <w:szCs w:val="20"/>
        </w:rPr>
        <w:t>d</w:t>
      </w:r>
      <w:r w:rsidRPr="00215B2F">
        <w:rPr>
          <w:rFonts w:ascii="Arial" w:eastAsia="Arial" w:hAnsi="Arial" w:cs="Arial"/>
          <w:sz w:val="20"/>
          <w:szCs w:val="20"/>
        </w:rPr>
        <w:t xml:space="preserve"> pogoji, ki niso ugodnejši od tistih, ki jih banka v istem obdobju običajno sklepa z drugimi osebami.</w:t>
      </w:r>
    </w:p>
    <w:p w14:paraId="0F88266C"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7EF8FA3" w14:textId="7C8182E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Ne glede na prejšnji odstavek lahko banka izjemoma sklene pravni posel z osebo v posebnem razmerju z banko pod ugodnejšimi pogoji od običajnih, če so podani objektivno utemeljeni razlogi za sklenitev posla pod ugodnejšimi pogoji, zlasti pa v primeru prestrukturiranja dolžnika, ki je oseba v posebnem razmerju z banko.</w:t>
      </w:r>
    </w:p>
    <w:p w14:paraId="189A8F8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C662179" w14:textId="4090C22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Predhodno soglasje </w:t>
      </w:r>
      <w:r w:rsidR="00354135" w:rsidRPr="00215B2F">
        <w:rPr>
          <w:rFonts w:ascii="Arial" w:eastAsia="Arial" w:hAnsi="Arial" w:cs="Arial"/>
          <w:sz w:val="20"/>
          <w:szCs w:val="20"/>
        </w:rPr>
        <w:t>nadzornega sveta</w:t>
      </w:r>
      <w:r w:rsidRPr="00215B2F">
        <w:rPr>
          <w:rFonts w:ascii="Arial" w:eastAsia="Arial" w:hAnsi="Arial" w:cs="Arial"/>
          <w:sz w:val="20"/>
          <w:szCs w:val="20"/>
        </w:rPr>
        <w:t xml:space="preserve"> je treba pridobiti za:</w:t>
      </w:r>
    </w:p>
    <w:p w14:paraId="62CF33E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FF8B10C" w14:textId="77777777" w:rsidR="000B66ED" w:rsidRPr="00215B2F" w:rsidRDefault="00D91782" w:rsidP="003D4DE0">
      <w:pPr>
        <w:pStyle w:val="tevilnatoka"/>
        <w:numPr>
          <w:ilvl w:val="0"/>
          <w:numId w:val="126"/>
        </w:numPr>
        <w:shd w:val="clear" w:color="auto" w:fill="FFFFFF" w:themeFill="background1"/>
        <w:tabs>
          <w:tab w:val="clear" w:pos="425"/>
        </w:tabs>
        <w:rPr>
          <w:rFonts w:cs="Arial"/>
          <w:bCs/>
          <w:sz w:val="20"/>
          <w:szCs w:val="20"/>
        </w:rPr>
      </w:pPr>
      <w:r w:rsidRPr="00215B2F">
        <w:rPr>
          <w:rFonts w:eastAsia="Arial" w:cs="Arial"/>
          <w:sz w:val="20"/>
          <w:szCs w:val="20"/>
        </w:rPr>
        <w:t>sklenitev pravnega posla z osebo v posebnem razmerju z banko, če zaradi tega posla ali skupne vrednosti vseh poslov celotna izpostavljenost banke do posamezne osebe, vključno s posredno izpostavljenostjo, doseže ali preseže 100.000 eurov, in za vsak nadaljnji posel, zaradi katerega se celotna izpostavljenost banke do posamezne osebe iz vseh poslov poveča za nadaljnjih 100.000 eurov, in</w:t>
      </w:r>
    </w:p>
    <w:p w14:paraId="472ECBE1" w14:textId="6C7858EF" w:rsidR="00D91782" w:rsidRPr="00215B2F" w:rsidRDefault="00D91782" w:rsidP="003D4DE0">
      <w:pPr>
        <w:pStyle w:val="tevilnatoka"/>
        <w:numPr>
          <w:ilvl w:val="0"/>
          <w:numId w:val="126"/>
        </w:numPr>
        <w:shd w:val="clear" w:color="auto" w:fill="FFFFFF" w:themeFill="background1"/>
        <w:tabs>
          <w:tab w:val="clear" w:pos="425"/>
        </w:tabs>
        <w:rPr>
          <w:rFonts w:cs="Arial"/>
          <w:bCs/>
          <w:sz w:val="20"/>
          <w:szCs w:val="20"/>
        </w:rPr>
      </w:pPr>
      <w:r w:rsidRPr="00215B2F">
        <w:rPr>
          <w:rFonts w:eastAsia="Arial" w:cs="Arial"/>
          <w:sz w:val="20"/>
          <w:szCs w:val="20"/>
        </w:rPr>
        <w:t>sklenitev pravnega posla v primerih iz prejšnjega odstavka.</w:t>
      </w:r>
    </w:p>
    <w:p w14:paraId="2F8ED2CC"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EF7F178" w14:textId="267BF858" w:rsidR="00FF337B"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Če je oseba v posebnem razmerju z banko pravna oseba, lahko predhodno soglasje </w:t>
      </w:r>
      <w:r w:rsidR="00354135" w:rsidRPr="00215B2F">
        <w:rPr>
          <w:rFonts w:ascii="Arial" w:eastAsia="Arial" w:hAnsi="Arial" w:cs="Arial"/>
          <w:sz w:val="20"/>
          <w:szCs w:val="20"/>
        </w:rPr>
        <w:t>nadzornega sveta</w:t>
      </w:r>
      <w:r w:rsidRPr="00215B2F">
        <w:rPr>
          <w:rFonts w:ascii="Arial" w:eastAsia="Arial" w:hAnsi="Arial" w:cs="Arial"/>
          <w:sz w:val="20"/>
          <w:szCs w:val="20"/>
        </w:rPr>
        <w:t xml:space="preserve"> iz 1. točke prejšnjega odstavka nadzorni svet da tudi kot soglasje za sklepanje vnaprej opredeljenih vrst in ročnosti poslov znotraj določenih limitov izpostavljenosti. Tako soglasje velja omejeno časovno obdobje, vendar največ </w:t>
      </w:r>
      <w:r w:rsidR="00560834" w:rsidRPr="00215B2F">
        <w:rPr>
          <w:rFonts w:ascii="Arial" w:eastAsia="Arial" w:hAnsi="Arial" w:cs="Arial"/>
          <w:sz w:val="20"/>
          <w:szCs w:val="20"/>
        </w:rPr>
        <w:t xml:space="preserve">12 </w:t>
      </w:r>
      <w:r w:rsidRPr="00215B2F">
        <w:rPr>
          <w:rFonts w:ascii="Arial" w:eastAsia="Arial" w:hAnsi="Arial" w:cs="Arial"/>
          <w:sz w:val="20"/>
          <w:szCs w:val="20"/>
        </w:rPr>
        <w:t>mesecev.</w:t>
      </w:r>
    </w:p>
    <w:p w14:paraId="26E509BA" w14:textId="77777777" w:rsidR="0059639B" w:rsidRPr="00215B2F" w:rsidRDefault="0059639B" w:rsidP="00FD5520">
      <w:pPr>
        <w:shd w:val="clear" w:color="auto" w:fill="FFFFFF" w:themeFill="background1"/>
        <w:spacing w:after="0" w:line="240" w:lineRule="auto"/>
        <w:jc w:val="both"/>
        <w:rPr>
          <w:rFonts w:ascii="Arial" w:eastAsia="Arial" w:hAnsi="Arial" w:cs="Arial"/>
          <w:sz w:val="20"/>
          <w:szCs w:val="20"/>
        </w:rPr>
      </w:pPr>
    </w:p>
    <w:p w14:paraId="486118C0" w14:textId="52C9271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Pri določanju izpostavljenosti iz </w:t>
      </w:r>
      <w:r w:rsidR="0047072E" w:rsidRPr="00215B2F">
        <w:rPr>
          <w:rFonts w:ascii="Arial" w:eastAsia="Arial" w:hAnsi="Arial" w:cs="Arial"/>
          <w:sz w:val="20"/>
          <w:szCs w:val="20"/>
        </w:rPr>
        <w:t xml:space="preserve">tretjega </w:t>
      </w:r>
      <w:r w:rsidRPr="00215B2F">
        <w:rPr>
          <w:rFonts w:ascii="Arial" w:eastAsia="Arial" w:hAnsi="Arial" w:cs="Arial"/>
          <w:sz w:val="20"/>
          <w:szCs w:val="20"/>
        </w:rPr>
        <w:t xml:space="preserve">odstavka </w:t>
      </w:r>
      <w:r w:rsidR="00560834" w:rsidRPr="00215B2F">
        <w:rPr>
          <w:rFonts w:ascii="Arial" w:eastAsia="Arial" w:hAnsi="Arial" w:cs="Arial"/>
          <w:sz w:val="20"/>
          <w:szCs w:val="20"/>
        </w:rPr>
        <w:t xml:space="preserve">tega člena </w:t>
      </w:r>
      <w:r w:rsidRPr="00215B2F">
        <w:rPr>
          <w:rFonts w:ascii="Arial" w:eastAsia="Arial" w:hAnsi="Arial" w:cs="Arial"/>
          <w:sz w:val="20"/>
          <w:szCs w:val="20"/>
        </w:rPr>
        <w:t>banka upošteva vrednost, ki še ni zmanjšana za popravke vrednosti in rezervacije za kreditne izgube oziroma ki še ni prilagojena zaradi vrednotenja, izvedenega po pridobitvi finančnih instrumentov, na katere se izpostavljenost nanaša. Kot posredna kreditna izpostavljenost se šteje vsaka izpostavljenost banke do posamezne stranke, ki nastane iz naslova prejetih kreditnih zavarovanj za neposredno izpostavljenost banke do druge stranke, ki je osnovni dolžnik banke, in ki bi lahko postala neposredna izpostavljenost banke do zadevne stranke, če bi prišlo do neplačila osnovnega dolžnika.</w:t>
      </w:r>
    </w:p>
    <w:p w14:paraId="6BBDDA5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FFF4CF3" w14:textId="5F631EA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O sklenitvi pravnega posla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mora banka obvestiti Banko Slovenije.</w:t>
      </w:r>
    </w:p>
    <w:bookmarkEnd w:id="247"/>
    <w:p w14:paraId="34831AA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037DFE5" w14:textId="6FD8F594"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6.3.3 Upravljanje kreditnega tveganja in tveganja nasprotne stranke</w:t>
      </w:r>
    </w:p>
    <w:p w14:paraId="4A9510F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5311B9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48" w:name="_Ref202964893"/>
      <w:r w:rsidRPr="00215B2F">
        <w:rPr>
          <w:rFonts w:ascii="Arial" w:eastAsia="Arial" w:hAnsi="Arial" w:cs="Arial"/>
          <w:b/>
          <w:bCs/>
          <w:sz w:val="20"/>
          <w:szCs w:val="20"/>
        </w:rPr>
        <w:t>člen</w:t>
      </w:r>
      <w:bookmarkEnd w:id="248"/>
    </w:p>
    <w:p w14:paraId="02DDB010" w14:textId="77777777" w:rsidR="00D91782" w:rsidRPr="00215B2F" w:rsidRDefault="00D91782" w:rsidP="00FD5520">
      <w:pPr>
        <w:pStyle w:val="Slog1"/>
        <w:shd w:val="clear" w:color="auto" w:fill="FFFFFF" w:themeFill="background1"/>
        <w:rPr>
          <w:sz w:val="20"/>
          <w:szCs w:val="20"/>
        </w:rPr>
      </w:pPr>
      <w:r w:rsidRPr="00215B2F">
        <w:rPr>
          <w:sz w:val="20"/>
          <w:szCs w:val="20"/>
        </w:rPr>
        <w:t>(politika in postopki upravljanja kreditnega tveganja in tveganja nasprotne stranke)</w:t>
      </w:r>
    </w:p>
    <w:p w14:paraId="0DB80AB7" w14:textId="77777777" w:rsidR="00D91782" w:rsidRPr="00215B2F" w:rsidRDefault="00D91782" w:rsidP="00FD5520">
      <w:pPr>
        <w:pStyle w:val="Slog1"/>
        <w:shd w:val="clear" w:color="auto" w:fill="FFFFFF" w:themeFill="background1"/>
        <w:jc w:val="both"/>
        <w:rPr>
          <w:sz w:val="20"/>
          <w:szCs w:val="20"/>
        </w:rPr>
      </w:pPr>
    </w:p>
    <w:p w14:paraId="687FCB1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mora vzpostaviti in uresničevati ustrezno politiko in postopke za upravljanje kreditnega tveganja, vključno s tveganjem nasprotne stranke.</w:t>
      </w:r>
    </w:p>
    <w:p w14:paraId="6A9AA127"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99F6CE8" w14:textId="21649DB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mora uporabljati jasno opredeljene </w:t>
      </w:r>
      <w:r w:rsidR="00E0265B" w:rsidRPr="00215B2F">
        <w:rPr>
          <w:rFonts w:ascii="Arial" w:eastAsia="Arial" w:hAnsi="Arial" w:cs="Arial"/>
          <w:sz w:val="20"/>
          <w:szCs w:val="20"/>
        </w:rPr>
        <w:t xml:space="preserve">procese </w:t>
      </w:r>
      <w:r w:rsidRPr="00215B2F">
        <w:rPr>
          <w:rFonts w:ascii="Arial" w:eastAsia="Arial" w:hAnsi="Arial" w:cs="Arial"/>
          <w:sz w:val="20"/>
          <w:szCs w:val="20"/>
        </w:rPr>
        <w:t xml:space="preserve">odobritve, spreminjanja, obnavljanja in ponovnega financiranja kreditov, vključno z merili in postopki za ugotavljanje in upravljanje problematičnih kreditov ter </w:t>
      </w:r>
      <w:r w:rsidR="00A23075" w:rsidRPr="00215B2F">
        <w:rPr>
          <w:rFonts w:ascii="Arial" w:eastAsia="Arial" w:hAnsi="Arial" w:cs="Arial"/>
          <w:sz w:val="20"/>
          <w:szCs w:val="20"/>
        </w:rPr>
        <w:t xml:space="preserve">z </w:t>
      </w:r>
      <w:r w:rsidRPr="00215B2F">
        <w:rPr>
          <w:rFonts w:ascii="Arial" w:eastAsia="Arial" w:hAnsi="Arial" w:cs="Arial"/>
          <w:sz w:val="20"/>
          <w:szCs w:val="20"/>
        </w:rPr>
        <w:t>ustrezno politiko glede oblikovanja oslabitev in rezervacij.</w:t>
      </w:r>
    </w:p>
    <w:p w14:paraId="4421A63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9F1A28E"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49" w:name="_Ref203482981"/>
      <w:r w:rsidRPr="00215B2F">
        <w:rPr>
          <w:rFonts w:ascii="Arial" w:eastAsia="Arial" w:hAnsi="Arial" w:cs="Arial"/>
          <w:b/>
          <w:bCs/>
          <w:sz w:val="20"/>
          <w:szCs w:val="20"/>
        </w:rPr>
        <w:t>člen</w:t>
      </w:r>
      <w:bookmarkEnd w:id="249"/>
    </w:p>
    <w:p w14:paraId="6B3699B0" w14:textId="77777777" w:rsidR="00D91782" w:rsidRPr="00215B2F" w:rsidRDefault="00D91782" w:rsidP="00FD5520">
      <w:pPr>
        <w:pStyle w:val="Slog1"/>
        <w:shd w:val="clear" w:color="auto" w:fill="FFFFFF" w:themeFill="background1"/>
        <w:rPr>
          <w:sz w:val="20"/>
          <w:szCs w:val="20"/>
        </w:rPr>
      </w:pPr>
      <w:bookmarkStart w:id="250" w:name="_Hlk211949234"/>
      <w:r w:rsidRPr="00215B2F">
        <w:rPr>
          <w:sz w:val="20"/>
          <w:szCs w:val="20"/>
        </w:rPr>
        <w:t>(prevzemanje kreditnega tveganja)</w:t>
      </w:r>
    </w:p>
    <w:p w14:paraId="28B2D84B" w14:textId="77777777" w:rsidR="00D91782" w:rsidRPr="00215B2F" w:rsidRDefault="00D91782" w:rsidP="00FD5520">
      <w:pPr>
        <w:pStyle w:val="Slog1"/>
        <w:shd w:val="clear" w:color="auto" w:fill="FFFFFF" w:themeFill="background1"/>
        <w:jc w:val="both"/>
        <w:rPr>
          <w:sz w:val="20"/>
          <w:szCs w:val="20"/>
        </w:rPr>
      </w:pPr>
    </w:p>
    <w:p w14:paraId="702089B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mora uporabljati primerna in natančno opredeljena merila za odločanje o odobritvi kredita.</w:t>
      </w:r>
    </w:p>
    <w:p w14:paraId="353EF16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B4F19FA" w14:textId="20BE07D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V postopku odobritve kredita oziroma v postopku sklepanja druge pogodbe, ki je temelj nastanka izpostavljenosti banke, mora banka oceniti dolžnikovo sposobnost izpolnjevati obveznosti do banke (v nadaljnjem besedilu: ocena kreditne sposobnosti) ter kakovost zavarovanja terjatev banke po vrsti in obsegu tega zavarovanja.</w:t>
      </w:r>
    </w:p>
    <w:p w14:paraId="641F52F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4A45B2C" w14:textId="55EF9B2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V zvezi z oceno iz prejšnjega odstavka mora banka pridobiti izpis bonitetnih podatkov tega dolžnika iz sistema izmenjave podatkov o boniteti strank, ki je v skladu s predpisi vzpostavljen za namene upravljanja kreditnega tveganja bank.</w:t>
      </w:r>
    </w:p>
    <w:p w14:paraId="567B5EC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04A682D" w14:textId="5D10E55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za namen upravljanja kreditnega tveganja v okviru izpisa bonitetnih podatkov dolžnika, ki je pravna oseba, podjetnik ali zasebnik (</w:t>
      </w:r>
      <w:r w:rsidR="001B2A64" w:rsidRPr="00215B2F">
        <w:rPr>
          <w:rFonts w:ascii="Arial" w:eastAsia="Arial" w:hAnsi="Arial" w:cs="Arial"/>
          <w:sz w:val="20"/>
          <w:szCs w:val="20"/>
        </w:rPr>
        <w:t>v nadaljnjem besedilu:</w:t>
      </w:r>
      <w:r w:rsidRPr="00215B2F">
        <w:rPr>
          <w:rFonts w:ascii="Arial" w:eastAsia="Arial" w:hAnsi="Arial" w:cs="Arial"/>
          <w:sz w:val="20"/>
          <w:szCs w:val="20"/>
        </w:rPr>
        <w:t xml:space="preserve"> dolžnik</w:t>
      </w:r>
      <w:r w:rsidR="0000451E" w:rsidRPr="00215B2F">
        <w:rPr>
          <w:rFonts w:ascii="Arial" w:eastAsia="Arial" w:hAnsi="Arial" w:cs="Arial"/>
          <w:sz w:val="20"/>
          <w:szCs w:val="20"/>
        </w:rPr>
        <w:t>,</w:t>
      </w:r>
      <w:r w:rsidRPr="00215B2F">
        <w:rPr>
          <w:rFonts w:ascii="Arial" w:eastAsia="Arial" w:hAnsi="Arial" w:cs="Arial"/>
          <w:sz w:val="20"/>
          <w:szCs w:val="20"/>
        </w:rPr>
        <w:t xml:space="preserve"> ki je poslovni subjekt), pridobi tudi izpis podatkov o </w:t>
      </w:r>
      <w:r w:rsidR="005507A3" w:rsidRPr="00215B2F">
        <w:rPr>
          <w:rFonts w:ascii="Arial" w:eastAsia="Arial" w:hAnsi="Arial" w:cs="Arial"/>
          <w:sz w:val="20"/>
          <w:szCs w:val="20"/>
        </w:rPr>
        <w:t xml:space="preserve">EGS </w:t>
      </w:r>
      <w:r w:rsidRPr="00215B2F">
        <w:rPr>
          <w:rFonts w:ascii="Arial" w:eastAsia="Arial" w:hAnsi="Arial" w:cs="Arial"/>
          <w:sz w:val="20"/>
          <w:szCs w:val="20"/>
        </w:rPr>
        <w:t>tveganjih dolžnika, ki so vključeni v sistem izmenjave podatkov o boniteti strank</w:t>
      </w:r>
      <w:r w:rsidR="001000A7" w:rsidRPr="00215B2F">
        <w:rPr>
          <w:rFonts w:ascii="Arial" w:eastAsia="Arial" w:hAnsi="Arial" w:cs="Arial"/>
          <w:sz w:val="20"/>
          <w:szCs w:val="20"/>
        </w:rPr>
        <w:t xml:space="preserve"> v skladu z zakonom, ki ureja centralni kreditni register</w:t>
      </w:r>
      <w:r w:rsidRPr="00215B2F">
        <w:rPr>
          <w:rFonts w:ascii="Arial" w:eastAsia="Arial" w:hAnsi="Arial" w:cs="Arial"/>
          <w:sz w:val="20"/>
          <w:szCs w:val="20"/>
        </w:rPr>
        <w:t xml:space="preserve">. </w:t>
      </w:r>
      <w:r w:rsidR="004328D3" w:rsidRPr="00215B2F">
        <w:rPr>
          <w:rFonts w:ascii="Arial" w:eastAsia="Arial" w:hAnsi="Arial" w:cs="Arial"/>
          <w:sz w:val="20"/>
          <w:szCs w:val="20"/>
        </w:rPr>
        <w:t>Če o dolžniku, ki je poslovni subjekt</w:t>
      </w:r>
      <w:r w:rsidR="00560834" w:rsidRPr="00215B2F">
        <w:rPr>
          <w:rFonts w:ascii="Arial" w:eastAsia="Arial" w:hAnsi="Arial" w:cs="Arial"/>
          <w:sz w:val="20"/>
          <w:szCs w:val="20"/>
        </w:rPr>
        <w:t>,</w:t>
      </w:r>
      <w:r w:rsidR="004328D3" w:rsidRPr="00215B2F">
        <w:rPr>
          <w:rFonts w:ascii="Arial" w:eastAsia="Arial" w:hAnsi="Arial" w:cs="Arial"/>
          <w:sz w:val="20"/>
          <w:szCs w:val="20"/>
        </w:rPr>
        <w:t xml:space="preserve"> podatki, o ESG tveganjih v sistemu izmenjavo podatkov o boniteti strank niso na voljo, banka te podatke pridobi na drug ustrezen način. </w:t>
      </w:r>
    </w:p>
    <w:p w14:paraId="51A737C4"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18B3ADF" w14:textId="159C934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Podatke dolžnika, ki je poslovni subjekt</w:t>
      </w:r>
      <w:r w:rsidR="001000A7" w:rsidRPr="00215B2F">
        <w:rPr>
          <w:rFonts w:ascii="Arial" w:eastAsia="Arial" w:hAnsi="Arial" w:cs="Arial"/>
          <w:sz w:val="20"/>
          <w:szCs w:val="20"/>
        </w:rPr>
        <w:t>,</w:t>
      </w:r>
      <w:r w:rsidRPr="00215B2F">
        <w:rPr>
          <w:rFonts w:ascii="Arial" w:eastAsia="Arial" w:hAnsi="Arial" w:cs="Arial"/>
          <w:sz w:val="20"/>
          <w:szCs w:val="20"/>
        </w:rPr>
        <w:t xml:space="preserve"> o </w:t>
      </w:r>
      <w:r w:rsidR="004328D3" w:rsidRPr="00215B2F">
        <w:rPr>
          <w:rFonts w:ascii="Arial" w:eastAsia="Arial" w:hAnsi="Arial" w:cs="Arial"/>
          <w:sz w:val="20"/>
          <w:szCs w:val="20"/>
        </w:rPr>
        <w:t>ESG</w:t>
      </w:r>
      <w:r w:rsidRPr="00215B2F">
        <w:rPr>
          <w:rFonts w:ascii="Arial" w:eastAsia="Arial" w:hAnsi="Arial" w:cs="Arial"/>
          <w:sz w:val="20"/>
          <w:szCs w:val="20"/>
        </w:rPr>
        <w:t xml:space="preserve"> tveganjih iz prejšnjega odstavka lahko banka uporabi tudi za namene upravljanja drugih tveganj, za namene poročanja ter za uporabo razkritij </w:t>
      </w:r>
      <w:r w:rsidR="004328D3" w:rsidRPr="00215B2F">
        <w:rPr>
          <w:rFonts w:ascii="Arial" w:eastAsia="Arial" w:hAnsi="Arial" w:cs="Arial"/>
          <w:sz w:val="20"/>
          <w:szCs w:val="20"/>
        </w:rPr>
        <w:t>ESG</w:t>
      </w:r>
      <w:r w:rsidRPr="00215B2F">
        <w:rPr>
          <w:rFonts w:ascii="Arial" w:eastAsia="Arial" w:hAnsi="Arial" w:cs="Arial"/>
          <w:sz w:val="20"/>
          <w:szCs w:val="20"/>
        </w:rPr>
        <w:t xml:space="preserve"> tveganj.</w:t>
      </w:r>
    </w:p>
    <w:bookmarkEnd w:id="250"/>
    <w:p w14:paraId="155E638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11C936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51" w:name="_Ref203482986"/>
      <w:r w:rsidRPr="00215B2F">
        <w:rPr>
          <w:rFonts w:ascii="Arial" w:eastAsia="Arial" w:hAnsi="Arial" w:cs="Arial"/>
          <w:b/>
          <w:bCs/>
          <w:sz w:val="20"/>
          <w:szCs w:val="20"/>
        </w:rPr>
        <w:t>člen</w:t>
      </w:r>
      <w:bookmarkEnd w:id="251"/>
    </w:p>
    <w:p w14:paraId="24BD9B23" w14:textId="77777777" w:rsidR="00D91782" w:rsidRPr="00215B2F" w:rsidRDefault="00D91782" w:rsidP="00FD5520">
      <w:pPr>
        <w:pStyle w:val="Slog1"/>
        <w:shd w:val="clear" w:color="auto" w:fill="FFFFFF" w:themeFill="background1"/>
        <w:rPr>
          <w:sz w:val="20"/>
          <w:szCs w:val="20"/>
        </w:rPr>
      </w:pPr>
      <w:r w:rsidRPr="00215B2F">
        <w:rPr>
          <w:sz w:val="20"/>
          <w:szCs w:val="20"/>
        </w:rPr>
        <w:t>(obravnava kreditnega tveganja)</w:t>
      </w:r>
    </w:p>
    <w:p w14:paraId="18F540F8" w14:textId="77777777" w:rsidR="00D91782" w:rsidRPr="00215B2F" w:rsidRDefault="00D91782" w:rsidP="00FD5520">
      <w:pPr>
        <w:pStyle w:val="Slog1"/>
        <w:shd w:val="clear" w:color="auto" w:fill="FFFFFF" w:themeFill="background1"/>
        <w:jc w:val="both"/>
        <w:rPr>
          <w:sz w:val="20"/>
          <w:szCs w:val="20"/>
        </w:rPr>
      </w:pPr>
    </w:p>
    <w:p w14:paraId="13CA26DD" w14:textId="1B5C15D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mora uporabljati ustrezne </w:t>
      </w:r>
      <w:r w:rsidR="00E0265B" w:rsidRPr="00215B2F">
        <w:rPr>
          <w:rFonts w:ascii="Arial" w:eastAsia="Arial" w:hAnsi="Arial" w:cs="Arial"/>
          <w:sz w:val="20"/>
          <w:szCs w:val="20"/>
        </w:rPr>
        <w:t>pr</w:t>
      </w:r>
      <w:r w:rsidR="00D33768" w:rsidRPr="00215B2F">
        <w:rPr>
          <w:rFonts w:ascii="Arial" w:eastAsia="Arial" w:hAnsi="Arial" w:cs="Arial"/>
          <w:sz w:val="20"/>
          <w:szCs w:val="20"/>
        </w:rPr>
        <w:t>ocese</w:t>
      </w:r>
      <w:r w:rsidR="00E0265B" w:rsidRPr="00215B2F">
        <w:rPr>
          <w:rFonts w:ascii="Arial" w:eastAsia="Arial" w:hAnsi="Arial" w:cs="Arial"/>
          <w:sz w:val="20"/>
          <w:szCs w:val="20"/>
        </w:rPr>
        <w:t xml:space="preserve"> </w:t>
      </w:r>
      <w:r w:rsidRPr="00215B2F">
        <w:rPr>
          <w:rFonts w:ascii="Arial" w:eastAsia="Arial" w:hAnsi="Arial" w:cs="Arial"/>
          <w:sz w:val="20"/>
          <w:szCs w:val="20"/>
        </w:rPr>
        <w:t>in tehnike za ocenjevanje kreditnega tveganja:</w:t>
      </w:r>
    </w:p>
    <w:p w14:paraId="4E36594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22ADF79" w14:textId="005CFCA4" w:rsidR="006A1A88" w:rsidRPr="00215B2F" w:rsidRDefault="00D91782" w:rsidP="003D4DE0">
      <w:pPr>
        <w:pStyle w:val="tevilnatoka"/>
        <w:numPr>
          <w:ilvl w:val="0"/>
          <w:numId w:val="127"/>
        </w:numPr>
        <w:shd w:val="clear" w:color="auto" w:fill="FFFFFF" w:themeFill="background1"/>
        <w:tabs>
          <w:tab w:val="clear" w:pos="425"/>
        </w:tabs>
        <w:rPr>
          <w:rFonts w:cs="Arial"/>
          <w:bCs/>
          <w:sz w:val="20"/>
          <w:szCs w:val="20"/>
        </w:rPr>
      </w:pPr>
      <w:r w:rsidRPr="00215B2F">
        <w:rPr>
          <w:rFonts w:eastAsia="Arial" w:cs="Arial"/>
          <w:sz w:val="20"/>
          <w:szCs w:val="20"/>
        </w:rPr>
        <w:t>na ravni izpostavljenosti do posameznih dolžnikov iz naslova vrednostnih papirjev ali pozicij v listinjenju in</w:t>
      </w:r>
    </w:p>
    <w:p w14:paraId="6B63D8F2" w14:textId="159A7944" w:rsidR="00D91782" w:rsidRPr="00215B2F" w:rsidRDefault="00D91782" w:rsidP="00543D80">
      <w:pPr>
        <w:pStyle w:val="tevilnatoka"/>
        <w:rPr>
          <w:rFonts w:cs="Arial"/>
          <w:bCs/>
          <w:sz w:val="20"/>
          <w:szCs w:val="20"/>
        </w:rPr>
      </w:pPr>
      <w:r w:rsidRPr="00215B2F">
        <w:rPr>
          <w:rFonts w:eastAsia="Arial" w:cs="Arial"/>
          <w:sz w:val="20"/>
          <w:szCs w:val="20"/>
        </w:rPr>
        <w:t>na ravni portfelja.</w:t>
      </w:r>
    </w:p>
    <w:p w14:paraId="2279E810"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7086B898" w14:textId="0A54D33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Kreditni portfelji banke morajo biti ustrezno razpršeni glede na ciljne trge in splošno strategijo banke.</w:t>
      </w:r>
    </w:p>
    <w:p w14:paraId="647F709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B6482A5" w14:textId="6CD5E35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mora ves čas trajanja pravnega razmerja, ki je temelj nastanka izpostavljenosti, spremljati poslovanje osebe in kakovost zavarovanja terjatev banke.</w:t>
      </w:r>
    </w:p>
    <w:p w14:paraId="4D73C19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9F4F5A4" w14:textId="4FF1191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izvede predhodno ocen</w:t>
      </w:r>
      <w:r w:rsidR="00E0265B" w:rsidRPr="00215B2F">
        <w:rPr>
          <w:rFonts w:ascii="Arial" w:eastAsia="Arial" w:hAnsi="Arial" w:cs="Arial"/>
          <w:sz w:val="20"/>
          <w:szCs w:val="20"/>
        </w:rPr>
        <w:t>o</w:t>
      </w:r>
      <w:r w:rsidRPr="00215B2F">
        <w:rPr>
          <w:rFonts w:ascii="Arial" w:eastAsia="Arial" w:hAnsi="Arial" w:cs="Arial"/>
          <w:sz w:val="20"/>
          <w:szCs w:val="20"/>
        </w:rPr>
        <w:t xml:space="preserve"> vsake izpostavljenosti kriptosredstvom, ki jo namerava prevzeti, in ustreznosti </w:t>
      </w:r>
      <w:r w:rsidR="00E0265B" w:rsidRPr="00215B2F">
        <w:rPr>
          <w:rFonts w:ascii="Arial" w:eastAsia="Arial" w:hAnsi="Arial" w:cs="Arial"/>
          <w:sz w:val="20"/>
          <w:szCs w:val="20"/>
        </w:rPr>
        <w:t xml:space="preserve">obstoječih </w:t>
      </w:r>
      <w:r w:rsidRPr="00215B2F">
        <w:rPr>
          <w:rFonts w:ascii="Arial" w:eastAsia="Arial" w:hAnsi="Arial" w:cs="Arial"/>
          <w:sz w:val="20"/>
          <w:szCs w:val="20"/>
        </w:rPr>
        <w:t xml:space="preserve">procesov in postopkov za upravljanje tveganja nasprotne stranke ter </w:t>
      </w:r>
      <w:r w:rsidR="00E0265B" w:rsidRPr="00215B2F">
        <w:rPr>
          <w:rFonts w:ascii="Arial" w:eastAsia="Arial" w:hAnsi="Arial" w:cs="Arial"/>
          <w:sz w:val="20"/>
          <w:szCs w:val="20"/>
        </w:rPr>
        <w:t xml:space="preserve">o teh ocenah poroča </w:t>
      </w:r>
      <w:r w:rsidRPr="00215B2F">
        <w:rPr>
          <w:rFonts w:ascii="Arial" w:eastAsia="Arial" w:hAnsi="Arial" w:cs="Arial"/>
          <w:sz w:val="20"/>
          <w:szCs w:val="20"/>
        </w:rPr>
        <w:t>Bank</w:t>
      </w:r>
      <w:r w:rsidR="00E0265B" w:rsidRPr="00215B2F">
        <w:rPr>
          <w:rFonts w:ascii="Arial" w:eastAsia="Arial" w:hAnsi="Arial" w:cs="Arial"/>
          <w:sz w:val="20"/>
          <w:szCs w:val="20"/>
        </w:rPr>
        <w:t>i</w:t>
      </w:r>
      <w:r w:rsidRPr="00215B2F">
        <w:rPr>
          <w:rFonts w:ascii="Arial" w:eastAsia="Arial" w:hAnsi="Arial" w:cs="Arial"/>
          <w:sz w:val="20"/>
          <w:szCs w:val="20"/>
        </w:rPr>
        <w:t xml:space="preserve"> Slovenije.</w:t>
      </w:r>
    </w:p>
    <w:p w14:paraId="25807E9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D85B49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D6E964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52" w:name="_Ref203482990"/>
      <w:r w:rsidRPr="00215B2F">
        <w:rPr>
          <w:rFonts w:ascii="Arial" w:eastAsia="Arial" w:hAnsi="Arial" w:cs="Arial"/>
          <w:b/>
          <w:bCs/>
          <w:sz w:val="20"/>
          <w:szCs w:val="20"/>
        </w:rPr>
        <w:t>člen</w:t>
      </w:r>
      <w:bookmarkEnd w:id="252"/>
    </w:p>
    <w:p w14:paraId="0D3138C3" w14:textId="77777777" w:rsidR="00D91782" w:rsidRPr="00215B2F" w:rsidRDefault="00D91782" w:rsidP="00FD5520">
      <w:pPr>
        <w:pStyle w:val="Slog1"/>
        <w:shd w:val="clear" w:color="auto" w:fill="FFFFFF" w:themeFill="background1"/>
        <w:rPr>
          <w:sz w:val="20"/>
          <w:szCs w:val="20"/>
        </w:rPr>
      </w:pPr>
      <w:r w:rsidRPr="00215B2F">
        <w:rPr>
          <w:sz w:val="20"/>
          <w:szCs w:val="20"/>
        </w:rPr>
        <w:t>(tehnike ocenjevanja kreditnega tveganja in tveganja nasprotne stranke)</w:t>
      </w:r>
    </w:p>
    <w:p w14:paraId="345B35DB" w14:textId="77777777" w:rsidR="00D91782" w:rsidRPr="00215B2F" w:rsidRDefault="00D91782" w:rsidP="00FD5520">
      <w:pPr>
        <w:pStyle w:val="Slog1"/>
        <w:shd w:val="clear" w:color="auto" w:fill="FFFFFF" w:themeFill="background1"/>
        <w:jc w:val="both"/>
        <w:rPr>
          <w:sz w:val="20"/>
          <w:szCs w:val="20"/>
        </w:rPr>
      </w:pPr>
    </w:p>
    <w:p w14:paraId="2A2DE20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Pri ocenjevanju kreditnega tveganja se banka ne sme izključno ali samodejno zanašati na zunanje bonitetne ocene. Kadar kapitalska zahteva za kreditno tveganje temelji na zunanjih bonitetnih ocenah ali na dejstvu, da izpostavljenost ni ocenjena, banka pri oceni kreditnega tveganja in razporeditvi notranjega kapitala upošteva tudi druge ustrezne informacije.</w:t>
      </w:r>
    </w:p>
    <w:p w14:paraId="5EAE326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D462893" w14:textId="6434F52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mora zagotoviti sistem za stalno spremljanje in poročanje glede učinkovitosti uporabljenih tehnik za ocenjevanje kreditnega tveganja.</w:t>
      </w:r>
    </w:p>
    <w:p w14:paraId="6841469E"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FA5BC49" w14:textId="77777777" w:rsidR="00FF337B" w:rsidRPr="00215B2F" w:rsidRDefault="00FF337B"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53" w:name="_Ref203482993"/>
      <w:r w:rsidRPr="00215B2F">
        <w:rPr>
          <w:rFonts w:ascii="Arial" w:eastAsia="Arial" w:hAnsi="Arial" w:cs="Arial"/>
          <w:b/>
          <w:bCs/>
          <w:sz w:val="20"/>
          <w:szCs w:val="20"/>
        </w:rPr>
        <w:t>člen</w:t>
      </w:r>
      <w:bookmarkEnd w:id="253"/>
    </w:p>
    <w:p w14:paraId="62B14D9C"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lastRenderedPageBreak/>
        <w:t>(obravnava preostalega kreditnega tveganja)</w:t>
      </w:r>
    </w:p>
    <w:p w14:paraId="143DA790" w14:textId="77777777" w:rsidR="00707327" w:rsidRPr="00215B2F" w:rsidRDefault="00707327" w:rsidP="00FD5520">
      <w:pPr>
        <w:shd w:val="clear" w:color="auto" w:fill="FFFFFF" w:themeFill="background1"/>
        <w:spacing w:after="0" w:line="240" w:lineRule="auto"/>
        <w:jc w:val="center"/>
        <w:rPr>
          <w:rFonts w:ascii="Arial" w:eastAsia="Arial" w:hAnsi="Arial" w:cs="Arial"/>
          <w:sz w:val="20"/>
          <w:szCs w:val="20"/>
        </w:rPr>
      </w:pPr>
    </w:p>
    <w:p w14:paraId="46FB3F0D" w14:textId="1F7CE9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mora zagotoviti ustrezno obravnavo tveganja</w:t>
      </w:r>
      <w:r w:rsidR="00541BCC" w:rsidRPr="00215B2F">
        <w:rPr>
          <w:rFonts w:ascii="Arial" w:eastAsia="Arial" w:hAnsi="Arial" w:cs="Arial"/>
          <w:sz w:val="20"/>
          <w:szCs w:val="20"/>
        </w:rPr>
        <w:t xml:space="preserve"> in nadzor nad njim</w:t>
      </w:r>
      <w:r w:rsidRPr="00215B2F">
        <w:rPr>
          <w:rFonts w:ascii="Arial" w:eastAsia="Arial" w:hAnsi="Arial" w:cs="Arial"/>
          <w:sz w:val="20"/>
          <w:szCs w:val="20"/>
        </w:rPr>
        <w:t>, če se priznane tehnike za zmanjševanje kreditnega tveganja, ki jih uporablja banka, izkažejo za manj učinkovite, kot je bilo pričakovano. V ta namen mora banka imeti pisno politiko in postopke.</w:t>
      </w:r>
    </w:p>
    <w:p w14:paraId="34B08E8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FAEA659" w14:textId="16152BB0"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6.3.4 Upravljanje tržnih tveganj in tveganj spremembe obrestne mere iz dejavnosti iz netrgovalne knjige</w:t>
      </w:r>
    </w:p>
    <w:p w14:paraId="5A3068E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E34D46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54" w:name="_Ref202964909"/>
      <w:r w:rsidRPr="00215B2F">
        <w:rPr>
          <w:rFonts w:ascii="Arial" w:eastAsia="Arial" w:hAnsi="Arial" w:cs="Arial"/>
          <w:b/>
          <w:bCs/>
          <w:sz w:val="20"/>
          <w:szCs w:val="20"/>
        </w:rPr>
        <w:t>člen</w:t>
      </w:r>
      <w:bookmarkEnd w:id="254"/>
    </w:p>
    <w:p w14:paraId="614D18DF" w14:textId="77777777" w:rsidR="00D91782" w:rsidRPr="00215B2F" w:rsidRDefault="00D91782" w:rsidP="00FD5520">
      <w:pPr>
        <w:pStyle w:val="Slog1"/>
        <w:shd w:val="clear" w:color="auto" w:fill="FFFFFF" w:themeFill="background1"/>
        <w:rPr>
          <w:sz w:val="20"/>
          <w:szCs w:val="20"/>
        </w:rPr>
      </w:pPr>
      <w:r w:rsidRPr="00215B2F">
        <w:rPr>
          <w:sz w:val="20"/>
          <w:szCs w:val="20"/>
        </w:rPr>
        <w:t>(politika in postopki upravljanja tržnih tveganj)</w:t>
      </w:r>
    </w:p>
    <w:p w14:paraId="65C017D3" w14:textId="77777777" w:rsidR="00D91782" w:rsidRPr="00215B2F" w:rsidRDefault="00D91782" w:rsidP="00FD5520">
      <w:pPr>
        <w:pStyle w:val="Slog1"/>
        <w:shd w:val="clear" w:color="auto" w:fill="FFFFFF" w:themeFill="background1"/>
        <w:jc w:val="both"/>
        <w:rPr>
          <w:sz w:val="20"/>
          <w:szCs w:val="20"/>
        </w:rPr>
      </w:pPr>
    </w:p>
    <w:p w14:paraId="155EDA50" w14:textId="4539ADE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mora vzpostaviti in uresničevati ustrezno politiko </w:t>
      </w:r>
      <w:r w:rsidR="00FC3647" w:rsidRPr="00215B2F">
        <w:rPr>
          <w:rFonts w:ascii="Arial" w:eastAsia="Arial" w:hAnsi="Arial" w:cs="Arial"/>
          <w:sz w:val="20"/>
          <w:szCs w:val="20"/>
        </w:rPr>
        <w:t xml:space="preserve">ter </w:t>
      </w:r>
      <w:r w:rsidRPr="00215B2F">
        <w:rPr>
          <w:rFonts w:ascii="Arial" w:eastAsia="Arial" w:hAnsi="Arial" w:cs="Arial"/>
          <w:sz w:val="20"/>
          <w:szCs w:val="20"/>
        </w:rPr>
        <w:t>postopke za ugotavljanje, merjenje in upravljanje vseh pomembnih dejavnikov tržnih tveganj.</w:t>
      </w:r>
    </w:p>
    <w:p w14:paraId="3E9D47F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2E9EEAD" w14:textId="36BE6BE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izvede predhodno ocen</w:t>
      </w:r>
      <w:r w:rsidR="008E3E39" w:rsidRPr="00215B2F">
        <w:rPr>
          <w:rFonts w:ascii="Arial" w:eastAsia="Arial" w:hAnsi="Arial" w:cs="Arial"/>
          <w:sz w:val="20"/>
          <w:szCs w:val="20"/>
        </w:rPr>
        <w:t>o</w:t>
      </w:r>
      <w:r w:rsidRPr="00215B2F">
        <w:rPr>
          <w:rFonts w:ascii="Arial" w:eastAsia="Arial" w:hAnsi="Arial" w:cs="Arial"/>
          <w:sz w:val="20"/>
          <w:szCs w:val="20"/>
        </w:rPr>
        <w:t xml:space="preserve"> vsake izpostavljenosti kriptosredstvom, ki jo namerava prevzeti, in ustreznosti procesov in postopkov za upravljanje tržnega tveganja ter o teh ocenah poroča Banki Slovenije. </w:t>
      </w:r>
    </w:p>
    <w:p w14:paraId="137644D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B3C4F8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55" w:name="_Ref202964927"/>
      <w:r w:rsidRPr="00215B2F">
        <w:rPr>
          <w:rFonts w:ascii="Arial" w:eastAsia="Arial" w:hAnsi="Arial" w:cs="Arial"/>
          <w:b/>
          <w:bCs/>
          <w:sz w:val="20"/>
          <w:szCs w:val="20"/>
        </w:rPr>
        <w:t>člen</w:t>
      </w:r>
      <w:bookmarkEnd w:id="255"/>
    </w:p>
    <w:p w14:paraId="43741124" w14:textId="77777777" w:rsidR="00D91782" w:rsidRPr="00215B2F" w:rsidRDefault="00D91782" w:rsidP="00FD5520">
      <w:pPr>
        <w:pStyle w:val="Slog1"/>
        <w:shd w:val="clear" w:color="auto" w:fill="FFFFFF" w:themeFill="background1"/>
        <w:rPr>
          <w:sz w:val="20"/>
          <w:szCs w:val="20"/>
        </w:rPr>
      </w:pPr>
      <w:r w:rsidRPr="00215B2F">
        <w:rPr>
          <w:sz w:val="20"/>
          <w:szCs w:val="20"/>
        </w:rPr>
        <w:t>(obravnava tveganja spremembe obrestne mere iz dejavnosti iz netrgovalne knjige)</w:t>
      </w:r>
    </w:p>
    <w:p w14:paraId="56C25D9B" w14:textId="77777777" w:rsidR="00D91782" w:rsidRPr="00215B2F" w:rsidRDefault="00D91782" w:rsidP="00FD5520">
      <w:pPr>
        <w:pStyle w:val="Slog1"/>
        <w:shd w:val="clear" w:color="auto" w:fill="FFFFFF" w:themeFill="background1"/>
        <w:jc w:val="both"/>
        <w:rPr>
          <w:sz w:val="20"/>
          <w:szCs w:val="20"/>
        </w:rPr>
      </w:pPr>
    </w:p>
    <w:p w14:paraId="798DE0B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mora vzpostaviti ustrezne notranje sisteme za ugotavljanje, ovrednotenje, upravljanje in zmanjševanje tveganj zaradi neugodnega gibanja obrestnih mer, ki lahko zniža ekonomsko vrednost lastniškega kapitala in neto prihodke od obresti pri dejavnosti banke iz netrgovalne knjige, ali za ta namen uporabljati standardizirano metodologijo.</w:t>
      </w:r>
    </w:p>
    <w:p w14:paraId="26FFD0B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2F3C645" w14:textId="3173152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Majhna in nekompleksna banka lahko za ugotavljanje, ovrednotenje, upravljanje in zmanjševanje tveganj spremembe obrestne mere, ki je posledica dejavnosti iz netrgovalne knjige, uporablja poenostavljeno standardizirano metodologijo.</w:t>
      </w:r>
    </w:p>
    <w:p w14:paraId="381FA7B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D0A189C" w14:textId="1C95C12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mora vzpostaviti sisteme za ocenjevanje in spremljanje tveganj, ki izhajajo iz morebitnih sprememb kreditnih razmikov, ki vplivajo na ekonomsko vrednost lastniškega kapitala in neto prihodke od obresti pri dejavnosti iz netrgovalne knjige.</w:t>
      </w:r>
    </w:p>
    <w:p w14:paraId="6407DC27"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75F06D1" w14:textId="2FF4E9A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lahko od banke zahteva, da uporablja standardizirano metodologijo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če notranji sistemi, ki jih je banka vzpostavila za ovrednotenje tveganj v skladu s prvim odstavkom tega člena, niso zadovoljivi.</w:t>
      </w:r>
    </w:p>
    <w:p w14:paraId="3434BCC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3955A5D" w14:textId="1AEDE9F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Banka Slovenije lahko od majhne in nekompleksne banke zahteva uporabo standardizirane metodologije, če oceni, da poenostavljena standardizirana metodologija ne zadostuje za zajetje obrestnega tveganja, ki izhaja iz dejavnosti te banke iz netrgovalne knjige.</w:t>
      </w:r>
    </w:p>
    <w:p w14:paraId="11C703E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3B884D8" w14:textId="032BBB82"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6.3.5 Upravljanje likvidnostnega tveganja</w:t>
      </w:r>
    </w:p>
    <w:p w14:paraId="78CD0AE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D279E0C"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56" w:name="_Ref202964933"/>
      <w:r w:rsidRPr="00215B2F">
        <w:rPr>
          <w:rFonts w:ascii="Arial" w:eastAsia="Arial" w:hAnsi="Arial" w:cs="Arial"/>
          <w:b/>
          <w:bCs/>
          <w:sz w:val="20"/>
          <w:szCs w:val="20"/>
        </w:rPr>
        <w:t>člen</w:t>
      </w:r>
      <w:bookmarkEnd w:id="256"/>
    </w:p>
    <w:p w14:paraId="76F616C8" w14:textId="77777777" w:rsidR="00D91782" w:rsidRPr="00215B2F" w:rsidRDefault="00D91782" w:rsidP="00FD5520">
      <w:pPr>
        <w:pStyle w:val="Slog1"/>
        <w:shd w:val="clear" w:color="auto" w:fill="FFFFFF" w:themeFill="background1"/>
        <w:rPr>
          <w:sz w:val="20"/>
          <w:szCs w:val="20"/>
        </w:rPr>
      </w:pPr>
      <w:r w:rsidRPr="00215B2F">
        <w:rPr>
          <w:sz w:val="20"/>
          <w:szCs w:val="20"/>
        </w:rPr>
        <w:t>(politike in postopki upravljanja likvidnostnega tveganja)</w:t>
      </w:r>
    </w:p>
    <w:p w14:paraId="59D4ED7E" w14:textId="77777777" w:rsidR="00D91782" w:rsidRPr="00215B2F" w:rsidRDefault="00D91782" w:rsidP="00FD5520">
      <w:pPr>
        <w:pStyle w:val="Slog1"/>
        <w:shd w:val="clear" w:color="auto" w:fill="FFFFFF" w:themeFill="background1"/>
        <w:jc w:val="both"/>
        <w:rPr>
          <w:sz w:val="20"/>
          <w:szCs w:val="20"/>
        </w:rPr>
      </w:pPr>
    </w:p>
    <w:p w14:paraId="58A7D7E8" w14:textId="3FC5231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mora vzpostaviti in uresničevati zanesljive strategije, politike </w:t>
      </w:r>
      <w:r w:rsidR="00944C0F" w:rsidRPr="00215B2F">
        <w:rPr>
          <w:rFonts w:ascii="Arial" w:eastAsia="Arial" w:hAnsi="Arial" w:cs="Arial"/>
          <w:sz w:val="20"/>
          <w:szCs w:val="20"/>
        </w:rPr>
        <w:t xml:space="preserve">ter </w:t>
      </w:r>
      <w:r w:rsidRPr="00215B2F">
        <w:rPr>
          <w:rFonts w:ascii="Arial" w:eastAsia="Arial" w:hAnsi="Arial" w:cs="Arial"/>
          <w:sz w:val="20"/>
          <w:szCs w:val="20"/>
        </w:rPr>
        <w:t>postopke za upravljanje likvidnostnega tveganja, da ves čas zagotavlja ustrezne ravni likvidnostnih blažilnikov.</w:t>
      </w:r>
    </w:p>
    <w:p w14:paraId="756AEB0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A12D704" w14:textId="0A9446C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Upravljanje likvidnostnega tveganja iz prejšnjega odstavka mora vključevati zlasti:</w:t>
      </w:r>
    </w:p>
    <w:p w14:paraId="0FBE176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93BD174" w14:textId="77777777" w:rsidR="006A1A88" w:rsidRPr="00215B2F" w:rsidRDefault="00D91782" w:rsidP="003D4DE0">
      <w:pPr>
        <w:pStyle w:val="tevilnatoka"/>
        <w:numPr>
          <w:ilvl w:val="0"/>
          <w:numId w:val="128"/>
        </w:numPr>
        <w:shd w:val="clear" w:color="auto" w:fill="FFFFFF" w:themeFill="background1"/>
        <w:tabs>
          <w:tab w:val="clear" w:pos="425"/>
        </w:tabs>
        <w:rPr>
          <w:rFonts w:cs="Arial"/>
          <w:bCs/>
          <w:sz w:val="20"/>
          <w:szCs w:val="20"/>
        </w:rPr>
      </w:pPr>
      <w:r w:rsidRPr="00215B2F">
        <w:rPr>
          <w:rFonts w:eastAsia="Arial" w:cs="Arial"/>
          <w:sz w:val="20"/>
          <w:szCs w:val="20"/>
        </w:rPr>
        <w:t>načrtovanje znanih in morebitnih likvidnostnih odlivov ter pričakovanih likvidnostnih prilivov iz naslova sredstev, obveznosti in zunajbilančnih postavk, vključno s pogojnimi obveznostmi, ob upoštevanju normalnih poslovnih razmer ter morebitnih stresnih dogodkov, vključno z morebitnim učinkom tveganja ugleda;</w:t>
      </w:r>
    </w:p>
    <w:p w14:paraId="343A5795" w14:textId="77777777" w:rsidR="006A1A88" w:rsidRPr="00215B2F" w:rsidRDefault="00D91782" w:rsidP="003D4DE0">
      <w:pPr>
        <w:pStyle w:val="tevilnatoka"/>
        <w:numPr>
          <w:ilvl w:val="0"/>
          <w:numId w:val="128"/>
        </w:numPr>
        <w:shd w:val="clear" w:color="auto" w:fill="FFFFFF" w:themeFill="background1"/>
        <w:tabs>
          <w:tab w:val="clear" w:pos="425"/>
        </w:tabs>
        <w:rPr>
          <w:rFonts w:cs="Arial"/>
          <w:bCs/>
          <w:sz w:val="20"/>
          <w:szCs w:val="20"/>
        </w:rPr>
      </w:pPr>
      <w:r w:rsidRPr="00215B2F">
        <w:rPr>
          <w:rFonts w:eastAsia="Arial" w:cs="Arial"/>
          <w:sz w:val="20"/>
          <w:szCs w:val="20"/>
        </w:rPr>
        <w:t>redno upravljanje likvidnosti za ustrezne nize časovnih obdobij, vključno s časovnim obdobjem znotraj enega dne;</w:t>
      </w:r>
    </w:p>
    <w:p w14:paraId="62910AE8" w14:textId="77777777" w:rsidR="006A1A88" w:rsidRPr="00215B2F" w:rsidRDefault="00D91782" w:rsidP="003D4DE0">
      <w:pPr>
        <w:pStyle w:val="tevilnatoka"/>
        <w:numPr>
          <w:ilvl w:val="0"/>
          <w:numId w:val="128"/>
        </w:numPr>
        <w:shd w:val="clear" w:color="auto" w:fill="FFFFFF" w:themeFill="background1"/>
        <w:tabs>
          <w:tab w:val="clear" w:pos="425"/>
        </w:tabs>
        <w:rPr>
          <w:rFonts w:cs="Arial"/>
          <w:bCs/>
          <w:sz w:val="20"/>
          <w:szCs w:val="20"/>
        </w:rPr>
      </w:pPr>
      <w:r w:rsidRPr="00215B2F">
        <w:rPr>
          <w:rFonts w:eastAsia="Arial" w:cs="Arial"/>
          <w:sz w:val="20"/>
          <w:szCs w:val="20"/>
        </w:rPr>
        <w:lastRenderedPageBreak/>
        <w:t>razlikovanje med sredstvi, ki so zastavljena, ter sredstvi, ki so bremen prosta in razpoložljiva v vsakem trenutku, vključno v stresnih razmerah;</w:t>
      </w:r>
    </w:p>
    <w:p w14:paraId="0228963D" w14:textId="7B7C1726" w:rsidR="00D91782" w:rsidRPr="00215B2F" w:rsidRDefault="00D91782" w:rsidP="003D4DE0">
      <w:pPr>
        <w:pStyle w:val="tevilnatoka"/>
        <w:numPr>
          <w:ilvl w:val="0"/>
          <w:numId w:val="128"/>
        </w:numPr>
        <w:shd w:val="clear" w:color="auto" w:fill="FFFFFF" w:themeFill="background1"/>
        <w:tabs>
          <w:tab w:val="clear" w:pos="425"/>
        </w:tabs>
        <w:rPr>
          <w:rFonts w:cs="Arial"/>
          <w:bCs/>
          <w:sz w:val="20"/>
          <w:szCs w:val="20"/>
        </w:rPr>
      </w:pPr>
      <w:r w:rsidRPr="00215B2F">
        <w:rPr>
          <w:rFonts w:eastAsia="Arial" w:cs="Arial"/>
          <w:sz w:val="20"/>
          <w:szCs w:val="20"/>
        </w:rPr>
        <w:t>opredelitev ustreznih ukrepov za preprečitev oziroma odpravo vzrokov za likvidnostne primanjkljaje.</w:t>
      </w:r>
    </w:p>
    <w:p w14:paraId="0CC1F3F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A18625F" w14:textId="0A5DF4A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Strategije, politike in postopki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morajo biti prilagojeni poslovnim področjem, valutam poslov, ki jih banka opravlja, in pravnim osebam v skupini ter vključevati ustrezno metodologijo porazdelitve likvidnostnih stroškov, koristi in tveganj.</w:t>
      </w:r>
    </w:p>
    <w:p w14:paraId="37DE6DE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482C9E7" w14:textId="754040E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Strategije, politike in postopki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morajo biti sorazmerni </w:t>
      </w:r>
      <w:r w:rsidR="0050565B" w:rsidRPr="00215B2F">
        <w:rPr>
          <w:rFonts w:ascii="Arial" w:eastAsia="Arial" w:hAnsi="Arial" w:cs="Arial"/>
          <w:sz w:val="20"/>
          <w:szCs w:val="20"/>
        </w:rPr>
        <w:t xml:space="preserve">z </w:t>
      </w:r>
      <w:r w:rsidRPr="00215B2F">
        <w:rPr>
          <w:rFonts w:ascii="Arial" w:eastAsia="Arial" w:hAnsi="Arial" w:cs="Arial"/>
          <w:sz w:val="20"/>
          <w:szCs w:val="20"/>
        </w:rPr>
        <w:t>narav</w:t>
      </w:r>
      <w:r w:rsidR="0050565B" w:rsidRPr="00215B2F">
        <w:rPr>
          <w:rFonts w:ascii="Arial" w:eastAsia="Arial" w:hAnsi="Arial" w:cs="Arial"/>
          <w:sz w:val="20"/>
          <w:szCs w:val="20"/>
        </w:rPr>
        <w:t>o</w:t>
      </w:r>
      <w:r w:rsidRPr="00215B2F">
        <w:rPr>
          <w:rFonts w:ascii="Arial" w:eastAsia="Arial" w:hAnsi="Arial" w:cs="Arial"/>
          <w:sz w:val="20"/>
          <w:szCs w:val="20"/>
        </w:rPr>
        <w:t>, obseg</w:t>
      </w:r>
      <w:r w:rsidR="0050565B" w:rsidRPr="00215B2F">
        <w:rPr>
          <w:rFonts w:ascii="Arial" w:eastAsia="Arial" w:hAnsi="Arial" w:cs="Arial"/>
          <w:sz w:val="20"/>
          <w:szCs w:val="20"/>
        </w:rPr>
        <w:t>om</w:t>
      </w:r>
      <w:r w:rsidRPr="00215B2F">
        <w:rPr>
          <w:rFonts w:ascii="Arial" w:eastAsia="Arial" w:hAnsi="Arial" w:cs="Arial"/>
          <w:sz w:val="20"/>
          <w:szCs w:val="20"/>
        </w:rPr>
        <w:t xml:space="preserve"> in zapletenost</w:t>
      </w:r>
      <w:r w:rsidR="0050565B" w:rsidRPr="00215B2F">
        <w:rPr>
          <w:rFonts w:ascii="Arial" w:eastAsia="Arial" w:hAnsi="Arial" w:cs="Arial"/>
          <w:sz w:val="20"/>
          <w:szCs w:val="20"/>
        </w:rPr>
        <w:t>jo</w:t>
      </w:r>
      <w:r w:rsidRPr="00215B2F">
        <w:rPr>
          <w:rFonts w:ascii="Arial" w:eastAsia="Arial" w:hAnsi="Arial" w:cs="Arial"/>
          <w:sz w:val="20"/>
          <w:szCs w:val="20"/>
        </w:rPr>
        <w:t xml:space="preserve"> poslov, ki jih opravlja banka, ter </w:t>
      </w:r>
      <w:r w:rsidR="0050565B" w:rsidRPr="00215B2F">
        <w:rPr>
          <w:rFonts w:ascii="Arial" w:eastAsia="Arial" w:hAnsi="Arial" w:cs="Arial"/>
          <w:sz w:val="20"/>
          <w:szCs w:val="20"/>
        </w:rPr>
        <w:t xml:space="preserve">morajo </w:t>
      </w:r>
      <w:r w:rsidRPr="00215B2F">
        <w:rPr>
          <w:rFonts w:ascii="Arial" w:eastAsia="Arial" w:hAnsi="Arial" w:cs="Arial"/>
          <w:sz w:val="20"/>
          <w:szCs w:val="20"/>
        </w:rPr>
        <w:t>upoštevati obseg še sprejemljivega likvidnostnega tveganja, kot ga določi uprava banke, z upoštevanjem pomembnosti banke. Banka mora zagotoviti, da vsa pomembna poslovna področja v banki upoštevajo obseg še sprejemljivega likvidnostnega tveganja.</w:t>
      </w:r>
    </w:p>
    <w:p w14:paraId="68888945"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906FA8D"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člen</w:t>
      </w:r>
    </w:p>
    <w:p w14:paraId="14FD8D41" w14:textId="77777777" w:rsidR="00D91782" w:rsidRPr="00215B2F" w:rsidRDefault="00D91782" w:rsidP="00FD5520">
      <w:pPr>
        <w:pStyle w:val="Slog1"/>
        <w:shd w:val="clear" w:color="auto" w:fill="FFFFFF" w:themeFill="background1"/>
        <w:rPr>
          <w:sz w:val="20"/>
          <w:szCs w:val="20"/>
        </w:rPr>
      </w:pPr>
      <w:r w:rsidRPr="00215B2F">
        <w:rPr>
          <w:sz w:val="20"/>
          <w:szCs w:val="20"/>
        </w:rPr>
        <w:t>(obravnava likvidnostnega tveganja)</w:t>
      </w:r>
    </w:p>
    <w:p w14:paraId="5E20B5C7" w14:textId="77777777" w:rsidR="00D91782" w:rsidRPr="00215B2F" w:rsidRDefault="00D91782" w:rsidP="00FD5520">
      <w:pPr>
        <w:pStyle w:val="Slog1"/>
        <w:shd w:val="clear" w:color="auto" w:fill="FFFFFF" w:themeFill="background1"/>
        <w:jc w:val="both"/>
        <w:rPr>
          <w:sz w:val="20"/>
          <w:szCs w:val="20"/>
        </w:rPr>
      </w:pPr>
    </w:p>
    <w:p w14:paraId="27EA71DB" w14:textId="132A973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Profil likvidnostnega tveganja banke mora biti </w:t>
      </w:r>
      <w:r w:rsidR="008E3E39" w:rsidRPr="00215B2F">
        <w:rPr>
          <w:rFonts w:ascii="Arial" w:eastAsia="Arial" w:hAnsi="Arial" w:cs="Arial"/>
          <w:sz w:val="20"/>
          <w:szCs w:val="20"/>
        </w:rPr>
        <w:t xml:space="preserve">sorazmeren </w:t>
      </w:r>
      <w:r w:rsidRPr="00215B2F">
        <w:rPr>
          <w:rFonts w:ascii="Arial" w:eastAsia="Arial" w:hAnsi="Arial" w:cs="Arial"/>
          <w:sz w:val="20"/>
          <w:szCs w:val="20"/>
        </w:rPr>
        <w:t>z naravo, obsegom in zapletenostjo dejavnosti, ki jih opravlja banka.</w:t>
      </w:r>
    </w:p>
    <w:p w14:paraId="6D04278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81E9AE0" w14:textId="4DBD2A1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mora vzpostaviti ustrezne postopke in orodja za:</w:t>
      </w:r>
    </w:p>
    <w:p w14:paraId="4AAC4418"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A3CCCE2" w14:textId="77777777" w:rsidR="006A1A88" w:rsidRPr="00215B2F" w:rsidRDefault="00D91782" w:rsidP="003D4DE0">
      <w:pPr>
        <w:pStyle w:val="tevilnatoka"/>
        <w:numPr>
          <w:ilvl w:val="0"/>
          <w:numId w:val="129"/>
        </w:numPr>
        <w:shd w:val="clear" w:color="auto" w:fill="FFFFFF" w:themeFill="background1"/>
        <w:tabs>
          <w:tab w:val="clear" w:pos="425"/>
        </w:tabs>
        <w:rPr>
          <w:rFonts w:cs="Arial"/>
          <w:bCs/>
          <w:sz w:val="20"/>
          <w:szCs w:val="20"/>
        </w:rPr>
      </w:pPr>
      <w:r w:rsidRPr="00215B2F">
        <w:rPr>
          <w:rFonts w:eastAsia="Arial" w:cs="Arial"/>
          <w:sz w:val="20"/>
          <w:szCs w:val="20"/>
        </w:rPr>
        <w:t>ugotavljanje, merjenje, upravljanje in spremljanje pozicij financiranja, pri čemer upošteva trenutne in načrtovane pomembne denarne tokove, povezane s sredstvi, obveznostmi in zunajbilančnimi postavkami, vključno s pogojnimi obveznostmi, ter morebitni učinek tveganja ugleda;</w:t>
      </w:r>
    </w:p>
    <w:p w14:paraId="1DD1AA0A" w14:textId="07A63A77" w:rsidR="00D91782" w:rsidRPr="00215B2F" w:rsidRDefault="00D91782" w:rsidP="003D4DE0">
      <w:pPr>
        <w:pStyle w:val="tevilnatoka"/>
        <w:numPr>
          <w:ilvl w:val="0"/>
          <w:numId w:val="129"/>
        </w:numPr>
        <w:shd w:val="clear" w:color="auto" w:fill="FFFFFF" w:themeFill="background1"/>
        <w:tabs>
          <w:tab w:val="clear" w:pos="425"/>
        </w:tabs>
        <w:rPr>
          <w:rFonts w:cs="Arial"/>
          <w:bCs/>
          <w:sz w:val="20"/>
          <w:szCs w:val="20"/>
        </w:rPr>
      </w:pPr>
      <w:r w:rsidRPr="00215B2F">
        <w:rPr>
          <w:rFonts w:eastAsia="Arial" w:cs="Arial"/>
          <w:sz w:val="20"/>
          <w:szCs w:val="20"/>
        </w:rPr>
        <w:t xml:space="preserve">zmanjševanje likvidnostnega tveganja, vključno s sistemom limitov in likvidnostnimi blažilniki, ki povečujejo odpornost banke </w:t>
      </w:r>
      <w:r w:rsidR="008E3E39" w:rsidRPr="00215B2F">
        <w:rPr>
          <w:rFonts w:eastAsia="Arial" w:cs="Arial"/>
          <w:sz w:val="20"/>
          <w:szCs w:val="20"/>
        </w:rPr>
        <w:t xml:space="preserve">na </w:t>
      </w:r>
      <w:r w:rsidRPr="00215B2F">
        <w:rPr>
          <w:rFonts w:eastAsia="Arial" w:cs="Arial"/>
          <w:sz w:val="20"/>
          <w:szCs w:val="20"/>
        </w:rPr>
        <w:t>likvidnostn</w:t>
      </w:r>
      <w:r w:rsidR="008E3E39" w:rsidRPr="00215B2F">
        <w:rPr>
          <w:rFonts w:eastAsia="Arial" w:cs="Arial"/>
          <w:sz w:val="20"/>
          <w:szCs w:val="20"/>
        </w:rPr>
        <w:t>a</w:t>
      </w:r>
      <w:r w:rsidRPr="00215B2F">
        <w:rPr>
          <w:rFonts w:eastAsia="Arial" w:cs="Arial"/>
          <w:sz w:val="20"/>
          <w:szCs w:val="20"/>
        </w:rPr>
        <w:t xml:space="preserve"> tveganj</w:t>
      </w:r>
      <w:r w:rsidR="008E3E39" w:rsidRPr="00215B2F">
        <w:rPr>
          <w:rFonts w:eastAsia="Arial" w:cs="Arial"/>
          <w:sz w:val="20"/>
          <w:szCs w:val="20"/>
        </w:rPr>
        <w:t>a</w:t>
      </w:r>
      <w:r w:rsidRPr="00215B2F">
        <w:rPr>
          <w:rFonts w:eastAsia="Arial" w:cs="Arial"/>
          <w:sz w:val="20"/>
          <w:szCs w:val="20"/>
        </w:rPr>
        <w:t xml:space="preserve"> v kriznih razmerah.</w:t>
      </w:r>
    </w:p>
    <w:p w14:paraId="791AD8C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F7515C8" w14:textId="62C1602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mora zagotoviti raznovrstno strukturo virov financiranja in dostop do virov financiranja.</w:t>
      </w:r>
    </w:p>
    <w:p w14:paraId="091F6E2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9D14C76" w14:textId="5759563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mora najmanj enkrat na leto z uporabo različnih scenarijev pozicij likvidnosti, vključno z instrumenti zavarovanja pred likvidnostnim tveganjem, preveriti pravilnost in ustreznost predpostavk, ki so bile uporabljene pri določitvi politike upravljanja z likvidnostjo</w:t>
      </w:r>
      <w:r w:rsidR="0050565B" w:rsidRPr="00215B2F">
        <w:rPr>
          <w:rFonts w:ascii="Arial" w:eastAsia="Arial" w:hAnsi="Arial" w:cs="Arial"/>
          <w:sz w:val="20"/>
          <w:szCs w:val="20"/>
        </w:rPr>
        <w:t>,</w:t>
      </w:r>
      <w:r w:rsidRPr="00215B2F">
        <w:rPr>
          <w:rFonts w:ascii="Arial" w:eastAsia="Arial" w:hAnsi="Arial" w:cs="Arial"/>
          <w:sz w:val="20"/>
          <w:szCs w:val="20"/>
        </w:rPr>
        <w:t xml:space="preserve"> ter preverjati ustreznost postopkov in orodij za zmanjševanje likvidnostnega tveganja. Na podlagi ugotovitev preverjanja mora banka sprejeti ustrezne ukrepe za izboljšanje politike, postopkov in orodij upravljanja likvidnostnega tveganja.</w:t>
      </w:r>
    </w:p>
    <w:p w14:paraId="0D6F043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7007D8D"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člen</w:t>
      </w:r>
    </w:p>
    <w:p w14:paraId="13D56336" w14:textId="77777777" w:rsidR="00D91782" w:rsidRPr="00215B2F" w:rsidRDefault="00D91782" w:rsidP="00FD5520">
      <w:pPr>
        <w:pStyle w:val="Slog1"/>
        <w:shd w:val="clear" w:color="auto" w:fill="FFFFFF" w:themeFill="background1"/>
        <w:rPr>
          <w:sz w:val="20"/>
          <w:szCs w:val="20"/>
        </w:rPr>
      </w:pPr>
      <w:r w:rsidRPr="00215B2F">
        <w:rPr>
          <w:sz w:val="20"/>
          <w:szCs w:val="20"/>
        </w:rPr>
        <w:t>(načrt ukrepov za ponovno vzpostavitev ustrezne likvidnosti)</w:t>
      </w:r>
    </w:p>
    <w:p w14:paraId="7C4BDB31" w14:textId="77777777" w:rsidR="00D91782" w:rsidRPr="00215B2F" w:rsidRDefault="00D91782" w:rsidP="00FD5520">
      <w:pPr>
        <w:pStyle w:val="Slog1"/>
        <w:shd w:val="clear" w:color="auto" w:fill="FFFFFF" w:themeFill="background1"/>
        <w:jc w:val="both"/>
        <w:rPr>
          <w:sz w:val="20"/>
          <w:szCs w:val="20"/>
        </w:rPr>
      </w:pPr>
    </w:p>
    <w:p w14:paraId="0524D91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mora sprejeti strategijo in načrt ukrepov, ki se uporabijo v primeru nastanka morebitnih likvidnostnih primanjkljajev banke, pri čemer upošteva tudi poslovanje podružnic, ustanovljenih v drugih državah članicah.</w:t>
      </w:r>
    </w:p>
    <w:p w14:paraId="69C56E0E"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1A83B29" w14:textId="5BABF53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mora vsaj enkrat na leto preveriti ustreznost strategij in načrta ukrepov za ponovno vzpostavitev ustreznega likvidnostnega položaja in jih posodabljati na podlagi rezultatov scenarijev iz četrtega odstavka </w:t>
      </w:r>
      <w:r w:rsidR="00102C24" w:rsidRPr="00215B2F">
        <w:rPr>
          <w:rFonts w:ascii="Arial" w:eastAsia="Arial" w:hAnsi="Arial" w:cs="Arial"/>
          <w:sz w:val="20"/>
          <w:szCs w:val="20"/>
        </w:rPr>
        <w:t>209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Uprava banke mora na podlagi ugotovitev preverjanja sprejeti ustrezne ukrepe za prilagoditev strategij, politike in postopkov upravljanja likvidnostnega tveganja.</w:t>
      </w:r>
    </w:p>
    <w:p w14:paraId="68715A3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DF299DD" w14:textId="3762E82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mora na podlagi načrta ukrepov za ponovno vzpostavitev ustreznega likvidnostnega položaja zagotoviti vse operativne pogoje, da se lahko v primeru nastanka likvidnostnega primanjkljaja začnejo predvideni ukrepi takoj uresničevati.</w:t>
      </w:r>
    </w:p>
    <w:p w14:paraId="7DEAE51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F05AACC" w14:textId="3575A94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Operativni pogoji iz prejšnjega odstavka vključujejo posedovanje zavarovanja s premoženjem, ki je takoj razpoložljivo za financiranje s strani centralnih bank. To vključuje, da je zavarovanje s premoženjem po potrebi v valuti druge države članice ali valuti tretje države, v kateri ima institucija izpostavljenosti, in kadar je potrebno za poslovanje na ozemlju države članice gostiteljice ali tretje države, valuti katere je izpostavljena.</w:t>
      </w:r>
    </w:p>
    <w:p w14:paraId="5776231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A2CC7B3" w14:textId="2F929D06"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6.3.6 Upravljanje operativnega tveganja</w:t>
      </w:r>
    </w:p>
    <w:p w14:paraId="52F60D85"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44718BF2"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57" w:name="_Ref202964951"/>
      <w:r w:rsidRPr="00215B2F">
        <w:rPr>
          <w:rFonts w:ascii="Arial" w:eastAsia="Arial" w:hAnsi="Arial" w:cs="Arial"/>
          <w:b/>
          <w:bCs/>
          <w:sz w:val="20"/>
          <w:szCs w:val="20"/>
        </w:rPr>
        <w:t>člen</w:t>
      </w:r>
      <w:bookmarkEnd w:id="257"/>
    </w:p>
    <w:p w14:paraId="0BC10D8A" w14:textId="269EB564" w:rsidR="00D91782" w:rsidRPr="00215B2F" w:rsidRDefault="00D91782" w:rsidP="00FD5520">
      <w:pPr>
        <w:pStyle w:val="Slog1"/>
        <w:shd w:val="clear" w:color="auto" w:fill="FFFFFF" w:themeFill="background1"/>
        <w:rPr>
          <w:sz w:val="20"/>
          <w:szCs w:val="20"/>
        </w:rPr>
      </w:pPr>
      <w:r w:rsidRPr="00215B2F">
        <w:rPr>
          <w:sz w:val="20"/>
          <w:szCs w:val="20"/>
        </w:rPr>
        <w:t>(politika in p</w:t>
      </w:r>
      <w:r w:rsidR="00124B97" w:rsidRPr="00215B2F">
        <w:rPr>
          <w:sz w:val="20"/>
          <w:szCs w:val="20"/>
        </w:rPr>
        <w:t>ostopk</w:t>
      </w:r>
      <w:r w:rsidRPr="00215B2F">
        <w:rPr>
          <w:sz w:val="20"/>
          <w:szCs w:val="20"/>
        </w:rPr>
        <w:t>i upravljanja operativnega tveganja)</w:t>
      </w:r>
    </w:p>
    <w:p w14:paraId="08311E95" w14:textId="77777777" w:rsidR="00D91782" w:rsidRPr="00215B2F" w:rsidRDefault="00D91782" w:rsidP="00FD5520">
      <w:pPr>
        <w:pStyle w:val="Slog1"/>
        <w:shd w:val="clear" w:color="auto" w:fill="FFFFFF" w:themeFill="background1"/>
        <w:jc w:val="both"/>
        <w:rPr>
          <w:sz w:val="20"/>
          <w:szCs w:val="20"/>
        </w:rPr>
      </w:pPr>
    </w:p>
    <w:p w14:paraId="5F6EFD7D" w14:textId="4925C3C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mora vzpostaviti in uresničevati ustrezno politiko in </w:t>
      </w:r>
      <w:r w:rsidR="008E3E39" w:rsidRPr="00215B2F">
        <w:rPr>
          <w:rFonts w:ascii="Arial" w:eastAsia="Arial" w:hAnsi="Arial" w:cs="Arial"/>
          <w:sz w:val="20"/>
          <w:szCs w:val="20"/>
        </w:rPr>
        <w:t xml:space="preserve">procese </w:t>
      </w:r>
      <w:r w:rsidRPr="00215B2F">
        <w:rPr>
          <w:rFonts w:ascii="Arial" w:eastAsia="Arial" w:hAnsi="Arial" w:cs="Arial"/>
          <w:sz w:val="20"/>
          <w:szCs w:val="20"/>
        </w:rPr>
        <w:t>za upravljanje operativnega tveganja, vključno s tveganji, ki izhajajo iz dogovorov o zunanjem izvajanju</w:t>
      </w:r>
      <w:r w:rsidR="00360F26" w:rsidRPr="00215B2F">
        <w:rPr>
          <w:rFonts w:ascii="Arial" w:eastAsia="Arial" w:hAnsi="Arial" w:cs="Arial"/>
          <w:sz w:val="20"/>
          <w:szCs w:val="20"/>
        </w:rPr>
        <w:t>,</w:t>
      </w:r>
      <w:r w:rsidRPr="00215B2F">
        <w:rPr>
          <w:rFonts w:ascii="Arial" w:eastAsia="Arial" w:hAnsi="Arial" w:cs="Arial"/>
          <w:sz w:val="20"/>
          <w:szCs w:val="20"/>
        </w:rPr>
        <w:t xml:space="preserve"> ter neposrednih in posrednih izpostavljenosti kriptosredstvom in izpostavljenosti ponudnikom storitev v zvezi s kriptosredstvi in za kritje redkih dogodkov, ki imajo za banko pomembne posledice ali velik vpliv. </w:t>
      </w:r>
    </w:p>
    <w:p w14:paraId="0944F4F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FFF8990" w14:textId="69B42FF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mora za namene iz prejšnjega odstavka opredeliti dejavnike operativnega tveganja.</w:t>
      </w:r>
    </w:p>
    <w:p w14:paraId="494D3B6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2EC629D"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58" w:name="_Ref202964958"/>
      <w:r w:rsidRPr="00215B2F">
        <w:rPr>
          <w:rFonts w:ascii="Arial" w:eastAsia="Arial" w:hAnsi="Arial" w:cs="Arial"/>
          <w:b/>
          <w:bCs/>
          <w:sz w:val="20"/>
          <w:szCs w:val="20"/>
        </w:rPr>
        <w:t>člen</w:t>
      </w:r>
      <w:bookmarkEnd w:id="258"/>
    </w:p>
    <w:p w14:paraId="7C9529AA" w14:textId="77777777" w:rsidR="00D91782" w:rsidRPr="00215B2F" w:rsidRDefault="00D91782" w:rsidP="00FD5520">
      <w:pPr>
        <w:pStyle w:val="Slog1"/>
        <w:shd w:val="clear" w:color="auto" w:fill="FFFFFF" w:themeFill="background1"/>
        <w:rPr>
          <w:sz w:val="20"/>
          <w:szCs w:val="20"/>
        </w:rPr>
      </w:pPr>
      <w:r w:rsidRPr="00215B2F">
        <w:rPr>
          <w:sz w:val="20"/>
          <w:szCs w:val="20"/>
        </w:rPr>
        <w:t>(načrt neprekinjenega poslovanja)</w:t>
      </w:r>
    </w:p>
    <w:p w14:paraId="016C4D22" w14:textId="77777777" w:rsidR="00D91782" w:rsidRPr="00215B2F" w:rsidRDefault="00D91782" w:rsidP="00FD5520">
      <w:pPr>
        <w:pStyle w:val="Slog1"/>
        <w:shd w:val="clear" w:color="auto" w:fill="FFFFFF" w:themeFill="background1"/>
        <w:jc w:val="both"/>
        <w:rPr>
          <w:sz w:val="20"/>
          <w:szCs w:val="20"/>
        </w:rPr>
      </w:pPr>
    </w:p>
    <w:p w14:paraId="32D7B3E5" w14:textId="5355139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Banka mora zagotoviti, da ima ustrezne krizne načrte ter politike in načrte neprekinjenega poslovanja, vključno s politikami in načrti neprekinjenega poslovanja na področju informacijske in komunikacijske tehnologije, ter načrte odzivanja in okrevanja </w:t>
      </w:r>
      <w:r w:rsidR="008A542D" w:rsidRPr="00215B2F">
        <w:rPr>
          <w:rFonts w:ascii="Arial" w:eastAsia="Arial" w:hAnsi="Arial" w:cs="Arial"/>
          <w:sz w:val="20"/>
          <w:szCs w:val="20"/>
        </w:rPr>
        <w:t xml:space="preserve">na področju </w:t>
      </w:r>
      <w:r w:rsidRPr="00215B2F">
        <w:rPr>
          <w:rFonts w:ascii="Arial" w:eastAsia="Arial" w:hAnsi="Arial" w:cs="Arial"/>
          <w:sz w:val="20"/>
          <w:szCs w:val="20"/>
        </w:rPr>
        <w:t>IKT za tehnologijo, ki jo uporabljajo za sporočanje informacij, ter da se ti načrti vzpostavijo, upravljajo in testirajo v skladu z 11. členom Uredbe 2022/2554/EU, da banka lahko še naprej ustrezno posluje v primeru resnih motenj poslovanja in omeji izgube, ki nastanejo zaradi takih motenj.</w:t>
      </w:r>
    </w:p>
    <w:p w14:paraId="181D27EB"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31912B8A" w14:textId="533F8662"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6.3.</w:t>
      </w:r>
      <w:r w:rsidR="006B2743" w:rsidRPr="00215B2F">
        <w:rPr>
          <w:rFonts w:ascii="Arial" w:eastAsia="Arial" w:hAnsi="Arial" w:cs="Arial"/>
          <w:i/>
          <w:iCs/>
          <w:sz w:val="20"/>
          <w:szCs w:val="20"/>
        </w:rPr>
        <w:t>7</w:t>
      </w:r>
      <w:r w:rsidRPr="00215B2F">
        <w:rPr>
          <w:rFonts w:ascii="Arial" w:eastAsia="Arial" w:hAnsi="Arial" w:cs="Arial"/>
          <w:i/>
          <w:iCs/>
          <w:sz w:val="20"/>
          <w:szCs w:val="20"/>
        </w:rPr>
        <w:t xml:space="preserve"> Upravljanje okoljskih, </w:t>
      </w:r>
      <w:r w:rsidR="008E3E39" w:rsidRPr="00215B2F">
        <w:rPr>
          <w:rFonts w:ascii="Arial" w:eastAsia="Arial" w:hAnsi="Arial" w:cs="Arial"/>
          <w:i/>
          <w:iCs/>
          <w:sz w:val="20"/>
          <w:szCs w:val="20"/>
        </w:rPr>
        <w:t xml:space="preserve">socialnih </w:t>
      </w:r>
      <w:r w:rsidRPr="00215B2F">
        <w:rPr>
          <w:rFonts w:ascii="Arial" w:eastAsia="Arial" w:hAnsi="Arial" w:cs="Arial"/>
          <w:i/>
          <w:iCs/>
          <w:sz w:val="20"/>
          <w:szCs w:val="20"/>
        </w:rPr>
        <w:t>in upravljavskih tveganj</w:t>
      </w:r>
    </w:p>
    <w:p w14:paraId="29402211" w14:textId="77777777"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p>
    <w:p w14:paraId="14385BE3" w14:textId="77777777" w:rsidR="009153D1" w:rsidRPr="00215B2F" w:rsidRDefault="009153D1"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59" w:name="_Ref202964983"/>
      <w:r w:rsidRPr="00215B2F">
        <w:rPr>
          <w:rFonts w:ascii="Arial" w:eastAsia="Arial" w:hAnsi="Arial" w:cs="Arial"/>
          <w:b/>
          <w:bCs/>
          <w:sz w:val="20"/>
          <w:szCs w:val="20"/>
        </w:rPr>
        <w:t>člen</w:t>
      </w:r>
      <w:bookmarkEnd w:id="259"/>
    </w:p>
    <w:p w14:paraId="4FBBE38A" w14:textId="49005EAE" w:rsidR="00D91782" w:rsidRPr="00215B2F" w:rsidRDefault="00D91782" w:rsidP="00FD5520">
      <w:pPr>
        <w:pStyle w:val="Slog1"/>
        <w:shd w:val="clear" w:color="auto" w:fill="FFFFFF" w:themeFill="background1"/>
        <w:rPr>
          <w:sz w:val="20"/>
          <w:szCs w:val="20"/>
        </w:rPr>
      </w:pPr>
      <w:r w:rsidRPr="00215B2F">
        <w:rPr>
          <w:sz w:val="20"/>
          <w:szCs w:val="20"/>
        </w:rPr>
        <w:t xml:space="preserve">(okoljska, </w:t>
      </w:r>
      <w:r w:rsidR="008E3E39" w:rsidRPr="00215B2F">
        <w:rPr>
          <w:sz w:val="20"/>
          <w:szCs w:val="20"/>
        </w:rPr>
        <w:t xml:space="preserve">socialna </w:t>
      </w:r>
      <w:r w:rsidRPr="00215B2F">
        <w:rPr>
          <w:sz w:val="20"/>
          <w:szCs w:val="20"/>
        </w:rPr>
        <w:t>in upravljavska tveganja)</w:t>
      </w:r>
    </w:p>
    <w:p w14:paraId="7615012E" w14:textId="77777777" w:rsidR="00D91782" w:rsidRPr="00215B2F" w:rsidRDefault="00D91782" w:rsidP="00FD5520">
      <w:pPr>
        <w:pStyle w:val="Slog1"/>
        <w:shd w:val="clear" w:color="auto" w:fill="FFFFFF" w:themeFill="background1"/>
        <w:jc w:val="both"/>
        <w:rPr>
          <w:sz w:val="20"/>
          <w:szCs w:val="20"/>
        </w:rPr>
      </w:pPr>
    </w:p>
    <w:p w14:paraId="1EDB345B" w14:textId="6905114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260" w:name="_Hlk203483687"/>
      <w:r w:rsidRPr="00215B2F">
        <w:rPr>
          <w:rFonts w:ascii="Arial" w:eastAsia="Arial" w:hAnsi="Arial" w:cs="Arial"/>
          <w:sz w:val="20"/>
          <w:szCs w:val="20"/>
        </w:rPr>
        <w:t xml:space="preserve">(1) Banka ima kot del svojih ureditev upravljanja, vključno z okvirom upravljanja tveganj, ki se zahteva na podlagi </w:t>
      </w:r>
      <w:r w:rsidR="00102C24" w:rsidRPr="00215B2F">
        <w:rPr>
          <w:rFonts w:ascii="Arial" w:eastAsia="Arial" w:hAnsi="Arial" w:cs="Arial"/>
          <w:sz w:val="20"/>
          <w:szCs w:val="20"/>
        </w:rPr>
        <w:t>177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zanesljive strategije, politike, p</w:t>
      </w:r>
      <w:r w:rsidR="00124B97" w:rsidRPr="00215B2F">
        <w:rPr>
          <w:rFonts w:ascii="Arial" w:eastAsia="Arial" w:hAnsi="Arial" w:cs="Arial"/>
          <w:sz w:val="20"/>
          <w:szCs w:val="20"/>
        </w:rPr>
        <w:t>ostopk</w:t>
      </w:r>
      <w:r w:rsidRPr="00215B2F">
        <w:rPr>
          <w:rFonts w:ascii="Arial" w:eastAsia="Arial" w:hAnsi="Arial" w:cs="Arial"/>
          <w:sz w:val="20"/>
          <w:szCs w:val="20"/>
        </w:rPr>
        <w:t xml:space="preserve">e in sisteme za ugotavljanje, merjenje, upravljanje in spremljanje ESG tveganj v kratkoročnem, srednjeročnem in dolgoročnem obdobju. </w:t>
      </w:r>
    </w:p>
    <w:p w14:paraId="79D8CC21"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A74373C" w14:textId="02743BF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Strategije, politike, p</w:t>
      </w:r>
      <w:r w:rsidR="00124B97" w:rsidRPr="00215B2F">
        <w:rPr>
          <w:rFonts w:ascii="Arial" w:eastAsia="Arial" w:hAnsi="Arial" w:cs="Arial"/>
          <w:sz w:val="20"/>
          <w:szCs w:val="20"/>
        </w:rPr>
        <w:t>ostopk</w:t>
      </w:r>
      <w:r w:rsidRPr="00215B2F">
        <w:rPr>
          <w:rFonts w:ascii="Arial" w:eastAsia="Arial" w:hAnsi="Arial" w:cs="Arial"/>
          <w:sz w:val="20"/>
          <w:szCs w:val="20"/>
        </w:rPr>
        <w:t xml:space="preserve">i in sistemi iz prejšnjega odstavka so sorazmerni z obsegom, naravo in zapletenostjo ESG tveganj poslovnega modela in obsegom dejavnosti banke ter upoštevajo kratkoročno, srednjeročno in dolgoročno obdobje najmanj desetih let. </w:t>
      </w:r>
    </w:p>
    <w:p w14:paraId="1F605C1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777F122" w14:textId="6F780D7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svojo odpornost </w:t>
      </w:r>
      <w:r w:rsidR="008E3E39" w:rsidRPr="00215B2F">
        <w:rPr>
          <w:rFonts w:ascii="Arial" w:eastAsia="Arial" w:hAnsi="Arial" w:cs="Arial"/>
          <w:sz w:val="20"/>
          <w:szCs w:val="20"/>
        </w:rPr>
        <w:t>na</w:t>
      </w:r>
      <w:r w:rsidR="00124B97" w:rsidRPr="00215B2F">
        <w:rPr>
          <w:rFonts w:ascii="Arial" w:eastAsia="Arial" w:hAnsi="Arial" w:cs="Arial"/>
          <w:sz w:val="20"/>
          <w:szCs w:val="20"/>
        </w:rPr>
        <w:t xml:space="preserve"> </w:t>
      </w:r>
      <w:r w:rsidRPr="00215B2F">
        <w:rPr>
          <w:rFonts w:ascii="Arial" w:eastAsia="Arial" w:hAnsi="Arial" w:cs="Arial"/>
          <w:sz w:val="20"/>
          <w:szCs w:val="20"/>
        </w:rPr>
        <w:t>dolgoročn</w:t>
      </w:r>
      <w:r w:rsidR="008E3E39" w:rsidRPr="00215B2F">
        <w:rPr>
          <w:rFonts w:ascii="Arial" w:eastAsia="Arial" w:hAnsi="Arial" w:cs="Arial"/>
          <w:sz w:val="20"/>
          <w:szCs w:val="20"/>
        </w:rPr>
        <w:t>e</w:t>
      </w:r>
      <w:r w:rsidRPr="00215B2F">
        <w:rPr>
          <w:rFonts w:ascii="Arial" w:eastAsia="Arial" w:hAnsi="Arial" w:cs="Arial"/>
          <w:sz w:val="20"/>
          <w:szCs w:val="20"/>
        </w:rPr>
        <w:t xml:space="preserve"> negativn</w:t>
      </w:r>
      <w:r w:rsidR="008E3E39" w:rsidRPr="00215B2F">
        <w:rPr>
          <w:rFonts w:ascii="Arial" w:eastAsia="Arial" w:hAnsi="Arial" w:cs="Arial"/>
          <w:sz w:val="20"/>
          <w:szCs w:val="20"/>
        </w:rPr>
        <w:t>e</w:t>
      </w:r>
      <w:r w:rsidRPr="00215B2F">
        <w:rPr>
          <w:rFonts w:ascii="Arial" w:eastAsia="Arial" w:hAnsi="Arial" w:cs="Arial"/>
          <w:sz w:val="20"/>
          <w:szCs w:val="20"/>
        </w:rPr>
        <w:t xml:space="preserve"> učink</w:t>
      </w:r>
      <w:r w:rsidR="008E3E39" w:rsidRPr="00215B2F">
        <w:rPr>
          <w:rFonts w:ascii="Arial" w:eastAsia="Arial" w:hAnsi="Arial" w:cs="Arial"/>
          <w:sz w:val="20"/>
          <w:szCs w:val="20"/>
        </w:rPr>
        <w:t>e</w:t>
      </w:r>
      <w:r w:rsidRPr="00215B2F">
        <w:rPr>
          <w:rFonts w:ascii="Arial" w:eastAsia="Arial" w:hAnsi="Arial" w:cs="Arial"/>
          <w:sz w:val="20"/>
          <w:szCs w:val="20"/>
        </w:rPr>
        <w:t xml:space="preserve"> ESG dejavnikov preizkuša, tako da:</w:t>
      </w:r>
    </w:p>
    <w:p w14:paraId="3F30B4A8"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F01E30F" w14:textId="77777777" w:rsidR="006A1A88"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preizkušanje izvede v okviru osnovnega in neugodnega scenarija v danem časovnem okviru, začenši z dejavniki, povezanimi s podnebjem; </w:t>
      </w:r>
    </w:p>
    <w:p w14:paraId="3A32C0F1" w14:textId="68C62510" w:rsidR="006A1A88"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v preizkušanje vključi številne ESG scenarije, ki odražajo možne učinke okoljskih in </w:t>
      </w:r>
      <w:r w:rsidR="008E3E39" w:rsidRPr="00215B2F">
        <w:rPr>
          <w:rFonts w:ascii="Arial" w:eastAsia="Arial" w:hAnsi="Arial" w:cs="Arial"/>
          <w:sz w:val="20"/>
          <w:szCs w:val="20"/>
        </w:rPr>
        <w:t xml:space="preserve">socialnih </w:t>
      </w:r>
      <w:r w:rsidRPr="00215B2F">
        <w:rPr>
          <w:rFonts w:ascii="Arial" w:eastAsia="Arial" w:hAnsi="Arial" w:cs="Arial"/>
          <w:sz w:val="20"/>
          <w:szCs w:val="20"/>
        </w:rPr>
        <w:t>sprememb ter povezanih javnih politik na dolgoročno poslovno okolje;</w:t>
      </w:r>
    </w:p>
    <w:p w14:paraId="06C03350" w14:textId="76411796"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pri postopku preizkušanja uporabi verodostojne scenarije, ki temeljijo na scenarijih, ki jih pripravijo mednarodne organizacije. </w:t>
      </w:r>
    </w:p>
    <w:p w14:paraId="1FFA0F3E"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67D41F5" w14:textId="066A71A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oceni in spremlja razvoj praks bank, vključno z načrti, ki zajemajo merljive cilje, v zvezi z njihovimi ESG strategijami ter upravljanjem tveganj</w:t>
      </w:r>
      <w:r w:rsidR="00124B97" w:rsidRPr="00215B2F">
        <w:rPr>
          <w:rFonts w:ascii="Arial" w:eastAsia="Arial" w:hAnsi="Arial" w:cs="Arial"/>
          <w:sz w:val="20"/>
          <w:szCs w:val="20"/>
        </w:rPr>
        <w:t>,</w:t>
      </w:r>
      <w:r w:rsidRPr="00215B2F">
        <w:rPr>
          <w:rFonts w:ascii="Arial" w:eastAsia="Arial" w:hAnsi="Arial" w:cs="Arial"/>
          <w:sz w:val="20"/>
          <w:szCs w:val="20"/>
        </w:rPr>
        <w:t xml:space="preserve"> in pri tem: </w:t>
      </w:r>
    </w:p>
    <w:p w14:paraId="23A0F2DC"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7A448C3" w14:textId="77B2121A" w:rsidR="006A1A88"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v okviru </w:t>
      </w:r>
      <w:r w:rsidR="008E3E39" w:rsidRPr="00215B2F">
        <w:rPr>
          <w:rFonts w:ascii="Arial" w:eastAsia="Arial" w:hAnsi="Arial" w:cs="Arial"/>
          <w:sz w:val="20"/>
          <w:szCs w:val="20"/>
        </w:rPr>
        <w:t xml:space="preserve">procesa </w:t>
      </w:r>
      <w:r w:rsidRPr="00215B2F">
        <w:rPr>
          <w:rFonts w:ascii="Arial" w:eastAsia="Arial" w:hAnsi="Arial" w:cs="Arial"/>
          <w:sz w:val="20"/>
          <w:szCs w:val="20"/>
        </w:rPr>
        <w:t xml:space="preserve">nadzorniškega pregledovanja in ovrednotenja oceni zanesljivost načrtov, ki jih banke pripravijo v skladu s petim odstavkom </w:t>
      </w:r>
      <w:r w:rsidR="00102C24" w:rsidRPr="00215B2F">
        <w:rPr>
          <w:rFonts w:ascii="Arial" w:eastAsia="Arial" w:hAnsi="Arial" w:cs="Arial"/>
          <w:sz w:val="20"/>
          <w:szCs w:val="20"/>
        </w:rPr>
        <w:t>197</w:t>
      </w:r>
      <w:r w:rsidRPr="00215B2F">
        <w:rPr>
          <w:rFonts w:ascii="Arial" w:eastAsia="Arial" w:hAnsi="Arial" w:cs="Arial"/>
          <w:sz w:val="20"/>
          <w:szCs w:val="20"/>
        </w:rPr>
        <w:t>. člena</w:t>
      </w:r>
      <w:r w:rsidR="00102C24" w:rsidRPr="00215B2F">
        <w:rPr>
          <w:rFonts w:ascii="Arial" w:eastAsia="Arial" w:hAnsi="Arial" w:cs="Arial"/>
          <w:sz w:val="20"/>
          <w:szCs w:val="20"/>
        </w:rPr>
        <w:t xml:space="preserve"> tega zakona</w:t>
      </w:r>
      <w:r w:rsidRPr="00215B2F">
        <w:rPr>
          <w:rFonts w:ascii="Arial" w:eastAsia="Arial" w:hAnsi="Arial" w:cs="Arial"/>
          <w:sz w:val="20"/>
          <w:szCs w:val="20"/>
        </w:rPr>
        <w:t xml:space="preserve">; </w:t>
      </w:r>
    </w:p>
    <w:p w14:paraId="75C9A559" w14:textId="1C600D11"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upošteva ponudbe produktov bank, povezanih s trajnostnostjo, njihove politike financiranja prehoda, povezane politike dajanja posojil ter ESG cilje in omejitve</w:t>
      </w:r>
      <w:r w:rsidR="00124B97" w:rsidRPr="00215B2F">
        <w:rPr>
          <w:rFonts w:ascii="Arial" w:eastAsia="Arial" w:hAnsi="Arial" w:cs="Arial"/>
          <w:sz w:val="20"/>
          <w:szCs w:val="20"/>
        </w:rPr>
        <w:t>.</w:t>
      </w:r>
      <w:r w:rsidRPr="00215B2F">
        <w:rPr>
          <w:rFonts w:ascii="Arial" w:eastAsia="Arial" w:hAnsi="Arial" w:cs="Arial"/>
          <w:sz w:val="20"/>
          <w:szCs w:val="20"/>
        </w:rPr>
        <w:t xml:space="preserve"> </w:t>
      </w:r>
    </w:p>
    <w:p w14:paraId="7A9CD6B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3D9389F" w14:textId="669711E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lahko pri pripravi ocene iz </w:t>
      </w:r>
      <w:r w:rsidR="00250382" w:rsidRPr="00215B2F">
        <w:rPr>
          <w:rFonts w:ascii="Arial" w:eastAsia="Arial" w:hAnsi="Arial" w:cs="Arial"/>
          <w:sz w:val="20"/>
          <w:szCs w:val="20"/>
        </w:rPr>
        <w:t xml:space="preserve">prejšnjega </w:t>
      </w:r>
      <w:r w:rsidR="00746E88" w:rsidRPr="00215B2F">
        <w:rPr>
          <w:rFonts w:ascii="Arial" w:eastAsia="Arial" w:hAnsi="Arial" w:cs="Arial"/>
          <w:sz w:val="20"/>
          <w:szCs w:val="20"/>
        </w:rPr>
        <w:t xml:space="preserve">odstavka </w:t>
      </w:r>
      <w:r w:rsidRPr="00215B2F">
        <w:rPr>
          <w:rFonts w:ascii="Arial" w:eastAsia="Arial" w:hAnsi="Arial" w:cs="Arial"/>
          <w:sz w:val="20"/>
          <w:szCs w:val="20"/>
        </w:rPr>
        <w:t>po potrebi sodeluje z organi ali javnimi telesi, pristojnimi za podnebne spremembe in okoljski nadzor.</w:t>
      </w:r>
    </w:p>
    <w:bookmarkEnd w:id="260"/>
    <w:p w14:paraId="4F5E1E2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8B88C32" w14:textId="5C96E4B9"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6.3.</w:t>
      </w:r>
      <w:r w:rsidR="006B2743" w:rsidRPr="00215B2F">
        <w:rPr>
          <w:rFonts w:ascii="Arial" w:eastAsia="Arial" w:hAnsi="Arial" w:cs="Arial"/>
          <w:i/>
          <w:iCs/>
          <w:sz w:val="20"/>
          <w:szCs w:val="20"/>
        </w:rPr>
        <w:t>8</w:t>
      </w:r>
      <w:r w:rsidRPr="00215B2F">
        <w:rPr>
          <w:rFonts w:ascii="Arial" w:eastAsia="Arial" w:hAnsi="Arial" w:cs="Arial"/>
          <w:i/>
          <w:iCs/>
          <w:sz w:val="20"/>
          <w:szCs w:val="20"/>
        </w:rPr>
        <w:t xml:space="preserve"> Upravljanje drugih tveganj</w:t>
      </w:r>
    </w:p>
    <w:p w14:paraId="0AE750E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7186A1D"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61" w:name="_Ref202964994"/>
      <w:r w:rsidRPr="00215B2F">
        <w:rPr>
          <w:rFonts w:ascii="Arial" w:eastAsia="Arial" w:hAnsi="Arial" w:cs="Arial"/>
          <w:b/>
          <w:bCs/>
          <w:sz w:val="20"/>
          <w:szCs w:val="20"/>
        </w:rPr>
        <w:t>člen</w:t>
      </w:r>
      <w:bookmarkEnd w:id="261"/>
    </w:p>
    <w:p w14:paraId="0F35F5E4" w14:textId="77777777" w:rsidR="00D91782" w:rsidRPr="00215B2F" w:rsidRDefault="00D91782" w:rsidP="00FD5520">
      <w:pPr>
        <w:pStyle w:val="Slog1"/>
        <w:shd w:val="clear" w:color="auto" w:fill="FFFFFF" w:themeFill="background1"/>
        <w:rPr>
          <w:sz w:val="20"/>
          <w:szCs w:val="20"/>
        </w:rPr>
      </w:pPr>
      <w:r w:rsidRPr="00215B2F">
        <w:rPr>
          <w:sz w:val="20"/>
          <w:szCs w:val="20"/>
        </w:rPr>
        <w:t>(tveganje koncentracije)</w:t>
      </w:r>
    </w:p>
    <w:p w14:paraId="2426E6F3" w14:textId="77777777" w:rsidR="00D91782" w:rsidRPr="00215B2F" w:rsidRDefault="00D91782" w:rsidP="00FD5520">
      <w:pPr>
        <w:pStyle w:val="Slog1"/>
        <w:shd w:val="clear" w:color="auto" w:fill="FFFFFF" w:themeFill="background1"/>
        <w:jc w:val="both"/>
        <w:rPr>
          <w:sz w:val="20"/>
          <w:szCs w:val="20"/>
        </w:rPr>
      </w:pPr>
    </w:p>
    <w:p w14:paraId="0376B7D2" w14:textId="34B2BA4A" w:rsidR="00D91782" w:rsidRPr="00215B2F" w:rsidRDefault="00D91782" w:rsidP="00FD5520">
      <w:pPr>
        <w:pStyle w:val="Slog1"/>
        <w:shd w:val="clear" w:color="auto" w:fill="FFFFFF" w:themeFill="background1"/>
        <w:jc w:val="both"/>
        <w:rPr>
          <w:b w:val="0"/>
          <w:bCs w:val="0"/>
          <w:sz w:val="20"/>
          <w:szCs w:val="20"/>
        </w:rPr>
      </w:pPr>
      <w:bookmarkStart w:id="262" w:name="_Hlk203483771"/>
      <w:r w:rsidRPr="00215B2F">
        <w:rPr>
          <w:b w:val="0"/>
          <w:bCs w:val="0"/>
          <w:sz w:val="20"/>
          <w:szCs w:val="20"/>
        </w:rPr>
        <w:lastRenderedPageBreak/>
        <w:t>(1) Banka mora vzpostaviti in uresničevati jasno politiko in p</w:t>
      </w:r>
      <w:r w:rsidR="007A7455" w:rsidRPr="00215B2F">
        <w:rPr>
          <w:b w:val="0"/>
          <w:bCs w:val="0"/>
          <w:sz w:val="20"/>
          <w:szCs w:val="20"/>
        </w:rPr>
        <w:t>ostopk</w:t>
      </w:r>
      <w:r w:rsidRPr="00215B2F">
        <w:rPr>
          <w:b w:val="0"/>
          <w:bCs w:val="0"/>
          <w:sz w:val="20"/>
          <w:szCs w:val="20"/>
        </w:rPr>
        <w:t>e za obravnavo tveganj, ki jih prevzema v primeru koncentracije izpostavljenosti banke (tveganje koncentracije).</w:t>
      </w:r>
    </w:p>
    <w:p w14:paraId="203488A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C76A7F6" w14:textId="458BD34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mora zlasti obravnavati koncentracije, ki so posledica:</w:t>
      </w:r>
    </w:p>
    <w:p w14:paraId="01CEB9B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49EBBC6" w14:textId="77777777" w:rsidR="006A1A88" w:rsidRPr="00215B2F" w:rsidRDefault="00D91782" w:rsidP="003D4DE0">
      <w:pPr>
        <w:pStyle w:val="tevilnatoka"/>
        <w:numPr>
          <w:ilvl w:val="0"/>
          <w:numId w:val="130"/>
        </w:numPr>
        <w:shd w:val="clear" w:color="auto" w:fill="FFFFFF" w:themeFill="background1"/>
        <w:tabs>
          <w:tab w:val="clear" w:pos="425"/>
        </w:tabs>
        <w:rPr>
          <w:rFonts w:cs="Arial"/>
          <w:bCs/>
          <w:sz w:val="20"/>
          <w:szCs w:val="20"/>
        </w:rPr>
      </w:pPr>
      <w:r w:rsidRPr="00215B2F">
        <w:rPr>
          <w:rFonts w:eastAsia="Arial" w:cs="Arial"/>
          <w:sz w:val="20"/>
          <w:szCs w:val="20"/>
        </w:rPr>
        <w:t>izpostavljenosti do posamezne nasprotne stranke, vključno s centralnimi nasprotnimi strankami, in skupin povezanih nasprotnih strank;</w:t>
      </w:r>
    </w:p>
    <w:p w14:paraId="6852B3DF" w14:textId="47A178D5" w:rsidR="006A1A88" w:rsidRPr="00215B2F" w:rsidRDefault="00D91782" w:rsidP="003D4DE0">
      <w:pPr>
        <w:pStyle w:val="tevilnatoka"/>
        <w:numPr>
          <w:ilvl w:val="0"/>
          <w:numId w:val="130"/>
        </w:numPr>
        <w:shd w:val="clear" w:color="auto" w:fill="FFFFFF" w:themeFill="background1"/>
        <w:tabs>
          <w:tab w:val="clear" w:pos="425"/>
        </w:tabs>
        <w:rPr>
          <w:rFonts w:cs="Arial"/>
          <w:bCs/>
          <w:sz w:val="20"/>
          <w:szCs w:val="20"/>
        </w:rPr>
      </w:pPr>
      <w:r w:rsidRPr="00215B2F">
        <w:rPr>
          <w:rFonts w:eastAsia="Arial" w:cs="Arial"/>
          <w:sz w:val="20"/>
          <w:szCs w:val="20"/>
        </w:rPr>
        <w:t>izpostavljenosti do nasprotnih strank v istem gospodarskem sektorju, geografski regiji ali v isti dejavnosti ali v povezavi z istim blagom ali</w:t>
      </w:r>
    </w:p>
    <w:p w14:paraId="4F1E607D" w14:textId="36CBDAE6" w:rsidR="00D91782" w:rsidRPr="00215B2F" w:rsidRDefault="00D91782" w:rsidP="003D4DE0">
      <w:pPr>
        <w:pStyle w:val="tevilnatoka"/>
        <w:numPr>
          <w:ilvl w:val="0"/>
          <w:numId w:val="130"/>
        </w:numPr>
        <w:shd w:val="clear" w:color="auto" w:fill="FFFFFF" w:themeFill="background1"/>
        <w:tabs>
          <w:tab w:val="clear" w:pos="425"/>
        </w:tabs>
        <w:rPr>
          <w:rFonts w:cs="Arial"/>
          <w:bCs/>
          <w:sz w:val="20"/>
          <w:szCs w:val="20"/>
        </w:rPr>
      </w:pPr>
      <w:r w:rsidRPr="00215B2F">
        <w:rPr>
          <w:rFonts w:eastAsia="Arial" w:cs="Arial"/>
          <w:sz w:val="20"/>
          <w:szCs w:val="20"/>
        </w:rPr>
        <w:t>uporabe tehnik za zmanjševanje kreditnega tveganja, zlasti tveganj, povezanih z velikimi posrednimi kreditnimi izpostavljenostmi, kot v primeru izpostavljenosti do posameznega izdajatelja zavarovanja s premoženjem.</w:t>
      </w:r>
    </w:p>
    <w:bookmarkEnd w:id="262"/>
    <w:p w14:paraId="520C865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B687A45" w14:textId="649F65A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Za kriptosredstva brez prepoznavnega izdajatelja se tveganje koncentracije upošteva v smislu izpostavljenosti kriptosredstvom s podobnimi značilnostmi.</w:t>
      </w:r>
    </w:p>
    <w:p w14:paraId="76DBAD97"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2278142" w14:textId="37796A0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oceni in spremlja razvoj na področju praks bank v zvezi z upravljanjem tveganja koncentracije, ki izhaja iz izpostavljenosti do centralnih nasprotnih strank, vključno z načrti, pripravljenimi v skladu z devetim odstavkom </w:t>
      </w:r>
      <w:r w:rsidR="00102C24" w:rsidRPr="00215B2F">
        <w:rPr>
          <w:rFonts w:ascii="Arial" w:eastAsia="Arial" w:hAnsi="Arial" w:cs="Arial"/>
          <w:sz w:val="20"/>
          <w:szCs w:val="20"/>
        </w:rPr>
        <w:t>197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ter napredek pri prilagajanju njenih poslovnih modelov zahtevam iz </w:t>
      </w:r>
      <w:r w:rsidR="00CE740F" w:rsidRPr="00215B2F">
        <w:rPr>
          <w:rFonts w:ascii="Arial" w:eastAsia="Arial" w:hAnsi="Arial" w:cs="Arial"/>
          <w:sz w:val="20"/>
          <w:szCs w:val="20"/>
        </w:rPr>
        <w:t xml:space="preserve">7.a </w:t>
      </w:r>
      <w:r w:rsidRPr="00215B2F">
        <w:rPr>
          <w:rFonts w:ascii="Arial" w:eastAsia="Arial" w:hAnsi="Arial" w:cs="Arial"/>
          <w:sz w:val="20"/>
          <w:szCs w:val="20"/>
        </w:rPr>
        <w:t xml:space="preserve">člena Uredbe 648/2012/EU. </w:t>
      </w:r>
    </w:p>
    <w:p w14:paraId="509692CC"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3B8A8370"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63" w:name="_Ref202965003"/>
      <w:r w:rsidRPr="00215B2F">
        <w:rPr>
          <w:rFonts w:ascii="Arial" w:eastAsia="Arial" w:hAnsi="Arial" w:cs="Arial"/>
          <w:b/>
          <w:bCs/>
          <w:sz w:val="20"/>
          <w:szCs w:val="20"/>
        </w:rPr>
        <w:t>člen</w:t>
      </w:r>
      <w:bookmarkEnd w:id="263"/>
    </w:p>
    <w:p w14:paraId="176F03FD" w14:textId="77777777" w:rsidR="00D91782" w:rsidRPr="00215B2F" w:rsidRDefault="00D91782" w:rsidP="00FD5520">
      <w:pPr>
        <w:pStyle w:val="Slog1"/>
        <w:shd w:val="clear" w:color="auto" w:fill="FFFFFF" w:themeFill="background1"/>
        <w:rPr>
          <w:sz w:val="20"/>
          <w:szCs w:val="20"/>
        </w:rPr>
      </w:pPr>
      <w:r w:rsidRPr="00215B2F">
        <w:rPr>
          <w:sz w:val="20"/>
          <w:szCs w:val="20"/>
        </w:rPr>
        <w:t>(soglasje nadzornega sveta za sklenitev posameznih poslov)</w:t>
      </w:r>
    </w:p>
    <w:p w14:paraId="18F8C5D9" w14:textId="77777777" w:rsidR="00D91782" w:rsidRPr="00215B2F" w:rsidRDefault="00D91782" w:rsidP="00FD5520">
      <w:pPr>
        <w:pStyle w:val="Slog1"/>
        <w:shd w:val="clear" w:color="auto" w:fill="FFFFFF" w:themeFill="background1"/>
        <w:jc w:val="both"/>
        <w:rPr>
          <w:sz w:val="20"/>
          <w:szCs w:val="20"/>
        </w:rPr>
      </w:pPr>
    </w:p>
    <w:p w14:paraId="1ACACD82" w14:textId="09302F3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Za sklenitev pravnega posla, na podlagi katerega bi ob upoštevanju celotne izpostavljenosti banke, vključno s posredno kreditno izpostavljenostjo, nastala izpostavljenost banke do posamezne stranke ali skupine povezanih strank, ki dosega ali presega deset odstotkov temeljnega kapitala banke, je treba pridobiti predhodno soglasje </w:t>
      </w:r>
      <w:r w:rsidR="00354135" w:rsidRPr="00215B2F">
        <w:rPr>
          <w:rFonts w:ascii="Arial" w:eastAsia="Arial" w:hAnsi="Arial" w:cs="Arial"/>
          <w:sz w:val="20"/>
          <w:szCs w:val="20"/>
        </w:rPr>
        <w:t>nadzornega sveta</w:t>
      </w:r>
      <w:r w:rsidRPr="00215B2F">
        <w:rPr>
          <w:rFonts w:ascii="Arial" w:eastAsia="Arial" w:hAnsi="Arial" w:cs="Arial"/>
          <w:sz w:val="20"/>
          <w:szCs w:val="20"/>
        </w:rPr>
        <w:t>. Predhodno soglasje nadzornega sveta je treba pridobiti tudi za sklenitev pravnega posla, zaradi katerega se celotna izpostavljenost banke do posamezne stranke ali skupine povezanih strank, vključno s posredno izpostavljenostjo, poveča za vsakih nadaljnjih pet odstotkov temeljnega kapitala banke.</w:t>
      </w:r>
    </w:p>
    <w:p w14:paraId="32F1550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13AA620" w14:textId="2676B45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Pri ugotavljanju skupine povezanih strank za namen iz prejšnjega odstavka banka ne upošteva povezav s centralno ravnjo države.</w:t>
      </w:r>
    </w:p>
    <w:p w14:paraId="2DF18B38"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20418C7" w14:textId="443907E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Pri določanju izpostavljenosti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banka upošteva vrednost izpostavljenosti, ki še ni zmanjšana za popravke vrednosti in rezervacije za kreditne izgube oziroma še ni prilagojena zaradi vrednotenja, izvedenega po pridobitvi finančnih instrumentov, na katere se izpostavljenost nanaša. Kot posredna kreditna izpostavljenost se šteje vsaka izpostavljenost banke do posamezne stranke, ki nastane iz naslova prejetih kreditnih zavarovanj za neposredno izpostavljenost banke do druge stranke, ki je osnovni dolžnik banke, in ki bi lahko postala neposredna izpostavljenost banke do zadevne stranke, če bi prišlo do neplačila osnovnega dolžnika.</w:t>
      </w:r>
    </w:p>
    <w:p w14:paraId="0B1D3C3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2376D93" w14:textId="62FD846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Ne glede na prvi </w:t>
      </w:r>
      <w:r w:rsidR="00746E88" w:rsidRPr="00215B2F">
        <w:rPr>
          <w:rFonts w:ascii="Arial" w:eastAsia="Arial" w:hAnsi="Arial" w:cs="Arial"/>
          <w:sz w:val="20"/>
          <w:szCs w:val="20"/>
        </w:rPr>
        <w:t>odstavek tega člena</w:t>
      </w:r>
      <w:r w:rsidRPr="00215B2F">
        <w:rPr>
          <w:rFonts w:ascii="Arial" w:eastAsia="Arial" w:hAnsi="Arial" w:cs="Arial"/>
          <w:sz w:val="20"/>
          <w:szCs w:val="20"/>
        </w:rPr>
        <w:t xml:space="preserve"> lahko banka pridobi predhodno soglasje nadzornega sveta za sklepanje vnaprej opredeljenih vrst in ročnosti poslov znotraj določenih limitov izpostavljenosti, ki ustrezajo kreditnemu tveganju strank. Soglasja za limite izpostavljenosti do posameznih strank ali skupin povezanih strank veljajo za omejeno časovno obdobje, vendar največ </w:t>
      </w:r>
      <w:r w:rsidR="00883362" w:rsidRPr="00215B2F">
        <w:rPr>
          <w:rFonts w:ascii="Arial" w:eastAsia="Arial" w:hAnsi="Arial" w:cs="Arial"/>
          <w:sz w:val="20"/>
          <w:szCs w:val="20"/>
        </w:rPr>
        <w:t xml:space="preserve">12 </w:t>
      </w:r>
      <w:r w:rsidRPr="00215B2F">
        <w:rPr>
          <w:rFonts w:ascii="Arial" w:eastAsia="Arial" w:hAnsi="Arial" w:cs="Arial"/>
          <w:sz w:val="20"/>
          <w:szCs w:val="20"/>
        </w:rPr>
        <w:t>mesecev.</w:t>
      </w:r>
    </w:p>
    <w:p w14:paraId="43736DC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E4843AA"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64" w:name="_Ref202965011"/>
      <w:r w:rsidRPr="00215B2F">
        <w:rPr>
          <w:rFonts w:ascii="Arial" w:eastAsia="Arial" w:hAnsi="Arial" w:cs="Arial"/>
          <w:b/>
          <w:bCs/>
          <w:sz w:val="20"/>
          <w:szCs w:val="20"/>
        </w:rPr>
        <w:t>člen</w:t>
      </w:r>
      <w:bookmarkEnd w:id="264"/>
    </w:p>
    <w:p w14:paraId="648D0D26" w14:textId="77777777" w:rsidR="00D91782" w:rsidRPr="00215B2F" w:rsidRDefault="00D91782" w:rsidP="00FD5520">
      <w:pPr>
        <w:pStyle w:val="Slog1"/>
        <w:shd w:val="clear" w:color="auto" w:fill="FFFFFF" w:themeFill="background1"/>
        <w:rPr>
          <w:sz w:val="20"/>
          <w:szCs w:val="20"/>
        </w:rPr>
      </w:pPr>
      <w:r w:rsidRPr="00215B2F">
        <w:rPr>
          <w:sz w:val="20"/>
          <w:szCs w:val="20"/>
        </w:rPr>
        <w:t>(tveganja, povezana z listinjenjem)</w:t>
      </w:r>
    </w:p>
    <w:p w14:paraId="123E6637" w14:textId="77777777" w:rsidR="00D91782" w:rsidRPr="00215B2F" w:rsidRDefault="00D91782" w:rsidP="00FD5520">
      <w:pPr>
        <w:pStyle w:val="Slog1"/>
        <w:shd w:val="clear" w:color="auto" w:fill="FFFFFF" w:themeFill="background1"/>
        <w:jc w:val="both"/>
        <w:rPr>
          <w:sz w:val="20"/>
          <w:szCs w:val="20"/>
        </w:rPr>
      </w:pPr>
    </w:p>
    <w:p w14:paraId="7EE405A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mora ocenjevati in obravnavati tveganja, ki izhajajo iz poslov listinjenja, pri katerih ima vlogo investitorja, originatorja ali sponzorja, vključno s tveganjem ugleda (kakršno na primer nastane v povezavi s kompleksnimi strukturami ali produkti), na podlagi ustrezne politike in postopkov, zlasti zaradi zagotovitve, da se ekonomska vsebina posla ustrezno in v celoti odraža v oceni tveganj in v vodstvenih odločitvah glede upravljanja teh tveganj.</w:t>
      </w:r>
    </w:p>
    <w:p w14:paraId="0EEF17E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CBA9272" w14:textId="571D025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ki ima vlogo originatorja v primeru obnavljajočih se poslov listinjenja, ki vsebujejo določbe o predčasnem odplačilu, mora vzpostaviti načrte za zagotavljanje likvidnosti za primere načrtovanega in predčasnega odplačila.</w:t>
      </w:r>
    </w:p>
    <w:p w14:paraId="6C90D5B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B648197"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65" w:name="_Ref202965019"/>
      <w:r w:rsidRPr="00215B2F">
        <w:rPr>
          <w:rFonts w:ascii="Arial" w:eastAsia="Arial" w:hAnsi="Arial" w:cs="Arial"/>
          <w:b/>
          <w:bCs/>
          <w:sz w:val="20"/>
          <w:szCs w:val="20"/>
        </w:rPr>
        <w:t>člen</w:t>
      </w:r>
      <w:bookmarkEnd w:id="265"/>
    </w:p>
    <w:p w14:paraId="190361C3"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(tveganje prevelikega finančnega vzvoda)</w:t>
      </w:r>
    </w:p>
    <w:p w14:paraId="31CA2ED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4749087" w14:textId="5AF1D3B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mora vzpostaviti in uresničevati politiko in p</w:t>
      </w:r>
      <w:r w:rsidR="007A7455" w:rsidRPr="00215B2F">
        <w:rPr>
          <w:rFonts w:ascii="Arial" w:eastAsia="Arial" w:hAnsi="Arial" w:cs="Arial"/>
          <w:sz w:val="20"/>
          <w:szCs w:val="20"/>
        </w:rPr>
        <w:t>ostopk</w:t>
      </w:r>
      <w:r w:rsidRPr="00215B2F">
        <w:rPr>
          <w:rFonts w:ascii="Arial" w:eastAsia="Arial" w:hAnsi="Arial" w:cs="Arial"/>
          <w:sz w:val="20"/>
          <w:szCs w:val="20"/>
        </w:rPr>
        <w:t>e za upravljanje tveganja prevelikega finančnega vzvoda.</w:t>
      </w:r>
    </w:p>
    <w:p w14:paraId="39D5B8B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6D96661" w14:textId="55EB2AC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mora za namene iz prejšnjega odstavka opredeliti kazalnike tveganja prevelikega finančnega vzvoda, ki vključujejo količnik finančnega vzvoda, določen v skladu s 429. členom Uredbe 575/2013/EU, ter neusklajenost med sredstvi in obveznostmi.</w:t>
      </w:r>
    </w:p>
    <w:p w14:paraId="764526B7"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D398131" w14:textId="4620E02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mora tveganje prevelikega finančnega vzvoda obravnavati tako, da ustrezno upošteva morebitno povečanje tega tveganja, ki je posledica zmanjšanja kapitala banke, zaradi pričakovanih ali dejanskih izgub banke. Za ta namen mora biti banka sposobna prestati različne stresne scenarije, ki upoštevajo tveganje prevelikega finančnega vzvoda.</w:t>
      </w:r>
    </w:p>
    <w:p w14:paraId="3CD157C4"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21DE248" w14:textId="0A549576" w:rsidR="00D91782" w:rsidRPr="00215B2F" w:rsidRDefault="00FF337B"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6.4 MEHANIZMI NOTRANJIH KONTROL</w:t>
      </w:r>
    </w:p>
    <w:p w14:paraId="7F7EC7CF"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3DC44084"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66" w:name="_Ref202965027"/>
      <w:r w:rsidRPr="00215B2F">
        <w:rPr>
          <w:rFonts w:ascii="Arial" w:eastAsia="Arial" w:hAnsi="Arial" w:cs="Arial"/>
          <w:b/>
          <w:bCs/>
          <w:sz w:val="20"/>
          <w:szCs w:val="20"/>
        </w:rPr>
        <w:t>člen</w:t>
      </w:r>
      <w:bookmarkEnd w:id="266"/>
    </w:p>
    <w:p w14:paraId="71DFE7CB" w14:textId="77777777" w:rsidR="00D91782" w:rsidRPr="00215B2F" w:rsidRDefault="00D91782" w:rsidP="00FD5520">
      <w:pPr>
        <w:pStyle w:val="Slog1"/>
        <w:shd w:val="clear" w:color="auto" w:fill="FFFFFF" w:themeFill="background1"/>
        <w:rPr>
          <w:sz w:val="20"/>
          <w:szCs w:val="20"/>
        </w:rPr>
      </w:pPr>
      <w:r w:rsidRPr="00215B2F">
        <w:rPr>
          <w:sz w:val="20"/>
          <w:szCs w:val="20"/>
        </w:rPr>
        <w:t>(mehanizmi notranjih kontrol)</w:t>
      </w:r>
    </w:p>
    <w:p w14:paraId="35CC4484" w14:textId="77777777" w:rsidR="00D91782" w:rsidRPr="00215B2F" w:rsidRDefault="00D91782" w:rsidP="00FD5520">
      <w:pPr>
        <w:pStyle w:val="Slog1"/>
        <w:shd w:val="clear" w:color="auto" w:fill="FFFFFF" w:themeFill="background1"/>
        <w:jc w:val="both"/>
        <w:rPr>
          <w:sz w:val="20"/>
          <w:szCs w:val="20"/>
        </w:rPr>
      </w:pPr>
    </w:p>
    <w:p w14:paraId="786D59D6" w14:textId="663D689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Banka mora zagotoviti, da mehanizmi notranjih kontrol iz 3. točke prvega odstavka </w:t>
      </w:r>
      <w:r w:rsidR="00102C24" w:rsidRPr="00215B2F">
        <w:rPr>
          <w:rFonts w:ascii="Arial" w:eastAsia="Arial" w:hAnsi="Arial" w:cs="Arial"/>
          <w:sz w:val="20"/>
          <w:szCs w:val="20"/>
        </w:rPr>
        <w:t>177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vključujejo postopke za preverjanje ustreznosti upravljanja tveganj, ki jim je banka izpostavljena pri svojem poslovanju ali bi jim lahko bila</w:t>
      </w:r>
      <w:r w:rsidR="005F376B" w:rsidRPr="00215B2F">
        <w:rPr>
          <w:rFonts w:ascii="Arial" w:eastAsia="Arial" w:hAnsi="Arial" w:cs="Arial"/>
          <w:sz w:val="20"/>
          <w:szCs w:val="20"/>
        </w:rPr>
        <w:t xml:space="preserve"> izpostavljena</w:t>
      </w:r>
      <w:r w:rsidRPr="00215B2F">
        <w:rPr>
          <w:rFonts w:ascii="Arial" w:eastAsia="Arial" w:hAnsi="Arial" w:cs="Arial"/>
          <w:sz w:val="20"/>
          <w:szCs w:val="20"/>
        </w:rPr>
        <w:t>, zlasti v zvezi z:</w:t>
      </w:r>
    </w:p>
    <w:p w14:paraId="1168C1DC"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60D3EBE" w14:textId="77777777" w:rsidR="006A1A88" w:rsidRPr="00215B2F" w:rsidRDefault="00D91782" w:rsidP="003D4DE0">
      <w:pPr>
        <w:pStyle w:val="tevilnatoka"/>
        <w:numPr>
          <w:ilvl w:val="0"/>
          <w:numId w:val="131"/>
        </w:numPr>
        <w:shd w:val="clear" w:color="auto" w:fill="FFFFFF" w:themeFill="background1"/>
        <w:tabs>
          <w:tab w:val="clear" w:pos="425"/>
        </w:tabs>
        <w:rPr>
          <w:rFonts w:cs="Arial"/>
          <w:bCs/>
          <w:sz w:val="20"/>
          <w:szCs w:val="20"/>
        </w:rPr>
      </w:pPr>
      <w:r w:rsidRPr="00215B2F">
        <w:rPr>
          <w:rFonts w:eastAsia="Arial" w:cs="Arial"/>
          <w:sz w:val="20"/>
          <w:szCs w:val="20"/>
        </w:rPr>
        <w:t>ocenjevanjem in zagotavljanjem notranjega kapitala za ta tveganja;</w:t>
      </w:r>
    </w:p>
    <w:p w14:paraId="25EF630C" w14:textId="77777777" w:rsidR="006A1A88" w:rsidRPr="00215B2F" w:rsidRDefault="00D91782" w:rsidP="003D4DE0">
      <w:pPr>
        <w:pStyle w:val="tevilnatoka"/>
        <w:numPr>
          <w:ilvl w:val="0"/>
          <w:numId w:val="131"/>
        </w:numPr>
        <w:shd w:val="clear" w:color="auto" w:fill="FFFFFF" w:themeFill="background1"/>
        <w:tabs>
          <w:tab w:val="clear" w:pos="425"/>
        </w:tabs>
        <w:rPr>
          <w:rFonts w:cs="Arial"/>
          <w:bCs/>
          <w:sz w:val="20"/>
          <w:szCs w:val="20"/>
        </w:rPr>
      </w:pPr>
      <w:r w:rsidRPr="00215B2F">
        <w:rPr>
          <w:rFonts w:eastAsia="Arial" w:cs="Arial"/>
          <w:sz w:val="20"/>
          <w:szCs w:val="20"/>
        </w:rPr>
        <w:t>skladnostjo praks pri prevzemanju tveganj s politiko banke glede upravljanja teh tveganj;</w:t>
      </w:r>
    </w:p>
    <w:p w14:paraId="07C06B85" w14:textId="5E20A88F" w:rsidR="00D91782" w:rsidRPr="00215B2F" w:rsidRDefault="00D91782" w:rsidP="003D4DE0">
      <w:pPr>
        <w:pStyle w:val="tevilnatoka"/>
        <w:numPr>
          <w:ilvl w:val="0"/>
          <w:numId w:val="131"/>
        </w:numPr>
        <w:shd w:val="clear" w:color="auto" w:fill="FFFFFF" w:themeFill="background1"/>
        <w:tabs>
          <w:tab w:val="clear" w:pos="425"/>
        </w:tabs>
        <w:rPr>
          <w:rFonts w:cs="Arial"/>
          <w:bCs/>
          <w:sz w:val="20"/>
          <w:szCs w:val="20"/>
        </w:rPr>
      </w:pPr>
      <w:r w:rsidRPr="00215B2F">
        <w:rPr>
          <w:rFonts w:eastAsia="Arial" w:cs="Arial"/>
          <w:sz w:val="20"/>
          <w:szCs w:val="20"/>
        </w:rPr>
        <w:t>ustreznostjo izvajanja ureditve notranjega upravljanja in preprečevanja nasprotij interesov na ravni upravljalnega organa ali banke.</w:t>
      </w:r>
    </w:p>
    <w:p w14:paraId="7BE9745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62192E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67" w:name="_Ref203381031"/>
      <w:r w:rsidRPr="00215B2F">
        <w:rPr>
          <w:rFonts w:ascii="Arial" w:eastAsia="Arial" w:hAnsi="Arial" w:cs="Arial"/>
          <w:b/>
          <w:bCs/>
          <w:sz w:val="20"/>
          <w:szCs w:val="20"/>
        </w:rPr>
        <w:t>člen</w:t>
      </w:r>
      <w:bookmarkEnd w:id="267"/>
    </w:p>
    <w:p w14:paraId="363055E8" w14:textId="77777777" w:rsidR="00D91782" w:rsidRPr="00215B2F" w:rsidRDefault="00D91782" w:rsidP="00FD5520">
      <w:pPr>
        <w:pStyle w:val="Slog1"/>
        <w:shd w:val="clear" w:color="auto" w:fill="FFFFFF" w:themeFill="background1"/>
        <w:rPr>
          <w:sz w:val="20"/>
          <w:szCs w:val="20"/>
        </w:rPr>
      </w:pPr>
      <w:r w:rsidRPr="00215B2F">
        <w:rPr>
          <w:sz w:val="20"/>
          <w:szCs w:val="20"/>
        </w:rPr>
        <w:t>(vodenje poslovnih evidenc)</w:t>
      </w:r>
    </w:p>
    <w:p w14:paraId="775C7A2C" w14:textId="77777777" w:rsidR="00D91782" w:rsidRPr="00215B2F" w:rsidRDefault="00D91782" w:rsidP="00FD5520">
      <w:pPr>
        <w:pStyle w:val="Slog1"/>
        <w:shd w:val="clear" w:color="auto" w:fill="FFFFFF" w:themeFill="background1"/>
        <w:jc w:val="both"/>
        <w:rPr>
          <w:sz w:val="20"/>
          <w:szCs w:val="20"/>
        </w:rPr>
      </w:pPr>
    </w:p>
    <w:p w14:paraId="31C7E278" w14:textId="188F497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mora organizirati svoje poslovanje in tekoče voditi poslovne knjige, poslovno dokumentacijo in druge administrativne oziroma poslovne evidence tako, da je mogoče kadar</w:t>
      </w:r>
      <w:r w:rsidR="002062AF" w:rsidRPr="00215B2F">
        <w:rPr>
          <w:rFonts w:ascii="Arial" w:eastAsia="Arial" w:hAnsi="Arial" w:cs="Arial"/>
          <w:sz w:val="20"/>
          <w:szCs w:val="20"/>
        </w:rPr>
        <w:t xml:space="preserve"> </w:t>
      </w:r>
      <w:r w:rsidRPr="00215B2F">
        <w:rPr>
          <w:rFonts w:ascii="Arial" w:eastAsia="Arial" w:hAnsi="Arial" w:cs="Arial"/>
          <w:sz w:val="20"/>
          <w:szCs w:val="20"/>
        </w:rPr>
        <w:t xml:space="preserve">koli preveriti, ali banka posluje v skladu s predpisi iz </w:t>
      </w:r>
      <w:r w:rsidR="00702635" w:rsidRPr="00215B2F">
        <w:rPr>
          <w:rFonts w:ascii="Arial" w:eastAsia="Arial" w:hAnsi="Arial" w:cs="Arial"/>
          <w:sz w:val="20"/>
          <w:szCs w:val="20"/>
        </w:rPr>
        <w:t>tretjega</w:t>
      </w:r>
      <w:r w:rsidRPr="00215B2F">
        <w:rPr>
          <w:rFonts w:ascii="Arial" w:eastAsia="Arial" w:hAnsi="Arial" w:cs="Arial"/>
          <w:sz w:val="20"/>
          <w:szCs w:val="20"/>
        </w:rPr>
        <w:t xml:space="preserve"> odstavka 9.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40FF4191" w14:textId="77777777" w:rsidR="006B2743" w:rsidRPr="00215B2F" w:rsidRDefault="006B2743" w:rsidP="00FD5520">
      <w:pPr>
        <w:shd w:val="clear" w:color="auto" w:fill="FFFFFF" w:themeFill="background1"/>
        <w:spacing w:after="0" w:line="240" w:lineRule="auto"/>
        <w:jc w:val="both"/>
        <w:rPr>
          <w:rFonts w:ascii="Arial" w:eastAsia="Arial" w:hAnsi="Arial" w:cs="Arial"/>
          <w:sz w:val="20"/>
          <w:szCs w:val="20"/>
        </w:rPr>
      </w:pPr>
    </w:p>
    <w:p w14:paraId="5C47F26E" w14:textId="69F69240" w:rsidR="00D91782" w:rsidRPr="00215B2F" w:rsidRDefault="006B2743"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6.5 POLITIKA PREJEMKOV</w:t>
      </w:r>
    </w:p>
    <w:p w14:paraId="4F2C41D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FE609A6"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68" w:name="_Ref202965037"/>
      <w:r w:rsidRPr="00215B2F">
        <w:rPr>
          <w:rFonts w:ascii="Arial" w:eastAsia="Arial" w:hAnsi="Arial" w:cs="Arial"/>
          <w:b/>
          <w:bCs/>
          <w:sz w:val="20"/>
          <w:szCs w:val="20"/>
        </w:rPr>
        <w:t>člen</w:t>
      </w:r>
      <w:bookmarkEnd w:id="268"/>
    </w:p>
    <w:p w14:paraId="7EE61813" w14:textId="77777777" w:rsidR="00D91782" w:rsidRPr="00215B2F" w:rsidRDefault="00D91782" w:rsidP="00FD5520">
      <w:pPr>
        <w:pStyle w:val="Slog1"/>
        <w:shd w:val="clear" w:color="auto" w:fill="FFFFFF" w:themeFill="background1"/>
        <w:rPr>
          <w:sz w:val="20"/>
          <w:szCs w:val="20"/>
        </w:rPr>
      </w:pPr>
      <w:r w:rsidRPr="00215B2F">
        <w:rPr>
          <w:sz w:val="20"/>
          <w:szCs w:val="20"/>
        </w:rPr>
        <w:t>(politike prejemkov)</w:t>
      </w:r>
    </w:p>
    <w:p w14:paraId="5C369706" w14:textId="77777777" w:rsidR="00D91782" w:rsidRPr="00215B2F" w:rsidRDefault="00D91782" w:rsidP="00FD5520">
      <w:pPr>
        <w:pStyle w:val="Slog1"/>
        <w:shd w:val="clear" w:color="auto" w:fill="FFFFFF" w:themeFill="background1"/>
        <w:jc w:val="both"/>
        <w:rPr>
          <w:sz w:val="20"/>
          <w:szCs w:val="20"/>
        </w:rPr>
      </w:pPr>
    </w:p>
    <w:p w14:paraId="354CA06A" w14:textId="33559EE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269" w:name="_Hlk203484016"/>
      <w:r w:rsidRPr="00215B2F">
        <w:rPr>
          <w:rFonts w:ascii="Arial" w:eastAsia="Arial" w:hAnsi="Arial" w:cs="Arial"/>
          <w:sz w:val="20"/>
          <w:szCs w:val="20"/>
        </w:rPr>
        <w:t xml:space="preserve">(1) Banka mora oblikovati politike prejemkov, ki zajemajo celotne prejemke </w:t>
      </w:r>
      <w:r w:rsidR="002062AF" w:rsidRPr="00215B2F">
        <w:rPr>
          <w:rFonts w:ascii="Arial" w:eastAsia="Arial" w:hAnsi="Arial" w:cs="Arial"/>
          <w:sz w:val="20"/>
          <w:szCs w:val="20"/>
        </w:rPr>
        <w:t xml:space="preserve">in </w:t>
      </w:r>
      <w:r w:rsidRPr="00215B2F">
        <w:rPr>
          <w:rFonts w:ascii="Arial" w:eastAsia="Arial" w:hAnsi="Arial" w:cs="Arial"/>
          <w:sz w:val="20"/>
          <w:szCs w:val="20"/>
        </w:rPr>
        <w:t>upoštevajo velikost, notranjo organiziranost ter naravo, obseg in zapletenost dejavnosti banke.</w:t>
      </w:r>
    </w:p>
    <w:p w14:paraId="3153B6C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7B2D72D" w14:textId="409F2C3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Politike prejemkov iz prejšnjega odstavka vključujejo tudi plače in diskrecijske pokojninske ugodnosti za </w:t>
      </w:r>
      <w:r w:rsidR="008E3E39" w:rsidRPr="00215B2F">
        <w:rPr>
          <w:rFonts w:ascii="Arial" w:eastAsia="Arial" w:hAnsi="Arial" w:cs="Arial"/>
          <w:sz w:val="20"/>
          <w:szCs w:val="20"/>
        </w:rPr>
        <w:t xml:space="preserve">kategorije </w:t>
      </w:r>
      <w:r w:rsidRPr="00215B2F">
        <w:rPr>
          <w:rFonts w:ascii="Arial" w:eastAsia="Arial" w:hAnsi="Arial" w:cs="Arial"/>
          <w:sz w:val="20"/>
          <w:szCs w:val="20"/>
        </w:rPr>
        <w:t xml:space="preserve">zaposlenih, ki v okviru svojih pristojnosti ali delovnih nalog in aktivnosti </w:t>
      </w:r>
      <w:r w:rsidR="002062AF" w:rsidRPr="00215B2F">
        <w:rPr>
          <w:rFonts w:ascii="Arial" w:eastAsia="Arial" w:hAnsi="Arial" w:cs="Arial"/>
          <w:sz w:val="20"/>
          <w:szCs w:val="20"/>
        </w:rPr>
        <w:t xml:space="preserve">lahko </w:t>
      </w:r>
      <w:r w:rsidRPr="00215B2F">
        <w:rPr>
          <w:rFonts w:ascii="Arial" w:eastAsia="Arial" w:hAnsi="Arial" w:cs="Arial"/>
          <w:sz w:val="20"/>
          <w:szCs w:val="20"/>
        </w:rPr>
        <w:t>pomembno vplivajo na profil tveganosti banke, zlasti za:</w:t>
      </w:r>
    </w:p>
    <w:p w14:paraId="1DB5796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45C7153" w14:textId="77777777" w:rsidR="006A1A88" w:rsidRPr="00215B2F" w:rsidRDefault="00D91782" w:rsidP="003D4DE0">
      <w:pPr>
        <w:pStyle w:val="tevilnatoka"/>
        <w:numPr>
          <w:ilvl w:val="0"/>
          <w:numId w:val="132"/>
        </w:numPr>
        <w:shd w:val="clear" w:color="auto" w:fill="FFFFFF" w:themeFill="background1"/>
        <w:tabs>
          <w:tab w:val="clear" w:pos="425"/>
        </w:tabs>
        <w:rPr>
          <w:rFonts w:cs="Arial"/>
          <w:bCs/>
          <w:sz w:val="20"/>
          <w:szCs w:val="20"/>
        </w:rPr>
      </w:pPr>
      <w:r w:rsidRPr="00215B2F">
        <w:rPr>
          <w:rFonts w:eastAsia="Arial" w:cs="Arial"/>
          <w:sz w:val="20"/>
          <w:szCs w:val="20"/>
        </w:rPr>
        <w:t>vse člane upravljalnega organa in višje vodstvo;</w:t>
      </w:r>
    </w:p>
    <w:p w14:paraId="06D0B499" w14:textId="3941E4C2" w:rsidR="006A1A88" w:rsidRPr="00215B2F" w:rsidRDefault="00D91782" w:rsidP="003D4DE0">
      <w:pPr>
        <w:pStyle w:val="tevilnatoka"/>
        <w:numPr>
          <w:ilvl w:val="0"/>
          <w:numId w:val="132"/>
        </w:numPr>
        <w:shd w:val="clear" w:color="auto" w:fill="FFFFFF" w:themeFill="background1"/>
        <w:tabs>
          <w:tab w:val="clear" w:pos="425"/>
        </w:tabs>
        <w:rPr>
          <w:rFonts w:cs="Arial"/>
          <w:bCs/>
          <w:sz w:val="20"/>
          <w:szCs w:val="20"/>
        </w:rPr>
      </w:pPr>
      <w:r w:rsidRPr="00215B2F">
        <w:rPr>
          <w:rFonts w:eastAsia="Arial" w:cs="Arial"/>
          <w:sz w:val="20"/>
          <w:szCs w:val="20"/>
        </w:rPr>
        <w:t>vodstvo funkcij notranj</w:t>
      </w:r>
      <w:r w:rsidR="00613EEC" w:rsidRPr="00215B2F">
        <w:rPr>
          <w:rFonts w:eastAsia="Arial" w:cs="Arial"/>
          <w:sz w:val="20"/>
          <w:szCs w:val="20"/>
        </w:rPr>
        <w:t>ih</w:t>
      </w:r>
      <w:r w:rsidRPr="00215B2F">
        <w:rPr>
          <w:rFonts w:eastAsia="Arial" w:cs="Arial"/>
          <w:sz w:val="20"/>
          <w:szCs w:val="20"/>
        </w:rPr>
        <w:t xml:space="preserve"> kontrol in drugih neodvisnih kontrolnih funkcij v banki ter vodstvo pomembnih poslovnih enot banke;</w:t>
      </w:r>
    </w:p>
    <w:p w14:paraId="2E9A735A" w14:textId="4638A9A3" w:rsidR="00D91782" w:rsidRPr="00215B2F" w:rsidRDefault="00D91782" w:rsidP="003D4DE0">
      <w:pPr>
        <w:pStyle w:val="tevilnatoka"/>
        <w:numPr>
          <w:ilvl w:val="0"/>
          <w:numId w:val="132"/>
        </w:numPr>
        <w:shd w:val="clear" w:color="auto" w:fill="FFFFFF" w:themeFill="background1"/>
        <w:tabs>
          <w:tab w:val="clear" w:pos="425"/>
        </w:tabs>
        <w:rPr>
          <w:rFonts w:cs="Arial"/>
          <w:bCs/>
          <w:sz w:val="20"/>
          <w:szCs w:val="20"/>
        </w:rPr>
      </w:pPr>
      <w:r w:rsidRPr="00215B2F">
        <w:rPr>
          <w:rFonts w:eastAsia="Arial" w:cs="Arial"/>
          <w:sz w:val="20"/>
          <w:szCs w:val="20"/>
        </w:rPr>
        <w:t>druge zaposlene, ki so bili v preteklem finančnem letu upravičeni do znatnega prejemka, če sta izpolnjena naslednja pogoja:</w:t>
      </w:r>
    </w:p>
    <w:p w14:paraId="1034DE40" w14:textId="1F32242C"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prejemek zaposlenega je 500.000 eurov ali višji in je enak povprečnemu prejemku, izplačanemu osebam iz 1. točke tega odstavka, ali višji od njega,</w:t>
      </w:r>
    </w:p>
    <w:p w14:paraId="4523BF27" w14:textId="315475B8"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zaposleni poklicno dejavnost opravlja v pomembni poslovni enoti banke in v okviru svojih pristojnosti pomembno vpliva na profil tveganosti te poslovne enote.</w:t>
      </w:r>
    </w:p>
    <w:p w14:paraId="5C22D6B4"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7690EB7" w14:textId="0006BE4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(3) Prejemki za namene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vključujejo vse oblike neposrednih ali posrednih finančnih in nefinančnih plačil ter ugodnosti, do katerih so zaposleni upravičeni na podlagi sklenjenih pogodb z banko ali drugo osebo v isti skupini.</w:t>
      </w:r>
    </w:p>
    <w:p w14:paraId="5D33A85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4664A43" w14:textId="7313E48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Nadzorni svet banke mora sprejeti in redno preverjati ustreznost sprejete politike in praks glede prejemkov, uprava banke pa mora najmanj enkrat na leto zagotoviti celovit in neodvisen pregled skladnosti dejanskih prejemkov s to politiko in praksami.</w:t>
      </w:r>
    </w:p>
    <w:p w14:paraId="341A614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33BC6A1" w14:textId="2C73416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Banka Slovenije zbira informacije, ki jih banka razkrije v skladu z merili za razkritje iz točk (g), (h), (i) in (k) prvega odstavka 450. člena Uredbe 575/2013/EU, in informacije, ki jih banka po</w:t>
      </w:r>
      <w:r w:rsidR="00BA4AA2" w:rsidRPr="00215B2F">
        <w:rPr>
          <w:rFonts w:ascii="Arial" w:eastAsia="Arial" w:hAnsi="Arial" w:cs="Arial"/>
          <w:sz w:val="20"/>
          <w:szCs w:val="20"/>
        </w:rPr>
        <w:t>šl</w:t>
      </w:r>
      <w:r w:rsidRPr="00215B2F">
        <w:rPr>
          <w:rFonts w:ascii="Arial" w:eastAsia="Arial" w:hAnsi="Arial" w:cs="Arial"/>
          <w:sz w:val="20"/>
          <w:szCs w:val="20"/>
        </w:rPr>
        <w:t>je o razliki v plačilu med spoloma, ter te informacije uporablja za primerjavo gibanj in praks prejemkov. Zbrane informacije Banka Slovenije po</w:t>
      </w:r>
      <w:r w:rsidR="00BA4AA2" w:rsidRPr="00215B2F">
        <w:rPr>
          <w:rFonts w:ascii="Arial" w:eastAsia="Arial" w:hAnsi="Arial" w:cs="Arial"/>
          <w:sz w:val="20"/>
          <w:szCs w:val="20"/>
        </w:rPr>
        <w:t>šl</w:t>
      </w:r>
      <w:r w:rsidRPr="00215B2F">
        <w:rPr>
          <w:rFonts w:ascii="Arial" w:eastAsia="Arial" w:hAnsi="Arial" w:cs="Arial"/>
          <w:sz w:val="20"/>
          <w:szCs w:val="20"/>
        </w:rPr>
        <w:t>je Evropskemu bančnemu organu.</w:t>
      </w:r>
    </w:p>
    <w:p w14:paraId="20BA13A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73FE39B" w14:textId="3723C38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Poleg informacij iz prejšnjega odstavka Banka Slovenije na podlagi poročil, ki jih po</w:t>
      </w:r>
      <w:r w:rsidR="00BA4AA2" w:rsidRPr="00215B2F">
        <w:rPr>
          <w:rFonts w:ascii="Arial" w:eastAsia="Arial" w:hAnsi="Arial" w:cs="Arial"/>
          <w:sz w:val="20"/>
          <w:szCs w:val="20"/>
        </w:rPr>
        <w:t>šl</w:t>
      </w:r>
      <w:r w:rsidRPr="00215B2F">
        <w:rPr>
          <w:rFonts w:ascii="Arial" w:eastAsia="Arial" w:hAnsi="Arial" w:cs="Arial"/>
          <w:sz w:val="20"/>
          <w:szCs w:val="20"/>
        </w:rPr>
        <w:t xml:space="preserve">jejo banke v skladu s predpisom, izdanim na podlagi </w:t>
      </w:r>
      <w:r w:rsidR="00102C24" w:rsidRPr="00215B2F">
        <w:rPr>
          <w:rFonts w:ascii="Arial" w:eastAsia="Arial" w:hAnsi="Arial" w:cs="Arial"/>
          <w:sz w:val="20"/>
          <w:szCs w:val="20"/>
        </w:rPr>
        <w:t>184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zbira informacije o številu fizičnih oseb v posamezni banki, ki imajo 1.000.000 eurov prejemkov ali več na poslovno leto, z upoštevanjem plačilnih razredov v razponih po 1.000.000 eurov, vključno z njihovimi delovnimi pristojnostmi, zadevnim poslovnim področjem in glavnimi elementi plače, bonusi, dolgoročnimi nagradami in pokojninskimi prispevki, ter te informacije po</w:t>
      </w:r>
      <w:r w:rsidR="00BA4AA2" w:rsidRPr="00215B2F">
        <w:rPr>
          <w:rFonts w:ascii="Arial" w:eastAsia="Arial" w:hAnsi="Arial" w:cs="Arial"/>
          <w:sz w:val="20"/>
          <w:szCs w:val="20"/>
        </w:rPr>
        <w:t>šl</w:t>
      </w:r>
      <w:r w:rsidRPr="00215B2F">
        <w:rPr>
          <w:rFonts w:ascii="Arial" w:eastAsia="Arial" w:hAnsi="Arial" w:cs="Arial"/>
          <w:sz w:val="20"/>
          <w:szCs w:val="20"/>
        </w:rPr>
        <w:t>je Evropskemu bančnemu organu zaradi objave zbirnih podatkov na ravni Republike Slovenije glede prejemkov, ki jih izplačujejo banke.</w:t>
      </w:r>
    </w:p>
    <w:bookmarkEnd w:id="269"/>
    <w:p w14:paraId="190B985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CDFEBB6"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70" w:name="_Ref202965043"/>
      <w:r w:rsidRPr="00215B2F">
        <w:rPr>
          <w:rFonts w:ascii="Arial" w:eastAsia="Arial" w:hAnsi="Arial" w:cs="Arial"/>
          <w:b/>
          <w:bCs/>
          <w:sz w:val="20"/>
          <w:szCs w:val="20"/>
        </w:rPr>
        <w:t>člen</w:t>
      </w:r>
      <w:bookmarkEnd w:id="270"/>
    </w:p>
    <w:p w14:paraId="14E5C71B" w14:textId="77777777" w:rsidR="00D91782" w:rsidRPr="00215B2F" w:rsidRDefault="00D91782" w:rsidP="00FD5520">
      <w:pPr>
        <w:pStyle w:val="Slog1"/>
        <w:shd w:val="clear" w:color="auto" w:fill="FFFFFF" w:themeFill="background1"/>
        <w:rPr>
          <w:sz w:val="20"/>
          <w:szCs w:val="20"/>
        </w:rPr>
      </w:pPr>
      <w:r w:rsidRPr="00215B2F">
        <w:rPr>
          <w:sz w:val="20"/>
          <w:szCs w:val="20"/>
        </w:rPr>
        <w:t>(temeljna načela za določanje politike in praks glede prejemkov)</w:t>
      </w:r>
    </w:p>
    <w:p w14:paraId="4E142389" w14:textId="77777777" w:rsidR="00D91782" w:rsidRPr="00215B2F" w:rsidRDefault="00D91782" w:rsidP="00FD5520">
      <w:pPr>
        <w:pStyle w:val="Slog1"/>
        <w:shd w:val="clear" w:color="auto" w:fill="FFFFFF" w:themeFill="background1"/>
        <w:jc w:val="both"/>
        <w:rPr>
          <w:sz w:val="20"/>
          <w:szCs w:val="20"/>
        </w:rPr>
      </w:pPr>
    </w:p>
    <w:p w14:paraId="75A4189B" w14:textId="57275E8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271" w:name="_Hlk203643114"/>
      <w:r w:rsidRPr="00215B2F">
        <w:rPr>
          <w:rFonts w:ascii="Arial" w:eastAsia="Arial" w:hAnsi="Arial" w:cs="Arial"/>
          <w:sz w:val="20"/>
          <w:szCs w:val="20"/>
        </w:rPr>
        <w:t xml:space="preserve">(1) Banka pri določanju politike in praks glede celotnih prejemkov iz prvega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upošteva naslednja načela:</w:t>
      </w:r>
    </w:p>
    <w:p w14:paraId="5541D7A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69662DE" w14:textId="06062898" w:rsidR="006A1A88" w:rsidRPr="00215B2F" w:rsidRDefault="00D91782" w:rsidP="003D4DE0">
      <w:pPr>
        <w:pStyle w:val="tevilnatoka"/>
        <w:numPr>
          <w:ilvl w:val="0"/>
          <w:numId w:val="133"/>
        </w:numPr>
        <w:shd w:val="clear" w:color="auto" w:fill="FFFFFF" w:themeFill="background1"/>
        <w:tabs>
          <w:tab w:val="clear" w:pos="425"/>
        </w:tabs>
        <w:rPr>
          <w:rFonts w:cs="Arial"/>
          <w:bCs/>
          <w:sz w:val="20"/>
          <w:szCs w:val="20"/>
        </w:rPr>
      </w:pPr>
      <w:r w:rsidRPr="00215B2F">
        <w:rPr>
          <w:rFonts w:eastAsia="Arial" w:cs="Arial"/>
          <w:sz w:val="20"/>
          <w:szCs w:val="20"/>
        </w:rPr>
        <w:t>politika prejemkov je združljiva s preudarnim in učinkovitim upravljanjem tveganj in tako upravljanje tveganj tudi spodbuja, pri čemer ne spodbuja izpostavljanja tveganjem, ki presega</w:t>
      </w:r>
      <w:r w:rsidR="00BA4AA2" w:rsidRPr="00215B2F">
        <w:rPr>
          <w:rFonts w:eastAsia="Arial" w:cs="Arial"/>
          <w:sz w:val="20"/>
          <w:szCs w:val="20"/>
        </w:rPr>
        <w:t>jo</w:t>
      </w:r>
      <w:r w:rsidRPr="00215B2F">
        <w:rPr>
          <w:rFonts w:eastAsia="Arial" w:cs="Arial"/>
          <w:sz w:val="20"/>
          <w:szCs w:val="20"/>
        </w:rPr>
        <w:t xml:space="preserve"> raven sprejemljivega tveganja za banko;</w:t>
      </w:r>
    </w:p>
    <w:p w14:paraId="4E122C62" w14:textId="77777777" w:rsidR="006A1A88" w:rsidRPr="00215B2F" w:rsidRDefault="00D91782" w:rsidP="003D4DE0">
      <w:pPr>
        <w:pStyle w:val="tevilnatoka"/>
        <w:numPr>
          <w:ilvl w:val="0"/>
          <w:numId w:val="133"/>
        </w:numPr>
        <w:shd w:val="clear" w:color="auto" w:fill="FFFFFF" w:themeFill="background1"/>
        <w:tabs>
          <w:tab w:val="clear" w:pos="425"/>
        </w:tabs>
        <w:rPr>
          <w:rFonts w:cs="Arial"/>
          <w:bCs/>
          <w:sz w:val="20"/>
          <w:szCs w:val="20"/>
        </w:rPr>
      </w:pPr>
      <w:r w:rsidRPr="00215B2F">
        <w:rPr>
          <w:rFonts w:eastAsia="Arial" w:cs="Arial"/>
          <w:sz w:val="20"/>
          <w:szCs w:val="20"/>
        </w:rPr>
        <w:t>politika prejemkov je nevtralna glede na spol;</w:t>
      </w:r>
    </w:p>
    <w:p w14:paraId="2464CD59" w14:textId="77777777" w:rsidR="006A1A88" w:rsidRPr="00215B2F" w:rsidRDefault="00D91782" w:rsidP="003D4DE0">
      <w:pPr>
        <w:pStyle w:val="tevilnatoka"/>
        <w:numPr>
          <w:ilvl w:val="0"/>
          <w:numId w:val="133"/>
        </w:numPr>
        <w:shd w:val="clear" w:color="auto" w:fill="FFFFFF" w:themeFill="background1"/>
        <w:tabs>
          <w:tab w:val="clear" w:pos="425"/>
        </w:tabs>
        <w:rPr>
          <w:rFonts w:cs="Arial"/>
          <w:bCs/>
          <w:sz w:val="20"/>
          <w:szCs w:val="20"/>
        </w:rPr>
      </w:pPr>
      <w:r w:rsidRPr="00215B2F">
        <w:rPr>
          <w:rFonts w:eastAsia="Arial" w:cs="Arial"/>
          <w:sz w:val="20"/>
          <w:szCs w:val="20"/>
        </w:rPr>
        <w:t>politika prejemkov je v skladu s poslovno strategijo, cilji, vrednotami in dolgoročnimi interesi banke ter vključuje ukrepe za preprečevanje nasprotja interesov;</w:t>
      </w:r>
    </w:p>
    <w:p w14:paraId="2BADFD78" w14:textId="268B64D7" w:rsidR="006A1A88" w:rsidRPr="00215B2F" w:rsidRDefault="00D91782" w:rsidP="003D4DE0">
      <w:pPr>
        <w:pStyle w:val="tevilnatoka"/>
        <w:numPr>
          <w:ilvl w:val="0"/>
          <w:numId w:val="133"/>
        </w:numPr>
        <w:shd w:val="clear" w:color="auto" w:fill="FFFFFF" w:themeFill="background1"/>
        <w:tabs>
          <w:tab w:val="clear" w:pos="425"/>
        </w:tabs>
        <w:rPr>
          <w:rFonts w:cs="Arial"/>
          <w:bCs/>
          <w:sz w:val="20"/>
          <w:szCs w:val="20"/>
        </w:rPr>
      </w:pPr>
      <w:r w:rsidRPr="00215B2F">
        <w:rPr>
          <w:rFonts w:eastAsia="Arial" w:cs="Arial"/>
          <w:sz w:val="20"/>
          <w:szCs w:val="20"/>
        </w:rPr>
        <w:t>zaposleni, ki opravljajo funkcije notranje kontrole, so neodvisni od poslovnih enot, ki jih nadzorujejo, ter imajo ustrezne pristojnosti in prejemajo prejemke glede na doseganje ciljev, povezanih z njihovimi funkcijami, neodvisno od uspešnosti poslovnih področij, k</w:t>
      </w:r>
      <w:r w:rsidR="00BA4AA2" w:rsidRPr="00215B2F">
        <w:rPr>
          <w:rFonts w:eastAsia="Arial" w:cs="Arial"/>
          <w:sz w:val="20"/>
          <w:szCs w:val="20"/>
        </w:rPr>
        <w:t>i jih</w:t>
      </w:r>
      <w:r w:rsidRPr="00215B2F">
        <w:rPr>
          <w:rFonts w:eastAsia="Arial" w:cs="Arial"/>
          <w:sz w:val="20"/>
          <w:szCs w:val="20"/>
        </w:rPr>
        <w:t xml:space="preserve"> nadzirajo;</w:t>
      </w:r>
    </w:p>
    <w:p w14:paraId="24F9EDE9" w14:textId="14AF7F29" w:rsidR="00D91782" w:rsidRPr="00215B2F" w:rsidRDefault="00D91782" w:rsidP="003D4DE0">
      <w:pPr>
        <w:pStyle w:val="tevilnatoka"/>
        <w:numPr>
          <w:ilvl w:val="0"/>
          <w:numId w:val="133"/>
        </w:numPr>
        <w:shd w:val="clear" w:color="auto" w:fill="FFFFFF" w:themeFill="background1"/>
        <w:tabs>
          <w:tab w:val="clear" w:pos="425"/>
        </w:tabs>
        <w:rPr>
          <w:rFonts w:cs="Arial"/>
          <w:bCs/>
          <w:sz w:val="20"/>
          <w:szCs w:val="20"/>
        </w:rPr>
      </w:pPr>
      <w:r w:rsidRPr="00215B2F">
        <w:rPr>
          <w:rFonts w:eastAsia="Arial" w:cs="Arial"/>
          <w:sz w:val="20"/>
          <w:szCs w:val="20"/>
        </w:rPr>
        <w:t>politika prejemkov jasno razlikuje med merili za določanje:</w:t>
      </w:r>
    </w:p>
    <w:p w14:paraId="348BC25B" w14:textId="4CA85A41"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fiksnega prejemka, ki bi moral zlasti odražati ustrezne poklicne izkušnje in odgovornosti v banki, k</w:t>
      </w:r>
      <w:r w:rsidR="006B0B0E" w:rsidRPr="00215B2F">
        <w:rPr>
          <w:rFonts w:ascii="Arial" w:eastAsia="Arial" w:hAnsi="Arial" w:cs="Arial"/>
          <w:sz w:val="20"/>
          <w:szCs w:val="20"/>
        </w:rPr>
        <w:t>akor</w:t>
      </w:r>
      <w:r w:rsidRPr="00215B2F">
        <w:rPr>
          <w:rFonts w:ascii="Arial" w:eastAsia="Arial" w:hAnsi="Arial" w:cs="Arial"/>
          <w:sz w:val="20"/>
          <w:szCs w:val="20"/>
        </w:rPr>
        <w:t xml:space="preserve"> je določeno v opisu delovnih nalog zaposlenega, ki so del pogojev za zaposlitev, ter</w:t>
      </w:r>
    </w:p>
    <w:p w14:paraId="6D1145E7" w14:textId="719B5AC2"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variabilnega prejemka, ki mora odražati vzdržno in tveganju prilagojeno uspešnost ter uspešnost, ki je višja od pričakovane uspešnosti, k</w:t>
      </w:r>
      <w:r w:rsidR="006B0B0E" w:rsidRPr="00215B2F">
        <w:rPr>
          <w:rFonts w:ascii="Arial" w:eastAsia="Arial" w:hAnsi="Arial" w:cs="Arial"/>
          <w:sz w:val="20"/>
          <w:szCs w:val="20"/>
        </w:rPr>
        <w:t>akor</w:t>
      </w:r>
      <w:r w:rsidRPr="00215B2F">
        <w:rPr>
          <w:rFonts w:ascii="Arial" w:eastAsia="Arial" w:hAnsi="Arial" w:cs="Arial"/>
          <w:sz w:val="20"/>
          <w:szCs w:val="20"/>
        </w:rPr>
        <w:t xml:space="preserve"> je določeno v opisu delovnih nalog zaposlenega, ki so del pogojev za zaposlitev.</w:t>
      </w:r>
    </w:p>
    <w:p w14:paraId="0B1D56B1"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AB3AF0C" w14:textId="4DD8A42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pri določanju variabilnega prejemka opredeljenih zaposlenih poleg načel iz prejšnjega odstavka upošteva tudi:</w:t>
      </w:r>
    </w:p>
    <w:p w14:paraId="0A933EB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F4A51B3" w14:textId="4F4D29E3" w:rsidR="006A1A88" w:rsidRPr="00215B2F" w:rsidRDefault="00D91782" w:rsidP="003D4DE0">
      <w:pPr>
        <w:pStyle w:val="tevilnatoka"/>
        <w:numPr>
          <w:ilvl w:val="0"/>
          <w:numId w:val="134"/>
        </w:numPr>
        <w:shd w:val="clear" w:color="auto" w:fill="FFFFFF" w:themeFill="background1"/>
        <w:tabs>
          <w:tab w:val="clear" w:pos="425"/>
        </w:tabs>
        <w:rPr>
          <w:rFonts w:cs="Arial"/>
          <w:bCs/>
          <w:sz w:val="20"/>
          <w:szCs w:val="20"/>
        </w:rPr>
      </w:pPr>
      <w:r w:rsidRPr="00215B2F">
        <w:rPr>
          <w:rFonts w:eastAsia="Arial" w:cs="Arial"/>
          <w:sz w:val="20"/>
          <w:szCs w:val="20"/>
        </w:rPr>
        <w:t xml:space="preserve">variabilni del prejemka mora temeljiti na kombinaciji ocene uspešnosti posameznika in njegove poslovno-organizacijske enote ter splošnega poslovnega rezultata banke, pri čemer se pri ocenjevanju uspešnosti posameznika upoštevajo finančna in nefinančna merila, vključno z obravnavo tveganj iz petega in šestega odstavka </w:t>
      </w:r>
      <w:r w:rsidR="00102C24" w:rsidRPr="00215B2F">
        <w:rPr>
          <w:rFonts w:eastAsia="Arial" w:cs="Arial"/>
          <w:sz w:val="20"/>
          <w:szCs w:val="20"/>
        </w:rPr>
        <w:t>197</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227022AA" w14:textId="77777777" w:rsidR="006A1A88" w:rsidRPr="00215B2F" w:rsidRDefault="00D91782" w:rsidP="003D4DE0">
      <w:pPr>
        <w:pStyle w:val="tevilnatoka"/>
        <w:numPr>
          <w:ilvl w:val="0"/>
          <w:numId w:val="134"/>
        </w:numPr>
        <w:shd w:val="clear" w:color="auto" w:fill="FFFFFF" w:themeFill="background1"/>
        <w:tabs>
          <w:tab w:val="clear" w:pos="425"/>
        </w:tabs>
        <w:rPr>
          <w:rFonts w:cs="Arial"/>
          <w:bCs/>
          <w:sz w:val="20"/>
          <w:szCs w:val="20"/>
        </w:rPr>
      </w:pPr>
      <w:r w:rsidRPr="00215B2F">
        <w:rPr>
          <w:rFonts w:eastAsia="Arial" w:cs="Arial"/>
          <w:sz w:val="20"/>
          <w:szCs w:val="20"/>
        </w:rPr>
        <w:t>variabilni prejemek vsakega posameznika ne sme presegati 100 odstotkov fiksnega prejemka tega posameznika;</w:t>
      </w:r>
    </w:p>
    <w:p w14:paraId="46CBE908" w14:textId="411169C5" w:rsidR="006A1A88" w:rsidRPr="00215B2F" w:rsidRDefault="00D91782" w:rsidP="003D4DE0">
      <w:pPr>
        <w:pStyle w:val="tevilnatoka"/>
        <w:numPr>
          <w:ilvl w:val="0"/>
          <w:numId w:val="134"/>
        </w:numPr>
        <w:shd w:val="clear" w:color="auto" w:fill="FFFFFF" w:themeFill="background1"/>
        <w:tabs>
          <w:tab w:val="clear" w:pos="425"/>
        </w:tabs>
        <w:rPr>
          <w:rFonts w:cs="Arial"/>
          <w:bCs/>
          <w:sz w:val="20"/>
          <w:szCs w:val="20"/>
        </w:rPr>
      </w:pPr>
      <w:r w:rsidRPr="00215B2F">
        <w:rPr>
          <w:rFonts w:eastAsia="Arial" w:cs="Arial"/>
          <w:sz w:val="20"/>
          <w:szCs w:val="20"/>
        </w:rPr>
        <w:t xml:space="preserve">najmanj 50 odstotkov variabilnega prejemka vsakega posameznika mora biti sestavljenega iz navadnih oziroma prednostnih delnic banke ali z delnicami povezanih instrumentov ali </w:t>
      </w:r>
      <w:r w:rsidR="00BA4AA2" w:rsidRPr="00215B2F">
        <w:rPr>
          <w:rFonts w:eastAsia="Arial" w:cs="Arial"/>
          <w:sz w:val="20"/>
          <w:szCs w:val="20"/>
        </w:rPr>
        <w:t xml:space="preserve">iz </w:t>
      </w:r>
      <w:r w:rsidRPr="00215B2F">
        <w:rPr>
          <w:rFonts w:eastAsia="Arial" w:cs="Arial"/>
          <w:sz w:val="20"/>
          <w:szCs w:val="20"/>
        </w:rPr>
        <w:t>enakovrednih nedenarnih instrumentov, pri čemer lahko pridobitelj te delnice oziroma instrumente prenese le z dovoljenjem banke, ki se lahko izda šele po poteku najmanj dveh let od pridobitve;</w:t>
      </w:r>
    </w:p>
    <w:p w14:paraId="1AF9F126" w14:textId="541389A6" w:rsidR="006A1A88" w:rsidRPr="00215B2F" w:rsidRDefault="00D91782" w:rsidP="003D4DE0">
      <w:pPr>
        <w:pStyle w:val="tevilnatoka"/>
        <w:numPr>
          <w:ilvl w:val="0"/>
          <w:numId w:val="134"/>
        </w:numPr>
        <w:shd w:val="clear" w:color="auto" w:fill="FFFFFF" w:themeFill="background1"/>
        <w:tabs>
          <w:tab w:val="clear" w:pos="425"/>
        </w:tabs>
        <w:rPr>
          <w:rFonts w:cs="Arial"/>
          <w:bCs/>
          <w:sz w:val="20"/>
          <w:szCs w:val="20"/>
        </w:rPr>
      </w:pPr>
      <w:r w:rsidRPr="00215B2F">
        <w:rPr>
          <w:rFonts w:eastAsia="Arial" w:cs="Arial"/>
          <w:sz w:val="20"/>
          <w:szCs w:val="20"/>
        </w:rPr>
        <w:t xml:space="preserve">znaten delež, vendar najmanj 40 odstotkov variabilnega prejemka vsakega posameznika mora banka odložiti za obdobje </w:t>
      </w:r>
      <w:r w:rsidR="00BA4AA2" w:rsidRPr="00215B2F">
        <w:rPr>
          <w:rFonts w:eastAsia="Arial" w:cs="Arial"/>
          <w:sz w:val="20"/>
          <w:szCs w:val="20"/>
        </w:rPr>
        <w:t xml:space="preserve">od </w:t>
      </w:r>
      <w:r w:rsidRPr="00215B2F">
        <w:rPr>
          <w:rFonts w:eastAsia="Arial" w:cs="Arial"/>
          <w:sz w:val="20"/>
          <w:szCs w:val="20"/>
        </w:rPr>
        <w:t>štirih do petih let. Za člane upravljalnega organa in višje vodstvo pomembne banke obdobje odložitve ne sme biti krajše od petih let;</w:t>
      </w:r>
    </w:p>
    <w:p w14:paraId="2B1F4B5A" w14:textId="77777777" w:rsidR="006A1A88" w:rsidRPr="00215B2F" w:rsidRDefault="00D91782" w:rsidP="003D4DE0">
      <w:pPr>
        <w:pStyle w:val="tevilnatoka"/>
        <w:numPr>
          <w:ilvl w:val="0"/>
          <w:numId w:val="134"/>
        </w:numPr>
        <w:shd w:val="clear" w:color="auto" w:fill="FFFFFF" w:themeFill="background1"/>
        <w:tabs>
          <w:tab w:val="clear" w:pos="425"/>
        </w:tabs>
        <w:rPr>
          <w:rFonts w:cs="Arial"/>
          <w:bCs/>
          <w:sz w:val="20"/>
          <w:szCs w:val="20"/>
        </w:rPr>
      </w:pPr>
      <w:r w:rsidRPr="00215B2F">
        <w:rPr>
          <w:rFonts w:eastAsia="Arial" w:cs="Arial"/>
          <w:sz w:val="20"/>
          <w:szCs w:val="20"/>
        </w:rPr>
        <w:lastRenderedPageBreak/>
        <w:t>variabilni prejemki, vključno z odloženim deležem iz prejšnje točke, se izplačajo ali dospejo v plačilo le, če so glede na finančno stanje banke kot celote vzdržni in če jih upravičuje uspešnost zadevne banke, poslovne enote in posameznika;</w:t>
      </w:r>
    </w:p>
    <w:p w14:paraId="28C181D3" w14:textId="5F4D14AE" w:rsidR="00D91782" w:rsidRPr="00215B2F" w:rsidRDefault="00D91782" w:rsidP="003D4DE0">
      <w:pPr>
        <w:pStyle w:val="tevilnatoka"/>
        <w:numPr>
          <w:ilvl w:val="0"/>
          <w:numId w:val="134"/>
        </w:numPr>
        <w:shd w:val="clear" w:color="auto" w:fill="FFFFFF" w:themeFill="background1"/>
        <w:tabs>
          <w:tab w:val="clear" w:pos="425"/>
        </w:tabs>
        <w:rPr>
          <w:rFonts w:cs="Arial"/>
          <w:bCs/>
          <w:sz w:val="20"/>
          <w:szCs w:val="20"/>
        </w:rPr>
      </w:pPr>
      <w:r w:rsidRPr="00215B2F">
        <w:rPr>
          <w:rFonts w:eastAsia="Arial" w:cs="Arial"/>
          <w:sz w:val="20"/>
          <w:szCs w:val="20"/>
        </w:rPr>
        <w:t>za variabilne prejemke mora banka vzpostaviti interna pravila o sistemu zmanjšanja variabilnega prejemka ali vračila sredstev ter merila za njihovo uporabo, ki v zvezi s posameznikom vključujejo zlasti presojo okoliščin glede:</w:t>
      </w:r>
    </w:p>
    <w:p w14:paraId="2D83BDCF"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sodelovanja ali odgovornosti posameznika za ravnanje, ki je vodilo do pomembnih izgub za banko, ali</w:t>
      </w:r>
    </w:p>
    <w:p w14:paraId="2BF85A57" w14:textId="1F08BE93"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izpolnjevanja standardov primernosti;</w:t>
      </w:r>
    </w:p>
    <w:p w14:paraId="649B40F3" w14:textId="77777777" w:rsidR="006A1A88" w:rsidRPr="00215B2F" w:rsidRDefault="00D91782" w:rsidP="00543D80">
      <w:pPr>
        <w:pStyle w:val="tevilnatoka"/>
        <w:rPr>
          <w:rFonts w:cs="Arial"/>
          <w:bCs/>
          <w:sz w:val="20"/>
          <w:szCs w:val="20"/>
        </w:rPr>
      </w:pPr>
      <w:r w:rsidRPr="00215B2F">
        <w:rPr>
          <w:rFonts w:eastAsia="Arial" w:cs="Arial"/>
          <w:sz w:val="20"/>
          <w:szCs w:val="20"/>
        </w:rPr>
        <w:t>posameznik se mora zavezati, da ne bo uporabljal osebnega zavarovanja pred tveganji ali zavarovanja v zvezi s prejemki in odgovornostjo z namenom poseganja v učinke prilagoditve njegovega variabilnega prejemka tveganjem;</w:t>
      </w:r>
    </w:p>
    <w:p w14:paraId="51D8F527" w14:textId="77777777" w:rsidR="006A1A88" w:rsidRPr="00215B2F" w:rsidRDefault="00D91782" w:rsidP="00543D80">
      <w:pPr>
        <w:pStyle w:val="tevilnatoka"/>
        <w:rPr>
          <w:rFonts w:cs="Arial"/>
          <w:bCs/>
          <w:sz w:val="20"/>
          <w:szCs w:val="20"/>
        </w:rPr>
      </w:pPr>
      <w:r w:rsidRPr="00215B2F">
        <w:rPr>
          <w:rFonts w:eastAsia="Arial" w:cs="Arial"/>
          <w:sz w:val="20"/>
          <w:szCs w:val="20"/>
        </w:rPr>
        <w:t>plačilo vsakemu posamezniku v zvezi s predčasno prekinitvijo pogodbe o zaposlitvi mora izražati doseženo uspešnost tega posameznika v določenem obdobju in ne sme nagrajevati njegove neuspešnosti ali morebitnih kršitev v banki;</w:t>
      </w:r>
    </w:p>
    <w:p w14:paraId="40A74D86" w14:textId="6F84236E" w:rsidR="00D91782" w:rsidRPr="00215B2F" w:rsidRDefault="00D91782" w:rsidP="00543D80">
      <w:pPr>
        <w:pStyle w:val="tevilnatoka"/>
        <w:rPr>
          <w:rFonts w:cs="Arial"/>
          <w:bCs/>
          <w:sz w:val="20"/>
          <w:szCs w:val="20"/>
        </w:rPr>
      </w:pPr>
      <w:r w:rsidRPr="00215B2F">
        <w:rPr>
          <w:rFonts w:eastAsia="Arial" w:cs="Arial"/>
          <w:sz w:val="20"/>
          <w:szCs w:val="20"/>
        </w:rPr>
        <w:t xml:space="preserve">politika pokojnin banke je v skladu s poslovno strategijo, cilji, vrednotami in dolgoročnimi interesi banke. </w:t>
      </w:r>
      <w:r w:rsidR="00256D7F" w:rsidRPr="00215B2F">
        <w:rPr>
          <w:rFonts w:eastAsia="Arial" w:cs="Arial"/>
          <w:sz w:val="20"/>
          <w:szCs w:val="20"/>
        </w:rPr>
        <w:t>Če</w:t>
      </w:r>
      <w:r w:rsidRPr="00215B2F">
        <w:rPr>
          <w:rFonts w:eastAsia="Arial" w:cs="Arial"/>
          <w:sz w:val="20"/>
          <w:szCs w:val="20"/>
        </w:rPr>
        <w:t xml:space="preserve"> zaposleni prekine delovno razmerje z banko pred upokojitvijo, banka zadrži izplačilo diskrecijskih pokojninskih ugodnosti v obliki instrumentov iz 3. točke tega odstavka za pet let, šteto od datuma prekinitve delovnega razmerja. </w:t>
      </w:r>
      <w:r w:rsidR="00256D7F" w:rsidRPr="00215B2F">
        <w:rPr>
          <w:rFonts w:eastAsia="Arial" w:cs="Arial"/>
          <w:sz w:val="20"/>
          <w:szCs w:val="20"/>
        </w:rPr>
        <w:t>Če</w:t>
      </w:r>
      <w:r w:rsidRPr="00215B2F">
        <w:rPr>
          <w:rFonts w:eastAsia="Arial" w:cs="Arial"/>
          <w:sz w:val="20"/>
          <w:szCs w:val="20"/>
        </w:rPr>
        <w:t xml:space="preserve"> zaposleni v času rednega delovnega razmerja z banko izpolni pogoje za upokojitev, banka diskrecijske pokojninske ugodnosti izplača v obliki instrumentov iz 3. točke tega odstavka, pri čemer zanje velja obdobje zadržanja petih let, šteto od datuma upokojitve.</w:t>
      </w:r>
    </w:p>
    <w:p w14:paraId="72CB998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D55EEEF" w14:textId="793331B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mora upoštevati načela iz prejšnjega odstavka na način in v obsegu, ki ustreza</w:t>
      </w:r>
      <w:r w:rsidR="00BA4AA2" w:rsidRPr="00215B2F">
        <w:rPr>
          <w:rFonts w:ascii="Arial" w:eastAsia="Arial" w:hAnsi="Arial" w:cs="Arial"/>
          <w:sz w:val="20"/>
          <w:szCs w:val="20"/>
        </w:rPr>
        <w:t>ta</w:t>
      </w:r>
      <w:r w:rsidRPr="00215B2F">
        <w:rPr>
          <w:rFonts w:ascii="Arial" w:eastAsia="Arial" w:hAnsi="Arial" w:cs="Arial"/>
          <w:sz w:val="20"/>
          <w:szCs w:val="20"/>
        </w:rPr>
        <w:t xml:space="preserve"> njeni velikosti, notranji organiziranosti ter naravi, obsegu in zapletenosti dejavnosti, ki jih opravlja.</w:t>
      </w:r>
    </w:p>
    <w:p w14:paraId="7A431CE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4BC3E30" w14:textId="1874CEC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Prejemki, za katere velja odlog iz 4. točke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dospejo v plačilo v sorazmernem deležu. Če je znesek variabilne sestavine prejemka izrazito visok, mora banka odložiti vsaj 60 odstotkov zneska. Trajanje obdobja odložitve banka določi v skladu s poslovnim ciklom, naravo poslovanja, pripadajočimi tveganji in dejavnostmi zadevnega zaposlenega.</w:t>
      </w:r>
    </w:p>
    <w:p w14:paraId="7478616C"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4AA788E" w14:textId="4F75C7A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Celotni variabilni prejemki morajo biti na splošno bistveno manjši, kadar je finančna uspešnost banke slaba ali negativna, pri čemer se upoštevajo tako trenutni prejemki kot zmanjšanje izplačil predhodno zasluženih zneskov, vključno z dogovori o sistemu malusa ali vračilu sredstev z upoštevanjem zakona, ki ureja delovna razmerja, ali kolektivno pogodbo dejavnosti.</w:t>
      </w:r>
    </w:p>
    <w:p w14:paraId="35887824"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ADF8D24" w14:textId="7020528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Prejemki, ki se izplačajo posameznikom iz drugega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v banki, ki se v skladu z zakonom, ki ureja prejemke poslovodnih oseb v gospodarskih družbah v večinski lasti Republike Slovenije in samoupravnih lokalnih skupnosti, šteje za banko v večinski lasti Republike Slovenije ali samoupravne lokalne skupnosti, ne smejo preseči prejemkov, ki jih določa zakon, ki ureja prejemke poslovodnih oseb v gospodarskih družbah v večinski lasti Republike Slovenije in samoupravnih lokalnih skupnosti. Pri izplačilu teh prejemkov se ne uporablja določba zakona, ki ureja prejemke poslovodnih oseb v gospodarskih družbah v večinski lasti Republike Slovenije in samoupravnih lokalnih skupnosti, ki prepoveduje plačila direktorjev z delnicami ali njihovo sodelovanje v delniških shemah.</w:t>
      </w:r>
    </w:p>
    <w:p w14:paraId="7339511C"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D3688B4" w14:textId="0053B25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Posameznik, ki pridobi delnice banke v skladu s 3. točko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lahko uveljavlja pravico manjšinskega delničarja iz 389. člena ZGD-1 šele po poteku dveh let od pridobitve teh delnic.</w:t>
      </w:r>
    </w:p>
    <w:p w14:paraId="509B53D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0272726" w14:textId="233807E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(8) </w:t>
      </w:r>
      <w:r w:rsidR="009F17E2" w:rsidRPr="00215B2F">
        <w:rPr>
          <w:rFonts w:ascii="Arial" w:eastAsia="Arial" w:hAnsi="Arial" w:cs="Arial"/>
          <w:sz w:val="20"/>
          <w:szCs w:val="20"/>
        </w:rPr>
        <w:t xml:space="preserve">Določbe </w:t>
      </w:r>
      <w:r w:rsidRPr="00215B2F">
        <w:rPr>
          <w:rFonts w:ascii="Arial" w:eastAsia="Arial" w:hAnsi="Arial" w:cs="Arial"/>
          <w:sz w:val="20"/>
          <w:szCs w:val="20"/>
        </w:rPr>
        <w:t xml:space="preserve">3. in 4. </w:t>
      </w:r>
      <w:r w:rsidR="009F17E2" w:rsidRPr="00215B2F">
        <w:rPr>
          <w:rFonts w:ascii="Arial" w:eastAsia="Arial" w:hAnsi="Arial" w:cs="Arial"/>
          <w:sz w:val="20"/>
          <w:szCs w:val="20"/>
        </w:rPr>
        <w:t xml:space="preserve">točke </w:t>
      </w:r>
      <w:r w:rsidRPr="00215B2F">
        <w:rPr>
          <w:rFonts w:ascii="Arial" w:eastAsia="Arial" w:hAnsi="Arial" w:cs="Arial"/>
          <w:sz w:val="20"/>
          <w:szCs w:val="20"/>
        </w:rPr>
        <w:t xml:space="preserve">ter del 9. točke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ki se nanaša na zadržana izplačila v primeru prekinitve delovnega razmerja ali upokojitve, se ne uporabljajo za:</w:t>
      </w:r>
    </w:p>
    <w:p w14:paraId="5F6001D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232A5A5" w14:textId="0F040138" w:rsidR="008612B7" w:rsidRPr="00215B2F" w:rsidRDefault="00D91782" w:rsidP="003D4DE0">
      <w:pPr>
        <w:pStyle w:val="Odstavekseznama"/>
        <w:numPr>
          <w:ilvl w:val="0"/>
          <w:numId w:val="310"/>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banko, ki </w:t>
      </w:r>
      <w:r w:rsidR="00BA4AA2" w:rsidRPr="00215B2F">
        <w:rPr>
          <w:rFonts w:ascii="Arial" w:eastAsia="Arial" w:hAnsi="Arial" w:cs="Arial"/>
          <w:sz w:val="20"/>
          <w:szCs w:val="20"/>
        </w:rPr>
        <w:t xml:space="preserve">se </w:t>
      </w:r>
      <w:r w:rsidRPr="00215B2F">
        <w:rPr>
          <w:rFonts w:ascii="Arial" w:eastAsia="Arial" w:hAnsi="Arial" w:cs="Arial"/>
          <w:sz w:val="20"/>
          <w:szCs w:val="20"/>
        </w:rPr>
        <w:t xml:space="preserve">ne šteje za veliko institucijo in katere vrednost sredstev je v štiriletnem obdobju neposredno pred tekočim poslovnim letom v povprečju ter na posamični podlagi v skladu s tem zakonom </w:t>
      </w:r>
      <w:r w:rsidR="00BA4AA2" w:rsidRPr="00215B2F">
        <w:rPr>
          <w:rFonts w:ascii="Arial" w:eastAsia="Arial" w:hAnsi="Arial" w:cs="Arial"/>
          <w:sz w:val="20"/>
          <w:szCs w:val="20"/>
        </w:rPr>
        <w:t xml:space="preserve">in </w:t>
      </w:r>
      <w:r w:rsidRPr="00215B2F">
        <w:rPr>
          <w:rFonts w:ascii="Arial" w:eastAsia="Arial" w:hAnsi="Arial" w:cs="Arial"/>
          <w:sz w:val="20"/>
          <w:szCs w:val="20"/>
        </w:rPr>
        <w:t>Uredbo 575/2013/EU enaka 5 milijard eurov ali nižja, ali</w:t>
      </w:r>
    </w:p>
    <w:p w14:paraId="21AAC281" w14:textId="0AC13C4A" w:rsidR="00D91782" w:rsidRPr="00215B2F" w:rsidRDefault="00D91782" w:rsidP="003D4DE0">
      <w:pPr>
        <w:pStyle w:val="Odstavekseznama"/>
        <w:numPr>
          <w:ilvl w:val="0"/>
          <w:numId w:val="310"/>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zaposlenega banke, čigar letni variabilni prejemki ne presegajo 50.000 eurov in ne obsegajo več kot tretjine njegovih celotnih letnih prejemkov.</w:t>
      </w:r>
    </w:p>
    <w:bookmarkEnd w:id="271"/>
    <w:p w14:paraId="14146381" w14:textId="77777777" w:rsidR="00802480" w:rsidRPr="00215B2F" w:rsidRDefault="00802480" w:rsidP="00FD5520">
      <w:pPr>
        <w:shd w:val="clear" w:color="auto" w:fill="FFFFFF" w:themeFill="background1"/>
        <w:spacing w:after="0" w:line="240" w:lineRule="auto"/>
        <w:jc w:val="center"/>
        <w:rPr>
          <w:rFonts w:ascii="Arial" w:eastAsia="Arial" w:hAnsi="Arial" w:cs="Arial"/>
          <w:b/>
          <w:bCs/>
          <w:sz w:val="20"/>
          <w:szCs w:val="20"/>
        </w:rPr>
      </w:pPr>
    </w:p>
    <w:p w14:paraId="1C2C1EB2" w14:textId="77777777" w:rsidR="00802480" w:rsidRPr="00215B2F" w:rsidRDefault="00802480"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72" w:name="_Ref202965062"/>
      <w:r w:rsidRPr="00215B2F">
        <w:rPr>
          <w:rFonts w:ascii="Arial" w:eastAsia="Arial" w:hAnsi="Arial" w:cs="Arial"/>
          <w:b/>
          <w:bCs/>
          <w:sz w:val="20"/>
          <w:szCs w:val="20"/>
        </w:rPr>
        <w:t>člen</w:t>
      </w:r>
      <w:bookmarkEnd w:id="272"/>
    </w:p>
    <w:p w14:paraId="75AEEFF9"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(prejemki v bankah, ki jim je dodeljena izredna javnofinančna pomoč)</w:t>
      </w:r>
    </w:p>
    <w:p w14:paraId="7811FFA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33913B3" w14:textId="0D1DA7E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Banke, ki so prejele izredno javnofinančno pomoč v skladu s pravili Evropske unije o državnih pomočeh, morajo politiko in prakse prejemkov ustrezno prilagoditi </w:t>
      </w:r>
      <w:r w:rsidR="00D54CB1" w:rsidRPr="00215B2F">
        <w:rPr>
          <w:rFonts w:ascii="Arial" w:eastAsia="Arial" w:hAnsi="Arial" w:cs="Arial"/>
          <w:sz w:val="20"/>
          <w:szCs w:val="20"/>
        </w:rPr>
        <w:t>tako</w:t>
      </w:r>
      <w:r w:rsidRPr="00215B2F">
        <w:rPr>
          <w:rFonts w:ascii="Arial" w:eastAsia="Arial" w:hAnsi="Arial" w:cs="Arial"/>
          <w:sz w:val="20"/>
          <w:szCs w:val="20"/>
        </w:rPr>
        <w:t>, da ustrezajo varnemu in zanesljivemu upravljanju tveganj banke.</w:t>
      </w:r>
    </w:p>
    <w:p w14:paraId="48042D5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FB597C3" w14:textId="73FCE5A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Prilagoditve iz prejšnjega odstavka, vključno z omejitvami variabilnih prejemkov z odstotkom skupnih neto prihodkov poslovnega leta, morajo prispevati k pravočasnemu povračilu izredne javnofinančne pomoči s ciljem, da se zagotovijo pogoji za vzpostavitev dolgoročno uspešnega poslovanja in vključujejo zlasti ustrezne omejitve za prejemke članov upravljalnega organa.</w:t>
      </w:r>
    </w:p>
    <w:p w14:paraId="733283F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48BF699" w14:textId="4D77422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lahko članom upravljalnega organa v banki, ki je prejela izredno javnofinančno pomoč, zagotovi in izplača variabilne prejemke le, če je to upravičeno glede na okoliščine posamičnega primera in položaj banke.</w:t>
      </w:r>
    </w:p>
    <w:p w14:paraId="6E0EEBC1"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8800E7F" w14:textId="0802435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ali Evropska centralna banka, kadar je </w:t>
      </w:r>
      <w:r w:rsidR="00D54CB1" w:rsidRPr="00215B2F">
        <w:rPr>
          <w:rFonts w:ascii="Arial" w:eastAsia="Arial" w:hAnsi="Arial" w:cs="Arial"/>
          <w:sz w:val="20"/>
          <w:szCs w:val="20"/>
        </w:rPr>
        <w:t xml:space="preserve">ta </w:t>
      </w:r>
      <w:r w:rsidRPr="00215B2F">
        <w:rPr>
          <w:rFonts w:ascii="Arial" w:eastAsia="Arial" w:hAnsi="Arial" w:cs="Arial"/>
          <w:sz w:val="20"/>
          <w:szCs w:val="20"/>
        </w:rPr>
        <w:t xml:space="preserve">v skladu z Uredbo 1024/2013/EU pri opravljanju nadzora nad banko odgovorna za izvajanje nalog iz točke (e) prvega odstavka 4. člena </w:t>
      </w:r>
      <w:r w:rsidR="00091BC8" w:rsidRPr="00215B2F">
        <w:rPr>
          <w:rFonts w:ascii="Arial" w:eastAsia="Arial" w:hAnsi="Arial" w:cs="Arial"/>
          <w:sz w:val="20"/>
          <w:szCs w:val="20"/>
        </w:rPr>
        <w:t>navedene uredbe</w:t>
      </w:r>
      <w:r w:rsidRPr="00215B2F">
        <w:rPr>
          <w:rFonts w:ascii="Arial" w:eastAsia="Arial" w:hAnsi="Arial" w:cs="Arial"/>
          <w:sz w:val="20"/>
          <w:szCs w:val="20"/>
        </w:rPr>
        <w:t xml:space="preserve">, lahko v primerih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zahteva od banke, da spremeni politiko prejemkov </w:t>
      </w:r>
      <w:r w:rsidR="00D54CB1" w:rsidRPr="00215B2F">
        <w:rPr>
          <w:rFonts w:ascii="Arial" w:eastAsia="Arial" w:hAnsi="Arial" w:cs="Arial"/>
          <w:sz w:val="20"/>
          <w:szCs w:val="20"/>
        </w:rPr>
        <w:t>tako</w:t>
      </w:r>
      <w:r w:rsidRPr="00215B2F">
        <w:rPr>
          <w:rFonts w:ascii="Arial" w:eastAsia="Arial" w:hAnsi="Arial" w:cs="Arial"/>
          <w:sz w:val="20"/>
          <w:szCs w:val="20"/>
        </w:rPr>
        <w:t xml:space="preserve">, da ustreza preudarnemu upravljanju tveganj in zagotavljanju dolgoročne rasti, </w:t>
      </w:r>
      <w:r w:rsidR="00D54CB1" w:rsidRPr="00215B2F">
        <w:rPr>
          <w:rFonts w:ascii="Arial" w:eastAsia="Arial" w:hAnsi="Arial" w:cs="Arial"/>
          <w:sz w:val="20"/>
          <w:szCs w:val="20"/>
        </w:rPr>
        <w:t xml:space="preserve">ter </w:t>
      </w:r>
      <w:r w:rsidRPr="00215B2F">
        <w:rPr>
          <w:rFonts w:ascii="Arial" w:eastAsia="Arial" w:hAnsi="Arial" w:cs="Arial"/>
          <w:sz w:val="20"/>
          <w:szCs w:val="20"/>
        </w:rPr>
        <w:t>po potrebi določi omejitve za prejemke članov upravljalnega organa institucije.</w:t>
      </w:r>
    </w:p>
    <w:p w14:paraId="33B8D97B"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557C1820" w14:textId="37C73E5E"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 xml:space="preserve">6.6 </w:t>
      </w:r>
      <w:r w:rsidR="00DA012A" w:rsidRPr="00215B2F">
        <w:rPr>
          <w:rFonts w:ascii="Arial" w:eastAsia="Arial" w:hAnsi="Arial" w:cs="Arial"/>
          <w:b/>
          <w:bCs/>
          <w:sz w:val="20"/>
          <w:szCs w:val="20"/>
        </w:rPr>
        <w:t xml:space="preserve">PROCES </w:t>
      </w:r>
      <w:r w:rsidRPr="00215B2F">
        <w:rPr>
          <w:rFonts w:ascii="Arial" w:eastAsia="Arial" w:hAnsi="Arial" w:cs="Arial"/>
          <w:b/>
          <w:bCs/>
          <w:sz w:val="20"/>
          <w:szCs w:val="20"/>
        </w:rPr>
        <w:t>NADZORNIŠKEGA PREGLEDOVANJA IN OVREDNOTENJA TVEGANJ</w:t>
      </w:r>
    </w:p>
    <w:p w14:paraId="14B678AA"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373FE0F5" w14:textId="6F3F7231"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6.6.1 Splošne določbe</w:t>
      </w:r>
    </w:p>
    <w:p w14:paraId="28A5F09F" w14:textId="77777777"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p>
    <w:p w14:paraId="010CC088"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73" w:name="_Ref202965073"/>
      <w:r w:rsidRPr="00215B2F">
        <w:rPr>
          <w:rFonts w:ascii="Arial" w:eastAsia="Arial" w:hAnsi="Arial" w:cs="Arial"/>
          <w:b/>
          <w:bCs/>
          <w:sz w:val="20"/>
          <w:szCs w:val="20"/>
        </w:rPr>
        <w:t>člen</w:t>
      </w:r>
      <w:bookmarkEnd w:id="273"/>
    </w:p>
    <w:p w14:paraId="5DB6BF36" w14:textId="77777777" w:rsidR="00D91782" w:rsidRPr="00215B2F" w:rsidRDefault="00D91782" w:rsidP="00FD5520">
      <w:pPr>
        <w:pStyle w:val="Slog1"/>
        <w:shd w:val="clear" w:color="auto" w:fill="FFFFFF" w:themeFill="background1"/>
        <w:rPr>
          <w:sz w:val="20"/>
          <w:szCs w:val="20"/>
        </w:rPr>
      </w:pPr>
      <w:r w:rsidRPr="00215B2F">
        <w:rPr>
          <w:sz w:val="20"/>
          <w:szCs w:val="20"/>
        </w:rPr>
        <w:t>(namen in obseg nadzorniškega pregledovanja in ovrednotenja tveganj)</w:t>
      </w:r>
    </w:p>
    <w:p w14:paraId="46D25C66" w14:textId="77777777" w:rsidR="00D91782" w:rsidRPr="00215B2F" w:rsidRDefault="00D91782" w:rsidP="00FD5520">
      <w:pPr>
        <w:pStyle w:val="Slog1"/>
        <w:shd w:val="clear" w:color="auto" w:fill="FFFFFF" w:themeFill="background1"/>
        <w:jc w:val="both"/>
        <w:rPr>
          <w:sz w:val="20"/>
          <w:szCs w:val="20"/>
        </w:rPr>
      </w:pPr>
    </w:p>
    <w:p w14:paraId="0F2F9078" w14:textId="234439D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274" w:name="_Hlk203643517"/>
      <w:r w:rsidRPr="00215B2F">
        <w:rPr>
          <w:rFonts w:ascii="Arial" w:eastAsia="Arial" w:hAnsi="Arial" w:cs="Arial"/>
          <w:sz w:val="20"/>
          <w:szCs w:val="20"/>
        </w:rPr>
        <w:t xml:space="preserve">(1) Banka Slovenije, kadar je v skladu z Uredbo 1024/2013/EU pri opravljanju nadzora nad banko odgovorna za izvajanje nalog iz točke (f) prvega odstavka 4. člena </w:t>
      </w:r>
      <w:r w:rsidR="00091BC8" w:rsidRPr="00215B2F">
        <w:rPr>
          <w:rFonts w:ascii="Arial" w:eastAsia="Arial" w:hAnsi="Arial" w:cs="Arial"/>
          <w:sz w:val="20"/>
          <w:szCs w:val="20"/>
        </w:rPr>
        <w:t xml:space="preserve">navedene </w:t>
      </w:r>
      <w:r w:rsidRPr="00215B2F">
        <w:rPr>
          <w:rFonts w:ascii="Arial" w:eastAsia="Arial" w:hAnsi="Arial" w:cs="Arial"/>
          <w:sz w:val="20"/>
          <w:szCs w:val="20"/>
        </w:rPr>
        <w:t xml:space="preserve">uredbe, z izvajanjem nadzora nad banko preverja, ali ureditev notranjega upravljanja ter kapital in likvidnost, ki jih banka zagotavlja v skladu s tem zakonom in Uredbo 575/2013/EU, omogočajo učinkovito in skrbno upravljanje banke ter ustrezno pokritje vseh tveganj, ki jim je izpostavljena pri svojem poslovanju ali bi jim lahko bila. Pri tem v skladu s </w:t>
      </w:r>
      <w:r w:rsidR="00102C24" w:rsidRPr="00215B2F">
        <w:rPr>
          <w:rFonts w:ascii="Arial" w:eastAsia="Arial" w:hAnsi="Arial" w:cs="Arial"/>
          <w:sz w:val="20"/>
          <w:szCs w:val="20"/>
        </w:rPr>
        <w:t>182</w:t>
      </w:r>
      <w:r w:rsidRPr="00215B2F">
        <w:rPr>
          <w:rFonts w:ascii="Arial" w:eastAsia="Arial" w:hAnsi="Arial" w:cs="Arial"/>
          <w:sz w:val="20"/>
          <w:szCs w:val="20"/>
        </w:rPr>
        <w:t xml:space="preserve">. in </w:t>
      </w:r>
      <w:r w:rsidR="00102C24" w:rsidRPr="00215B2F">
        <w:rPr>
          <w:rFonts w:ascii="Arial" w:eastAsia="Arial" w:hAnsi="Arial" w:cs="Arial"/>
          <w:sz w:val="20"/>
          <w:szCs w:val="20"/>
        </w:rPr>
        <w:t>183</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upošteva raven izpolnjevanja obveznosti, k</w:t>
      </w:r>
      <w:r w:rsidR="006B0B0E" w:rsidRPr="00215B2F">
        <w:rPr>
          <w:rFonts w:ascii="Arial" w:eastAsia="Arial" w:hAnsi="Arial" w:cs="Arial"/>
          <w:sz w:val="20"/>
          <w:szCs w:val="20"/>
        </w:rPr>
        <w:t>akor</w:t>
      </w:r>
      <w:r w:rsidRPr="00215B2F">
        <w:rPr>
          <w:rFonts w:ascii="Arial" w:eastAsia="Arial" w:hAnsi="Arial" w:cs="Arial"/>
          <w:sz w:val="20"/>
          <w:szCs w:val="20"/>
        </w:rPr>
        <w:t xml:space="preserve"> so določene za banko na podlagi Uredbe 575/2013/EU.</w:t>
      </w:r>
    </w:p>
    <w:p w14:paraId="38D86D1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EC61626" w14:textId="0B6CDCE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kadar je v skladu z Uredbo 1024/2013/EU pri opravljanju nadzora nad banko odgovorna za izvajanje nalog iz točke (f) prvega odstavka 4. člena </w:t>
      </w:r>
      <w:r w:rsidR="00091BC8" w:rsidRPr="00215B2F">
        <w:rPr>
          <w:rFonts w:ascii="Arial" w:eastAsia="Arial" w:hAnsi="Arial" w:cs="Arial"/>
          <w:sz w:val="20"/>
          <w:szCs w:val="20"/>
        </w:rPr>
        <w:t>navedene uredbe</w:t>
      </w:r>
      <w:r w:rsidRPr="00215B2F">
        <w:rPr>
          <w:rFonts w:ascii="Arial" w:eastAsia="Arial" w:hAnsi="Arial" w:cs="Arial"/>
          <w:sz w:val="20"/>
          <w:szCs w:val="20"/>
        </w:rPr>
        <w:t>, z namenom zagotavljanja učinkovitega in skrbnega upravljanja banke ocenjuje:</w:t>
      </w:r>
    </w:p>
    <w:p w14:paraId="0636B75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2E3F1BB" w14:textId="77777777" w:rsidR="006A1A88" w:rsidRPr="00215B2F" w:rsidRDefault="00D91782" w:rsidP="003D4DE0">
      <w:pPr>
        <w:pStyle w:val="tevilnatoka"/>
        <w:numPr>
          <w:ilvl w:val="0"/>
          <w:numId w:val="135"/>
        </w:numPr>
        <w:shd w:val="clear" w:color="auto" w:fill="FFFFFF" w:themeFill="background1"/>
        <w:tabs>
          <w:tab w:val="clear" w:pos="425"/>
        </w:tabs>
        <w:rPr>
          <w:rFonts w:cs="Arial"/>
          <w:bCs/>
          <w:sz w:val="20"/>
          <w:szCs w:val="20"/>
        </w:rPr>
      </w:pPr>
      <w:r w:rsidRPr="00215B2F">
        <w:rPr>
          <w:rFonts w:eastAsia="Arial" w:cs="Arial"/>
          <w:sz w:val="20"/>
          <w:szCs w:val="20"/>
        </w:rPr>
        <w:t>tveganja, ki jim je banka izpostavljena pri svojem poslovanju ali bi jim lahko bila;</w:t>
      </w:r>
    </w:p>
    <w:p w14:paraId="6A2C0FE2" w14:textId="77777777" w:rsidR="006A1A88" w:rsidRPr="00215B2F" w:rsidRDefault="00D91782" w:rsidP="003D4DE0">
      <w:pPr>
        <w:pStyle w:val="tevilnatoka"/>
        <w:numPr>
          <w:ilvl w:val="0"/>
          <w:numId w:val="135"/>
        </w:numPr>
        <w:shd w:val="clear" w:color="auto" w:fill="FFFFFF" w:themeFill="background1"/>
        <w:tabs>
          <w:tab w:val="clear" w:pos="425"/>
        </w:tabs>
        <w:rPr>
          <w:rFonts w:cs="Arial"/>
          <w:bCs/>
          <w:sz w:val="20"/>
          <w:szCs w:val="20"/>
        </w:rPr>
      </w:pPr>
      <w:r w:rsidRPr="00215B2F">
        <w:rPr>
          <w:rFonts w:eastAsia="Arial" w:cs="Arial"/>
          <w:sz w:val="20"/>
          <w:szCs w:val="20"/>
        </w:rPr>
        <w:t>tveganja, ki so ugotovljena v okviru stresnih testov, z upoštevanjem narave, obsega in zapletenosti dejavnosti, ki jih opravlja banka;</w:t>
      </w:r>
    </w:p>
    <w:p w14:paraId="7AF7C567" w14:textId="4FCC42D0" w:rsidR="00D91782" w:rsidRPr="00215B2F" w:rsidRDefault="00D91782" w:rsidP="003D4DE0">
      <w:pPr>
        <w:pStyle w:val="tevilnatoka"/>
        <w:numPr>
          <w:ilvl w:val="0"/>
          <w:numId w:val="135"/>
        </w:numPr>
        <w:shd w:val="clear" w:color="auto" w:fill="FFFFFF" w:themeFill="background1"/>
        <w:tabs>
          <w:tab w:val="clear" w:pos="425"/>
        </w:tabs>
        <w:rPr>
          <w:rFonts w:cs="Arial"/>
          <w:bCs/>
          <w:sz w:val="20"/>
          <w:szCs w:val="20"/>
        </w:rPr>
      </w:pPr>
      <w:r w:rsidRPr="00215B2F">
        <w:rPr>
          <w:rFonts w:eastAsia="Arial" w:cs="Arial"/>
          <w:sz w:val="20"/>
          <w:szCs w:val="20"/>
        </w:rPr>
        <w:t>tveganja, ki so jih razkrila testiranja digitalne operativne odpornosti v skladu s poglavjem IV Uredbe 2022/2554/EU.</w:t>
      </w:r>
    </w:p>
    <w:p w14:paraId="0127E96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E5CF66A" w14:textId="2486FE4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kadar je v skladu z Uredbo 1024/2013/EU pri opravljanju nadzora nad banko odgovorna za izvajanje nalog iz točke (f) prvega odstavka 4. člena </w:t>
      </w:r>
      <w:r w:rsidR="00091BC8" w:rsidRPr="00215B2F">
        <w:rPr>
          <w:rFonts w:ascii="Arial" w:eastAsia="Arial" w:hAnsi="Arial" w:cs="Arial"/>
          <w:sz w:val="20"/>
          <w:szCs w:val="20"/>
        </w:rPr>
        <w:t>navedene uredbe</w:t>
      </w:r>
      <w:r w:rsidRPr="00215B2F">
        <w:rPr>
          <w:rFonts w:ascii="Arial" w:eastAsia="Arial" w:hAnsi="Arial" w:cs="Arial"/>
          <w:sz w:val="20"/>
          <w:szCs w:val="20"/>
        </w:rPr>
        <w:t xml:space="preserve">, določi pogostost in podrobnost nadzorniškega pregledovanja iz prvega in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glede na velikost in pomen posamezne banke za finančni sistem ter </w:t>
      </w:r>
      <w:r w:rsidR="001603EB" w:rsidRPr="00215B2F">
        <w:rPr>
          <w:rFonts w:ascii="Arial" w:eastAsia="Arial" w:hAnsi="Arial" w:cs="Arial"/>
          <w:sz w:val="20"/>
          <w:szCs w:val="20"/>
        </w:rPr>
        <w:t xml:space="preserve">glede na </w:t>
      </w:r>
      <w:r w:rsidRPr="00215B2F">
        <w:rPr>
          <w:rFonts w:ascii="Arial" w:eastAsia="Arial" w:hAnsi="Arial" w:cs="Arial"/>
          <w:sz w:val="20"/>
          <w:szCs w:val="20"/>
        </w:rPr>
        <w:t xml:space="preserve">naravo, obseg in zapletenost dejavnosti, ki jih banka opravlja, in pri tem upošteva načelo sorazmernosti v skladu z merili, objavljenimi na podlagi 3. točke prvega odstavka </w:t>
      </w:r>
      <w:r w:rsidR="00102C24" w:rsidRPr="00215B2F">
        <w:rPr>
          <w:rFonts w:ascii="Arial" w:eastAsia="Arial" w:hAnsi="Arial" w:cs="Arial"/>
          <w:sz w:val="20"/>
          <w:szCs w:val="20"/>
        </w:rPr>
        <w:t>382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Banka Slovenije lahko za namene pregledovanja in ovrednotenja banke preuči, ali so izpolnjeni vsi naslednji pogoji: </w:t>
      </w:r>
    </w:p>
    <w:p w14:paraId="66CFBFC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B5530B1" w14:textId="77777777" w:rsidR="008612B7" w:rsidRPr="00215B2F" w:rsidRDefault="00D91782" w:rsidP="003D4DE0">
      <w:pPr>
        <w:pStyle w:val="Odstavekseznama"/>
        <w:numPr>
          <w:ilvl w:val="0"/>
          <w:numId w:val="311"/>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banka ni določena kot GSPB, GSPB zunaj EU ali subjekt, ki je GSPB, v skladu z Uredbo 575/2013/EU;</w:t>
      </w:r>
    </w:p>
    <w:p w14:paraId="666558BA" w14:textId="7DA9472E" w:rsidR="008612B7" w:rsidRPr="00215B2F" w:rsidRDefault="00D91782" w:rsidP="003D4DE0">
      <w:pPr>
        <w:pStyle w:val="Odstavekseznama"/>
        <w:numPr>
          <w:ilvl w:val="0"/>
          <w:numId w:val="311"/>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banka ni bila določena kot DSPB v skladu </w:t>
      </w:r>
      <w:r w:rsidR="001603EB" w:rsidRPr="00215B2F">
        <w:rPr>
          <w:rFonts w:ascii="Arial" w:eastAsia="Arial" w:hAnsi="Arial" w:cs="Arial"/>
          <w:sz w:val="20"/>
          <w:szCs w:val="20"/>
        </w:rPr>
        <w:t xml:space="preserve">z </w:t>
      </w:r>
      <w:r w:rsidR="00102C24" w:rsidRPr="00215B2F">
        <w:rPr>
          <w:rFonts w:ascii="Arial" w:eastAsia="Arial" w:hAnsi="Arial" w:cs="Arial"/>
          <w:sz w:val="20"/>
          <w:szCs w:val="20"/>
        </w:rPr>
        <w:t>284</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123B154D" w14:textId="77777777" w:rsidR="008612B7" w:rsidRPr="00215B2F" w:rsidRDefault="00D91782" w:rsidP="003D4DE0">
      <w:pPr>
        <w:pStyle w:val="Odstavekseznama"/>
        <w:numPr>
          <w:ilvl w:val="0"/>
          <w:numId w:val="311"/>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banka je del skupine, v kateri so nadrejena institucija in velika večina podrejenih institucij medsebojno povezane, v smislu obvladujočega položaja, kot ga določa zakon, ki ureja gospodarske družbe;</w:t>
      </w:r>
    </w:p>
    <w:p w14:paraId="4CEFB2B7" w14:textId="16A1802F" w:rsidR="00D91782" w:rsidRPr="00215B2F" w:rsidRDefault="0061405D" w:rsidP="0061405D">
      <w:p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č)   </w:t>
      </w:r>
      <w:r w:rsidR="00D91782" w:rsidRPr="00215B2F">
        <w:rPr>
          <w:rFonts w:ascii="Arial" w:eastAsia="Arial" w:hAnsi="Arial" w:cs="Arial"/>
          <w:sz w:val="20"/>
          <w:szCs w:val="20"/>
        </w:rPr>
        <w:t xml:space="preserve">podrejene institucije iz </w:t>
      </w:r>
      <w:r w:rsidR="009F17E2" w:rsidRPr="00215B2F">
        <w:rPr>
          <w:rFonts w:ascii="Arial" w:eastAsia="Arial" w:hAnsi="Arial" w:cs="Arial"/>
          <w:sz w:val="20"/>
          <w:szCs w:val="20"/>
        </w:rPr>
        <w:t xml:space="preserve">prejšnje </w:t>
      </w:r>
      <w:r w:rsidR="00D91782" w:rsidRPr="00215B2F">
        <w:rPr>
          <w:rFonts w:ascii="Arial" w:eastAsia="Arial" w:hAnsi="Arial" w:cs="Arial"/>
          <w:sz w:val="20"/>
          <w:szCs w:val="20"/>
        </w:rPr>
        <w:t>točke izpolnjujejo vse naslednje pogoje:</w:t>
      </w:r>
    </w:p>
    <w:p w14:paraId="3428550F" w14:textId="7F596F69" w:rsidR="001C0F85"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lastRenderedPageBreak/>
        <w:t>podrejene institucije oziroma velika večina podrejenih institucij se štejejo za vzajemne institucije, zadružne institucije ali hranilnice v skladu točko (a) prvega odstavka 27. člena Uredbe 575/2013/EU, veljavno n</w:t>
      </w:r>
      <w:r w:rsidR="001603EB" w:rsidRPr="00215B2F">
        <w:rPr>
          <w:rFonts w:ascii="Arial" w:eastAsia="Arial" w:hAnsi="Arial" w:cs="Arial"/>
          <w:sz w:val="20"/>
          <w:szCs w:val="20"/>
        </w:rPr>
        <w:t>otranje</w:t>
      </w:r>
      <w:r w:rsidRPr="00215B2F">
        <w:rPr>
          <w:rFonts w:ascii="Arial" w:eastAsia="Arial" w:hAnsi="Arial" w:cs="Arial"/>
          <w:sz w:val="20"/>
          <w:szCs w:val="20"/>
        </w:rPr>
        <w:t xml:space="preserve"> pravo pa vključuje zgornjo mejo ali omejitev najvišje ravni razdelitev;</w:t>
      </w:r>
    </w:p>
    <w:p w14:paraId="1F598FDC" w14:textId="25141D5C"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 xml:space="preserve">njihova skupna sredstva na posamični ali subkonsolidirani podlagi ne presegajo 30 milijard </w:t>
      </w:r>
      <w:r w:rsidR="001603EB" w:rsidRPr="00215B2F">
        <w:rPr>
          <w:rFonts w:ascii="Arial" w:eastAsia="Arial" w:hAnsi="Arial" w:cs="Arial"/>
          <w:sz w:val="20"/>
          <w:szCs w:val="20"/>
        </w:rPr>
        <w:t>eurov</w:t>
      </w:r>
      <w:r w:rsidRPr="00215B2F">
        <w:rPr>
          <w:rFonts w:ascii="Arial" w:eastAsia="Arial" w:hAnsi="Arial" w:cs="Arial"/>
          <w:sz w:val="20"/>
          <w:szCs w:val="20"/>
        </w:rPr>
        <w:t>.</w:t>
      </w:r>
    </w:p>
    <w:p w14:paraId="49F0B6F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2A8564F" w14:textId="43FAAEB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kadar je v skladu z Uredbo 1024/2013/EU pri opravljanju nadzora nad banko odgovorna za izvajanje nalog iz točke (f) prvega odstavka 4. člena </w:t>
      </w:r>
      <w:r w:rsidR="00091BC8" w:rsidRPr="00215B2F">
        <w:rPr>
          <w:rFonts w:ascii="Arial" w:eastAsia="Arial" w:hAnsi="Arial" w:cs="Arial"/>
          <w:sz w:val="20"/>
          <w:szCs w:val="20"/>
        </w:rPr>
        <w:t>navedene uredbe</w:t>
      </w:r>
      <w:r w:rsidRPr="00215B2F">
        <w:rPr>
          <w:rFonts w:ascii="Arial" w:eastAsia="Arial" w:hAnsi="Arial" w:cs="Arial"/>
          <w:sz w:val="20"/>
          <w:szCs w:val="20"/>
        </w:rPr>
        <w:t xml:space="preserve">, lahko prilagodi metodologije za izvajanje pregledovanja in ovrednotenja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da se upoštevajo banke s podobnim profilom tveganosti, kot so podobni poslovni modeli ali geografska lokacija izpostavljenosti. Take prilagojene metodologije lahko vključujejo referenčne vrednosti na podlagi tveganj in kvantitativne kazalnike ter omogočajo upoštevanje posebnih tveganj, ki jim je lahko izpostavljena posamezna banka, in ne vplivajo na posebno naravo ukrepov, ki so naloženi posamezni banki v skladu </w:t>
      </w:r>
      <w:r w:rsidR="001603EB" w:rsidRPr="00215B2F">
        <w:rPr>
          <w:rFonts w:ascii="Arial" w:eastAsia="Arial" w:hAnsi="Arial" w:cs="Arial"/>
          <w:sz w:val="20"/>
          <w:szCs w:val="20"/>
        </w:rPr>
        <w:t xml:space="preserve">s </w:t>
      </w:r>
      <w:r w:rsidR="00102C24" w:rsidRPr="00215B2F">
        <w:rPr>
          <w:rFonts w:ascii="Arial" w:eastAsia="Arial" w:hAnsi="Arial" w:cs="Arial"/>
          <w:sz w:val="20"/>
          <w:szCs w:val="20"/>
        </w:rPr>
        <w:t>345</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1F17390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F03E518" w14:textId="030E58B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kadar je v skladu z Uredbo 1024/2013/EU pri opravljanju nadzora nad banko odgovorna za izvajanje nalog iz točke (f) prvega odstavka 4. člena </w:t>
      </w:r>
      <w:r w:rsidR="00091BC8" w:rsidRPr="00215B2F">
        <w:rPr>
          <w:rFonts w:ascii="Arial" w:eastAsia="Arial" w:hAnsi="Arial" w:cs="Arial"/>
          <w:sz w:val="20"/>
          <w:szCs w:val="20"/>
        </w:rPr>
        <w:t>navedene uredbe</w:t>
      </w:r>
      <w:r w:rsidRPr="00215B2F">
        <w:rPr>
          <w:rFonts w:ascii="Arial" w:eastAsia="Arial" w:hAnsi="Arial" w:cs="Arial"/>
          <w:sz w:val="20"/>
          <w:szCs w:val="20"/>
        </w:rPr>
        <w:t xml:space="preserve">, preverjanje in oceno iz prvega in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izvede najmanj enkrat na leto.</w:t>
      </w:r>
    </w:p>
    <w:p w14:paraId="0E38FA18"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B549B00" w14:textId="53357A0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9639B" w:rsidRPr="00215B2F">
        <w:rPr>
          <w:rFonts w:ascii="Arial" w:eastAsia="Arial" w:hAnsi="Arial" w:cs="Arial"/>
          <w:sz w:val="20"/>
          <w:szCs w:val="20"/>
        </w:rPr>
        <w:t>6</w:t>
      </w:r>
      <w:r w:rsidRPr="00215B2F">
        <w:rPr>
          <w:rFonts w:ascii="Arial" w:eastAsia="Arial" w:hAnsi="Arial" w:cs="Arial"/>
          <w:sz w:val="20"/>
          <w:szCs w:val="20"/>
        </w:rPr>
        <w:t>) Banka Slovenije po</w:t>
      </w:r>
      <w:r w:rsidR="001603EB" w:rsidRPr="00215B2F">
        <w:rPr>
          <w:rFonts w:ascii="Arial" w:eastAsia="Arial" w:hAnsi="Arial" w:cs="Arial"/>
          <w:sz w:val="20"/>
          <w:szCs w:val="20"/>
        </w:rPr>
        <w:t>šl</w:t>
      </w:r>
      <w:r w:rsidRPr="00215B2F">
        <w:rPr>
          <w:rFonts w:ascii="Arial" w:eastAsia="Arial" w:hAnsi="Arial" w:cs="Arial"/>
          <w:sz w:val="20"/>
          <w:szCs w:val="20"/>
        </w:rPr>
        <w:t>je Evropskemu bančnemu organu informacije glede:</w:t>
      </w:r>
    </w:p>
    <w:p w14:paraId="23B26D9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35DB20D" w14:textId="1E7DA81C" w:rsidR="006A1A88" w:rsidRPr="00215B2F" w:rsidRDefault="00D91782" w:rsidP="003D4DE0">
      <w:pPr>
        <w:pStyle w:val="tevilnatoka"/>
        <w:numPr>
          <w:ilvl w:val="0"/>
          <w:numId w:val="136"/>
        </w:numPr>
        <w:shd w:val="clear" w:color="auto" w:fill="FFFFFF" w:themeFill="background1"/>
        <w:tabs>
          <w:tab w:val="clear" w:pos="425"/>
        </w:tabs>
        <w:rPr>
          <w:rFonts w:cs="Arial"/>
          <w:bCs/>
          <w:sz w:val="20"/>
          <w:szCs w:val="20"/>
        </w:rPr>
      </w:pPr>
      <w:r w:rsidRPr="00215B2F">
        <w:rPr>
          <w:rFonts w:eastAsia="Arial" w:cs="Arial"/>
          <w:sz w:val="20"/>
          <w:szCs w:val="20"/>
        </w:rPr>
        <w:t xml:space="preserve">izvajanja </w:t>
      </w:r>
      <w:r w:rsidR="00DA012A" w:rsidRPr="00215B2F">
        <w:rPr>
          <w:rFonts w:eastAsia="Arial" w:cs="Arial"/>
          <w:sz w:val="20"/>
          <w:szCs w:val="20"/>
        </w:rPr>
        <w:t xml:space="preserve">procesa </w:t>
      </w:r>
      <w:r w:rsidRPr="00215B2F">
        <w:rPr>
          <w:rFonts w:eastAsia="Arial" w:cs="Arial"/>
          <w:sz w:val="20"/>
          <w:szCs w:val="20"/>
        </w:rPr>
        <w:t>nadzorniškega pregledovanja in ovrednotenja v skladu s tem členom;</w:t>
      </w:r>
    </w:p>
    <w:p w14:paraId="57A9C0B5" w14:textId="77777777" w:rsidR="006A1A88" w:rsidRPr="00215B2F" w:rsidRDefault="00D91782" w:rsidP="00543D80">
      <w:pPr>
        <w:pStyle w:val="tevilnatoka"/>
        <w:rPr>
          <w:rFonts w:cs="Arial"/>
          <w:bCs/>
          <w:sz w:val="20"/>
          <w:szCs w:val="20"/>
        </w:rPr>
      </w:pPr>
      <w:r w:rsidRPr="00215B2F">
        <w:rPr>
          <w:rFonts w:eastAsia="Arial" w:cs="Arial"/>
          <w:sz w:val="20"/>
          <w:szCs w:val="20"/>
        </w:rPr>
        <w:t>metodologije, ki se uporablja za utemeljitev odločitev in ukrepov nadzora, ki jih izreče v skladu s tem zakonom na podlagi ugotovitev nadzorniškega pregledovanja in ovrednotenja;</w:t>
      </w:r>
    </w:p>
    <w:p w14:paraId="60A4348D" w14:textId="1D18B378" w:rsidR="00D91782" w:rsidRPr="00215B2F" w:rsidRDefault="00D91782" w:rsidP="00543D80">
      <w:pPr>
        <w:pStyle w:val="tevilnatoka"/>
        <w:rPr>
          <w:rFonts w:cs="Arial"/>
          <w:bCs/>
          <w:sz w:val="20"/>
          <w:szCs w:val="20"/>
        </w:rPr>
      </w:pPr>
      <w:r w:rsidRPr="00215B2F">
        <w:rPr>
          <w:rFonts w:eastAsia="Arial" w:cs="Arial"/>
          <w:sz w:val="20"/>
          <w:szCs w:val="20"/>
        </w:rPr>
        <w:t>uporabe prilagojene metodologije v skladu s četrtim odstavkom tega člena.</w:t>
      </w:r>
    </w:p>
    <w:p w14:paraId="5D23B77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680E043" w14:textId="50BB07D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9639B" w:rsidRPr="00215B2F">
        <w:rPr>
          <w:rFonts w:ascii="Arial" w:eastAsia="Arial" w:hAnsi="Arial" w:cs="Arial"/>
          <w:sz w:val="20"/>
          <w:szCs w:val="20"/>
        </w:rPr>
        <w:t>7</w:t>
      </w:r>
      <w:r w:rsidRPr="00215B2F">
        <w:rPr>
          <w:rFonts w:ascii="Arial" w:eastAsia="Arial" w:hAnsi="Arial" w:cs="Arial"/>
          <w:sz w:val="20"/>
          <w:szCs w:val="20"/>
        </w:rPr>
        <w:t>) Kadar Banka Slovenije na podlagi pregledovanja, zlasti ovrednotenja ureditev upravljanja, poslovnega modela ali dejavnosti banke, upravičeno domneva oziroma sumi, da v povezavi s to banko poteka pranje denarja ali financiranje terorizma oziroma je do tega prišlo ali da poteka oziroma se je zgodil poskus pranja denarja ali financiranja terorizma ali da obstaja večje tveganje pranja denarja ali financiranja terorizma, takoj uradno obvesti Evropski bančni organ in Urad Republike Slovenije za preprečevanje pranja denarja, in če je ustrezno, organe iz drugih držav članic, ki so pristojni za zagotavljanje skladnosti z Direktivo 2015/849/EU. V primeru morebitnega večjega tveganja pranja denarja ali financiranja terorizma se Banka Slovenije v funkciji pristojnega organa nad izvajanjem določb tega zakona in v funkciji pristojnega organa nad izvajanjem določb zakona, ki ureja preprečevanje pranja denarja in financiranja terorizma, ter Urad Republike Slovenije za preprečevanje pranja denarja povežeta z Evropskim bančnim organom in ga takoj uradno obvestita o svoji skupni oceni, Banka Slovenije pa sprejme ustrezne ukrepe v skladu s tem zakonom.</w:t>
      </w:r>
    </w:p>
    <w:bookmarkEnd w:id="274"/>
    <w:p w14:paraId="6928386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7091EB0"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75" w:name="_Ref202965085"/>
      <w:r w:rsidRPr="00215B2F">
        <w:rPr>
          <w:rFonts w:ascii="Arial" w:eastAsia="Arial" w:hAnsi="Arial" w:cs="Arial"/>
          <w:b/>
          <w:bCs/>
          <w:sz w:val="20"/>
          <w:szCs w:val="20"/>
        </w:rPr>
        <w:t>člen</w:t>
      </w:r>
      <w:bookmarkEnd w:id="275"/>
    </w:p>
    <w:p w14:paraId="2D5750AA" w14:textId="77777777" w:rsidR="00D91782" w:rsidRPr="00215B2F" w:rsidRDefault="00D91782" w:rsidP="00FD5520">
      <w:pPr>
        <w:pStyle w:val="Slog1"/>
        <w:shd w:val="clear" w:color="auto" w:fill="FFFFFF" w:themeFill="background1"/>
        <w:rPr>
          <w:sz w:val="20"/>
          <w:szCs w:val="20"/>
        </w:rPr>
      </w:pPr>
      <w:r w:rsidRPr="00215B2F">
        <w:rPr>
          <w:sz w:val="20"/>
          <w:szCs w:val="20"/>
        </w:rPr>
        <w:t>(tehnična merila nadzorniškega pregledovanja in ovrednotenja)</w:t>
      </w:r>
    </w:p>
    <w:p w14:paraId="09BE6553" w14:textId="77777777" w:rsidR="00D91782" w:rsidRPr="00215B2F" w:rsidRDefault="00D91782" w:rsidP="00FD5520">
      <w:pPr>
        <w:pStyle w:val="Slog1"/>
        <w:shd w:val="clear" w:color="auto" w:fill="FFFFFF" w:themeFill="background1"/>
        <w:jc w:val="both"/>
        <w:rPr>
          <w:sz w:val="20"/>
          <w:szCs w:val="20"/>
        </w:rPr>
      </w:pPr>
    </w:p>
    <w:p w14:paraId="6841D34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Slovenije pri nadzorniškem pregledovanju in ovrednotenju v skladu s prejšnjim členom poleg kreditnega, tržnega in operativnega tveganja upošteva tudi:</w:t>
      </w:r>
    </w:p>
    <w:p w14:paraId="2428183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75924FE" w14:textId="77777777" w:rsidR="006A1A88" w:rsidRPr="00215B2F" w:rsidRDefault="00D91782" w:rsidP="003D4DE0">
      <w:pPr>
        <w:pStyle w:val="tevilnatoka"/>
        <w:numPr>
          <w:ilvl w:val="0"/>
          <w:numId w:val="137"/>
        </w:numPr>
        <w:shd w:val="clear" w:color="auto" w:fill="FFFFFF" w:themeFill="background1"/>
        <w:tabs>
          <w:tab w:val="clear" w:pos="425"/>
        </w:tabs>
        <w:rPr>
          <w:rFonts w:cs="Arial"/>
          <w:bCs/>
          <w:sz w:val="20"/>
          <w:szCs w:val="20"/>
        </w:rPr>
      </w:pPr>
      <w:r w:rsidRPr="00215B2F">
        <w:rPr>
          <w:rFonts w:eastAsia="Arial" w:cs="Arial"/>
          <w:sz w:val="20"/>
          <w:szCs w:val="20"/>
        </w:rPr>
        <w:t>rezultate stresnih testov, ki jih v skladu s 177. členom Uredbe 575/2013/EU izvede banka, ki uporablja pristop na podlagi notranjih bonitetnih ocen;</w:t>
      </w:r>
    </w:p>
    <w:p w14:paraId="4CA478A9" w14:textId="1B8FF099" w:rsidR="006A1A88" w:rsidRPr="00215B2F" w:rsidRDefault="00D91782" w:rsidP="003D4DE0">
      <w:pPr>
        <w:pStyle w:val="tevilnatoka"/>
        <w:numPr>
          <w:ilvl w:val="0"/>
          <w:numId w:val="137"/>
        </w:numPr>
        <w:shd w:val="clear" w:color="auto" w:fill="FFFFFF" w:themeFill="background1"/>
        <w:tabs>
          <w:tab w:val="clear" w:pos="425"/>
        </w:tabs>
        <w:rPr>
          <w:rFonts w:cs="Arial"/>
          <w:bCs/>
          <w:sz w:val="20"/>
          <w:szCs w:val="20"/>
        </w:rPr>
      </w:pPr>
      <w:r w:rsidRPr="00215B2F">
        <w:rPr>
          <w:rFonts w:eastAsia="Arial" w:cs="Arial"/>
          <w:sz w:val="20"/>
          <w:szCs w:val="20"/>
        </w:rPr>
        <w:t xml:space="preserve">izpostavljenost banke tveganju koncentracije in upravljanje tega tveganja v banki, vključno z izpolnjevanjem zahtev iz 4. dela Uredbe 575/2013/EU in </w:t>
      </w:r>
      <w:r w:rsidR="000155A5" w:rsidRPr="00215B2F">
        <w:rPr>
          <w:rFonts w:eastAsia="Arial" w:cs="Arial"/>
          <w:sz w:val="20"/>
          <w:szCs w:val="20"/>
        </w:rPr>
        <w:t>214</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6C614281" w14:textId="7C0DE164" w:rsidR="006A1A88" w:rsidRPr="00215B2F" w:rsidRDefault="00D91782" w:rsidP="003D4DE0">
      <w:pPr>
        <w:pStyle w:val="tevilnatoka"/>
        <w:numPr>
          <w:ilvl w:val="0"/>
          <w:numId w:val="137"/>
        </w:numPr>
        <w:shd w:val="clear" w:color="auto" w:fill="FFFFFF" w:themeFill="background1"/>
        <w:tabs>
          <w:tab w:val="clear" w:pos="425"/>
        </w:tabs>
        <w:rPr>
          <w:rFonts w:cs="Arial"/>
          <w:bCs/>
          <w:sz w:val="20"/>
          <w:szCs w:val="20"/>
        </w:rPr>
      </w:pPr>
      <w:r w:rsidRPr="00215B2F">
        <w:rPr>
          <w:rFonts w:eastAsia="Arial" w:cs="Arial"/>
          <w:sz w:val="20"/>
          <w:szCs w:val="20"/>
        </w:rPr>
        <w:t xml:space="preserve">stabilnost, ustreznost in način uporabe politik in postopkov, ki jih izvaja banka za upravljanje preostalega kreditnega tveganja iz </w:t>
      </w:r>
      <w:r w:rsidR="000155A5" w:rsidRPr="00215B2F">
        <w:rPr>
          <w:rFonts w:eastAsia="Arial" w:cs="Arial"/>
          <w:sz w:val="20"/>
          <w:szCs w:val="20"/>
        </w:rPr>
        <w:t>205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v povezavi z uporabo tehnik za zmanjševanje kreditnega tveganja;</w:t>
      </w:r>
    </w:p>
    <w:p w14:paraId="1F04CB89" w14:textId="3B9357BE" w:rsidR="006A1A88" w:rsidRPr="00215B2F" w:rsidRDefault="00D91782" w:rsidP="003D4DE0">
      <w:pPr>
        <w:pStyle w:val="tevilnatoka"/>
        <w:numPr>
          <w:ilvl w:val="0"/>
          <w:numId w:val="137"/>
        </w:numPr>
        <w:shd w:val="clear" w:color="auto" w:fill="FFFFFF" w:themeFill="background1"/>
        <w:tabs>
          <w:tab w:val="clear" w:pos="425"/>
        </w:tabs>
        <w:rPr>
          <w:rFonts w:cs="Arial"/>
          <w:bCs/>
          <w:sz w:val="20"/>
          <w:szCs w:val="20"/>
        </w:rPr>
      </w:pPr>
      <w:r w:rsidRPr="00215B2F">
        <w:rPr>
          <w:rFonts w:eastAsia="Arial" w:cs="Arial"/>
          <w:sz w:val="20"/>
          <w:szCs w:val="20"/>
        </w:rPr>
        <w:t>ustrezn</w:t>
      </w:r>
      <w:r w:rsidR="008C7197" w:rsidRPr="00215B2F">
        <w:rPr>
          <w:rFonts w:eastAsia="Arial" w:cs="Arial"/>
          <w:sz w:val="20"/>
          <w:szCs w:val="20"/>
        </w:rPr>
        <w:t>i</w:t>
      </w:r>
      <w:r w:rsidRPr="00215B2F">
        <w:rPr>
          <w:rFonts w:eastAsia="Arial" w:cs="Arial"/>
          <w:sz w:val="20"/>
          <w:szCs w:val="20"/>
        </w:rPr>
        <w:t xml:space="preserve"> obseg kapitala, ki ga zagotavlja banka, glede na sredstva, ki jih je banka olistinila, ob upoštevanju ekonomske vsebine posla, vključno z doseženo stopnjo prenosa tveganja;</w:t>
      </w:r>
    </w:p>
    <w:p w14:paraId="4DF03DD2" w14:textId="77777777" w:rsidR="006A1A88" w:rsidRPr="00215B2F" w:rsidRDefault="00D91782" w:rsidP="003D4DE0">
      <w:pPr>
        <w:pStyle w:val="tevilnatoka"/>
        <w:numPr>
          <w:ilvl w:val="0"/>
          <w:numId w:val="137"/>
        </w:numPr>
        <w:shd w:val="clear" w:color="auto" w:fill="FFFFFF" w:themeFill="background1"/>
        <w:tabs>
          <w:tab w:val="clear" w:pos="425"/>
        </w:tabs>
        <w:rPr>
          <w:rFonts w:cs="Arial"/>
          <w:bCs/>
          <w:sz w:val="20"/>
          <w:szCs w:val="20"/>
        </w:rPr>
      </w:pPr>
      <w:r w:rsidRPr="00215B2F">
        <w:rPr>
          <w:rFonts w:eastAsia="Arial" w:cs="Arial"/>
          <w:sz w:val="20"/>
          <w:szCs w:val="20"/>
        </w:rPr>
        <w:t>izpostavljenost banke likvidnostnemu tveganju ter merjenje in obvladovanje tega tveganja v banki, vključno z razvojem analiz alternativnih scenarijev, upravljanjem instrumentov za zmanjševanje tveganja (zlasti ravni, sestave in kakovosti likvidnostnih blažilnikov) ter učinkovitimi načrti neprekinjenega poslovanja;</w:t>
      </w:r>
    </w:p>
    <w:p w14:paraId="43CF5046" w14:textId="77777777" w:rsidR="006A1A88" w:rsidRPr="00215B2F" w:rsidRDefault="00D91782" w:rsidP="003D4DE0">
      <w:pPr>
        <w:pStyle w:val="tevilnatoka"/>
        <w:numPr>
          <w:ilvl w:val="0"/>
          <w:numId w:val="137"/>
        </w:numPr>
        <w:shd w:val="clear" w:color="auto" w:fill="FFFFFF" w:themeFill="background1"/>
        <w:tabs>
          <w:tab w:val="clear" w:pos="425"/>
        </w:tabs>
        <w:rPr>
          <w:rFonts w:cs="Arial"/>
          <w:bCs/>
          <w:sz w:val="20"/>
          <w:szCs w:val="20"/>
        </w:rPr>
      </w:pPr>
      <w:r w:rsidRPr="00215B2F">
        <w:rPr>
          <w:rFonts w:eastAsia="Arial" w:cs="Arial"/>
          <w:sz w:val="20"/>
          <w:szCs w:val="20"/>
        </w:rPr>
        <w:t>vpliv učinkov razpršitve in način vključevanja teh učinkov v sistem merjenja tveganja;</w:t>
      </w:r>
    </w:p>
    <w:p w14:paraId="1D986CF4" w14:textId="77777777" w:rsidR="006A1A88" w:rsidRPr="00215B2F" w:rsidRDefault="00D91782" w:rsidP="003D4DE0">
      <w:pPr>
        <w:pStyle w:val="tevilnatoka"/>
        <w:numPr>
          <w:ilvl w:val="0"/>
          <w:numId w:val="137"/>
        </w:numPr>
        <w:shd w:val="clear" w:color="auto" w:fill="FFFFFF" w:themeFill="background1"/>
        <w:tabs>
          <w:tab w:val="clear" w:pos="425"/>
        </w:tabs>
        <w:rPr>
          <w:rFonts w:cs="Arial"/>
          <w:bCs/>
          <w:sz w:val="20"/>
          <w:szCs w:val="20"/>
        </w:rPr>
      </w:pPr>
      <w:r w:rsidRPr="00215B2F">
        <w:rPr>
          <w:rFonts w:eastAsia="Arial" w:cs="Arial"/>
          <w:sz w:val="20"/>
          <w:szCs w:val="20"/>
        </w:rPr>
        <w:lastRenderedPageBreak/>
        <w:t>rezultate stresnih testov, ki jih izvede banka, ki uporablja notranji model za izračun kapitalske zahteve za tržno tveganje v skladu s 5. poglavjem IV. naslova 3. dela Uredbe 575/2013/EU;</w:t>
      </w:r>
    </w:p>
    <w:p w14:paraId="3E615B61" w14:textId="77777777" w:rsidR="006A1A88" w:rsidRPr="00215B2F" w:rsidRDefault="00D91782" w:rsidP="003D4DE0">
      <w:pPr>
        <w:pStyle w:val="tevilnatoka"/>
        <w:numPr>
          <w:ilvl w:val="0"/>
          <w:numId w:val="137"/>
        </w:numPr>
        <w:shd w:val="clear" w:color="auto" w:fill="FFFFFF" w:themeFill="background1"/>
        <w:tabs>
          <w:tab w:val="clear" w:pos="425"/>
        </w:tabs>
        <w:rPr>
          <w:rFonts w:cs="Arial"/>
          <w:bCs/>
          <w:sz w:val="20"/>
          <w:szCs w:val="20"/>
        </w:rPr>
      </w:pPr>
      <w:r w:rsidRPr="00215B2F">
        <w:rPr>
          <w:rFonts w:eastAsia="Arial" w:cs="Arial"/>
          <w:sz w:val="20"/>
          <w:szCs w:val="20"/>
        </w:rPr>
        <w:t>geografsko lokacijo izpostavljenosti banke;</w:t>
      </w:r>
    </w:p>
    <w:p w14:paraId="2A9A4F00" w14:textId="77777777" w:rsidR="006A1A88" w:rsidRPr="00215B2F" w:rsidRDefault="00D91782" w:rsidP="003D4DE0">
      <w:pPr>
        <w:pStyle w:val="tevilnatoka"/>
        <w:numPr>
          <w:ilvl w:val="0"/>
          <w:numId w:val="137"/>
        </w:numPr>
        <w:shd w:val="clear" w:color="auto" w:fill="FFFFFF" w:themeFill="background1"/>
        <w:tabs>
          <w:tab w:val="clear" w:pos="425"/>
        </w:tabs>
        <w:rPr>
          <w:rFonts w:cs="Arial"/>
          <w:bCs/>
          <w:sz w:val="20"/>
          <w:szCs w:val="20"/>
        </w:rPr>
      </w:pPr>
      <w:r w:rsidRPr="00215B2F">
        <w:rPr>
          <w:rFonts w:eastAsia="Arial" w:cs="Arial"/>
          <w:sz w:val="20"/>
          <w:szCs w:val="20"/>
        </w:rPr>
        <w:t>poslovni model banke;</w:t>
      </w:r>
    </w:p>
    <w:p w14:paraId="0E00E58C" w14:textId="5B4C67B3" w:rsidR="00D91782" w:rsidRPr="00215B2F" w:rsidRDefault="00D91782" w:rsidP="003D4DE0">
      <w:pPr>
        <w:pStyle w:val="tevilnatoka"/>
        <w:numPr>
          <w:ilvl w:val="0"/>
          <w:numId w:val="137"/>
        </w:numPr>
        <w:shd w:val="clear" w:color="auto" w:fill="FFFFFF" w:themeFill="background1"/>
        <w:tabs>
          <w:tab w:val="clear" w:pos="425"/>
        </w:tabs>
        <w:rPr>
          <w:rFonts w:cs="Arial"/>
          <w:bCs/>
          <w:sz w:val="20"/>
          <w:szCs w:val="20"/>
        </w:rPr>
      </w:pPr>
      <w:r w:rsidRPr="00215B2F">
        <w:rPr>
          <w:rFonts w:eastAsia="Arial" w:cs="Arial"/>
          <w:sz w:val="20"/>
          <w:szCs w:val="20"/>
        </w:rPr>
        <w:t xml:space="preserve">v kolikšni meri je banka vzpostavila ustrezne politike in operativne ukrepe, povezane z merljivimi cilji in mejniki, določenimi v načrtih iz petega in šestega odstavka </w:t>
      </w:r>
      <w:r w:rsidR="002C1514" w:rsidRPr="00215B2F">
        <w:rPr>
          <w:rFonts w:eastAsia="Arial" w:cs="Arial"/>
          <w:sz w:val="20"/>
          <w:szCs w:val="20"/>
        </w:rPr>
        <w:t>197</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5372DA5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82E209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76" w:name="_Ref203484439"/>
      <w:r w:rsidRPr="00215B2F">
        <w:rPr>
          <w:rFonts w:ascii="Arial" w:eastAsia="Arial" w:hAnsi="Arial" w:cs="Arial"/>
          <w:b/>
          <w:bCs/>
          <w:sz w:val="20"/>
          <w:szCs w:val="20"/>
        </w:rPr>
        <w:t>člen</w:t>
      </w:r>
      <w:bookmarkEnd w:id="276"/>
    </w:p>
    <w:p w14:paraId="74CFCAD7" w14:textId="77777777" w:rsidR="00D91782" w:rsidRPr="00215B2F" w:rsidRDefault="00D91782" w:rsidP="00FD5520">
      <w:pPr>
        <w:pStyle w:val="Slog1"/>
        <w:shd w:val="clear" w:color="auto" w:fill="FFFFFF" w:themeFill="background1"/>
        <w:rPr>
          <w:sz w:val="20"/>
          <w:szCs w:val="20"/>
        </w:rPr>
      </w:pPr>
      <w:r w:rsidRPr="00215B2F">
        <w:rPr>
          <w:sz w:val="20"/>
          <w:szCs w:val="20"/>
        </w:rPr>
        <w:t>(ocena likvidnostnega tveganja)</w:t>
      </w:r>
    </w:p>
    <w:p w14:paraId="62A59FED" w14:textId="77777777" w:rsidR="00D91782" w:rsidRPr="00215B2F" w:rsidRDefault="00D91782" w:rsidP="00FD5520">
      <w:pPr>
        <w:pStyle w:val="Slog1"/>
        <w:shd w:val="clear" w:color="auto" w:fill="FFFFFF" w:themeFill="background1"/>
        <w:jc w:val="both"/>
        <w:rPr>
          <w:sz w:val="20"/>
          <w:szCs w:val="20"/>
        </w:rPr>
      </w:pPr>
    </w:p>
    <w:p w14:paraId="06F530D3" w14:textId="1E99EBC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Banka Slovenije v okviru ocenjevanja likvidnostnega tveganja banke redno in celovito preverja strategije, politike in postopke za upravljanje likvidnostnega tveganja v banki </w:t>
      </w:r>
      <w:r w:rsidR="005F59AB" w:rsidRPr="00215B2F">
        <w:rPr>
          <w:rFonts w:ascii="Arial" w:eastAsia="Arial" w:hAnsi="Arial" w:cs="Arial"/>
          <w:sz w:val="20"/>
          <w:szCs w:val="20"/>
        </w:rPr>
        <w:t xml:space="preserve">ter </w:t>
      </w:r>
      <w:r w:rsidRPr="00215B2F">
        <w:rPr>
          <w:rFonts w:ascii="Arial" w:eastAsia="Arial" w:hAnsi="Arial" w:cs="Arial"/>
          <w:sz w:val="20"/>
          <w:szCs w:val="20"/>
        </w:rPr>
        <w:t>spodbuja razvoj zanesljivih notranjih metodologij v banki, ki upoštevajo pomen in vlogo banke za finančni sistem.</w:t>
      </w:r>
    </w:p>
    <w:p w14:paraId="075ECD72"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AFC4A2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77" w:name="_Ref203484444"/>
      <w:r w:rsidRPr="00215B2F">
        <w:rPr>
          <w:rFonts w:ascii="Arial" w:eastAsia="Arial" w:hAnsi="Arial" w:cs="Arial"/>
          <w:b/>
          <w:bCs/>
          <w:sz w:val="20"/>
          <w:szCs w:val="20"/>
        </w:rPr>
        <w:t>člen</w:t>
      </w:r>
      <w:bookmarkEnd w:id="277"/>
    </w:p>
    <w:p w14:paraId="01E71CDE" w14:textId="77777777" w:rsidR="00D91782" w:rsidRPr="00215B2F" w:rsidRDefault="00D91782" w:rsidP="00FD5520">
      <w:pPr>
        <w:pStyle w:val="Slog1"/>
        <w:shd w:val="clear" w:color="auto" w:fill="FFFFFF" w:themeFill="background1"/>
        <w:rPr>
          <w:sz w:val="20"/>
          <w:szCs w:val="20"/>
        </w:rPr>
      </w:pPr>
      <w:r w:rsidRPr="00215B2F">
        <w:rPr>
          <w:sz w:val="20"/>
          <w:szCs w:val="20"/>
        </w:rPr>
        <w:t>(ocena tveganj, povezanih z listinjenjem)</w:t>
      </w:r>
    </w:p>
    <w:p w14:paraId="1A4B1B5C" w14:textId="77777777" w:rsidR="00D91782" w:rsidRPr="00215B2F" w:rsidRDefault="00D91782" w:rsidP="00FD5520">
      <w:pPr>
        <w:pStyle w:val="Slog1"/>
        <w:shd w:val="clear" w:color="auto" w:fill="FFFFFF" w:themeFill="background1"/>
        <w:jc w:val="both"/>
        <w:rPr>
          <w:sz w:val="20"/>
          <w:szCs w:val="20"/>
        </w:rPr>
      </w:pPr>
    </w:p>
    <w:p w14:paraId="4E65606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v okviru ocenjevanja tveganj, povezanih z listinjenjem, redno preverja in ocenjuje zlasti, ali banka zagotavlja posredno podporo pri listinjenju.</w:t>
      </w:r>
    </w:p>
    <w:p w14:paraId="644DD37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2313BCC" w14:textId="11F68C9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na podlagi ocene iz prejšnjega odstavka od banke zahteva ustrezne spremembe pri izračunu kapitalskih zahtev, povezanih z listinjenjem, zlasti če je banka zagotavljala posredno podporo v več kot enem primeru listinjenja in je verjetno, da bo banka tudi v </w:t>
      </w:r>
      <w:r w:rsidR="005F59AB" w:rsidRPr="00215B2F">
        <w:rPr>
          <w:rFonts w:ascii="Arial" w:eastAsia="Arial" w:hAnsi="Arial" w:cs="Arial"/>
          <w:sz w:val="20"/>
          <w:szCs w:val="20"/>
        </w:rPr>
        <w:t>prihodnj</w:t>
      </w:r>
      <w:r w:rsidRPr="00215B2F">
        <w:rPr>
          <w:rFonts w:ascii="Arial" w:eastAsia="Arial" w:hAnsi="Arial" w:cs="Arial"/>
          <w:sz w:val="20"/>
          <w:szCs w:val="20"/>
        </w:rPr>
        <w:t>e zagotavljala podporo pri listinjenju, zaradi česar ne doseže prenosa pomembnega deleža tveganja.</w:t>
      </w:r>
    </w:p>
    <w:p w14:paraId="55CFC0C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E243B16"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78" w:name="_Ref203484448"/>
      <w:r w:rsidRPr="00215B2F">
        <w:rPr>
          <w:rFonts w:ascii="Arial" w:eastAsia="Arial" w:hAnsi="Arial" w:cs="Arial"/>
          <w:b/>
          <w:bCs/>
          <w:sz w:val="20"/>
          <w:szCs w:val="20"/>
        </w:rPr>
        <w:t>člen</w:t>
      </w:r>
      <w:bookmarkEnd w:id="278"/>
    </w:p>
    <w:p w14:paraId="418A0395" w14:textId="77777777" w:rsidR="00D91782" w:rsidRPr="00215B2F" w:rsidRDefault="00D91782" w:rsidP="00FD5520">
      <w:pPr>
        <w:pStyle w:val="Slog1"/>
        <w:shd w:val="clear" w:color="auto" w:fill="FFFFFF" w:themeFill="background1"/>
        <w:rPr>
          <w:sz w:val="20"/>
          <w:szCs w:val="20"/>
        </w:rPr>
      </w:pPr>
      <w:r w:rsidRPr="00215B2F">
        <w:rPr>
          <w:sz w:val="20"/>
          <w:szCs w:val="20"/>
        </w:rPr>
        <w:t>(ocena tržnega tveganja in tveganja spremembe obrestne mere iz dejavnosti iz netrgovalne knjige)</w:t>
      </w:r>
    </w:p>
    <w:p w14:paraId="66B83861" w14:textId="77777777" w:rsidR="00D91782" w:rsidRPr="00215B2F" w:rsidRDefault="00D91782" w:rsidP="00FD5520">
      <w:pPr>
        <w:pStyle w:val="Slog1"/>
        <w:shd w:val="clear" w:color="auto" w:fill="FFFFFF" w:themeFill="background1"/>
        <w:jc w:val="both"/>
        <w:rPr>
          <w:sz w:val="20"/>
          <w:szCs w:val="20"/>
        </w:rPr>
      </w:pPr>
    </w:p>
    <w:p w14:paraId="4457C57E" w14:textId="529583B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v okviru ocenjevanja tržnih tveganj banke redno preverja in ocenjuje zlasti, ali prilagoditve vrednotenja za pozicije ali portfelje v trgovalni knjigi, k</w:t>
      </w:r>
      <w:r w:rsidR="006B0B0E" w:rsidRPr="00215B2F">
        <w:rPr>
          <w:rFonts w:ascii="Arial" w:eastAsia="Arial" w:hAnsi="Arial" w:cs="Arial"/>
          <w:sz w:val="20"/>
          <w:szCs w:val="20"/>
        </w:rPr>
        <w:t>akor</w:t>
      </w:r>
      <w:r w:rsidRPr="00215B2F">
        <w:rPr>
          <w:rFonts w:ascii="Arial" w:eastAsia="Arial" w:hAnsi="Arial" w:cs="Arial"/>
          <w:sz w:val="20"/>
          <w:szCs w:val="20"/>
        </w:rPr>
        <w:t xml:space="preserve"> so določeni v 105. členu Uredbe 575/2013/EU, banki omogočajo, da v kratkem časovnem obdobju proda svoje pozicije ali zanje uvede varovanje brez </w:t>
      </w:r>
      <w:r w:rsidR="00DA012A" w:rsidRPr="00215B2F">
        <w:rPr>
          <w:rFonts w:ascii="Arial" w:eastAsia="Arial" w:hAnsi="Arial" w:cs="Arial"/>
          <w:sz w:val="20"/>
          <w:szCs w:val="20"/>
        </w:rPr>
        <w:t>pomembne</w:t>
      </w:r>
      <w:r w:rsidRPr="00215B2F">
        <w:rPr>
          <w:rFonts w:ascii="Arial" w:eastAsia="Arial" w:hAnsi="Arial" w:cs="Arial"/>
          <w:sz w:val="20"/>
          <w:szCs w:val="20"/>
        </w:rPr>
        <w:t xml:space="preserve"> izgube v običajnih tržnih </w:t>
      </w:r>
      <w:r w:rsidR="00DA012A" w:rsidRPr="00215B2F">
        <w:rPr>
          <w:rFonts w:ascii="Arial" w:eastAsia="Arial" w:hAnsi="Arial" w:cs="Arial"/>
          <w:sz w:val="20"/>
          <w:szCs w:val="20"/>
        </w:rPr>
        <w:t>pogojih</w:t>
      </w:r>
      <w:r w:rsidRPr="00215B2F">
        <w:rPr>
          <w:rFonts w:ascii="Arial" w:eastAsia="Arial" w:hAnsi="Arial" w:cs="Arial"/>
          <w:sz w:val="20"/>
          <w:szCs w:val="20"/>
        </w:rPr>
        <w:t>.</w:t>
      </w:r>
    </w:p>
    <w:p w14:paraId="2A82B9F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6404DF5" w14:textId="1C4BFF0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v okviru nadzorniškega pregledovanja in ovrednotenja preverja tudi izpostavljenost banke tveganju spremembe obrestne mere, ki izhaja iz dejavnosti iz netrgovalne knjige. Banka Slovenije banki naloži sprejetje ustreznih ukrepov pri upravljanju tveganja spremembe obrestne mere, ki izhaja iz dejavnosti iz netrgovalne knjige, zlasti če:</w:t>
      </w:r>
    </w:p>
    <w:p w14:paraId="70C3A2D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9D52DC8" w14:textId="333BDCCB" w:rsidR="006A1A88" w:rsidRPr="00215B2F" w:rsidRDefault="00D91782" w:rsidP="003D4DE0">
      <w:pPr>
        <w:pStyle w:val="tevilnatoka"/>
        <w:numPr>
          <w:ilvl w:val="0"/>
          <w:numId w:val="138"/>
        </w:numPr>
        <w:shd w:val="clear" w:color="auto" w:fill="FFFFFF" w:themeFill="background1"/>
        <w:tabs>
          <w:tab w:val="clear" w:pos="425"/>
        </w:tabs>
        <w:rPr>
          <w:rFonts w:cs="Arial"/>
          <w:bCs/>
          <w:sz w:val="20"/>
          <w:szCs w:val="20"/>
        </w:rPr>
      </w:pPr>
      <w:r w:rsidRPr="00215B2F">
        <w:rPr>
          <w:rFonts w:eastAsia="Arial" w:cs="Arial"/>
          <w:sz w:val="20"/>
          <w:szCs w:val="20"/>
        </w:rPr>
        <w:t xml:space="preserve">se ekonomska vrednost lastniškega kapitala banke iz prvega odstavka </w:t>
      </w:r>
      <w:r w:rsidR="000155A5" w:rsidRPr="00215B2F">
        <w:rPr>
          <w:rFonts w:eastAsia="Arial" w:cs="Arial"/>
          <w:sz w:val="20"/>
          <w:szCs w:val="20"/>
        </w:rPr>
        <w:t>207</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zmanjša za več kot 15 odstotkov njenega temeljnega kapitala zaradi nenadnih in nepričakovanih sprememb obrestnih mer, k</w:t>
      </w:r>
      <w:r w:rsidR="00EB484E" w:rsidRPr="00215B2F">
        <w:rPr>
          <w:rFonts w:eastAsia="Arial" w:cs="Arial"/>
          <w:sz w:val="20"/>
          <w:szCs w:val="20"/>
        </w:rPr>
        <w:t>akor</w:t>
      </w:r>
      <w:r w:rsidRPr="00215B2F">
        <w:rPr>
          <w:rFonts w:eastAsia="Arial" w:cs="Arial"/>
          <w:sz w:val="20"/>
          <w:szCs w:val="20"/>
        </w:rPr>
        <w:t xml:space="preserve"> je opredeljeno v katerem koli od šestih nadzorniških šok scenarijev, ki veljajo za obrestne mere;</w:t>
      </w:r>
    </w:p>
    <w:p w14:paraId="21F70F2D" w14:textId="73AACE80" w:rsidR="00D91782" w:rsidRPr="00215B2F" w:rsidRDefault="00D91782" w:rsidP="003D4DE0">
      <w:pPr>
        <w:pStyle w:val="tevilnatoka"/>
        <w:numPr>
          <w:ilvl w:val="0"/>
          <w:numId w:val="138"/>
        </w:numPr>
        <w:shd w:val="clear" w:color="auto" w:fill="FFFFFF" w:themeFill="background1"/>
        <w:tabs>
          <w:tab w:val="clear" w:pos="425"/>
        </w:tabs>
        <w:rPr>
          <w:rFonts w:cs="Arial"/>
          <w:bCs/>
          <w:sz w:val="20"/>
          <w:szCs w:val="20"/>
        </w:rPr>
      </w:pPr>
      <w:r w:rsidRPr="00215B2F">
        <w:rPr>
          <w:rFonts w:eastAsia="Arial" w:cs="Arial"/>
          <w:sz w:val="20"/>
          <w:szCs w:val="20"/>
        </w:rPr>
        <w:t>se neto prihodki od obresti iz dejavnosti iz netrgovalne knjige banke znatno zmanjšajo zaradi nenadnih in nepričakovanih sprememb obrestnih mer, k</w:t>
      </w:r>
      <w:r w:rsidR="00EB484E" w:rsidRPr="00215B2F">
        <w:rPr>
          <w:rFonts w:eastAsia="Arial" w:cs="Arial"/>
          <w:sz w:val="20"/>
          <w:szCs w:val="20"/>
        </w:rPr>
        <w:t>akor</w:t>
      </w:r>
      <w:r w:rsidRPr="00215B2F">
        <w:rPr>
          <w:rFonts w:eastAsia="Arial" w:cs="Arial"/>
          <w:sz w:val="20"/>
          <w:szCs w:val="20"/>
        </w:rPr>
        <w:t xml:space="preserve"> je opredeljeno v enem </w:t>
      </w:r>
      <w:r w:rsidR="0040277D" w:rsidRPr="00215B2F">
        <w:rPr>
          <w:rFonts w:eastAsia="Arial" w:cs="Arial"/>
          <w:sz w:val="20"/>
          <w:szCs w:val="20"/>
        </w:rPr>
        <w:t>o</w:t>
      </w:r>
      <w:r w:rsidRPr="00215B2F">
        <w:rPr>
          <w:rFonts w:eastAsia="Arial" w:cs="Arial"/>
          <w:sz w:val="20"/>
          <w:szCs w:val="20"/>
        </w:rPr>
        <w:t>d dveh nadzorniških šok scenarijev, ki veljata za obrestne mere.</w:t>
      </w:r>
    </w:p>
    <w:p w14:paraId="5F2F46D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E0E0652" w14:textId="7C50811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Kot ustrezni ukrepi iz prejšnjega odstavka </w:t>
      </w:r>
      <w:r w:rsidR="005F59AB" w:rsidRPr="00215B2F">
        <w:rPr>
          <w:rFonts w:ascii="Arial" w:eastAsia="Arial" w:hAnsi="Arial" w:cs="Arial"/>
          <w:sz w:val="20"/>
          <w:szCs w:val="20"/>
        </w:rPr>
        <w:t xml:space="preserve">se </w:t>
      </w:r>
      <w:r w:rsidRPr="00215B2F">
        <w:rPr>
          <w:rFonts w:ascii="Arial" w:eastAsia="Arial" w:hAnsi="Arial" w:cs="Arial"/>
          <w:sz w:val="20"/>
          <w:szCs w:val="20"/>
        </w:rPr>
        <w:t xml:space="preserve">štejejo </w:t>
      </w:r>
      <w:r w:rsidR="003A620D" w:rsidRPr="00215B2F">
        <w:rPr>
          <w:rFonts w:ascii="Arial" w:eastAsia="Arial" w:hAnsi="Arial" w:cs="Arial"/>
          <w:sz w:val="20"/>
          <w:szCs w:val="20"/>
        </w:rPr>
        <w:t xml:space="preserve">kateri koli </w:t>
      </w:r>
      <w:r w:rsidRPr="00215B2F">
        <w:rPr>
          <w:rFonts w:ascii="Arial" w:eastAsia="Arial" w:hAnsi="Arial" w:cs="Arial"/>
          <w:sz w:val="20"/>
          <w:szCs w:val="20"/>
        </w:rPr>
        <w:t xml:space="preserve">dodatni ukrepi iz </w:t>
      </w:r>
      <w:r w:rsidR="008C14E2" w:rsidRPr="00215B2F">
        <w:rPr>
          <w:rFonts w:ascii="Arial" w:eastAsia="Arial" w:hAnsi="Arial" w:cs="Arial"/>
          <w:sz w:val="20"/>
          <w:szCs w:val="20"/>
        </w:rPr>
        <w:t>345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ali določitev predpostavk glede modeliranja in parametrov, ki jih banka upošteva pri izračunu neto prihodkov od obresti in ki niso predpostavke, ki jih je določil Evropski bančni organ.</w:t>
      </w:r>
    </w:p>
    <w:p w14:paraId="6BD1896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B152A85" w14:textId="5837B21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Ne glede na drugi </w:t>
      </w:r>
      <w:r w:rsidR="00746E88" w:rsidRPr="00215B2F">
        <w:rPr>
          <w:rFonts w:ascii="Arial" w:eastAsia="Arial" w:hAnsi="Arial" w:cs="Arial"/>
          <w:sz w:val="20"/>
          <w:szCs w:val="20"/>
        </w:rPr>
        <w:t>odstavek tega člena</w:t>
      </w:r>
      <w:r w:rsidRPr="00215B2F">
        <w:rPr>
          <w:rFonts w:ascii="Arial" w:eastAsia="Arial" w:hAnsi="Arial" w:cs="Arial"/>
          <w:sz w:val="20"/>
          <w:szCs w:val="20"/>
        </w:rPr>
        <w:t xml:space="preserve"> Banka Slovenije banki ne naloži sprejetja ustreznih ukrepov iz prejšnjega odstavka, če na podlagi pregledovanja in ovrednotenja oceni, da banka ustrezno upravlja tveganje spremembe obrestne mere, ki izhaja iz dejavnosti iz netrgovalne knjige</w:t>
      </w:r>
      <w:r w:rsidR="005F59AB" w:rsidRPr="00215B2F">
        <w:rPr>
          <w:rFonts w:ascii="Arial" w:eastAsia="Arial" w:hAnsi="Arial" w:cs="Arial"/>
          <w:sz w:val="20"/>
          <w:szCs w:val="20"/>
        </w:rPr>
        <w:t>,</w:t>
      </w:r>
      <w:r w:rsidRPr="00215B2F">
        <w:rPr>
          <w:rFonts w:ascii="Arial" w:eastAsia="Arial" w:hAnsi="Arial" w:cs="Arial"/>
          <w:sz w:val="20"/>
          <w:szCs w:val="20"/>
        </w:rPr>
        <w:t xml:space="preserve"> in ni </w:t>
      </w:r>
      <w:r w:rsidR="005F59AB" w:rsidRPr="00215B2F">
        <w:rPr>
          <w:rFonts w:ascii="Arial" w:eastAsia="Arial" w:hAnsi="Arial" w:cs="Arial"/>
          <w:sz w:val="20"/>
          <w:szCs w:val="20"/>
        </w:rPr>
        <w:t>čez</w:t>
      </w:r>
      <w:r w:rsidRPr="00215B2F">
        <w:rPr>
          <w:rFonts w:ascii="Arial" w:eastAsia="Arial" w:hAnsi="Arial" w:cs="Arial"/>
          <w:sz w:val="20"/>
          <w:szCs w:val="20"/>
        </w:rPr>
        <w:t>merno izpostavljena temu tveganju.</w:t>
      </w:r>
    </w:p>
    <w:p w14:paraId="160CE2A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760965D"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79" w:name="_Ref203484451"/>
      <w:r w:rsidRPr="00215B2F">
        <w:rPr>
          <w:rFonts w:ascii="Arial" w:eastAsia="Arial" w:hAnsi="Arial" w:cs="Arial"/>
          <w:b/>
          <w:bCs/>
          <w:sz w:val="20"/>
          <w:szCs w:val="20"/>
        </w:rPr>
        <w:t>člen</w:t>
      </w:r>
      <w:bookmarkEnd w:id="279"/>
    </w:p>
    <w:p w14:paraId="693C9385" w14:textId="77777777" w:rsidR="00D91782" w:rsidRPr="00215B2F" w:rsidRDefault="00D91782" w:rsidP="00FD5520">
      <w:pPr>
        <w:pStyle w:val="Slog1"/>
        <w:shd w:val="clear" w:color="auto" w:fill="FFFFFF" w:themeFill="background1"/>
        <w:rPr>
          <w:sz w:val="20"/>
          <w:szCs w:val="20"/>
        </w:rPr>
      </w:pPr>
      <w:r w:rsidRPr="00215B2F">
        <w:rPr>
          <w:sz w:val="20"/>
          <w:szCs w:val="20"/>
        </w:rPr>
        <w:t>(ocenjevanje tveganj prevelikega finančnega vzvoda)</w:t>
      </w:r>
    </w:p>
    <w:p w14:paraId="53F455E4" w14:textId="77777777" w:rsidR="00D91782" w:rsidRPr="00215B2F" w:rsidRDefault="00D91782" w:rsidP="00FD5520">
      <w:pPr>
        <w:pStyle w:val="Slog1"/>
        <w:shd w:val="clear" w:color="auto" w:fill="FFFFFF" w:themeFill="background1"/>
        <w:jc w:val="both"/>
        <w:rPr>
          <w:sz w:val="20"/>
          <w:szCs w:val="20"/>
        </w:rPr>
      </w:pPr>
    </w:p>
    <w:p w14:paraId="5F90005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(1) Banka Slovenije v okviru ocenjevanja izpostavljenosti banke tveganju prevelikega finančnega vzvoda preverja zlasti izpostavljenosti, kot izhajajo iz kazalnikov prevelikega finančnega vzvoda in zlasti količnika finančnega vzvoda, določenega v skladu s 429. členom Uredbe 575/2013/EU.</w:t>
      </w:r>
    </w:p>
    <w:p w14:paraId="1A359DD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269F4C1" w14:textId="732BC52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v okviru preverjanja iz prejšnjega odstavka pri oceni ustreznosti količnika finančnega vzvoda institucij </w:t>
      </w:r>
      <w:r w:rsidR="004A4302" w:rsidRPr="00215B2F">
        <w:rPr>
          <w:rFonts w:ascii="Arial" w:eastAsia="Arial" w:hAnsi="Arial" w:cs="Arial"/>
          <w:sz w:val="20"/>
          <w:szCs w:val="20"/>
        </w:rPr>
        <w:t xml:space="preserve">in </w:t>
      </w:r>
      <w:r w:rsidRPr="00215B2F">
        <w:rPr>
          <w:rFonts w:ascii="Arial" w:eastAsia="Arial" w:hAnsi="Arial" w:cs="Arial"/>
          <w:sz w:val="20"/>
          <w:szCs w:val="20"/>
        </w:rPr>
        <w:t>oceni ustreznosti ureditev, strategij, p</w:t>
      </w:r>
      <w:r w:rsidR="007A7455" w:rsidRPr="00215B2F">
        <w:rPr>
          <w:rFonts w:ascii="Arial" w:eastAsia="Arial" w:hAnsi="Arial" w:cs="Arial"/>
          <w:sz w:val="20"/>
          <w:szCs w:val="20"/>
        </w:rPr>
        <w:t>ostopk</w:t>
      </w:r>
      <w:r w:rsidRPr="00215B2F">
        <w:rPr>
          <w:rFonts w:ascii="Arial" w:eastAsia="Arial" w:hAnsi="Arial" w:cs="Arial"/>
          <w:sz w:val="20"/>
          <w:szCs w:val="20"/>
        </w:rPr>
        <w:t>ov in mehanizmov, ki jih je vzpostavila banka glede upravljanja tveganja prevelikega finančnega vzvoda, ustrezno upošteva poslovni model banke.</w:t>
      </w:r>
    </w:p>
    <w:p w14:paraId="25DF603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57AD82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80" w:name="_Ref203484455"/>
      <w:r w:rsidRPr="00215B2F">
        <w:rPr>
          <w:rFonts w:ascii="Arial" w:eastAsia="Arial" w:hAnsi="Arial" w:cs="Arial"/>
          <w:b/>
          <w:bCs/>
          <w:sz w:val="20"/>
          <w:szCs w:val="20"/>
        </w:rPr>
        <w:t>člen</w:t>
      </w:r>
      <w:bookmarkEnd w:id="280"/>
    </w:p>
    <w:p w14:paraId="35AC3302" w14:textId="77777777" w:rsidR="00D91782" w:rsidRPr="00215B2F" w:rsidRDefault="00D91782" w:rsidP="00FD5520">
      <w:pPr>
        <w:pStyle w:val="Slog1"/>
        <w:shd w:val="clear" w:color="auto" w:fill="FFFFFF" w:themeFill="background1"/>
        <w:rPr>
          <w:sz w:val="20"/>
          <w:szCs w:val="20"/>
        </w:rPr>
      </w:pPr>
      <w:r w:rsidRPr="00215B2F">
        <w:rPr>
          <w:sz w:val="20"/>
          <w:szCs w:val="20"/>
        </w:rPr>
        <w:t>(ocenjevanje ustreznosti ureditve notranjega upravljanja banke)</w:t>
      </w:r>
    </w:p>
    <w:p w14:paraId="2A2D9CEF" w14:textId="77777777" w:rsidR="00D91782" w:rsidRPr="00215B2F" w:rsidRDefault="00D91782" w:rsidP="00FD5520">
      <w:pPr>
        <w:pStyle w:val="Slog1"/>
        <w:shd w:val="clear" w:color="auto" w:fill="FFFFFF" w:themeFill="background1"/>
        <w:jc w:val="both"/>
        <w:rPr>
          <w:sz w:val="20"/>
          <w:szCs w:val="20"/>
        </w:rPr>
      </w:pPr>
    </w:p>
    <w:p w14:paraId="32EA420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pregleduje in ovrednoti ustreznost ureditve notranjega upravljanja banke, korporativne kulture in vrednot banke ter usposobljenost članov upravljalnega organa za opravljanje njihovih nalog.</w:t>
      </w:r>
    </w:p>
    <w:p w14:paraId="257293A1"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FF50CFE" w14:textId="3DB5733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lahko za namene pregledovanja in ovrednotenja iz prejšnjega odstavka kadar</w:t>
      </w:r>
      <w:r w:rsidR="00217C42" w:rsidRPr="00215B2F">
        <w:rPr>
          <w:rFonts w:ascii="Arial" w:eastAsia="Arial" w:hAnsi="Arial" w:cs="Arial"/>
          <w:sz w:val="20"/>
          <w:szCs w:val="20"/>
        </w:rPr>
        <w:t> </w:t>
      </w:r>
      <w:r w:rsidRPr="00215B2F">
        <w:rPr>
          <w:rFonts w:ascii="Arial" w:eastAsia="Arial" w:hAnsi="Arial" w:cs="Arial"/>
          <w:sz w:val="20"/>
          <w:szCs w:val="20"/>
        </w:rPr>
        <w:t>koli zahteva od banke predložitev dnevnega reda in druge dokumentacije, ki se obravnava na sestankih upravljalnega organa oziroma njegovih komisij, zapisnike teh sestankov ter rezultate morebitne notranjega ali zunanjega ocenjevanja uspešnosti delovanja upravljalnega organa banke.</w:t>
      </w:r>
    </w:p>
    <w:p w14:paraId="7A601E1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0645BF0" w14:textId="77777777" w:rsidR="00FF337B" w:rsidRPr="00215B2F" w:rsidRDefault="00FF337B"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81" w:name="_Ref202965110"/>
      <w:r w:rsidRPr="00215B2F">
        <w:rPr>
          <w:rFonts w:ascii="Arial" w:eastAsia="Arial" w:hAnsi="Arial" w:cs="Arial"/>
          <w:b/>
          <w:bCs/>
          <w:sz w:val="20"/>
          <w:szCs w:val="20"/>
        </w:rPr>
        <w:t>člen</w:t>
      </w:r>
      <w:bookmarkEnd w:id="281"/>
    </w:p>
    <w:p w14:paraId="43999529" w14:textId="71385072"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 xml:space="preserve">(ugotovitve, zahteve in priporočila </w:t>
      </w:r>
      <w:r w:rsidR="00217C42" w:rsidRPr="00215B2F">
        <w:rPr>
          <w:rFonts w:ascii="Arial" w:eastAsia="Arial" w:hAnsi="Arial" w:cs="Arial"/>
          <w:b/>
          <w:bCs/>
          <w:sz w:val="20"/>
          <w:szCs w:val="20"/>
        </w:rPr>
        <w:t xml:space="preserve">na podlagi </w:t>
      </w:r>
      <w:r w:rsidRPr="00215B2F">
        <w:rPr>
          <w:rFonts w:ascii="Arial" w:eastAsia="Arial" w:hAnsi="Arial" w:cs="Arial"/>
          <w:b/>
          <w:bCs/>
          <w:sz w:val="20"/>
          <w:szCs w:val="20"/>
        </w:rPr>
        <w:t>p</w:t>
      </w:r>
      <w:r w:rsidR="00217C42" w:rsidRPr="00215B2F">
        <w:rPr>
          <w:rFonts w:ascii="Arial" w:eastAsia="Arial" w:hAnsi="Arial" w:cs="Arial"/>
          <w:b/>
          <w:bCs/>
          <w:sz w:val="20"/>
          <w:szCs w:val="20"/>
        </w:rPr>
        <w:t>ostopka</w:t>
      </w:r>
      <w:r w:rsidRPr="00215B2F">
        <w:rPr>
          <w:rFonts w:ascii="Arial" w:eastAsia="Arial" w:hAnsi="Arial" w:cs="Arial"/>
          <w:b/>
          <w:bCs/>
          <w:sz w:val="20"/>
          <w:szCs w:val="20"/>
        </w:rPr>
        <w:t xml:space="preserve"> nadzorniškega pregledovanja in ovrednotenja tveganj)</w:t>
      </w:r>
    </w:p>
    <w:p w14:paraId="1077BB8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5FC1B03" w14:textId="531C68EA" w:rsidR="00D91782" w:rsidRPr="00215B2F" w:rsidRDefault="00E36D16"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w:t>
      </w:r>
      <w:r w:rsidR="00D91782" w:rsidRPr="00215B2F">
        <w:rPr>
          <w:rFonts w:ascii="Arial" w:eastAsia="Arial" w:hAnsi="Arial" w:cs="Arial"/>
          <w:sz w:val="20"/>
          <w:szCs w:val="20"/>
        </w:rPr>
        <w:t xml:space="preserve">Banka Slovenije o ugotovitvah </w:t>
      </w:r>
      <w:r w:rsidR="003A620D" w:rsidRPr="00215B2F">
        <w:rPr>
          <w:rFonts w:ascii="Arial" w:eastAsia="Arial" w:hAnsi="Arial" w:cs="Arial"/>
          <w:sz w:val="20"/>
          <w:szCs w:val="20"/>
        </w:rPr>
        <w:t>procesa</w:t>
      </w:r>
      <w:r w:rsidR="00D91782" w:rsidRPr="00215B2F">
        <w:rPr>
          <w:rFonts w:ascii="Arial" w:eastAsia="Arial" w:hAnsi="Arial" w:cs="Arial"/>
          <w:sz w:val="20"/>
          <w:szCs w:val="20"/>
        </w:rPr>
        <w:t xml:space="preserve"> nadzorniškega pregledovanja in ovrednotenja tveganj, ki niso vključene v odločbo o dodatni kapitalski zahtevi in odločbo o napotku o dodatno potrebnem kapitalu na podlagi </w:t>
      </w:r>
      <w:r w:rsidR="008C14E2" w:rsidRPr="00215B2F">
        <w:rPr>
          <w:rFonts w:ascii="Arial" w:eastAsia="Arial" w:hAnsi="Arial" w:cs="Arial"/>
          <w:sz w:val="20"/>
          <w:szCs w:val="20"/>
        </w:rPr>
        <w:t>240</w:t>
      </w:r>
      <w:r w:rsidR="00D91782"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00D91782" w:rsidRPr="00215B2F">
        <w:rPr>
          <w:rFonts w:ascii="Arial" w:eastAsia="Arial" w:hAnsi="Arial" w:cs="Arial"/>
          <w:sz w:val="20"/>
          <w:szCs w:val="20"/>
        </w:rPr>
        <w:t xml:space="preserve">, banki izda nadzorniško pismo. </w:t>
      </w:r>
    </w:p>
    <w:p w14:paraId="0B686C7A" w14:textId="77777777" w:rsidR="00E36D16" w:rsidRPr="00215B2F" w:rsidRDefault="00E36D16" w:rsidP="00FD5520">
      <w:pPr>
        <w:shd w:val="clear" w:color="auto" w:fill="FFFFFF" w:themeFill="background1"/>
        <w:spacing w:after="0" w:line="240" w:lineRule="auto"/>
        <w:jc w:val="both"/>
        <w:rPr>
          <w:rFonts w:ascii="Arial" w:eastAsia="Arial" w:hAnsi="Arial" w:cs="Arial"/>
          <w:sz w:val="20"/>
          <w:szCs w:val="20"/>
        </w:rPr>
      </w:pPr>
    </w:p>
    <w:p w14:paraId="63A5291D" w14:textId="69F47D7E" w:rsidR="00D91782" w:rsidRPr="00215B2F" w:rsidRDefault="00E36D16"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w:t>
      </w:r>
      <w:r w:rsidR="00D91782" w:rsidRPr="00215B2F">
        <w:rPr>
          <w:rFonts w:ascii="Arial" w:eastAsia="Arial" w:hAnsi="Arial" w:cs="Arial"/>
          <w:sz w:val="20"/>
          <w:szCs w:val="20"/>
        </w:rPr>
        <w:t xml:space="preserve">Za nadzorniško pismo iz prejšnjega odstavka se smiselno uporablja tretji odstavek </w:t>
      </w:r>
      <w:r w:rsidR="008C14E2" w:rsidRPr="00215B2F">
        <w:rPr>
          <w:rFonts w:ascii="Arial" w:eastAsia="Arial" w:hAnsi="Arial" w:cs="Arial"/>
          <w:sz w:val="20"/>
          <w:szCs w:val="20"/>
        </w:rPr>
        <w:t>331</w:t>
      </w:r>
      <w:r w:rsidR="00D91782"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00D91782" w:rsidRPr="00215B2F">
        <w:rPr>
          <w:rFonts w:ascii="Arial" w:eastAsia="Arial" w:hAnsi="Arial" w:cs="Arial"/>
          <w:sz w:val="20"/>
          <w:szCs w:val="20"/>
        </w:rPr>
        <w:t xml:space="preserve">. </w:t>
      </w:r>
    </w:p>
    <w:p w14:paraId="52273472"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4513DD5E"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82" w:name="_Ref202965120"/>
      <w:r w:rsidRPr="00215B2F">
        <w:rPr>
          <w:rFonts w:ascii="Arial" w:eastAsia="Arial" w:hAnsi="Arial" w:cs="Arial"/>
          <w:b/>
          <w:bCs/>
          <w:sz w:val="20"/>
          <w:szCs w:val="20"/>
        </w:rPr>
        <w:t>člen</w:t>
      </w:r>
      <w:bookmarkEnd w:id="282"/>
    </w:p>
    <w:p w14:paraId="3EFD3F26" w14:textId="77777777" w:rsidR="00D91782" w:rsidRPr="00215B2F" w:rsidRDefault="00D91782" w:rsidP="00FD5520">
      <w:pPr>
        <w:pStyle w:val="Slog1"/>
        <w:shd w:val="clear" w:color="auto" w:fill="FFFFFF" w:themeFill="background1"/>
        <w:rPr>
          <w:sz w:val="20"/>
          <w:szCs w:val="20"/>
        </w:rPr>
      </w:pPr>
      <w:r w:rsidRPr="00215B2F">
        <w:rPr>
          <w:sz w:val="20"/>
          <w:szCs w:val="20"/>
        </w:rPr>
        <w:t>(ocenjevanje ESG tveganj)</w:t>
      </w:r>
    </w:p>
    <w:p w14:paraId="146C6F3F" w14:textId="77777777" w:rsidR="00D91782" w:rsidRPr="00215B2F" w:rsidRDefault="00D91782" w:rsidP="00FD5520">
      <w:pPr>
        <w:pStyle w:val="Slog1"/>
        <w:shd w:val="clear" w:color="auto" w:fill="FFFFFF" w:themeFill="background1"/>
        <w:jc w:val="both"/>
        <w:rPr>
          <w:sz w:val="20"/>
          <w:szCs w:val="20"/>
        </w:rPr>
      </w:pPr>
    </w:p>
    <w:p w14:paraId="1EF48095" w14:textId="2CCD34A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pregleduje in ovrednoti </w:t>
      </w:r>
      <w:r w:rsidR="003A620D" w:rsidRPr="00215B2F">
        <w:rPr>
          <w:rFonts w:ascii="Arial" w:eastAsia="Arial" w:hAnsi="Arial" w:cs="Arial"/>
          <w:sz w:val="20"/>
          <w:szCs w:val="20"/>
        </w:rPr>
        <w:t xml:space="preserve">procese </w:t>
      </w:r>
      <w:r w:rsidRPr="00215B2F">
        <w:rPr>
          <w:rFonts w:ascii="Arial" w:eastAsia="Arial" w:hAnsi="Arial" w:cs="Arial"/>
          <w:sz w:val="20"/>
          <w:szCs w:val="20"/>
        </w:rPr>
        <w:t xml:space="preserve">upravljanja banke in upravljanja njenih tveganj za obravnavanje ESG tveganj ter izpostavljenosti banke ESG tveganjem. Pri določitvi ustreznosti </w:t>
      </w:r>
      <w:r w:rsidR="003A620D" w:rsidRPr="00215B2F">
        <w:rPr>
          <w:rFonts w:ascii="Arial" w:eastAsia="Arial" w:hAnsi="Arial" w:cs="Arial"/>
          <w:sz w:val="20"/>
          <w:szCs w:val="20"/>
        </w:rPr>
        <w:t xml:space="preserve">procesov </w:t>
      </w:r>
      <w:r w:rsidRPr="00215B2F">
        <w:rPr>
          <w:rFonts w:ascii="Arial" w:eastAsia="Arial" w:hAnsi="Arial" w:cs="Arial"/>
          <w:sz w:val="20"/>
          <w:szCs w:val="20"/>
        </w:rPr>
        <w:t>in izpostavljenosti banke Banka Slovenije upošteva poslovni model banke. Izpostavljenosti banke ESG tveganjem se oceni</w:t>
      </w:r>
      <w:r w:rsidR="00217C42" w:rsidRPr="00215B2F">
        <w:rPr>
          <w:rFonts w:ascii="Arial" w:eastAsia="Arial" w:hAnsi="Arial" w:cs="Arial"/>
          <w:sz w:val="20"/>
          <w:szCs w:val="20"/>
        </w:rPr>
        <w:t>jo</w:t>
      </w:r>
      <w:r w:rsidRPr="00215B2F">
        <w:rPr>
          <w:rFonts w:ascii="Arial" w:eastAsia="Arial" w:hAnsi="Arial" w:cs="Arial"/>
          <w:sz w:val="20"/>
          <w:szCs w:val="20"/>
        </w:rPr>
        <w:t xml:space="preserve"> tudi na podlagi načrtov banke iz petega in šestega odstavka </w:t>
      </w:r>
      <w:r w:rsidR="008C14E2" w:rsidRPr="00215B2F">
        <w:rPr>
          <w:rFonts w:ascii="Arial" w:eastAsia="Arial" w:hAnsi="Arial" w:cs="Arial"/>
          <w:sz w:val="20"/>
          <w:szCs w:val="20"/>
        </w:rPr>
        <w:t>197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Postopki upravljanja banke in upravljanje njenih tveganj v zvezi z ESG tveganji se uskladijo s cilji iz teh načrtov. </w:t>
      </w:r>
    </w:p>
    <w:p w14:paraId="6E4A9418"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4F58C8D" w14:textId="567770F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Pregledovanje in ovrednotenje iz prejšnjega odstavka vključujeta ocenjevanje načrtov banke iz petega in šestega odstavka </w:t>
      </w:r>
      <w:r w:rsidR="008C14E2" w:rsidRPr="00215B2F">
        <w:rPr>
          <w:rFonts w:ascii="Arial" w:eastAsia="Arial" w:hAnsi="Arial" w:cs="Arial"/>
          <w:sz w:val="20"/>
          <w:szCs w:val="20"/>
        </w:rPr>
        <w:t>197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ter napredka banke pri obravnavanju ESG tveganj, ki izhajajo iz procesa prilagajanja podnebni nevtralnosti, in pri doseganju drugih ustreznih regulativnih ciljev </w:t>
      </w:r>
      <w:r w:rsidR="00217C42" w:rsidRPr="00215B2F">
        <w:rPr>
          <w:rFonts w:ascii="Arial" w:eastAsia="Arial" w:hAnsi="Arial" w:cs="Arial"/>
          <w:sz w:val="20"/>
          <w:szCs w:val="20"/>
        </w:rPr>
        <w:t>Evropske u</w:t>
      </w:r>
      <w:r w:rsidRPr="00215B2F">
        <w:rPr>
          <w:rFonts w:ascii="Arial" w:eastAsia="Arial" w:hAnsi="Arial" w:cs="Arial"/>
          <w:sz w:val="20"/>
          <w:szCs w:val="20"/>
        </w:rPr>
        <w:t>nije v zvezi z ESG dejavniki.</w:t>
      </w:r>
    </w:p>
    <w:p w14:paraId="7B1DCE71"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4185C15B"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83" w:name="_Ref202965133"/>
      <w:r w:rsidRPr="00215B2F">
        <w:rPr>
          <w:rFonts w:ascii="Arial" w:eastAsia="Arial" w:hAnsi="Arial" w:cs="Arial"/>
          <w:b/>
          <w:bCs/>
          <w:sz w:val="20"/>
          <w:szCs w:val="20"/>
        </w:rPr>
        <w:t>člen</w:t>
      </w:r>
      <w:bookmarkEnd w:id="283"/>
    </w:p>
    <w:p w14:paraId="033DFD38" w14:textId="582AA6D6" w:rsidR="00D91782" w:rsidRPr="00215B2F" w:rsidRDefault="00D91782" w:rsidP="00FD5520">
      <w:pPr>
        <w:pStyle w:val="Slog1"/>
        <w:shd w:val="clear" w:color="auto" w:fill="FFFFFF" w:themeFill="background1"/>
        <w:rPr>
          <w:sz w:val="20"/>
          <w:szCs w:val="20"/>
        </w:rPr>
      </w:pPr>
      <w:r w:rsidRPr="00215B2F">
        <w:rPr>
          <w:sz w:val="20"/>
          <w:szCs w:val="20"/>
        </w:rPr>
        <w:t>(ocenjevanje tveganj za izpostavljenosti kriptosredstvom)</w:t>
      </w:r>
    </w:p>
    <w:p w14:paraId="34D40124" w14:textId="77777777" w:rsidR="003B77CB" w:rsidRPr="00215B2F" w:rsidRDefault="003B77CB" w:rsidP="00FD5520">
      <w:pPr>
        <w:shd w:val="clear" w:color="auto" w:fill="FFFFFF" w:themeFill="background1"/>
        <w:spacing w:after="0" w:line="240" w:lineRule="auto"/>
        <w:jc w:val="both"/>
        <w:rPr>
          <w:rFonts w:ascii="Arial" w:eastAsia="Arial" w:hAnsi="Arial" w:cs="Arial"/>
          <w:sz w:val="20"/>
          <w:szCs w:val="20"/>
        </w:rPr>
      </w:pPr>
    </w:p>
    <w:p w14:paraId="7C2810C7" w14:textId="483FE17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Banka Slovenije pregleduje in ovrednoti ocenjevanje </w:t>
      </w:r>
      <w:r w:rsidR="003A620D" w:rsidRPr="00215B2F">
        <w:rPr>
          <w:rFonts w:ascii="Arial" w:eastAsia="Arial" w:hAnsi="Arial" w:cs="Arial"/>
          <w:sz w:val="20"/>
          <w:szCs w:val="20"/>
        </w:rPr>
        <w:t xml:space="preserve">procesov </w:t>
      </w:r>
      <w:r w:rsidRPr="00215B2F">
        <w:rPr>
          <w:rFonts w:ascii="Arial" w:eastAsia="Arial" w:hAnsi="Arial" w:cs="Arial"/>
          <w:sz w:val="20"/>
          <w:szCs w:val="20"/>
        </w:rPr>
        <w:t xml:space="preserve">upravljanja banke in upravljanja njenih tveganj za izpostavljenosti kriptosredstvom in opravljanje storitev v zvezi s kriptosredstvi, vključno z upoštevanjem politik in postopkov banke za opredelitev tveganj, ter ustreznost rezultatov ocen iz </w:t>
      </w:r>
      <w:r w:rsidR="008C14E2" w:rsidRPr="00215B2F">
        <w:rPr>
          <w:rFonts w:ascii="Arial" w:eastAsia="Arial" w:hAnsi="Arial" w:cs="Arial"/>
          <w:sz w:val="20"/>
          <w:szCs w:val="20"/>
        </w:rPr>
        <w:t>203</w:t>
      </w:r>
      <w:r w:rsidRPr="00215B2F">
        <w:rPr>
          <w:rFonts w:ascii="Arial" w:eastAsia="Arial" w:hAnsi="Arial" w:cs="Arial"/>
          <w:sz w:val="20"/>
          <w:szCs w:val="20"/>
        </w:rPr>
        <w:t xml:space="preserve">. in </w:t>
      </w:r>
      <w:r w:rsidR="008C14E2" w:rsidRPr="00215B2F">
        <w:rPr>
          <w:rFonts w:ascii="Arial" w:eastAsia="Arial" w:hAnsi="Arial" w:cs="Arial"/>
          <w:sz w:val="20"/>
          <w:szCs w:val="20"/>
        </w:rPr>
        <w:t>206</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28188E6B"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11C6D78"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84" w:name="_Ref202965138"/>
      <w:r w:rsidRPr="00215B2F">
        <w:rPr>
          <w:rFonts w:ascii="Arial" w:eastAsia="Arial" w:hAnsi="Arial" w:cs="Arial"/>
          <w:b/>
          <w:bCs/>
          <w:sz w:val="20"/>
          <w:szCs w:val="20"/>
        </w:rPr>
        <w:t>člen</w:t>
      </w:r>
      <w:bookmarkEnd w:id="284"/>
    </w:p>
    <w:p w14:paraId="0AD5A62D" w14:textId="77777777" w:rsidR="00D91782" w:rsidRPr="00215B2F" w:rsidRDefault="00D91782" w:rsidP="00FD5520">
      <w:pPr>
        <w:pStyle w:val="Slog1"/>
        <w:shd w:val="clear" w:color="auto" w:fill="FFFFFF" w:themeFill="background1"/>
        <w:rPr>
          <w:sz w:val="20"/>
          <w:szCs w:val="20"/>
        </w:rPr>
      </w:pPr>
      <w:r w:rsidRPr="00215B2F">
        <w:rPr>
          <w:sz w:val="20"/>
          <w:szCs w:val="20"/>
        </w:rPr>
        <w:t>(nadzorniško stresno testiranje)</w:t>
      </w:r>
    </w:p>
    <w:p w14:paraId="4154C8BD" w14:textId="77777777" w:rsidR="00D91782" w:rsidRPr="00215B2F" w:rsidRDefault="00D91782" w:rsidP="00FD5520">
      <w:pPr>
        <w:pStyle w:val="Slog1"/>
        <w:shd w:val="clear" w:color="auto" w:fill="FFFFFF" w:themeFill="background1"/>
        <w:jc w:val="both"/>
        <w:rPr>
          <w:sz w:val="20"/>
          <w:szCs w:val="20"/>
        </w:rPr>
      </w:pPr>
    </w:p>
    <w:p w14:paraId="6CA5E3EF" w14:textId="54EA019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kadar je v skladu z Uredbo 1024/2013/EU pri opravljanju nadzora nad banko odgovorna za izvajanje nalog iz točke (f) prvega odstavka 4. člena </w:t>
      </w:r>
      <w:r w:rsidR="00091BC8" w:rsidRPr="00215B2F">
        <w:rPr>
          <w:rFonts w:ascii="Arial" w:eastAsia="Arial" w:hAnsi="Arial" w:cs="Arial"/>
          <w:sz w:val="20"/>
          <w:szCs w:val="20"/>
        </w:rPr>
        <w:t>navedene uredbe</w:t>
      </w:r>
      <w:r w:rsidRPr="00215B2F">
        <w:rPr>
          <w:rFonts w:ascii="Arial" w:eastAsia="Arial" w:hAnsi="Arial" w:cs="Arial"/>
          <w:sz w:val="20"/>
          <w:szCs w:val="20"/>
        </w:rPr>
        <w:t xml:space="preserve">, vsaj enkrat na leto </w:t>
      </w:r>
      <w:r w:rsidRPr="00215B2F">
        <w:rPr>
          <w:rFonts w:ascii="Arial" w:eastAsia="Arial" w:hAnsi="Arial" w:cs="Arial"/>
          <w:sz w:val="20"/>
          <w:szCs w:val="20"/>
        </w:rPr>
        <w:lastRenderedPageBreak/>
        <w:t xml:space="preserve">izvede stresne teste, s katerimi se dopolnjuje </w:t>
      </w:r>
      <w:r w:rsidR="003A620D" w:rsidRPr="00215B2F">
        <w:rPr>
          <w:rFonts w:ascii="Arial" w:eastAsia="Arial" w:hAnsi="Arial" w:cs="Arial"/>
          <w:sz w:val="20"/>
          <w:szCs w:val="20"/>
        </w:rPr>
        <w:t xml:space="preserve">proces </w:t>
      </w:r>
      <w:r w:rsidRPr="00215B2F">
        <w:rPr>
          <w:rFonts w:ascii="Arial" w:eastAsia="Arial" w:hAnsi="Arial" w:cs="Arial"/>
          <w:sz w:val="20"/>
          <w:szCs w:val="20"/>
        </w:rPr>
        <w:t xml:space="preserve">pregledovanja in ovrednotenja tveganj iz prvega in drugega odstavka </w:t>
      </w:r>
      <w:r w:rsidR="008C14E2" w:rsidRPr="00215B2F">
        <w:rPr>
          <w:rFonts w:ascii="Arial" w:eastAsia="Arial" w:hAnsi="Arial" w:cs="Arial"/>
          <w:sz w:val="20"/>
          <w:szCs w:val="20"/>
        </w:rPr>
        <w:t>223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0F3DA78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3262988" w14:textId="4368317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Banke in tretje osebe, ki svetujejo bankam v okviru nadzorniškega stresnega testiranja, se vzdržijo dejavnosti, ki lahko zmanjšajo zanesljivost stresnega testa, kot so primerjanje, medsebojna izmenjava informacij, sporazumi o skupnem ravnanju ali optimizacija njihovih informacij, predloženih za stresne teste. </w:t>
      </w:r>
    </w:p>
    <w:p w14:paraId="4897C53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A141AD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lahko za odkrivanje dejavnosti iz prejšnjega odstavka do banke ali tretje osebe uporabi vsa pooblastila za zbiranje informacij in preiskovalna pooblastila, ki jih ima v skladu s tem zakonom. </w:t>
      </w:r>
    </w:p>
    <w:p w14:paraId="5056EBD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1A39936" w14:textId="5997A104"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6.6.2 Pregled in ovrednotenje uporabe pristopov za izračunavanje kapitalskih zahtev</w:t>
      </w:r>
    </w:p>
    <w:p w14:paraId="6C39863B"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75DF6890"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85" w:name="_Ref202965150"/>
      <w:r w:rsidRPr="00215B2F">
        <w:rPr>
          <w:rFonts w:ascii="Arial" w:eastAsia="Arial" w:hAnsi="Arial" w:cs="Arial"/>
          <w:b/>
          <w:bCs/>
          <w:sz w:val="20"/>
          <w:szCs w:val="20"/>
        </w:rPr>
        <w:t>člen</w:t>
      </w:r>
      <w:bookmarkEnd w:id="285"/>
    </w:p>
    <w:p w14:paraId="28E53339" w14:textId="4F91B9BB" w:rsidR="00D91782" w:rsidRPr="00215B2F" w:rsidRDefault="00D91782" w:rsidP="00FD5520">
      <w:pPr>
        <w:pStyle w:val="Slog1"/>
        <w:shd w:val="clear" w:color="auto" w:fill="FFFFFF" w:themeFill="background1"/>
        <w:rPr>
          <w:sz w:val="20"/>
          <w:szCs w:val="20"/>
        </w:rPr>
      </w:pPr>
      <w:r w:rsidRPr="00215B2F">
        <w:rPr>
          <w:sz w:val="20"/>
          <w:szCs w:val="20"/>
        </w:rPr>
        <w:t>(poročanje o pristopih za izračunavanje kapitalskih zahtev)</w:t>
      </w:r>
    </w:p>
    <w:p w14:paraId="7BEAEADE" w14:textId="77777777" w:rsidR="00D91782" w:rsidRPr="00215B2F" w:rsidRDefault="00D91782" w:rsidP="00FD5520">
      <w:pPr>
        <w:pStyle w:val="Slog1"/>
        <w:shd w:val="clear" w:color="auto" w:fill="FFFFFF" w:themeFill="background1"/>
        <w:jc w:val="both"/>
        <w:rPr>
          <w:sz w:val="20"/>
          <w:szCs w:val="20"/>
        </w:rPr>
      </w:pPr>
    </w:p>
    <w:p w14:paraId="7E414CB1" w14:textId="15C7D64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Banke vsaj enkrat letno Banki Slovenije predložijo rezultate izračunov iz točk a), b) in c) tega odstavka, skupaj z razlago metodologij, ki so jih uporabile za njihovo pripravo, </w:t>
      </w:r>
      <w:r w:rsidR="00636295" w:rsidRPr="00215B2F">
        <w:rPr>
          <w:rFonts w:ascii="Arial" w:eastAsia="Arial" w:hAnsi="Arial" w:cs="Arial"/>
          <w:sz w:val="20"/>
          <w:szCs w:val="20"/>
        </w:rPr>
        <w:t xml:space="preserve">ter </w:t>
      </w:r>
      <w:r w:rsidRPr="00215B2F">
        <w:rPr>
          <w:rFonts w:ascii="Arial" w:eastAsia="Arial" w:hAnsi="Arial" w:cs="Arial"/>
          <w:sz w:val="20"/>
          <w:szCs w:val="20"/>
        </w:rPr>
        <w:t xml:space="preserve">vsemi kvalitativnimi informacijami, ki jih zahteva </w:t>
      </w:r>
      <w:r w:rsidR="00C23E0A" w:rsidRPr="00215B2F">
        <w:rPr>
          <w:rFonts w:ascii="Arial" w:eastAsia="Arial" w:hAnsi="Arial" w:cs="Arial"/>
          <w:sz w:val="20"/>
          <w:szCs w:val="20"/>
        </w:rPr>
        <w:t>Evropski bančni organ</w:t>
      </w:r>
      <w:r w:rsidRPr="00215B2F">
        <w:rPr>
          <w:rFonts w:ascii="Arial" w:eastAsia="Arial" w:hAnsi="Arial" w:cs="Arial"/>
          <w:sz w:val="20"/>
          <w:szCs w:val="20"/>
        </w:rPr>
        <w:t xml:space="preserve"> in ki lahko pojasnijo učinek teh izračunov na kapitalske zahteve, in sicer: </w:t>
      </w:r>
    </w:p>
    <w:p w14:paraId="26C0898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8F38FED" w14:textId="13836A7E" w:rsidR="00C316EC" w:rsidRPr="00215B2F" w:rsidRDefault="00D91782" w:rsidP="003D4DE0">
      <w:pPr>
        <w:pStyle w:val="Odstavekseznama"/>
        <w:numPr>
          <w:ilvl w:val="0"/>
          <w:numId w:val="31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banke, ki jim je dovoljeno uporabljati notranje pristope za izračun zneskov tveganju prilagojenih izpostavljenosti ali kapitalskih zahtev, poročajo o rezultatih izračunov za svoje izpostavljenosti ali pozicije, ki so vključene v referenčne portfelje; </w:t>
      </w:r>
    </w:p>
    <w:p w14:paraId="2B1264B4" w14:textId="23D96491" w:rsidR="00C316EC" w:rsidRPr="00215B2F" w:rsidRDefault="00D91782" w:rsidP="003D4DE0">
      <w:pPr>
        <w:pStyle w:val="Odstavekseznama"/>
        <w:numPr>
          <w:ilvl w:val="0"/>
          <w:numId w:val="31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banke, ki uporabljajo alternativni standardizirani pristop iz </w:t>
      </w:r>
      <w:r w:rsidR="00B622AB" w:rsidRPr="00215B2F">
        <w:rPr>
          <w:rFonts w:ascii="Arial" w:eastAsia="Arial" w:hAnsi="Arial" w:cs="Arial"/>
          <w:sz w:val="20"/>
          <w:szCs w:val="20"/>
        </w:rPr>
        <w:t xml:space="preserve">1a poglavja IV. naslova  </w:t>
      </w:r>
      <w:r w:rsidRPr="00215B2F">
        <w:rPr>
          <w:rFonts w:ascii="Arial" w:eastAsia="Arial" w:hAnsi="Arial" w:cs="Arial"/>
          <w:sz w:val="20"/>
          <w:szCs w:val="20"/>
        </w:rPr>
        <w:t xml:space="preserve">dela </w:t>
      </w:r>
      <w:r w:rsidR="00643AB6" w:rsidRPr="00215B2F">
        <w:rPr>
          <w:rFonts w:ascii="Arial" w:eastAsia="Arial" w:hAnsi="Arial" w:cs="Arial"/>
          <w:sz w:val="20"/>
          <w:szCs w:val="20"/>
        </w:rPr>
        <w:t>3</w:t>
      </w:r>
      <w:r w:rsidRPr="00215B2F">
        <w:rPr>
          <w:rFonts w:ascii="Arial" w:eastAsia="Arial" w:hAnsi="Arial" w:cs="Arial"/>
          <w:sz w:val="20"/>
          <w:szCs w:val="20"/>
        </w:rPr>
        <w:t>Uredbe 575/2013</w:t>
      </w:r>
      <w:r w:rsidR="0061482B" w:rsidRPr="00215B2F">
        <w:rPr>
          <w:rFonts w:ascii="Arial" w:eastAsia="Arial" w:hAnsi="Arial" w:cs="Arial"/>
          <w:sz w:val="20"/>
          <w:szCs w:val="20"/>
        </w:rPr>
        <w:t>/EU</w:t>
      </w:r>
      <w:r w:rsidRPr="00215B2F">
        <w:rPr>
          <w:rFonts w:ascii="Arial" w:eastAsia="Arial" w:hAnsi="Arial" w:cs="Arial"/>
          <w:sz w:val="20"/>
          <w:szCs w:val="20"/>
        </w:rPr>
        <w:t xml:space="preserve">, poročajo o rezultatih izračunov za svoje izpostavljenosti ali pozicije, ki so vključene v referenčne portfelje, če je obseg bilančnih in zunajbilančnih poslov banke, ki so izpostavljeni tržnemu tveganju, 500 milijonov </w:t>
      </w:r>
      <w:r w:rsidR="00636295" w:rsidRPr="00215B2F">
        <w:rPr>
          <w:rFonts w:ascii="Arial" w:eastAsia="Arial" w:hAnsi="Arial" w:cs="Arial"/>
          <w:sz w:val="20"/>
          <w:szCs w:val="20"/>
        </w:rPr>
        <w:t xml:space="preserve">eurov ali več </w:t>
      </w:r>
      <w:r w:rsidRPr="00215B2F">
        <w:rPr>
          <w:rFonts w:ascii="Arial" w:eastAsia="Arial" w:hAnsi="Arial" w:cs="Arial"/>
          <w:sz w:val="20"/>
          <w:szCs w:val="20"/>
        </w:rPr>
        <w:t xml:space="preserve">v skladu s </w:t>
      </w:r>
      <w:r w:rsidR="00B622AB" w:rsidRPr="00215B2F">
        <w:rPr>
          <w:rFonts w:ascii="Arial" w:eastAsia="Arial" w:hAnsi="Arial" w:cs="Arial"/>
          <w:sz w:val="20"/>
          <w:szCs w:val="20"/>
        </w:rPr>
        <w:t xml:space="preserve">točko (b) prvega odstavka 325a </w:t>
      </w:r>
      <w:r w:rsidRPr="00215B2F">
        <w:rPr>
          <w:rFonts w:ascii="Arial" w:eastAsia="Arial" w:hAnsi="Arial" w:cs="Arial"/>
          <w:sz w:val="20"/>
          <w:szCs w:val="20"/>
        </w:rPr>
        <w:t>člen</w:t>
      </w:r>
      <w:r w:rsidR="00B622AB" w:rsidRPr="00215B2F">
        <w:rPr>
          <w:rFonts w:ascii="Arial" w:eastAsia="Arial" w:hAnsi="Arial" w:cs="Arial"/>
          <w:sz w:val="20"/>
          <w:szCs w:val="20"/>
        </w:rPr>
        <w:t>a</w:t>
      </w:r>
      <w:r w:rsidRPr="00215B2F">
        <w:rPr>
          <w:rFonts w:ascii="Arial" w:eastAsia="Arial" w:hAnsi="Arial" w:cs="Arial"/>
          <w:sz w:val="20"/>
          <w:szCs w:val="20"/>
        </w:rPr>
        <w:t xml:space="preserve"> navedene uredbe; </w:t>
      </w:r>
    </w:p>
    <w:p w14:paraId="5A05A76F" w14:textId="57EFAFDA" w:rsidR="00D91782" w:rsidRPr="00215B2F" w:rsidRDefault="00D91782" w:rsidP="003D4DE0">
      <w:pPr>
        <w:pStyle w:val="Odstavekseznama"/>
        <w:numPr>
          <w:ilvl w:val="0"/>
          <w:numId w:val="31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banke, ki imajo dovoljenje za uporabo notranjih pristopov na podlagi </w:t>
      </w:r>
      <w:r w:rsidR="00B622AB" w:rsidRPr="00215B2F">
        <w:rPr>
          <w:rFonts w:ascii="Arial" w:eastAsia="Arial" w:hAnsi="Arial" w:cs="Arial"/>
          <w:sz w:val="20"/>
          <w:szCs w:val="20"/>
        </w:rPr>
        <w:t xml:space="preserve">3. poglavja II. naslova  </w:t>
      </w:r>
      <w:r w:rsidRPr="00215B2F">
        <w:rPr>
          <w:rFonts w:ascii="Arial" w:eastAsia="Arial" w:hAnsi="Arial" w:cs="Arial"/>
          <w:sz w:val="20"/>
          <w:szCs w:val="20"/>
        </w:rPr>
        <w:t xml:space="preserve">dela </w:t>
      </w:r>
      <w:r w:rsidR="00643AB6" w:rsidRPr="00215B2F">
        <w:rPr>
          <w:rFonts w:ascii="Arial" w:eastAsia="Arial" w:hAnsi="Arial" w:cs="Arial"/>
          <w:sz w:val="20"/>
          <w:szCs w:val="20"/>
        </w:rPr>
        <w:t xml:space="preserve">3 </w:t>
      </w:r>
      <w:r w:rsidRPr="00215B2F">
        <w:rPr>
          <w:rFonts w:ascii="Arial" w:eastAsia="Arial" w:hAnsi="Arial" w:cs="Arial"/>
          <w:sz w:val="20"/>
          <w:szCs w:val="20"/>
        </w:rPr>
        <w:t>Uredbe 575/2013</w:t>
      </w:r>
      <w:r w:rsidR="0061482B" w:rsidRPr="00215B2F">
        <w:rPr>
          <w:rFonts w:ascii="Arial" w:eastAsia="Arial" w:hAnsi="Arial" w:cs="Arial"/>
          <w:sz w:val="20"/>
          <w:szCs w:val="20"/>
        </w:rPr>
        <w:t>/EU</w:t>
      </w:r>
      <w:r w:rsidRPr="00215B2F">
        <w:rPr>
          <w:rFonts w:ascii="Arial" w:eastAsia="Arial" w:hAnsi="Arial" w:cs="Arial"/>
          <w:sz w:val="20"/>
          <w:szCs w:val="20"/>
        </w:rPr>
        <w:t xml:space="preserve">, in zadevne banke, ki uporabljajo standardizirani pristop na podlagi </w:t>
      </w:r>
      <w:r w:rsidR="00B622AB" w:rsidRPr="00215B2F">
        <w:rPr>
          <w:rFonts w:ascii="Arial" w:eastAsia="Arial" w:hAnsi="Arial" w:cs="Arial"/>
          <w:sz w:val="20"/>
          <w:szCs w:val="20"/>
        </w:rPr>
        <w:t>2. poglavja II</w:t>
      </w:r>
      <w:r w:rsidR="00643AB6" w:rsidRPr="00215B2F">
        <w:rPr>
          <w:rFonts w:ascii="Arial" w:eastAsia="Arial" w:hAnsi="Arial" w:cs="Arial"/>
          <w:sz w:val="20"/>
          <w:szCs w:val="20"/>
        </w:rPr>
        <w:t>.</w:t>
      </w:r>
      <w:r w:rsidR="00B622AB" w:rsidRPr="00215B2F">
        <w:rPr>
          <w:rFonts w:ascii="Arial" w:eastAsia="Arial" w:hAnsi="Arial" w:cs="Arial"/>
          <w:sz w:val="20"/>
          <w:szCs w:val="20"/>
        </w:rPr>
        <w:t xml:space="preserve"> naslova  </w:t>
      </w:r>
      <w:r w:rsidRPr="00215B2F">
        <w:rPr>
          <w:rFonts w:ascii="Arial" w:eastAsia="Arial" w:hAnsi="Arial" w:cs="Arial"/>
          <w:sz w:val="20"/>
          <w:szCs w:val="20"/>
        </w:rPr>
        <w:t xml:space="preserve">dela </w:t>
      </w:r>
      <w:r w:rsidR="00643AB6" w:rsidRPr="00215B2F">
        <w:rPr>
          <w:rFonts w:ascii="Arial" w:eastAsia="Arial" w:hAnsi="Arial" w:cs="Arial"/>
          <w:sz w:val="20"/>
          <w:szCs w:val="20"/>
        </w:rPr>
        <w:t xml:space="preserve">3 </w:t>
      </w:r>
      <w:r w:rsidRPr="00215B2F">
        <w:rPr>
          <w:rFonts w:ascii="Arial" w:eastAsia="Arial" w:hAnsi="Arial" w:cs="Arial"/>
          <w:sz w:val="20"/>
          <w:szCs w:val="20"/>
        </w:rPr>
        <w:t>navedene uredbe, poročajo o rezultatih izračunov pristopov, uporabljenih za določitev zneska pričakovanih kreditnih izgub za svoje izpostavljenosti ali pozicije, ki so vključene v referenčne portfelje.</w:t>
      </w:r>
      <w:r w:rsidRPr="00215B2F">
        <w:rPr>
          <w:rFonts w:ascii="Arial" w:eastAsia="Arial" w:hAnsi="Arial" w:cs="Arial"/>
          <w:strike/>
          <w:sz w:val="20"/>
          <w:szCs w:val="20"/>
        </w:rPr>
        <w:t xml:space="preserve"> </w:t>
      </w:r>
    </w:p>
    <w:p w14:paraId="61242B20" w14:textId="77777777" w:rsidR="00C316EC" w:rsidRPr="00215B2F" w:rsidRDefault="00C316EC" w:rsidP="00FD5520">
      <w:pPr>
        <w:shd w:val="clear" w:color="auto" w:fill="FFFFFF" w:themeFill="background1"/>
        <w:spacing w:after="0" w:line="240" w:lineRule="auto"/>
        <w:jc w:val="both"/>
        <w:rPr>
          <w:rFonts w:ascii="Arial" w:eastAsia="Arial" w:hAnsi="Arial" w:cs="Arial"/>
          <w:strike/>
          <w:sz w:val="20"/>
          <w:szCs w:val="20"/>
        </w:rPr>
      </w:pPr>
    </w:p>
    <w:p w14:paraId="231CB4D6" w14:textId="5531FD1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po</w:t>
      </w:r>
      <w:r w:rsidR="00636295" w:rsidRPr="00215B2F">
        <w:rPr>
          <w:rFonts w:ascii="Arial" w:eastAsia="Arial" w:hAnsi="Arial" w:cs="Arial"/>
          <w:sz w:val="20"/>
          <w:szCs w:val="20"/>
        </w:rPr>
        <w:t>šl</w:t>
      </w:r>
      <w:r w:rsidRPr="00215B2F">
        <w:rPr>
          <w:rFonts w:ascii="Arial" w:eastAsia="Arial" w:hAnsi="Arial" w:cs="Arial"/>
          <w:sz w:val="20"/>
          <w:szCs w:val="20"/>
        </w:rPr>
        <w:t>je poročilo iz prejšnjega odstavka glede referenčnih portfeljev, ki jih določi Komisija s predpisom na podlagi osmega odstavka 78. člena Direktive 2013/36/EU.</w:t>
      </w:r>
    </w:p>
    <w:p w14:paraId="4C8802F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F523CED" w14:textId="34B6712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lahko poleg referenčnih portfeljev iz prejšnjega odstavka določi dodatne referenčne portfelje, za katere mora banka predložiti poročilo o rezultatih izračunov svojih pristopov za izpostavljenosti ali pozicije, ki so vključene v te dodatne referenčne portfelje, skupaj z razlago metodologij, ki jih je uporabila. Banka Slovenije se o določitvi dodatnih referenčnih portfeljev za namene poročanja predhodno posvetuje z Evropskim bančnim organom.</w:t>
      </w:r>
    </w:p>
    <w:p w14:paraId="65813BE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0F81901" w14:textId="615832F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poroča o rezultatih izračunov za referenčne portfelje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ločeno od rezultatov za referenčne portfelje iz prejšnjega odstavka.</w:t>
      </w:r>
    </w:p>
    <w:p w14:paraId="38E40B1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F8A2F06"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86" w:name="_Ref203643898"/>
      <w:r w:rsidRPr="00215B2F">
        <w:rPr>
          <w:rFonts w:ascii="Arial" w:eastAsia="Arial" w:hAnsi="Arial" w:cs="Arial"/>
          <w:b/>
          <w:bCs/>
          <w:sz w:val="20"/>
          <w:szCs w:val="20"/>
        </w:rPr>
        <w:t>člen</w:t>
      </w:r>
      <w:bookmarkEnd w:id="286"/>
    </w:p>
    <w:p w14:paraId="4FCFFA3E" w14:textId="77777777" w:rsidR="00D91782" w:rsidRPr="00215B2F" w:rsidRDefault="00D91782" w:rsidP="00FD5520">
      <w:pPr>
        <w:pStyle w:val="Slog1"/>
        <w:shd w:val="clear" w:color="auto" w:fill="FFFFFF" w:themeFill="background1"/>
        <w:rPr>
          <w:sz w:val="20"/>
          <w:szCs w:val="20"/>
        </w:rPr>
      </w:pPr>
      <w:r w:rsidRPr="00215B2F">
        <w:rPr>
          <w:sz w:val="20"/>
          <w:szCs w:val="20"/>
        </w:rPr>
        <w:t>(presoja notranjih pristopov)</w:t>
      </w:r>
    </w:p>
    <w:p w14:paraId="78BFF755" w14:textId="77777777" w:rsidR="00D91782" w:rsidRPr="00215B2F" w:rsidRDefault="00D91782" w:rsidP="00FD5520">
      <w:pPr>
        <w:pStyle w:val="Slog1"/>
        <w:shd w:val="clear" w:color="auto" w:fill="FFFFFF" w:themeFill="background1"/>
        <w:jc w:val="both"/>
        <w:rPr>
          <w:sz w:val="20"/>
          <w:szCs w:val="20"/>
        </w:rPr>
      </w:pPr>
    </w:p>
    <w:p w14:paraId="77807DC6" w14:textId="155E578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na podlagi informacij iz poročil, določenih v prejšnjem členu, spremlja in analizira razpon tveganju prilagojenih zneskov izpostavljenosti ali kapitalskih zahtev, kot je ustrezno, za izpostavljenosti ali transakcije v referenčnem portfelju.</w:t>
      </w:r>
    </w:p>
    <w:p w14:paraId="367A26BE"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766058D" w14:textId="6D0C7A4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na podlagi ugotovitev iz prejšnjega odstavka vsaj tako pogosto kot </w:t>
      </w:r>
      <w:r w:rsidR="00C23E0A" w:rsidRPr="00215B2F">
        <w:rPr>
          <w:rFonts w:ascii="Arial" w:eastAsia="Arial" w:hAnsi="Arial" w:cs="Arial"/>
          <w:sz w:val="20"/>
          <w:szCs w:val="20"/>
        </w:rPr>
        <w:t>Evropski bančni organ</w:t>
      </w:r>
      <w:r w:rsidRPr="00215B2F">
        <w:rPr>
          <w:rFonts w:ascii="Arial" w:eastAsia="Arial" w:hAnsi="Arial" w:cs="Arial"/>
          <w:sz w:val="20"/>
          <w:szCs w:val="20"/>
        </w:rPr>
        <w:t xml:space="preserve"> izvaja postopek nadzorniškega primerjanja </w:t>
      </w:r>
      <w:r w:rsidR="00DC1223" w:rsidRPr="00215B2F">
        <w:rPr>
          <w:rFonts w:ascii="Arial" w:eastAsia="Arial" w:hAnsi="Arial" w:cs="Arial"/>
          <w:sz w:val="20"/>
          <w:szCs w:val="20"/>
        </w:rPr>
        <w:t xml:space="preserve">in </w:t>
      </w:r>
      <w:r w:rsidRPr="00215B2F">
        <w:rPr>
          <w:rFonts w:ascii="Arial" w:eastAsia="Arial" w:hAnsi="Arial" w:cs="Arial"/>
          <w:sz w:val="20"/>
          <w:szCs w:val="20"/>
        </w:rPr>
        <w:t>oceni kakovost pristopov bank, zlasti:</w:t>
      </w:r>
    </w:p>
    <w:p w14:paraId="6AB9277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4D188BD" w14:textId="77777777" w:rsidR="006A1A88" w:rsidRPr="00215B2F" w:rsidRDefault="00D91782" w:rsidP="003D4DE0">
      <w:pPr>
        <w:pStyle w:val="tevilnatoka"/>
        <w:numPr>
          <w:ilvl w:val="0"/>
          <w:numId w:val="139"/>
        </w:numPr>
        <w:shd w:val="clear" w:color="auto" w:fill="FFFFFF" w:themeFill="background1"/>
        <w:tabs>
          <w:tab w:val="clear" w:pos="425"/>
        </w:tabs>
        <w:rPr>
          <w:rFonts w:cs="Arial"/>
          <w:bCs/>
          <w:sz w:val="20"/>
          <w:szCs w:val="20"/>
        </w:rPr>
      </w:pPr>
      <w:r w:rsidRPr="00215B2F">
        <w:rPr>
          <w:rFonts w:eastAsia="Arial" w:cs="Arial"/>
          <w:sz w:val="20"/>
          <w:szCs w:val="20"/>
        </w:rPr>
        <w:t>pristopov, pri katerih so pri enaki izpostavljenosti velike razlike v kapitalskih zahtevah, določenih v skladu z Uredbo 575/2013/EU;</w:t>
      </w:r>
    </w:p>
    <w:p w14:paraId="67C0152E" w14:textId="16FBA092" w:rsidR="00D91782" w:rsidRPr="00215B2F" w:rsidRDefault="00D91782" w:rsidP="003D4DE0">
      <w:pPr>
        <w:pStyle w:val="tevilnatoka"/>
        <w:numPr>
          <w:ilvl w:val="0"/>
          <w:numId w:val="139"/>
        </w:numPr>
        <w:shd w:val="clear" w:color="auto" w:fill="FFFFFF" w:themeFill="background1"/>
        <w:tabs>
          <w:tab w:val="clear" w:pos="425"/>
        </w:tabs>
        <w:rPr>
          <w:rFonts w:cs="Arial"/>
          <w:bCs/>
          <w:sz w:val="20"/>
          <w:szCs w:val="20"/>
        </w:rPr>
      </w:pPr>
      <w:r w:rsidRPr="00215B2F">
        <w:rPr>
          <w:rFonts w:eastAsia="Arial" w:cs="Arial"/>
          <w:sz w:val="20"/>
          <w:szCs w:val="20"/>
        </w:rPr>
        <w:lastRenderedPageBreak/>
        <w:t>pristopov, pri katerih je spremenljivost izjemno velika ali izjemno majhna in pri katerih so kapitalske zahteve, določene v skladu z Uredbo 575/2013/EU, znatno in sistematično podcenjene.</w:t>
      </w:r>
    </w:p>
    <w:p w14:paraId="17EC5407"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EF974FB" w14:textId="6587704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Če se rezultati izračunov posameznih bank znatno razlikujejo od rezultatov pretežnega dela bank ali če pristopi dajejo veliko število različnih rezultatov, Banka Slovenije preuči razloge za te razlike.</w:t>
      </w:r>
    </w:p>
    <w:p w14:paraId="4B2F02B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30990E8" w14:textId="1D33373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Če z upoštevanjem ugotovitev iz prejšnjega odstavka Bank</w:t>
      </w:r>
      <w:r w:rsidR="00DC1223" w:rsidRPr="00215B2F">
        <w:rPr>
          <w:rFonts w:ascii="Arial" w:eastAsia="Arial" w:hAnsi="Arial" w:cs="Arial"/>
          <w:sz w:val="20"/>
          <w:szCs w:val="20"/>
        </w:rPr>
        <w:t>a</w:t>
      </w:r>
      <w:r w:rsidRPr="00215B2F">
        <w:rPr>
          <w:rFonts w:ascii="Arial" w:eastAsia="Arial" w:hAnsi="Arial" w:cs="Arial"/>
          <w:sz w:val="20"/>
          <w:szCs w:val="20"/>
        </w:rPr>
        <w:t xml:space="preserve"> Slovenije oceni, da rezultati na podlagi pristopov, ki jih uporablja banka, vodijo v podcenjenost kapitalskih zahtev za banko, ki je ni mogoče utemeljiti z razlikami v tveganjih posameznih izpostavljenosti ali pozicij, Banka Slovenije od banke zahteva ustrezne popravke v metodologiji, ki jo uporablja banka.</w:t>
      </w:r>
    </w:p>
    <w:p w14:paraId="1E147B84"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108F850" w14:textId="1DF49B2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v zvezi z ocenjevanjem pristopov in pri določanju zahtev glede popravkov metodologije, ki jo uporablja banka, podpira cilje pristopov s področja uporabe </w:t>
      </w:r>
      <w:r w:rsidR="000F300A"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 xml:space="preserve">člena </w:t>
      </w:r>
      <w:r w:rsidRPr="00215B2F">
        <w:rPr>
          <w:rFonts w:ascii="Arial" w:eastAsia="Arial" w:hAnsi="Arial" w:cs="Arial"/>
          <w:sz w:val="20"/>
          <w:szCs w:val="20"/>
        </w:rPr>
        <w:t>in zagotovi, da ne:</w:t>
      </w:r>
    </w:p>
    <w:p w14:paraId="3A8A6A5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A35966D" w14:textId="77777777" w:rsidR="006A1A88" w:rsidRPr="00215B2F" w:rsidRDefault="00D91782" w:rsidP="003D4DE0">
      <w:pPr>
        <w:pStyle w:val="tevilnatoka"/>
        <w:numPr>
          <w:ilvl w:val="0"/>
          <w:numId w:val="140"/>
        </w:numPr>
        <w:shd w:val="clear" w:color="auto" w:fill="FFFFFF" w:themeFill="background1"/>
        <w:tabs>
          <w:tab w:val="clear" w:pos="425"/>
        </w:tabs>
        <w:rPr>
          <w:rFonts w:cs="Arial"/>
          <w:bCs/>
          <w:sz w:val="20"/>
          <w:szCs w:val="20"/>
        </w:rPr>
      </w:pPr>
      <w:r w:rsidRPr="00215B2F">
        <w:rPr>
          <w:rFonts w:eastAsia="Arial" w:cs="Arial"/>
          <w:sz w:val="20"/>
          <w:szCs w:val="20"/>
        </w:rPr>
        <w:t>spodbuja standardizacije notranjih pristopov bank ali uporabe posameznih notranjih pristopov pred drugimi;</w:t>
      </w:r>
    </w:p>
    <w:p w14:paraId="2E89BD18" w14:textId="77777777" w:rsidR="006A1A88" w:rsidRPr="00215B2F" w:rsidRDefault="00D91782" w:rsidP="003D4DE0">
      <w:pPr>
        <w:pStyle w:val="tevilnatoka"/>
        <w:numPr>
          <w:ilvl w:val="0"/>
          <w:numId w:val="140"/>
        </w:numPr>
        <w:shd w:val="clear" w:color="auto" w:fill="FFFFFF" w:themeFill="background1"/>
        <w:tabs>
          <w:tab w:val="clear" w:pos="425"/>
        </w:tabs>
        <w:rPr>
          <w:rFonts w:cs="Arial"/>
          <w:bCs/>
          <w:sz w:val="20"/>
          <w:szCs w:val="20"/>
        </w:rPr>
      </w:pPr>
      <w:r w:rsidRPr="00215B2F">
        <w:rPr>
          <w:rFonts w:eastAsia="Arial" w:cs="Arial"/>
          <w:sz w:val="20"/>
          <w:szCs w:val="20"/>
        </w:rPr>
        <w:t>ustvarja napačnih spodbud za uporabo notranjih pristopov;</w:t>
      </w:r>
    </w:p>
    <w:p w14:paraId="3D79B5C8" w14:textId="298A025F" w:rsidR="00D91782" w:rsidRPr="00215B2F" w:rsidRDefault="00D91782" w:rsidP="003D4DE0">
      <w:pPr>
        <w:pStyle w:val="tevilnatoka"/>
        <w:numPr>
          <w:ilvl w:val="0"/>
          <w:numId w:val="140"/>
        </w:numPr>
        <w:shd w:val="clear" w:color="auto" w:fill="FFFFFF" w:themeFill="background1"/>
        <w:tabs>
          <w:tab w:val="clear" w:pos="425"/>
        </w:tabs>
        <w:rPr>
          <w:rFonts w:cs="Arial"/>
          <w:bCs/>
          <w:sz w:val="20"/>
          <w:szCs w:val="20"/>
        </w:rPr>
      </w:pPr>
      <w:r w:rsidRPr="00215B2F">
        <w:rPr>
          <w:rFonts w:eastAsia="Arial" w:cs="Arial"/>
          <w:sz w:val="20"/>
          <w:szCs w:val="20"/>
        </w:rPr>
        <w:t>spodbuja nekritičnega posnemanja uporabe notranjih pristopov.</w:t>
      </w:r>
    </w:p>
    <w:p w14:paraId="013F993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FE4B6FA"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87" w:name="_Ref202965174"/>
      <w:r w:rsidRPr="00215B2F">
        <w:rPr>
          <w:rFonts w:ascii="Arial" w:eastAsia="Arial" w:hAnsi="Arial" w:cs="Arial"/>
          <w:b/>
          <w:bCs/>
          <w:sz w:val="20"/>
          <w:szCs w:val="20"/>
        </w:rPr>
        <w:t>člen</w:t>
      </w:r>
      <w:bookmarkEnd w:id="287"/>
    </w:p>
    <w:p w14:paraId="07FB301C" w14:textId="77777777" w:rsidR="00D91782" w:rsidRPr="00215B2F" w:rsidRDefault="00D91782" w:rsidP="00FD5520">
      <w:pPr>
        <w:pStyle w:val="Slog1"/>
        <w:shd w:val="clear" w:color="auto" w:fill="FFFFFF" w:themeFill="background1"/>
        <w:rPr>
          <w:sz w:val="20"/>
          <w:szCs w:val="20"/>
        </w:rPr>
      </w:pPr>
      <w:r w:rsidRPr="00215B2F">
        <w:rPr>
          <w:sz w:val="20"/>
          <w:szCs w:val="20"/>
        </w:rPr>
        <w:t>(uporaba notranjih pristopov za izračunavanje kapitalskih zahtev)</w:t>
      </w:r>
    </w:p>
    <w:p w14:paraId="4A714E61" w14:textId="77777777" w:rsidR="00D91782" w:rsidRPr="00215B2F" w:rsidRDefault="00D91782" w:rsidP="00FD5520">
      <w:pPr>
        <w:pStyle w:val="Slog1"/>
        <w:shd w:val="clear" w:color="auto" w:fill="FFFFFF" w:themeFill="background1"/>
        <w:jc w:val="both"/>
        <w:rPr>
          <w:sz w:val="20"/>
          <w:szCs w:val="20"/>
        </w:rPr>
      </w:pPr>
    </w:p>
    <w:p w14:paraId="77D8BF85" w14:textId="61BEE0C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spodbuja banke, ki pri ocenjevanju kreditne sposobnosti subjekta ali finančnega instrumenta uporabljajo zunanje bonitetne ocene, da teh ocen ne uporabljajo kot </w:t>
      </w:r>
      <w:r w:rsidR="000F300A" w:rsidRPr="00215B2F">
        <w:rPr>
          <w:rFonts w:ascii="Arial" w:eastAsia="Arial" w:hAnsi="Arial" w:cs="Arial"/>
          <w:sz w:val="20"/>
          <w:szCs w:val="20"/>
        </w:rPr>
        <w:t xml:space="preserve">izključno </w:t>
      </w:r>
      <w:r w:rsidRPr="00215B2F">
        <w:rPr>
          <w:rFonts w:ascii="Arial" w:eastAsia="Arial" w:hAnsi="Arial" w:cs="Arial"/>
          <w:sz w:val="20"/>
          <w:szCs w:val="20"/>
        </w:rPr>
        <w:t xml:space="preserve">ali </w:t>
      </w:r>
      <w:r w:rsidR="000F300A" w:rsidRPr="00215B2F">
        <w:rPr>
          <w:rFonts w:ascii="Arial" w:eastAsia="Arial" w:hAnsi="Arial" w:cs="Arial"/>
          <w:sz w:val="20"/>
          <w:szCs w:val="20"/>
        </w:rPr>
        <w:t xml:space="preserve">samodejno merilo </w:t>
      </w:r>
      <w:r w:rsidRPr="00215B2F">
        <w:rPr>
          <w:rFonts w:ascii="Arial" w:eastAsia="Arial" w:hAnsi="Arial" w:cs="Arial"/>
          <w:sz w:val="20"/>
          <w:szCs w:val="20"/>
        </w:rPr>
        <w:t>za oceno kreditne sposobnosti. Pri tem Banka Slovenije upošteva velikost in notranjo organiziranost banke ter naravo, obseg in zapletenost dejavnosti, ki jih banka opravlja.</w:t>
      </w:r>
    </w:p>
    <w:p w14:paraId="71CC49E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1383AD1" w14:textId="72C23A4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spodbuja banke, da glede na naravo, obseg in zapletenost dejavnosti, ki jih opravlja</w:t>
      </w:r>
      <w:r w:rsidR="00183532" w:rsidRPr="00215B2F">
        <w:rPr>
          <w:rFonts w:ascii="Arial" w:eastAsia="Arial" w:hAnsi="Arial" w:cs="Arial"/>
          <w:sz w:val="20"/>
          <w:szCs w:val="20"/>
        </w:rPr>
        <w:t>jo,</w:t>
      </w:r>
      <w:r w:rsidRPr="00215B2F">
        <w:rPr>
          <w:rFonts w:ascii="Arial" w:eastAsia="Arial" w:hAnsi="Arial" w:cs="Arial"/>
          <w:sz w:val="20"/>
          <w:szCs w:val="20"/>
        </w:rPr>
        <w:t xml:space="preserve"> ter ob upoštevanju meril iz </w:t>
      </w:r>
      <w:r w:rsidR="00AA2AD1" w:rsidRPr="00215B2F">
        <w:rPr>
          <w:rFonts w:ascii="Arial" w:eastAsia="Arial" w:hAnsi="Arial" w:cs="Arial"/>
          <w:sz w:val="20"/>
          <w:szCs w:val="20"/>
        </w:rPr>
        <w:t xml:space="preserve">1. oddelka 3. poglavja I. naslova  </w:t>
      </w:r>
      <w:r w:rsidRPr="00215B2F">
        <w:rPr>
          <w:rFonts w:ascii="Arial" w:eastAsia="Arial" w:hAnsi="Arial" w:cs="Arial"/>
          <w:sz w:val="20"/>
          <w:szCs w:val="20"/>
        </w:rPr>
        <w:t xml:space="preserve">dela </w:t>
      </w:r>
      <w:r w:rsidR="000F300A" w:rsidRPr="00215B2F">
        <w:rPr>
          <w:rFonts w:ascii="Arial" w:eastAsia="Arial" w:hAnsi="Arial" w:cs="Arial"/>
          <w:sz w:val="20"/>
          <w:szCs w:val="20"/>
        </w:rPr>
        <w:t xml:space="preserve">3 </w:t>
      </w:r>
      <w:r w:rsidR="00AA2AD1" w:rsidRPr="00215B2F">
        <w:rPr>
          <w:rFonts w:ascii="Arial" w:eastAsia="Arial" w:hAnsi="Arial" w:cs="Arial"/>
          <w:sz w:val="20"/>
          <w:szCs w:val="20"/>
        </w:rPr>
        <w:t>oziroma 1b poglavja IV</w:t>
      </w:r>
      <w:r w:rsidR="000F300A" w:rsidRPr="00215B2F">
        <w:rPr>
          <w:rFonts w:ascii="Arial" w:eastAsia="Arial" w:hAnsi="Arial" w:cs="Arial"/>
          <w:sz w:val="20"/>
          <w:szCs w:val="20"/>
        </w:rPr>
        <w:t>.</w:t>
      </w:r>
      <w:r w:rsidR="00AA2AD1" w:rsidRPr="00215B2F">
        <w:rPr>
          <w:rFonts w:ascii="Arial" w:eastAsia="Arial" w:hAnsi="Arial" w:cs="Arial"/>
          <w:sz w:val="20"/>
          <w:szCs w:val="20"/>
        </w:rPr>
        <w:t xml:space="preserve"> naslova 3 </w:t>
      </w:r>
      <w:r w:rsidRPr="00215B2F">
        <w:rPr>
          <w:rFonts w:ascii="Arial" w:hAnsi="Arial" w:cs="Arial"/>
          <w:sz w:val="20"/>
          <w:szCs w:val="20"/>
        </w:rPr>
        <w:t>dela</w:t>
      </w:r>
      <w:r w:rsidRPr="00215B2F">
        <w:rPr>
          <w:rFonts w:ascii="Arial" w:eastAsia="Arial" w:hAnsi="Arial" w:cs="Arial"/>
          <w:sz w:val="20"/>
          <w:szCs w:val="20"/>
        </w:rPr>
        <w:t xml:space="preserve"> Uredbe 575/2013/EU razvijejo:</w:t>
      </w:r>
      <w:r w:rsidRPr="00215B2F">
        <w:rPr>
          <w:rFonts w:ascii="Arial" w:hAnsi="Arial" w:cs="Arial"/>
          <w:sz w:val="20"/>
          <w:szCs w:val="20"/>
        </w:rPr>
        <w:t xml:space="preserve"> </w:t>
      </w:r>
    </w:p>
    <w:p w14:paraId="4552E78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31F2C8C" w14:textId="77777777" w:rsidR="006A1A88" w:rsidRPr="00215B2F" w:rsidRDefault="00D91782" w:rsidP="003D4DE0">
      <w:pPr>
        <w:pStyle w:val="tevilnatoka"/>
        <w:numPr>
          <w:ilvl w:val="0"/>
          <w:numId w:val="141"/>
        </w:numPr>
        <w:shd w:val="clear" w:color="auto" w:fill="FFFFFF" w:themeFill="background1"/>
        <w:tabs>
          <w:tab w:val="clear" w:pos="425"/>
        </w:tabs>
        <w:rPr>
          <w:rFonts w:cs="Arial"/>
          <w:bCs/>
          <w:sz w:val="20"/>
          <w:szCs w:val="20"/>
        </w:rPr>
      </w:pPr>
      <w:r w:rsidRPr="00215B2F">
        <w:rPr>
          <w:rFonts w:eastAsia="Arial" w:cs="Arial"/>
          <w:sz w:val="20"/>
          <w:szCs w:val="20"/>
        </w:rPr>
        <w:t>notranje zmogljivosti za ocenjevanje kreditnega tveganja in pogosteje uporabljajo pristop na podlagi notranjih bonitetnih ocen za izračunavanje kapitalskih zahtev za kreditno tveganje, kadar so njihove izpostavljenosti pomembne v absolutnem smislu in kadar imajo hkrati veliko število pomembnih nasprotnih strank;</w:t>
      </w:r>
    </w:p>
    <w:p w14:paraId="151F6A6E" w14:textId="31D94E69" w:rsidR="00D91782" w:rsidRPr="00215B2F" w:rsidRDefault="00D91782" w:rsidP="003D4DE0">
      <w:pPr>
        <w:pStyle w:val="tevilnatoka"/>
        <w:numPr>
          <w:ilvl w:val="0"/>
          <w:numId w:val="141"/>
        </w:numPr>
        <w:shd w:val="clear" w:color="auto" w:fill="FFFFFF" w:themeFill="background1"/>
        <w:tabs>
          <w:tab w:val="clear" w:pos="425"/>
        </w:tabs>
        <w:rPr>
          <w:rFonts w:cs="Arial"/>
          <w:bCs/>
          <w:sz w:val="20"/>
          <w:szCs w:val="20"/>
        </w:rPr>
      </w:pPr>
      <w:r w:rsidRPr="00215B2F">
        <w:rPr>
          <w:rFonts w:eastAsia="Arial" w:cs="Arial"/>
          <w:sz w:val="20"/>
          <w:szCs w:val="20"/>
        </w:rPr>
        <w:t>notranje zmogljivosti za ocenjevanje tržnega tveganja in pogosteje uporabljajo notranje modele za izračun kapitalskih zahtev za portfelje pozicij iz trgovalne knjige skupaj z notranjimi modeli za izračun kapitalskih zahtev za tveganje neplačila, kadar je njihova izpostavljenost tveganju neplačila pomembna v absolutnem smislu in kadar imajo veliko število pomembnih pozicij v dolžniških ali lastniških instrumentih različnih izdajateljev, ki kotirajo na borzi.</w:t>
      </w:r>
    </w:p>
    <w:p w14:paraId="7142CDE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AE23638"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88" w:name="_Ref202965180"/>
      <w:r w:rsidRPr="00215B2F">
        <w:rPr>
          <w:rFonts w:ascii="Arial" w:eastAsia="Arial" w:hAnsi="Arial" w:cs="Arial"/>
          <w:b/>
          <w:bCs/>
          <w:sz w:val="20"/>
          <w:szCs w:val="20"/>
        </w:rPr>
        <w:t>člen</w:t>
      </w:r>
      <w:bookmarkEnd w:id="288"/>
    </w:p>
    <w:p w14:paraId="0BB6FF95" w14:textId="77777777" w:rsidR="00D91782" w:rsidRPr="00215B2F" w:rsidRDefault="00D91782" w:rsidP="00FD5520">
      <w:pPr>
        <w:pStyle w:val="Slog1"/>
        <w:shd w:val="clear" w:color="auto" w:fill="FFFFFF" w:themeFill="background1"/>
        <w:rPr>
          <w:sz w:val="20"/>
          <w:szCs w:val="20"/>
        </w:rPr>
      </w:pPr>
      <w:r w:rsidRPr="00215B2F">
        <w:rPr>
          <w:sz w:val="20"/>
          <w:szCs w:val="20"/>
        </w:rPr>
        <w:t>(redno preverjanje pogojev za uporabo notranjih pristopov)</w:t>
      </w:r>
    </w:p>
    <w:p w14:paraId="0677BF24" w14:textId="77777777" w:rsidR="00D91782" w:rsidRPr="00215B2F" w:rsidRDefault="00D91782" w:rsidP="00FD5520">
      <w:pPr>
        <w:pStyle w:val="Slog1"/>
        <w:shd w:val="clear" w:color="auto" w:fill="FFFFFF" w:themeFill="background1"/>
        <w:jc w:val="both"/>
        <w:rPr>
          <w:sz w:val="20"/>
          <w:szCs w:val="20"/>
        </w:rPr>
      </w:pPr>
    </w:p>
    <w:p w14:paraId="3AEC6A8C" w14:textId="77EBCDA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289" w:name="_Hlk203644200"/>
      <w:r w:rsidRPr="00215B2F">
        <w:rPr>
          <w:rFonts w:ascii="Arial" w:eastAsia="Arial" w:hAnsi="Arial" w:cs="Arial"/>
          <w:sz w:val="20"/>
          <w:szCs w:val="20"/>
        </w:rPr>
        <w:t xml:space="preserve">(1) Banka Slovenije, kadar je v skladu z Uredbo 1024/2013/EU pri opravljanju nadzora nad banko odgovorna za izvajanje nalog iz točke (f) prvega odstavka 4. člena </w:t>
      </w:r>
      <w:r w:rsidR="00091BC8" w:rsidRPr="00215B2F">
        <w:rPr>
          <w:rFonts w:ascii="Arial" w:eastAsia="Arial" w:hAnsi="Arial" w:cs="Arial"/>
          <w:sz w:val="20"/>
          <w:szCs w:val="20"/>
        </w:rPr>
        <w:t>navedene uredbe</w:t>
      </w:r>
      <w:r w:rsidRPr="00215B2F">
        <w:rPr>
          <w:rFonts w:ascii="Arial" w:eastAsia="Arial" w:hAnsi="Arial" w:cs="Arial"/>
          <w:sz w:val="20"/>
          <w:szCs w:val="20"/>
        </w:rPr>
        <w:t>, redno, vendar najmanj vsaka tri leta preverja, ali banke, ki so pridobile dovoljenje Banke Slovenije za uporabo notranjih pristopov za izračun kapitalskih zahtev v skladu s 3. delom Uredbe 575/2013/EU, izpolnjujejo pogoje in zahteve, ki so s tem zakonom ali Uredbo 575/2013/EU določene za pridobitev tega dovoljenja.</w:t>
      </w:r>
    </w:p>
    <w:p w14:paraId="14F3256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AC0459E" w14:textId="74B6695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pri presoji iz prejšnjega odstavka pregleduje in ocenjuje, ali banka pri notranjih pristopih uporablja dobro razvite in sodobne tehnike ter prakse ter pri tem zlasti upošteva morebitne spremembe v poslovanju banke in uporabi navedenih pristopov pri novih produktih banke.</w:t>
      </w:r>
    </w:p>
    <w:p w14:paraId="1619BEB8"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D3B802F" w14:textId="20D14D0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Banka Slovenije na podlagi pregleda in ocene iz prejšnjega odstavka ugotovi pomembne pomanjkljivosti pri zajetju tveganj z notranjim pristopom, od banke zahteva ustrezne spremembe v zvezi z notranjim pristopom </w:t>
      </w:r>
      <w:r w:rsidR="0031653C" w:rsidRPr="00215B2F">
        <w:rPr>
          <w:rFonts w:ascii="Arial" w:eastAsia="Arial" w:hAnsi="Arial" w:cs="Arial"/>
          <w:sz w:val="20"/>
          <w:szCs w:val="20"/>
        </w:rPr>
        <w:t>tako</w:t>
      </w:r>
      <w:r w:rsidRPr="00215B2F">
        <w:rPr>
          <w:rFonts w:ascii="Arial" w:eastAsia="Arial" w:hAnsi="Arial" w:cs="Arial"/>
          <w:sz w:val="20"/>
          <w:szCs w:val="20"/>
        </w:rPr>
        <w:t>, da se pomanjkljivosti odpravijo ali ublažijo njihove posledice. Banka Slovenije lahko v teh primerih zahteva od banke zlasti uvedbo višjih multiplikatorjev, določi kapitalske pribitke ali izreče druge ustrezne ukrepe.</w:t>
      </w:r>
    </w:p>
    <w:p w14:paraId="7E4242F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EB17758" w14:textId="51C57EC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Če za trgovalno enoto, ki uporablja notranji model za tržno tveganje, rezultati testiranja za nazaj ali testa opredelitve dobičkov in izgub pokažejo, da model ni več dovolj točen, Banka Slovenije pregleda pogoje za dovoljenje za uporabo notranjega modela ali uvede ustrezne ukrepe, s katerimi zagotovi takojšnje izboljšanje modela.</w:t>
      </w:r>
    </w:p>
    <w:p w14:paraId="4669697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93C56DF" w14:textId="6A0A0DE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Če Banka Slovenije na podlagi preverjanja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ugotovi, da banka ne izpolnjuje več zahtev za uporabo notranjega pristopa za izračun kapitalskih zahtev v skladu s 3. delom Uredbe 575/2013/EU, lahko od banke zahteva, da:</w:t>
      </w:r>
    </w:p>
    <w:p w14:paraId="1594A393" w14:textId="77777777" w:rsidR="006A1A88" w:rsidRPr="00215B2F" w:rsidRDefault="006A1A88" w:rsidP="00FD5520">
      <w:pPr>
        <w:shd w:val="clear" w:color="auto" w:fill="FFFFFF" w:themeFill="background1"/>
        <w:spacing w:after="0" w:line="240" w:lineRule="auto"/>
        <w:jc w:val="both"/>
        <w:rPr>
          <w:rFonts w:ascii="Arial" w:eastAsia="Arial" w:hAnsi="Arial" w:cs="Arial"/>
          <w:sz w:val="20"/>
          <w:szCs w:val="20"/>
        </w:rPr>
      </w:pPr>
    </w:p>
    <w:p w14:paraId="757A4757" w14:textId="77777777" w:rsidR="006A1A88" w:rsidRPr="00215B2F" w:rsidRDefault="00D91782" w:rsidP="003D4DE0">
      <w:pPr>
        <w:pStyle w:val="tevilnatoka"/>
        <w:numPr>
          <w:ilvl w:val="0"/>
          <w:numId w:val="142"/>
        </w:numPr>
        <w:shd w:val="clear" w:color="auto" w:fill="FFFFFF" w:themeFill="background1"/>
        <w:tabs>
          <w:tab w:val="clear" w:pos="425"/>
        </w:tabs>
        <w:rPr>
          <w:rFonts w:cs="Arial"/>
          <w:bCs/>
          <w:sz w:val="20"/>
          <w:szCs w:val="20"/>
        </w:rPr>
      </w:pPr>
      <w:r w:rsidRPr="00215B2F">
        <w:rPr>
          <w:rFonts w:eastAsia="Arial" w:cs="Arial"/>
          <w:sz w:val="20"/>
          <w:szCs w:val="20"/>
        </w:rPr>
        <w:t>dokaže, da učinek neskladnosti z zahtevami za uporabo pristopa ni pomemben za izračun kapitalskih zahtev v skladu z Uredbo 575/2013/EU, ali</w:t>
      </w:r>
    </w:p>
    <w:p w14:paraId="46AE160D" w14:textId="6B0D3A16" w:rsidR="00D91782" w:rsidRPr="00215B2F" w:rsidRDefault="00D91782" w:rsidP="003D4DE0">
      <w:pPr>
        <w:pStyle w:val="tevilnatoka"/>
        <w:numPr>
          <w:ilvl w:val="0"/>
          <w:numId w:val="142"/>
        </w:numPr>
        <w:shd w:val="clear" w:color="auto" w:fill="FFFFFF" w:themeFill="background1"/>
        <w:tabs>
          <w:tab w:val="clear" w:pos="425"/>
        </w:tabs>
        <w:rPr>
          <w:rFonts w:cs="Arial"/>
          <w:bCs/>
          <w:sz w:val="20"/>
          <w:szCs w:val="20"/>
        </w:rPr>
      </w:pPr>
      <w:r w:rsidRPr="00215B2F">
        <w:rPr>
          <w:rFonts w:eastAsia="Arial" w:cs="Arial"/>
          <w:sz w:val="20"/>
          <w:szCs w:val="20"/>
        </w:rPr>
        <w:t>predloži načrt za pravočasno ponovno vzpostavitev skladnosti z zahtevami in določi rok za izvedbo načrta.</w:t>
      </w:r>
    </w:p>
    <w:p w14:paraId="51B86904"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F90CCA9" w14:textId="6813914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Banka Slovenije lahko v primerih iz 2. točke prejšnjega odstavka zahteva od banke ustrezne spremembe načrta, če iz načrta, ki ga je predložila banka, ni razvidno, da bo banka zagotovila popolno skladnost z zahtevami za uporabo notranjega pristopa, ali če rok, ki ga je predlagala banka, ni ustrezen.</w:t>
      </w:r>
    </w:p>
    <w:p w14:paraId="7392F6D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108445E" w14:textId="133FFCF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Banka Slovenije na podlagi preverjanja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banki odvzame dovoljenje za uporabo notranjega pristopa ali omeji uporabo notranjega pristopa na določena področja, če banka:</w:t>
      </w:r>
    </w:p>
    <w:p w14:paraId="4C870CC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B4FCE52" w14:textId="77777777" w:rsidR="006A1A88" w:rsidRPr="00215B2F" w:rsidRDefault="00D91782" w:rsidP="003D4DE0">
      <w:pPr>
        <w:pStyle w:val="tevilnatoka"/>
        <w:numPr>
          <w:ilvl w:val="0"/>
          <w:numId w:val="143"/>
        </w:numPr>
        <w:shd w:val="clear" w:color="auto" w:fill="FFFFFF" w:themeFill="background1"/>
        <w:tabs>
          <w:tab w:val="clear" w:pos="425"/>
        </w:tabs>
        <w:rPr>
          <w:rFonts w:cs="Arial"/>
          <w:bCs/>
          <w:sz w:val="20"/>
          <w:szCs w:val="20"/>
        </w:rPr>
      </w:pPr>
      <w:r w:rsidRPr="00215B2F">
        <w:rPr>
          <w:rFonts w:eastAsia="Arial" w:cs="Arial"/>
          <w:sz w:val="20"/>
          <w:szCs w:val="20"/>
        </w:rPr>
        <w:t>z načrtovanimi ukrepi verjetno ne bo sposobna zagotoviti skladnosti z zahtevami za uporabo notranjega pristopa v ustreznem roku ali</w:t>
      </w:r>
    </w:p>
    <w:p w14:paraId="234A7618" w14:textId="0BE3C02A" w:rsidR="00D91782" w:rsidRPr="00215B2F" w:rsidRDefault="00D91782" w:rsidP="00543D80">
      <w:pPr>
        <w:pStyle w:val="tevilnatoka"/>
        <w:rPr>
          <w:rFonts w:cs="Arial"/>
          <w:bCs/>
          <w:sz w:val="20"/>
          <w:szCs w:val="20"/>
        </w:rPr>
      </w:pPr>
      <w:r w:rsidRPr="00215B2F">
        <w:rPr>
          <w:rFonts w:eastAsia="Arial" w:cs="Arial"/>
          <w:sz w:val="20"/>
          <w:szCs w:val="20"/>
        </w:rPr>
        <w:t>ni zadovoljivo dokazala, da učinek neskladnosti ni pomemben.</w:t>
      </w:r>
    </w:p>
    <w:bookmarkEnd w:id="289"/>
    <w:p w14:paraId="4A99011E"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AA12C97" w14:textId="18D2F73B"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6.6.3 Dodatna kapitalska zahteva in napotek o dodatno potrebnem kapitalu</w:t>
      </w:r>
    </w:p>
    <w:p w14:paraId="14388DB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8A0D4C8"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90" w:name="_Ref202965188"/>
      <w:r w:rsidRPr="00215B2F">
        <w:rPr>
          <w:rFonts w:ascii="Arial" w:eastAsia="Arial" w:hAnsi="Arial" w:cs="Arial"/>
          <w:b/>
          <w:bCs/>
          <w:sz w:val="20"/>
          <w:szCs w:val="20"/>
        </w:rPr>
        <w:t>člen</w:t>
      </w:r>
      <w:bookmarkEnd w:id="290"/>
    </w:p>
    <w:p w14:paraId="55C99F1B" w14:textId="77777777" w:rsidR="00D91782" w:rsidRPr="00215B2F" w:rsidRDefault="00D91782" w:rsidP="00FD5520">
      <w:pPr>
        <w:pStyle w:val="Slog1"/>
        <w:shd w:val="clear" w:color="auto" w:fill="FFFFFF" w:themeFill="background1"/>
        <w:rPr>
          <w:sz w:val="20"/>
          <w:szCs w:val="20"/>
        </w:rPr>
      </w:pPr>
      <w:r w:rsidRPr="00215B2F">
        <w:rPr>
          <w:sz w:val="20"/>
          <w:szCs w:val="20"/>
        </w:rPr>
        <w:t>(dodatna kapitalska zahteva)</w:t>
      </w:r>
    </w:p>
    <w:p w14:paraId="32E9BAB5" w14:textId="77777777" w:rsidR="00D91782" w:rsidRPr="00215B2F" w:rsidRDefault="00D91782" w:rsidP="00FD5520">
      <w:pPr>
        <w:pStyle w:val="Slog1"/>
        <w:shd w:val="clear" w:color="auto" w:fill="FFFFFF" w:themeFill="background1"/>
        <w:jc w:val="both"/>
        <w:rPr>
          <w:sz w:val="20"/>
          <w:szCs w:val="20"/>
        </w:rPr>
      </w:pPr>
    </w:p>
    <w:p w14:paraId="4BAC7ACF" w14:textId="0F0EC7A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banki naloži dodatno kapitalsko zahtevo za pokrivanje tveganj, ki jih ima posamezna banka zaradi svojih dejavnosti, vključno s tveganji, ki odražajo učinek nekaterih gospodarskih ali tržnih gibanj na profil tveganosti posamezne banke, če na podlagi </w:t>
      </w:r>
      <w:r w:rsidR="003A620D" w:rsidRPr="00215B2F">
        <w:rPr>
          <w:rFonts w:ascii="Arial" w:eastAsia="Arial" w:hAnsi="Arial" w:cs="Arial"/>
          <w:sz w:val="20"/>
          <w:szCs w:val="20"/>
        </w:rPr>
        <w:t xml:space="preserve">procesa </w:t>
      </w:r>
      <w:r w:rsidRPr="00215B2F">
        <w:rPr>
          <w:rFonts w:ascii="Arial" w:eastAsia="Arial" w:hAnsi="Arial" w:cs="Arial"/>
          <w:sz w:val="20"/>
          <w:szCs w:val="20"/>
        </w:rPr>
        <w:t>nadzorniškega pregledovanja in ovrednotenja v skladu s pod</w:t>
      </w:r>
      <w:r w:rsidR="005B0CC7" w:rsidRPr="00215B2F">
        <w:rPr>
          <w:rFonts w:ascii="Arial" w:eastAsia="Arial" w:hAnsi="Arial" w:cs="Arial"/>
          <w:sz w:val="20"/>
          <w:szCs w:val="20"/>
        </w:rPr>
        <w:t>o</w:t>
      </w:r>
      <w:r w:rsidR="001F2C7A" w:rsidRPr="00215B2F">
        <w:rPr>
          <w:rFonts w:ascii="Arial" w:eastAsia="Arial" w:hAnsi="Arial" w:cs="Arial"/>
          <w:sz w:val="20"/>
          <w:szCs w:val="20"/>
        </w:rPr>
        <w:t>ddelkom</w:t>
      </w:r>
      <w:r w:rsidRPr="00215B2F">
        <w:rPr>
          <w:rFonts w:ascii="Arial" w:eastAsia="Arial" w:hAnsi="Arial" w:cs="Arial"/>
          <w:sz w:val="20"/>
          <w:szCs w:val="20"/>
        </w:rPr>
        <w:t xml:space="preserve"> 6.6.1 tega zakona in rednega preverjanja pogojev za uporabo notranjih pristopov v skladu s prejšnjim členom ugotovi, da:</w:t>
      </w:r>
    </w:p>
    <w:p w14:paraId="1216303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943F193" w14:textId="77E6656C" w:rsidR="006A1A88" w:rsidRPr="00215B2F" w:rsidRDefault="00D91782" w:rsidP="003D4DE0">
      <w:pPr>
        <w:pStyle w:val="tevilnatoka"/>
        <w:numPr>
          <w:ilvl w:val="0"/>
          <w:numId w:val="144"/>
        </w:numPr>
        <w:shd w:val="clear" w:color="auto" w:fill="FFFFFF" w:themeFill="background1"/>
        <w:tabs>
          <w:tab w:val="clear" w:pos="425"/>
        </w:tabs>
        <w:rPr>
          <w:rFonts w:cs="Arial"/>
          <w:bCs/>
          <w:sz w:val="20"/>
          <w:szCs w:val="20"/>
        </w:rPr>
      </w:pPr>
      <w:r w:rsidRPr="00215B2F">
        <w:rPr>
          <w:rFonts w:eastAsia="Arial" w:cs="Arial"/>
          <w:sz w:val="20"/>
          <w:szCs w:val="20"/>
        </w:rPr>
        <w:t>je banka izpostavljena tveganjem ali elementom tveganja, ki niso pokriti oziroma niso v zadostni meri pokriti, k</w:t>
      </w:r>
      <w:r w:rsidR="006B0B0E" w:rsidRPr="00215B2F">
        <w:rPr>
          <w:rFonts w:eastAsia="Arial" w:cs="Arial"/>
          <w:sz w:val="20"/>
          <w:szCs w:val="20"/>
        </w:rPr>
        <w:t>akor</w:t>
      </w:r>
      <w:r w:rsidRPr="00215B2F">
        <w:rPr>
          <w:rFonts w:eastAsia="Arial" w:cs="Arial"/>
          <w:sz w:val="20"/>
          <w:szCs w:val="20"/>
        </w:rPr>
        <w:t xml:space="preserve"> je določeno v drugem odstavku tega člena, s kapitalskimi zahtevami iz 3., 4. in 7. dela Uredbe 575/2013/EU in iz 2. poglavja Uredbe 2017/2402/EU;</w:t>
      </w:r>
    </w:p>
    <w:p w14:paraId="181EC904" w14:textId="46D07A47" w:rsidR="006A1A88" w:rsidRPr="00215B2F" w:rsidRDefault="00D91782" w:rsidP="003D4DE0">
      <w:pPr>
        <w:pStyle w:val="tevilnatoka"/>
        <w:numPr>
          <w:ilvl w:val="0"/>
          <w:numId w:val="144"/>
        </w:numPr>
        <w:shd w:val="clear" w:color="auto" w:fill="FFFFFF" w:themeFill="background1"/>
        <w:tabs>
          <w:tab w:val="clear" w:pos="425"/>
        </w:tabs>
        <w:rPr>
          <w:rFonts w:cs="Arial"/>
          <w:bCs/>
          <w:sz w:val="20"/>
          <w:szCs w:val="20"/>
        </w:rPr>
      </w:pPr>
      <w:r w:rsidRPr="00215B2F">
        <w:rPr>
          <w:rFonts w:eastAsia="Arial" w:cs="Arial"/>
          <w:sz w:val="20"/>
          <w:szCs w:val="20"/>
        </w:rPr>
        <w:t xml:space="preserve">banka ne izpolnjuje zahtev glede ureditve, </w:t>
      </w:r>
      <w:r w:rsidR="003A620D" w:rsidRPr="00215B2F">
        <w:rPr>
          <w:rFonts w:eastAsia="Arial" w:cs="Arial"/>
          <w:sz w:val="20"/>
          <w:szCs w:val="20"/>
        </w:rPr>
        <w:t xml:space="preserve">procesov </w:t>
      </w:r>
      <w:r w:rsidRPr="00215B2F">
        <w:rPr>
          <w:rFonts w:eastAsia="Arial" w:cs="Arial"/>
          <w:sz w:val="20"/>
          <w:szCs w:val="20"/>
        </w:rPr>
        <w:t xml:space="preserve">in mehanizmov notranjega upravljanja banke iz </w:t>
      </w:r>
      <w:r w:rsidR="008C14E2" w:rsidRPr="00215B2F">
        <w:rPr>
          <w:rFonts w:eastAsia="Arial" w:cs="Arial"/>
          <w:sz w:val="20"/>
          <w:szCs w:val="20"/>
        </w:rPr>
        <w:t>177.</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ter zahtev glede kvantitativnih in kvalitativnih elementov </w:t>
      </w:r>
      <w:r w:rsidR="003A620D" w:rsidRPr="00215B2F">
        <w:rPr>
          <w:rFonts w:eastAsia="Arial" w:cs="Arial"/>
          <w:sz w:val="20"/>
          <w:szCs w:val="20"/>
        </w:rPr>
        <w:t xml:space="preserve">procesa </w:t>
      </w:r>
      <w:r w:rsidRPr="00215B2F">
        <w:rPr>
          <w:rFonts w:eastAsia="Arial" w:cs="Arial"/>
          <w:sz w:val="20"/>
          <w:szCs w:val="20"/>
        </w:rPr>
        <w:t xml:space="preserve">ocenjevanja ustreznega notranjega kapitala iz </w:t>
      </w:r>
      <w:r w:rsidR="008C14E2" w:rsidRPr="00215B2F">
        <w:rPr>
          <w:rFonts w:eastAsia="Arial" w:cs="Arial"/>
          <w:sz w:val="20"/>
          <w:szCs w:val="20"/>
        </w:rPr>
        <w:t>180</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ali zahtev iz 393. člena Uredbe 575/2013/EU ter drugi nadzorniški ukrepi Banke Slovenije verjetno ne bi zadostovali za pravočasno zagotovitev skladnosti s temi zahtevami;</w:t>
      </w:r>
    </w:p>
    <w:p w14:paraId="0FB66023" w14:textId="46EFCB83" w:rsidR="006A1A88" w:rsidRPr="00215B2F" w:rsidRDefault="00D91782" w:rsidP="003D4DE0">
      <w:pPr>
        <w:pStyle w:val="tevilnatoka"/>
        <w:numPr>
          <w:ilvl w:val="0"/>
          <w:numId w:val="144"/>
        </w:numPr>
        <w:shd w:val="clear" w:color="auto" w:fill="FFFFFF" w:themeFill="background1"/>
        <w:tabs>
          <w:tab w:val="clear" w:pos="425"/>
        </w:tabs>
        <w:rPr>
          <w:rFonts w:cs="Arial"/>
          <w:bCs/>
          <w:sz w:val="20"/>
          <w:szCs w:val="20"/>
        </w:rPr>
      </w:pPr>
      <w:r w:rsidRPr="00215B2F">
        <w:rPr>
          <w:rFonts w:eastAsia="Arial" w:cs="Arial"/>
          <w:sz w:val="20"/>
          <w:szCs w:val="20"/>
        </w:rPr>
        <w:t xml:space="preserve">prilagoditve vrednotenja iz prvega odstavka </w:t>
      </w:r>
      <w:r w:rsidR="008C14E2" w:rsidRPr="00215B2F">
        <w:rPr>
          <w:rFonts w:eastAsia="Arial" w:cs="Arial"/>
          <w:sz w:val="20"/>
          <w:szCs w:val="20"/>
        </w:rPr>
        <w:t>227</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niso zadostne, da bi banki omogočile, da v kratkem časovnem obdobju proda svoje pozicije ali zanje uvede varovanja brez pomembne izgube v običajnih tržnih </w:t>
      </w:r>
      <w:r w:rsidR="003A620D" w:rsidRPr="00215B2F">
        <w:rPr>
          <w:rFonts w:eastAsia="Arial" w:cs="Arial"/>
          <w:sz w:val="20"/>
          <w:szCs w:val="20"/>
        </w:rPr>
        <w:t>pogojih</w:t>
      </w:r>
      <w:r w:rsidRPr="00215B2F">
        <w:rPr>
          <w:rFonts w:eastAsia="Arial" w:cs="Arial"/>
          <w:sz w:val="20"/>
          <w:szCs w:val="20"/>
        </w:rPr>
        <w:t>;</w:t>
      </w:r>
    </w:p>
    <w:p w14:paraId="1CB066FD" w14:textId="77777777" w:rsidR="006A1A88" w:rsidRPr="00215B2F" w:rsidRDefault="00D91782" w:rsidP="003D4DE0">
      <w:pPr>
        <w:pStyle w:val="tevilnatoka"/>
        <w:numPr>
          <w:ilvl w:val="0"/>
          <w:numId w:val="144"/>
        </w:numPr>
        <w:shd w:val="clear" w:color="auto" w:fill="FFFFFF" w:themeFill="background1"/>
        <w:tabs>
          <w:tab w:val="clear" w:pos="425"/>
        </w:tabs>
        <w:rPr>
          <w:rFonts w:cs="Arial"/>
          <w:bCs/>
          <w:sz w:val="20"/>
          <w:szCs w:val="20"/>
        </w:rPr>
      </w:pPr>
      <w:r w:rsidRPr="00215B2F">
        <w:rPr>
          <w:rFonts w:eastAsia="Arial" w:cs="Arial"/>
          <w:sz w:val="20"/>
          <w:szCs w:val="20"/>
        </w:rPr>
        <w:t>preverjanje ustreznosti notranjega pristopa banke za izračun kapitalskih zahtev v skladu s prejšnjim členom pokaže, da bo neskladnost z zahtevami za uporabo notranjega pristopa verjetno vodila do neustreznih kapitalskih zahtev;</w:t>
      </w:r>
    </w:p>
    <w:p w14:paraId="4DFC55D6" w14:textId="150D749E" w:rsidR="006A1A88" w:rsidRPr="00215B2F" w:rsidRDefault="00D91782" w:rsidP="003D4DE0">
      <w:pPr>
        <w:pStyle w:val="tevilnatoka"/>
        <w:numPr>
          <w:ilvl w:val="0"/>
          <w:numId w:val="144"/>
        </w:numPr>
        <w:shd w:val="clear" w:color="auto" w:fill="FFFFFF" w:themeFill="background1"/>
        <w:tabs>
          <w:tab w:val="clear" w:pos="425"/>
        </w:tabs>
        <w:rPr>
          <w:rFonts w:cs="Arial"/>
          <w:bCs/>
          <w:sz w:val="20"/>
          <w:szCs w:val="20"/>
        </w:rPr>
      </w:pPr>
      <w:r w:rsidRPr="00215B2F">
        <w:rPr>
          <w:rFonts w:eastAsia="Arial" w:cs="Arial"/>
          <w:sz w:val="20"/>
          <w:szCs w:val="20"/>
        </w:rPr>
        <w:t>banka večkrat zapored n</w:t>
      </w:r>
      <w:r w:rsidR="00E25A3F" w:rsidRPr="00215B2F">
        <w:rPr>
          <w:rFonts w:eastAsia="Arial" w:cs="Arial"/>
          <w:sz w:val="20"/>
          <w:szCs w:val="20"/>
        </w:rPr>
        <w:t>i</w:t>
      </w:r>
      <w:r w:rsidRPr="00215B2F">
        <w:rPr>
          <w:rFonts w:eastAsia="Arial" w:cs="Arial"/>
          <w:sz w:val="20"/>
          <w:szCs w:val="20"/>
        </w:rPr>
        <w:t xml:space="preserve"> vzpostavi</w:t>
      </w:r>
      <w:r w:rsidR="00E25A3F" w:rsidRPr="00215B2F">
        <w:rPr>
          <w:rFonts w:eastAsia="Arial" w:cs="Arial"/>
          <w:sz w:val="20"/>
          <w:szCs w:val="20"/>
        </w:rPr>
        <w:t>la</w:t>
      </w:r>
      <w:r w:rsidRPr="00215B2F">
        <w:rPr>
          <w:rFonts w:eastAsia="Arial" w:cs="Arial"/>
          <w:sz w:val="20"/>
          <w:szCs w:val="20"/>
        </w:rPr>
        <w:t xml:space="preserve"> ali vzdrž</w:t>
      </w:r>
      <w:r w:rsidR="00E25A3F" w:rsidRPr="00215B2F">
        <w:rPr>
          <w:rFonts w:eastAsia="Arial" w:cs="Arial"/>
          <w:sz w:val="20"/>
          <w:szCs w:val="20"/>
        </w:rPr>
        <w:t>evala</w:t>
      </w:r>
      <w:r w:rsidRPr="00215B2F">
        <w:rPr>
          <w:rFonts w:eastAsia="Arial" w:cs="Arial"/>
          <w:sz w:val="20"/>
          <w:szCs w:val="20"/>
        </w:rPr>
        <w:t xml:space="preserve"> ustrezne ravni dodatno potrebnega kapitala za kritje napotka, sporočenega v skladu z </w:t>
      </w:r>
      <w:r w:rsidR="008C14E2" w:rsidRPr="00215B2F">
        <w:rPr>
          <w:rFonts w:eastAsia="Arial" w:cs="Arial"/>
          <w:sz w:val="20"/>
          <w:szCs w:val="20"/>
        </w:rPr>
        <w:t>240</w:t>
      </w:r>
      <w:r w:rsidRPr="00215B2F">
        <w:rPr>
          <w:rFonts w:eastAsia="Arial" w:cs="Arial"/>
          <w:sz w:val="20"/>
          <w:szCs w:val="20"/>
        </w:rPr>
        <w:t xml:space="preserve">. </w:t>
      </w:r>
      <w:r w:rsidR="001F2C7A" w:rsidRPr="00215B2F">
        <w:rPr>
          <w:rFonts w:eastAsia="Arial" w:cs="Arial"/>
          <w:sz w:val="20"/>
          <w:szCs w:val="20"/>
        </w:rPr>
        <w:t>členom tega zakona</w:t>
      </w:r>
      <w:r w:rsidR="00E25A3F" w:rsidRPr="00215B2F">
        <w:rPr>
          <w:rFonts w:eastAsia="Arial" w:cs="Arial"/>
          <w:sz w:val="20"/>
          <w:szCs w:val="20"/>
        </w:rPr>
        <w:t>,</w:t>
      </w:r>
      <w:r w:rsidRPr="00215B2F">
        <w:rPr>
          <w:rFonts w:eastAsia="Arial" w:cs="Arial"/>
          <w:sz w:val="20"/>
          <w:szCs w:val="20"/>
        </w:rPr>
        <w:t xml:space="preserve"> ali</w:t>
      </w:r>
    </w:p>
    <w:p w14:paraId="34E8077E" w14:textId="3CDB8EA6" w:rsidR="00D91782" w:rsidRPr="00215B2F" w:rsidRDefault="00D91782" w:rsidP="003D4DE0">
      <w:pPr>
        <w:pStyle w:val="tevilnatoka"/>
        <w:numPr>
          <w:ilvl w:val="0"/>
          <w:numId w:val="144"/>
        </w:numPr>
        <w:shd w:val="clear" w:color="auto" w:fill="FFFFFF" w:themeFill="background1"/>
        <w:tabs>
          <w:tab w:val="clear" w:pos="425"/>
        </w:tabs>
        <w:rPr>
          <w:rFonts w:cs="Arial"/>
          <w:bCs/>
          <w:sz w:val="20"/>
          <w:szCs w:val="20"/>
        </w:rPr>
      </w:pPr>
      <w:r w:rsidRPr="00215B2F">
        <w:rPr>
          <w:rFonts w:eastAsia="Arial" w:cs="Arial"/>
          <w:sz w:val="20"/>
          <w:szCs w:val="20"/>
        </w:rPr>
        <w:t>obstajajo druge posebne okoliščine, povezane z banko, zaradi katerih Banka Slovenije ocenjuje, da obstajajo pomembni pomisleki z vidika nadzora.</w:t>
      </w:r>
    </w:p>
    <w:p w14:paraId="59986DC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4743A19" w14:textId="7F3EBD4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Za namene 1. točke prejšnjega odstavka se za tveganja ali elemente tveganja šteje, da niso pokriti oziroma niso v zadostni meri pokriti s kapitalskimi zahtevami iz 3., 4. in 7. dela Uredbe 575/2013/EU in iz 2. poglavja Uredbe 2017/2402/EU, le, kadar so zneski, vrste in razdelitev kapitala, za katere Banka Slovenije oceni, da so ustrezni ob upoštevanju nadzorniškega pregleda ocene, ki jo je opravila banka v </w:t>
      </w:r>
      <w:r w:rsidRPr="00215B2F">
        <w:rPr>
          <w:rFonts w:ascii="Arial" w:eastAsia="Arial" w:hAnsi="Arial" w:cs="Arial"/>
          <w:sz w:val="20"/>
          <w:szCs w:val="20"/>
        </w:rPr>
        <w:lastRenderedPageBreak/>
        <w:t xml:space="preserve">skladu s prvim odstavkom </w:t>
      </w:r>
      <w:r w:rsidR="008C14E2" w:rsidRPr="00215B2F">
        <w:rPr>
          <w:rFonts w:ascii="Arial" w:eastAsia="Arial" w:hAnsi="Arial" w:cs="Arial"/>
          <w:sz w:val="20"/>
          <w:szCs w:val="20"/>
        </w:rPr>
        <w:t>180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višji kot kapitalske zahteve iz 3., 4. in 7. dela Uredbe 575/2013/EU in iz 2. poglavja Uredbe 2017/2402/EU.</w:t>
      </w:r>
    </w:p>
    <w:p w14:paraId="615BDEE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9E5BC4E" w14:textId="5A0A89F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Za namene iz prejšnjega odstavka Banka Slovenije ob upoštevanju profila tveganosti posamezne banke oceni tveganja, ki jim je banka izpostavljena, vključno s:</w:t>
      </w:r>
    </w:p>
    <w:p w14:paraId="00DB0DB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0BBF5EF" w14:textId="403F9E46" w:rsidR="006A1A88" w:rsidRPr="00215B2F" w:rsidRDefault="00D91782" w:rsidP="003D4DE0">
      <w:pPr>
        <w:pStyle w:val="tevilnatoka"/>
        <w:numPr>
          <w:ilvl w:val="0"/>
          <w:numId w:val="145"/>
        </w:numPr>
        <w:shd w:val="clear" w:color="auto" w:fill="FFFFFF" w:themeFill="background1"/>
        <w:tabs>
          <w:tab w:val="clear" w:pos="425"/>
        </w:tabs>
        <w:rPr>
          <w:rFonts w:cs="Arial"/>
          <w:bCs/>
          <w:sz w:val="20"/>
          <w:szCs w:val="20"/>
        </w:rPr>
      </w:pPr>
      <w:r w:rsidRPr="00215B2F">
        <w:rPr>
          <w:rFonts w:eastAsia="Arial" w:cs="Arial"/>
          <w:sz w:val="20"/>
          <w:szCs w:val="20"/>
        </w:rPr>
        <w:t>tveganji ali elementi takih tveganj, ki so specifični za banko in so izrecno izključeni ali niso izrecno pokriti s kapitalskimi zahtevami iz 3., 4. in 7. dela Uredbe 575/2013/EU in iz 2. poglavja Uredbe 2017/2402/EU;</w:t>
      </w:r>
    </w:p>
    <w:p w14:paraId="5B3A03F4" w14:textId="63A7CB34" w:rsidR="006A1A88" w:rsidRPr="00215B2F" w:rsidRDefault="00D91782" w:rsidP="00543D80">
      <w:pPr>
        <w:pStyle w:val="tevilnatoka"/>
        <w:rPr>
          <w:rFonts w:cs="Arial"/>
          <w:bCs/>
          <w:sz w:val="20"/>
          <w:szCs w:val="20"/>
        </w:rPr>
      </w:pPr>
      <w:r w:rsidRPr="00215B2F">
        <w:rPr>
          <w:rFonts w:eastAsia="Arial" w:cs="Arial"/>
          <w:sz w:val="20"/>
          <w:szCs w:val="20"/>
        </w:rPr>
        <w:t>tveganji ali elementi takih tveganj, ki so specifični za posamezno banko in so verjetno podcenjeni kljub izpolnjevanju veljavnih zahtev iz 3., 4. in 7. dela Uredbe 575/2013/EU in iz 2. poglavja Uredbe 2017/2402/EU, pri čemer se tveganja ali elementi tveganja, za katere veljajo predhodno veljavne določbe v skladu s tem zakonom ali Uredbo 575/2013/EU, ne štejejo za podcenjena;</w:t>
      </w:r>
    </w:p>
    <w:p w14:paraId="52DEA140" w14:textId="3C491867" w:rsidR="00D91782" w:rsidRPr="00215B2F" w:rsidRDefault="00D91782" w:rsidP="00543D80">
      <w:pPr>
        <w:pStyle w:val="tevilnatoka"/>
        <w:rPr>
          <w:rFonts w:cs="Arial"/>
          <w:bCs/>
          <w:sz w:val="20"/>
          <w:szCs w:val="20"/>
        </w:rPr>
      </w:pPr>
      <w:r w:rsidRPr="00215B2F">
        <w:rPr>
          <w:rFonts w:eastAsia="Arial" w:cs="Arial"/>
          <w:sz w:val="20"/>
          <w:szCs w:val="20"/>
        </w:rPr>
        <w:t>pomembnim tveganjem spremembe obrestne mere, ki izhaja iz dejavnosti iz netrgovalne knjige v skladu s petim odstavkom tega člena.</w:t>
      </w:r>
    </w:p>
    <w:p w14:paraId="0661F01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1DCFAFA" w14:textId="3DC8042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Za namene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kapital, ki se šteje za ustreznega, krije vsa tveganja ali elemente tveganj, ki štejejo za pomembne na podlagi ocene iz prejšnjega odstavka ter niso pokriti ali niso v zadostni meri pokriti s kapitalskimi zahtevami iz 3., 4. in 7. dela Uredbe 575/2013/EU in iz 2. poglavja Uredbe 2017/2402/EU.</w:t>
      </w:r>
    </w:p>
    <w:p w14:paraId="12DB7304"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59523C8" w14:textId="372B79A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Tveganje spremembe obrestne mere iz 3. točke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se lahko šteje za pomembno vsaj v primerih iz drugega odstavka </w:t>
      </w:r>
      <w:r w:rsidR="003E7683" w:rsidRPr="00215B2F">
        <w:rPr>
          <w:rFonts w:ascii="Arial" w:eastAsia="Arial" w:hAnsi="Arial" w:cs="Arial"/>
          <w:sz w:val="20"/>
          <w:szCs w:val="20"/>
        </w:rPr>
        <w:t>227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razen če Banka Slovenije pri pregledovanju in ovrednotenju oceni, da banka ustrezno upravlja tveganje spremembe obrestne mere, ki izhaja iz dejavnosti iz netrgovalne knjige, in da banka temu tveganju ni </w:t>
      </w:r>
      <w:r w:rsidR="00E25A3F" w:rsidRPr="00215B2F">
        <w:rPr>
          <w:rFonts w:ascii="Arial" w:eastAsia="Arial" w:hAnsi="Arial" w:cs="Arial"/>
          <w:sz w:val="20"/>
          <w:szCs w:val="20"/>
        </w:rPr>
        <w:t>č</w:t>
      </w:r>
      <w:r w:rsidR="00C262B7" w:rsidRPr="00215B2F">
        <w:rPr>
          <w:rFonts w:ascii="Arial" w:eastAsia="Arial" w:hAnsi="Arial" w:cs="Arial"/>
          <w:sz w:val="20"/>
          <w:szCs w:val="20"/>
        </w:rPr>
        <w:t>e</w:t>
      </w:r>
      <w:r w:rsidR="00E25A3F" w:rsidRPr="00215B2F">
        <w:rPr>
          <w:rFonts w:ascii="Arial" w:eastAsia="Arial" w:hAnsi="Arial" w:cs="Arial"/>
          <w:sz w:val="20"/>
          <w:szCs w:val="20"/>
        </w:rPr>
        <w:t>z</w:t>
      </w:r>
      <w:r w:rsidRPr="00215B2F">
        <w:rPr>
          <w:rFonts w:ascii="Arial" w:eastAsia="Arial" w:hAnsi="Arial" w:cs="Arial"/>
          <w:sz w:val="20"/>
          <w:szCs w:val="20"/>
        </w:rPr>
        <w:t>merno izpostavljena.</w:t>
      </w:r>
    </w:p>
    <w:p w14:paraId="6DF8E17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58A9D20" w14:textId="6220D7E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Banka Slovenije določi raven dodatno potrebnega kapitala za obravnavo tveganj, ki niso tveganje prevelikega finančnega vzvoda, ki ni v zadostni meri pokrito s točko (d) prvega odstavka 92. člena Uredbe 575/2013/EU, ki se zahteva na podlagi 1. točke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kot razliko med kapitalom, ki šteje za ustreznega na podlagi drugega, tretjega in četrtega </w:t>
      </w:r>
      <w:r w:rsidR="00746E88" w:rsidRPr="00215B2F">
        <w:rPr>
          <w:rFonts w:ascii="Arial" w:eastAsia="Arial" w:hAnsi="Arial" w:cs="Arial"/>
          <w:sz w:val="20"/>
          <w:szCs w:val="20"/>
        </w:rPr>
        <w:t>odstavka tega člena</w:t>
      </w:r>
      <w:r w:rsidRPr="00215B2F">
        <w:rPr>
          <w:rFonts w:ascii="Arial" w:eastAsia="Arial" w:hAnsi="Arial" w:cs="Arial"/>
          <w:sz w:val="20"/>
          <w:szCs w:val="20"/>
        </w:rPr>
        <w:t>, in relevantnimi kapitalskimi zahtevami iz 3. in 4. dela Uredbe 575/2013/EU in iz 2. poglavja Uredbe 2017/2402/EU.</w:t>
      </w:r>
    </w:p>
    <w:p w14:paraId="0575CEA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1BABCED" w14:textId="132123E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Banka Slovenije določi raven dodatno potrebnega kapitala za obravnavo tveganja prevelikega finančnega vzvoda, ki ni v zadostni meri pokrito s točko (d) prvega odstavka 92. člena Uredbe 575/2013/EU, ki se zahteva na podlagi 1. točke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kot razliko med kapitalom, ki šteje za ustreznega na podlagi drugega, tretjega in četrtega </w:t>
      </w:r>
      <w:r w:rsidR="00746E88" w:rsidRPr="00215B2F">
        <w:rPr>
          <w:rFonts w:ascii="Arial" w:eastAsia="Arial" w:hAnsi="Arial" w:cs="Arial"/>
          <w:sz w:val="20"/>
          <w:szCs w:val="20"/>
        </w:rPr>
        <w:t>odstavka tega člena</w:t>
      </w:r>
      <w:r w:rsidRPr="00215B2F">
        <w:rPr>
          <w:rFonts w:ascii="Arial" w:eastAsia="Arial" w:hAnsi="Arial" w:cs="Arial"/>
          <w:sz w:val="20"/>
          <w:szCs w:val="20"/>
        </w:rPr>
        <w:t>, in relevantnimi kapitalskimi zahtevami iz 3. in 7. dela Uredbe 575/2013/EU.</w:t>
      </w:r>
    </w:p>
    <w:p w14:paraId="7135652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3EEA3F2" w14:textId="45DD3FE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(8) Banka izpolnjuje dodatno kapitalsko zahtevo, ki jo Banka Slovenije določi z odločbo iz </w:t>
      </w:r>
      <w:r w:rsidR="003E7683" w:rsidRPr="00215B2F">
        <w:rPr>
          <w:rFonts w:ascii="Arial" w:eastAsia="Arial" w:hAnsi="Arial" w:cs="Arial"/>
          <w:sz w:val="20"/>
          <w:szCs w:val="20"/>
        </w:rPr>
        <w:t>240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s kapitalom, ki izpolnjuje naslednje pogoje:</w:t>
      </w:r>
    </w:p>
    <w:p w14:paraId="13E1BAF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949DCB4" w14:textId="681CAB32" w:rsidR="006A1A88" w:rsidRPr="00215B2F" w:rsidRDefault="00D91782" w:rsidP="003D4DE0">
      <w:pPr>
        <w:pStyle w:val="tevilnatoka"/>
        <w:numPr>
          <w:ilvl w:val="0"/>
          <w:numId w:val="146"/>
        </w:numPr>
        <w:shd w:val="clear" w:color="auto" w:fill="FFFFFF" w:themeFill="background1"/>
        <w:tabs>
          <w:tab w:val="clear" w:pos="425"/>
        </w:tabs>
        <w:rPr>
          <w:rFonts w:cs="Arial"/>
          <w:bCs/>
          <w:sz w:val="20"/>
          <w:szCs w:val="20"/>
        </w:rPr>
      </w:pPr>
      <w:r w:rsidRPr="00215B2F">
        <w:rPr>
          <w:rFonts w:eastAsia="Arial" w:cs="Arial"/>
          <w:sz w:val="20"/>
          <w:szCs w:val="20"/>
        </w:rPr>
        <w:t>najmanj tri četrtine dodatne kapitalske zahteve se krije</w:t>
      </w:r>
      <w:r w:rsidR="00C262B7" w:rsidRPr="00215B2F">
        <w:rPr>
          <w:rFonts w:eastAsia="Arial" w:cs="Arial"/>
          <w:sz w:val="20"/>
          <w:szCs w:val="20"/>
        </w:rPr>
        <w:t>jo</w:t>
      </w:r>
      <w:r w:rsidRPr="00215B2F">
        <w:rPr>
          <w:rFonts w:eastAsia="Arial" w:cs="Arial"/>
          <w:sz w:val="20"/>
          <w:szCs w:val="20"/>
        </w:rPr>
        <w:t xml:space="preserve"> s temeljnim kapitalom;</w:t>
      </w:r>
    </w:p>
    <w:p w14:paraId="53BD130F" w14:textId="43EF2ACD" w:rsidR="00D91782" w:rsidRPr="00215B2F" w:rsidRDefault="00D91782" w:rsidP="003D4DE0">
      <w:pPr>
        <w:pStyle w:val="tevilnatoka"/>
        <w:numPr>
          <w:ilvl w:val="0"/>
          <w:numId w:val="146"/>
        </w:numPr>
        <w:shd w:val="clear" w:color="auto" w:fill="FFFFFF" w:themeFill="background1"/>
        <w:tabs>
          <w:tab w:val="clear" w:pos="425"/>
        </w:tabs>
        <w:rPr>
          <w:rFonts w:cs="Arial"/>
          <w:bCs/>
          <w:sz w:val="20"/>
          <w:szCs w:val="20"/>
        </w:rPr>
      </w:pPr>
      <w:r w:rsidRPr="00215B2F">
        <w:rPr>
          <w:rFonts w:eastAsia="Arial" w:cs="Arial"/>
          <w:sz w:val="20"/>
          <w:szCs w:val="20"/>
        </w:rPr>
        <w:t>najmanj tri četrtine temeljnega kapitala iz prejšnje točke sestavlja navadni lastniški temeljni kapital.</w:t>
      </w:r>
    </w:p>
    <w:p w14:paraId="586160E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790FD12" w14:textId="4FB4710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(9) Banka izpolnjuje dodatno kapitalsko zahtevo, ki jo odredi Banka Slovenije v skladu s tem členom, za obravnavo tveganj prevelikega finančnega vzvoda, s temeljnim kapitalom.</w:t>
      </w:r>
    </w:p>
    <w:p w14:paraId="4D79AB7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0494E1E" w14:textId="0AED524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(10) Banka Slovenije lahko, kadar oceni, da je to potrebno, in ob upoštevanju posebnih okoliščin banke od nje zahteva, da izpolnjuje dodatno kapitalsko zahtevo z večjim deležem temeljnega kapitala ali navadnega lastniškega temeljnega kapitala.</w:t>
      </w:r>
    </w:p>
    <w:p w14:paraId="75564DA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7469FAE" w14:textId="1F50F8F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(11) Banka ne sme uporabiti kapitala, s katerim izpolnjuje dodatno kapitalsko zahtevo, ki jo Banka Slovenije določi v skladu z odločbo iz </w:t>
      </w:r>
      <w:r w:rsidR="003E7683" w:rsidRPr="00215B2F">
        <w:rPr>
          <w:rFonts w:ascii="Arial" w:eastAsia="Arial" w:hAnsi="Arial" w:cs="Arial"/>
          <w:sz w:val="20"/>
          <w:szCs w:val="20"/>
        </w:rPr>
        <w:t>240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za obravnavo tveganj, ki niso tveganje prevelikega finančnega vzvoda, za izpolnitev česar koli od naslednjega:</w:t>
      </w:r>
    </w:p>
    <w:p w14:paraId="7271DD0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BFF4837" w14:textId="77777777" w:rsidR="006A1A88" w:rsidRPr="00215B2F" w:rsidRDefault="00D91782" w:rsidP="003D4DE0">
      <w:pPr>
        <w:pStyle w:val="tevilnatoka"/>
        <w:numPr>
          <w:ilvl w:val="0"/>
          <w:numId w:val="147"/>
        </w:numPr>
        <w:shd w:val="clear" w:color="auto" w:fill="FFFFFF" w:themeFill="background1"/>
        <w:tabs>
          <w:tab w:val="clear" w:pos="425"/>
        </w:tabs>
        <w:rPr>
          <w:rFonts w:cs="Arial"/>
          <w:bCs/>
          <w:sz w:val="20"/>
          <w:szCs w:val="20"/>
        </w:rPr>
      </w:pPr>
      <w:r w:rsidRPr="00215B2F">
        <w:rPr>
          <w:rFonts w:eastAsia="Arial" w:cs="Arial"/>
          <w:sz w:val="20"/>
          <w:szCs w:val="20"/>
        </w:rPr>
        <w:t>kapitalskih zahtev iz točk (a), (b) in (c) prvega odstavka 92. člena Uredbe 575/2013/EU;</w:t>
      </w:r>
    </w:p>
    <w:p w14:paraId="71C03AAF" w14:textId="006D1FB7" w:rsidR="006A1A88" w:rsidRPr="00215B2F" w:rsidRDefault="00D91782" w:rsidP="003D4DE0">
      <w:pPr>
        <w:pStyle w:val="tevilnatoka"/>
        <w:numPr>
          <w:ilvl w:val="0"/>
          <w:numId w:val="147"/>
        </w:numPr>
        <w:shd w:val="clear" w:color="auto" w:fill="FFFFFF" w:themeFill="background1"/>
        <w:tabs>
          <w:tab w:val="clear" w:pos="425"/>
        </w:tabs>
        <w:rPr>
          <w:rFonts w:cs="Arial"/>
          <w:bCs/>
          <w:sz w:val="20"/>
          <w:szCs w:val="20"/>
        </w:rPr>
      </w:pPr>
      <w:r w:rsidRPr="00215B2F">
        <w:rPr>
          <w:rFonts w:eastAsia="Arial" w:cs="Arial"/>
          <w:sz w:val="20"/>
          <w:szCs w:val="20"/>
        </w:rPr>
        <w:t xml:space="preserve">zahteve po skupnem blažilniku iz 6. točke </w:t>
      </w:r>
      <w:r w:rsidR="003E7683" w:rsidRPr="00215B2F">
        <w:rPr>
          <w:rFonts w:eastAsia="Arial" w:cs="Arial"/>
          <w:sz w:val="20"/>
          <w:szCs w:val="20"/>
        </w:rPr>
        <w:t>271</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7DEE5488" w14:textId="7566511F" w:rsidR="00D91782" w:rsidRPr="00215B2F" w:rsidRDefault="00D91782" w:rsidP="003D4DE0">
      <w:pPr>
        <w:pStyle w:val="tevilnatoka"/>
        <w:numPr>
          <w:ilvl w:val="0"/>
          <w:numId w:val="147"/>
        </w:numPr>
        <w:shd w:val="clear" w:color="auto" w:fill="FFFFFF" w:themeFill="background1"/>
        <w:tabs>
          <w:tab w:val="clear" w:pos="425"/>
        </w:tabs>
        <w:rPr>
          <w:rFonts w:cs="Arial"/>
          <w:bCs/>
          <w:sz w:val="20"/>
          <w:szCs w:val="20"/>
        </w:rPr>
      </w:pPr>
      <w:r w:rsidRPr="00215B2F">
        <w:rPr>
          <w:rFonts w:eastAsia="Arial" w:cs="Arial"/>
          <w:sz w:val="20"/>
          <w:szCs w:val="20"/>
        </w:rPr>
        <w:t xml:space="preserve">napotka o dodatno potrebnem kapitalu iz </w:t>
      </w:r>
      <w:r w:rsidR="003E7683" w:rsidRPr="00215B2F">
        <w:rPr>
          <w:rFonts w:eastAsia="Arial" w:cs="Arial"/>
          <w:sz w:val="20"/>
          <w:szCs w:val="20"/>
        </w:rPr>
        <w:t>239</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če se ta napotek nanaša na tveganja, ki niso tveganje prevelikega finančnega vzvoda.</w:t>
      </w:r>
    </w:p>
    <w:p w14:paraId="2462D377"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B2DE8D5" w14:textId="7143017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(12) Banka ne sme uporabiti kapitala, s katerim izpolnjuje dodatno kapitalsko zahtevo, ki jo določi Banka Slovenije v skladu z odločbo iz </w:t>
      </w:r>
      <w:r w:rsidR="003E7683" w:rsidRPr="00215B2F">
        <w:rPr>
          <w:rFonts w:ascii="Arial" w:eastAsia="Arial" w:hAnsi="Arial" w:cs="Arial"/>
          <w:sz w:val="20"/>
          <w:szCs w:val="20"/>
        </w:rPr>
        <w:t>240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za obravnavo tveganja prevelikega finančnega vzvoda, ki ni v zadostni meri pokrito s točko (d) prvega odstavka 92. člena Uredbe 575/2013/EU, za izpolnitev česar koli od naslednjega:</w:t>
      </w:r>
    </w:p>
    <w:p w14:paraId="029C260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5F94F3E" w14:textId="77777777" w:rsidR="006A1A88" w:rsidRPr="00215B2F" w:rsidRDefault="00D91782" w:rsidP="003D4DE0">
      <w:pPr>
        <w:pStyle w:val="tevilnatoka"/>
        <w:numPr>
          <w:ilvl w:val="0"/>
          <w:numId w:val="148"/>
        </w:numPr>
        <w:shd w:val="clear" w:color="auto" w:fill="FFFFFF" w:themeFill="background1"/>
        <w:tabs>
          <w:tab w:val="clear" w:pos="425"/>
        </w:tabs>
        <w:rPr>
          <w:rFonts w:cs="Arial"/>
          <w:bCs/>
          <w:sz w:val="20"/>
          <w:szCs w:val="20"/>
        </w:rPr>
      </w:pPr>
      <w:r w:rsidRPr="00215B2F">
        <w:rPr>
          <w:rFonts w:eastAsia="Arial" w:cs="Arial"/>
          <w:sz w:val="20"/>
          <w:szCs w:val="20"/>
        </w:rPr>
        <w:t>kapitalske zahteve iz točke (d) prvega odstavka 92. člena Uredbe 575/2013/EU;</w:t>
      </w:r>
    </w:p>
    <w:p w14:paraId="4456CAA7" w14:textId="78DE394B" w:rsidR="006A1A88" w:rsidRPr="00215B2F" w:rsidRDefault="00D91782" w:rsidP="00543D80">
      <w:pPr>
        <w:pStyle w:val="tevilnatoka"/>
        <w:rPr>
          <w:rFonts w:cs="Arial"/>
          <w:bCs/>
          <w:sz w:val="20"/>
          <w:szCs w:val="20"/>
        </w:rPr>
      </w:pPr>
      <w:r w:rsidRPr="00215B2F">
        <w:rPr>
          <w:rFonts w:eastAsia="Arial" w:cs="Arial"/>
          <w:sz w:val="20"/>
          <w:szCs w:val="20"/>
        </w:rPr>
        <w:t xml:space="preserve">zahteve po blažilniku količnika finančnega vzvoda iz </w:t>
      </w:r>
      <w:r w:rsidR="00AA2AD1" w:rsidRPr="00215B2F">
        <w:rPr>
          <w:rFonts w:eastAsia="Arial" w:cs="Arial"/>
          <w:sz w:val="20"/>
          <w:szCs w:val="20"/>
        </w:rPr>
        <w:t xml:space="preserve">1a </w:t>
      </w:r>
      <w:r w:rsidRPr="00215B2F">
        <w:rPr>
          <w:rFonts w:eastAsia="Arial" w:cs="Arial"/>
          <w:sz w:val="20"/>
          <w:szCs w:val="20"/>
        </w:rPr>
        <w:t>odstavka 92. člena Uredbe 575/2013/EU;</w:t>
      </w:r>
    </w:p>
    <w:p w14:paraId="5366E44C" w14:textId="329BB9CD" w:rsidR="00D91782" w:rsidRPr="00215B2F" w:rsidRDefault="00D91782" w:rsidP="00543D80">
      <w:pPr>
        <w:pStyle w:val="tevilnatoka"/>
        <w:rPr>
          <w:rFonts w:cs="Arial"/>
          <w:bCs/>
          <w:sz w:val="20"/>
          <w:szCs w:val="20"/>
        </w:rPr>
      </w:pPr>
      <w:r w:rsidRPr="00215B2F">
        <w:rPr>
          <w:rFonts w:eastAsia="Arial" w:cs="Arial"/>
          <w:sz w:val="20"/>
          <w:szCs w:val="20"/>
        </w:rPr>
        <w:t xml:space="preserve">napotka o dodatno potrebnem kapitalu iz </w:t>
      </w:r>
      <w:r w:rsidR="003E7683" w:rsidRPr="00215B2F">
        <w:rPr>
          <w:rFonts w:eastAsia="Arial" w:cs="Arial"/>
          <w:sz w:val="20"/>
          <w:szCs w:val="20"/>
        </w:rPr>
        <w:t>239</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če se ta napotek nanaša na tveganja prevelikega finančnega vzvoda.</w:t>
      </w:r>
    </w:p>
    <w:p w14:paraId="2371308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D511413" w14:textId="6D2AF11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(13) Kadar banka postane zavezana spoštovati izstopni prag iz tretjega odstavka 92. člena Uredbe 575/2013/EU (v nadaljnjem besedilu: izstopni prag), Banka Slovenije: </w:t>
      </w:r>
    </w:p>
    <w:p w14:paraId="0CEAD15F"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6AF8DDF7" w14:textId="7C6C8D78" w:rsidR="00C316EC" w:rsidRPr="00215B2F" w:rsidRDefault="00D91782" w:rsidP="003D4DE0">
      <w:pPr>
        <w:pStyle w:val="Odstavekseznama"/>
        <w:numPr>
          <w:ilvl w:val="0"/>
          <w:numId w:val="313"/>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ne poveča nominalnega zneska dodatno potrebnega kapitala, ki ga zahteva v skladu s 1. točko prvega odstavka tega</w:t>
      </w:r>
      <w:r w:rsidR="00B31737" w:rsidRPr="00215B2F">
        <w:rPr>
          <w:rFonts w:ascii="Arial" w:eastAsia="Arial" w:hAnsi="Arial" w:cs="Arial"/>
          <w:sz w:val="20"/>
          <w:szCs w:val="20"/>
        </w:rPr>
        <w:t xml:space="preserve"> člena</w:t>
      </w:r>
      <w:r w:rsidRPr="00215B2F">
        <w:rPr>
          <w:rFonts w:ascii="Arial" w:eastAsia="Arial" w:hAnsi="Arial" w:cs="Arial"/>
          <w:sz w:val="20"/>
          <w:szCs w:val="20"/>
        </w:rPr>
        <w:t xml:space="preserve">, za obravnavanje tveganj, ki niso tveganje prevelikega finančnega vzvoda, ker postane banka zavezana spoštovati izstopni prag; </w:t>
      </w:r>
    </w:p>
    <w:p w14:paraId="1BCAA158" w14:textId="2EE094FA" w:rsidR="00D91782" w:rsidRPr="00215B2F" w:rsidRDefault="00D91782" w:rsidP="003D4DE0">
      <w:pPr>
        <w:pStyle w:val="Odstavekseznama"/>
        <w:numPr>
          <w:ilvl w:val="0"/>
          <w:numId w:val="313"/>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brez odlašanja in v vsakem primeru najpozneje do konca naslednjega postopka nadzorniškega pregledovanja in ovrednotenja pregleda dodatno potrebni kapital, ki ga je zahtevala od banke v skladu s 1. točko prvega </w:t>
      </w:r>
      <w:r w:rsidR="00746E88" w:rsidRPr="00215B2F">
        <w:rPr>
          <w:rFonts w:ascii="Arial" w:eastAsia="Arial" w:hAnsi="Arial" w:cs="Arial"/>
          <w:sz w:val="20"/>
          <w:szCs w:val="20"/>
        </w:rPr>
        <w:t>odstavka tega člena</w:t>
      </w:r>
      <w:r w:rsidR="00C262B7" w:rsidRPr="00215B2F">
        <w:rPr>
          <w:rFonts w:ascii="Arial" w:eastAsia="Arial" w:hAnsi="Arial" w:cs="Arial"/>
          <w:sz w:val="20"/>
          <w:szCs w:val="20"/>
        </w:rPr>
        <w:t>,</w:t>
      </w:r>
      <w:r w:rsidRPr="00215B2F">
        <w:rPr>
          <w:rFonts w:ascii="Arial" w:eastAsia="Arial" w:hAnsi="Arial" w:cs="Arial"/>
          <w:sz w:val="20"/>
          <w:szCs w:val="20"/>
        </w:rPr>
        <w:t xml:space="preserve"> in odstrani vse njegove dele, ki bi dvojno upoštevali tveganja, ki so že v celoti krita, ker je banka zavezana spoštovati izstopni prag. </w:t>
      </w:r>
    </w:p>
    <w:p w14:paraId="19A86B5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79C61F1" w14:textId="07F789A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(14) Takoj ko Banka Slovenije </w:t>
      </w:r>
      <w:r w:rsidR="003A620D" w:rsidRPr="00215B2F">
        <w:rPr>
          <w:rFonts w:ascii="Arial" w:eastAsia="Arial" w:hAnsi="Arial" w:cs="Arial"/>
          <w:sz w:val="20"/>
          <w:szCs w:val="20"/>
        </w:rPr>
        <w:t xml:space="preserve">zaključi </w:t>
      </w:r>
      <w:r w:rsidRPr="00215B2F">
        <w:rPr>
          <w:rFonts w:ascii="Arial" w:eastAsia="Arial" w:hAnsi="Arial" w:cs="Arial"/>
          <w:sz w:val="20"/>
          <w:szCs w:val="20"/>
        </w:rPr>
        <w:t xml:space="preserve">pregledovanje iz točke b) prejšnjega odstavka, se točka a) prejšnjega odstavka ne uporablja več. </w:t>
      </w:r>
    </w:p>
    <w:p w14:paraId="74B1D2A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5664480" w14:textId="149B014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(15) Dokler je banka zavezana spoštovati izstopni prag, Banka Slovenije za namene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ne uvede dodatne kapitalske zahteve, ki bi dvojno upoštevala tveganja, ki so že v celoti krita, ker je banka zavezana spoštovati izstopni prag. </w:t>
      </w:r>
    </w:p>
    <w:p w14:paraId="16F95FB7"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F5EB632" w14:textId="3D767F3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(16) Za namene tega člena ter </w:t>
      </w:r>
      <w:r w:rsidR="003E7683" w:rsidRPr="00215B2F">
        <w:rPr>
          <w:rFonts w:ascii="Arial" w:eastAsia="Arial" w:hAnsi="Arial" w:cs="Arial"/>
          <w:sz w:val="20"/>
          <w:szCs w:val="20"/>
        </w:rPr>
        <w:t>286</w:t>
      </w:r>
      <w:r w:rsidRPr="00215B2F">
        <w:rPr>
          <w:rFonts w:ascii="Arial" w:eastAsia="Arial" w:hAnsi="Arial" w:cs="Arial"/>
          <w:sz w:val="20"/>
          <w:szCs w:val="20"/>
        </w:rPr>
        <w:t xml:space="preserve">. in </w:t>
      </w:r>
      <w:r w:rsidR="003E7683" w:rsidRPr="00215B2F">
        <w:rPr>
          <w:rFonts w:ascii="Arial" w:eastAsia="Arial" w:hAnsi="Arial" w:cs="Arial"/>
          <w:sz w:val="20"/>
          <w:szCs w:val="20"/>
        </w:rPr>
        <w:t>289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se šteje, da je banka zavezana spoštovati izstopni prag, kadar znesek skupne izpostavljenosti tveganjem banke, izračunan v skladu s prvim pododstavkom tretjega odstavka 92. člena Uredbe 575/2013/EU, presega njen znesek skupne izpostavljenosti tveganju brez upoštevanja izstopnega praga, izračunan</w:t>
      </w:r>
      <w:r w:rsidR="00C262B7" w:rsidRPr="00215B2F">
        <w:rPr>
          <w:rFonts w:ascii="Arial" w:eastAsia="Arial" w:hAnsi="Arial" w:cs="Arial"/>
          <w:sz w:val="20"/>
          <w:szCs w:val="20"/>
        </w:rPr>
        <w:t>ega</w:t>
      </w:r>
      <w:r w:rsidRPr="00215B2F">
        <w:rPr>
          <w:rFonts w:ascii="Arial" w:eastAsia="Arial" w:hAnsi="Arial" w:cs="Arial"/>
          <w:sz w:val="20"/>
          <w:szCs w:val="20"/>
        </w:rPr>
        <w:t xml:space="preserve"> v skladu s četrtim odstavkom 92. člena Uredbe 575/2013/EU.</w:t>
      </w:r>
    </w:p>
    <w:p w14:paraId="7F8071E1"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7D9DBD2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91" w:name="_Ref202965203"/>
      <w:r w:rsidRPr="00215B2F">
        <w:rPr>
          <w:rFonts w:ascii="Arial" w:eastAsia="Arial" w:hAnsi="Arial" w:cs="Arial"/>
          <w:b/>
          <w:bCs/>
          <w:sz w:val="20"/>
          <w:szCs w:val="20"/>
        </w:rPr>
        <w:t>člen</w:t>
      </w:r>
      <w:bookmarkEnd w:id="291"/>
    </w:p>
    <w:p w14:paraId="4950F66A" w14:textId="77777777" w:rsidR="00D91782" w:rsidRPr="00215B2F" w:rsidRDefault="00D91782" w:rsidP="00FD5520">
      <w:pPr>
        <w:pStyle w:val="Slog1"/>
        <w:shd w:val="clear" w:color="auto" w:fill="FFFFFF" w:themeFill="background1"/>
        <w:rPr>
          <w:sz w:val="20"/>
          <w:szCs w:val="20"/>
        </w:rPr>
      </w:pPr>
      <w:r w:rsidRPr="00215B2F">
        <w:rPr>
          <w:sz w:val="20"/>
          <w:szCs w:val="20"/>
        </w:rPr>
        <w:t>(napotek o dodatno potrebnem kapitalu)</w:t>
      </w:r>
    </w:p>
    <w:p w14:paraId="420A10FB" w14:textId="77777777" w:rsidR="00D91782" w:rsidRPr="00215B2F" w:rsidRDefault="00D91782" w:rsidP="00FD5520">
      <w:pPr>
        <w:pStyle w:val="Slog1"/>
        <w:shd w:val="clear" w:color="auto" w:fill="FFFFFF" w:themeFill="background1"/>
        <w:jc w:val="both"/>
        <w:rPr>
          <w:sz w:val="20"/>
          <w:szCs w:val="20"/>
        </w:rPr>
      </w:pPr>
    </w:p>
    <w:p w14:paraId="173A4A2C" w14:textId="0B45FC7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292" w:name="_Hlk203568796"/>
      <w:r w:rsidRPr="00215B2F">
        <w:rPr>
          <w:rFonts w:ascii="Arial" w:eastAsia="Arial" w:hAnsi="Arial" w:cs="Arial"/>
          <w:sz w:val="20"/>
          <w:szCs w:val="20"/>
        </w:rPr>
        <w:t xml:space="preserve">(1) Banka v skladu s strategijami in postopki iz </w:t>
      </w:r>
      <w:r w:rsidR="00624D2A" w:rsidRPr="00215B2F">
        <w:rPr>
          <w:rFonts w:ascii="Arial" w:eastAsia="Arial" w:hAnsi="Arial" w:cs="Arial"/>
          <w:sz w:val="20"/>
          <w:szCs w:val="20"/>
        </w:rPr>
        <w:t>180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določi svoj notranji kapital na ustrezno raven kapitala, tako da zadošča za kritje vseh tveganj, ki jim je izpostavljena, in za zagotovitev, da lahko kapital banke pokrije morebitne izgube, ki izhajajo iz stresnih scenarijev, vključno s tistimi, ki so bile ugotovljene z nadzorniškim stresnim testom v skladu s šestim odstavkom </w:t>
      </w:r>
      <w:r w:rsidR="00624D2A" w:rsidRPr="00215B2F">
        <w:rPr>
          <w:rFonts w:ascii="Arial" w:eastAsia="Arial" w:hAnsi="Arial" w:cs="Arial"/>
          <w:sz w:val="20"/>
          <w:szCs w:val="20"/>
        </w:rPr>
        <w:t>223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64A9FE8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23C3D6C" w14:textId="78149D1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v okviru </w:t>
      </w:r>
      <w:r w:rsidR="003A620D" w:rsidRPr="00215B2F">
        <w:rPr>
          <w:rFonts w:ascii="Arial" w:eastAsia="Arial" w:hAnsi="Arial" w:cs="Arial"/>
          <w:sz w:val="20"/>
          <w:szCs w:val="20"/>
        </w:rPr>
        <w:t>proces</w:t>
      </w:r>
      <w:r w:rsidR="00670106" w:rsidRPr="00215B2F">
        <w:rPr>
          <w:rFonts w:ascii="Arial" w:eastAsia="Arial" w:hAnsi="Arial" w:cs="Arial"/>
          <w:sz w:val="20"/>
          <w:szCs w:val="20"/>
        </w:rPr>
        <w:t>a</w:t>
      </w:r>
      <w:r w:rsidR="003A620D" w:rsidRPr="00215B2F">
        <w:rPr>
          <w:rFonts w:ascii="Arial" w:eastAsia="Arial" w:hAnsi="Arial" w:cs="Arial"/>
          <w:sz w:val="20"/>
          <w:szCs w:val="20"/>
        </w:rPr>
        <w:t xml:space="preserve"> </w:t>
      </w:r>
      <w:r w:rsidRPr="00215B2F">
        <w:rPr>
          <w:rFonts w:ascii="Arial" w:eastAsia="Arial" w:hAnsi="Arial" w:cs="Arial"/>
          <w:sz w:val="20"/>
          <w:szCs w:val="20"/>
        </w:rPr>
        <w:t>nadzorniškega pregledovanja in ovrednotenja v skladu s pod</w:t>
      </w:r>
      <w:r w:rsidR="005B0CC7" w:rsidRPr="00215B2F">
        <w:rPr>
          <w:rFonts w:ascii="Arial" w:eastAsia="Arial" w:hAnsi="Arial" w:cs="Arial"/>
          <w:sz w:val="20"/>
          <w:szCs w:val="20"/>
        </w:rPr>
        <w:t>o</w:t>
      </w:r>
      <w:r w:rsidR="001F2C7A" w:rsidRPr="00215B2F">
        <w:rPr>
          <w:rFonts w:ascii="Arial" w:eastAsia="Arial" w:hAnsi="Arial" w:cs="Arial"/>
          <w:sz w:val="20"/>
          <w:szCs w:val="20"/>
        </w:rPr>
        <w:t>ddelkom</w:t>
      </w:r>
      <w:r w:rsidRPr="00215B2F">
        <w:rPr>
          <w:rFonts w:ascii="Arial" w:eastAsia="Arial" w:hAnsi="Arial" w:cs="Arial"/>
          <w:sz w:val="20"/>
          <w:szCs w:val="20"/>
        </w:rPr>
        <w:t xml:space="preserve"> 6.6.1 tega zakona in rednega preverjanja pogojev za uporabo notranjih pristopov v skladu z </w:t>
      </w:r>
      <w:r w:rsidR="00624D2A" w:rsidRPr="00215B2F">
        <w:rPr>
          <w:rFonts w:ascii="Arial" w:eastAsia="Arial" w:hAnsi="Arial" w:cs="Arial"/>
          <w:sz w:val="20"/>
          <w:szCs w:val="20"/>
        </w:rPr>
        <w:t>237</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vključno z rezultati stresnih testov iz šestega odstavka </w:t>
      </w:r>
      <w:r w:rsidR="00624D2A" w:rsidRPr="00215B2F">
        <w:rPr>
          <w:rFonts w:ascii="Arial" w:eastAsia="Arial" w:hAnsi="Arial" w:cs="Arial"/>
          <w:sz w:val="20"/>
          <w:szCs w:val="20"/>
        </w:rPr>
        <w:t>223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redno pregleduje raven notranjega kapitala, ki jo določi banka v skladu s prejšnjim odstavkom, in na tej podlagi za vsako banko določi primerno skupno raven kapitala.</w:t>
      </w:r>
    </w:p>
    <w:p w14:paraId="6439001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C0D1DFE" w14:textId="68962C9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Napotek o dodatno potrebnem kapitalu predstavlja kapital, ki je enak razliki med:</w:t>
      </w:r>
    </w:p>
    <w:p w14:paraId="743C90BF"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31371531" w14:textId="77777777" w:rsidR="00C316EC" w:rsidRPr="00215B2F" w:rsidRDefault="00D91782" w:rsidP="003D4DE0">
      <w:pPr>
        <w:pStyle w:val="Odstavekseznama"/>
        <w:numPr>
          <w:ilvl w:val="0"/>
          <w:numId w:val="314"/>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primerno skupno ravnjo kapitala, določeno v skladu s prejšnjim odstavkom, in</w:t>
      </w:r>
    </w:p>
    <w:p w14:paraId="139F0A19" w14:textId="0A348809" w:rsidR="00D91782" w:rsidRPr="00215B2F" w:rsidRDefault="00D91782" w:rsidP="003D4DE0">
      <w:pPr>
        <w:pStyle w:val="Odstavekseznama"/>
        <w:numPr>
          <w:ilvl w:val="0"/>
          <w:numId w:val="314"/>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relevantnim zneskom kapitala, zahtevanim na podlagi 3., 4. in 7. dela Uredbe 575/2013/EU, 2. poglavja Uredbe 2017/2402/EU, </w:t>
      </w:r>
      <w:r w:rsidR="00746E88" w:rsidRPr="00215B2F">
        <w:rPr>
          <w:rFonts w:ascii="Arial" w:eastAsia="Arial" w:hAnsi="Arial" w:cs="Arial"/>
          <w:sz w:val="20"/>
          <w:szCs w:val="20"/>
        </w:rPr>
        <w:t>prejšnjega člena</w:t>
      </w:r>
      <w:r w:rsidRPr="00215B2F">
        <w:rPr>
          <w:rFonts w:ascii="Arial" w:eastAsia="Arial" w:hAnsi="Arial" w:cs="Arial"/>
          <w:sz w:val="20"/>
          <w:szCs w:val="20"/>
        </w:rPr>
        <w:t xml:space="preserve">, 1. točke drugega odstavka </w:t>
      </w:r>
      <w:r w:rsidR="00624D2A" w:rsidRPr="00215B2F">
        <w:rPr>
          <w:rFonts w:ascii="Arial" w:eastAsia="Arial" w:hAnsi="Arial" w:cs="Arial"/>
          <w:sz w:val="20"/>
          <w:szCs w:val="20"/>
        </w:rPr>
        <w:t>345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6. točke </w:t>
      </w:r>
      <w:r w:rsidR="00B04BC8" w:rsidRPr="00215B2F">
        <w:rPr>
          <w:rFonts w:ascii="Arial" w:eastAsia="Arial" w:hAnsi="Arial" w:cs="Arial"/>
          <w:sz w:val="20"/>
          <w:szCs w:val="20"/>
        </w:rPr>
        <w:t>271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ali na podlagi </w:t>
      </w:r>
      <w:r w:rsidR="00AA2AD1" w:rsidRPr="00215B2F">
        <w:rPr>
          <w:rFonts w:ascii="Arial" w:eastAsia="Arial" w:hAnsi="Arial" w:cs="Arial"/>
          <w:sz w:val="20"/>
          <w:szCs w:val="20"/>
        </w:rPr>
        <w:t xml:space="preserve">1a </w:t>
      </w:r>
      <w:r w:rsidRPr="00215B2F">
        <w:rPr>
          <w:rFonts w:ascii="Arial" w:eastAsia="Arial" w:hAnsi="Arial" w:cs="Arial"/>
          <w:sz w:val="20"/>
          <w:szCs w:val="20"/>
        </w:rPr>
        <w:t>odstavka 92. člena Uredbe 575/2013/EU.</w:t>
      </w:r>
    </w:p>
    <w:p w14:paraId="0791D318"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75317A1" w14:textId="6B62CD4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v odločbi iz tretjega odstavka </w:t>
      </w:r>
      <w:r w:rsidR="00B04BC8" w:rsidRPr="00215B2F">
        <w:rPr>
          <w:rFonts w:ascii="Arial" w:eastAsia="Arial" w:hAnsi="Arial" w:cs="Arial"/>
          <w:sz w:val="20"/>
          <w:szCs w:val="20"/>
        </w:rPr>
        <w:t>240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opredeli tudi sestavo kapitala, s katerim banka izpolnjuje napotek o dodatno potrebnem kapitalu.</w:t>
      </w:r>
    </w:p>
    <w:p w14:paraId="0F296D6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9BE5E52" w14:textId="6A064F9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(5) Napotek o dodatno potrebnem kapitalu je posebej prilagojen banki in lahko obravnava tveganja, ki se pokrijejo z dodatno kapitalsko zahtevo v skladu s prejšnjim členom, vendar le v obsegu, v katerem napotek obravnava vidike tveganj, ki še niso pokriti s to zahtevo.</w:t>
      </w:r>
    </w:p>
    <w:p w14:paraId="4212E5C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73539AC" w14:textId="48695FF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14736" w:rsidRPr="00215B2F">
        <w:rPr>
          <w:rFonts w:ascii="Arial" w:eastAsia="Arial" w:hAnsi="Arial" w:cs="Arial"/>
          <w:sz w:val="20"/>
          <w:szCs w:val="20"/>
        </w:rPr>
        <w:t>6</w:t>
      </w:r>
      <w:r w:rsidRPr="00215B2F">
        <w:rPr>
          <w:rFonts w:ascii="Arial" w:eastAsia="Arial" w:hAnsi="Arial" w:cs="Arial"/>
          <w:sz w:val="20"/>
          <w:szCs w:val="20"/>
        </w:rPr>
        <w:t>) Kadar banka postane zavezana spoštovati izstopni prag, lahko Banka Slovenije pregleda svoj napotek o dodatno potrebnem kapitalu, sporočen banki, da zagotovi, da ostane njegova umerjenost ustrezna.</w:t>
      </w:r>
    </w:p>
    <w:p w14:paraId="125DF97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FF232B5" w14:textId="0D92DA9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14736" w:rsidRPr="00215B2F">
        <w:rPr>
          <w:rFonts w:ascii="Arial" w:eastAsia="Arial" w:hAnsi="Arial" w:cs="Arial"/>
          <w:sz w:val="20"/>
          <w:szCs w:val="20"/>
        </w:rPr>
        <w:t>7</w:t>
      </w:r>
      <w:r w:rsidRPr="00215B2F">
        <w:rPr>
          <w:rFonts w:ascii="Arial" w:eastAsia="Arial" w:hAnsi="Arial" w:cs="Arial"/>
          <w:sz w:val="20"/>
          <w:szCs w:val="20"/>
        </w:rPr>
        <w:t xml:space="preserve">) Banka ne sme uporabiti kapitala, ki se uporabi za izpolnitev napotka o dodatno potrebnem kapitalu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za obravnavo tveganj, ki ni tveganje prevelikega finančnega vzvoda, za izpolnitev:</w:t>
      </w:r>
    </w:p>
    <w:p w14:paraId="2467D7F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FE46B6A" w14:textId="77777777" w:rsidR="00C316EC" w:rsidRPr="00215B2F" w:rsidRDefault="00D91782" w:rsidP="003D4DE0">
      <w:pPr>
        <w:pStyle w:val="Odstavekseznama"/>
        <w:numPr>
          <w:ilvl w:val="0"/>
          <w:numId w:val="321"/>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kapitalskih zahtev iz točk (a), (b) in (c) prvega odstavka 92. člena Uredbe 575/2013/EU;</w:t>
      </w:r>
    </w:p>
    <w:p w14:paraId="1A63F796" w14:textId="55D8F9F2" w:rsidR="00C316EC" w:rsidRPr="00215B2F" w:rsidRDefault="00D91782" w:rsidP="003D4DE0">
      <w:pPr>
        <w:pStyle w:val="Odstavekseznama"/>
        <w:numPr>
          <w:ilvl w:val="0"/>
          <w:numId w:val="321"/>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dodatne kapitalske zahteve, ki jo Banka Slovenije določi v skladu s prejšnjim členom ali 1. točko drugega odstavka </w:t>
      </w:r>
      <w:r w:rsidR="00B04BC8" w:rsidRPr="00215B2F">
        <w:rPr>
          <w:rFonts w:ascii="Arial" w:eastAsia="Arial" w:hAnsi="Arial" w:cs="Arial"/>
          <w:sz w:val="20"/>
          <w:szCs w:val="20"/>
        </w:rPr>
        <w:t>345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za obravnavo tveganj, ki niso tveganje prevelikega finančnega vzvoda, ter</w:t>
      </w:r>
    </w:p>
    <w:p w14:paraId="0C42008C" w14:textId="7FF994FF" w:rsidR="00D91782" w:rsidRPr="00215B2F" w:rsidRDefault="00D91782" w:rsidP="003D4DE0">
      <w:pPr>
        <w:pStyle w:val="Odstavekseznama"/>
        <w:numPr>
          <w:ilvl w:val="0"/>
          <w:numId w:val="321"/>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zahteve po skupnem blažilniku iz 6. točke </w:t>
      </w:r>
      <w:r w:rsidR="00B04BC8" w:rsidRPr="00215B2F">
        <w:rPr>
          <w:rFonts w:ascii="Arial" w:eastAsia="Arial" w:hAnsi="Arial" w:cs="Arial"/>
          <w:sz w:val="20"/>
          <w:szCs w:val="20"/>
        </w:rPr>
        <w:t>271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06AB5E8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B1BAFFB" w14:textId="24D603E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14736" w:rsidRPr="00215B2F">
        <w:rPr>
          <w:rFonts w:ascii="Arial" w:eastAsia="Arial" w:hAnsi="Arial" w:cs="Arial"/>
          <w:sz w:val="20"/>
          <w:szCs w:val="20"/>
        </w:rPr>
        <w:t>8</w:t>
      </w:r>
      <w:r w:rsidRPr="00215B2F">
        <w:rPr>
          <w:rFonts w:ascii="Arial" w:eastAsia="Arial" w:hAnsi="Arial" w:cs="Arial"/>
          <w:sz w:val="20"/>
          <w:szCs w:val="20"/>
        </w:rPr>
        <w:t xml:space="preserve">) Banka ne sme uporabiti kapitala, ki se uporabi za izpolnitev napotka o dodatno potrebnem kapitalu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za obravnavo tveganja prevelikega finančnega vzvoda, za izpolnitev:</w:t>
      </w:r>
    </w:p>
    <w:p w14:paraId="6A138E7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171DE23" w14:textId="3B8D9AAB" w:rsidR="00C316EC" w:rsidRPr="00215B2F" w:rsidRDefault="00D91782" w:rsidP="003D4DE0">
      <w:pPr>
        <w:pStyle w:val="Odstavekseznama"/>
        <w:numPr>
          <w:ilvl w:val="0"/>
          <w:numId w:val="316"/>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kapitalske zahteve iz točke (d) prvega odstavka 92. člena Uredbe 575/2013/EU</w:t>
      </w:r>
      <w:r w:rsidR="00630E7F" w:rsidRPr="00215B2F">
        <w:rPr>
          <w:rFonts w:ascii="Arial" w:eastAsia="Arial" w:hAnsi="Arial" w:cs="Arial"/>
          <w:sz w:val="20"/>
          <w:szCs w:val="20"/>
        </w:rPr>
        <w:t>;</w:t>
      </w:r>
    </w:p>
    <w:p w14:paraId="602B0D6C" w14:textId="4160AC21" w:rsidR="00C316EC" w:rsidRPr="00215B2F" w:rsidRDefault="00D91782" w:rsidP="003D4DE0">
      <w:pPr>
        <w:pStyle w:val="Odstavekseznama"/>
        <w:numPr>
          <w:ilvl w:val="0"/>
          <w:numId w:val="316"/>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dodatne kapitalske zahteve, ki jo Banka Slovenije določi v skladu s prejšnjim členom ali 1. točko drugega odstavka </w:t>
      </w:r>
      <w:r w:rsidR="00B04BC8" w:rsidRPr="00215B2F">
        <w:rPr>
          <w:rFonts w:ascii="Arial" w:eastAsia="Arial" w:hAnsi="Arial" w:cs="Arial"/>
          <w:sz w:val="20"/>
          <w:szCs w:val="20"/>
        </w:rPr>
        <w:t>345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za obravnavo tveganja prevelikega finančnega vzvoda, ter</w:t>
      </w:r>
    </w:p>
    <w:p w14:paraId="3F5BB7BE" w14:textId="4728C6C7" w:rsidR="00D91782" w:rsidRPr="00215B2F" w:rsidRDefault="00D91782" w:rsidP="003D4DE0">
      <w:pPr>
        <w:pStyle w:val="Odstavekseznama"/>
        <w:numPr>
          <w:ilvl w:val="0"/>
          <w:numId w:val="316"/>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zahteve po blažilniku količnika finančnega vzvoda iz </w:t>
      </w:r>
      <w:r w:rsidR="00AA2AD1" w:rsidRPr="00215B2F">
        <w:rPr>
          <w:rFonts w:ascii="Arial" w:eastAsia="Arial" w:hAnsi="Arial" w:cs="Arial"/>
          <w:sz w:val="20"/>
          <w:szCs w:val="20"/>
        </w:rPr>
        <w:t xml:space="preserve">1a </w:t>
      </w:r>
      <w:r w:rsidRPr="00215B2F">
        <w:rPr>
          <w:rFonts w:ascii="Arial" w:eastAsia="Arial" w:hAnsi="Arial" w:cs="Arial"/>
          <w:sz w:val="20"/>
          <w:szCs w:val="20"/>
        </w:rPr>
        <w:t>odstavka 92. člena Uredbe 575/2013/EU.</w:t>
      </w:r>
    </w:p>
    <w:p w14:paraId="16C9A9D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CA4BF07" w14:textId="0099CF8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14736" w:rsidRPr="00215B2F">
        <w:rPr>
          <w:rFonts w:ascii="Arial" w:eastAsia="Arial" w:hAnsi="Arial" w:cs="Arial"/>
          <w:sz w:val="20"/>
          <w:szCs w:val="20"/>
        </w:rPr>
        <w:t>9</w:t>
      </w:r>
      <w:r w:rsidRPr="00215B2F">
        <w:rPr>
          <w:rFonts w:ascii="Arial" w:eastAsia="Arial" w:hAnsi="Arial" w:cs="Arial"/>
          <w:sz w:val="20"/>
          <w:szCs w:val="20"/>
        </w:rPr>
        <w:t xml:space="preserve">) Dokler banka izpolnjuje kapitalske zahteve iz 3., 4. in 7. dela Uredbe 575/2013/EU ter 2. poglavja Uredbe 2017/2402/EU, dodatno kapitalsko zahtevo, ki jo določi Banka Slovenije v skladu s prejšnjim členom ali 1. točko drugega odstavka </w:t>
      </w:r>
      <w:r w:rsidR="00B04BC8" w:rsidRPr="00215B2F">
        <w:rPr>
          <w:rFonts w:ascii="Arial" w:eastAsia="Arial" w:hAnsi="Arial" w:cs="Arial"/>
          <w:sz w:val="20"/>
          <w:szCs w:val="20"/>
        </w:rPr>
        <w:t>345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če je ustrezno, zahtevo glede blažilnika iz </w:t>
      </w:r>
      <w:r w:rsidR="00AA2AD1" w:rsidRPr="00215B2F">
        <w:rPr>
          <w:rFonts w:ascii="Arial" w:eastAsia="Arial" w:hAnsi="Arial" w:cs="Arial"/>
          <w:sz w:val="20"/>
          <w:szCs w:val="20"/>
        </w:rPr>
        <w:t xml:space="preserve">1a </w:t>
      </w:r>
      <w:r w:rsidRPr="00215B2F">
        <w:rPr>
          <w:rFonts w:ascii="Arial" w:eastAsia="Arial" w:hAnsi="Arial" w:cs="Arial"/>
          <w:sz w:val="20"/>
          <w:szCs w:val="20"/>
        </w:rPr>
        <w:t xml:space="preserve">odstavka 92. člena Uredbe 575/2013/EU, neizpolnjevanje napotka o dodatno potrebnem kapitalu iz tega člena ne sproži omejitev razdelitev iz </w:t>
      </w:r>
      <w:r w:rsidR="00B04BC8" w:rsidRPr="00215B2F">
        <w:rPr>
          <w:rFonts w:ascii="Arial" w:eastAsia="Arial" w:hAnsi="Arial" w:cs="Arial"/>
          <w:sz w:val="20"/>
          <w:szCs w:val="20"/>
        </w:rPr>
        <w:t>296</w:t>
      </w:r>
      <w:r w:rsidRPr="00215B2F">
        <w:rPr>
          <w:rFonts w:ascii="Arial" w:eastAsia="Arial" w:hAnsi="Arial" w:cs="Arial"/>
          <w:sz w:val="20"/>
          <w:szCs w:val="20"/>
        </w:rPr>
        <w:t xml:space="preserve">. ali </w:t>
      </w:r>
      <w:r w:rsidR="00B04BC8" w:rsidRPr="00215B2F">
        <w:rPr>
          <w:rFonts w:ascii="Arial" w:eastAsia="Arial" w:hAnsi="Arial" w:cs="Arial"/>
          <w:sz w:val="20"/>
          <w:szCs w:val="20"/>
        </w:rPr>
        <w:t>300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bookmarkEnd w:id="292"/>
    <w:p w14:paraId="1741429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DA3720B"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93" w:name="_Ref203489682"/>
      <w:r w:rsidRPr="00215B2F">
        <w:rPr>
          <w:rFonts w:ascii="Arial" w:eastAsia="Arial" w:hAnsi="Arial" w:cs="Arial"/>
          <w:b/>
          <w:bCs/>
          <w:sz w:val="20"/>
          <w:szCs w:val="20"/>
        </w:rPr>
        <w:t>člen</w:t>
      </w:r>
      <w:bookmarkEnd w:id="293"/>
    </w:p>
    <w:p w14:paraId="336DB810" w14:textId="77777777" w:rsidR="00D91782" w:rsidRPr="00215B2F" w:rsidRDefault="00D91782" w:rsidP="00FD5520">
      <w:pPr>
        <w:pStyle w:val="Slog1"/>
        <w:shd w:val="clear" w:color="auto" w:fill="FFFFFF" w:themeFill="background1"/>
        <w:rPr>
          <w:sz w:val="20"/>
          <w:szCs w:val="20"/>
        </w:rPr>
      </w:pPr>
      <w:r w:rsidRPr="00215B2F">
        <w:rPr>
          <w:sz w:val="20"/>
          <w:szCs w:val="20"/>
        </w:rPr>
        <w:t>(odločba o dodatni kapitalski zahtevi in odločba o napotku o dodatno potrebnem kapitalu)</w:t>
      </w:r>
    </w:p>
    <w:p w14:paraId="133B1721" w14:textId="77777777" w:rsidR="00D91782" w:rsidRPr="00215B2F" w:rsidRDefault="00D91782" w:rsidP="00FD5520">
      <w:pPr>
        <w:pStyle w:val="Slog1"/>
        <w:shd w:val="clear" w:color="auto" w:fill="FFFFFF" w:themeFill="background1"/>
        <w:jc w:val="both"/>
        <w:rPr>
          <w:sz w:val="20"/>
          <w:szCs w:val="20"/>
        </w:rPr>
      </w:pPr>
    </w:p>
    <w:p w14:paraId="5CF3143E" w14:textId="779FA48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pod pogoji iz </w:t>
      </w:r>
      <w:r w:rsidR="00B04BC8" w:rsidRPr="00215B2F">
        <w:rPr>
          <w:rFonts w:ascii="Arial" w:eastAsia="Arial" w:hAnsi="Arial" w:cs="Arial"/>
          <w:sz w:val="20"/>
          <w:szCs w:val="20"/>
        </w:rPr>
        <w:t>238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banki z odločbo naloži, da zagotovi dodatno potrebn</w:t>
      </w:r>
      <w:r w:rsidR="00AD5A3C" w:rsidRPr="00215B2F">
        <w:rPr>
          <w:rFonts w:ascii="Arial" w:eastAsia="Arial" w:hAnsi="Arial" w:cs="Arial"/>
          <w:sz w:val="20"/>
          <w:szCs w:val="20"/>
        </w:rPr>
        <w:t>i</w:t>
      </w:r>
      <w:r w:rsidRPr="00215B2F">
        <w:rPr>
          <w:rFonts w:ascii="Arial" w:eastAsia="Arial" w:hAnsi="Arial" w:cs="Arial"/>
          <w:sz w:val="20"/>
          <w:szCs w:val="20"/>
        </w:rPr>
        <w:t xml:space="preserve"> kapital, ki presega zahteve iz Uredbe 575/2013/EU (v nadaljnjem besedilu: odločba o dodatni kapitalski zahtevi).</w:t>
      </w:r>
    </w:p>
    <w:p w14:paraId="5DF3029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45C84C2" w14:textId="71D6BF3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Odločba o dodatni kapitalski zahtevi mora vključevati jasno obrazložitev celotne ocene elementov iz </w:t>
      </w:r>
      <w:r w:rsidR="00B04BC8" w:rsidRPr="00215B2F">
        <w:rPr>
          <w:rFonts w:ascii="Arial" w:eastAsia="Arial" w:hAnsi="Arial" w:cs="Arial"/>
          <w:sz w:val="20"/>
          <w:szCs w:val="20"/>
        </w:rPr>
        <w:t>238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V primeru </w:t>
      </w:r>
      <w:r w:rsidR="00AD5A3C" w:rsidRPr="00215B2F">
        <w:rPr>
          <w:rFonts w:ascii="Arial" w:eastAsia="Arial" w:hAnsi="Arial" w:cs="Arial"/>
          <w:sz w:val="20"/>
          <w:szCs w:val="20"/>
        </w:rPr>
        <w:t xml:space="preserve">iz </w:t>
      </w:r>
      <w:r w:rsidRPr="00215B2F">
        <w:rPr>
          <w:rFonts w:ascii="Arial" w:eastAsia="Arial" w:hAnsi="Arial" w:cs="Arial"/>
          <w:sz w:val="20"/>
          <w:szCs w:val="20"/>
        </w:rPr>
        <w:t xml:space="preserve">5. točke prvega odstavka </w:t>
      </w:r>
      <w:r w:rsidR="00B04BC8" w:rsidRPr="00215B2F">
        <w:rPr>
          <w:rFonts w:ascii="Arial" w:eastAsia="Arial" w:hAnsi="Arial" w:cs="Arial"/>
          <w:sz w:val="20"/>
          <w:szCs w:val="20"/>
        </w:rPr>
        <w:t>238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utemeljitev vključuje navedbo razlogov, zaradi katerih uporaba napotka o dodatno potrebnem kapitalu ne velja več za zadostno.</w:t>
      </w:r>
    </w:p>
    <w:p w14:paraId="19E49AF7"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C5DF872" w14:textId="3C9E5C4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pod pogoji iz </w:t>
      </w:r>
      <w:r w:rsidR="00746E88" w:rsidRPr="00215B2F">
        <w:rPr>
          <w:rFonts w:ascii="Arial" w:eastAsia="Arial" w:hAnsi="Arial" w:cs="Arial"/>
          <w:sz w:val="20"/>
          <w:szCs w:val="20"/>
        </w:rPr>
        <w:t>prejšnjega člena</w:t>
      </w:r>
      <w:r w:rsidRPr="00215B2F">
        <w:rPr>
          <w:rFonts w:ascii="Arial" w:eastAsia="Arial" w:hAnsi="Arial" w:cs="Arial"/>
          <w:sz w:val="20"/>
          <w:szCs w:val="20"/>
        </w:rPr>
        <w:t xml:space="preserve"> banki z odločbo sporoči napotek o dodatno potrebnem kapitalu (v nadaljnjem besedilu: odločba o napotku o dodatno potrebnem kapitalu).</w:t>
      </w:r>
    </w:p>
    <w:p w14:paraId="7848558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C10EB87" w14:textId="10FDEBB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lahko o dodatni kapitalski zahtevi in o napotku o dodatno potrebnem kapitalu odloči z eno odločbo.</w:t>
      </w:r>
    </w:p>
    <w:p w14:paraId="0164BEF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0288A24" w14:textId="2AF12D5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Odločbe o napotku o dodatno potrebnem kapitalu ni mogoče izpodbijati v postopku sodnega varstva.</w:t>
      </w:r>
    </w:p>
    <w:p w14:paraId="7E48305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2743CD9"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94" w:name="_Ref203489687"/>
      <w:r w:rsidRPr="00215B2F">
        <w:rPr>
          <w:rFonts w:ascii="Arial" w:eastAsia="Arial" w:hAnsi="Arial" w:cs="Arial"/>
          <w:b/>
          <w:bCs/>
          <w:sz w:val="20"/>
          <w:szCs w:val="20"/>
        </w:rPr>
        <w:t>člen</w:t>
      </w:r>
      <w:bookmarkEnd w:id="294"/>
    </w:p>
    <w:p w14:paraId="65DA7489" w14:textId="77777777" w:rsidR="00D91782" w:rsidRPr="00215B2F" w:rsidRDefault="00D91782" w:rsidP="00FD5520">
      <w:pPr>
        <w:pStyle w:val="Slog1"/>
        <w:shd w:val="clear" w:color="auto" w:fill="FFFFFF" w:themeFill="background1"/>
        <w:rPr>
          <w:sz w:val="20"/>
          <w:szCs w:val="20"/>
        </w:rPr>
      </w:pPr>
      <w:r w:rsidRPr="00215B2F">
        <w:rPr>
          <w:sz w:val="20"/>
          <w:szCs w:val="20"/>
        </w:rPr>
        <w:t>(sodelovanje z organi za reševanje)</w:t>
      </w:r>
    </w:p>
    <w:p w14:paraId="08B5A83B" w14:textId="77777777" w:rsidR="00D91782" w:rsidRPr="00215B2F" w:rsidRDefault="00D91782" w:rsidP="00FD5520">
      <w:pPr>
        <w:pStyle w:val="Slog1"/>
        <w:shd w:val="clear" w:color="auto" w:fill="FFFFFF" w:themeFill="background1"/>
        <w:jc w:val="both"/>
        <w:rPr>
          <w:sz w:val="20"/>
          <w:szCs w:val="20"/>
        </w:rPr>
      </w:pPr>
    </w:p>
    <w:p w14:paraId="3C03879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Slovenije obvesti organ za reševanje o:</w:t>
      </w:r>
    </w:p>
    <w:p w14:paraId="1A8993A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94B80DC" w14:textId="6EBEF756" w:rsidR="006A1A88" w:rsidRPr="00215B2F" w:rsidRDefault="00D91782" w:rsidP="003D4DE0">
      <w:pPr>
        <w:pStyle w:val="tevilnatoka"/>
        <w:numPr>
          <w:ilvl w:val="0"/>
          <w:numId w:val="149"/>
        </w:numPr>
        <w:shd w:val="clear" w:color="auto" w:fill="FFFFFF" w:themeFill="background1"/>
        <w:tabs>
          <w:tab w:val="clear" w:pos="425"/>
        </w:tabs>
        <w:rPr>
          <w:rFonts w:cs="Arial"/>
          <w:bCs/>
          <w:sz w:val="20"/>
          <w:szCs w:val="20"/>
        </w:rPr>
      </w:pPr>
      <w:r w:rsidRPr="00215B2F">
        <w:rPr>
          <w:rFonts w:eastAsia="Arial" w:cs="Arial"/>
          <w:sz w:val="20"/>
          <w:szCs w:val="20"/>
        </w:rPr>
        <w:t xml:space="preserve">dodatni kapitalski zahtevi, ki jo banki naloži Banka Slovenije v skladu z </w:t>
      </w:r>
      <w:r w:rsidR="00250382" w:rsidRPr="00215B2F">
        <w:rPr>
          <w:rFonts w:eastAsia="Arial" w:cs="Arial"/>
          <w:sz w:val="20"/>
          <w:szCs w:val="20"/>
        </w:rPr>
        <w:t>238</w:t>
      </w:r>
      <w:r w:rsidRPr="00215B2F">
        <w:rPr>
          <w:rFonts w:eastAsia="Arial" w:cs="Arial"/>
          <w:sz w:val="20"/>
          <w:szCs w:val="20"/>
        </w:rPr>
        <w:t xml:space="preserve">. členom ali 1. točko drugega odstavka </w:t>
      </w:r>
      <w:r w:rsidR="00B04BC8" w:rsidRPr="00215B2F">
        <w:rPr>
          <w:rFonts w:eastAsia="Arial" w:cs="Arial"/>
          <w:sz w:val="20"/>
          <w:szCs w:val="20"/>
        </w:rPr>
        <w:t>345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35677553" w14:textId="7BEEBE9E" w:rsidR="00D91782" w:rsidRPr="00215B2F" w:rsidRDefault="00D91782" w:rsidP="003D4DE0">
      <w:pPr>
        <w:pStyle w:val="tevilnatoka"/>
        <w:numPr>
          <w:ilvl w:val="0"/>
          <w:numId w:val="149"/>
        </w:numPr>
        <w:shd w:val="clear" w:color="auto" w:fill="FFFFFF" w:themeFill="background1"/>
        <w:tabs>
          <w:tab w:val="clear" w:pos="425"/>
        </w:tabs>
        <w:rPr>
          <w:rFonts w:cs="Arial"/>
          <w:bCs/>
          <w:sz w:val="20"/>
          <w:szCs w:val="20"/>
        </w:rPr>
      </w:pPr>
      <w:r w:rsidRPr="00215B2F">
        <w:rPr>
          <w:rFonts w:eastAsia="Arial" w:cs="Arial"/>
          <w:sz w:val="20"/>
          <w:szCs w:val="20"/>
        </w:rPr>
        <w:lastRenderedPageBreak/>
        <w:t xml:space="preserve">napotku o dodatno potrebnem kapitalu, ki ga je Banka Slovenije sporočila banki v skladu </w:t>
      </w:r>
      <w:r w:rsidR="004037E2" w:rsidRPr="00215B2F">
        <w:rPr>
          <w:rFonts w:eastAsia="Arial" w:cs="Arial"/>
          <w:sz w:val="20"/>
          <w:szCs w:val="20"/>
        </w:rPr>
        <w:t>z 239</w:t>
      </w:r>
      <w:r w:rsidRPr="00215B2F">
        <w:rPr>
          <w:rFonts w:eastAsia="Arial" w:cs="Arial"/>
          <w:sz w:val="20"/>
          <w:szCs w:val="20"/>
        </w:rPr>
        <w:t xml:space="preserve">. </w:t>
      </w:r>
      <w:r w:rsidR="001F2C7A" w:rsidRPr="00215B2F">
        <w:rPr>
          <w:rFonts w:eastAsia="Arial" w:cs="Arial"/>
          <w:sz w:val="20"/>
          <w:szCs w:val="20"/>
        </w:rPr>
        <w:t>člen</w:t>
      </w:r>
      <w:r w:rsidR="004037E2" w:rsidRPr="00215B2F">
        <w:rPr>
          <w:rFonts w:eastAsia="Arial" w:cs="Arial"/>
          <w:sz w:val="20"/>
          <w:szCs w:val="20"/>
        </w:rPr>
        <w:t>om</w:t>
      </w:r>
      <w:r w:rsidR="001F2C7A" w:rsidRPr="00215B2F">
        <w:rPr>
          <w:rFonts w:eastAsia="Arial" w:cs="Arial"/>
          <w:sz w:val="20"/>
          <w:szCs w:val="20"/>
        </w:rPr>
        <w:t xml:space="preserve"> tega zakona</w:t>
      </w:r>
      <w:r w:rsidRPr="00215B2F">
        <w:rPr>
          <w:rFonts w:eastAsia="Arial" w:cs="Arial"/>
          <w:sz w:val="20"/>
          <w:szCs w:val="20"/>
        </w:rPr>
        <w:t>.</w:t>
      </w:r>
    </w:p>
    <w:p w14:paraId="7B67618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D0CD3AE" w14:textId="4277CA60" w:rsidR="00D91782" w:rsidRPr="00215B2F" w:rsidRDefault="00FF337B"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6.7 NAČRTOVANJE SANACIJE IN ZNOTRAJSKUPINSKA FINANČNA PODPORA</w:t>
      </w:r>
    </w:p>
    <w:p w14:paraId="26A88066" w14:textId="77777777" w:rsidR="00FF337B" w:rsidRPr="00215B2F" w:rsidRDefault="00FF337B" w:rsidP="00FD5520">
      <w:pPr>
        <w:shd w:val="clear" w:color="auto" w:fill="FFFFFF" w:themeFill="background1"/>
        <w:spacing w:after="0" w:line="240" w:lineRule="auto"/>
        <w:jc w:val="center"/>
        <w:rPr>
          <w:rFonts w:ascii="Arial" w:eastAsia="Arial" w:hAnsi="Arial" w:cs="Arial"/>
          <w:sz w:val="20"/>
          <w:szCs w:val="20"/>
        </w:rPr>
      </w:pPr>
    </w:p>
    <w:p w14:paraId="5021B4F1" w14:textId="089B9E1E"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6.7.1 Načrt sanacije</w:t>
      </w:r>
    </w:p>
    <w:p w14:paraId="0E3C692F" w14:textId="77777777" w:rsidR="00FF337B" w:rsidRPr="00215B2F" w:rsidRDefault="00FF337B" w:rsidP="00FD5520">
      <w:pPr>
        <w:shd w:val="clear" w:color="auto" w:fill="FFFFFF" w:themeFill="background1"/>
        <w:spacing w:after="0" w:line="240" w:lineRule="auto"/>
        <w:jc w:val="center"/>
        <w:rPr>
          <w:rFonts w:ascii="Arial" w:eastAsia="Arial" w:hAnsi="Arial" w:cs="Arial"/>
          <w:sz w:val="20"/>
          <w:szCs w:val="20"/>
        </w:rPr>
      </w:pPr>
    </w:p>
    <w:p w14:paraId="56982593" w14:textId="77777777" w:rsidR="009153D1" w:rsidRPr="00215B2F" w:rsidRDefault="009153D1"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95" w:name="_Ref202965228"/>
      <w:r w:rsidRPr="00215B2F">
        <w:rPr>
          <w:rFonts w:ascii="Arial" w:eastAsia="Arial" w:hAnsi="Arial" w:cs="Arial"/>
          <w:b/>
          <w:bCs/>
          <w:sz w:val="20"/>
          <w:szCs w:val="20"/>
        </w:rPr>
        <w:t>člen</w:t>
      </w:r>
      <w:bookmarkEnd w:id="295"/>
    </w:p>
    <w:p w14:paraId="5BF1FA15"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(načrt sanacije)</w:t>
      </w:r>
    </w:p>
    <w:p w14:paraId="3F378FE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D13D0DE" w14:textId="0786F67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ki ni del skupine, nad katero Banka Slovenije ali drug pristojni organ izvaja nadzor na konsolidirani podlagi, mora sprejeti načrt ukrepov (v nadaljnjem besedilu: načrt sanacije), s katerimi se v primeru znatnega poslabšanja finančnega položaja banke omogoči prestrukturiranje banke tako, da se ohrani ali </w:t>
      </w:r>
      <w:r w:rsidR="00F455AB" w:rsidRPr="00215B2F">
        <w:rPr>
          <w:rFonts w:ascii="Arial" w:eastAsia="Arial" w:hAnsi="Arial" w:cs="Arial"/>
          <w:sz w:val="20"/>
          <w:szCs w:val="20"/>
        </w:rPr>
        <w:t>z</w:t>
      </w:r>
      <w:r w:rsidRPr="00215B2F">
        <w:rPr>
          <w:rFonts w:ascii="Arial" w:eastAsia="Arial" w:hAnsi="Arial" w:cs="Arial"/>
          <w:sz w:val="20"/>
          <w:szCs w:val="20"/>
        </w:rPr>
        <w:t>nov</w:t>
      </w:r>
      <w:r w:rsidR="00F455AB" w:rsidRPr="00215B2F">
        <w:rPr>
          <w:rFonts w:ascii="Arial" w:eastAsia="Arial" w:hAnsi="Arial" w:cs="Arial"/>
          <w:sz w:val="20"/>
          <w:szCs w:val="20"/>
        </w:rPr>
        <w:t>a</w:t>
      </w:r>
      <w:r w:rsidRPr="00215B2F">
        <w:rPr>
          <w:rFonts w:ascii="Arial" w:eastAsia="Arial" w:hAnsi="Arial" w:cs="Arial"/>
          <w:sz w:val="20"/>
          <w:szCs w:val="20"/>
        </w:rPr>
        <w:t xml:space="preserve"> vzpostavi uspešno poslovanje in finančna trdnost banke.</w:t>
      </w:r>
    </w:p>
    <w:p w14:paraId="71F4114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C40BB4D" w14:textId="317C361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ki je del skupine, nad katero Banka Slovenije, Evropska centralna banka ali drug pristojni organ izvaja nadzor na konsolidirani podlagi, in ni EU nadrejena banka, mora sprejeti individualni načrt sanacije z upoštevanjem okoliščin in ukrepov na ravni te banke, če je sprejeta odločitev iz 3. točke tretjega odstavka </w:t>
      </w:r>
      <w:r w:rsidR="00B04BC8" w:rsidRPr="00215B2F">
        <w:rPr>
          <w:rFonts w:ascii="Arial" w:eastAsia="Arial" w:hAnsi="Arial" w:cs="Arial"/>
          <w:sz w:val="20"/>
          <w:szCs w:val="20"/>
        </w:rPr>
        <w:t>257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4A5E4D1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EC1511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96" w:name="_Ref203393616"/>
      <w:r w:rsidRPr="00215B2F">
        <w:rPr>
          <w:rFonts w:ascii="Arial" w:eastAsia="Arial" w:hAnsi="Arial" w:cs="Arial"/>
          <w:b/>
          <w:bCs/>
          <w:sz w:val="20"/>
          <w:szCs w:val="20"/>
        </w:rPr>
        <w:t>člen</w:t>
      </w:r>
      <w:bookmarkEnd w:id="296"/>
    </w:p>
    <w:p w14:paraId="017F8A42" w14:textId="77777777" w:rsidR="00D91782" w:rsidRPr="00215B2F" w:rsidRDefault="00D91782" w:rsidP="00FD5520">
      <w:pPr>
        <w:pStyle w:val="Slog1"/>
        <w:shd w:val="clear" w:color="auto" w:fill="FFFFFF" w:themeFill="background1"/>
        <w:rPr>
          <w:sz w:val="20"/>
          <w:szCs w:val="20"/>
        </w:rPr>
      </w:pPr>
      <w:r w:rsidRPr="00215B2F">
        <w:rPr>
          <w:sz w:val="20"/>
          <w:szCs w:val="20"/>
        </w:rPr>
        <w:t>(vsebina načrta sanacije banke)</w:t>
      </w:r>
    </w:p>
    <w:p w14:paraId="14E7AA78" w14:textId="77777777" w:rsidR="00D91782" w:rsidRPr="00215B2F" w:rsidRDefault="00D91782" w:rsidP="00FD5520">
      <w:pPr>
        <w:pStyle w:val="Slog1"/>
        <w:shd w:val="clear" w:color="auto" w:fill="FFFFFF" w:themeFill="background1"/>
        <w:jc w:val="both"/>
        <w:rPr>
          <w:sz w:val="20"/>
          <w:szCs w:val="20"/>
        </w:rPr>
      </w:pPr>
    </w:p>
    <w:p w14:paraId="168382AF" w14:textId="5FA8CB8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mora v načrtu sanacije upoštevati različne možnosti ukrepanja za ohranjanje ali ponovno vzpostavitev uspešnega poslovanja banke in njene finančne trdnosti glede na različne stresne scenarije, ki predvidevajo poslabšanje različnih makroekonomskih in finančnih dejavnikov, ki lahko pomembno vplivajo na položaj banke, vključno z dogodki na ravni celotnega sistema ter </w:t>
      </w:r>
      <w:r w:rsidR="00224975" w:rsidRPr="00215B2F">
        <w:rPr>
          <w:rFonts w:ascii="Arial" w:eastAsia="Arial" w:hAnsi="Arial" w:cs="Arial"/>
          <w:sz w:val="20"/>
          <w:szCs w:val="20"/>
        </w:rPr>
        <w:t xml:space="preserve">s </w:t>
      </w:r>
      <w:r w:rsidRPr="00215B2F">
        <w:rPr>
          <w:rFonts w:ascii="Arial" w:eastAsia="Arial" w:hAnsi="Arial" w:cs="Arial"/>
          <w:sz w:val="20"/>
          <w:szCs w:val="20"/>
        </w:rPr>
        <w:t>posebnimi okoliščinami posameznega subjekta in skupine. Načrt sanacije ne sme upoštevati možnosti uporabe izredne javnofinančne pomoči in ne sme ustvarjati drugih neposrednih negativnih javnofinančnih učinkov.</w:t>
      </w:r>
    </w:p>
    <w:p w14:paraId="14CFCC1E"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E391E52" w14:textId="4894F03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Načrt sanacije banke mora vključevati zlasti naslednje informacije:</w:t>
      </w:r>
    </w:p>
    <w:p w14:paraId="0A4D0A68"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4EFB88B" w14:textId="77777777" w:rsidR="006A1A88"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t xml:space="preserve">povzetek glavnih vsebin načrta sanacije in povzetek splošne sposobnosti za sanacijo ter navedbo bistvenih sprememb glede na predhodni načrt sanacije; </w:t>
      </w:r>
    </w:p>
    <w:p w14:paraId="61DE4B50" w14:textId="77777777" w:rsidR="006A1A88"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t xml:space="preserve">strateško analizo banke, ki mora vsebovati opis organizacijske strukture in poslovni model banke ter glavne poslovne dejavnosti in kritične funkcije; </w:t>
      </w:r>
    </w:p>
    <w:p w14:paraId="27516A81" w14:textId="322C312C" w:rsidR="006A1A88"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t>opis razpoložljivih možnosti prestrukturiranja, da se zagotovi</w:t>
      </w:r>
      <w:r w:rsidR="00F455AB" w:rsidRPr="00215B2F">
        <w:rPr>
          <w:rFonts w:eastAsia="Arial" w:cs="Arial"/>
          <w:sz w:val="20"/>
          <w:szCs w:val="20"/>
        </w:rPr>
        <w:t>ta</w:t>
      </w:r>
      <w:r w:rsidRPr="00215B2F">
        <w:rPr>
          <w:rFonts w:eastAsia="Arial" w:cs="Arial"/>
          <w:sz w:val="20"/>
          <w:szCs w:val="20"/>
        </w:rPr>
        <w:t xml:space="preserve"> ali </w:t>
      </w:r>
      <w:r w:rsidR="00F455AB" w:rsidRPr="00215B2F">
        <w:rPr>
          <w:rFonts w:eastAsia="Arial" w:cs="Arial"/>
          <w:sz w:val="20"/>
          <w:szCs w:val="20"/>
        </w:rPr>
        <w:t>z</w:t>
      </w:r>
      <w:r w:rsidRPr="00215B2F">
        <w:rPr>
          <w:rFonts w:eastAsia="Arial" w:cs="Arial"/>
          <w:sz w:val="20"/>
          <w:szCs w:val="20"/>
        </w:rPr>
        <w:t>nov</w:t>
      </w:r>
      <w:r w:rsidR="00F455AB" w:rsidRPr="00215B2F">
        <w:rPr>
          <w:rFonts w:eastAsia="Arial" w:cs="Arial"/>
          <w:sz w:val="20"/>
          <w:szCs w:val="20"/>
        </w:rPr>
        <w:t>a</w:t>
      </w:r>
      <w:r w:rsidRPr="00215B2F">
        <w:rPr>
          <w:rFonts w:eastAsia="Arial" w:cs="Arial"/>
          <w:sz w:val="20"/>
          <w:szCs w:val="20"/>
        </w:rPr>
        <w:t xml:space="preserve"> vzpostavi</w:t>
      </w:r>
      <w:r w:rsidR="00F455AB" w:rsidRPr="00215B2F">
        <w:rPr>
          <w:rFonts w:eastAsia="Arial" w:cs="Arial"/>
          <w:sz w:val="20"/>
          <w:szCs w:val="20"/>
        </w:rPr>
        <w:t>ta</w:t>
      </w:r>
      <w:r w:rsidRPr="00215B2F">
        <w:rPr>
          <w:rFonts w:eastAsia="Arial" w:cs="Arial"/>
          <w:sz w:val="20"/>
          <w:szCs w:val="20"/>
        </w:rPr>
        <w:t xml:space="preserve"> uspešno poslovanje in finančna trdnost banke, vključno z vrsto kapitalskih in likvidnostnih ukrepov s časovnim okvirom za njihovo izvedbo ter časovnim okvirom za izvedbo drugih bistvenih vidikov načrta; </w:t>
      </w:r>
    </w:p>
    <w:p w14:paraId="79E49519" w14:textId="3831F6E8" w:rsidR="006A1A88"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t xml:space="preserve">analizo učinkov vsake od možnosti, ki je obravnavana v načrtu, vključno z učinki, ki jih ima posamezna možnost </w:t>
      </w:r>
      <w:r w:rsidR="004037E2" w:rsidRPr="00215B2F">
        <w:rPr>
          <w:rFonts w:eastAsia="Arial" w:cs="Arial"/>
          <w:sz w:val="20"/>
          <w:szCs w:val="20"/>
        </w:rPr>
        <w:t>za</w:t>
      </w:r>
      <w:r w:rsidRPr="00215B2F">
        <w:rPr>
          <w:rFonts w:eastAsia="Arial" w:cs="Arial"/>
          <w:sz w:val="20"/>
          <w:szCs w:val="20"/>
        </w:rPr>
        <w:t xml:space="preserve"> nadalj</w:t>
      </w:r>
      <w:r w:rsidR="00321E73" w:rsidRPr="00215B2F">
        <w:rPr>
          <w:rFonts w:eastAsia="Arial" w:cs="Arial"/>
          <w:sz w:val="20"/>
          <w:szCs w:val="20"/>
        </w:rPr>
        <w:t xml:space="preserve">nje izvajanje </w:t>
      </w:r>
      <w:r w:rsidR="00B347D1" w:rsidRPr="00215B2F">
        <w:rPr>
          <w:rFonts w:eastAsia="Arial" w:cs="Arial"/>
          <w:sz w:val="20"/>
          <w:szCs w:val="20"/>
        </w:rPr>
        <w:t>kritičnih funkcij</w:t>
      </w:r>
      <w:r w:rsidR="00C05DCD" w:rsidRPr="00215B2F">
        <w:rPr>
          <w:rFonts w:eastAsia="Arial" w:cs="Arial"/>
          <w:sz w:val="20"/>
          <w:szCs w:val="20"/>
        </w:rPr>
        <w:t>,</w:t>
      </w:r>
      <w:r w:rsidRPr="00215B2F">
        <w:rPr>
          <w:rFonts w:eastAsia="Arial" w:cs="Arial"/>
          <w:sz w:val="20"/>
          <w:szCs w:val="20"/>
        </w:rPr>
        <w:t xml:space="preserve"> in vpliv</w:t>
      </w:r>
      <w:r w:rsidR="00C05DCD" w:rsidRPr="00215B2F">
        <w:rPr>
          <w:rFonts w:eastAsia="Arial" w:cs="Arial"/>
          <w:sz w:val="20"/>
          <w:szCs w:val="20"/>
        </w:rPr>
        <w:t>om</w:t>
      </w:r>
      <w:r w:rsidRPr="00215B2F">
        <w:rPr>
          <w:rFonts w:eastAsia="Arial" w:cs="Arial"/>
          <w:sz w:val="20"/>
          <w:szCs w:val="20"/>
        </w:rPr>
        <w:t xml:space="preserve"> na druge udeležence na trgu, upnike, delničarje banke ter za zaposlene; </w:t>
      </w:r>
    </w:p>
    <w:p w14:paraId="2A0E61FD" w14:textId="4FA7457B" w:rsidR="006A1A88"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t>analizo izvedljivosti posameznih možnosti, ki so obravnavane v načrtu, vključno z navedbo morebitnih ovir za njihovo izvajanje</w:t>
      </w:r>
      <w:r w:rsidR="00C05DCD" w:rsidRPr="00215B2F">
        <w:rPr>
          <w:rFonts w:eastAsia="Arial" w:cs="Arial"/>
          <w:sz w:val="20"/>
          <w:szCs w:val="20"/>
        </w:rPr>
        <w:t>,</w:t>
      </w:r>
      <w:r w:rsidRPr="00215B2F">
        <w:rPr>
          <w:rFonts w:eastAsia="Arial" w:cs="Arial"/>
          <w:sz w:val="20"/>
          <w:szCs w:val="20"/>
        </w:rPr>
        <w:t xml:space="preserve"> ter opis postopkov in ukrepov, s katerimi se te ovire odpravijo; </w:t>
      </w:r>
    </w:p>
    <w:p w14:paraId="1E37C72A" w14:textId="398BCF22" w:rsidR="006A1A88"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t>podrobn</w:t>
      </w:r>
      <w:r w:rsidR="00C05DCD" w:rsidRPr="00215B2F">
        <w:rPr>
          <w:rFonts w:eastAsia="Arial" w:cs="Arial"/>
          <w:sz w:val="20"/>
          <w:szCs w:val="20"/>
        </w:rPr>
        <w:t>i</w:t>
      </w:r>
      <w:r w:rsidRPr="00215B2F">
        <w:rPr>
          <w:rFonts w:eastAsia="Arial" w:cs="Arial"/>
          <w:sz w:val="20"/>
          <w:szCs w:val="20"/>
        </w:rPr>
        <w:t xml:space="preserve"> opis postopkov za določitev vrednosti in tržljivosti glavnih poslovnih področij, dejavnosti in sredstev banke; </w:t>
      </w:r>
    </w:p>
    <w:p w14:paraId="17A45B8E" w14:textId="4396183A" w:rsidR="006A1A88"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t>podrobn</w:t>
      </w:r>
      <w:r w:rsidR="00C05DCD" w:rsidRPr="00215B2F">
        <w:rPr>
          <w:rFonts w:eastAsia="Arial" w:cs="Arial"/>
          <w:sz w:val="20"/>
          <w:szCs w:val="20"/>
        </w:rPr>
        <w:t>i</w:t>
      </w:r>
      <w:r w:rsidRPr="00215B2F">
        <w:rPr>
          <w:rFonts w:eastAsia="Arial" w:cs="Arial"/>
          <w:sz w:val="20"/>
          <w:szCs w:val="20"/>
        </w:rPr>
        <w:t xml:space="preserve"> opis vključitve načrtovanja sanacije v strukturo upravljanja banke ter politike in postopke, ki urejajo odobritev načrta sanacije in določanje oseb v organizaciji, odgovornih za pripravo in izvajanje načrta; </w:t>
      </w:r>
    </w:p>
    <w:p w14:paraId="7F1D9E07" w14:textId="77777777" w:rsidR="006A1A88"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t xml:space="preserve">ureditve in ukrepe za ohranitev ali obnovitev kapitala; </w:t>
      </w:r>
    </w:p>
    <w:p w14:paraId="0F19A9A0" w14:textId="6F265E42" w:rsidR="006A1A88"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t xml:space="preserve">opis ureditev, ki zagotavljajo vire financiranja banke v izrednih </w:t>
      </w:r>
      <w:r w:rsidR="00C05DCD" w:rsidRPr="00215B2F">
        <w:rPr>
          <w:rFonts w:eastAsia="Arial" w:cs="Arial"/>
          <w:sz w:val="20"/>
          <w:szCs w:val="20"/>
        </w:rPr>
        <w:t>razmera</w:t>
      </w:r>
      <w:r w:rsidRPr="00215B2F">
        <w:rPr>
          <w:rFonts w:eastAsia="Arial" w:cs="Arial"/>
          <w:sz w:val="20"/>
          <w:szCs w:val="20"/>
        </w:rPr>
        <w:t xml:space="preserve">h, vključno z opredelitvijo </w:t>
      </w:r>
      <w:r w:rsidR="00C05DCD" w:rsidRPr="00215B2F">
        <w:rPr>
          <w:rFonts w:eastAsia="Arial" w:cs="Arial"/>
          <w:sz w:val="20"/>
          <w:szCs w:val="20"/>
        </w:rPr>
        <w:t>mož</w:t>
      </w:r>
      <w:r w:rsidRPr="00215B2F">
        <w:rPr>
          <w:rFonts w:eastAsia="Arial" w:cs="Arial"/>
          <w:sz w:val="20"/>
          <w:szCs w:val="20"/>
        </w:rPr>
        <w:t xml:space="preserve">nih virov, ki bi bili na razpolago, oceno razpoložljivega zavarovanja, oceno možnosti prenosa likvidnosti med subjekti v skupini in poslovnimi področji ter analizo izpolnjevanja pogojev za dostop banke do posojila v skrajni sili pri Banki Slovenije; </w:t>
      </w:r>
    </w:p>
    <w:p w14:paraId="3E596550" w14:textId="77777777" w:rsidR="006A1A88"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t xml:space="preserve">ureditve in ukrepe za zmanjšanje tveganja in zadolženosti; </w:t>
      </w:r>
    </w:p>
    <w:p w14:paraId="3278F9BC" w14:textId="77777777" w:rsidR="006A1A88"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t xml:space="preserve">ureditve in ukrepe za prestrukturiranje obveznosti; </w:t>
      </w:r>
    </w:p>
    <w:p w14:paraId="35E11D53" w14:textId="77777777" w:rsidR="006A1A88"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t xml:space="preserve">ureditve in ukrepe za prestrukturiranje poslovnih področij; </w:t>
      </w:r>
    </w:p>
    <w:p w14:paraId="062335A7" w14:textId="77777777" w:rsidR="006A1A88"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t xml:space="preserve">ureditve in ukrepe za ohranitev nemotenega dostopa do infrastruktur finančnih trgov; </w:t>
      </w:r>
    </w:p>
    <w:p w14:paraId="29D6FF71" w14:textId="77777777" w:rsidR="006A1A88"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lastRenderedPageBreak/>
        <w:t xml:space="preserve">ureditve in ukrepe, potrebne za ohranitev nemotenega izvajanja operativnih postopkov banke, vključno z omrežnimi in informacijskimi sistemi, ki se vzpostavijo in upravljajo v skladu z Uredbo 2022/2554/EU; </w:t>
      </w:r>
    </w:p>
    <w:p w14:paraId="4826DD0E" w14:textId="77777777" w:rsidR="006A1A88"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t xml:space="preserve">predhodne ureditve, da se olajša prodaja sredstev ali poslovnih področij v časovnem okviru, primernem za ponovno vzpostavitev finančne trdnosti; </w:t>
      </w:r>
    </w:p>
    <w:p w14:paraId="4710C2F7" w14:textId="77777777" w:rsidR="006A1A88"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t xml:space="preserve">druge ukrepe ali strategije upravljanja za ponovno vzpostavitev finančne trdnosti in predvideni finančni učinek teh ukrepov ali strategij; </w:t>
      </w:r>
    </w:p>
    <w:p w14:paraId="5B2F19E6" w14:textId="3779CBD7" w:rsidR="006A1A88"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t xml:space="preserve">opredelitev kvalitativnih in kvantitativnih kazalnikov poslabšanja finančnega položaja banke, ki zagotavljajo pravočasno izvedbo ukrepov za ohranitev ali ponovno vzpostavitev finančne trdnosti banke z lastnimi prizadevanji banke, vključno z opredelitvijo postopkov stopnjevanja ukrepov, ki zagotavljajo, da je uprava pravočasno </w:t>
      </w:r>
      <w:r w:rsidR="00E81043" w:rsidRPr="00215B2F">
        <w:rPr>
          <w:rFonts w:eastAsia="Arial" w:cs="Arial"/>
          <w:sz w:val="20"/>
          <w:szCs w:val="20"/>
        </w:rPr>
        <w:t>obvešče</w:t>
      </w:r>
      <w:r w:rsidRPr="00215B2F">
        <w:rPr>
          <w:rFonts w:eastAsia="Arial" w:cs="Arial"/>
          <w:sz w:val="20"/>
          <w:szCs w:val="20"/>
        </w:rPr>
        <w:t>na o stopnjevanju ukrepov in vključena v p</w:t>
      </w:r>
      <w:r w:rsidR="00E81043" w:rsidRPr="00215B2F">
        <w:rPr>
          <w:rFonts w:eastAsia="Arial" w:cs="Arial"/>
          <w:sz w:val="20"/>
          <w:szCs w:val="20"/>
        </w:rPr>
        <w:t>ostopk</w:t>
      </w:r>
      <w:r w:rsidRPr="00215B2F">
        <w:rPr>
          <w:rFonts w:eastAsia="Arial" w:cs="Arial"/>
          <w:sz w:val="20"/>
          <w:szCs w:val="20"/>
        </w:rPr>
        <w:t xml:space="preserve">e odločanja o teh ukrepih ter da se zagotovi pravočasno obveščanje Banke Slovenije, o stopnjevanju ukrepov ter o doseganju ali preseganju mejnih vrednosti kazalnikov poslabšanja; </w:t>
      </w:r>
    </w:p>
    <w:p w14:paraId="75ED78FA" w14:textId="1673A9AC" w:rsidR="006A1A88"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t xml:space="preserve">opis stresnih scenarijev, ki so upoštevani v načrtu, ter oceno učinkovitosti in izvedljivosti izvajanja načrta sanacije v </w:t>
      </w:r>
      <w:r w:rsidR="004037E2" w:rsidRPr="00215B2F">
        <w:rPr>
          <w:rFonts w:eastAsia="Arial" w:cs="Arial"/>
          <w:sz w:val="20"/>
          <w:szCs w:val="20"/>
        </w:rPr>
        <w:t xml:space="preserve">pogojih </w:t>
      </w:r>
      <w:r w:rsidRPr="00215B2F">
        <w:rPr>
          <w:rFonts w:eastAsia="Arial" w:cs="Arial"/>
          <w:sz w:val="20"/>
          <w:szCs w:val="20"/>
        </w:rPr>
        <w:t xml:space="preserve">posameznega stresnega scenarija, </w:t>
      </w:r>
    </w:p>
    <w:p w14:paraId="44C9102D" w14:textId="77777777" w:rsidR="006A1A88"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t xml:space="preserve">opis ukrepov, ki bi se lahko izvedli, če se izpolnijo pogoji za ukrepe zgodnjega posredovanja v skladu s tem zakonom; </w:t>
      </w:r>
    </w:p>
    <w:p w14:paraId="0D59F4AB" w14:textId="77777777" w:rsidR="006A1A88"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t xml:space="preserve">načrt interne izmenjave informacij in komunikacije z javnostjo, vključno z razkritji, ki jih izvede banka v zvezi z izvajanjem ukrepov sanacije, da se glede na posebne značilnosti, ki veljajo za posamezne možnosti sanacije, preprečijo ali zmanjšajo morebitni negativni učinki na trgu; </w:t>
      </w:r>
    </w:p>
    <w:p w14:paraId="413A05B4" w14:textId="75EFCE01" w:rsidR="00D91782" w:rsidRPr="00215B2F" w:rsidRDefault="00D91782" w:rsidP="003D4DE0">
      <w:pPr>
        <w:pStyle w:val="tevilnatoka"/>
        <w:numPr>
          <w:ilvl w:val="0"/>
          <w:numId w:val="150"/>
        </w:numPr>
        <w:shd w:val="clear" w:color="auto" w:fill="FFFFFF" w:themeFill="background1"/>
        <w:tabs>
          <w:tab w:val="clear" w:pos="425"/>
        </w:tabs>
        <w:rPr>
          <w:rFonts w:cs="Arial"/>
          <w:bCs/>
          <w:sz w:val="20"/>
          <w:szCs w:val="20"/>
        </w:rPr>
      </w:pPr>
      <w:r w:rsidRPr="00215B2F">
        <w:rPr>
          <w:rFonts w:eastAsia="Arial" w:cs="Arial"/>
          <w:sz w:val="20"/>
          <w:szCs w:val="20"/>
        </w:rPr>
        <w:t xml:space="preserve">seznam pripravljalnih ukrepov, ki jih je sprejela banka ali </w:t>
      </w:r>
      <w:r w:rsidR="00E81043" w:rsidRPr="00215B2F">
        <w:rPr>
          <w:rFonts w:eastAsia="Arial" w:cs="Arial"/>
          <w:sz w:val="20"/>
          <w:szCs w:val="20"/>
        </w:rPr>
        <w:t xml:space="preserve">jih </w:t>
      </w:r>
      <w:r w:rsidRPr="00215B2F">
        <w:rPr>
          <w:rFonts w:eastAsia="Arial" w:cs="Arial"/>
          <w:sz w:val="20"/>
          <w:szCs w:val="20"/>
        </w:rPr>
        <w:t xml:space="preserve">bo </w:t>
      </w:r>
      <w:r w:rsidR="00E81043" w:rsidRPr="00215B2F">
        <w:rPr>
          <w:rFonts w:eastAsia="Arial" w:cs="Arial"/>
          <w:sz w:val="20"/>
          <w:szCs w:val="20"/>
        </w:rPr>
        <w:t>sprejela</w:t>
      </w:r>
      <w:r w:rsidRPr="00215B2F">
        <w:rPr>
          <w:rFonts w:eastAsia="Arial" w:cs="Arial"/>
          <w:sz w:val="20"/>
          <w:szCs w:val="20"/>
        </w:rPr>
        <w:t xml:space="preserve">, da se olajša izvajanje načrta sanacije, vključno z ukrepi, potrebnimi za zagotovitev pravočasne dokapitalizacije banke. </w:t>
      </w:r>
    </w:p>
    <w:p w14:paraId="1F52E7E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0D45B2C" w14:textId="4A651A52"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9D914B3" w14:textId="2743D9E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CA2A99" w:rsidRPr="00215B2F">
        <w:rPr>
          <w:rFonts w:ascii="Arial" w:eastAsia="Arial" w:hAnsi="Arial" w:cs="Arial"/>
          <w:sz w:val="20"/>
          <w:szCs w:val="20"/>
        </w:rPr>
        <w:t>3</w:t>
      </w:r>
      <w:r w:rsidRPr="00215B2F">
        <w:rPr>
          <w:rFonts w:ascii="Arial" w:eastAsia="Arial" w:hAnsi="Arial" w:cs="Arial"/>
          <w:sz w:val="20"/>
          <w:szCs w:val="20"/>
        </w:rPr>
        <w:t>) Banka Slovenije, lahko za posamezno banko:</w:t>
      </w:r>
    </w:p>
    <w:p w14:paraId="71D01ED4"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491ABBF" w14:textId="77777777" w:rsidR="006A1A88" w:rsidRPr="00215B2F" w:rsidRDefault="00D91782" w:rsidP="003D4DE0">
      <w:pPr>
        <w:pStyle w:val="tevilnatoka"/>
        <w:numPr>
          <w:ilvl w:val="0"/>
          <w:numId w:val="151"/>
        </w:numPr>
        <w:shd w:val="clear" w:color="auto" w:fill="FFFFFF" w:themeFill="background1"/>
        <w:tabs>
          <w:tab w:val="clear" w:pos="425"/>
        </w:tabs>
        <w:rPr>
          <w:rFonts w:cs="Arial"/>
          <w:bCs/>
          <w:sz w:val="20"/>
          <w:szCs w:val="20"/>
        </w:rPr>
      </w:pPr>
      <w:r w:rsidRPr="00215B2F">
        <w:rPr>
          <w:rFonts w:eastAsia="Arial" w:cs="Arial"/>
          <w:sz w:val="20"/>
          <w:szCs w:val="20"/>
        </w:rPr>
        <w:t>določi dodatne informacije, ki jih mora banka vključiti v načrt sanacije;</w:t>
      </w:r>
    </w:p>
    <w:p w14:paraId="675CE5EE" w14:textId="36E0AE76" w:rsidR="00D91782" w:rsidRPr="00215B2F" w:rsidRDefault="00D91782" w:rsidP="00543D80">
      <w:pPr>
        <w:pStyle w:val="tevilnatoka"/>
        <w:rPr>
          <w:rFonts w:cs="Arial"/>
          <w:bCs/>
          <w:sz w:val="20"/>
          <w:szCs w:val="20"/>
        </w:rPr>
      </w:pPr>
      <w:r w:rsidRPr="00215B2F">
        <w:rPr>
          <w:rFonts w:eastAsia="Arial" w:cs="Arial"/>
          <w:sz w:val="20"/>
          <w:szCs w:val="20"/>
        </w:rPr>
        <w:t>zahteva, da banka za namene ocenjevanja in izvajanja načrta sanacije vodi podrobne evidence s podatki o sklenjenih finančnih pogodbah.</w:t>
      </w:r>
    </w:p>
    <w:p w14:paraId="4493BA8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3E67C24" w14:textId="77777777" w:rsidR="00FF337B" w:rsidRPr="00215B2F" w:rsidRDefault="00FF337B"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97" w:name="_Ref202965249"/>
      <w:r w:rsidRPr="00215B2F">
        <w:rPr>
          <w:rFonts w:ascii="Arial" w:eastAsia="Arial" w:hAnsi="Arial" w:cs="Arial"/>
          <w:b/>
          <w:bCs/>
          <w:sz w:val="20"/>
          <w:szCs w:val="20"/>
        </w:rPr>
        <w:t>člen</w:t>
      </w:r>
      <w:bookmarkEnd w:id="297"/>
    </w:p>
    <w:p w14:paraId="4B25508B"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(kazalniki poslabšanja finančnega položaja banke)</w:t>
      </w:r>
    </w:p>
    <w:p w14:paraId="5E39DD0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18FCC1F" w14:textId="6B2D751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mora zagotoviti, da kvantitativni in kvalitativni kazalniki poslabšanja finančnega položaja, ki na podlagi načrta sanacije sprožijo posamezne ukrepe sanacije ali pripravljalne aktivnosti za uporabo posameznih ukrepov sanacije, omogočajo </w:t>
      </w:r>
      <w:r w:rsidR="004037E2" w:rsidRPr="00215B2F">
        <w:rPr>
          <w:rFonts w:ascii="Arial" w:eastAsia="Arial" w:hAnsi="Arial" w:cs="Arial"/>
          <w:sz w:val="20"/>
          <w:szCs w:val="20"/>
        </w:rPr>
        <w:t>enostavno</w:t>
      </w:r>
      <w:r w:rsidRPr="00215B2F">
        <w:rPr>
          <w:rFonts w:ascii="Arial" w:eastAsia="Arial" w:hAnsi="Arial" w:cs="Arial"/>
          <w:sz w:val="20"/>
          <w:szCs w:val="20"/>
        </w:rPr>
        <w:t>, tekoče in ustrezno spremljanje finančnega položaja banke.</w:t>
      </w:r>
    </w:p>
    <w:p w14:paraId="37F7237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496A31E" w14:textId="7FD20AD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mora vzpostaviti ustrezne notranje ureditve za redno spremljanje kazalnikov iz prejšnjega odstavka.</w:t>
      </w:r>
    </w:p>
    <w:p w14:paraId="767EF6E1"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1FC986F" w14:textId="438F961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Če z upoštevanjem kazalnikov poslabšanja finančnega položaja banke, ki so opredeljeni v načrtu sanacije, nastopijo okoliščine za uporabo posameznih ukrepov sanacije, banka ni zavezana uporabiti ukrepov sanacije, ki so za te primere predvideni v načrtu sanacije, če upravljalni organ banke meni, da glede na dejanske razmere uporaba teh ukrepov ni primerna.</w:t>
      </w:r>
    </w:p>
    <w:p w14:paraId="0732D12E"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2708855" w14:textId="3682142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lahko uporabi ukrepe sanacije, predvidene v načrtu sanacije</w:t>
      </w:r>
      <w:r w:rsidR="008E611C" w:rsidRPr="00215B2F">
        <w:rPr>
          <w:rFonts w:ascii="Arial" w:eastAsia="Arial" w:hAnsi="Arial" w:cs="Arial"/>
          <w:sz w:val="20"/>
          <w:szCs w:val="20"/>
        </w:rPr>
        <w:t>,</w:t>
      </w:r>
      <w:r w:rsidRPr="00215B2F">
        <w:rPr>
          <w:rFonts w:ascii="Arial" w:eastAsia="Arial" w:hAnsi="Arial" w:cs="Arial"/>
          <w:sz w:val="20"/>
          <w:szCs w:val="20"/>
        </w:rPr>
        <w:t xml:space="preserve"> tudi če z upoštevanjem kazalnikov poslabšanja finančnega položaja banke, ki so opredeljeni v načrtu sanacije, niso nastopile okoliščine za uporabo posameznih ukrepov sanacije, če upravljalni organ banke meni, da je glede na razmere to primerno.</w:t>
      </w:r>
    </w:p>
    <w:p w14:paraId="5380CD5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22AEC96" w14:textId="02E9BE2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mora nemudoma obvestiti Banko Slovenije o odločitvi iz tretjega ali četrtega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53C309D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C5C49CC"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98" w:name="_Ref202965257"/>
      <w:r w:rsidRPr="00215B2F">
        <w:rPr>
          <w:rFonts w:ascii="Arial" w:eastAsia="Arial" w:hAnsi="Arial" w:cs="Arial"/>
          <w:b/>
          <w:bCs/>
          <w:sz w:val="20"/>
          <w:szCs w:val="20"/>
        </w:rPr>
        <w:t>člen</w:t>
      </w:r>
      <w:bookmarkEnd w:id="298"/>
    </w:p>
    <w:p w14:paraId="30DEB3C5" w14:textId="77777777" w:rsidR="00D91782" w:rsidRPr="00215B2F" w:rsidRDefault="00D91782" w:rsidP="00FD5520">
      <w:pPr>
        <w:pStyle w:val="Slog1"/>
        <w:shd w:val="clear" w:color="auto" w:fill="FFFFFF" w:themeFill="background1"/>
        <w:rPr>
          <w:sz w:val="20"/>
          <w:szCs w:val="20"/>
        </w:rPr>
      </w:pPr>
      <w:r w:rsidRPr="00215B2F">
        <w:rPr>
          <w:sz w:val="20"/>
          <w:szCs w:val="20"/>
        </w:rPr>
        <w:t>(interna potrditev in preverjanje ustreznosti načrta sanacije)</w:t>
      </w:r>
    </w:p>
    <w:p w14:paraId="6AA365CE" w14:textId="77777777" w:rsidR="00D91782" w:rsidRPr="00215B2F" w:rsidRDefault="00D91782" w:rsidP="00FD5520">
      <w:pPr>
        <w:pStyle w:val="Slog1"/>
        <w:shd w:val="clear" w:color="auto" w:fill="FFFFFF" w:themeFill="background1"/>
        <w:jc w:val="both"/>
        <w:rPr>
          <w:sz w:val="20"/>
          <w:szCs w:val="20"/>
        </w:rPr>
      </w:pPr>
    </w:p>
    <w:p w14:paraId="1985767E" w14:textId="35A9A9A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Načrt sanacije ter vsakokratne spremembe načrta sprejme upravljalni organ banke, preden ga predloži Banki Slovenije. Banka hkrati predloži dokazila, da:</w:t>
      </w:r>
    </w:p>
    <w:p w14:paraId="4B9DBD07"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6E1D2B5" w14:textId="2C52125C" w:rsidR="006A1A88" w:rsidRPr="00215B2F" w:rsidRDefault="00D91782" w:rsidP="003D4DE0">
      <w:pPr>
        <w:pStyle w:val="tevilnatoka"/>
        <w:numPr>
          <w:ilvl w:val="0"/>
          <w:numId w:val="152"/>
        </w:numPr>
        <w:shd w:val="clear" w:color="auto" w:fill="FFFFFF" w:themeFill="background1"/>
        <w:tabs>
          <w:tab w:val="clear" w:pos="425"/>
        </w:tabs>
        <w:rPr>
          <w:rFonts w:cs="Arial"/>
          <w:bCs/>
          <w:sz w:val="20"/>
          <w:szCs w:val="20"/>
        </w:rPr>
      </w:pPr>
      <w:r w:rsidRPr="00215B2F">
        <w:rPr>
          <w:rFonts w:eastAsia="Arial" w:cs="Arial"/>
          <w:sz w:val="20"/>
          <w:szCs w:val="20"/>
        </w:rPr>
        <w:lastRenderedPageBreak/>
        <w:t>se bo</w:t>
      </w:r>
      <w:r w:rsidR="00B1522C" w:rsidRPr="00215B2F">
        <w:rPr>
          <w:rFonts w:eastAsia="Arial" w:cs="Arial"/>
          <w:sz w:val="20"/>
          <w:szCs w:val="20"/>
        </w:rPr>
        <w:t>sta</w:t>
      </w:r>
      <w:r w:rsidRPr="00215B2F">
        <w:rPr>
          <w:rFonts w:eastAsia="Arial" w:cs="Arial"/>
          <w:sz w:val="20"/>
          <w:szCs w:val="20"/>
        </w:rPr>
        <w:t xml:space="preserve"> z izvajanjem ukrepov, določenih v načrtu sanacije, z ustrezno verjetnostjo ohranil</w:t>
      </w:r>
      <w:r w:rsidR="00B1522C" w:rsidRPr="00215B2F">
        <w:rPr>
          <w:rFonts w:eastAsia="Arial" w:cs="Arial"/>
          <w:sz w:val="20"/>
          <w:szCs w:val="20"/>
        </w:rPr>
        <w:t>a</w:t>
      </w:r>
      <w:r w:rsidRPr="00215B2F">
        <w:rPr>
          <w:rFonts w:eastAsia="Arial" w:cs="Arial"/>
          <w:sz w:val="20"/>
          <w:szCs w:val="20"/>
        </w:rPr>
        <w:t xml:space="preserve"> ali </w:t>
      </w:r>
      <w:r w:rsidR="00F455AB" w:rsidRPr="00215B2F">
        <w:rPr>
          <w:rFonts w:eastAsia="Arial" w:cs="Arial"/>
          <w:sz w:val="20"/>
          <w:szCs w:val="20"/>
        </w:rPr>
        <w:t>z</w:t>
      </w:r>
      <w:r w:rsidRPr="00215B2F">
        <w:rPr>
          <w:rFonts w:eastAsia="Arial" w:cs="Arial"/>
          <w:sz w:val="20"/>
          <w:szCs w:val="20"/>
        </w:rPr>
        <w:t>nov</w:t>
      </w:r>
      <w:r w:rsidR="00F455AB" w:rsidRPr="00215B2F">
        <w:rPr>
          <w:rFonts w:eastAsia="Arial" w:cs="Arial"/>
          <w:sz w:val="20"/>
          <w:szCs w:val="20"/>
        </w:rPr>
        <w:t>a</w:t>
      </w:r>
      <w:r w:rsidRPr="00215B2F">
        <w:rPr>
          <w:rFonts w:eastAsia="Arial" w:cs="Arial"/>
          <w:sz w:val="20"/>
          <w:szCs w:val="20"/>
        </w:rPr>
        <w:t xml:space="preserve"> vzpostavil</w:t>
      </w:r>
      <w:r w:rsidR="00B1522C" w:rsidRPr="00215B2F">
        <w:rPr>
          <w:rFonts w:eastAsia="Arial" w:cs="Arial"/>
          <w:sz w:val="20"/>
          <w:szCs w:val="20"/>
        </w:rPr>
        <w:t>a</w:t>
      </w:r>
      <w:r w:rsidRPr="00215B2F">
        <w:rPr>
          <w:rFonts w:eastAsia="Arial" w:cs="Arial"/>
          <w:sz w:val="20"/>
          <w:szCs w:val="20"/>
        </w:rPr>
        <w:t xml:space="preserve"> uspešno poslovanje in trden finančni položaj banke, pri čemer se upoštevajo pripravljalni ukrepi, ki jih je banka sprejela ali jih bo sprejela;</w:t>
      </w:r>
    </w:p>
    <w:p w14:paraId="40B4FA02" w14:textId="6B75F26B" w:rsidR="00D91782" w:rsidRPr="00215B2F" w:rsidRDefault="00D91782" w:rsidP="003D4DE0">
      <w:pPr>
        <w:pStyle w:val="tevilnatoka"/>
        <w:numPr>
          <w:ilvl w:val="0"/>
          <w:numId w:val="152"/>
        </w:numPr>
        <w:shd w:val="clear" w:color="auto" w:fill="FFFFFF" w:themeFill="background1"/>
        <w:tabs>
          <w:tab w:val="clear" w:pos="425"/>
        </w:tabs>
        <w:rPr>
          <w:rFonts w:cs="Arial"/>
          <w:bCs/>
          <w:sz w:val="20"/>
          <w:szCs w:val="20"/>
        </w:rPr>
      </w:pPr>
      <w:r w:rsidRPr="00215B2F">
        <w:rPr>
          <w:rFonts w:eastAsia="Arial" w:cs="Arial"/>
          <w:sz w:val="20"/>
          <w:szCs w:val="20"/>
        </w:rPr>
        <w:t>se bodo načrt sanacije in v njem predvideni posebni ukrepi z ustrezno verjetnostjo hitro in učinkovito izvajali tudi v primeru stresnih okoliščin, tako da se bo v čim večji meri preprečil resnejši negativni vpliv na finančni sistem, tudi po stresnih scenarijih, v katerih bi druge institucije izvajale načrte sanacije v istem obdobju.</w:t>
      </w:r>
    </w:p>
    <w:p w14:paraId="09E39BF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9E806A6" w14:textId="082D86F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mora redno preverjati ustreznost ukrepov sanacije, določenih v načrtu sanacije. Na podlagi ugotovitev rednega preverjanja mora banka načrt sanacije posodobiti najmanj enkrat letno. Ne glede na prejšnji stavek mora banka načrt sanacije posodobiti ob vsakokratni spremembi njene pravne ali organizacijske strukture ali ob vsaki spremembi njenega poslovnega ali finančnega položaja, ki bi lahko pomembno vplival na izvajanje predvidenih ukrepov sanacije ali na uspešnost načrta sanacije za stabilizacijo poslovanja banke. Banka Slovenije ali Evropska centralna banka, kadar je </w:t>
      </w:r>
      <w:r w:rsidR="00C7578A" w:rsidRPr="00215B2F">
        <w:rPr>
          <w:rFonts w:ascii="Arial" w:eastAsia="Arial" w:hAnsi="Arial" w:cs="Arial"/>
          <w:sz w:val="20"/>
          <w:szCs w:val="20"/>
        </w:rPr>
        <w:t xml:space="preserve">ta </w:t>
      </w:r>
      <w:r w:rsidRPr="00215B2F">
        <w:rPr>
          <w:rFonts w:ascii="Arial" w:eastAsia="Arial" w:hAnsi="Arial" w:cs="Arial"/>
          <w:sz w:val="20"/>
          <w:szCs w:val="20"/>
        </w:rPr>
        <w:t xml:space="preserve">v skladu z Uredbo 1024/2013/EU pri opravljanju nadzora nad banko odgovorna za izvajanje nalog iz točke (i) prvega odstavka 4. člena </w:t>
      </w:r>
      <w:r w:rsidR="00091BC8" w:rsidRPr="00215B2F">
        <w:rPr>
          <w:rFonts w:ascii="Arial" w:eastAsia="Arial" w:hAnsi="Arial" w:cs="Arial"/>
          <w:sz w:val="20"/>
          <w:szCs w:val="20"/>
        </w:rPr>
        <w:t>navedene uredbe</w:t>
      </w:r>
      <w:r w:rsidRPr="00215B2F">
        <w:rPr>
          <w:rFonts w:ascii="Arial" w:eastAsia="Arial" w:hAnsi="Arial" w:cs="Arial"/>
          <w:sz w:val="20"/>
          <w:szCs w:val="20"/>
        </w:rPr>
        <w:t>, lahko določi, da mora banka načrt sanacije redno posodabljati v obdobjih, ki so krajša od enega leta.</w:t>
      </w:r>
    </w:p>
    <w:p w14:paraId="145E875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97A044C"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299" w:name="_Ref202965264"/>
      <w:r w:rsidRPr="00215B2F">
        <w:rPr>
          <w:rFonts w:ascii="Arial" w:eastAsia="Arial" w:hAnsi="Arial" w:cs="Arial"/>
          <w:b/>
          <w:bCs/>
          <w:sz w:val="20"/>
          <w:szCs w:val="20"/>
        </w:rPr>
        <w:t>člen</w:t>
      </w:r>
      <w:bookmarkEnd w:id="299"/>
    </w:p>
    <w:p w14:paraId="08E75210" w14:textId="77777777" w:rsidR="00D91782" w:rsidRPr="00215B2F" w:rsidRDefault="00D91782" w:rsidP="00FD5520">
      <w:pPr>
        <w:pStyle w:val="Slog1"/>
        <w:shd w:val="clear" w:color="auto" w:fill="FFFFFF" w:themeFill="background1"/>
        <w:rPr>
          <w:sz w:val="20"/>
          <w:szCs w:val="20"/>
        </w:rPr>
      </w:pPr>
      <w:r w:rsidRPr="00215B2F">
        <w:rPr>
          <w:sz w:val="20"/>
          <w:szCs w:val="20"/>
        </w:rPr>
        <w:t>(poenostavljene obveznosti)</w:t>
      </w:r>
    </w:p>
    <w:p w14:paraId="2D43EA2F" w14:textId="77777777" w:rsidR="00D91782" w:rsidRPr="00215B2F" w:rsidRDefault="00D91782" w:rsidP="00FD5520">
      <w:pPr>
        <w:pStyle w:val="Slog1"/>
        <w:shd w:val="clear" w:color="auto" w:fill="FFFFFF" w:themeFill="background1"/>
        <w:jc w:val="both"/>
        <w:rPr>
          <w:sz w:val="20"/>
          <w:szCs w:val="20"/>
        </w:rPr>
      </w:pPr>
    </w:p>
    <w:p w14:paraId="217BD3A9" w14:textId="2F2C167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lahko odloči, da se za </w:t>
      </w:r>
      <w:r w:rsidR="001E7479" w:rsidRPr="00215B2F">
        <w:rPr>
          <w:rFonts w:ascii="Arial" w:eastAsia="Arial" w:hAnsi="Arial" w:cs="Arial"/>
          <w:sz w:val="20"/>
          <w:szCs w:val="20"/>
        </w:rPr>
        <w:t>posamezno</w:t>
      </w:r>
      <w:r w:rsidRPr="00215B2F">
        <w:rPr>
          <w:rFonts w:ascii="Arial" w:eastAsia="Arial" w:hAnsi="Arial" w:cs="Arial"/>
          <w:sz w:val="20"/>
          <w:szCs w:val="20"/>
        </w:rPr>
        <w:t xml:space="preserve"> banko glede načrta sanacije ne uporabljajo obveznosti iz </w:t>
      </w:r>
      <w:r w:rsidR="00B04BC8" w:rsidRPr="00215B2F">
        <w:rPr>
          <w:rFonts w:ascii="Arial" w:eastAsia="Arial" w:hAnsi="Arial" w:cs="Arial"/>
          <w:sz w:val="20"/>
          <w:szCs w:val="20"/>
        </w:rPr>
        <w:t>243</w:t>
      </w:r>
      <w:r w:rsidRPr="00215B2F">
        <w:rPr>
          <w:rFonts w:ascii="Arial" w:eastAsia="Arial" w:hAnsi="Arial" w:cs="Arial"/>
          <w:sz w:val="20"/>
          <w:szCs w:val="20"/>
        </w:rPr>
        <w:t xml:space="preserve">. do </w:t>
      </w:r>
      <w:r w:rsidR="00B04BC8" w:rsidRPr="00215B2F">
        <w:rPr>
          <w:rFonts w:ascii="Arial" w:eastAsia="Arial" w:hAnsi="Arial" w:cs="Arial"/>
          <w:sz w:val="20"/>
          <w:szCs w:val="20"/>
        </w:rPr>
        <w:t>245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če oceni, da prenehanje ali stečaj banke ali nadrejene družbe verjetno ne bi povzročil pomembnejših negativnih posledic na delovanje finančnega trga in drugih institucij, na pogoje financiranja ali širše gospodarstvo.</w:t>
      </w:r>
    </w:p>
    <w:p w14:paraId="7530092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673B1EB" w14:textId="2F6D2AF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pri oceni iz prejšnjega odstavka upošteva naravo poslovanja, delniško strukturo, profil tveganja, velikost in statusno obliko, medsebojno povezanost z drugimi institucijami ali finančnim sistemom na splošno, obseg in zapletenosti aktivnosti, vključenosti v institucionalno shemo za zaščito vlog, ki izpolnjuje zahteve iz sedmega odstavka 113. člena Uredbe 575/2013/EU, ter opravljanje investicijskih storitev in poslov. Banka Slovenije ali Evropska centralna banka, kadar je </w:t>
      </w:r>
      <w:r w:rsidR="009D1B99" w:rsidRPr="00215B2F">
        <w:rPr>
          <w:rFonts w:ascii="Arial" w:eastAsia="Arial" w:hAnsi="Arial" w:cs="Arial"/>
          <w:sz w:val="20"/>
          <w:szCs w:val="20"/>
        </w:rPr>
        <w:t xml:space="preserve">ta </w:t>
      </w:r>
      <w:r w:rsidRPr="00215B2F">
        <w:rPr>
          <w:rFonts w:ascii="Arial" w:eastAsia="Arial" w:hAnsi="Arial" w:cs="Arial"/>
          <w:sz w:val="20"/>
          <w:szCs w:val="20"/>
        </w:rPr>
        <w:t xml:space="preserve">v skladu z Uredbo 1024/2013/EU pri opravljanju nadzora nad banko odgovorna za izvajanje nalog iz točke (i) prvega odstavka 4. člena </w:t>
      </w:r>
      <w:r w:rsidR="00091BC8" w:rsidRPr="00215B2F">
        <w:rPr>
          <w:rFonts w:ascii="Arial" w:eastAsia="Arial" w:hAnsi="Arial" w:cs="Arial"/>
          <w:sz w:val="20"/>
          <w:szCs w:val="20"/>
        </w:rPr>
        <w:t>navedene uredbe</w:t>
      </w:r>
      <w:r w:rsidRPr="00215B2F">
        <w:rPr>
          <w:rFonts w:ascii="Arial" w:eastAsia="Arial" w:hAnsi="Arial" w:cs="Arial"/>
          <w:sz w:val="20"/>
          <w:szCs w:val="20"/>
        </w:rPr>
        <w:t>, se v zvezi z oceno iz prejšnjega odstavka posvetuje z Odborom za finančno stabilnost.</w:t>
      </w:r>
    </w:p>
    <w:p w14:paraId="552F958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F7D4EB3" w14:textId="2C2A786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V primeru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Banka Slovenije določi obseg obveznosti ter vsebino in podrobnosti načrta sanacije in informacij, ki jih je treba zagotoviti v poenostavljenem načrtu sanacije, ter pogostost posodabljanja te</w:t>
      </w:r>
      <w:r w:rsidR="003E702C" w:rsidRPr="00215B2F">
        <w:rPr>
          <w:rFonts w:ascii="Arial" w:eastAsia="Arial" w:hAnsi="Arial" w:cs="Arial"/>
          <w:sz w:val="20"/>
          <w:szCs w:val="20"/>
        </w:rPr>
        <w:t>ga</w:t>
      </w:r>
      <w:r w:rsidRPr="00215B2F">
        <w:rPr>
          <w:rFonts w:ascii="Arial" w:eastAsia="Arial" w:hAnsi="Arial" w:cs="Arial"/>
          <w:sz w:val="20"/>
          <w:szCs w:val="20"/>
        </w:rPr>
        <w:t xml:space="preserve"> načrt</w:t>
      </w:r>
      <w:r w:rsidR="003E702C" w:rsidRPr="00215B2F">
        <w:rPr>
          <w:rFonts w:ascii="Arial" w:eastAsia="Arial" w:hAnsi="Arial" w:cs="Arial"/>
          <w:sz w:val="20"/>
          <w:szCs w:val="20"/>
        </w:rPr>
        <w:t>a</w:t>
      </w:r>
      <w:r w:rsidRPr="00215B2F">
        <w:rPr>
          <w:rFonts w:ascii="Arial" w:eastAsia="Arial" w:hAnsi="Arial" w:cs="Arial"/>
          <w:sz w:val="20"/>
          <w:szCs w:val="20"/>
        </w:rPr>
        <w:t>.</w:t>
      </w:r>
    </w:p>
    <w:p w14:paraId="0927B03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5410A0F" w14:textId="74596B3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lahko kadar</w:t>
      </w:r>
      <w:r w:rsidR="009D1B99" w:rsidRPr="00215B2F">
        <w:rPr>
          <w:rFonts w:ascii="Arial" w:eastAsia="Arial" w:hAnsi="Arial" w:cs="Arial"/>
          <w:sz w:val="20"/>
          <w:szCs w:val="20"/>
        </w:rPr>
        <w:t xml:space="preserve"> </w:t>
      </w:r>
      <w:r w:rsidRPr="00215B2F">
        <w:rPr>
          <w:rFonts w:ascii="Arial" w:eastAsia="Arial" w:hAnsi="Arial" w:cs="Arial"/>
          <w:sz w:val="20"/>
          <w:szCs w:val="20"/>
        </w:rPr>
        <w:t xml:space="preserve">koli prekliče poenostavljene obveznosti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in zahteva, da banka ali njena nadrejena družba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izdela in sprejme načrt sanacije v skladu z </w:t>
      </w:r>
      <w:r w:rsidR="00B04BC8" w:rsidRPr="00215B2F">
        <w:rPr>
          <w:rFonts w:ascii="Arial" w:eastAsia="Arial" w:hAnsi="Arial" w:cs="Arial"/>
          <w:sz w:val="20"/>
          <w:szCs w:val="20"/>
        </w:rPr>
        <w:t>243</w:t>
      </w:r>
      <w:r w:rsidRPr="00215B2F">
        <w:rPr>
          <w:rFonts w:ascii="Arial" w:eastAsia="Arial" w:hAnsi="Arial" w:cs="Arial"/>
          <w:sz w:val="20"/>
          <w:szCs w:val="20"/>
        </w:rPr>
        <w:t xml:space="preserve">. do </w:t>
      </w:r>
      <w:r w:rsidR="00B04BC8" w:rsidRPr="00215B2F">
        <w:rPr>
          <w:rFonts w:ascii="Arial" w:eastAsia="Arial" w:hAnsi="Arial" w:cs="Arial"/>
          <w:sz w:val="20"/>
          <w:szCs w:val="20"/>
        </w:rPr>
        <w:t>245</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3071499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B2BC3E7" w14:textId="72BCA9F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Banka Slovenije lahko za posamezno banko glede načrta sanacije v celoti ali delno opusti uporabo zahtev iz</w:t>
      </w:r>
      <w:r w:rsidR="00631E74" w:rsidRPr="00215B2F">
        <w:rPr>
          <w:rFonts w:ascii="Arial" w:eastAsia="Arial" w:hAnsi="Arial" w:cs="Arial"/>
          <w:sz w:val="20"/>
          <w:szCs w:val="20"/>
        </w:rPr>
        <w:t xml:space="preserve"> tega</w:t>
      </w:r>
      <w:r w:rsidRPr="00215B2F">
        <w:rPr>
          <w:rFonts w:ascii="Arial" w:eastAsia="Arial" w:hAnsi="Arial" w:cs="Arial"/>
          <w:sz w:val="20"/>
          <w:szCs w:val="20"/>
        </w:rPr>
        <w:t xml:space="preserve"> </w:t>
      </w:r>
      <w:r w:rsidR="005B0CC7" w:rsidRPr="00215B2F">
        <w:rPr>
          <w:rFonts w:ascii="Arial" w:eastAsia="Arial" w:hAnsi="Arial" w:cs="Arial"/>
          <w:sz w:val="20"/>
          <w:szCs w:val="20"/>
        </w:rPr>
        <w:t>o</w:t>
      </w:r>
      <w:r w:rsidR="001F2C7A" w:rsidRPr="00215B2F">
        <w:rPr>
          <w:rFonts w:ascii="Arial" w:eastAsia="Arial" w:hAnsi="Arial" w:cs="Arial"/>
          <w:sz w:val="20"/>
          <w:szCs w:val="20"/>
        </w:rPr>
        <w:t>ddelka</w:t>
      </w:r>
      <w:r w:rsidRPr="00215B2F">
        <w:rPr>
          <w:rFonts w:ascii="Arial" w:eastAsia="Arial" w:hAnsi="Arial" w:cs="Arial"/>
          <w:sz w:val="20"/>
          <w:szCs w:val="20"/>
        </w:rPr>
        <w:t>, tudi če:</w:t>
      </w:r>
    </w:p>
    <w:p w14:paraId="12C2939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002E848" w14:textId="4AD1A267" w:rsidR="006A1A88" w:rsidRPr="00215B2F" w:rsidRDefault="00D91782" w:rsidP="003D4DE0">
      <w:pPr>
        <w:pStyle w:val="tevilnatoka"/>
        <w:numPr>
          <w:ilvl w:val="0"/>
          <w:numId w:val="153"/>
        </w:numPr>
        <w:shd w:val="clear" w:color="auto" w:fill="FFFFFF" w:themeFill="background1"/>
        <w:tabs>
          <w:tab w:val="clear" w:pos="425"/>
        </w:tabs>
        <w:rPr>
          <w:rFonts w:cs="Arial"/>
          <w:bCs/>
          <w:sz w:val="20"/>
          <w:szCs w:val="20"/>
        </w:rPr>
      </w:pPr>
      <w:r w:rsidRPr="00215B2F">
        <w:rPr>
          <w:rFonts w:eastAsia="Arial" w:cs="Arial"/>
          <w:sz w:val="20"/>
          <w:szCs w:val="20"/>
        </w:rPr>
        <w:t xml:space="preserve">je za to banko v skladu z 10. členom Uredbe 575/2013/EU v celoti ali delno opustila uporabo bonitetnih zahtev in se zahteve iz </w:t>
      </w:r>
      <w:r w:rsidR="00631E74" w:rsidRPr="00215B2F">
        <w:rPr>
          <w:rFonts w:eastAsia="Arial" w:cs="Arial"/>
          <w:sz w:val="20"/>
          <w:szCs w:val="20"/>
        </w:rPr>
        <w:t xml:space="preserve">tega </w:t>
      </w:r>
      <w:r w:rsidR="005B0CC7" w:rsidRPr="00215B2F">
        <w:rPr>
          <w:rFonts w:eastAsia="Arial" w:cs="Arial"/>
          <w:sz w:val="20"/>
          <w:szCs w:val="20"/>
        </w:rPr>
        <w:t>o</w:t>
      </w:r>
      <w:r w:rsidR="001F2C7A" w:rsidRPr="00215B2F">
        <w:rPr>
          <w:rFonts w:eastAsia="Arial" w:cs="Arial"/>
          <w:sz w:val="20"/>
          <w:szCs w:val="20"/>
        </w:rPr>
        <w:t>ddelka</w:t>
      </w:r>
      <w:r w:rsidRPr="00215B2F">
        <w:rPr>
          <w:rFonts w:eastAsia="Arial" w:cs="Arial"/>
          <w:sz w:val="20"/>
          <w:szCs w:val="20"/>
        </w:rPr>
        <w:t xml:space="preserve"> uporabljajo na konsolidirani podlagi za centralni organ in z njim povezane institucije v smislu 10. člena Uredbe 575/2013/EU ali</w:t>
      </w:r>
    </w:p>
    <w:p w14:paraId="7C47CD79" w14:textId="1977C57C" w:rsidR="00D91782" w:rsidRPr="00215B2F" w:rsidRDefault="00D91782" w:rsidP="003D4DE0">
      <w:pPr>
        <w:pStyle w:val="tevilnatoka"/>
        <w:numPr>
          <w:ilvl w:val="0"/>
          <w:numId w:val="153"/>
        </w:numPr>
        <w:shd w:val="clear" w:color="auto" w:fill="FFFFFF" w:themeFill="background1"/>
        <w:tabs>
          <w:tab w:val="clear" w:pos="425"/>
        </w:tabs>
        <w:rPr>
          <w:rFonts w:cs="Arial"/>
          <w:bCs/>
          <w:sz w:val="20"/>
          <w:szCs w:val="20"/>
        </w:rPr>
      </w:pPr>
      <w:r w:rsidRPr="00215B2F">
        <w:rPr>
          <w:rFonts w:eastAsia="Arial" w:cs="Arial"/>
          <w:sz w:val="20"/>
          <w:szCs w:val="20"/>
        </w:rPr>
        <w:t xml:space="preserve">je banka vključena v institucionalno shemo za zaščito vlog, ki izpolnjuje zahteve iz sedmega odstavka 113. člena Uredbe 575/2013/EU, in shema izpolnjuje zahteve iz </w:t>
      </w:r>
      <w:r w:rsidR="00631E74" w:rsidRPr="00215B2F">
        <w:rPr>
          <w:rFonts w:eastAsia="Arial" w:cs="Arial"/>
          <w:sz w:val="20"/>
          <w:szCs w:val="20"/>
        </w:rPr>
        <w:t xml:space="preserve">tega </w:t>
      </w:r>
      <w:r w:rsidR="005B0CC7" w:rsidRPr="00215B2F">
        <w:rPr>
          <w:rFonts w:eastAsia="Arial" w:cs="Arial"/>
          <w:sz w:val="20"/>
          <w:szCs w:val="20"/>
        </w:rPr>
        <w:t>o</w:t>
      </w:r>
      <w:r w:rsidR="001F2C7A" w:rsidRPr="00215B2F">
        <w:rPr>
          <w:rFonts w:eastAsia="Arial" w:cs="Arial"/>
          <w:sz w:val="20"/>
          <w:szCs w:val="20"/>
        </w:rPr>
        <w:t>ddelka</w:t>
      </w:r>
      <w:r w:rsidRPr="00215B2F">
        <w:rPr>
          <w:rFonts w:eastAsia="Arial" w:cs="Arial"/>
          <w:sz w:val="20"/>
          <w:szCs w:val="20"/>
        </w:rPr>
        <w:t xml:space="preserve"> v sodelovanju z vsemi članicami sheme, za katere velja taka opustitev.</w:t>
      </w:r>
    </w:p>
    <w:p w14:paraId="6DEC347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9A29B3B" w14:textId="735A654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Za namen iz prejšnjega odstavka se šteje, da vsa sklicevanja na:</w:t>
      </w:r>
    </w:p>
    <w:p w14:paraId="00A920C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5D660BB" w14:textId="4C83E2E8" w:rsidR="006A1A88" w:rsidRPr="00215B2F" w:rsidRDefault="00631E74" w:rsidP="003D4DE0">
      <w:pPr>
        <w:pStyle w:val="tevilnatoka"/>
        <w:numPr>
          <w:ilvl w:val="0"/>
          <w:numId w:val="154"/>
        </w:numPr>
        <w:shd w:val="clear" w:color="auto" w:fill="FFFFFF" w:themeFill="background1"/>
        <w:tabs>
          <w:tab w:val="clear" w:pos="425"/>
        </w:tabs>
        <w:rPr>
          <w:rFonts w:cs="Arial"/>
          <w:bCs/>
          <w:sz w:val="20"/>
          <w:szCs w:val="20"/>
        </w:rPr>
      </w:pPr>
      <w:r w:rsidRPr="00215B2F">
        <w:rPr>
          <w:rFonts w:eastAsia="Arial" w:cs="Arial"/>
          <w:sz w:val="20"/>
          <w:szCs w:val="20"/>
        </w:rPr>
        <w:t xml:space="preserve">ta </w:t>
      </w:r>
      <w:r w:rsidR="005B0CC7" w:rsidRPr="00215B2F">
        <w:rPr>
          <w:rFonts w:eastAsia="Arial" w:cs="Arial"/>
          <w:sz w:val="20"/>
          <w:szCs w:val="20"/>
        </w:rPr>
        <w:t>o</w:t>
      </w:r>
      <w:r w:rsidR="001F2C7A" w:rsidRPr="00215B2F">
        <w:rPr>
          <w:rFonts w:eastAsia="Arial" w:cs="Arial"/>
          <w:sz w:val="20"/>
          <w:szCs w:val="20"/>
        </w:rPr>
        <w:t xml:space="preserve">ddelek </w:t>
      </w:r>
      <w:r w:rsidR="00D91782" w:rsidRPr="00215B2F">
        <w:rPr>
          <w:rFonts w:eastAsia="Arial" w:cs="Arial"/>
          <w:sz w:val="20"/>
          <w:szCs w:val="20"/>
        </w:rPr>
        <w:t>vključujejo centralni organ in z njim povezane institucije v smislu 10. člena Uredbe 575/2013/EU ter njihove podrejene družbe in</w:t>
      </w:r>
    </w:p>
    <w:p w14:paraId="51EB0EF5" w14:textId="7C614B21" w:rsidR="00D91782" w:rsidRPr="00215B2F" w:rsidRDefault="00D91782" w:rsidP="003D4DE0">
      <w:pPr>
        <w:pStyle w:val="tevilnatoka"/>
        <w:numPr>
          <w:ilvl w:val="0"/>
          <w:numId w:val="154"/>
        </w:numPr>
        <w:shd w:val="clear" w:color="auto" w:fill="FFFFFF" w:themeFill="background1"/>
        <w:tabs>
          <w:tab w:val="clear" w:pos="425"/>
        </w:tabs>
        <w:rPr>
          <w:rFonts w:cs="Arial"/>
          <w:bCs/>
          <w:sz w:val="20"/>
          <w:szCs w:val="20"/>
        </w:rPr>
      </w:pPr>
      <w:r w:rsidRPr="00215B2F">
        <w:rPr>
          <w:rFonts w:eastAsia="Arial" w:cs="Arial"/>
          <w:sz w:val="20"/>
          <w:szCs w:val="20"/>
        </w:rPr>
        <w:t xml:space="preserve">nadrejene družbe ali institucije, nad katerimi se izvaja konsolidirani nadzor v skladu s </w:t>
      </w:r>
      <w:r w:rsidR="00B04BC8" w:rsidRPr="00215B2F">
        <w:rPr>
          <w:rFonts w:eastAsia="Arial" w:cs="Arial"/>
          <w:sz w:val="20"/>
          <w:szCs w:val="20"/>
        </w:rPr>
        <w:t>411</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 vključujejo centralni organ.</w:t>
      </w:r>
    </w:p>
    <w:p w14:paraId="6335C69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1A99B9B" w14:textId="0A708BC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(7) Ne glede na peti </w:t>
      </w:r>
      <w:r w:rsidR="00746E88" w:rsidRPr="00215B2F">
        <w:rPr>
          <w:rFonts w:ascii="Arial" w:eastAsia="Arial" w:hAnsi="Arial" w:cs="Arial"/>
          <w:sz w:val="20"/>
          <w:szCs w:val="20"/>
        </w:rPr>
        <w:t>odstavek tega člena</w:t>
      </w:r>
      <w:r w:rsidRPr="00215B2F">
        <w:rPr>
          <w:rFonts w:ascii="Arial" w:eastAsia="Arial" w:hAnsi="Arial" w:cs="Arial"/>
          <w:sz w:val="20"/>
          <w:szCs w:val="20"/>
        </w:rPr>
        <w:t xml:space="preserve"> mora banka pripraviti načrt sanacije v skladu z </w:t>
      </w:r>
      <w:r w:rsidR="00B04BC8" w:rsidRPr="00215B2F">
        <w:rPr>
          <w:rFonts w:ascii="Arial" w:eastAsia="Arial" w:hAnsi="Arial" w:cs="Arial"/>
          <w:sz w:val="20"/>
          <w:szCs w:val="20"/>
        </w:rPr>
        <w:t>243</w:t>
      </w:r>
      <w:r w:rsidRPr="00215B2F">
        <w:rPr>
          <w:rFonts w:ascii="Arial" w:eastAsia="Arial" w:hAnsi="Arial" w:cs="Arial"/>
          <w:sz w:val="20"/>
          <w:szCs w:val="20"/>
        </w:rPr>
        <w:t xml:space="preserve">. do </w:t>
      </w:r>
      <w:r w:rsidR="00B04BC8" w:rsidRPr="00215B2F">
        <w:rPr>
          <w:rFonts w:ascii="Arial" w:eastAsia="Arial" w:hAnsi="Arial" w:cs="Arial"/>
          <w:sz w:val="20"/>
          <w:szCs w:val="20"/>
        </w:rPr>
        <w:t>245</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0B6DFEC8"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7B34FD4" w14:textId="743509AB" w:rsidR="006A1A88" w:rsidRPr="00215B2F" w:rsidRDefault="00D91782" w:rsidP="003D4DE0">
      <w:pPr>
        <w:pStyle w:val="tevilnatoka"/>
        <w:numPr>
          <w:ilvl w:val="0"/>
          <w:numId w:val="155"/>
        </w:numPr>
        <w:shd w:val="clear" w:color="auto" w:fill="FFFFFF" w:themeFill="background1"/>
        <w:tabs>
          <w:tab w:val="clear" w:pos="425"/>
        </w:tabs>
        <w:rPr>
          <w:rFonts w:cs="Arial"/>
          <w:bCs/>
          <w:sz w:val="20"/>
          <w:szCs w:val="20"/>
        </w:rPr>
      </w:pPr>
      <w:r w:rsidRPr="00215B2F">
        <w:rPr>
          <w:rFonts w:eastAsia="Arial" w:cs="Arial"/>
          <w:sz w:val="20"/>
          <w:szCs w:val="20"/>
        </w:rPr>
        <w:t xml:space="preserve">če je pri opravljanju nadzora nad banko v skladu z Uredbo 1024/2013/EU Evropska centralna banka odgovorna za izvajanje vseh nalog iz prvega odstavka 4. člena </w:t>
      </w:r>
      <w:r w:rsidR="00091BC8" w:rsidRPr="00215B2F">
        <w:rPr>
          <w:rFonts w:eastAsia="Arial" w:cs="Arial"/>
          <w:sz w:val="20"/>
          <w:szCs w:val="20"/>
        </w:rPr>
        <w:t>navedene uredbe</w:t>
      </w:r>
      <w:r w:rsidRPr="00215B2F">
        <w:rPr>
          <w:rFonts w:eastAsia="Arial" w:cs="Arial"/>
          <w:sz w:val="20"/>
          <w:szCs w:val="20"/>
        </w:rPr>
        <w:t xml:space="preserve"> ali</w:t>
      </w:r>
    </w:p>
    <w:p w14:paraId="3A1BF8DE" w14:textId="3533CB14" w:rsidR="00D91782" w:rsidRPr="00215B2F" w:rsidRDefault="00D91782" w:rsidP="003D4DE0">
      <w:pPr>
        <w:pStyle w:val="tevilnatoka"/>
        <w:numPr>
          <w:ilvl w:val="0"/>
          <w:numId w:val="155"/>
        </w:numPr>
        <w:shd w:val="clear" w:color="auto" w:fill="FFFFFF" w:themeFill="background1"/>
        <w:tabs>
          <w:tab w:val="clear" w:pos="425"/>
        </w:tabs>
        <w:rPr>
          <w:rFonts w:cs="Arial"/>
          <w:bCs/>
          <w:sz w:val="20"/>
          <w:szCs w:val="20"/>
        </w:rPr>
      </w:pPr>
      <w:r w:rsidRPr="00215B2F">
        <w:rPr>
          <w:rFonts w:eastAsia="Arial" w:cs="Arial"/>
          <w:sz w:val="20"/>
          <w:szCs w:val="20"/>
        </w:rPr>
        <w:t>če banka pomeni pomembn</w:t>
      </w:r>
      <w:r w:rsidR="009D1B99" w:rsidRPr="00215B2F">
        <w:rPr>
          <w:rFonts w:eastAsia="Arial" w:cs="Arial"/>
          <w:sz w:val="20"/>
          <w:szCs w:val="20"/>
        </w:rPr>
        <w:t>i</w:t>
      </w:r>
      <w:r w:rsidRPr="00215B2F">
        <w:rPr>
          <w:rFonts w:eastAsia="Arial" w:cs="Arial"/>
          <w:sz w:val="20"/>
          <w:szCs w:val="20"/>
        </w:rPr>
        <w:t xml:space="preserve"> delež finančnega sistema Republike Slovenije.</w:t>
      </w:r>
    </w:p>
    <w:p w14:paraId="548631C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E273F67" w14:textId="1F027D3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(8) Za namene iz prejšnjega odstavka se šteje, da dejavnosti banke pomenijo pomembn</w:t>
      </w:r>
      <w:r w:rsidR="009D1B99" w:rsidRPr="00215B2F">
        <w:rPr>
          <w:rFonts w:ascii="Arial" w:eastAsia="Arial" w:hAnsi="Arial" w:cs="Arial"/>
          <w:sz w:val="20"/>
          <w:szCs w:val="20"/>
        </w:rPr>
        <w:t>i</w:t>
      </w:r>
      <w:r w:rsidRPr="00215B2F">
        <w:rPr>
          <w:rFonts w:ascii="Arial" w:eastAsia="Arial" w:hAnsi="Arial" w:cs="Arial"/>
          <w:sz w:val="20"/>
          <w:szCs w:val="20"/>
        </w:rPr>
        <w:t xml:space="preserve"> delež finančnega sistema Republike Slovenije, če je izpolnjen eden od naslednjih pogojev:</w:t>
      </w:r>
    </w:p>
    <w:p w14:paraId="3DC11002"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2ADFAE7" w14:textId="77777777" w:rsidR="006A1A88" w:rsidRPr="00215B2F" w:rsidRDefault="00D91782" w:rsidP="003D4DE0">
      <w:pPr>
        <w:pStyle w:val="tevilnatoka"/>
        <w:numPr>
          <w:ilvl w:val="0"/>
          <w:numId w:val="156"/>
        </w:numPr>
        <w:shd w:val="clear" w:color="auto" w:fill="FFFFFF" w:themeFill="background1"/>
        <w:tabs>
          <w:tab w:val="clear" w:pos="425"/>
        </w:tabs>
        <w:rPr>
          <w:rFonts w:cs="Arial"/>
          <w:bCs/>
          <w:sz w:val="20"/>
          <w:szCs w:val="20"/>
        </w:rPr>
      </w:pPr>
      <w:r w:rsidRPr="00215B2F">
        <w:rPr>
          <w:rFonts w:eastAsia="Arial" w:cs="Arial"/>
          <w:sz w:val="20"/>
          <w:szCs w:val="20"/>
        </w:rPr>
        <w:t>skupna vrednost njenih sredstev presega 30.000.000.000 eurov ali</w:t>
      </w:r>
    </w:p>
    <w:p w14:paraId="10D6D703" w14:textId="0999F739" w:rsidR="00D91782" w:rsidRPr="00215B2F" w:rsidRDefault="00D91782" w:rsidP="003D4DE0">
      <w:pPr>
        <w:pStyle w:val="tevilnatoka"/>
        <w:numPr>
          <w:ilvl w:val="0"/>
          <w:numId w:val="156"/>
        </w:numPr>
        <w:shd w:val="clear" w:color="auto" w:fill="FFFFFF" w:themeFill="background1"/>
        <w:tabs>
          <w:tab w:val="clear" w:pos="425"/>
        </w:tabs>
        <w:rPr>
          <w:rFonts w:cs="Arial"/>
          <w:bCs/>
          <w:sz w:val="20"/>
          <w:szCs w:val="20"/>
        </w:rPr>
      </w:pPr>
      <w:r w:rsidRPr="00215B2F">
        <w:rPr>
          <w:rFonts w:eastAsia="Arial" w:cs="Arial"/>
          <w:sz w:val="20"/>
          <w:szCs w:val="20"/>
        </w:rPr>
        <w:t>delež njenih skupnih sredstev presega 20 odstotkov bruto domačega proizvoda Republike Slovenije, razen če skupna vrednost njenih sredstev ne dosega 5.000.000.000 eurov.</w:t>
      </w:r>
    </w:p>
    <w:p w14:paraId="1CCC6FC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D033C2C" w14:textId="2C88A41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(9) Banka Slovenije o svoji odločitvi, ki jo sprejme na podlagi prvega, petega ali sedmega </w:t>
      </w:r>
      <w:r w:rsidR="00746E88" w:rsidRPr="00215B2F">
        <w:rPr>
          <w:rFonts w:ascii="Arial" w:eastAsia="Arial" w:hAnsi="Arial" w:cs="Arial"/>
          <w:sz w:val="20"/>
          <w:szCs w:val="20"/>
        </w:rPr>
        <w:t>odstavka tega člena</w:t>
      </w:r>
      <w:r w:rsidRPr="00215B2F">
        <w:rPr>
          <w:rFonts w:ascii="Arial" w:eastAsia="Arial" w:hAnsi="Arial" w:cs="Arial"/>
          <w:sz w:val="20"/>
          <w:szCs w:val="20"/>
        </w:rPr>
        <w:t>, obvesti Evropski bančni organ.</w:t>
      </w:r>
    </w:p>
    <w:p w14:paraId="202832A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12C4C98"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00" w:name="_Ref202965278"/>
      <w:r w:rsidRPr="00215B2F">
        <w:rPr>
          <w:rFonts w:ascii="Arial" w:eastAsia="Arial" w:hAnsi="Arial" w:cs="Arial"/>
          <w:b/>
          <w:bCs/>
          <w:sz w:val="20"/>
          <w:szCs w:val="20"/>
        </w:rPr>
        <w:t>člen</w:t>
      </w:r>
      <w:bookmarkEnd w:id="300"/>
    </w:p>
    <w:p w14:paraId="54C19A82" w14:textId="77777777" w:rsidR="00D91782" w:rsidRPr="00215B2F" w:rsidRDefault="00D91782" w:rsidP="00FD5520">
      <w:pPr>
        <w:pStyle w:val="Slog1"/>
        <w:shd w:val="clear" w:color="auto" w:fill="FFFFFF" w:themeFill="background1"/>
        <w:rPr>
          <w:sz w:val="20"/>
          <w:szCs w:val="20"/>
        </w:rPr>
      </w:pPr>
      <w:r w:rsidRPr="00215B2F">
        <w:rPr>
          <w:sz w:val="20"/>
          <w:szCs w:val="20"/>
        </w:rPr>
        <w:t>(načrt sanacije skupine)</w:t>
      </w:r>
    </w:p>
    <w:p w14:paraId="225152FB" w14:textId="77777777" w:rsidR="00D91782" w:rsidRPr="00215B2F" w:rsidRDefault="00D91782" w:rsidP="00FD5520">
      <w:pPr>
        <w:pStyle w:val="Slog1"/>
        <w:shd w:val="clear" w:color="auto" w:fill="FFFFFF" w:themeFill="background1"/>
        <w:jc w:val="both"/>
        <w:rPr>
          <w:sz w:val="20"/>
          <w:szCs w:val="20"/>
        </w:rPr>
      </w:pPr>
    </w:p>
    <w:p w14:paraId="24E93449" w14:textId="2B3512D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EU nadrejena družba, ki je v skladu s </w:t>
      </w:r>
      <w:r w:rsidR="00B04BC8" w:rsidRPr="00215B2F">
        <w:rPr>
          <w:rFonts w:ascii="Arial" w:eastAsia="Arial" w:hAnsi="Arial" w:cs="Arial"/>
          <w:sz w:val="20"/>
          <w:szCs w:val="20"/>
        </w:rPr>
        <w:t>411</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vključena v nadzor na konsolidirani podlagi, ki ga izvaja Banka Slovenije, mora pripraviti načrt sanacije skupine, katerega cilj je stabilizacija skupine kot celote ali katere</w:t>
      </w:r>
      <w:r w:rsidR="00FA517B" w:rsidRPr="00215B2F">
        <w:rPr>
          <w:rFonts w:ascii="Arial" w:eastAsia="Arial" w:hAnsi="Arial" w:cs="Arial"/>
          <w:sz w:val="20"/>
          <w:szCs w:val="20"/>
        </w:rPr>
        <w:t> </w:t>
      </w:r>
      <w:r w:rsidRPr="00215B2F">
        <w:rPr>
          <w:rFonts w:ascii="Arial" w:eastAsia="Arial" w:hAnsi="Arial" w:cs="Arial"/>
          <w:sz w:val="20"/>
          <w:szCs w:val="20"/>
        </w:rPr>
        <w:t>koli institucije v skupini, če je v težavah, da se razrešijo ali odpravijo razlogi za težave in izboljša finančni položaj zadevne skupine ali posamezne institucije, pri čemer se upošteva tudi finančni položaj drugih subjektov v skupini.</w:t>
      </w:r>
    </w:p>
    <w:p w14:paraId="41AB3817"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187AAD7" w14:textId="7E215B9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Načrt sanacije skupine mora </w:t>
      </w:r>
      <w:r w:rsidR="004037E2" w:rsidRPr="00215B2F">
        <w:rPr>
          <w:rFonts w:ascii="Arial" w:eastAsia="Arial" w:hAnsi="Arial" w:cs="Arial"/>
          <w:sz w:val="20"/>
          <w:szCs w:val="20"/>
        </w:rPr>
        <w:t>vključevati</w:t>
      </w:r>
      <w:r w:rsidRPr="00215B2F">
        <w:rPr>
          <w:rFonts w:ascii="Arial" w:eastAsia="Arial" w:hAnsi="Arial" w:cs="Arial"/>
          <w:sz w:val="20"/>
          <w:szCs w:val="20"/>
        </w:rPr>
        <w:t>:</w:t>
      </w:r>
    </w:p>
    <w:p w14:paraId="0B70EE2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172F52C" w14:textId="60C4AB5E" w:rsidR="006A1A88" w:rsidRPr="00215B2F" w:rsidRDefault="00D91782" w:rsidP="003D4DE0">
      <w:pPr>
        <w:pStyle w:val="tevilnatoka"/>
        <w:numPr>
          <w:ilvl w:val="0"/>
          <w:numId w:val="157"/>
        </w:numPr>
        <w:shd w:val="clear" w:color="auto" w:fill="FFFFFF" w:themeFill="background1"/>
        <w:tabs>
          <w:tab w:val="clear" w:pos="425"/>
        </w:tabs>
        <w:rPr>
          <w:rFonts w:cs="Arial"/>
          <w:bCs/>
          <w:sz w:val="20"/>
          <w:szCs w:val="20"/>
        </w:rPr>
      </w:pPr>
      <w:r w:rsidRPr="00215B2F">
        <w:rPr>
          <w:rFonts w:eastAsia="Arial" w:cs="Arial"/>
          <w:sz w:val="20"/>
          <w:szCs w:val="20"/>
        </w:rPr>
        <w:t xml:space="preserve">opis različnih možnosti ukrepanja za ohranjanje ali ponovno vzpostavitev </w:t>
      </w:r>
      <w:r w:rsidR="004037E2" w:rsidRPr="00215B2F">
        <w:rPr>
          <w:rFonts w:eastAsia="Arial" w:cs="Arial"/>
          <w:sz w:val="20"/>
          <w:szCs w:val="20"/>
        </w:rPr>
        <w:t xml:space="preserve">pogojev </w:t>
      </w:r>
      <w:r w:rsidRPr="00215B2F">
        <w:rPr>
          <w:rFonts w:eastAsia="Arial" w:cs="Arial"/>
          <w:sz w:val="20"/>
          <w:szCs w:val="20"/>
        </w:rPr>
        <w:t>za stabiln</w:t>
      </w:r>
      <w:r w:rsidR="00983EB3" w:rsidRPr="00215B2F">
        <w:rPr>
          <w:rFonts w:eastAsia="Arial" w:cs="Arial"/>
          <w:sz w:val="20"/>
          <w:szCs w:val="20"/>
        </w:rPr>
        <w:t>o</w:t>
      </w:r>
      <w:r w:rsidRPr="00215B2F">
        <w:rPr>
          <w:rFonts w:eastAsia="Arial" w:cs="Arial"/>
          <w:sz w:val="20"/>
          <w:szCs w:val="20"/>
        </w:rPr>
        <w:t xml:space="preserve"> poslovanj</w:t>
      </w:r>
      <w:r w:rsidR="00983EB3" w:rsidRPr="00215B2F">
        <w:rPr>
          <w:rFonts w:eastAsia="Arial" w:cs="Arial"/>
          <w:sz w:val="20"/>
          <w:szCs w:val="20"/>
        </w:rPr>
        <w:t>e</w:t>
      </w:r>
      <w:r w:rsidRPr="00215B2F">
        <w:rPr>
          <w:rFonts w:eastAsia="Arial" w:cs="Arial"/>
          <w:sz w:val="20"/>
          <w:szCs w:val="20"/>
        </w:rPr>
        <w:t xml:space="preserve"> skupine kot celote, nadrejene družbe in vseh podrejenih družb v skupini in za izboljšanje finančnega položaja vsake od njih, pri čemer mora upoštevati različne stresne scenarije, ki predvidevajo poslabšanje različnih makroekonomskih in finančnih dejavnikov, ki lahko pomembno vplivajo na položaj skupine kot celote in vseh družb v njej, vključno z dogodki na ravni celotnega sistema ter posebnimi okoliščinami posameznega subjekta in skupine;</w:t>
      </w:r>
    </w:p>
    <w:p w14:paraId="033E0807" w14:textId="2F1E8232" w:rsidR="006A1A88" w:rsidRPr="00215B2F" w:rsidRDefault="00D91782" w:rsidP="003D4DE0">
      <w:pPr>
        <w:pStyle w:val="tevilnatoka"/>
        <w:numPr>
          <w:ilvl w:val="0"/>
          <w:numId w:val="157"/>
        </w:numPr>
        <w:shd w:val="clear" w:color="auto" w:fill="FFFFFF" w:themeFill="background1"/>
        <w:tabs>
          <w:tab w:val="clear" w:pos="425"/>
        </w:tabs>
        <w:rPr>
          <w:rFonts w:cs="Arial"/>
          <w:bCs/>
          <w:sz w:val="20"/>
          <w:szCs w:val="20"/>
        </w:rPr>
      </w:pPr>
      <w:r w:rsidRPr="00215B2F">
        <w:rPr>
          <w:rFonts w:eastAsia="Arial" w:cs="Arial"/>
          <w:sz w:val="20"/>
          <w:szCs w:val="20"/>
        </w:rPr>
        <w:t xml:space="preserve">ustrezne kvalitativne in kvantitativne kazalnike iz </w:t>
      </w:r>
      <w:r w:rsidR="00B04BC8" w:rsidRPr="00215B2F">
        <w:rPr>
          <w:rFonts w:eastAsia="Arial" w:cs="Arial"/>
          <w:sz w:val="20"/>
          <w:szCs w:val="20"/>
        </w:rPr>
        <w:t>244</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2513E33D" w14:textId="56EE35FF" w:rsidR="006A1A88" w:rsidRPr="00215B2F" w:rsidRDefault="00D91782" w:rsidP="003D4DE0">
      <w:pPr>
        <w:pStyle w:val="tevilnatoka"/>
        <w:numPr>
          <w:ilvl w:val="0"/>
          <w:numId w:val="157"/>
        </w:numPr>
        <w:shd w:val="clear" w:color="auto" w:fill="FFFFFF" w:themeFill="background1"/>
        <w:tabs>
          <w:tab w:val="clear" w:pos="425"/>
        </w:tabs>
        <w:rPr>
          <w:rFonts w:cs="Arial"/>
          <w:bCs/>
          <w:sz w:val="20"/>
          <w:szCs w:val="20"/>
        </w:rPr>
      </w:pPr>
      <w:r w:rsidRPr="00215B2F">
        <w:rPr>
          <w:rFonts w:eastAsia="Arial" w:cs="Arial"/>
          <w:sz w:val="20"/>
          <w:szCs w:val="20"/>
        </w:rPr>
        <w:t>opis postopkov in pogojev za pravočasno in učinkovito izvajanje predvidenih ukrepov sanacije, vključno z oceno pogojev za dostop katere</w:t>
      </w:r>
      <w:r w:rsidR="00E7062F" w:rsidRPr="00215B2F">
        <w:rPr>
          <w:rFonts w:eastAsia="Arial" w:cs="Arial"/>
          <w:sz w:val="20"/>
          <w:szCs w:val="20"/>
        </w:rPr>
        <w:t xml:space="preserve"> </w:t>
      </w:r>
      <w:r w:rsidRPr="00215B2F">
        <w:rPr>
          <w:rFonts w:eastAsia="Arial" w:cs="Arial"/>
          <w:sz w:val="20"/>
          <w:szCs w:val="20"/>
        </w:rPr>
        <w:t>koli družbe v skupini do posojila v skrajni sili pri pristojni centralni banki, zlasti glede zavarovanja, ki ga bo subjekt zagotovil v zvezi s tem posojilom v okoliščinah, ki so predvidene v načrtu sanacije;</w:t>
      </w:r>
    </w:p>
    <w:p w14:paraId="793EE147" w14:textId="49CEFEDB" w:rsidR="00D91782" w:rsidRPr="00215B2F" w:rsidRDefault="00D91782" w:rsidP="003D4DE0">
      <w:pPr>
        <w:pStyle w:val="tevilnatoka"/>
        <w:numPr>
          <w:ilvl w:val="0"/>
          <w:numId w:val="157"/>
        </w:numPr>
        <w:shd w:val="clear" w:color="auto" w:fill="FFFFFF" w:themeFill="background1"/>
        <w:tabs>
          <w:tab w:val="clear" w:pos="425"/>
        </w:tabs>
        <w:rPr>
          <w:rFonts w:cs="Arial"/>
          <w:bCs/>
          <w:sz w:val="20"/>
          <w:szCs w:val="20"/>
        </w:rPr>
      </w:pPr>
      <w:r w:rsidRPr="00215B2F">
        <w:rPr>
          <w:rFonts w:eastAsia="Arial" w:cs="Arial"/>
          <w:sz w:val="20"/>
          <w:szCs w:val="20"/>
        </w:rPr>
        <w:t>opis ukrepov, ki bi se lahko izvedli, če se izpolnijo pogoji za ukrepe zgodnjega posredovanja v skladu s tem zakonom.</w:t>
      </w:r>
    </w:p>
    <w:p w14:paraId="1C53840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C555B39" w14:textId="1221234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Načrt sanacije skupine ne sme upoštevati možnosti uporabe izredne javnofinančne pomoči niti ne sme ustvarjati drugih neposrednih negativnih javnofinančnih učinkov.</w:t>
      </w:r>
    </w:p>
    <w:p w14:paraId="67C52B7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199926A" w14:textId="32CC6ED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EU nadrejena družba mora v načrtu sanacije skupine opredeliti tudi dogovore za usklajeno in dosledno izvajanje ukrepov na ravni:</w:t>
      </w:r>
    </w:p>
    <w:p w14:paraId="277E493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7AA29D0" w14:textId="77777777" w:rsidR="006A1A88" w:rsidRPr="00215B2F" w:rsidRDefault="00D91782" w:rsidP="003D4DE0">
      <w:pPr>
        <w:pStyle w:val="tevilnatoka"/>
        <w:numPr>
          <w:ilvl w:val="0"/>
          <w:numId w:val="158"/>
        </w:numPr>
        <w:shd w:val="clear" w:color="auto" w:fill="FFFFFF" w:themeFill="background1"/>
        <w:tabs>
          <w:tab w:val="clear" w:pos="425"/>
        </w:tabs>
        <w:rPr>
          <w:rFonts w:cs="Arial"/>
          <w:bCs/>
          <w:sz w:val="20"/>
          <w:szCs w:val="20"/>
        </w:rPr>
      </w:pPr>
      <w:r w:rsidRPr="00215B2F">
        <w:rPr>
          <w:rFonts w:eastAsia="Arial" w:cs="Arial"/>
          <w:sz w:val="20"/>
          <w:szCs w:val="20"/>
        </w:rPr>
        <w:t>EU nadrejene družbe;</w:t>
      </w:r>
    </w:p>
    <w:p w14:paraId="5C2B368A" w14:textId="77777777" w:rsidR="006A1A88" w:rsidRPr="00215B2F" w:rsidRDefault="00D91782" w:rsidP="003D4DE0">
      <w:pPr>
        <w:pStyle w:val="tevilnatoka"/>
        <w:numPr>
          <w:ilvl w:val="0"/>
          <w:numId w:val="158"/>
        </w:numPr>
        <w:shd w:val="clear" w:color="auto" w:fill="FFFFFF" w:themeFill="background1"/>
        <w:tabs>
          <w:tab w:val="clear" w:pos="425"/>
        </w:tabs>
        <w:rPr>
          <w:rFonts w:cs="Arial"/>
          <w:bCs/>
          <w:sz w:val="20"/>
          <w:szCs w:val="20"/>
        </w:rPr>
      </w:pPr>
      <w:r w:rsidRPr="00215B2F">
        <w:rPr>
          <w:rFonts w:eastAsia="Arial" w:cs="Arial"/>
          <w:sz w:val="20"/>
          <w:szCs w:val="20"/>
        </w:rPr>
        <w:t>finančnega holdinga, mešanega finančnega holdinga in mešanega poslovnega holdinga s sedežem v državi članici;</w:t>
      </w:r>
    </w:p>
    <w:p w14:paraId="03726B28" w14:textId="77777777" w:rsidR="00AE3C7A" w:rsidRPr="00215B2F" w:rsidRDefault="00D91782" w:rsidP="003D4DE0">
      <w:pPr>
        <w:pStyle w:val="tevilnatoka"/>
        <w:numPr>
          <w:ilvl w:val="0"/>
          <w:numId w:val="158"/>
        </w:numPr>
        <w:shd w:val="clear" w:color="auto" w:fill="FFFFFF" w:themeFill="background1"/>
        <w:tabs>
          <w:tab w:val="clear" w:pos="425"/>
        </w:tabs>
        <w:rPr>
          <w:rFonts w:cs="Arial"/>
          <w:bCs/>
          <w:sz w:val="20"/>
          <w:szCs w:val="20"/>
        </w:rPr>
      </w:pPr>
      <w:r w:rsidRPr="00215B2F">
        <w:rPr>
          <w:rFonts w:eastAsia="Arial" w:cs="Arial"/>
          <w:sz w:val="20"/>
          <w:szCs w:val="20"/>
        </w:rPr>
        <w:t>nadrejenega finančnega holdinga v Republiki Sloveniji, EU nadrejenega finančnega holdinga, nadrejenega mešanega finančnega holdinga v Republiki Sloveniji in EU nadrejenega mešanega finančnega holdinga;</w:t>
      </w:r>
    </w:p>
    <w:p w14:paraId="10064E1E" w14:textId="4F802E06" w:rsidR="00D91782" w:rsidRPr="00215B2F" w:rsidRDefault="00D91782" w:rsidP="003D4DE0">
      <w:pPr>
        <w:pStyle w:val="tevilnatoka"/>
        <w:numPr>
          <w:ilvl w:val="0"/>
          <w:numId w:val="158"/>
        </w:numPr>
        <w:shd w:val="clear" w:color="auto" w:fill="FFFFFF" w:themeFill="background1"/>
        <w:tabs>
          <w:tab w:val="clear" w:pos="425"/>
        </w:tabs>
        <w:rPr>
          <w:rFonts w:cs="Arial"/>
          <w:bCs/>
          <w:sz w:val="20"/>
          <w:szCs w:val="20"/>
        </w:rPr>
      </w:pPr>
      <w:r w:rsidRPr="00215B2F">
        <w:rPr>
          <w:rFonts w:eastAsia="Arial" w:cs="Arial"/>
          <w:sz w:val="20"/>
          <w:szCs w:val="20"/>
        </w:rPr>
        <w:t>vsake posamezne družbe, ki je podrejena subjektu iz 1. do 3. točke tega odstavka, in pomembne podružnice.</w:t>
      </w:r>
    </w:p>
    <w:p w14:paraId="7FD2D45E"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CEF92B6" w14:textId="2CE0A53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Načrt sanacije skupine mora za vsakega od stresnih scenarijev, ki so obravnavani v načrtu sanacije skupine, ugotoviti morebitne ovire za izvajanje ukrepov v skupini in na ravni posameznih subjektov, </w:t>
      </w:r>
      <w:r w:rsidRPr="00215B2F">
        <w:rPr>
          <w:rFonts w:ascii="Arial" w:eastAsia="Arial" w:hAnsi="Arial" w:cs="Arial"/>
          <w:sz w:val="20"/>
          <w:szCs w:val="20"/>
        </w:rPr>
        <w:lastRenderedPageBreak/>
        <w:t>vključno z morebitnimi dejanskimi ali pravnimi ovirami za takojšn</w:t>
      </w:r>
      <w:r w:rsidR="006607F6" w:rsidRPr="00215B2F">
        <w:rPr>
          <w:rFonts w:ascii="Arial" w:eastAsia="Arial" w:hAnsi="Arial" w:cs="Arial"/>
          <w:sz w:val="20"/>
          <w:szCs w:val="20"/>
        </w:rPr>
        <w:t>ji</w:t>
      </w:r>
      <w:r w:rsidRPr="00215B2F">
        <w:rPr>
          <w:rFonts w:ascii="Arial" w:eastAsia="Arial" w:hAnsi="Arial" w:cs="Arial"/>
          <w:sz w:val="20"/>
          <w:szCs w:val="20"/>
        </w:rPr>
        <w:t xml:space="preserve"> prenos kapitala, za odplačilo obveznosti ali sredstev znotraj skupine.</w:t>
      </w:r>
    </w:p>
    <w:p w14:paraId="580CD74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DDC4AB3" w14:textId="4075866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Načrt sanacije skupine in vsak individualni načrt sanacije na ravni posamezne podrejene družbe v skupini mora vključevati tudi opis ureditev morebitne znotrajskupinske finančne podpore iz </w:t>
      </w:r>
      <w:r w:rsidR="00B04BC8" w:rsidRPr="00215B2F">
        <w:rPr>
          <w:rFonts w:ascii="Arial" w:eastAsia="Arial" w:hAnsi="Arial" w:cs="Arial"/>
          <w:sz w:val="20"/>
          <w:szCs w:val="20"/>
        </w:rPr>
        <w:t>248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197A25B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72A9529" w14:textId="6324FA5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Načrt sanacije skupine sprejme upravljalni organ EU nadrejene družbe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preden ga predloži Banki Slovenije kot konsolidacijskemu nadzorniku na podlagi </w:t>
      </w:r>
      <w:r w:rsidR="009675E1" w:rsidRPr="00215B2F">
        <w:rPr>
          <w:rFonts w:ascii="Arial" w:eastAsia="Arial" w:hAnsi="Arial" w:cs="Arial"/>
          <w:sz w:val="20"/>
          <w:szCs w:val="20"/>
        </w:rPr>
        <w:t>411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2D07E01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7A92187" w14:textId="2781EF3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(8) Če ni v tem členu določeno drugače, se za načrt sanacije skupine uporablja</w:t>
      </w:r>
      <w:r w:rsidR="006607F6" w:rsidRPr="00215B2F">
        <w:rPr>
          <w:rFonts w:ascii="Arial" w:eastAsia="Arial" w:hAnsi="Arial" w:cs="Arial"/>
          <w:sz w:val="20"/>
          <w:szCs w:val="20"/>
        </w:rPr>
        <w:t>jo</w:t>
      </w:r>
      <w:r w:rsidRPr="00215B2F">
        <w:rPr>
          <w:rFonts w:ascii="Arial" w:eastAsia="Arial" w:hAnsi="Arial" w:cs="Arial"/>
          <w:sz w:val="20"/>
          <w:szCs w:val="20"/>
        </w:rPr>
        <w:t xml:space="preserve"> </w:t>
      </w:r>
      <w:r w:rsidR="009675E1" w:rsidRPr="00215B2F">
        <w:rPr>
          <w:rFonts w:ascii="Arial" w:eastAsia="Arial" w:hAnsi="Arial" w:cs="Arial"/>
          <w:sz w:val="20"/>
          <w:szCs w:val="20"/>
        </w:rPr>
        <w:t>243</w:t>
      </w:r>
      <w:r w:rsidRPr="00215B2F">
        <w:rPr>
          <w:rFonts w:ascii="Arial" w:eastAsia="Arial" w:hAnsi="Arial" w:cs="Arial"/>
          <w:sz w:val="20"/>
          <w:szCs w:val="20"/>
        </w:rPr>
        <w:t xml:space="preserve">. do </w:t>
      </w:r>
      <w:r w:rsidR="009675E1" w:rsidRPr="00215B2F">
        <w:rPr>
          <w:rFonts w:ascii="Arial" w:eastAsia="Arial" w:hAnsi="Arial" w:cs="Arial"/>
          <w:sz w:val="20"/>
          <w:szCs w:val="20"/>
        </w:rPr>
        <w:t>246</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w:t>
      </w:r>
    </w:p>
    <w:p w14:paraId="2E783DD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5EA3102" w14:textId="412E3752"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6.7.2 Sporazum o finančni podpori v skupini</w:t>
      </w:r>
    </w:p>
    <w:p w14:paraId="1466FEE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E4CDFD2"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01" w:name="_Ref202965289"/>
      <w:r w:rsidRPr="00215B2F">
        <w:rPr>
          <w:rFonts w:ascii="Arial" w:eastAsia="Arial" w:hAnsi="Arial" w:cs="Arial"/>
          <w:b/>
          <w:bCs/>
          <w:sz w:val="20"/>
          <w:szCs w:val="20"/>
        </w:rPr>
        <w:t>člen</w:t>
      </w:r>
      <w:bookmarkEnd w:id="301"/>
    </w:p>
    <w:p w14:paraId="28FF940D" w14:textId="77777777" w:rsidR="00D91782" w:rsidRPr="00215B2F" w:rsidRDefault="00D91782" w:rsidP="00FD5520">
      <w:pPr>
        <w:pStyle w:val="Slog1"/>
        <w:shd w:val="clear" w:color="auto" w:fill="FFFFFF" w:themeFill="background1"/>
        <w:rPr>
          <w:sz w:val="20"/>
          <w:szCs w:val="20"/>
        </w:rPr>
      </w:pPr>
      <w:r w:rsidRPr="00215B2F">
        <w:rPr>
          <w:sz w:val="20"/>
          <w:szCs w:val="20"/>
        </w:rPr>
        <w:t>(sporazum o finančni podpori v skupini)</w:t>
      </w:r>
    </w:p>
    <w:p w14:paraId="6FDF87DE" w14:textId="77777777" w:rsidR="00D91782" w:rsidRPr="00215B2F" w:rsidRDefault="00D91782" w:rsidP="00FD5520">
      <w:pPr>
        <w:pStyle w:val="Slog1"/>
        <w:shd w:val="clear" w:color="auto" w:fill="FFFFFF" w:themeFill="background1"/>
        <w:jc w:val="both"/>
        <w:rPr>
          <w:sz w:val="20"/>
          <w:szCs w:val="20"/>
        </w:rPr>
      </w:pPr>
    </w:p>
    <w:p w14:paraId="6D6C44FC" w14:textId="772B0C5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Sporazum o finančni podpori v skupini je dogovor, ki ga sklenejo nadrejena banka v Republiki Sloveniji, EU nadrejena banka ali subjekt iz 2. ali 3. točke četrtega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ter njene podrejene družbe v drugih državah članicah ali tretjih državah, ki so institucije ali finančne institucije in so vključene v konsolidirani nadzor, ki ga v skladu s </w:t>
      </w:r>
      <w:r w:rsidR="009675E1" w:rsidRPr="00215B2F">
        <w:rPr>
          <w:rFonts w:ascii="Arial" w:eastAsia="Arial" w:hAnsi="Arial" w:cs="Arial"/>
          <w:sz w:val="20"/>
          <w:szCs w:val="20"/>
        </w:rPr>
        <w:t>411</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opravlja Banka Slovenije, in na podlagi katerega stranke sporazuma zagotovijo finančno podporo kateri</w:t>
      </w:r>
      <w:r w:rsidR="00EA70CE" w:rsidRPr="00215B2F">
        <w:rPr>
          <w:rFonts w:ascii="Arial" w:eastAsia="Arial" w:hAnsi="Arial" w:cs="Arial"/>
          <w:sz w:val="20"/>
          <w:szCs w:val="20"/>
        </w:rPr>
        <w:t xml:space="preserve"> </w:t>
      </w:r>
      <w:r w:rsidRPr="00215B2F">
        <w:rPr>
          <w:rFonts w:ascii="Arial" w:eastAsia="Arial" w:hAnsi="Arial" w:cs="Arial"/>
          <w:sz w:val="20"/>
          <w:szCs w:val="20"/>
        </w:rPr>
        <w:t xml:space="preserve">koli instituciji, ki je stranka sporazuma in </w:t>
      </w:r>
      <w:r w:rsidR="00330C80" w:rsidRPr="00215B2F">
        <w:rPr>
          <w:rFonts w:ascii="Arial" w:eastAsia="Arial" w:hAnsi="Arial" w:cs="Arial"/>
          <w:sz w:val="20"/>
          <w:szCs w:val="20"/>
        </w:rPr>
        <w:t xml:space="preserve">za </w:t>
      </w:r>
      <w:r w:rsidRPr="00215B2F">
        <w:rPr>
          <w:rFonts w:ascii="Arial" w:eastAsia="Arial" w:hAnsi="Arial" w:cs="Arial"/>
          <w:sz w:val="20"/>
          <w:szCs w:val="20"/>
        </w:rPr>
        <w:t>kater</w:t>
      </w:r>
      <w:r w:rsidR="00330C80" w:rsidRPr="00215B2F">
        <w:rPr>
          <w:rFonts w:ascii="Arial" w:eastAsia="Arial" w:hAnsi="Arial" w:cs="Arial"/>
          <w:sz w:val="20"/>
          <w:szCs w:val="20"/>
        </w:rPr>
        <w:t>o</w:t>
      </w:r>
      <w:r w:rsidRPr="00215B2F">
        <w:rPr>
          <w:rFonts w:ascii="Arial" w:eastAsia="Arial" w:hAnsi="Arial" w:cs="Arial"/>
          <w:sz w:val="20"/>
          <w:szCs w:val="20"/>
        </w:rPr>
        <w:t xml:space="preserve"> so </w:t>
      </w:r>
      <w:r w:rsidR="00330C80" w:rsidRPr="00215B2F">
        <w:rPr>
          <w:rFonts w:ascii="Arial" w:eastAsia="Arial" w:hAnsi="Arial" w:cs="Arial"/>
          <w:sz w:val="20"/>
          <w:szCs w:val="20"/>
        </w:rPr>
        <w:t>ugotovlje</w:t>
      </w:r>
      <w:r w:rsidRPr="00215B2F">
        <w:rPr>
          <w:rFonts w:ascii="Arial" w:eastAsia="Arial" w:hAnsi="Arial" w:cs="Arial"/>
          <w:sz w:val="20"/>
          <w:szCs w:val="20"/>
        </w:rPr>
        <w:t xml:space="preserve">ne okoliščine za uporabo ukrepov zgodnjega posredovanja iz prvega odstavka </w:t>
      </w:r>
      <w:r w:rsidR="009675E1" w:rsidRPr="00215B2F">
        <w:rPr>
          <w:rFonts w:ascii="Arial" w:eastAsia="Arial" w:hAnsi="Arial" w:cs="Arial"/>
          <w:sz w:val="20"/>
          <w:szCs w:val="20"/>
        </w:rPr>
        <w:t>348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22121BF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D9F62C4" w14:textId="65DF563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Sporazum o finančni podpori v skupini lahko zajema eno ali več podrejenih družb v skupini in lahko določa zagotavljanje finančne podpore nadrejene družbe podrejenim družbam, finančno podporo podrejenih družb nadrejeni družbi, finančno podporo med podrejenimi družbami skupine, ki so stranke sporazuma, ali kombinacijo navedenih subjektov.</w:t>
      </w:r>
    </w:p>
    <w:p w14:paraId="32475A5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69CF6B6" w14:textId="076D4D2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Sporazum o finančni podpori lahko določa finančno podporo v obliki posojila, zagotovitve jamstev, zagotovitve sredstev za zavarovanje s premoženjem ali </w:t>
      </w:r>
      <w:r w:rsidR="00EA70CE" w:rsidRPr="00215B2F">
        <w:rPr>
          <w:rFonts w:ascii="Arial" w:eastAsia="Arial" w:hAnsi="Arial" w:cs="Arial"/>
          <w:sz w:val="20"/>
          <w:szCs w:val="20"/>
        </w:rPr>
        <w:t xml:space="preserve">s </w:t>
      </w:r>
      <w:r w:rsidRPr="00215B2F">
        <w:rPr>
          <w:rFonts w:ascii="Arial" w:eastAsia="Arial" w:hAnsi="Arial" w:cs="Arial"/>
          <w:sz w:val="20"/>
          <w:szCs w:val="20"/>
        </w:rPr>
        <w:t xml:space="preserve">kombinacijo teh oblik v eni ali več transakcijah, vključno s transakcijami med prejemnikom podpore in tretjo osebo. Sporazum o finančni podpori v skupini lahko vključuje zavezo o vzajemnosti, v skladu s katero bo subjekt v skupini, ki prejme podporo, zagotovil finančno podporo subjektu v skupini, ki zagotavlja podporo. Banka lahko sklene sporazum o finančni podpori le, če v trenutku, ko je bil predlog sporazuma predložen Banki Slovenije, banka ni izpolnjevala pogojev za zgodnje posredovanje iz </w:t>
      </w:r>
      <w:r w:rsidR="009675E1" w:rsidRPr="00215B2F">
        <w:rPr>
          <w:rFonts w:ascii="Arial" w:eastAsia="Arial" w:hAnsi="Arial" w:cs="Arial"/>
          <w:sz w:val="20"/>
          <w:szCs w:val="20"/>
        </w:rPr>
        <w:t>348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50236DF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EB16130" w14:textId="32F3DAF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Tretje osebe, ki niso stranke sporazuma o finančni podpori, niso upravičene uveljavljati zahtevkov v razmerju do strank sporazuma glede izvajanja pravic, terjatev ali ukrepov na podlagi sporazuma o finančni podpori v skupini.</w:t>
      </w:r>
    </w:p>
    <w:p w14:paraId="59A53BCC"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5EA2357" w14:textId="7496D63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Sporazum o finančni podpori v skupini ni predpogoj za:</w:t>
      </w:r>
    </w:p>
    <w:p w14:paraId="2B22E42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C55D064" w14:textId="12D6C470" w:rsidR="00AE3C7A" w:rsidRPr="00215B2F" w:rsidRDefault="00D91782" w:rsidP="003D4DE0">
      <w:pPr>
        <w:pStyle w:val="tevilnatoka"/>
        <w:numPr>
          <w:ilvl w:val="0"/>
          <w:numId w:val="159"/>
        </w:numPr>
        <w:shd w:val="clear" w:color="auto" w:fill="FFFFFF" w:themeFill="background1"/>
        <w:tabs>
          <w:tab w:val="clear" w:pos="425"/>
        </w:tabs>
        <w:rPr>
          <w:rFonts w:cs="Arial"/>
          <w:bCs/>
          <w:sz w:val="20"/>
          <w:szCs w:val="20"/>
        </w:rPr>
      </w:pPr>
      <w:r w:rsidRPr="00215B2F">
        <w:rPr>
          <w:rFonts w:eastAsia="Arial" w:cs="Arial"/>
          <w:sz w:val="20"/>
          <w:szCs w:val="20"/>
        </w:rPr>
        <w:t>zagotavljanje finančne podpore subjektom v skupini, ki so v finančnih težavah, če se banka tako odloči za vsak primer posebej in v skladu s politikami skupine, če to ne pomeni tveganja za vso skupino</w:t>
      </w:r>
      <w:r w:rsidR="00EA70CE" w:rsidRPr="00215B2F">
        <w:rPr>
          <w:rFonts w:eastAsia="Arial" w:cs="Arial"/>
          <w:sz w:val="20"/>
          <w:szCs w:val="20"/>
        </w:rPr>
        <w:t>,</w:t>
      </w:r>
      <w:r w:rsidRPr="00215B2F">
        <w:rPr>
          <w:rFonts w:eastAsia="Arial" w:cs="Arial"/>
          <w:sz w:val="20"/>
          <w:szCs w:val="20"/>
        </w:rPr>
        <w:t xml:space="preserve"> ali</w:t>
      </w:r>
    </w:p>
    <w:p w14:paraId="7482CB85" w14:textId="4BB726BC" w:rsidR="00D91782" w:rsidRPr="00215B2F" w:rsidRDefault="00D91782" w:rsidP="003D4DE0">
      <w:pPr>
        <w:pStyle w:val="tevilnatoka"/>
        <w:numPr>
          <w:ilvl w:val="0"/>
          <w:numId w:val="159"/>
        </w:numPr>
        <w:shd w:val="clear" w:color="auto" w:fill="FFFFFF" w:themeFill="background1"/>
        <w:tabs>
          <w:tab w:val="clear" w:pos="425"/>
        </w:tabs>
        <w:rPr>
          <w:rFonts w:cs="Arial"/>
          <w:bCs/>
          <w:sz w:val="20"/>
          <w:szCs w:val="20"/>
        </w:rPr>
      </w:pPr>
      <w:r w:rsidRPr="00215B2F">
        <w:rPr>
          <w:rFonts w:eastAsia="Arial" w:cs="Arial"/>
          <w:sz w:val="20"/>
          <w:szCs w:val="20"/>
        </w:rPr>
        <w:t>delovanje subjekta, ki je del skupine, v Republiki Sloveniji.</w:t>
      </w:r>
    </w:p>
    <w:p w14:paraId="58C6A90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84F20D2"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02" w:name="_Ref202965295"/>
      <w:r w:rsidRPr="00215B2F">
        <w:rPr>
          <w:rFonts w:ascii="Arial" w:eastAsia="Arial" w:hAnsi="Arial" w:cs="Arial"/>
          <w:b/>
          <w:bCs/>
          <w:sz w:val="20"/>
          <w:szCs w:val="20"/>
        </w:rPr>
        <w:t>člen</w:t>
      </w:r>
      <w:bookmarkEnd w:id="302"/>
    </w:p>
    <w:p w14:paraId="32A124EC" w14:textId="77777777" w:rsidR="00D91782" w:rsidRPr="00215B2F" w:rsidRDefault="00D91782" w:rsidP="00FD5520">
      <w:pPr>
        <w:pStyle w:val="Slog1"/>
        <w:shd w:val="clear" w:color="auto" w:fill="FFFFFF" w:themeFill="background1"/>
        <w:rPr>
          <w:sz w:val="20"/>
          <w:szCs w:val="20"/>
        </w:rPr>
      </w:pPr>
      <w:r w:rsidRPr="00215B2F">
        <w:rPr>
          <w:sz w:val="20"/>
          <w:szCs w:val="20"/>
        </w:rPr>
        <w:t>(načela in pogoji za sklenitev sporazuma o finančni podpori v skupini)</w:t>
      </w:r>
    </w:p>
    <w:p w14:paraId="6B12516A" w14:textId="77777777" w:rsidR="00D91782" w:rsidRPr="00215B2F" w:rsidRDefault="00D91782" w:rsidP="00FD5520">
      <w:pPr>
        <w:pStyle w:val="Slog1"/>
        <w:shd w:val="clear" w:color="auto" w:fill="FFFFFF" w:themeFill="background1"/>
        <w:jc w:val="both"/>
        <w:rPr>
          <w:sz w:val="20"/>
          <w:szCs w:val="20"/>
        </w:rPr>
      </w:pPr>
    </w:p>
    <w:p w14:paraId="38CA4DF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Pri sklepanju sporazuma o finančni podpori v skupini morajo stranke upoštevati naslednja načela:</w:t>
      </w:r>
    </w:p>
    <w:p w14:paraId="3A69CF0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990C963" w14:textId="77777777" w:rsidR="00AE3C7A" w:rsidRPr="00215B2F" w:rsidRDefault="00D91782" w:rsidP="003D4DE0">
      <w:pPr>
        <w:pStyle w:val="tevilnatoka"/>
        <w:numPr>
          <w:ilvl w:val="0"/>
          <w:numId w:val="160"/>
        </w:numPr>
        <w:shd w:val="clear" w:color="auto" w:fill="FFFFFF" w:themeFill="background1"/>
        <w:tabs>
          <w:tab w:val="clear" w:pos="425"/>
        </w:tabs>
        <w:rPr>
          <w:rFonts w:cs="Arial"/>
          <w:bCs/>
          <w:sz w:val="20"/>
          <w:szCs w:val="20"/>
        </w:rPr>
      </w:pPr>
      <w:r w:rsidRPr="00215B2F">
        <w:rPr>
          <w:rFonts w:eastAsia="Arial" w:cs="Arial"/>
          <w:sz w:val="20"/>
          <w:szCs w:val="20"/>
        </w:rPr>
        <w:t>vsaka stranka mora k sporazumu pristopiti prostovoljno;</w:t>
      </w:r>
    </w:p>
    <w:p w14:paraId="00974A94" w14:textId="543AB003" w:rsidR="00AE3C7A" w:rsidRPr="00215B2F" w:rsidRDefault="00D91782" w:rsidP="003D4DE0">
      <w:pPr>
        <w:pStyle w:val="tevilnatoka"/>
        <w:numPr>
          <w:ilvl w:val="0"/>
          <w:numId w:val="160"/>
        </w:numPr>
        <w:shd w:val="clear" w:color="auto" w:fill="FFFFFF" w:themeFill="background1"/>
        <w:tabs>
          <w:tab w:val="clear" w:pos="425"/>
        </w:tabs>
        <w:rPr>
          <w:rFonts w:cs="Arial"/>
          <w:bCs/>
          <w:sz w:val="20"/>
          <w:szCs w:val="20"/>
        </w:rPr>
      </w:pPr>
      <w:r w:rsidRPr="00215B2F">
        <w:rPr>
          <w:rFonts w:eastAsia="Arial" w:cs="Arial"/>
          <w:sz w:val="20"/>
          <w:szCs w:val="20"/>
        </w:rPr>
        <w:t>vsaka stranka, k</w:t>
      </w:r>
      <w:r w:rsidR="00135ACE" w:rsidRPr="00215B2F">
        <w:rPr>
          <w:rFonts w:eastAsia="Arial" w:cs="Arial"/>
          <w:sz w:val="20"/>
          <w:szCs w:val="20"/>
        </w:rPr>
        <w:t>i</w:t>
      </w:r>
      <w:r w:rsidRPr="00215B2F">
        <w:rPr>
          <w:rFonts w:eastAsia="Arial" w:cs="Arial"/>
          <w:sz w:val="20"/>
          <w:szCs w:val="20"/>
        </w:rPr>
        <w:t xml:space="preserve"> pristopa k sporazumu in določa nadomestilo, mora delovati v svojo najboljšo korist, pri čemer se lahko upoštevajo vse neposredne ali posredne koristi, ki jih stranka lahko pridobi z zagotovitvijo finančne podpore;</w:t>
      </w:r>
    </w:p>
    <w:p w14:paraId="4336FA11" w14:textId="77777777" w:rsidR="00AE3C7A" w:rsidRPr="00215B2F" w:rsidRDefault="00D91782" w:rsidP="003D4DE0">
      <w:pPr>
        <w:pStyle w:val="tevilnatoka"/>
        <w:numPr>
          <w:ilvl w:val="0"/>
          <w:numId w:val="160"/>
        </w:numPr>
        <w:shd w:val="clear" w:color="auto" w:fill="FFFFFF" w:themeFill="background1"/>
        <w:tabs>
          <w:tab w:val="clear" w:pos="425"/>
        </w:tabs>
        <w:rPr>
          <w:rFonts w:cs="Arial"/>
          <w:bCs/>
          <w:sz w:val="20"/>
          <w:szCs w:val="20"/>
        </w:rPr>
      </w:pPr>
      <w:r w:rsidRPr="00215B2F">
        <w:rPr>
          <w:rFonts w:eastAsia="Arial" w:cs="Arial"/>
          <w:sz w:val="20"/>
          <w:szCs w:val="20"/>
        </w:rPr>
        <w:lastRenderedPageBreak/>
        <w:t>vsaka stranka, ki zagotovi finančno podporo, mora imeti na voljo vse pomembne informacije o stranki, ki finančno podporo prejme, preden določi nadomestilo za zagotovitev finančne podpore in preden se odloči, da jo bo zagotovila;</w:t>
      </w:r>
    </w:p>
    <w:p w14:paraId="2CDE42CC" w14:textId="2FBEBBCA" w:rsidR="00D91782" w:rsidRPr="00215B2F" w:rsidRDefault="00D91782" w:rsidP="003D4DE0">
      <w:pPr>
        <w:pStyle w:val="tevilnatoka"/>
        <w:numPr>
          <w:ilvl w:val="0"/>
          <w:numId w:val="160"/>
        </w:numPr>
        <w:shd w:val="clear" w:color="auto" w:fill="FFFFFF" w:themeFill="background1"/>
        <w:tabs>
          <w:tab w:val="clear" w:pos="425"/>
        </w:tabs>
        <w:rPr>
          <w:rFonts w:cs="Arial"/>
          <w:bCs/>
          <w:sz w:val="20"/>
          <w:szCs w:val="20"/>
        </w:rPr>
      </w:pPr>
      <w:r w:rsidRPr="00215B2F">
        <w:rPr>
          <w:rFonts w:eastAsia="Arial" w:cs="Arial"/>
          <w:sz w:val="20"/>
          <w:szCs w:val="20"/>
        </w:rPr>
        <w:t>za vsako transakcijo, izvedeno v skladu s sporazumom, se opredelijo pravila za določanje nadomestila, pri čemer:</w:t>
      </w:r>
    </w:p>
    <w:p w14:paraId="74063116"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se nadomestilo določi, ko se zagotovi finančna podpora,</w:t>
      </w:r>
    </w:p>
    <w:p w14:paraId="2F6E8F55"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se lahko za namene določanja nadomestila upoštevajo informacije, ki jih ima stranka, ki zagotovi finančno podporo, ker je v isti skupini kot stranka, ki finančno podporo prejme, niso pa na voljo trgu,</w:t>
      </w:r>
    </w:p>
    <w:p w14:paraId="33B9581B" w14:textId="5226A401"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ni treba upoštevati pričakovanega začasnega učinka na tržne cene zaradi dogodkov zunaj skupine.</w:t>
      </w:r>
    </w:p>
    <w:p w14:paraId="298FD36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875D09C" w14:textId="6A7F4D3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Sporazum o finančni podpori mora zagotavljati, da se finančna podpora na podlagi sporazuma </w:t>
      </w:r>
      <w:r w:rsidR="00135ACE" w:rsidRPr="00215B2F">
        <w:rPr>
          <w:rFonts w:ascii="Arial" w:eastAsia="Arial" w:hAnsi="Arial" w:cs="Arial"/>
          <w:sz w:val="20"/>
          <w:szCs w:val="20"/>
        </w:rPr>
        <w:t xml:space="preserve">lahko </w:t>
      </w:r>
      <w:r w:rsidRPr="00215B2F">
        <w:rPr>
          <w:rFonts w:ascii="Arial" w:eastAsia="Arial" w:hAnsi="Arial" w:cs="Arial"/>
          <w:sz w:val="20"/>
          <w:szCs w:val="20"/>
        </w:rPr>
        <w:t>zagotovi le, če so izpolnjeni vsi naslednji pogoji:</w:t>
      </w:r>
    </w:p>
    <w:p w14:paraId="5CAAFD9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14BF204" w14:textId="77777777" w:rsidR="00AE3C7A" w:rsidRPr="00215B2F" w:rsidRDefault="00D91782" w:rsidP="003D4DE0">
      <w:pPr>
        <w:pStyle w:val="tevilnatoka"/>
        <w:numPr>
          <w:ilvl w:val="0"/>
          <w:numId w:val="161"/>
        </w:numPr>
        <w:shd w:val="clear" w:color="auto" w:fill="FFFFFF" w:themeFill="background1"/>
        <w:tabs>
          <w:tab w:val="clear" w:pos="425"/>
        </w:tabs>
        <w:rPr>
          <w:rFonts w:cs="Arial"/>
          <w:bCs/>
          <w:sz w:val="20"/>
          <w:szCs w:val="20"/>
        </w:rPr>
      </w:pPr>
      <w:r w:rsidRPr="00215B2F">
        <w:rPr>
          <w:rFonts w:eastAsia="Arial" w:cs="Arial"/>
          <w:sz w:val="20"/>
          <w:szCs w:val="20"/>
        </w:rPr>
        <w:t>upravičeno je pričakovati, da bo zagotovljena podpora bistveno ublažila finančne težave subjekta v skupini, ki bo prejel podporo;</w:t>
      </w:r>
    </w:p>
    <w:p w14:paraId="5DEC262F" w14:textId="77777777" w:rsidR="00AE3C7A" w:rsidRPr="00215B2F" w:rsidRDefault="00D91782" w:rsidP="003D4DE0">
      <w:pPr>
        <w:pStyle w:val="tevilnatoka"/>
        <w:numPr>
          <w:ilvl w:val="0"/>
          <w:numId w:val="161"/>
        </w:numPr>
        <w:shd w:val="clear" w:color="auto" w:fill="FFFFFF" w:themeFill="background1"/>
        <w:tabs>
          <w:tab w:val="clear" w:pos="425"/>
        </w:tabs>
        <w:rPr>
          <w:rFonts w:cs="Arial"/>
          <w:bCs/>
          <w:sz w:val="20"/>
          <w:szCs w:val="20"/>
        </w:rPr>
      </w:pPr>
      <w:r w:rsidRPr="00215B2F">
        <w:rPr>
          <w:rFonts w:eastAsia="Arial" w:cs="Arial"/>
          <w:sz w:val="20"/>
          <w:szCs w:val="20"/>
        </w:rPr>
        <w:t>zagotovitev finančne podpore je namenjena ohranitvi ali ponovni vzpostavitvi finančne stabilnosti skupine kot celote ali enega od subjektov v skupini in je v interesu subjekta v skupini, ki zagotovi podporo;</w:t>
      </w:r>
    </w:p>
    <w:p w14:paraId="01532C16" w14:textId="77777777" w:rsidR="00AE3C7A" w:rsidRPr="00215B2F" w:rsidRDefault="00D91782" w:rsidP="003D4DE0">
      <w:pPr>
        <w:pStyle w:val="tevilnatoka"/>
        <w:numPr>
          <w:ilvl w:val="0"/>
          <w:numId w:val="161"/>
        </w:numPr>
        <w:shd w:val="clear" w:color="auto" w:fill="FFFFFF" w:themeFill="background1"/>
        <w:tabs>
          <w:tab w:val="clear" w:pos="425"/>
        </w:tabs>
        <w:rPr>
          <w:rFonts w:cs="Arial"/>
          <w:bCs/>
          <w:sz w:val="20"/>
          <w:szCs w:val="20"/>
        </w:rPr>
      </w:pPr>
      <w:r w:rsidRPr="00215B2F">
        <w:rPr>
          <w:rFonts w:eastAsia="Arial" w:cs="Arial"/>
          <w:sz w:val="20"/>
          <w:szCs w:val="20"/>
        </w:rPr>
        <w:t>finančna podpora se zagotovi pod pogoji, ki so določeni v sporazumu, v skladu s prejšnjim odstavkom;</w:t>
      </w:r>
    </w:p>
    <w:p w14:paraId="7297C70F" w14:textId="02908252" w:rsidR="00AE3C7A" w:rsidRPr="00215B2F" w:rsidRDefault="00D91782" w:rsidP="003D4DE0">
      <w:pPr>
        <w:pStyle w:val="tevilnatoka"/>
        <w:numPr>
          <w:ilvl w:val="0"/>
          <w:numId w:val="161"/>
        </w:numPr>
        <w:shd w:val="clear" w:color="auto" w:fill="FFFFFF" w:themeFill="background1"/>
        <w:tabs>
          <w:tab w:val="clear" w:pos="425"/>
        </w:tabs>
        <w:rPr>
          <w:rFonts w:cs="Arial"/>
          <w:bCs/>
          <w:sz w:val="20"/>
          <w:szCs w:val="20"/>
        </w:rPr>
      </w:pPr>
      <w:r w:rsidRPr="00215B2F">
        <w:rPr>
          <w:rFonts w:eastAsia="Arial" w:cs="Arial"/>
          <w:sz w:val="20"/>
          <w:szCs w:val="20"/>
        </w:rPr>
        <w:t>na podlagi informacij, ki so v času sprejetja odločitve o odobritvi finančne podpore na voljo upravljalnemu organu subjekta v skupini, ki zagotovi finančno podporo, je upravičeno pričakovati, da bo subjekt v skupini, ki prejme podporo, plačal nadomestilo za podporo, in če se finančna podpora zagotovi v obliki posojila, povrnil posojilo, če pa se podpora zagotovi v obliki jamstva ali kakršnega</w:t>
      </w:r>
      <w:r w:rsidR="00135ACE" w:rsidRPr="00215B2F">
        <w:rPr>
          <w:rFonts w:eastAsia="Arial" w:cs="Arial"/>
          <w:sz w:val="20"/>
          <w:szCs w:val="20"/>
        </w:rPr>
        <w:t> </w:t>
      </w:r>
      <w:r w:rsidRPr="00215B2F">
        <w:rPr>
          <w:rFonts w:eastAsia="Arial" w:cs="Arial"/>
          <w:sz w:val="20"/>
          <w:szCs w:val="20"/>
        </w:rPr>
        <w:t>koli poroštva, pa bo izpolnil obveznost, ki izhaja iz uveljavljanja jamstva ali poroštva;</w:t>
      </w:r>
    </w:p>
    <w:p w14:paraId="0E13D85C" w14:textId="77777777" w:rsidR="00AE3C7A" w:rsidRPr="00215B2F" w:rsidRDefault="00D91782" w:rsidP="003D4DE0">
      <w:pPr>
        <w:pStyle w:val="tevilnatoka"/>
        <w:numPr>
          <w:ilvl w:val="0"/>
          <w:numId w:val="161"/>
        </w:numPr>
        <w:shd w:val="clear" w:color="auto" w:fill="FFFFFF" w:themeFill="background1"/>
        <w:tabs>
          <w:tab w:val="clear" w:pos="425"/>
        </w:tabs>
        <w:rPr>
          <w:rFonts w:cs="Arial"/>
          <w:bCs/>
          <w:sz w:val="20"/>
          <w:szCs w:val="20"/>
        </w:rPr>
      </w:pPr>
      <w:r w:rsidRPr="00215B2F">
        <w:rPr>
          <w:rFonts w:eastAsia="Arial" w:cs="Arial"/>
          <w:sz w:val="20"/>
          <w:szCs w:val="20"/>
        </w:rPr>
        <w:t>zagotovitev finančne podpore ne bi ogrozila likvidnosti ali solventnosti subjekta v skupini, ki zagotovi podporo;</w:t>
      </w:r>
    </w:p>
    <w:p w14:paraId="1C98E8D5" w14:textId="77777777" w:rsidR="00AE3C7A" w:rsidRPr="00215B2F" w:rsidRDefault="00D91782" w:rsidP="003D4DE0">
      <w:pPr>
        <w:pStyle w:val="tevilnatoka"/>
        <w:numPr>
          <w:ilvl w:val="0"/>
          <w:numId w:val="161"/>
        </w:numPr>
        <w:shd w:val="clear" w:color="auto" w:fill="FFFFFF" w:themeFill="background1"/>
        <w:tabs>
          <w:tab w:val="clear" w:pos="425"/>
        </w:tabs>
        <w:rPr>
          <w:rFonts w:cs="Arial"/>
          <w:bCs/>
          <w:sz w:val="20"/>
          <w:szCs w:val="20"/>
        </w:rPr>
      </w:pPr>
      <w:r w:rsidRPr="00215B2F">
        <w:rPr>
          <w:rFonts w:eastAsia="Arial" w:cs="Arial"/>
          <w:sz w:val="20"/>
          <w:szCs w:val="20"/>
        </w:rPr>
        <w:t>zagotovitev finančne podpore ne bi ogrozila finančne stabilnosti, zlasti ne v državi članici subjekta v skupini, ki zagotovi podporo;</w:t>
      </w:r>
    </w:p>
    <w:p w14:paraId="2C5C5237" w14:textId="3333C259" w:rsidR="00AE3C7A" w:rsidRPr="00215B2F" w:rsidRDefault="00D91782" w:rsidP="003D4DE0">
      <w:pPr>
        <w:pStyle w:val="tevilnatoka"/>
        <w:numPr>
          <w:ilvl w:val="0"/>
          <w:numId w:val="161"/>
        </w:numPr>
        <w:shd w:val="clear" w:color="auto" w:fill="FFFFFF" w:themeFill="background1"/>
        <w:tabs>
          <w:tab w:val="clear" w:pos="425"/>
        </w:tabs>
        <w:rPr>
          <w:rFonts w:cs="Arial"/>
          <w:bCs/>
          <w:sz w:val="20"/>
          <w:szCs w:val="20"/>
        </w:rPr>
      </w:pPr>
      <w:r w:rsidRPr="00215B2F">
        <w:rPr>
          <w:rFonts w:eastAsia="Arial" w:cs="Arial"/>
          <w:sz w:val="20"/>
          <w:szCs w:val="20"/>
        </w:rPr>
        <w:t xml:space="preserve">subjekt v skupini, ki zagotovi podporo, ob zagotovitvi podpore izpolnjuje zahteve v zvezi s kapitalom ali likvidnostjo na podlagi veljavnih predpisov v državi sedeža ter zahteve pristojnega organa, ki je v zvezi s subjektom, ki zagotovi podporo, odgovoren za nadzor na posamični podlagi, v zvezi s kapitalsko zahtevo na podlagi 1. točke drugega odstavka </w:t>
      </w:r>
      <w:r w:rsidR="00B727C1" w:rsidRPr="00215B2F">
        <w:rPr>
          <w:rFonts w:eastAsia="Arial" w:cs="Arial"/>
          <w:sz w:val="20"/>
          <w:szCs w:val="20"/>
        </w:rPr>
        <w:t>345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ter zagotovitev finančne podpore ne povzroči kršitve teh zahtev, razen če to odobri ta pristojni organ;</w:t>
      </w:r>
    </w:p>
    <w:p w14:paraId="25D43FAA" w14:textId="77777777" w:rsidR="00AE3C7A" w:rsidRPr="00215B2F" w:rsidRDefault="00D91782" w:rsidP="003D4DE0">
      <w:pPr>
        <w:pStyle w:val="tevilnatoka"/>
        <w:numPr>
          <w:ilvl w:val="0"/>
          <w:numId w:val="161"/>
        </w:numPr>
        <w:shd w:val="clear" w:color="auto" w:fill="FFFFFF" w:themeFill="background1"/>
        <w:tabs>
          <w:tab w:val="clear" w:pos="425"/>
        </w:tabs>
        <w:rPr>
          <w:rFonts w:cs="Arial"/>
          <w:bCs/>
          <w:sz w:val="20"/>
          <w:szCs w:val="20"/>
        </w:rPr>
      </w:pPr>
      <w:r w:rsidRPr="00215B2F">
        <w:rPr>
          <w:rFonts w:eastAsia="Arial" w:cs="Arial"/>
          <w:sz w:val="20"/>
          <w:szCs w:val="20"/>
        </w:rPr>
        <w:t>subjekt v skupini, ki zagotovi podporo, ob zagotovitvi podpore izpolnjuje zahteve glede velikih izpostavljenosti iz Uredbe 575/2013/EU in predpisov, ki veljajo v državi sedeža, zagotovitev finančne podpore pa ne povzroči kršitve teh zahtev, razen če to odobri pristojni organ, ki je v zvezi s subjektom v skupini, ki zagotovi podporo, odgovoren za nadzor na posamični podlagi;</w:t>
      </w:r>
    </w:p>
    <w:p w14:paraId="04832403" w14:textId="40B2C8F5" w:rsidR="00D91782" w:rsidRPr="00215B2F" w:rsidRDefault="00D91782" w:rsidP="003D4DE0">
      <w:pPr>
        <w:pStyle w:val="tevilnatoka"/>
        <w:numPr>
          <w:ilvl w:val="0"/>
          <w:numId w:val="161"/>
        </w:numPr>
        <w:shd w:val="clear" w:color="auto" w:fill="FFFFFF" w:themeFill="background1"/>
        <w:tabs>
          <w:tab w:val="clear" w:pos="425"/>
        </w:tabs>
        <w:rPr>
          <w:rFonts w:cs="Arial"/>
          <w:bCs/>
          <w:sz w:val="20"/>
          <w:szCs w:val="20"/>
        </w:rPr>
      </w:pPr>
      <w:r w:rsidRPr="00215B2F">
        <w:rPr>
          <w:rFonts w:eastAsia="Arial" w:cs="Arial"/>
          <w:sz w:val="20"/>
          <w:szCs w:val="20"/>
        </w:rPr>
        <w:t>zagotovitev finančne podpore ne bi ogrozila rešljivosti subjekta v skupini, ki zagotovi podporo.</w:t>
      </w:r>
    </w:p>
    <w:p w14:paraId="360946D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CF00924"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03" w:name="_Ref202965305"/>
      <w:r w:rsidRPr="00215B2F">
        <w:rPr>
          <w:rFonts w:ascii="Arial" w:eastAsia="Arial" w:hAnsi="Arial" w:cs="Arial"/>
          <w:b/>
          <w:bCs/>
          <w:sz w:val="20"/>
          <w:szCs w:val="20"/>
        </w:rPr>
        <w:t>člen</w:t>
      </w:r>
      <w:bookmarkEnd w:id="303"/>
    </w:p>
    <w:p w14:paraId="488309B0" w14:textId="77777777" w:rsidR="00D91782" w:rsidRPr="00215B2F" w:rsidRDefault="00D91782" w:rsidP="00FD5520">
      <w:pPr>
        <w:pStyle w:val="Slog1"/>
        <w:shd w:val="clear" w:color="auto" w:fill="FFFFFF" w:themeFill="background1"/>
        <w:rPr>
          <w:sz w:val="20"/>
          <w:szCs w:val="20"/>
        </w:rPr>
      </w:pPr>
      <w:r w:rsidRPr="00215B2F">
        <w:rPr>
          <w:sz w:val="20"/>
          <w:szCs w:val="20"/>
        </w:rPr>
        <w:t>(pregled skladnosti sporazuma o finančni podpori v skupini)</w:t>
      </w:r>
    </w:p>
    <w:p w14:paraId="66176E97" w14:textId="77777777" w:rsidR="00D91782" w:rsidRPr="00215B2F" w:rsidRDefault="00D91782" w:rsidP="00FD5520">
      <w:pPr>
        <w:pStyle w:val="Slog1"/>
        <w:shd w:val="clear" w:color="auto" w:fill="FFFFFF" w:themeFill="background1"/>
        <w:jc w:val="both"/>
        <w:rPr>
          <w:sz w:val="20"/>
          <w:szCs w:val="20"/>
        </w:rPr>
      </w:pPr>
    </w:p>
    <w:p w14:paraId="2BFA85E7" w14:textId="718D11A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EU nadrejena družba mora Banki Slovenije kot konsolidacijskemu nadzorniku na podlagi </w:t>
      </w:r>
      <w:r w:rsidR="00ED63A7" w:rsidRPr="00215B2F">
        <w:rPr>
          <w:rFonts w:ascii="Arial" w:eastAsia="Arial" w:hAnsi="Arial" w:cs="Arial"/>
          <w:sz w:val="20"/>
          <w:szCs w:val="20"/>
        </w:rPr>
        <w:t>411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pred sklenitvijo sporazuma o finančni podpori v skupini iz </w:t>
      </w:r>
      <w:r w:rsidR="00ED63A7" w:rsidRPr="00215B2F">
        <w:rPr>
          <w:rFonts w:ascii="Arial" w:eastAsia="Arial" w:hAnsi="Arial" w:cs="Arial"/>
          <w:sz w:val="20"/>
          <w:szCs w:val="20"/>
        </w:rPr>
        <w:t>248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predložiti zahtevo za odobritev sporazuma</w:t>
      </w:r>
      <w:r w:rsidR="00135ACE" w:rsidRPr="00215B2F">
        <w:rPr>
          <w:rFonts w:ascii="Arial" w:eastAsia="Arial" w:hAnsi="Arial" w:cs="Arial"/>
          <w:sz w:val="20"/>
          <w:szCs w:val="20"/>
        </w:rPr>
        <w:t>,</w:t>
      </w:r>
      <w:r w:rsidRPr="00215B2F">
        <w:rPr>
          <w:rFonts w:ascii="Arial" w:eastAsia="Arial" w:hAnsi="Arial" w:cs="Arial"/>
          <w:sz w:val="20"/>
          <w:szCs w:val="20"/>
        </w:rPr>
        <w:t xml:space="preserve"> zahtevi priložiti predlog besedila sporazuma in navesti stranke predlaganega sporazuma.</w:t>
      </w:r>
    </w:p>
    <w:p w14:paraId="673B59C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4EFA9BD" w14:textId="4BEB81A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kot konsolidacijski nadzornik na podlagi </w:t>
      </w:r>
      <w:r w:rsidR="00ED63A7" w:rsidRPr="00215B2F">
        <w:rPr>
          <w:rFonts w:ascii="Arial" w:eastAsia="Arial" w:hAnsi="Arial" w:cs="Arial"/>
          <w:sz w:val="20"/>
          <w:szCs w:val="20"/>
        </w:rPr>
        <w:t>411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zahtevo iz prejšnjega odstavka nemudoma po</w:t>
      </w:r>
      <w:r w:rsidR="00135ACE" w:rsidRPr="00215B2F">
        <w:rPr>
          <w:rFonts w:ascii="Arial" w:eastAsia="Arial" w:hAnsi="Arial" w:cs="Arial"/>
          <w:sz w:val="20"/>
          <w:szCs w:val="20"/>
        </w:rPr>
        <w:t>šl</w:t>
      </w:r>
      <w:r w:rsidRPr="00215B2F">
        <w:rPr>
          <w:rFonts w:ascii="Arial" w:eastAsia="Arial" w:hAnsi="Arial" w:cs="Arial"/>
          <w:sz w:val="20"/>
          <w:szCs w:val="20"/>
        </w:rPr>
        <w:t>je pristojnim organom vsake podrejene družbe, ki sodeluje kot stranka predlaganega sporazuma, da se sprejme skupna odločitev.</w:t>
      </w:r>
    </w:p>
    <w:p w14:paraId="0779F87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94F81B1" w14:textId="7C145BA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V zvezi s predlaganim sporazumom o finančni podpori v skupini si mora Banka Slovenije, skupaj z drugimi sodelujočimi pristojnimi organi prizadevati, da je v štirih mesecih od dneva, ko konsolidacijski nadzornik sodelujočim pristojnim organom po</w:t>
      </w:r>
      <w:r w:rsidR="00135ACE" w:rsidRPr="00215B2F">
        <w:rPr>
          <w:rFonts w:ascii="Arial" w:eastAsia="Arial" w:hAnsi="Arial" w:cs="Arial"/>
          <w:sz w:val="20"/>
          <w:szCs w:val="20"/>
        </w:rPr>
        <w:t>šl</w:t>
      </w:r>
      <w:r w:rsidRPr="00215B2F">
        <w:rPr>
          <w:rFonts w:ascii="Arial" w:eastAsia="Arial" w:hAnsi="Arial" w:cs="Arial"/>
          <w:sz w:val="20"/>
          <w:szCs w:val="20"/>
        </w:rPr>
        <w:t xml:space="preserve">je vlogo za pregled predlaganega sporazuma o finančni podpori v skupini, sprejeta skupna odločitev sodelujočih pristojnih organov glede skladnosti predlaganega sporazuma s pogoji za finančno podporo iz drugega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Pri skupni odločitvi sodelujoči pristojni organi upoštevajo možni učinek izvajanja sporazuma v vseh državah </w:t>
      </w:r>
      <w:r w:rsidRPr="00215B2F">
        <w:rPr>
          <w:rFonts w:ascii="Arial" w:eastAsia="Arial" w:hAnsi="Arial" w:cs="Arial"/>
          <w:sz w:val="20"/>
          <w:szCs w:val="20"/>
        </w:rPr>
        <w:lastRenderedPageBreak/>
        <w:t>članicah, v katerih skupina deluje, vključno s finančnimi posledicami. Skupna odločitev se navede v pisni obliki ter obrazloži in predloži konsolidacijskemu nadzorniku, ki jo po</w:t>
      </w:r>
      <w:r w:rsidR="00135ACE" w:rsidRPr="00215B2F">
        <w:rPr>
          <w:rFonts w:ascii="Arial" w:eastAsia="Arial" w:hAnsi="Arial" w:cs="Arial"/>
          <w:sz w:val="20"/>
          <w:szCs w:val="20"/>
        </w:rPr>
        <w:t>šl</w:t>
      </w:r>
      <w:r w:rsidRPr="00215B2F">
        <w:rPr>
          <w:rFonts w:ascii="Arial" w:eastAsia="Arial" w:hAnsi="Arial" w:cs="Arial"/>
          <w:sz w:val="20"/>
          <w:szCs w:val="20"/>
        </w:rPr>
        <w:t xml:space="preserve">je vložniku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600DD8C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A2F2876" w14:textId="0F37B77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kot konsolidacijski nadzornik na podlagi </w:t>
      </w:r>
      <w:r w:rsidR="004259A7" w:rsidRPr="00215B2F">
        <w:rPr>
          <w:rFonts w:ascii="Arial" w:eastAsia="Arial" w:hAnsi="Arial" w:cs="Arial"/>
          <w:sz w:val="20"/>
          <w:szCs w:val="20"/>
        </w:rPr>
        <w:t>411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48FA29B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450C081" w14:textId="064786C5" w:rsidR="00AE3C7A" w:rsidRPr="00215B2F" w:rsidRDefault="00D91782" w:rsidP="003D4DE0">
      <w:pPr>
        <w:pStyle w:val="tevilnatoka"/>
        <w:numPr>
          <w:ilvl w:val="0"/>
          <w:numId w:val="162"/>
        </w:numPr>
        <w:shd w:val="clear" w:color="auto" w:fill="FFFFFF" w:themeFill="background1"/>
        <w:tabs>
          <w:tab w:val="clear" w:pos="425"/>
        </w:tabs>
        <w:rPr>
          <w:rFonts w:cs="Arial"/>
          <w:bCs/>
          <w:sz w:val="20"/>
          <w:szCs w:val="20"/>
        </w:rPr>
      </w:pPr>
      <w:r w:rsidRPr="00215B2F">
        <w:rPr>
          <w:rFonts w:eastAsia="Arial" w:cs="Arial"/>
          <w:sz w:val="20"/>
          <w:szCs w:val="20"/>
        </w:rPr>
        <w:t xml:space="preserve">odobri predlog sporazuma, če so z upoštevanjem skupne odločitve iz prejšnjega odstavka načela in pogoji sporazuma </w:t>
      </w:r>
      <w:r w:rsidR="00135ACE" w:rsidRPr="00215B2F">
        <w:rPr>
          <w:rFonts w:eastAsia="Arial" w:cs="Arial"/>
          <w:sz w:val="20"/>
          <w:szCs w:val="20"/>
        </w:rPr>
        <w:t xml:space="preserve">v </w:t>
      </w:r>
      <w:r w:rsidRPr="00215B2F">
        <w:rPr>
          <w:rFonts w:eastAsia="Arial" w:cs="Arial"/>
          <w:sz w:val="20"/>
          <w:szCs w:val="20"/>
        </w:rPr>
        <w:t>sklad</w:t>
      </w:r>
      <w:r w:rsidR="00135ACE" w:rsidRPr="00215B2F">
        <w:rPr>
          <w:rFonts w:eastAsia="Arial" w:cs="Arial"/>
          <w:sz w:val="20"/>
          <w:szCs w:val="20"/>
        </w:rPr>
        <w:t>u</w:t>
      </w:r>
      <w:r w:rsidRPr="00215B2F">
        <w:rPr>
          <w:rFonts w:eastAsia="Arial" w:cs="Arial"/>
          <w:sz w:val="20"/>
          <w:szCs w:val="20"/>
        </w:rPr>
        <w:t xml:space="preserve"> s prejšnjim členom in če vsi pristojni organi iz drugega </w:t>
      </w:r>
      <w:r w:rsidR="00746E88" w:rsidRPr="00215B2F">
        <w:rPr>
          <w:rFonts w:eastAsia="Arial" w:cs="Arial"/>
          <w:sz w:val="20"/>
          <w:szCs w:val="20"/>
        </w:rPr>
        <w:t>odstavka tega člena</w:t>
      </w:r>
      <w:r w:rsidRPr="00215B2F">
        <w:rPr>
          <w:rFonts w:eastAsia="Arial" w:cs="Arial"/>
          <w:sz w:val="20"/>
          <w:szCs w:val="20"/>
        </w:rPr>
        <w:t xml:space="preserve"> ocenijo, da v trenutku, ko je bil sporazum predložen, nobena od strank ni izpolnjevala pogojev za zgodnje posredovanje iz </w:t>
      </w:r>
      <w:r w:rsidR="004259A7" w:rsidRPr="00215B2F">
        <w:rPr>
          <w:rFonts w:eastAsia="Arial" w:cs="Arial"/>
          <w:sz w:val="20"/>
          <w:szCs w:val="20"/>
        </w:rPr>
        <w:t>348</w:t>
      </w:r>
      <w:r w:rsidRPr="00215B2F">
        <w:rPr>
          <w:rFonts w:eastAsia="Arial" w:cs="Arial"/>
          <w:sz w:val="20"/>
          <w:szCs w:val="20"/>
        </w:rPr>
        <w:t xml:space="preserve">. </w:t>
      </w:r>
      <w:r w:rsidR="001F2C7A" w:rsidRPr="00215B2F">
        <w:rPr>
          <w:rFonts w:eastAsia="Arial" w:cs="Arial"/>
          <w:sz w:val="20"/>
          <w:szCs w:val="20"/>
        </w:rPr>
        <w:t>člena tega zakona</w:t>
      </w:r>
      <w:r w:rsidR="00135ACE" w:rsidRPr="00215B2F">
        <w:rPr>
          <w:rFonts w:eastAsia="Arial" w:cs="Arial"/>
          <w:sz w:val="20"/>
          <w:szCs w:val="20"/>
        </w:rPr>
        <w:t>,</w:t>
      </w:r>
      <w:r w:rsidRPr="00215B2F">
        <w:rPr>
          <w:rFonts w:eastAsia="Arial" w:cs="Arial"/>
          <w:sz w:val="20"/>
          <w:szCs w:val="20"/>
        </w:rPr>
        <w:t xml:space="preserve"> ali</w:t>
      </w:r>
    </w:p>
    <w:p w14:paraId="5300F851" w14:textId="11E90AD1" w:rsidR="00D91782" w:rsidRPr="00215B2F" w:rsidRDefault="00D91782" w:rsidP="003D4DE0">
      <w:pPr>
        <w:pStyle w:val="tevilnatoka"/>
        <w:numPr>
          <w:ilvl w:val="0"/>
          <w:numId w:val="162"/>
        </w:numPr>
        <w:shd w:val="clear" w:color="auto" w:fill="FFFFFF" w:themeFill="background1"/>
        <w:tabs>
          <w:tab w:val="clear" w:pos="425"/>
        </w:tabs>
        <w:rPr>
          <w:rFonts w:cs="Arial"/>
          <w:bCs/>
          <w:sz w:val="20"/>
          <w:szCs w:val="20"/>
        </w:rPr>
      </w:pPr>
      <w:r w:rsidRPr="00215B2F">
        <w:rPr>
          <w:rFonts w:eastAsia="Arial" w:cs="Arial"/>
          <w:sz w:val="20"/>
          <w:szCs w:val="20"/>
        </w:rPr>
        <w:t>prepove sklenitev predlaganega sporazuma, če pogoji iz prejšnje točke niso izpolnjeni.</w:t>
      </w:r>
    </w:p>
    <w:p w14:paraId="26760354"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7431556" w14:textId="4E0CA50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Kateri</w:t>
      </w:r>
      <w:r w:rsidR="00135ACE" w:rsidRPr="00215B2F">
        <w:rPr>
          <w:rFonts w:ascii="Arial" w:eastAsia="Arial" w:hAnsi="Arial" w:cs="Arial"/>
          <w:sz w:val="20"/>
          <w:szCs w:val="20"/>
        </w:rPr>
        <w:t xml:space="preserve"> </w:t>
      </w:r>
      <w:r w:rsidRPr="00215B2F">
        <w:rPr>
          <w:rFonts w:ascii="Arial" w:eastAsia="Arial" w:hAnsi="Arial" w:cs="Arial"/>
          <w:sz w:val="20"/>
          <w:szCs w:val="20"/>
        </w:rPr>
        <w:t xml:space="preserve">koli pristojni organ, ki je vključen v nadzor na konsolidirani podlagi, lahko v zvezi s skupno odločitvijo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do izteka štirimesečnega roka oziroma v vsakem primeru pred sprejetjem dokončne odločitve predloži Evropskemu bančnemu organu zahtevo v skladu z 19. členom Uredbe 1093/2010/EU.</w:t>
      </w:r>
    </w:p>
    <w:p w14:paraId="45628898"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3968340" w14:textId="05F10A1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Konsolidacijski nadzornik sam sprejme odločitev glede skladnosti predlaganega sporazuma s pogoji za finančno podporo iz drugega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če:</w:t>
      </w:r>
    </w:p>
    <w:p w14:paraId="747715E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486CE56" w14:textId="1C977767" w:rsidR="00AE3C7A" w:rsidRPr="00215B2F" w:rsidRDefault="00D91782" w:rsidP="003D4DE0">
      <w:pPr>
        <w:pStyle w:val="tevilnatoka"/>
        <w:numPr>
          <w:ilvl w:val="0"/>
          <w:numId w:val="163"/>
        </w:numPr>
        <w:shd w:val="clear" w:color="auto" w:fill="FFFFFF" w:themeFill="background1"/>
        <w:tabs>
          <w:tab w:val="clear" w:pos="425"/>
        </w:tabs>
        <w:rPr>
          <w:rFonts w:cs="Arial"/>
          <w:bCs/>
          <w:sz w:val="20"/>
          <w:szCs w:val="20"/>
        </w:rPr>
      </w:pPr>
      <w:r w:rsidRPr="00215B2F">
        <w:rPr>
          <w:rFonts w:eastAsia="Arial" w:cs="Arial"/>
          <w:sz w:val="20"/>
          <w:szCs w:val="20"/>
        </w:rPr>
        <w:t xml:space="preserve">skupna odločitev iz tretjega </w:t>
      </w:r>
      <w:r w:rsidR="00746E88" w:rsidRPr="00215B2F">
        <w:rPr>
          <w:rFonts w:eastAsia="Arial" w:cs="Arial"/>
          <w:sz w:val="20"/>
          <w:szCs w:val="20"/>
        </w:rPr>
        <w:t>odstavka tega člena</w:t>
      </w:r>
      <w:r w:rsidRPr="00215B2F">
        <w:rPr>
          <w:rFonts w:eastAsia="Arial" w:cs="Arial"/>
          <w:sz w:val="20"/>
          <w:szCs w:val="20"/>
        </w:rPr>
        <w:t xml:space="preserve"> ni sprejeta v štirih mesecih ali</w:t>
      </w:r>
    </w:p>
    <w:p w14:paraId="7D721621" w14:textId="4EA82B02" w:rsidR="00D91782" w:rsidRPr="00215B2F" w:rsidRDefault="00D91782" w:rsidP="003D4DE0">
      <w:pPr>
        <w:pStyle w:val="tevilnatoka"/>
        <w:numPr>
          <w:ilvl w:val="0"/>
          <w:numId w:val="163"/>
        </w:numPr>
        <w:shd w:val="clear" w:color="auto" w:fill="FFFFFF" w:themeFill="background1"/>
        <w:tabs>
          <w:tab w:val="clear" w:pos="425"/>
        </w:tabs>
        <w:rPr>
          <w:rFonts w:cs="Arial"/>
          <w:bCs/>
          <w:sz w:val="20"/>
          <w:szCs w:val="20"/>
        </w:rPr>
      </w:pPr>
      <w:r w:rsidRPr="00215B2F">
        <w:rPr>
          <w:rFonts w:eastAsia="Arial" w:cs="Arial"/>
          <w:sz w:val="20"/>
          <w:szCs w:val="20"/>
        </w:rPr>
        <w:t>Evropski bančni organ o zahtevi iz prejšnjega odstavka ne odloči v enem mesecu.</w:t>
      </w:r>
    </w:p>
    <w:p w14:paraId="33F4D89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CC7DE96" w14:textId="3D7DD25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Banka Slovenije kot konsolidacijski nadzornik v primeru iz prejšnjega odstavka pri odločitvi po presoji upošteva mnenja in pomisleke, ki so jih izrazili sodelujoči pristojni organi. Če je vložena zahteva iz petega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Banka Slovenije kot konsolidacijski nadzornik prekine postopek odločanja do odločitve Evropskega bančnega organa. Če </w:t>
      </w:r>
      <w:r w:rsidR="0050649E" w:rsidRPr="00215B2F">
        <w:rPr>
          <w:rFonts w:ascii="Arial" w:eastAsia="Arial" w:hAnsi="Arial" w:cs="Arial"/>
          <w:sz w:val="20"/>
          <w:szCs w:val="20"/>
        </w:rPr>
        <w:t xml:space="preserve">ta </w:t>
      </w:r>
      <w:r w:rsidRPr="00215B2F">
        <w:rPr>
          <w:rFonts w:ascii="Arial" w:eastAsia="Arial" w:hAnsi="Arial" w:cs="Arial"/>
          <w:sz w:val="20"/>
          <w:szCs w:val="20"/>
        </w:rPr>
        <w:t>na podlagi tretjega odstavka 19. člena Uredbe 1093/2010/EU sprejme svojo odločitev o zadevi, Banka Slovenije kot konsolidacijski nadzornik to odločitev upošteva in ravna v skladu s četrtim odstavkom tega člena. Obrazloženo odločitev Banka Slovenije kot konsolidacijski nadzornik po</w:t>
      </w:r>
      <w:r w:rsidR="0050649E" w:rsidRPr="00215B2F">
        <w:rPr>
          <w:rFonts w:ascii="Arial" w:eastAsia="Arial" w:hAnsi="Arial" w:cs="Arial"/>
          <w:sz w:val="20"/>
          <w:szCs w:val="20"/>
        </w:rPr>
        <w:t>šl</w:t>
      </w:r>
      <w:r w:rsidRPr="00215B2F">
        <w:rPr>
          <w:rFonts w:ascii="Arial" w:eastAsia="Arial" w:hAnsi="Arial" w:cs="Arial"/>
          <w:sz w:val="20"/>
          <w:szCs w:val="20"/>
        </w:rPr>
        <w:t xml:space="preserve">je sodelujočim pristojnim organom </w:t>
      </w:r>
      <w:r w:rsidR="0050649E" w:rsidRPr="00215B2F">
        <w:rPr>
          <w:rFonts w:ascii="Arial" w:eastAsia="Arial" w:hAnsi="Arial" w:cs="Arial"/>
          <w:sz w:val="20"/>
          <w:szCs w:val="20"/>
        </w:rPr>
        <w:t xml:space="preserve">in </w:t>
      </w:r>
      <w:r w:rsidRPr="00215B2F">
        <w:rPr>
          <w:rFonts w:ascii="Arial" w:eastAsia="Arial" w:hAnsi="Arial" w:cs="Arial"/>
          <w:sz w:val="20"/>
          <w:szCs w:val="20"/>
        </w:rPr>
        <w:t xml:space="preserve">vložniku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796B68B8"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AB2D7DD" w14:textId="1E49346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(8) Banka Slovenije kot sodelujoči pristojni organ v primeru iz prejšnjega odstavka pri izvajanju nadzora nad banko na posamični podlagi upošteva odločitev konsolidacijskega nadzornika, kadar je to pristojni organ druge države članice, kot dokončno.</w:t>
      </w:r>
    </w:p>
    <w:p w14:paraId="29A0F0F8"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A101C0A" w14:textId="67E3EA2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(9) Banka Slovenije po</w:t>
      </w:r>
      <w:r w:rsidR="0050649E" w:rsidRPr="00215B2F">
        <w:rPr>
          <w:rFonts w:ascii="Arial" w:eastAsia="Arial" w:hAnsi="Arial" w:cs="Arial"/>
          <w:sz w:val="20"/>
          <w:szCs w:val="20"/>
        </w:rPr>
        <w:t>šl</w:t>
      </w:r>
      <w:r w:rsidRPr="00215B2F">
        <w:rPr>
          <w:rFonts w:ascii="Arial" w:eastAsia="Arial" w:hAnsi="Arial" w:cs="Arial"/>
          <w:sz w:val="20"/>
          <w:szCs w:val="20"/>
        </w:rPr>
        <w:t>je sporazum o finančni podpori v skupini, ki ga je odobril pristojni konsolidacijski nadzornik, in morebitne spremembe tega sporazuma organu, ki je v zvezi z banko v skupini odgovoren za reševanje.</w:t>
      </w:r>
    </w:p>
    <w:p w14:paraId="571094E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22D6A10"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04" w:name="_Ref202965316"/>
      <w:r w:rsidRPr="00215B2F">
        <w:rPr>
          <w:rFonts w:ascii="Arial" w:eastAsia="Arial" w:hAnsi="Arial" w:cs="Arial"/>
          <w:b/>
          <w:bCs/>
          <w:sz w:val="20"/>
          <w:szCs w:val="20"/>
        </w:rPr>
        <w:t>člen</w:t>
      </w:r>
      <w:bookmarkEnd w:id="304"/>
    </w:p>
    <w:p w14:paraId="363052A0" w14:textId="77777777" w:rsidR="00D91782" w:rsidRPr="00215B2F" w:rsidRDefault="00D91782" w:rsidP="00FD5520">
      <w:pPr>
        <w:pStyle w:val="Slog1"/>
        <w:shd w:val="clear" w:color="auto" w:fill="FFFFFF" w:themeFill="background1"/>
        <w:rPr>
          <w:sz w:val="20"/>
          <w:szCs w:val="20"/>
        </w:rPr>
      </w:pPr>
      <w:r w:rsidRPr="00215B2F">
        <w:rPr>
          <w:sz w:val="20"/>
          <w:szCs w:val="20"/>
        </w:rPr>
        <w:t>(odobritev sporazuma o finančni podpori v skupini s strani delničarjev)</w:t>
      </w:r>
    </w:p>
    <w:p w14:paraId="76DE93B2" w14:textId="77777777" w:rsidR="00D91782" w:rsidRPr="00215B2F" w:rsidRDefault="00D91782" w:rsidP="00FD5520">
      <w:pPr>
        <w:pStyle w:val="Slog1"/>
        <w:shd w:val="clear" w:color="auto" w:fill="FFFFFF" w:themeFill="background1"/>
        <w:jc w:val="both"/>
        <w:rPr>
          <w:sz w:val="20"/>
          <w:szCs w:val="20"/>
        </w:rPr>
      </w:pPr>
    </w:p>
    <w:p w14:paraId="53D5101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Predlog sporazuma o finančni podpori v skupini, ki ga je odobril pristojni konsolidacijski nadzornik, mora pred sklenitvijo odobriti tudi skupščina delničarjev vsakega subjekta, ki sodeluje kot stranka tega sporazuma.</w:t>
      </w:r>
    </w:p>
    <w:p w14:paraId="1889D93E"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FD843DD" w14:textId="2FE8FEF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Sporazum o finančni podpori v skupini velja le za tiste subjekte v skupini, katerih delničarji so na skupščini odločili, da:</w:t>
      </w:r>
    </w:p>
    <w:p w14:paraId="3A321F5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12F1F80" w14:textId="77777777" w:rsidR="00AE3C7A" w:rsidRPr="00215B2F" w:rsidRDefault="00D91782" w:rsidP="003D4DE0">
      <w:pPr>
        <w:pStyle w:val="tevilnatoka"/>
        <w:numPr>
          <w:ilvl w:val="0"/>
          <w:numId w:val="164"/>
        </w:numPr>
        <w:shd w:val="clear" w:color="auto" w:fill="FFFFFF" w:themeFill="background1"/>
        <w:tabs>
          <w:tab w:val="clear" w:pos="425"/>
        </w:tabs>
        <w:rPr>
          <w:rFonts w:cs="Arial"/>
          <w:bCs/>
          <w:sz w:val="20"/>
          <w:szCs w:val="20"/>
        </w:rPr>
      </w:pPr>
      <w:r w:rsidRPr="00215B2F">
        <w:rPr>
          <w:rFonts w:eastAsia="Arial" w:cs="Arial"/>
          <w:sz w:val="20"/>
          <w:szCs w:val="20"/>
        </w:rPr>
        <w:t>subjekt pristopi kot stranka k sporazumu o finančni podpori v skupini, ki ga je odobril pristojni konsolidacijski nadzornik;</w:t>
      </w:r>
    </w:p>
    <w:p w14:paraId="0234CEB1" w14:textId="73DCFF61" w:rsidR="00D91782" w:rsidRPr="00215B2F" w:rsidRDefault="00D91782" w:rsidP="00543D80">
      <w:pPr>
        <w:pStyle w:val="tevilnatoka"/>
        <w:rPr>
          <w:rFonts w:cs="Arial"/>
          <w:bCs/>
          <w:sz w:val="20"/>
          <w:szCs w:val="20"/>
        </w:rPr>
      </w:pPr>
      <w:r w:rsidRPr="00215B2F">
        <w:rPr>
          <w:rFonts w:eastAsia="Arial" w:cs="Arial"/>
          <w:sz w:val="20"/>
          <w:szCs w:val="20"/>
        </w:rPr>
        <w:t>je upravljalni organ tega subjekta pooblaščen za spreje</w:t>
      </w:r>
      <w:r w:rsidR="00175542" w:rsidRPr="00215B2F">
        <w:rPr>
          <w:rFonts w:eastAsia="Arial" w:cs="Arial"/>
          <w:sz w:val="20"/>
          <w:szCs w:val="20"/>
        </w:rPr>
        <w:t>tje</w:t>
      </w:r>
      <w:r w:rsidRPr="00215B2F">
        <w:rPr>
          <w:rFonts w:eastAsia="Arial" w:cs="Arial"/>
          <w:sz w:val="20"/>
          <w:szCs w:val="20"/>
        </w:rPr>
        <w:t xml:space="preserve"> odločitve, da kot stranka sporazuma zagotovi ali prejme finančno podporo v skladu s pogoji sporazuma.</w:t>
      </w:r>
    </w:p>
    <w:p w14:paraId="23AC5E6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EEA18B2" w14:textId="3987907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Sporazum o finančni podp</w:t>
      </w:r>
      <w:r w:rsidR="00175542" w:rsidRPr="00215B2F">
        <w:rPr>
          <w:rFonts w:ascii="Arial" w:eastAsia="Arial" w:hAnsi="Arial" w:cs="Arial"/>
          <w:sz w:val="20"/>
          <w:szCs w:val="20"/>
        </w:rPr>
        <w:t>o</w:t>
      </w:r>
      <w:r w:rsidRPr="00215B2F">
        <w:rPr>
          <w:rFonts w:ascii="Arial" w:eastAsia="Arial" w:hAnsi="Arial" w:cs="Arial"/>
          <w:sz w:val="20"/>
          <w:szCs w:val="20"/>
        </w:rPr>
        <w:t>ri v skupini preneha veljati za posamezni subjekt, če skupščina delničarjev tega subjekta prekliče pooblastilo iz prejšnjega odstavka.</w:t>
      </w:r>
    </w:p>
    <w:p w14:paraId="35C2279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4752B1C"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05" w:name="_Ref202965322"/>
      <w:r w:rsidRPr="00215B2F">
        <w:rPr>
          <w:rFonts w:ascii="Arial" w:eastAsia="Arial" w:hAnsi="Arial" w:cs="Arial"/>
          <w:b/>
          <w:bCs/>
          <w:sz w:val="20"/>
          <w:szCs w:val="20"/>
        </w:rPr>
        <w:t>člen</w:t>
      </w:r>
      <w:bookmarkEnd w:id="305"/>
    </w:p>
    <w:p w14:paraId="01595AA9" w14:textId="77777777" w:rsidR="00D91782" w:rsidRPr="00215B2F" w:rsidRDefault="00D91782" w:rsidP="00FD5520">
      <w:pPr>
        <w:pStyle w:val="Slog1"/>
        <w:shd w:val="clear" w:color="auto" w:fill="FFFFFF" w:themeFill="background1"/>
        <w:rPr>
          <w:sz w:val="20"/>
          <w:szCs w:val="20"/>
        </w:rPr>
      </w:pPr>
      <w:r w:rsidRPr="00215B2F">
        <w:rPr>
          <w:sz w:val="20"/>
          <w:szCs w:val="20"/>
        </w:rPr>
        <w:t>(razkritja v zvezi s pristopom k sporazumu o finančni podpori v skupini)</w:t>
      </w:r>
    </w:p>
    <w:p w14:paraId="5BF7BC17" w14:textId="77777777" w:rsidR="00D91782" w:rsidRPr="00215B2F" w:rsidRDefault="00D91782" w:rsidP="00FD5520">
      <w:pPr>
        <w:pStyle w:val="Slog1"/>
        <w:shd w:val="clear" w:color="auto" w:fill="FFFFFF" w:themeFill="background1"/>
        <w:jc w:val="both"/>
        <w:rPr>
          <w:sz w:val="20"/>
          <w:szCs w:val="20"/>
        </w:rPr>
      </w:pPr>
    </w:p>
    <w:p w14:paraId="49F7AF20" w14:textId="003E24B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Vsak subjekt v skupini, ki je vključen v konsolidiran</w:t>
      </w:r>
      <w:r w:rsidR="0071655B" w:rsidRPr="00215B2F">
        <w:rPr>
          <w:rFonts w:ascii="Arial" w:eastAsia="Arial" w:hAnsi="Arial" w:cs="Arial"/>
          <w:sz w:val="20"/>
          <w:szCs w:val="20"/>
        </w:rPr>
        <w:t>i</w:t>
      </w:r>
      <w:r w:rsidRPr="00215B2F">
        <w:rPr>
          <w:rFonts w:ascii="Arial" w:eastAsia="Arial" w:hAnsi="Arial" w:cs="Arial"/>
          <w:sz w:val="20"/>
          <w:szCs w:val="20"/>
        </w:rPr>
        <w:t xml:space="preserve"> nadzor, ki ga v skladu s </w:t>
      </w:r>
      <w:r w:rsidR="004259A7" w:rsidRPr="00215B2F">
        <w:rPr>
          <w:rFonts w:ascii="Arial" w:eastAsia="Arial" w:hAnsi="Arial" w:cs="Arial"/>
          <w:sz w:val="20"/>
          <w:szCs w:val="20"/>
        </w:rPr>
        <w:t>411</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in 4. členom Uredbe 1024/2013/EU nad banko izvaja Banka Slovenije ali Evropska centralna banka, mora javno objaviti, ali je bil med vsemi ali posameznimi subjekti iz prvega odstavka </w:t>
      </w:r>
      <w:r w:rsidR="004259A7" w:rsidRPr="00215B2F">
        <w:rPr>
          <w:rFonts w:ascii="Arial" w:eastAsia="Arial" w:hAnsi="Arial" w:cs="Arial"/>
          <w:sz w:val="20"/>
          <w:szCs w:val="20"/>
        </w:rPr>
        <w:t>248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sklenjen sporazum o finančni podpori v skupini, vključno z informacijo, ali je pristopil kot stranka sporazuma. Če je pristopil kot stranka sporazuma, mora v objavi navesti vse stranke sporazuma in splošne pogoje tega sporazuma.</w:t>
      </w:r>
    </w:p>
    <w:p w14:paraId="55AD9C3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E062BBA" w14:textId="6142AB2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Informacije iz prejšnjega odstavka, ki so predmet objave, mora subjekt v skupini posodobiti vsaj enkrat letno.</w:t>
      </w:r>
    </w:p>
    <w:p w14:paraId="6542E8EC"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DC854E4" w14:textId="4909BD2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Za objavo informacij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se uporabljajo 431. do 434. člen Uredbe 575/2013/EU.</w:t>
      </w:r>
    </w:p>
    <w:p w14:paraId="55EBCC9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96D6BE5" w14:textId="6E2A9E3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Subjekt v skupini mora informacije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predložiti na evropsko enotno točko dostopa, vzpostavljeno na podlagi Uredbe 2023/2859/EU, v formatu, ki omogoča izvlečenje podatkov, kakor je opredeljen v 3. točki 2. člena Uredbe 2023</w:t>
      </w:r>
      <w:r w:rsidR="001B1640" w:rsidRPr="00215B2F">
        <w:rPr>
          <w:rFonts w:ascii="Arial" w:eastAsia="Arial" w:hAnsi="Arial" w:cs="Arial"/>
          <w:sz w:val="20"/>
          <w:szCs w:val="20"/>
        </w:rPr>
        <w:t>/2859</w:t>
      </w:r>
      <w:r w:rsidRPr="00215B2F">
        <w:rPr>
          <w:rFonts w:ascii="Arial" w:eastAsia="Arial" w:hAnsi="Arial" w:cs="Arial"/>
          <w:sz w:val="20"/>
          <w:szCs w:val="20"/>
        </w:rPr>
        <w:t xml:space="preserve">/EU, in z metapodatki, ki vključujejo: </w:t>
      </w:r>
    </w:p>
    <w:p w14:paraId="0BAF5AF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940C1E5" w14:textId="77777777" w:rsidR="00AE3C7A"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vsa imena institucije, na katero se informacije nanašajo; </w:t>
      </w:r>
    </w:p>
    <w:p w14:paraId="7C33D628" w14:textId="6B13AA0A" w:rsidR="00AE3C7A"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identifikator pravnih subjektov institucije, k</w:t>
      </w:r>
      <w:r w:rsidR="00136CF4" w:rsidRPr="00215B2F">
        <w:rPr>
          <w:rFonts w:ascii="Arial" w:eastAsia="Arial" w:hAnsi="Arial" w:cs="Arial"/>
          <w:sz w:val="20"/>
          <w:szCs w:val="20"/>
        </w:rPr>
        <w:t>akor</w:t>
      </w:r>
      <w:r w:rsidRPr="00215B2F">
        <w:rPr>
          <w:rFonts w:ascii="Arial" w:eastAsia="Arial" w:hAnsi="Arial" w:cs="Arial"/>
          <w:sz w:val="20"/>
          <w:szCs w:val="20"/>
        </w:rPr>
        <w:t xml:space="preserve"> je določen na podlagi točke (b) četrtega odstavka 7. člena Uredbe 2023/2859/EU;</w:t>
      </w:r>
    </w:p>
    <w:p w14:paraId="7F6A9494" w14:textId="6C6F43DB" w:rsidR="00AE3C7A"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velikost institucije po kategorijah, k</w:t>
      </w:r>
      <w:r w:rsidR="00136CF4" w:rsidRPr="00215B2F">
        <w:rPr>
          <w:rFonts w:ascii="Arial" w:eastAsia="Arial" w:hAnsi="Arial" w:cs="Arial"/>
          <w:sz w:val="20"/>
          <w:szCs w:val="20"/>
        </w:rPr>
        <w:t>akor</w:t>
      </w:r>
      <w:r w:rsidRPr="00215B2F">
        <w:rPr>
          <w:rFonts w:ascii="Arial" w:eastAsia="Arial" w:hAnsi="Arial" w:cs="Arial"/>
          <w:sz w:val="20"/>
          <w:szCs w:val="20"/>
        </w:rPr>
        <w:t xml:space="preserve"> so določene na podlagi točke (d) četrtega odstavka 7. člena Uredbe 2023/2859/EU; </w:t>
      </w:r>
    </w:p>
    <w:p w14:paraId="39077BA6" w14:textId="77777777" w:rsidR="00AE3C7A"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vrsto informacij glede na razvrstitev na podlagi točke (c) četrtega odstavka 7. člena Uredbe 2023/2859/EU; </w:t>
      </w:r>
    </w:p>
    <w:p w14:paraId="4DF6B33D" w14:textId="272E5F37"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oznako, iz katere je razvidno, ali te informacije vsebujejo osebne podatke.</w:t>
      </w:r>
    </w:p>
    <w:p w14:paraId="0C4715A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E15C5F7"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06" w:name="_Ref202965329"/>
      <w:r w:rsidRPr="00215B2F">
        <w:rPr>
          <w:rFonts w:ascii="Arial" w:eastAsia="Arial" w:hAnsi="Arial" w:cs="Arial"/>
          <w:b/>
          <w:bCs/>
          <w:sz w:val="20"/>
          <w:szCs w:val="20"/>
        </w:rPr>
        <w:t>člen</w:t>
      </w:r>
      <w:bookmarkEnd w:id="306"/>
    </w:p>
    <w:p w14:paraId="0AA5E19E" w14:textId="77777777" w:rsidR="00D91782" w:rsidRPr="00215B2F" w:rsidRDefault="00D91782" w:rsidP="00FD5520">
      <w:pPr>
        <w:pStyle w:val="Slog1"/>
        <w:shd w:val="clear" w:color="auto" w:fill="FFFFFF" w:themeFill="background1"/>
        <w:rPr>
          <w:sz w:val="20"/>
          <w:szCs w:val="20"/>
        </w:rPr>
      </w:pPr>
      <w:r w:rsidRPr="00215B2F">
        <w:rPr>
          <w:sz w:val="20"/>
          <w:szCs w:val="20"/>
        </w:rPr>
        <w:t>(odločitev o zagotovitvi ali prejemu finančne podpore)</w:t>
      </w:r>
    </w:p>
    <w:p w14:paraId="18CD279E" w14:textId="77777777" w:rsidR="00D91782" w:rsidRPr="00215B2F" w:rsidRDefault="00D91782" w:rsidP="00FD5520">
      <w:pPr>
        <w:pStyle w:val="Slog1"/>
        <w:shd w:val="clear" w:color="auto" w:fill="FFFFFF" w:themeFill="background1"/>
        <w:jc w:val="both"/>
        <w:rPr>
          <w:sz w:val="20"/>
          <w:szCs w:val="20"/>
        </w:rPr>
      </w:pPr>
    </w:p>
    <w:p w14:paraId="11759B3D" w14:textId="4954270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Odločitev o zagotovitvi finančne podpore v skladu s sporazumom o finančni podpori v skupini sprejme upravljalni organ subjekta v skupini, ki zagotovi finančno podporo, v skladu s pooblastilom iz 2. točke drugega odstavka </w:t>
      </w:r>
      <w:r w:rsidR="004259A7" w:rsidRPr="00215B2F">
        <w:rPr>
          <w:rFonts w:ascii="Arial" w:eastAsia="Arial" w:hAnsi="Arial" w:cs="Arial"/>
          <w:sz w:val="20"/>
          <w:szCs w:val="20"/>
        </w:rPr>
        <w:t>251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64F5959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7D12788" w14:textId="3C68FE9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Upravljalni organ mora odločitev iz prejšnjega odstavka obrazložiti in pri tem navesti zlasti cilj predlagane finančne podpore in okoliščine, iz katerih izhaja, da zagotovitev finančne podpore izpolnjuje pogoje iz drugega odstavka </w:t>
      </w:r>
      <w:r w:rsidR="004259A7" w:rsidRPr="00215B2F">
        <w:rPr>
          <w:rFonts w:ascii="Arial" w:eastAsia="Arial" w:hAnsi="Arial" w:cs="Arial"/>
          <w:sz w:val="20"/>
          <w:szCs w:val="20"/>
        </w:rPr>
        <w:t>249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76A92E1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DE68B55" w14:textId="22FCE88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Odločitev o prejemu finančne podpore v skladu s sporazumom o finančni podpori v skupini sprejme upravljalni organ subjekta v skupini, ki prejme finančno podporo, v skladu s pooblastilom iz 2. točke drugega odstavka </w:t>
      </w:r>
      <w:r w:rsidR="004259A7" w:rsidRPr="00215B2F">
        <w:rPr>
          <w:rFonts w:ascii="Arial" w:eastAsia="Arial" w:hAnsi="Arial" w:cs="Arial"/>
          <w:sz w:val="20"/>
          <w:szCs w:val="20"/>
        </w:rPr>
        <w:t>251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5E0DF9E6"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07C308A" w14:textId="76D17F4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Upravljalni organ vsakega subjekta, ki je stranka sporazuma o finančni podpori v skupini, mora skupščini delničarjev vsako leto poročati o izvajanju sporazuma in o vseh odločitvah, sprejetih na podlagi sporazuma.</w:t>
      </w:r>
    </w:p>
    <w:p w14:paraId="675F1737"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460A873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07" w:name="_Ref202965333"/>
      <w:r w:rsidRPr="00215B2F">
        <w:rPr>
          <w:rFonts w:ascii="Arial" w:eastAsia="Arial" w:hAnsi="Arial" w:cs="Arial"/>
          <w:b/>
          <w:bCs/>
          <w:sz w:val="20"/>
          <w:szCs w:val="20"/>
        </w:rPr>
        <w:t>člen</w:t>
      </w:r>
      <w:bookmarkEnd w:id="307"/>
    </w:p>
    <w:p w14:paraId="7A4C4004" w14:textId="77777777" w:rsidR="00D91782" w:rsidRPr="00215B2F" w:rsidRDefault="00D91782" w:rsidP="00FD5520">
      <w:pPr>
        <w:pStyle w:val="Slog1"/>
        <w:shd w:val="clear" w:color="auto" w:fill="FFFFFF" w:themeFill="background1"/>
        <w:rPr>
          <w:sz w:val="20"/>
          <w:szCs w:val="20"/>
        </w:rPr>
      </w:pPr>
      <w:r w:rsidRPr="00215B2F">
        <w:rPr>
          <w:sz w:val="20"/>
          <w:szCs w:val="20"/>
        </w:rPr>
        <w:t>(presoja pogojev za zagotovitev finančne podpore v skupini)</w:t>
      </w:r>
    </w:p>
    <w:p w14:paraId="5A40C0DA" w14:textId="77777777" w:rsidR="00D91782" w:rsidRPr="00215B2F" w:rsidRDefault="00D91782" w:rsidP="00FD5520">
      <w:pPr>
        <w:pStyle w:val="Slog1"/>
        <w:shd w:val="clear" w:color="auto" w:fill="FFFFFF" w:themeFill="background1"/>
        <w:jc w:val="both"/>
        <w:rPr>
          <w:sz w:val="20"/>
          <w:szCs w:val="20"/>
        </w:rPr>
      </w:pPr>
    </w:p>
    <w:p w14:paraId="01335E8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Upravljalni organ subjekta v skupini, ki namerava zagotoviti finančno podporo na podlagi sporazuma o finančni podpori v skupini, pred zagotovitvijo podpore o tem obvesti:</w:t>
      </w:r>
    </w:p>
    <w:p w14:paraId="3940678E"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20E4F1A" w14:textId="2C9E61C1" w:rsidR="00AE3C7A" w:rsidRPr="00215B2F" w:rsidRDefault="00D91782" w:rsidP="003D4DE0">
      <w:pPr>
        <w:pStyle w:val="tevilnatoka"/>
        <w:numPr>
          <w:ilvl w:val="0"/>
          <w:numId w:val="165"/>
        </w:numPr>
        <w:shd w:val="clear" w:color="auto" w:fill="FFFFFF" w:themeFill="background1"/>
        <w:tabs>
          <w:tab w:val="clear" w:pos="425"/>
        </w:tabs>
        <w:rPr>
          <w:rFonts w:cs="Arial"/>
          <w:bCs/>
          <w:sz w:val="20"/>
          <w:szCs w:val="20"/>
        </w:rPr>
      </w:pPr>
      <w:r w:rsidRPr="00215B2F">
        <w:rPr>
          <w:rFonts w:eastAsia="Arial" w:cs="Arial"/>
          <w:sz w:val="20"/>
          <w:szCs w:val="20"/>
        </w:rPr>
        <w:t xml:space="preserve">Banko Slovenije ali Evropsko centralno banko, kadar </w:t>
      </w:r>
      <w:r w:rsidR="00136CF4" w:rsidRPr="00215B2F">
        <w:rPr>
          <w:rFonts w:eastAsia="Arial" w:cs="Arial"/>
          <w:sz w:val="20"/>
          <w:szCs w:val="20"/>
        </w:rPr>
        <w:t xml:space="preserve">ta </w:t>
      </w:r>
      <w:r w:rsidRPr="00215B2F">
        <w:rPr>
          <w:rFonts w:eastAsia="Arial" w:cs="Arial"/>
          <w:sz w:val="20"/>
          <w:szCs w:val="20"/>
        </w:rPr>
        <w:t xml:space="preserve">v skladu z Uredbo 1024/2013/EU pri opravljanju nadzora nad banko v skupini izvaja naloge iz točk (b) </w:t>
      </w:r>
      <w:r w:rsidR="00136CF4" w:rsidRPr="00215B2F">
        <w:rPr>
          <w:rFonts w:eastAsia="Arial" w:cs="Arial"/>
          <w:sz w:val="20"/>
          <w:szCs w:val="20"/>
        </w:rPr>
        <w:t xml:space="preserve">in </w:t>
      </w:r>
      <w:r w:rsidRPr="00215B2F">
        <w:rPr>
          <w:rFonts w:eastAsia="Arial" w:cs="Arial"/>
          <w:sz w:val="20"/>
          <w:szCs w:val="20"/>
        </w:rPr>
        <w:t xml:space="preserve">(d) do (i) prvega odstavka 4. člena </w:t>
      </w:r>
      <w:r w:rsidR="00091BC8" w:rsidRPr="00215B2F">
        <w:rPr>
          <w:rFonts w:eastAsia="Arial" w:cs="Arial"/>
          <w:sz w:val="20"/>
          <w:szCs w:val="20"/>
        </w:rPr>
        <w:t>navedene uredbe</w:t>
      </w:r>
      <w:r w:rsidRPr="00215B2F">
        <w:rPr>
          <w:rFonts w:eastAsia="Arial" w:cs="Arial"/>
          <w:sz w:val="20"/>
          <w:szCs w:val="20"/>
        </w:rPr>
        <w:t>;</w:t>
      </w:r>
    </w:p>
    <w:p w14:paraId="6C387F99" w14:textId="77777777" w:rsidR="00AE3C7A" w:rsidRPr="00215B2F" w:rsidRDefault="00D91782" w:rsidP="003D4DE0">
      <w:pPr>
        <w:pStyle w:val="tevilnatoka"/>
        <w:numPr>
          <w:ilvl w:val="0"/>
          <w:numId w:val="165"/>
        </w:numPr>
        <w:shd w:val="clear" w:color="auto" w:fill="FFFFFF" w:themeFill="background1"/>
        <w:tabs>
          <w:tab w:val="clear" w:pos="425"/>
        </w:tabs>
        <w:rPr>
          <w:rFonts w:cs="Arial"/>
          <w:bCs/>
          <w:sz w:val="20"/>
          <w:szCs w:val="20"/>
        </w:rPr>
      </w:pPr>
      <w:r w:rsidRPr="00215B2F">
        <w:rPr>
          <w:rFonts w:eastAsia="Arial" w:cs="Arial"/>
          <w:sz w:val="20"/>
          <w:szCs w:val="20"/>
        </w:rPr>
        <w:t>konsolidacijskega nadzornika;</w:t>
      </w:r>
    </w:p>
    <w:p w14:paraId="5887DAAD" w14:textId="77777777" w:rsidR="00AE3C7A" w:rsidRPr="00215B2F" w:rsidRDefault="00D91782" w:rsidP="003D4DE0">
      <w:pPr>
        <w:pStyle w:val="tevilnatoka"/>
        <w:numPr>
          <w:ilvl w:val="0"/>
          <w:numId w:val="165"/>
        </w:numPr>
        <w:shd w:val="clear" w:color="auto" w:fill="FFFFFF" w:themeFill="background1"/>
        <w:tabs>
          <w:tab w:val="clear" w:pos="425"/>
        </w:tabs>
        <w:rPr>
          <w:rFonts w:cs="Arial"/>
          <w:bCs/>
          <w:sz w:val="20"/>
          <w:szCs w:val="20"/>
        </w:rPr>
      </w:pPr>
      <w:r w:rsidRPr="00215B2F">
        <w:rPr>
          <w:rFonts w:eastAsia="Arial" w:cs="Arial"/>
          <w:sz w:val="20"/>
          <w:szCs w:val="20"/>
        </w:rPr>
        <w:t>pristojni organ, ki je v zvezi s subjektom, ki bo prejel finančno podporo, pristojen za nadzor na posamični podlagi;</w:t>
      </w:r>
    </w:p>
    <w:p w14:paraId="08ED8F9E" w14:textId="16EB361E" w:rsidR="00D91782" w:rsidRPr="00215B2F" w:rsidRDefault="00D91782" w:rsidP="003D4DE0">
      <w:pPr>
        <w:pStyle w:val="tevilnatoka"/>
        <w:numPr>
          <w:ilvl w:val="0"/>
          <w:numId w:val="165"/>
        </w:numPr>
        <w:shd w:val="clear" w:color="auto" w:fill="FFFFFF" w:themeFill="background1"/>
        <w:tabs>
          <w:tab w:val="clear" w:pos="425"/>
        </w:tabs>
        <w:rPr>
          <w:rFonts w:cs="Arial"/>
          <w:bCs/>
          <w:sz w:val="20"/>
          <w:szCs w:val="20"/>
        </w:rPr>
      </w:pPr>
      <w:r w:rsidRPr="00215B2F">
        <w:rPr>
          <w:rFonts w:eastAsia="Arial" w:cs="Arial"/>
          <w:sz w:val="20"/>
          <w:szCs w:val="20"/>
        </w:rPr>
        <w:t>Evropski bančni organ.</w:t>
      </w:r>
    </w:p>
    <w:p w14:paraId="502BC86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CAB64CF" w14:textId="2AE8E77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(2) Obvestilo iz </w:t>
      </w:r>
      <w:r w:rsidR="007B5052" w:rsidRPr="00215B2F">
        <w:rPr>
          <w:rFonts w:ascii="Arial" w:eastAsia="Arial" w:hAnsi="Arial" w:cs="Arial"/>
          <w:sz w:val="20"/>
          <w:szCs w:val="20"/>
        </w:rPr>
        <w:t xml:space="preserve">prejšnjega </w:t>
      </w:r>
      <w:r w:rsidR="00746E88" w:rsidRPr="00215B2F">
        <w:rPr>
          <w:rFonts w:ascii="Arial" w:eastAsia="Arial" w:hAnsi="Arial" w:cs="Arial"/>
          <w:sz w:val="20"/>
          <w:szCs w:val="20"/>
        </w:rPr>
        <w:t xml:space="preserve">odstavka </w:t>
      </w:r>
      <w:r w:rsidRPr="00215B2F">
        <w:rPr>
          <w:rFonts w:ascii="Arial" w:eastAsia="Arial" w:hAnsi="Arial" w:cs="Arial"/>
          <w:sz w:val="20"/>
          <w:szCs w:val="20"/>
        </w:rPr>
        <w:t xml:space="preserve">vključuje obrazloženo odločitev iz prvega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w:t>
      </w:r>
      <w:r w:rsidR="00136CF4" w:rsidRPr="00215B2F">
        <w:rPr>
          <w:rFonts w:ascii="Arial" w:eastAsia="Arial" w:hAnsi="Arial" w:cs="Arial"/>
          <w:sz w:val="20"/>
          <w:szCs w:val="20"/>
        </w:rPr>
        <w:t xml:space="preserve">in </w:t>
      </w:r>
      <w:r w:rsidRPr="00215B2F">
        <w:rPr>
          <w:rFonts w:ascii="Arial" w:eastAsia="Arial" w:hAnsi="Arial" w:cs="Arial"/>
          <w:sz w:val="20"/>
          <w:szCs w:val="20"/>
        </w:rPr>
        <w:t>podrobnosti predlagane finančne podpore, vključno s fotokopijo veljavnega sporazuma o finančni podpori v skupini.</w:t>
      </w:r>
    </w:p>
    <w:p w14:paraId="4C614A5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6472CD1" w14:textId="4403E5A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namerava finančno podporo na podlagi sporazuma o finančni podpori v skupini zagotoviti banka, lahko Banka Slovenije v petih delovnih dneh po prejemu obvestila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banki prepove ali omeji zagotovitev finančne podpore, če oceni, da pogoji iz drugega odstavka </w:t>
      </w:r>
      <w:r w:rsidR="004259A7" w:rsidRPr="00215B2F">
        <w:rPr>
          <w:rFonts w:ascii="Arial" w:eastAsia="Arial" w:hAnsi="Arial" w:cs="Arial"/>
          <w:sz w:val="20"/>
          <w:szCs w:val="20"/>
        </w:rPr>
        <w:t>249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za zagotovitev finančne podpore v skupini niso izpolnjeni, in svojo odločitev obrazloži.</w:t>
      </w:r>
    </w:p>
    <w:p w14:paraId="72A5FED9"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38F430A" w14:textId="2D0D4F3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v primeru iz prejšnjega odstavka o svoji odločitvi glede odobritve, prepovedi ali omejitve finančne podpore subjekta v skupini nemudoma obvesti:</w:t>
      </w:r>
    </w:p>
    <w:p w14:paraId="1083D84A"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B352A6A" w14:textId="77777777" w:rsidR="00AE3C7A" w:rsidRPr="00215B2F" w:rsidRDefault="00D91782" w:rsidP="003D4DE0">
      <w:pPr>
        <w:pStyle w:val="tevilnatoka"/>
        <w:numPr>
          <w:ilvl w:val="0"/>
          <w:numId w:val="166"/>
        </w:numPr>
        <w:shd w:val="clear" w:color="auto" w:fill="FFFFFF" w:themeFill="background1"/>
        <w:tabs>
          <w:tab w:val="clear" w:pos="425"/>
        </w:tabs>
        <w:rPr>
          <w:rFonts w:cs="Arial"/>
          <w:bCs/>
          <w:sz w:val="20"/>
          <w:szCs w:val="20"/>
        </w:rPr>
      </w:pPr>
      <w:r w:rsidRPr="00215B2F">
        <w:rPr>
          <w:rFonts w:eastAsia="Arial" w:cs="Arial"/>
          <w:sz w:val="20"/>
          <w:szCs w:val="20"/>
        </w:rPr>
        <w:t>konsolidacijskega nadzornika;</w:t>
      </w:r>
    </w:p>
    <w:p w14:paraId="1A5C66AF" w14:textId="77777777" w:rsidR="00AE3C7A" w:rsidRPr="00215B2F" w:rsidRDefault="00D91782" w:rsidP="003D4DE0">
      <w:pPr>
        <w:pStyle w:val="tevilnatoka"/>
        <w:numPr>
          <w:ilvl w:val="0"/>
          <w:numId w:val="166"/>
        </w:numPr>
        <w:shd w:val="clear" w:color="auto" w:fill="FFFFFF" w:themeFill="background1"/>
        <w:tabs>
          <w:tab w:val="clear" w:pos="425"/>
        </w:tabs>
        <w:rPr>
          <w:rFonts w:cs="Arial"/>
          <w:bCs/>
          <w:sz w:val="20"/>
          <w:szCs w:val="20"/>
        </w:rPr>
      </w:pPr>
      <w:r w:rsidRPr="00215B2F">
        <w:rPr>
          <w:rFonts w:eastAsia="Arial" w:cs="Arial"/>
          <w:sz w:val="20"/>
          <w:szCs w:val="20"/>
        </w:rPr>
        <w:t>pristojni organ, ki je v zvezi s subjektom, ki bo prejel finančno podporo, pristojen za nadzor na posamični podlagi;</w:t>
      </w:r>
    </w:p>
    <w:p w14:paraId="745E961F" w14:textId="2196342D" w:rsidR="00D91782" w:rsidRPr="00215B2F" w:rsidRDefault="00D91782" w:rsidP="003D4DE0">
      <w:pPr>
        <w:pStyle w:val="tevilnatoka"/>
        <w:numPr>
          <w:ilvl w:val="0"/>
          <w:numId w:val="166"/>
        </w:numPr>
        <w:shd w:val="clear" w:color="auto" w:fill="FFFFFF" w:themeFill="background1"/>
        <w:tabs>
          <w:tab w:val="clear" w:pos="425"/>
        </w:tabs>
        <w:rPr>
          <w:rFonts w:cs="Arial"/>
          <w:bCs/>
          <w:sz w:val="20"/>
          <w:szCs w:val="20"/>
        </w:rPr>
      </w:pPr>
      <w:r w:rsidRPr="00215B2F">
        <w:rPr>
          <w:rFonts w:eastAsia="Arial" w:cs="Arial"/>
          <w:sz w:val="20"/>
          <w:szCs w:val="20"/>
        </w:rPr>
        <w:t>Evropski bančni organ.</w:t>
      </w:r>
    </w:p>
    <w:p w14:paraId="453322A8"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BB22C3A" w14:textId="0F794AF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kot konsolidacijski nadzornik na podlagi </w:t>
      </w:r>
      <w:r w:rsidR="004259A7" w:rsidRPr="00215B2F">
        <w:rPr>
          <w:rFonts w:ascii="Arial" w:eastAsia="Arial" w:hAnsi="Arial" w:cs="Arial"/>
          <w:sz w:val="20"/>
          <w:szCs w:val="20"/>
        </w:rPr>
        <w:t>411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Uredbe 1024/2013/EU nemudoma obvesti druge člane kolegija nadzornikov in člane kolegija za reševanje o odločitvi pristojnega organa, ki je v zvezi s subjektom, ki bo zagotovil finančno podporo v skupini, pristojen za nadzor na posamični podlagi, glede odobritve, prepovedi ali omejitve finančne podpore, ki jo namerava zagotoviti subjekt v skupini.</w:t>
      </w:r>
    </w:p>
    <w:p w14:paraId="05989BD3"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2D57AEC6" w14:textId="2223DED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Če ima konsolidacijski nadzornik ali pristojni organ, ki je v zvezi s subjektom, ki bo prejel finančno podporo, pristojen za nadzor na posamični podlagi, ugovore v zvezi z odločitvijo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o prepovedi ali omejitvi finančne podpore, lahko zadevo v dveh dneh predloži Evropskemu bančnemu organu in ga zaprosi za pomoč v skladu z 31. členom Uredbe 1093/2010/EU.</w:t>
      </w:r>
    </w:p>
    <w:p w14:paraId="5285021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7D8A598" w14:textId="28DFF5A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Če Banka Slovenije v zvezi z namero banke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ali drug pristojni organ, ki je v zvezi s subjektom, ki bo zagotovil finančno podporo, pristojen za nadzor na posamični podlagi, v zvezi z namero subjekta o zagotovitvi finančne podpore v obdobju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ne prepove ali omeji nameravane finančne podpore ali jo pred iztekom tega obdobja odobri, se finančna podpora </w:t>
      </w:r>
      <w:r w:rsidR="004F1A68" w:rsidRPr="00215B2F">
        <w:rPr>
          <w:rFonts w:ascii="Arial" w:eastAsia="Arial" w:hAnsi="Arial" w:cs="Arial"/>
          <w:sz w:val="20"/>
          <w:szCs w:val="20"/>
        </w:rPr>
        <w:t xml:space="preserve">lahko </w:t>
      </w:r>
      <w:r w:rsidRPr="00215B2F">
        <w:rPr>
          <w:rFonts w:ascii="Arial" w:eastAsia="Arial" w:hAnsi="Arial" w:cs="Arial"/>
          <w:sz w:val="20"/>
          <w:szCs w:val="20"/>
        </w:rPr>
        <w:t xml:space="preserve">zagotovi pod pogoji, navedenimi v obvestilu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4229C58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D556C84" w14:textId="7021223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(8) Banka sporoči odločitev upravljalnega organa o zagotovitvi finančne podpore:</w:t>
      </w:r>
    </w:p>
    <w:p w14:paraId="5A79077D"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C56ACCF" w14:textId="50AF2C54" w:rsidR="00AE3C7A" w:rsidRPr="00215B2F" w:rsidRDefault="00D91782" w:rsidP="003D4DE0">
      <w:pPr>
        <w:pStyle w:val="tevilnatoka"/>
        <w:numPr>
          <w:ilvl w:val="0"/>
          <w:numId w:val="167"/>
        </w:numPr>
        <w:shd w:val="clear" w:color="auto" w:fill="FFFFFF" w:themeFill="background1"/>
        <w:tabs>
          <w:tab w:val="clear" w:pos="425"/>
        </w:tabs>
        <w:rPr>
          <w:rFonts w:cs="Arial"/>
          <w:bCs/>
          <w:sz w:val="20"/>
          <w:szCs w:val="20"/>
        </w:rPr>
      </w:pPr>
      <w:r w:rsidRPr="00215B2F">
        <w:rPr>
          <w:rFonts w:eastAsia="Arial" w:cs="Arial"/>
          <w:sz w:val="20"/>
          <w:szCs w:val="20"/>
        </w:rPr>
        <w:t>Banki Slovenije;</w:t>
      </w:r>
    </w:p>
    <w:p w14:paraId="6D37D4A2" w14:textId="77777777" w:rsidR="00AE3C7A" w:rsidRPr="00215B2F" w:rsidRDefault="00D91782" w:rsidP="003D4DE0">
      <w:pPr>
        <w:pStyle w:val="tevilnatoka"/>
        <w:numPr>
          <w:ilvl w:val="0"/>
          <w:numId w:val="167"/>
        </w:numPr>
        <w:shd w:val="clear" w:color="auto" w:fill="FFFFFF" w:themeFill="background1"/>
        <w:tabs>
          <w:tab w:val="clear" w:pos="425"/>
        </w:tabs>
        <w:rPr>
          <w:rFonts w:cs="Arial"/>
          <w:bCs/>
          <w:sz w:val="20"/>
          <w:szCs w:val="20"/>
        </w:rPr>
      </w:pPr>
      <w:r w:rsidRPr="00215B2F">
        <w:rPr>
          <w:rFonts w:eastAsia="Arial" w:cs="Arial"/>
          <w:sz w:val="20"/>
          <w:szCs w:val="20"/>
        </w:rPr>
        <w:t>konsolidacijskemu nadzorniku, ki o tem nemudoma obvesti druge člane kolegija nadzornikov in člane kolegija za reševanje;</w:t>
      </w:r>
    </w:p>
    <w:p w14:paraId="2F905A8F" w14:textId="77777777" w:rsidR="00AE3C7A" w:rsidRPr="00215B2F" w:rsidRDefault="00D91782" w:rsidP="003D4DE0">
      <w:pPr>
        <w:pStyle w:val="tevilnatoka"/>
        <w:numPr>
          <w:ilvl w:val="0"/>
          <w:numId w:val="167"/>
        </w:numPr>
        <w:shd w:val="clear" w:color="auto" w:fill="FFFFFF" w:themeFill="background1"/>
        <w:tabs>
          <w:tab w:val="clear" w:pos="425"/>
        </w:tabs>
        <w:rPr>
          <w:rFonts w:cs="Arial"/>
          <w:bCs/>
          <w:sz w:val="20"/>
          <w:szCs w:val="20"/>
        </w:rPr>
      </w:pPr>
      <w:r w:rsidRPr="00215B2F">
        <w:rPr>
          <w:rFonts w:eastAsia="Arial" w:cs="Arial"/>
          <w:sz w:val="20"/>
          <w:szCs w:val="20"/>
        </w:rPr>
        <w:t>pristojnemu organu, ki je v zvezi s subjektom, ki bo prejel finančno podporo, pristojen za nadzor na posamični podlagi;</w:t>
      </w:r>
    </w:p>
    <w:p w14:paraId="77D58F6E" w14:textId="5E424650" w:rsidR="00D91782" w:rsidRPr="00215B2F" w:rsidRDefault="00D91782" w:rsidP="003D4DE0">
      <w:pPr>
        <w:pStyle w:val="tevilnatoka"/>
        <w:numPr>
          <w:ilvl w:val="0"/>
          <w:numId w:val="167"/>
        </w:numPr>
        <w:shd w:val="clear" w:color="auto" w:fill="FFFFFF" w:themeFill="background1"/>
        <w:tabs>
          <w:tab w:val="clear" w:pos="425"/>
        </w:tabs>
        <w:rPr>
          <w:rFonts w:cs="Arial"/>
          <w:bCs/>
          <w:sz w:val="20"/>
          <w:szCs w:val="20"/>
        </w:rPr>
      </w:pPr>
      <w:r w:rsidRPr="00215B2F">
        <w:rPr>
          <w:rFonts w:eastAsia="Arial" w:cs="Arial"/>
          <w:sz w:val="20"/>
          <w:szCs w:val="20"/>
        </w:rPr>
        <w:t>Evropskemu bančnemu organu.</w:t>
      </w:r>
    </w:p>
    <w:p w14:paraId="101BB4CE"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6EC5D2E" w14:textId="73D6786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(9) Če je sporazum o finančni podpori v skupini vključen v načrt sanacije skupine in pristojni organ, ki je v zvezi s subjektom, ki bo zagotovil finančno podporo, pristojen za nadzor na posamični podlagi, omeji ali prepove finančno podporo banki, lahko Banka Slovenije, kadar v skladu z Uredbo 1024/2013/EU pri opravljanju nadzora nad banko izvaja naloge iz točke (i) prvega odstavka 4. člena </w:t>
      </w:r>
      <w:r w:rsidR="00091BC8" w:rsidRPr="00215B2F">
        <w:rPr>
          <w:rFonts w:ascii="Arial" w:eastAsia="Arial" w:hAnsi="Arial" w:cs="Arial"/>
          <w:sz w:val="20"/>
          <w:szCs w:val="20"/>
        </w:rPr>
        <w:t>navedene uredbe</w:t>
      </w:r>
      <w:r w:rsidRPr="00215B2F">
        <w:rPr>
          <w:rFonts w:ascii="Arial" w:eastAsia="Arial" w:hAnsi="Arial" w:cs="Arial"/>
          <w:sz w:val="20"/>
          <w:szCs w:val="20"/>
        </w:rPr>
        <w:t xml:space="preserve">, zahteva, da pristojni konsolidacijski nadzornik v skladu z </w:t>
      </w:r>
      <w:r w:rsidR="004259A7" w:rsidRPr="00215B2F">
        <w:rPr>
          <w:rFonts w:ascii="Arial" w:eastAsia="Arial" w:hAnsi="Arial" w:cs="Arial"/>
          <w:sz w:val="20"/>
          <w:szCs w:val="20"/>
        </w:rPr>
        <w:t>255</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in po postopku iz </w:t>
      </w:r>
      <w:r w:rsidR="004259A7" w:rsidRPr="00215B2F">
        <w:rPr>
          <w:rFonts w:ascii="Arial" w:eastAsia="Arial" w:hAnsi="Arial" w:cs="Arial"/>
          <w:sz w:val="20"/>
          <w:szCs w:val="20"/>
        </w:rPr>
        <w:t>257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r w:rsidR="00F455AB" w:rsidRPr="00215B2F">
        <w:rPr>
          <w:rFonts w:ascii="Arial" w:eastAsia="Arial" w:hAnsi="Arial" w:cs="Arial"/>
          <w:sz w:val="20"/>
          <w:szCs w:val="20"/>
        </w:rPr>
        <w:t>z</w:t>
      </w:r>
      <w:r w:rsidRPr="00215B2F">
        <w:rPr>
          <w:rFonts w:ascii="Arial" w:eastAsia="Arial" w:hAnsi="Arial" w:cs="Arial"/>
          <w:sz w:val="20"/>
          <w:szCs w:val="20"/>
        </w:rPr>
        <w:t>nov</w:t>
      </w:r>
      <w:r w:rsidR="00F455AB" w:rsidRPr="00215B2F">
        <w:rPr>
          <w:rFonts w:ascii="Arial" w:eastAsia="Arial" w:hAnsi="Arial" w:cs="Arial"/>
          <w:sz w:val="20"/>
          <w:szCs w:val="20"/>
        </w:rPr>
        <w:t>a</w:t>
      </w:r>
      <w:r w:rsidRPr="00215B2F">
        <w:rPr>
          <w:rFonts w:ascii="Arial" w:eastAsia="Arial" w:hAnsi="Arial" w:cs="Arial"/>
          <w:sz w:val="20"/>
          <w:szCs w:val="20"/>
        </w:rPr>
        <w:t xml:space="preserve"> oceni načrt sanacije skupine ali da banka predloži popravljen individualni načrt sanacije.</w:t>
      </w:r>
    </w:p>
    <w:p w14:paraId="44BF8F0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3DF70F7" w14:textId="6325211C"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6.7.3 Pregled in ocena načrta sanacije</w:t>
      </w:r>
    </w:p>
    <w:p w14:paraId="2DFD70A6"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ED75DA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08" w:name="_Ref202965343"/>
      <w:r w:rsidRPr="00215B2F">
        <w:rPr>
          <w:rFonts w:ascii="Arial" w:eastAsia="Arial" w:hAnsi="Arial" w:cs="Arial"/>
          <w:b/>
          <w:bCs/>
          <w:sz w:val="20"/>
          <w:szCs w:val="20"/>
        </w:rPr>
        <w:t>člen</w:t>
      </w:r>
      <w:bookmarkEnd w:id="308"/>
    </w:p>
    <w:p w14:paraId="61002142" w14:textId="77777777" w:rsidR="00D91782" w:rsidRPr="00215B2F" w:rsidRDefault="00D91782" w:rsidP="00FD5520">
      <w:pPr>
        <w:pStyle w:val="Slog1"/>
        <w:shd w:val="clear" w:color="auto" w:fill="FFFFFF" w:themeFill="background1"/>
        <w:rPr>
          <w:sz w:val="20"/>
          <w:szCs w:val="20"/>
        </w:rPr>
      </w:pPr>
      <w:r w:rsidRPr="00215B2F">
        <w:rPr>
          <w:sz w:val="20"/>
          <w:szCs w:val="20"/>
        </w:rPr>
        <w:t>(ocenjevanje načrta sanacije)</w:t>
      </w:r>
    </w:p>
    <w:p w14:paraId="5D08C454" w14:textId="77777777" w:rsidR="00D91782" w:rsidRPr="00215B2F" w:rsidRDefault="00D91782" w:rsidP="00FD5520">
      <w:pPr>
        <w:pStyle w:val="Slog1"/>
        <w:shd w:val="clear" w:color="auto" w:fill="FFFFFF" w:themeFill="background1"/>
        <w:jc w:val="both"/>
        <w:rPr>
          <w:sz w:val="20"/>
          <w:szCs w:val="20"/>
        </w:rPr>
      </w:pPr>
    </w:p>
    <w:p w14:paraId="3460C52D" w14:textId="1D7F0E3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v okviru pregleda in ovrednotenja iz </w:t>
      </w:r>
      <w:r w:rsidR="004259A7" w:rsidRPr="00215B2F">
        <w:rPr>
          <w:rFonts w:ascii="Arial" w:eastAsia="Arial" w:hAnsi="Arial" w:cs="Arial"/>
          <w:sz w:val="20"/>
          <w:szCs w:val="20"/>
        </w:rPr>
        <w:t>223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preverja, ali načrt sanacije, ki ga je v skladu z </w:t>
      </w:r>
      <w:r w:rsidR="004259A7" w:rsidRPr="00215B2F">
        <w:rPr>
          <w:rFonts w:ascii="Arial" w:eastAsia="Arial" w:hAnsi="Arial" w:cs="Arial"/>
          <w:sz w:val="20"/>
          <w:szCs w:val="20"/>
        </w:rPr>
        <w:t>242</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predložila banka, vsebuje vse informacije in izpolnjuje zahteve iz </w:t>
      </w:r>
      <w:r w:rsidR="004259A7" w:rsidRPr="00215B2F">
        <w:rPr>
          <w:rFonts w:ascii="Arial" w:eastAsia="Arial" w:hAnsi="Arial" w:cs="Arial"/>
          <w:sz w:val="20"/>
          <w:szCs w:val="20"/>
        </w:rPr>
        <w:t>243</w:t>
      </w:r>
      <w:r w:rsidRPr="00215B2F">
        <w:rPr>
          <w:rFonts w:ascii="Arial" w:eastAsia="Arial" w:hAnsi="Arial" w:cs="Arial"/>
          <w:sz w:val="20"/>
          <w:szCs w:val="20"/>
        </w:rPr>
        <w:t xml:space="preserve">. do </w:t>
      </w:r>
      <w:r w:rsidR="004259A7" w:rsidRPr="00215B2F">
        <w:rPr>
          <w:rFonts w:ascii="Arial" w:eastAsia="Arial" w:hAnsi="Arial" w:cs="Arial"/>
          <w:sz w:val="20"/>
          <w:szCs w:val="20"/>
        </w:rPr>
        <w:t>245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4236557C"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F791015" w14:textId="227411D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(2) Pri oceni iz prejšnjega odstavka Banka Slovenije upošteva zlasti:</w:t>
      </w:r>
    </w:p>
    <w:p w14:paraId="21C826A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033979D9" w14:textId="77777777" w:rsidR="00AE3C7A" w:rsidRPr="00215B2F" w:rsidRDefault="00D91782" w:rsidP="003D4DE0">
      <w:pPr>
        <w:pStyle w:val="tevilnatoka"/>
        <w:numPr>
          <w:ilvl w:val="0"/>
          <w:numId w:val="168"/>
        </w:numPr>
        <w:shd w:val="clear" w:color="auto" w:fill="FFFFFF" w:themeFill="background1"/>
        <w:tabs>
          <w:tab w:val="clear" w:pos="425"/>
        </w:tabs>
        <w:rPr>
          <w:rFonts w:cs="Arial"/>
          <w:bCs/>
          <w:sz w:val="20"/>
          <w:szCs w:val="20"/>
        </w:rPr>
      </w:pPr>
      <w:r w:rsidRPr="00215B2F">
        <w:rPr>
          <w:rFonts w:eastAsia="Arial" w:cs="Arial"/>
          <w:sz w:val="20"/>
          <w:szCs w:val="20"/>
        </w:rPr>
        <w:t>ali je struktura kapitala banke ter virov financiranja ustrezna glede na kompleksnost organizacijske strukture in glede na profil tveganosti banke;</w:t>
      </w:r>
    </w:p>
    <w:p w14:paraId="03932334" w14:textId="2A48A654" w:rsidR="00AE3C7A" w:rsidRPr="00215B2F" w:rsidRDefault="00D91782" w:rsidP="003D4DE0">
      <w:pPr>
        <w:pStyle w:val="tevilnatoka"/>
        <w:numPr>
          <w:ilvl w:val="0"/>
          <w:numId w:val="168"/>
        </w:numPr>
        <w:shd w:val="clear" w:color="auto" w:fill="FFFFFF" w:themeFill="background1"/>
        <w:tabs>
          <w:tab w:val="clear" w:pos="425"/>
        </w:tabs>
        <w:rPr>
          <w:rFonts w:cs="Arial"/>
          <w:bCs/>
          <w:sz w:val="20"/>
          <w:szCs w:val="20"/>
        </w:rPr>
      </w:pPr>
      <w:r w:rsidRPr="00215B2F">
        <w:rPr>
          <w:rFonts w:eastAsia="Arial" w:cs="Arial"/>
          <w:sz w:val="20"/>
          <w:szCs w:val="20"/>
        </w:rPr>
        <w:t xml:space="preserve">ali se bosta z izvajanjem ukrepov, predlaganih v načrtu, verjetno ohranila ali </w:t>
      </w:r>
      <w:r w:rsidR="00F455AB" w:rsidRPr="00215B2F">
        <w:rPr>
          <w:rFonts w:eastAsia="Arial" w:cs="Arial"/>
          <w:sz w:val="20"/>
          <w:szCs w:val="20"/>
        </w:rPr>
        <w:t>z</w:t>
      </w:r>
      <w:r w:rsidRPr="00215B2F">
        <w:rPr>
          <w:rFonts w:eastAsia="Arial" w:cs="Arial"/>
          <w:sz w:val="20"/>
          <w:szCs w:val="20"/>
        </w:rPr>
        <w:t>nov</w:t>
      </w:r>
      <w:r w:rsidR="00F455AB" w:rsidRPr="00215B2F">
        <w:rPr>
          <w:rFonts w:eastAsia="Arial" w:cs="Arial"/>
          <w:sz w:val="20"/>
          <w:szCs w:val="20"/>
        </w:rPr>
        <w:t>a</w:t>
      </w:r>
      <w:r w:rsidRPr="00215B2F">
        <w:rPr>
          <w:rFonts w:eastAsia="Arial" w:cs="Arial"/>
          <w:sz w:val="20"/>
          <w:szCs w:val="20"/>
        </w:rPr>
        <w:t xml:space="preserve"> vzpostavila uspešno poslovanje in stabilni finančni položaj institucije ali skupine, pri čemer upošteva pripravljalne ukrepe, ki jih je institucija sprejela ali jih namerava sprejeti;</w:t>
      </w:r>
    </w:p>
    <w:p w14:paraId="06D4439F" w14:textId="77777777" w:rsidR="00AE3C7A" w:rsidRPr="00215B2F" w:rsidRDefault="00D91782" w:rsidP="003D4DE0">
      <w:pPr>
        <w:pStyle w:val="tevilnatoka"/>
        <w:numPr>
          <w:ilvl w:val="0"/>
          <w:numId w:val="168"/>
        </w:numPr>
        <w:shd w:val="clear" w:color="auto" w:fill="FFFFFF" w:themeFill="background1"/>
        <w:tabs>
          <w:tab w:val="clear" w:pos="425"/>
        </w:tabs>
        <w:rPr>
          <w:rFonts w:cs="Arial"/>
          <w:bCs/>
          <w:sz w:val="20"/>
          <w:szCs w:val="20"/>
        </w:rPr>
      </w:pPr>
      <w:r w:rsidRPr="00215B2F">
        <w:rPr>
          <w:rFonts w:eastAsia="Arial" w:cs="Arial"/>
          <w:sz w:val="20"/>
          <w:szCs w:val="20"/>
        </w:rPr>
        <w:t>ali se bodo načrt in posamezne aktivnosti v načrtu z ustrezno verjetnostjo lahko izvajali dovolj hitro in učinkovito tudi v primeru znatnih finančnih težav na način, da se bo v čim večji meri preprečil resnejši negativni vpliv na finančni sistem, pri čemer upošteva tudi scenarije, ko bi v istem obdobju tudi druge institucije izvajale načrte sanacije;</w:t>
      </w:r>
    </w:p>
    <w:p w14:paraId="719DD429" w14:textId="0445DA4C" w:rsidR="00D91782" w:rsidRPr="00215B2F" w:rsidRDefault="00D91782" w:rsidP="003D4DE0">
      <w:pPr>
        <w:pStyle w:val="tevilnatoka"/>
        <w:numPr>
          <w:ilvl w:val="0"/>
          <w:numId w:val="168"/>
        </w:numPr>
        <w:shd w:val="clear" w:color="auto" w:fill="FFFFFF" w:themeFill="background1"/>
        <w:tabs>
          <w:tab w:val="clear" w:pos="425"/>
        </w:tabs>
        <w:rPr>
          <w:rFonts w:cs="Arial"/>
          <w:bCs/>
          <w:sz w:val="20"/>
          <w:szCs w:val="20"/>
        </w:rPr>
      </w:pPr>
      <w:r w:rsidRPr="00215B2F">
        <w:rPr>
          <w:rFonts w:eastAsia="Arial" w:cs="Arial"/>
          <w:sz w:val="20"/>
          <w:szCs w:val="20"/>
        </w:rPr>
        <w:t>ali imajo lahko ukrepi in aktivnosti, ki so predvideni v načrtu sanacije, negativen vpliv na rešljivost banke.</w:t>
      </w:r>
    </w:p>
    <w:p w14:paraId="0E9C4B05"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4EE118FD" w14:textId="18479E9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lahko za namene ocenjevanja načrta sanacije v skladu s prvim odstavkom tega člena od banke zahteva, da:</w:t>
      </w:r>
    </w:p>
    <w:p w14:paraId="242E1E28"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6CA8BADB" w14:textId="77777777" w:rsidR="00AE3C7A" w:rsidRPr="00215B2F" w:rsidRDefault="00D91782" w:rsidP="003D4DE0">
      <w:pPr>
        <w:pStyle w:val="tevilnatoka"/>
        <w:numPr>
          <w:ilvl w:val="0"/>
          <w:numId w:val="169"/>
        </w:numPr>
        <w:shd w:val="clear" w:color="auto" w:fill="FFFFFF" w:themeFill="background1"/>
        <w:tabs>
          <w:tab w:val="clear" w:pos="425"/>
        </w:tabs>
        <w:rPr>
          <w:rFonts w:cs="Arial"/>
          <w:bCs/>
          <w:sz w:val="20"/>
          <w:szCs w:val="20"/>
        </w:rPr>
      </w:pPr>
      <w:r w:rsidRPr="00215B2F">
        <w:rPr>
          <w:rFonts w:eastAsia="Arial" w:cs="Arial"/>
          <w:sz w:val="20"/>
          <w:szCs w:val="20"/>
        </w:rPr>
        <w:t>v določenem roku predloži dodatna pojasnila in dokaze v zvezi z okoliščinami iz prejšnjega odstavka;</w:t>
      </w:r>
    </w:p>
    <w:p w14:paraId="09024783" w14:textId="615EEE17" w:rsidR="00AE3C7A" w:rsidRPr="00215B2F" w:rsidRDefault="00D91782" w:rsidP="003D4DE0">
      <w:pPr>
        <w:pStyle w:val="tevilnatoka"/>
        <w:numPr>
          <w:ilvl w:val="0"/>
          <w:numId w:val="169"/>
        </w:numPr>
        <w:shd w:val="clear" w:color="auto" w:fill="FFFFFF" w:themeFill="background1"/>
        <w:tabs>
          <w:tab w:val="clear" w:pos="425"/>
        </w:tabs>
        <w:rPr>
          <w:rFonts w:cs="Arial"/>
          <w:bCs/>
          <w:sz w:val="20"/>
          <w:szCs w:val="20"/>
        </w:rPr>
      </w:pPr>
      <w:r w:rsidRPr="00215B2F">
        <w:rPr>
          <w:rFonts w:eastAsia="Arial" w:cs="Arial"/>
          <w:sz w:val="20"/>
          <w:szCs w:val="20"/>
        </w:rPr>
        <w:t xml:space="preserve">v določenem roku načrt sanacije uskladi z zahtevami iz </w:t>
      </w:r>
      <w:r w:rsidR="004259A7" w:rsidRPr="00215B2F">
        <w:rPr>
          <w:rFonts w:eastAsia="Arial" w:cs="Arial"/>
          <w:sz w:val="20"/>
          <w:szCs w:val="20"/>
        </w:rPr>
        <w:t>243</w:t>
      </w:r>
      <w:r w:rsidRPr="00215B2F">
        <w:rPr>
          <w:rFonts w:eastAsia="Arial" w:cs="Arial"/>
          <w:sz w:val="20"/>
          <w:szCs w:val="20"/>
        </w:rPr>
        <w:t xml:space="preserve">. do </w:t>
      </w:r>
      <w:r w:rsidR="004259A7" w:rsidRPr="00215B2F">
        <w:rPr>
          <w:rFonts w:eastAsia="Arial" w:cs="Arial"/>
          <w:sz w:val="20"/>
          <w:szCs w:val="20"/>
        </w:rPr>
        <w:t>245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0F32357F" w14:textId="5EDABFF0" w:rsidR="00D91782" w:rsidRPr="00215B2F" w:rsidRDefault="00D91782" w:rsidP="003D4DE0">
      <w:pPr>
        <w:pStyle w:val="tevilnatoka"/>
        <w:numPr>
          <w:ilvl w:val="0"/>
          <w:numId w:val="169"/>
        </w:numPr>
        <w:shd w:val="clear" w:color="auto" w:fill="FFFFFF" w:themeFill="background1"/>
        <w:tabs>
          <w:tab w:val="clear" w:pos="425"/>
        </w:tabs>
        <w:rPr>
          <w:rFonts w:cs="Arial"/>
          <w:bCs/>
          <w:sz w:val="20"/>
          <w:szCs w:val="20"/>
        </w:rPr>
      </w:pPr>
      <w:r w:rsidRPr="00215B2F">
        <w:rPr>
          <w:rFonts w:eastAsia="Arial" w:cs="Arial"/>
          <w:sz w:val="20"/>
          <w:szCs w:val="20"/>
        </w:rPr>
        <w:t>vzpostavi in vzdržuje evidenco podatkov o finančnih pogodbah, ki jih je sklenila banka.</w:t>
      </w:r>
    </w:p>
    <w:p w14:paraId="32F865CB"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143B0AC7" w14:textId="68B324B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načrt sanacije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po</w:t>
      </w:r>
      <w:r w:rsidR="00CA3094" w:rsidRPr="00215B2F">
        <w:rPr>
          <w:rFonts w:ascii="Arial" w:eastAsia="Arial" w:hAnsi="Arial" w:cs="Arial"/>
          <w:sz w:val="20"/>
          <w:szCs w:val="20"/>
        </w:rPr>
        <w:t>šl</w:t>
      </w:r>
      <w:r w:rsidRPr="00215B2F">
        <w:rPr>
          <w:rFonts w:ascii="Arial" w:eastAsia="Arial" w:hAnsi="Arial" w:cs="Arial"/>
          <w:sz w:val="20"/>
          <w:szCs w:val="20"/>
        </w:rPr>
        <w:t xml:space="preserve">je organu, ki je pristojen za reševanje, </w:t>
      </w:r>
      <w:r w:rsidR="00CA3094" w:rsidRPr="00215B2F">
        <w:rPr>
          <w:rFonts w:ascii="Arial" w:eastAsia="Arial" w:hAnsi="Arial" w:cs="Arial"/>
          <w:sz w:val="20"/>
          <w:szCs w:val="20"/>
        </w:rPr>
        <w:t xml:space="preserve">in </w:t>
      </w:r>
      <w:r w:rsidRPr="00215B2F">
        <w:rPr>
          <w:rFonts w:ascii="Arial" w:eastAsia="Arial" w:hAnsi="Arial" w:cs="Arial"/>
          <w:sz w:val="20"/>
          <w:szCs w:val="20"/>
        </w:rPr>
        <w:t xml:space="preserve">pridobi njegovo oceno glede okoliščin iz 4. točke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3EBAADF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8192C44" w14:textId="0FD5275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izdela oceno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 šestih mesecih od predložitve načrta in pri tem upošteva oceno in priporočila organa, pristojnega za reševanje.</w:t>
      </w:r>
    </w:p>
    <w:p w14:paraId="38C3FA7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16D08FD" w14:textId="77777777" w:rsidR="00D91782" w:rsidRPr="00215B2F" w:rsidRDefault="00D91782" w:rsidP="00CE2829">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09" w:name="_Ref203381358"/>
      <w:r w:rsidRPr="00215B2F">
        <w:rPr>
          <w:rFonts w:ascii="Arial" w:eastAsia="Arial" w:hAnsi="Arial" w:cs="Arial"/>
          <w:b/>
          <w:bCs/>
          <w:sz w:val="20"/>
          <w:szCs w:val="20"/>
        </w:rPr>
        <w:t>člen</w:t>
      </w:r>
      <w:bookmarkEnd w:id="309"/>
    </w:p>
    <w:p w14:paraId="6CB083AB" w14:textId="77777777" w:rsidR="00D91782" w:rsidRPr="00215B2F" w:rsidRDefault="00D91782" w:rsidP="00FD5520">
      <w:pPr>
        <w:pStyle w:val="Slog1"/>
        <w:shd w:val="clear" w:color="auto" w:fill="FFFFFF" w:themeFill="background1"/>
        <w:rPr>
          <w:sz w:val="20"/>
          <w:szCs w:val="20"/>
        </w:rPr>
      </w:pPr>
      <w:r w:rsidRPr="00215B2F">
        <w:rPr>
          <w:sz w:val="20"/>
          <w:szCs w:val="20"/>
        </w:rPr>
        <w:t>(odprava ugotovljenih pomanjkljivosti in ovir)</w:t>
      </w:r>
    </w:p>
    <w:p w14:paraId="4AB820C5" w14:textId="77777777" w:rsidR="00D91782" w:rsidRPr="00215B2F" w:rsidRDefault="00D91782" w:rsidP="00FD5520">
      <w:pPr>
        <w:pStyle w:val="Slog1"/>
        <w:shd w:val="clear" w:color="auto" w:fill="FFFFFF" w:themeFill="background1"/>
        <w:jc w:val="both"/>
        <w:rPr>
          <w:sz w:val="20"/>
          <w:szCs w:val="20"/>
        </w:rPr>
      </w:pPr>
    </w:p>
    <w:p w14:paraId="14CE03E7" w14:textId="3935097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Banka Slovenije v okviru preverjanja na podlagi prvega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oceni, da ima načrt sanacije banke bistvene pomanjkljivosti ali da obstajajo bistvene ovire za njegovo učinkovito izvajanje, o svoji oceni pisno obvesti banko ali nadrejeno družbo v skupini in jo pozove, da v določenem roku predloži poročilo o okoliščinah in razlogih, ki utemeljeno vplivajo na drugačno oceno ustreznosti načrta sanacije, ali pa v dveh mesecih predloži popravljen</w:t>
      </w:r>
      <w:r w:rsidR="00CA0EFA" w:rsidRPr="00215B2F">
        <w:rPr>
          <w:rFonts w:ascii="Arial" w:eastAsia="Arial" w:hAnsi="Arial" w:cs="Arial"/>
          <w:sz w:val="20"/>
          <w:szCs w:val="20"/>
        </w:rPr>
        <w:t>i</w:t>
      </w:r>
      <w:r w:rsidRPr="00215B2F">
        <w:rPr>
          <w:rFonts w:ascii="Arial" w:eastAsia="Arial" w:hAnsi="Arial" w:cs="Arial"/>
          <w:sz w:val="20"/>
          <w:szCs w:val="20"/>
        </w:rPr>
        <w:t xml:space="preserve"> načrt sanacije, v katerem je prikazano, kako je banka odpravila ugotovljene pomanjkljivosti oziroma ovire. Banka Slovenije lahko rok iz prejšnjega stavka na predlog banke podaljša za največ en mesec.</w:t>
      </w:r>
    </w:p>
    <w:p w14:paraId="61111BAE"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E7882B2" w14:textId="44508BD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Če banka ne ravna v skladu s prejšnjim odstavkom, Banka Slovenije z odredbo o odpravi kršitev zahteva, da v določenem roku uveljavi določene spremembe v načrtu sanacije.</w:t>
      </w:r>
    </w:p>
    <w:p w14:paraId="61E90ACF"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303AAEF9" w14:textId="5F290B2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Banka Slovenije v okviru preverjanja na podlagi prvega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oceni, da ugotovljenih pomanjkljivosti ali ovir ni mogoče odpraviti s spremembo načrta sanacije, od banke zahteva, da v določenem roku sprejme ustrezne spremembe v poslovanju, s katerimi bo odpravila ugotovljene pomanjkljivosti ali ovire pri izvajanju načrta sanacije, in pri tem upošteva nujnost in sorazmernost zahtevanih sprememb glede na resnost ugotovljenih pomanjkljivosti in ovir ter učinek zahtevanih sprememb na poslovanje banke.</w:t>
      </w:r>
    </w:p>
    <w:p w14:paraId="29541310"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565744CC" w14:textId="2951270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lahko poleg drugih ukrepov nadzora, določenih v tem zakonu, v primeru iz prejšnjega odstavka od banke zahteva zlasti, da:</w:t>
      </w:r>
    </w:p>
    <w:p w14:paraId="5E777F07" w14:textId="77777777" w:rsidR="00FF337B" w:rsidRPr="00215B2F" w:rsidRDefault="00FF337B" w:rsidP="00FD5520">
      <w:pPr>
        <w:shd w:val="clear" w:color="auto" w:fill="FFFFFF" w:themeFill="background1"/>
        <w:spacing w:after="0" w:line="240" w:lineRule="auto"/>
        <w:jc w:val="both"/>
        <w:rPr>
          <w:rFonts w:ascii="Arial" w:eastAsia="Arial" w:hAnsi="Arial" w:cs="Arial"/>
          <w:sz w:val="20"/>
          <w:szCs w:val="20"/>
        </w:rPr>
      </w:pPr>
    </w:p>
    <w:p w14:paraId="73089982" w14:textId="77777777" w:rsidR="00AE3C7A" w:rsidRPr="00215B2F" w:rsidRDefault="00D91782" w:rsidP="003D4DE0">
      <w:pPr>
        <w:pStyle w:val="tevilnatoka"/>
        <w:numPr>
          <w:ilvl w:val="0"/>
          <w:numId w:val="170"/>
        </w:numPr>
        <w:shd w:val="clear" w:color="auto" w:fill="FFFFFF" w:themeFill="background1"/>
        <w:tabs>
          <w:tab w:val="clear" w:pos="425"/>
        </w:tabs>
        <w:rPr>
          <w:rFonts w:cs="Arial"/>
          <w:bCs/>
          <w:sz w:val="20"/>
          <w:szCs w:val="20"/>
        </w:rPr>
      </w:pPr>
      <w:r w:rsidRPr="00215B2F">
        <w:rPr>
          <w:rFonts w:eastAsia="Arial" w:cs="Arial"/>
          <w:sz w:val="20"/>
          <w:szCs w:val="20"/>
        </w:rPr>
        <w:t>zmanjša profil tveganosti, vključno z likvidnostnim tveganjem;</w:t>
      </w:r>
    </w:p>
    <w:p w14:paraId="03B829EE" w14:textId="6B4473D8" w:rsidR="00AE3C7A" w:rsidRPr="00215B2F" w:rsidRDefault="00D91782" w:rsidP="003D4DE0">
      <w:pPr>
        <w:pStyle w:val="tevilnatoka"/>
        <w:numPr>
          <w:ilvl w:val="0"/>
          <w:numId w:val="170"/>
        </w:numPr>
        <w:shd w:val="clear" w:color="auto" w:fill="FFFFFF" w:themeFill="background1"/>
        <w:tabs>
          <w:tab w:val="clear" w:pos="425"/>
        </w:tabs>
        <w:rPr>
          <w:rFonts w:cs="Arial"/>
          <w:bCs/>
          <w:sz w:val="20"/>
          <w:szCs w:val="20"/>
        </w:rPr>
      </w:pPr>
      <w:r w:rsidRPr="00215B2F">
        <w:rPr>
          <w:rFonts w:eastAsia="Arial" w:cs="Arial"/>
          <w:sz w:val="20"/>
          <w:szCs w:val="20"/>
        </w:rPr>
        <w:t xml:space="preserve">zagotovi </w:t>
      </w:r>
      <w:r w:rsidR="00374294" w:rsidRPr="00215B2F">
        <w:rPr>
          <w:rFonts w:eastAsia="Arial" w:cs="Arial"/>
          <w:sz w:val="20"/>
          <w:szCs w:val="20"/>
        </w:rPr>
        <w:t xml:space="preserve">pogoje </w:t>
      </w:r>
      <w:r w:rsidRPr="00215B2F">
        <w:rPr>
          <w:rFonts w:eastAsia="Arial" w:cs="Arial"/>
          <w:sz w:val="20"/>
          <w:szCs w:val="20"/>
        </w:rPr>
        <w:t>in izvede potrebne aktivnosti za pravočasno dokapitalizacijo;</w:t>
      </w:r>
    </w:p>
    <w:p w14:paraId="69BD68AE" w14:textId="77777777" w:rsidR="00AE3C7A" w:rsidRPr="00215B2F" w:rsidRDefault="00D91782" w:rsidP="003D4DE0">
      <w:pPr>
        <w:pStyle w:val="tevilnatoka"/>
        <w:numPr>
          <w:ilvl w:val="0"/>
          <w:numId w:val="170"/>
        </w:numPr>
        <w:shd w:val="clear" w:color="auto" w:fill="FFFFFF" w:themeFill="background1"/>
        <w:tabs>
          <w:tab w:val="clear" w:pos="425"/>
        </w:tabs>
        <w:rPr>
          <w:rFonts w:cs="Arial"/>
          <w:bCs/>
          <w:sz w:val="20"/>
          <w:szCs w:val="20"/>
        </w:rPr>
      </w:pPr>
      <w:r w:rsidRPr="00215B2F">
        <w:rPr>
          <w:rFonts w:eastAsia="Arial" w:cs="Arial"/>
          <w:sz w:val="20"/>
          <w:szCs w:val="20"/>
        </w:rPr>
        <w:t>oceni ustreznost strategij in organizacijske strukture banke;</w:t>
      </w:r>
    </w:p>
    <w:p w14:paraId="3E3F7DD2" w14:textId="77777777" w:rsidR="00AE3C7A" w:rsidRPr="00215B2F" w:rsidRDefault="00D91782" w:rsidP="003D4DE0">
      <w:pPr>
        <w:pStyle w:val="tevilnatoka"/>
        <w:numPr>
          <w:ilvl w:val="0"/>
          <w:numId w:val="170"/>
        </w:numPr>
        <w:shd w:val="clear" w:color="auto" w:fill="FFFFFF" w:themeFill="background1"/>
        <w:tabs>
          <w:tab w:val="clear" w:pos="425"/>
        </w:tabs>
        <w:rPr>
          <w:rFonts w:cs="Arial"/>
          <w:bCs/>
          <w:sz w:val="20"/>
          <w:szCs w:val="20"/>
        </w:rPr>
      </w:pPr>
      <w:r w:rsidRPr="00215B2F">
        <w:rPr>
          <w:rFonts w:eastAsia="Arial" w:cs="Arial"/>
          <w:sz w:val="20"/>
          <w:szCs w:val="20"/>
        </w:rPr>
        <w:t>spremeni strategijo financiranja, da se izboljša stabilnost izvajanja osnovnih poslovnih dejavnosti in ključnih funkcij;</w:t>
      </w:r>
    </w:p>
    <w:p w14:paraId="4892D4A2" w14:textId="1BB307D0" w:rsidR="00D91782" w:rsidRPr="00215B2F" w:rsidRDefault="00D91782" w:rsidP="003D4DE0">
      <w:pPr>
        <w:pStyle w:val="tevilnatoka"/>
        <w:numPr>
          <w:ilvl w:val="0"/>
          <w:numId w:val="170"/>
        </w:numPr>
        <w:shd w:val="clear" w:color="auto" w:fill="FFFFFF" w:themeFill="background1"/>
        <w:tabs>
          <w:tab w:val="clear" w:pos="425"/>
        </w:tabs>
        <w:rPr>
          <w:rFonts w:cs="Arial"/>
          <w:bCs/>
          <w:sz w:val="20"/>
          <w:szCs w:val="20"/>
        </w:rPr>
      </w:pPr>
      <w:r w:rsidRPr="00215B2F">
        <w:rPr>
          <w:rFonts w:eastAsia="Arial" w:cs="Arial"/>
          <w:sz w:val="20"/>
          <w:szCs w:val="20"/>
        </w:rPr>
        <w:t>spremeni strukturo upravljanja banke.</w:t>
      </w:r>
    </w:p>
    <w:p w14:paraId="43F4172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6282362"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10" w:name="_Ref202965355"/>
      <w:r w:rsidRPr="00215B2F">
        <w:rPr>
          <w:rFonts w:ascii="Arial" w:eastAsia="Arial" w:hAnsi="Arial" w:cs="Arial"/>
          <w:b/>
          <w:bCs/>
          <w:sz w:val="20"/>
          <w:szCs w:val="20"/>
        </w:rPr>
        <w:t>člen</w:t>
      </w:r>
      <w:bookmarkEnd w:id="310"/>
    </w:p>
    <w:p w14:paraId="1B8A865C"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lastRenderedPageBreak/>
        <w:t>(ocena načrta sanacije skupine)</w:t>
      </w:r>
    </w:p>
    <w:p w14:paraId="2C51346A"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42549ACD" w14:textId="4000856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kot konsolidacijski nadzornik skupaj s pristojnimi organi, ki so pristojni za nadzor subjekt</w:t>
      </w:r>
      <w:r w:rsidR="00374294" w:rsidRPr="00215B2F">
        <w:rPr>
          <w:rFonts w:ascii="Arial" w:eastAsia="Arial" w:hAnsi="Arial" w:cs="Arial"/>
          <w:sz w:val="20"/>
          <w:szCs w:val="20"/>
        </w:rPr>
        <w:t>ov</w:t>
      </w:r>
      <w:r w:rsidRPr="00215B2F">
        <w:rPr>
          <w:rFonts w:ascii="Arial" w:eastAsia="Arial" w:hAnsi="Arial" w:cs="Arial"/>
          <w:sz w:val="20"/>
          <w:szCs w:val="20"/>
        </w:rPr>
        <w:t xml:space="preserve"> v skupini na posamični podlagi, pregleda načrt sanacije skupine, ki ga je predložila EU nadrejena družba, ki je v skladu s </w:t>
      </w:r>
      <w:r w:rsidR="004259A7" w:rsidRPr="00215B2F">
        <w:rPr>
          <w:rFonts w:ascii="Arial" w:eastAsia="Arial" w:hAnsi="Arial" w:cs="Arial"/>
          <w:sz w:val="20"/>
          <w:szCs w:val="20"/>
        </w:rPr>
        <w:t>411</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vključena v nadzor na konsolidirani podlagi, ki ga izvaja Banka Slovenije na podlagi tega zakona in Uredbe 1024/2013/EU, ter oceni, ali načrt sanacije skupine vsebuje vse informacije in izpolnjuje zahteve ter merila iz </w:t>
      </w:r>
      <w:r w:rsidR="004259A7" w:rsidRPr="00215B2F">
        <w:rPr>
          <w:rFonts w:ascii="Arial" w:eastAsia="Arial" w:hAnsi="Arial" w:cs="Arial"/>
          <w:sz w:val="20"/>
          <w:szCs w:val="20"/>
        </w:rPr>
        <w:t>245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7FE5DEB5"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42C39193" w14:textId="3C60E39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Za oceno iz prejšnjega odstavka se smiselno uporabljajo določbe prvega do četrtega odstavka </w:t>
      </w:r>
      <w:r w:rsidR="004259A7" w:rsidRPr="00215B2F">
        <w:rPr>
          <w:rFonts w:ascii="Arial" w:eastAsia="Arial" w:hAnsi="Arial" w:cs="Arial"/>
          <w:sz w:val="20"/>
          <w:szCs w:val="20"/>
        </w:rPr>
        <w:t>255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prejšnji člen. Pri tem Banka Slovenije kot konsolidacijski nadzornik upošteva tudi možn</w:t>
      </w:r>
      <w:r w:rsidR="0052475D" w:rsidRPr="00215B2F">
        <w:rPr>
          <w:rFonts w:ascii="Arial" w:eastAsia="Arial" w:hAnsi="Arial" w:cs="Arial"/>
          <w:sz w:val="20"/>
          <w:szCs w:val="20"/>
        </w:rPr>
        <w:t>i</w:t>
      </w:r>
      <w:r w:rsidRPr="00215B2F">
        <w:rPr>
          <w:rFonts w:ascii="Arial" w:eastAsia="Arial" w:hAnsi="Arial" w:cs="Arial"/>
          <w:sz w:val="20"/>
          <w:szCs w:val="20"/>
        </w:rPr>
        <w:t xml:space="preserve"> učinek ukrepov sanacije na finančno stabilnost v vseh državah članicah, v katerih deluje skupina.</w:t>
      </w:r>
    </w:p>
    <w:p w14:paraId="791662C5"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63B48BD8" w14:textId="6C07F3F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Pri ocenjevanju načrta sanacije skupine v skladu s prvim in drugim odstavkom tega člena si mora Banka Slovenije skupaj z drugimi sodelujočimi pristojnimi organi prizadevati za spreje</w:t>
      </w:r>
      <w:r w:rsidR="0052475D" w:rsidRPr="00215B2F">
        <w:rPr>
          <w:rFonts w:ascii="Arial" w:eastAsia="Arial" w:hAnsi="Arial" w:cs="Arial"/>
          <w:sz w:val="20"/>
          <w:szCs w:val="20"/>
        </w:rPr>
        <w:t>tje</w:t>
      </w:r>
      <w:r w:rsidRPr="00215B2F">
        <w:rPr>
          <w:rFonts w:ascii="Arial" w:eastAsia="Arial" w:hAnsi="Arial" w:cs="Arial"/>
          <w:sz w:val="20"/>
          <w:szCs w:val="20"/>
        </w:rPr>
        <w:t xml:space="preserve"> skupne odločitve:</w:t>
      </w:r>
    </w:p>
    <w:p w14:paraId="0EFB63DD" w14:textId="77777777" w:rsidR="00AE3C7A" w:rsidRPr="00215B2F" w:rsidRDefault="00AE3C7A" w:rsidP="00FD5520">
      <w:pPr>
        <w:shd w:val="clear" w:color="auto" w:fill="FFFFFF" w:themeFill="background1"/>
        <w:spacing w:after="0" w:line="240" w:lineRule="auto"/>
        <w:jc w:val="both"/>
        <w:rPr>
          <w:rFonts w:ascii="Arial" w:eastAsia="Arial" w:hAnsi="Arial" w:cs="Arial"/>
          <w:sz w:val="20"/>
          <w:szCs w:val="20"/>
        </w:rPr>
      </w:pPr>
    </w:p>
    <w:p w14:paraId="0A1C589B" w14:textId="77777777" w:rsidR="00AD740A" w:rsidRPr="00215B2F" w:rsidRDefault="00D91782" w:rsidP="003D4DE0">
      <w:pPr>
        <w:pStyle w:val="tevilnatoka"/>
        <w:numPr>
          <w:ilvl w:val="0"/>
          <w:numId w:val="171"/>
        </w:numPr>
        <w:shd w:val="clear" w:color="auto" w:fill="FFFFFF" w:themeFill="background1"/>
        <w:tabs>
          <w:tab w:val="clear" w:pos="425"/>
        </w:tabs>
        <w:rPr>
          <w:rFonts w:cs="Arial"/>
          <w:bCs/>
          <w:sz w:val="20"/>
          <w:szCs w:val="20"/>
        </w:rPr>
      </w:pPr>
      <w:r w:rsidRPr="00215B2F">
        <w:rPr>
          <w:rFonts w:eastAsia="Arial" w:cs="Arial"/>
          <w:sz w:val="20"/>
          <w:szCs w:val="20"/>
        </w:rPr>
        <w:t>o izvedbi pregleda in o oceni načrta sanacije skupine;</w:t>
      </w:r>
    </w:p>
    <w:p w14:paraId="293C499F" w14:textId="08264776" w:rsidR="00AD740A" w:rsidRPr="00215B2F" w:rsidRDefault="00D91782" w:rsidP="003D4DE0">
      <w:pPr>
        <w:pStyle w:val="tevilnatoka"/>
        <w:numPr>
          <w:ilvl w:val="0"/>
          <w:numId w:val="171"/>
        </w:numPr>
        <w:shd w:val="clear" w:color="auto" w:fill="FFFFFF" w:themeFill="background1"/>
        <w:tabs>
          <w:tab w:val="clear" w:pos="425"/>
        </w:tabs>
        <w:rPr>
          <w:rFonts w:cs="Arial"/>
          <w:bCs/>
          <w:sz w:val="20"/>
          <w:szCs w:val="20"/>
        </w:rPr>
      </w:pPr>
      <w:r w:rsidRPr="00215B2F">
        <w:rPr>
          <w:rFonts w:eastAsia="Arial" w:cs="Arial"/>
          <w:sz w:val="20"/>
          <w:szCs w:val="20"/>
        </w:rPr>
        <w:t>o ukrepih za odpravo pomanjkljivosti tega načrta in o ukrepih za odpravo ovir za njegovo izvajanje, ki se morajo izv</w:t>
      </w:r>
      <w:r w:rsidR="0052475D" w:rsidRPr="00215B2F">
        <w:rPr>
          <w:rFonts w:eastAsia="Arial" w:cs="Arial"/>
          <w:sz w:val="20"/>
          <w:szCs w:val="20"/>
        </w:rPr>
        <w:t>es</w:t>
      </w:r>
      <w:r w:rsidRPr="00215B2F">
        <w:rPr>
          <w:rFonts w:eastAsia="Arial" w:cs="Arial"/>
          <w:sz w:val="20"/>
          <w:szCs w:val="20"/>
        </w:rPr>
        <w:t>ti na ravni nadrejene družbe v skupini;</w:t>
      </w:r>
    </w:p>
    <w:p w14:paraId="13646C53" w14:textId="3F90245A" w:rsidR="00D91782" w:rsidRPr="00215B2F" w:rsidRDefault="00D91782" w:rsidP="003D4DE0">
      <w:pPr>
        <w:pStyle w:val="tevilnatoka"/>
        <w:numPr>
          <w:ilvl w:val="0"/>
          <w:numId w:val="171"/>
        </w:numPr>
        <w:shd w:val="clear" w:color="auto" w:fill="FFFFFF" w:themeFill="background1"/>
        <w:tabs>
          <w:tab w:val="clear" w:pos="425"/>
        </w:tabs>
        <w:rPr>
          <w:rFonts w:cs="Arial"/>
          <w:bCs/>
          <w:sz w:val="20"/>
          <w:szCs w:val="20"/>
        </w:rPr>
      </w:pPr>
      <w:r w:rsidRPr="00215B2F">
        <w:rPr>
          <w:rFonts w:eastAsia="Arial" w:cs="Arial"/>
          <w:sz w:val="20"/>
          <w:szCs w:val="20"/>
        </w:rPr>
        <w:t>o zahtevi, da posamezna institucija, ki je del skupine, pripravi individualni načrt sanacije</w:t>
      </w:r>
      <w:r w:rsidR="0052475D" w:rsidRPr="00215B2F">
        <w:rPr>
          <w:rFonts w:eastAsia="Arial" w:cs="Arial"/>
          <w:sz w:val="20"/>
          <w:szCs w:val="20"/>
        </w:rPr>
        <w:t>,</w:t>
      </w:r>
      <w:r w:rsidRPr="00215B2F">
        <w:rPr>
          <w:rFonts w:eastAsia="Arial" w:cs="Arial"/>
          <w:sz w:val="20"/>
          <w:szCs w:val="20"/>
        </w:rPr>
        <w:t xml:space="preserve"> ter o ukrepih za odpravo pomanjkljivosti načrta sanacije skupine ali o ukrepih za odpravo ovir za njegovo izvajanje, ki se morajo izv</w:t>
      </w:r>
      <w:r w:rsidR="0052475D" w:rsidRPr="00215B2F">
        <w:rPr>
          <w:rFonts w:eastAsia="Arial" w:cs="Arial"/>
          <w:sz w:val="20"/>
          <w:szCs w:val="20"/>
        </w:rPr>
        <w:t>es</w:t>
      </w:r>
      <w:r w:rsidRPr="00215B2F">
        <w:rPr>
          <w:rFonts w:eastAsia="Arial" w:cs="Arial"/>
          <w:sz w:val="20"/>
          <w:szCs w:val="20"/>
        </w:rPr>
        <w:t>ti na ravni podrejene družbe.</w:t>
      </w:r>
    </w:p>
    <w:p w14:paraId="34855515"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0E9C7583" w14:textId="17CF6A2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si mora skupaj z drugimi pristojnimi organi prizadevati, da bi bila skupna odločitev iz prejšnjega odstavka sprejeta v štirih mesecih od dneva, ko konsolidacijski nadzornik sodelujočim pristojnim organom po</w:t>
      </w:r>
      <w:r w:rsidR="0052475D" w:rsidRPr="00215B2F">
        <w:rPr>
          <w:rFonts w:ascii="Arial" w:eastAsia="Arial" w:hAnsi="Arial" w:cs="Arial"/>
          <w:sz w:val="20"/>
          <w:szCs w:val="20"/>
        </w:rPr>
        <w:t>šl</w:t>
      </w:r>
      <w:r w:rsidRPr="00215B2F">
        <w:rPr>
          <w:rFonts w:ascii="Arial" w:eastAsia="Arial" w:hAnsi="Arial" w:cs="Arial"/>
          <w:sz w:val="20"/>
          <w:szCs w:val="20"/>
        </w:rPr>
        <w:t>je načrt sanacije skupine.</w:t>
      </w:r>
    </w:p>
    <w:p w14:paraId="42AC17C0"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2354CF66" w14:textId="4C302EB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ali </w:t>
      </w:r>
      <w:r w:rsidR="00EC6A8A" w:rsidRPr="00215B2F">
        <w:rPr>
          <w:rFonts w:ascii="Arial" w:eastAsia="Arial" w:hAnsi="Arial" w:cs="Arial"/>
          <w:sz w:val="20"/>
          <w:szCs w:val="20"/>
        </w:rPr>
        <w:t xml:space="preserve">kateri koli </w:t>
      </w:r>
      <w:r w:rsidRPr="00215B2F">
        <w:rPr>
          <w:rFonts w:ascii="Arial" w:eastAsia="Arial" w:hAnsi="Arial" w:cs="Arial"/>
          <w:sz w:val="20"/>
          <w:szCs w:val="20"/>
        </w:rPr>
        <w:t xml:space="preserve">drug pristojni organ, ki je vključen v nadzor na konsolidirani podlagi, lahko v zvezi s skupno odločitvijo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do izteka roka iz prejšnjega odstavka oziroma v vsakem primeru pred sprejetjem odločitve v skladu s šestim ali sedmim odstavkom tega člena predloži Evropskemu bančnemu organu zahtevo v skladu z 19. členom Uredbe 1093/2010/EU.</w:t>
      </w:r>
    </w:p>
    <w:p w14:paraId="425FF46C"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07A5475D" w14:textId="6C2D018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Konsolidacijski nadzornik sam sprejme odločitev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če:</w:t>
      </w:r>
    </w:p>
    <w:p w14:paraId="112D73B6"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29C32527" w14:textId="4918076F" w:rsidR="00AD740A" w:rsidRPr="00215B2F" w:rsidRDefault="00D91782" w:rsidP="003D4DE0">
      <w:pPr>
        <w:pStyle w:val="tevilnatoka"/>
        <w:numPr>
          <w:ilvl w:val="0"/>
          <w:numId w:val="172"/>
        </w:numPr>
        <w:shd w:val="clear" w:color="auto" w:fill="FFFFFF" w:themeFill="background1"/>
        <w:tabs>
          <w:tab w:val="clear" w:pos="425"/>
        </w:tabs>
        <w:rPr>
          <w:rFonts w:cs="Arial"/>
          <w:bCs/>
          <w:sz w:val="20"/>
          <w:szCs w:val="20"/>
        </w:rPr>
      </w:pPr>
      <w:r w:rsidRPr="00215B2F">
        <w:rPr>
          <w:rFonts w:eastAsia="Arial" w:cs="Arial"/>
          <w:sz w:val="20"/>
          <w:szCs w:val="20"/>
        </w:rPr>
        <w:t xml:space="preserve">skupna odločitev o teh zadevah ni sprejeta v roku iz četrtega </w:t>
      </w:r>
      <w:r w:rsidR="00746E88" w:rsidRPr="00215B2F">
        <w:rPr>
          <w:rFonts w:eastAsia="Arial" w:cs="Arial"/>
          <w:sz w:val="20"/>
          <w:szCs w:val="20"/>
        </w:rPr>
        <w:t>odstavka tega člena</w:t>
      </w:r>
      <w:r w:rsidRPr="00215B2F">
        <w:rPr>
          <w:rFonts w:eastAsia="Arial" w:cs="Arial"/>
          <w:sz w:val="20"/>
          <w:szCs w:val="20"/>
        </w:rPr>
        <w:t xml:space="preserve"> ali</w:t>
      </w:r>
    </w:p>
    <w:p w14:paraId="648DCFE2" w14:textId="30BDB679" w:rsidR="00D91782" w:rsidRPr="00215B2F" w:rsidRDefault="00D91782" w:rsidP="003D4DE0">
      <w:pPr>
        <w:pStyle w:val="tevilnatoka"/>
        <w:numPr>
          <w:ilvl w:val="0"/>
          <w:numId w:val="172"/>
        </w:numPr>
        <w:shd w:val="clear" w:color="auto" w:fill="FFFFFF" w:themeFill="background1"/>
        <w:tabs>
          <w:tab w:val="clear" w:pos="425"/>
        </w:tabs>
        <w:rPr>
          <w:rFonts w:cs="Arial"/>
          <w:bCs/>
          <w:sz w:val="20"/>
          <w:szCs w:val="20"/>
        </w:rPr>
      </w:pPr>
      <w:r w:rsidRPr="00215B2F">
        <w:rPr>
          <w:rFonts w:eastAsia="Arial" w:cs="Arial"/>
          <w:sz w:val="20"/>
          <w:szCs w:val="20"/>
        </w:rPr>
        <w:t xml:space="preserve">je v zvezi s skupno odločitvijo iz tretjega </w:t>
      </w:r>
      <w:r w:rsidR="00746E88" w:rsidRPr="00215B2F">
        <w:rPr>
          <w:rFonts w:eastAsia="Arial" w:cs="Arial"/>
          <w:sz w:val="20"/>
          <w:szCs w:val="20"/>
        </w:rPr>
        <w:t>odstavka tega člena</w:t>
      </w:r>
      <w:r w:rsidRPr="00215B2F">
        <w:rPr>
          <w:rFonts w:eastAsia="Arial" w:cs="Arial"/>
          <w:sz w:val="20"/>
          <w:szCs w:val="20"/>
        </w:rPr>
        <w:t xml:space="preserve"> vložena zahteva iz prejšnjega</w:t>
      </w:r>
      <w:r w:rsidR="00AD740A" w:rsidRPr="00215B2F">
        <w:rPr>
          <w:rFonts w:eastAsia="Arial" w:cs="Arial"/>
          <w:sz w:val="20"/>
          <w:szCs w:val="20"/>
        </w:rPr>
        <w:t xml:space="preserve"> </w:t>
      </w:r>
      <w:r w:rsidRPr="00215B2F">
        <w:rPr>
          <w:rFonts w:eastAsia="Arial" w:cs="Arial"/>
          <w:sz w:val="20"/>
          <w:szCs w:val="20"/>
        </w:rPr>
        <w:t>odstavka in Evropski bančni organ ni odločil o zadevi v enem mesecu.</w:t>
      </w:r>
    </w:p>
    <w:p w14:paraId="3FEEA7E4"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2F6D09BD" w14:textId="2A0C7AC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Pristojni organ sam sprejme odločitev iz 3. točke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če:</w:t>
      </w:r>
    </w:p>
    <w:p w14:paraId="1554B07A"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6063A3CC" w14:textId="275B9721" w:rsidR="00AD740A" w:rsidRPr="00215B2F" w:rsidRDefault="00D91782" w:rsidP="003D4DE0">
      <w:pPr>
        <w:pStyle w:val="tevilnatoka"/>
        <w:numPr>
          <w:ilvl w:val="0"/>
          <w:numId w:val="173"/>
        </w:numPr>
        <w:shd w:val="clear" w:color="auto" w:fill="FFFFFF" w:themeFill="background1"/>
        <w:tabs>
          <w:tab w:val="clear" w:pos="425"/>
        </w:tabs>
        <w:rPr>
          <w:rFonts w:cs="Arial"/>
          <w:bCs/>
          <w:sz w:val="20"/>
          <w:szCs w:val="20"/>
        </w:rPr>
      </w:pPr>
      <w:r w:rsidRPr="00215B2F">
        <w:rPr>
          <w:rFonts w:eastAsia="Arial" w:cs="Arial"/>
          <w:sz w:val="20"/>
          <w:szCs w:val="20"/>
        </w:rPr>
        <w:t xml:space="preserve">skupna odločitev o teh zadevah ni sprejeta v roku iz četrtega </w:t>
      </w:r>
      <w:r w:rsidR="00746E88" w:rsidRPr="00215B2F">
        <w:rPr>
          <w:rFonts w:eastAsia="Arial" w:cs="Arial"/>
          <w:sz w:val="20"/>
          <w:szCs w:val="20"/>
        </w:rPr>
        <w:t>odstavka tega člena</w:t>
      </w:r>
      <w:r w:rsidRPr="00215B2F">
        <w:rPr>
          <w:rFonts w:eastAsia="Arial" w:cs="Arial"/>
          <w:sz w:val="20"/>
          <w:szCs w:val="20"/>
        </w:rPr>
        <w:t xml:space="preserve"> ali</w:t>
      </w:r>
    </w:p>
    <w:p w14:paraId="05A7F22A" w14:textId="5F59DB45" w:rsidR="00D91782" w:rsidRPr="00215B2F" w:rsidRDefault="00D91782" w:rsidP="006455BC">
      <w:pPr>
        <w:pStyle w:val="tevilnatoka"/>
        <w:rPr>
          <w:rFonts w:cs="Arial"/>
          <w:bCs/>
          <w:sz w:val="20"/>
          <w:szCs w:val="20"/>
        </w:rPr>
      </w:pPr>
      <w:r w:rsidRPr="00215B2F">
        <w:rPr>
          <w:rFonts w:eastAsia="Arial" w:cs="Arial"/>
          <w:sz w:val="20"/>
          <w:szCs w:val="20"/>
        </w:rPr>
        <w:t xml:space="preserve">je v zvezi s skupno odločitvijo iz tretjega </w:t>
      </w:r>
      <w:r w:rsidR="00746E88" w:rsidRPr="00215B2F">
        <w:rPr>
          <w:rFonts w:eastAsia="Arial" w:cs="Arial"/>
          <w:sz w:val="20"/>
          <w:szCs w:val="20"/>
        </w:rPr>
        <w:t>odstavka tega člena</w:t>
      </w:r>
      <w:r w:rsidRPr="00215B2F">
        <w:rPr>
          <w:rFonts w:eastAsia="Arial" w:cs="Arial"/>
          <w:sz w:val="20"/>
          <w:szCs w:val="20"/>
        </w:rPr>
        <w:t xml:space="preserve"> vložena zahteva iz petega </w:t>
      </w:r>
      <w:r w:rsidR="00746E88" w:rsidRPr="00215B2F">
        <w:rPr>
          <w:rFonts w:eastAsia="Arial" w:cs="Arial"/>
          <w:sz w:val="20"/>
          <w:szCs w:val="20"/>
        </w:rPr>
        <w:t>odstavka tega člena</w:t>
      </w:r>
      <w:r w:rsidRPr="00215B2F">
        <w:rPr>
          <w:rFonts w:eastAsia="Arial" w:cs="Arial"/>
          <w:sz w:val="20"/>
          <w:szCs w:val="20"/>
        </w:rPr>
        <w:t xml:space="preserve"> in Evropski bančni organ ni odločil o zadevi v enem mesecu.</w:t>
      </w:r>
    </w:p>
    <w:p w14:paraId="01F96A16"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1701DDA6" w14:textId="37F3D11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(8) Če skupna odločitev iz 3. točke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ni sprejeta v roku iz četrtega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lahko posamezni sodelujoči pristojni organi, ki si pri sprejemanju odločitve iz 3. točke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ne nasprotujejo, sprejmejo skupno odločitev za skupino, v katero so zajeti le subjekti pod njihovo pristojnostjo.</w:t>
      </w:r>
    </w:p>
    <w:p w14:paraId="35578A78"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3DA0D91C" w14:textId="02E2C74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(9) Banka Slovenije kot konsolidacijski nadzornik v zvezi z odločitvijo iz šestega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po presoji upošteva mnenja in pomisleke, ki so jih izrazili sodelujoči pristojni organi. Če je v zvezi z odločitvijo iz 1. ali 2. točke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vložena zahteva iz petega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Banka Slovenije kot konsolidacijski nadzornik prekine postopek odločanja do odločitve Evropskega bančnega organa. Če </w:t>
      </w:r>
      <w:r w:rsidR="0052475D" w:rsidRPr="00215B2F">
        <w:rPr>
          <w:rFonts w:ascii="Arial" w:eastAsia="Arial" w:hAnsi="Arial" w:cs="Arial"/>
          <w:sz w:val="20"/>
          <w:szCs w:val="20"/>
        </w:rPr>
        <w:t xml:space="preserve">ta </w:t>
      </w:r>
      <w:r w:rsidRPr="00215B2F">
        <w:rPr>
          <w:rFonts w:ascii="Arial" w:eastAsia="Arial" w:hAnsi="Arial" w:cs="Arial"/>
          <w:sz w:val="20"/>
          <w:szCs w:val="20"/>
        </w:rPr>
        <w:t>na podlagi tretjega odstavka 19. člena Uredbe 1093/2010/EU sprejme svojo odločitev o zadevi, Banka Slovenije to odločitev upošteva. Obrazloženo odločitev Banka Slovenije kot konsolidacijski nadzornik po</w:t>
      </w:r>
      <w:r w:rsidR="0052475D" w:rsidRPr="00215B2F">
        <w:rPr>
          <w:rFonts w:ascii="Arial" w:eastAsia="Arial" w:hAnsi="Arial" w:cs="Arial"/>
          <w:sz w:val="20"/>
          <w:szCs w:val="20"/>
        </w:rPr>
        <w:t>šl</w:t>
      </w:r>
      <w:r w:rsidRPr="00215B2F">
        <w:rPr>
          <w:rFonts w:ascii="Arial" w:eastAsia="Arial" w:hAnsi="Arial" w:cs="Arial"/>
          <w:sz w:val="20"/>
          <w:szCs w:val="20"/>
        </w:rPr>
        <w:t>je EU nadrejeni družbi in sodelujočim pristojnim organom.</w:t>
      </w:r>
    </w:p>
    <w:p w14:paraId="332FA2FC"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5EB5DCAA" w14:textId="05D7B33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(10) Banka Slovenije kot sodelujoči pristojni organ pri izvajanju nadzora nad banko na posamični podlagi upošteva skupno odločitev iz tretjega ali osmega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ter odločitev konsolidacijskega nadzornika, ki je sprejeta v skladu s šestim odstavkom tega člena, kot dokončno.</w:t>
      </w:r>
    </w:p>
    <w:p w14:paraId="6F642A1B"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01DF4944" w14:textId="236915D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(11) Če je v zvezi z odločitvijo iz 3. točke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vložena zahteva iz petega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Banka Slovenije kot sodelujoči pristojni organ prekine postopek odločanja na podlagi sedmega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do odločitve Evropskega bančnega organa. Če </w:t>
      </w:r>
      <w:r w:rsidR="00185547" w:rsidRPr="00215B2F">
        <w:rPr>
          <w:rFonts w:ascii="Arial" w:eastAsia="Arial" w:hAnsi="Arial" w:cs="Arial"/>
          <w:sz w:val="20"/>
          <w:szCs w:val="20"/>
        </w:rPr>
        <w:t xml:space="preserve">ta </w:t>
      </w:r>
      <w:r w:rsidRPr="00215B2F">
        <w:rPr>
          <w:rFonts w:ascii="Arial" w:eastAsia="Arial" w:hAnsi="Arial" w:cs="Arial"/>
          <w:sz w:val="20"/>
          <w:szCs w:val="20"/>
        </w:rPr>
        <w:t xml:space="preserve">na podlagi tretjega odstavka 19. člena Uredbe 1093/2010/EU sprejme svojo odločitev o zadevi, Banka Slovenije pri odločitvi iz sedmega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njegovo odločitev upošteva. Obrazloženo odločitev Banka Slovenij</w:t>
      </w:r>
      <w:r w:rsidR="00DD6C31" w:rsidRPr="00215B2F">
        <w:rPr>
          <w:rFonts w:ascii="Arial" w:eastAsia="Arial" w:hAnsi="Arial" w:cs="Arial"/>
          <w:sz w:val="20"/>
          <w:szCs w:val="20"/>
        </w:rPr>
        <w:t>e</w:t>
      </w:r>
      <w:r w:rsidRPr="00215B2F">
        <w:rPr>
          <w:rFonts w:ascii="Arial" w:eastAsia="Arial" w:hAnsi="Arial" w:cs="Arial"/>
          <w:sz w:val="20"/>
          <w:szCs w:val="20"/>
        </w:rPr>
        <w:t xml:space="preserve"> po</w:t>
      </w:r>
      <w:r w:rsidR="00185547" w:rsidRPr="00215B2F">
        <w:rPr>
          <w:rFonts w:ascii="Arial" w:eastAsia="Arial" w:hAnsi="Arial" w:cs="Arial"/>
          <w:sz w:val="20"/>
          <w:szCs w:val="20"/>
        </w:rPr>
        <w:t>šl</w:t>
      </w:r>
      <w:r w:rsidRPr="00215B2F">
        <w:rPr>
          <w:rFonts w:ascii="Arial" w:eastAsia="Arial" w:hAnsi="Arial" w:cs="Arial"/>
          <w:sz w:val="20"/>
          <w:szCs w:val="20"/>
        </w:rPr>
        <w:t>je banki in konsolidacijskemu nadzorniku.</w:t>
      </w:r>
    </w:p>
    <w:p w14:paraId="513F72A7" w14:textId="77777777" w:rsidR="0059639B" w:rsidRPr="00215B2F" w:rsidRDefault="0059639B" w:rsidP="00FD5520">
      <w:pPr>
        <w:shd w:val="clear" w:color="auto" w:fill="FFFFFF" w:themeFill="background1"/>
        <w:spacing w:after="0" w:line="240" w:lineRule="auto"/>
        <w:jc w:val="both"/>
        <w:rPr>
          <w:rFonts w:ascii="Arial" w:eastAsia="Arial" w:hAnsi="Arial" w:cs="Arial"/>
          <w:sz w:val="20"/>
          <w:szCs w:val="20"/>
        </w:rPr>
      </w:pPr>
    </w:p>
    <w:p w14:paraId="79CD9AB0" w14:textId="11784955"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6.8 PRIDOBITEV ALI ODSVOJITEV POMEMBNEGA DELEŽA</w:t>
      </w:r>
    </w:p>
    <w:p w14:paraId="5FB45788"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248EF784"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11" w:name="_Ref202965404"/>
      <w:r w:rsidRPr="00215B2F">
        <w:rPr>
          <w:rFonts w:ascii="Arial" w:eastAsia="Arial" w:hAnsi="Arial" w:cs="Arial"/>
          <w:b/>
          <w:bCs/>
          <w:sz w:val="20"/>
          <w:szCs w:val="20"/>
        </w:rPr>
        <w:t>člen</w:t>
      </w:r>
      <w:bookmarkEnd w:id="311"/>
    </w:p>
    <w:p w14:paraId="5447EECB" w14:textId="77777777" w:rsidR="00D91782" w:rsidRPr="00215B2F" w:rsidRDefault="00D91782" w:rsidP="00FD5520">
      <w:pPr>
        <w:pStyle w:val="Slog1"/>
        <w:shd w:val="clear" w:color="auto" w:fill="FFFFFF" w:themeFill="background1"/>
        <w:rPr>
          <w:sz w:val="20"/>
          <w:szCs w:val="20"/>
        </w:rPr>
      </w:pPr>
      <w:r w:rsidRPr="00215B2F">
        <w:rPr>
          <w:sz w:val="20"/>
          <w:szCs w:val="20"/>
        </w:rPr>
        <w:t>(pridobitev pomembnega deleža)</w:t>
      </w:r>
    </w:p>
    <w:p w14:paraId="66A0BCDB" w14:textId="77777777" w:rsidR="00D91782" w:rsidRPr="00215B2F" w:rsidRDefault="00D91782" w:rsidP="00FD5520">
      <w:pPr>
        <w:pStyle w:val="Slog1"/>
        <w:shd w:val="clear" w:color="auto" w:fill="FFFFFF" w:themeFill="background1"/>
        <w:jc w:val="both"/>
        <w:rPr>
          <w:sz w:val="20"/>
          <w:szCs w:val="20"/>
        </w:rPr>
      </w:pPr>
    </w:p>
    <w:p w14:paraId="3F7A18F7" w14:textId="2EF315F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finančni holding ali mešani finančni holding, ki je pridobil odobritev iz </w:t>
      </w:r>
      <w:r w:rsidR="004259A7"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(v nadaljnjem besedilu: nameravani pridobitelj) pred vsako neposredno ali posredno pridobitvijo pomembnega deleža (v nadaljnjem besedilu: nameravana pridobitev) vloži zahtevo za oceno ustreznosti pomembnega deleža in pridobi odločitev Banke Slovenije o nenasprotovanju za pridobitev pomembnega deleža.</w:t>
      </w:r>
    </w:p>
    <w:p w14:paraId="1DA45719"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4A1C9BCA" w14:textId="0090B2C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Pomembni delež po tem zakonu je neposredni ali posredni delež v kapitalu ali glasovalnih pravicah, ki je enak </w:t>
      </w:r>
      <w:r w:rsidR="000F6FE0" w:rsidRPr="00215B2F">
        <w:rPr>
          <w:rFonts w:ascii="Arial" w:eastAsia="Arial" w:hAnsi="Arial" w:cs="Arial"/>
          <w:sz w:val="20"/>
          <w:szCs w:val="20"/>
        </w:rPr>
        <w:t xml:space="preserve">15 </w:t>
      </w:r>
      <w:r w:rsidR="007127D3" w:rsidRPr="00215B2F">
        <w:rPr>
          <w:rFonts w:ascii="Arial" w:eastAsia="Arial" w:hAnsi="Arial" w:cs="Arial"/>
          <w:sz w:val="20"/>
          <w:szCs w:val="20"/>
        </w:rPr>
        <w:t>odstotkom</w:t>
      </w:r>
      <w:r w:rsidRPr="00215B2F">
        <w:rPr>
          <w:rFonts w:ascii="Arial" w:eastAsia="Arial" w:hAnsi="Arial" w:cs="Arial"/>
          <w:sz w:val="20"/>
          <w:szCs w:val="20"/>
        </w:rPr>
        <w:t xml:space="preserve"> sprejemljivega kapitala nameravanega pridobitelja</w:t>
      </w:r>
      <w:r w:rsidR="007127D3" w:rsidRPr="00215B2F">
        <w:rPr>
          <w:rFonts w:ascii="Arial" w:eastAsia="Arial" w:hAnsi="Arial" w:cs="Arial"/>
          <w:sz w:val="20"/>
          <w:szCs w:val="20"/>
        </w:rPr>
        <w:t xml:space="preserve"> ali večji</w:t>
      </w:r>
      <w:r w:rsidRPr="00215B2F">
        <w:rPr>
          <w:rFonts w:ascii="Arial" w:eastAsia="Arial" w:hAnsi="Arial" w:cs="Arial"/>
          <w:sz w:val="20"/>
          <w:szCs w:val="20"/>
        </w:rPr>
        <w:t>. Kot sprejemljivi kapital šteje kapital</w:t>
      </w:r>
      <w:r w:rsidR="00EB484E" w:rsidRPr="00215B2F">
        <w:rPr>
          <w:rFonts w:ascii="Arial" w:eastAsia="Arial" w:hAnsi="Arial" w:cs="Arial"/>
          <w:sz w:val="20"/>
          <w:szCs w:val="20"/>
        </w:rPr>
        <w:t>,</w:t>
      </w:r>
      <w:r w:rsidRPr="00215B2F">
        <w:rPr>
          <w:rFonts w:ascii="Arial" w:eastAsia="Arial" w:hAnsi="Arial" w:cs="Arial"/>
          <w:sz w:val="20"/>
          <w:szCs w:val="20"/>
        </w:rPr>
        <w:t xml:space="preserve"> k</w:t>
      </w:r>
      <w:r w:rsidR="00EB484E" w:rsidRPr="00215B2F">
        <w:rPr>
          <w:rFonts w:ascii="Arial" w:eastAsia="Arial" w:hAnsi="Arial" w:cs="Arial"/>
          <w:sz w:val="20"/>
          <w:szCs w:val="20"/>
        </w:rPr>
        <w:t>akor</w:t>
      </w:r>
      <w:r w:rsidRPr="00215B2F">
        <w:rPr>
          <w:rFonts w:ascii="Arial" w:eastAsia="Arial" w:hAnsi="Arial" w:cs="Arial"/>
          <w:sz w:val="20"/>
          <w:szCs w:val="20"/>
        </w:rPr>
        <w:t xml:space="preserve"> je opredeljen v </w:t>
      </w:r>
      <w:r w:rsidR="003F421A" w:rsidRPr="00215B2F">
        <w:rPr>
          <w:rFonts w:ascii="Arial" w:eastAsia="Arial" w:hAnsi="Arial" w:cs="Arial"/>
          <w:sz w:val="20"/>
          <w:szCs w:val="20"/>
        </w:rPr>
        <w:t xml:space="preserve">podtočki (a) 71. </w:t>
      </w:r>
      <w:r w:rsidR="00AA2AD1" w:rsidRPr="00215B2F">
        <w:rPr>
          <w:rFonts w:ascii="Arial" w:eastAsia="Arial" w:hAnsi="Arial" w:cs="Arial"/>
          <w:sz w:val="20"/>
          <w:szCs w:val="20"/>
        </w:rPr>
        <w:t>točk</w:t>
      </w:r>
      <w:r w:rsidR="003F421A" w:rsidRPr="00215B2F">
        <w:rPr>
          <w:rFonts w:ascii="Arial" w:eastAsia="Arial" w:hAnsi="Arial" w:cs="Arial"/>
          <w:sz w:val="20"/>
          <w:szCs w:val="20"/>
        </w:rPr>
        <w:t>e</w:t>
      </w:r>
      <w:r w:rsidR="00AA2AD1" w:rsidRPr="00215B2F">
        <w:rPr>
          <w:rFonts w:ascii="Arial" w:eastAsia="Arial" w:hAnsi="Arial" w:cs="Arial"/>
          <w:sz w:val="20"/>
          <w:szCs w:val="20"/>
        </w:rPr>
        <w:t xml:space="preserve"> prvega odstavka 4. </w:t>
      </w:r>
      <w:r w:rsidRPr="00215B2F">
        <w:rPr>
          <w:rFonts w:ascii="Arial" w:eastAsia="Arial" w:hAnsi="Arial" w:cs="Arial"/>
          <w:sz w:val="20"/>
          <w:szCs w:val="20"/>
        </w:rPr>
        <w:t>člen</w:t>
      </w:r>
      <w:r w:rsidR="006275D7" w:rsidRPr="00215B2F">
        <w:rPr>
          <w:rFonts w:ascii="Arial" w:eastAsia="Arial" w:hAnsi="Arial" w:cs="Arial"/>
          <w:sz w:val="20"/>
          <w:szCs w:val="20"/>
        </w:rPr>
        <w:t>a</w:t>
      </w:r>
      <w:r w:rsidRPr="00215B2F">
        <w:rPr>
          <w:rFonts w:ascii="Arial" w:eastAsia="Arial" w:hAnsi="Arial" w:cs="Arial"/>
          <w:sz w:val="20"/>
          <w:szCs w:val="20"/>
        </w:rPr>
        <w:t xml:space="preserve"> Uredbe 575/2013/EU. </w:t>
      </w:r>
    </w:p>
    <w:p w14:paraId="1550B540"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469168FA" w14:textId="56EE76C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Kadar je nameravani pridobitelj pomembnega deleža banka in: </w:t>
      </w:r>
    </w:p>
    <w:p w14:paraId="7709D121"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51783D14" w14:textId="77777777" w:rsidR="00AD740A"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je prag presežen samo na posamični podlagi, banka zahtevo za oceno ustreznosti pomembnega deleža vloži pri Banki Slovenije; </w:t>
      </w:r>
    </w:p>
    <w:p w14:paraId="4EAA3848" w14:textId="06B4644B"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je prag presežen na posamični podlagi banke in na podlagi konsolidiranega položaja njene skupine, banka zahtevo za oceno ustreznosti pomembnega deleža vloži pri Banki Slovenije in konsolidacijskem nadzorniku.</w:t>
      </w:r>
    </w:p>
    <w:p w14:paraId="7E0D1513"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733DFC84" w14:textId="3E9EBC3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Kadar je nameravani pridobitelj pomembnega deleža finančni holding ali mešani finančni holding, ki je pridobil odobritev v skladu s </w:t>
      </w:r>
      <w:r w:rsidR="004259A7"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se prag uporablja na podlagi njegovega konsolidiranega položaja. Finančni holding ali mešani finančni holding zahtevo za oceno ustreznosti pomembnega deleža vloži pri konsolidacijskem nadzorniku. </w:t>
      </w:r>
    </w:p>
    <w:p w14:paraId="2C0D566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6B89067"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12" w:name="_Ref202965429"/>
      <w:r w:rsidRPr="00215B2F">
        <w:rPr>
          <w:rFonts w:ascii="Arial" w:eastAsia="Arial" w:hAnsi="Arial" w:cs="Arial"/>
          <w:b/>
          <w:bCs/>
          <w:sz w:val="20"/>
          <w:szCs w:val="20"/>
        </w:rPr>
        <w:t>člen</w:t>
      </w:r>
      <w:bookmarkEnd w:id="312"/>
    </w:p>
    <w:p w14:paraId="2A5EF05B" w14:textId="77777777" w:rsidR="00D91782" w:rsidRPr="00215B2F" w:rsidRDefault="00D91782" w:rsidP="00FD5520">
      <w:pPr>
        <w:pStyle w:val="Slog1"/>
        <w:shd w:val="clear" w:color="auto" w:fill="FFFFFF" w:themeFill="background1"/>
        <w:rPr>
          <w:sz w:val="20"/>
          <w:szCs w:val="20"/>
        </w:rPr>
      </w:pPr>
      <w:r w:rsidRPr="00215B2F">
        <w:rPr>
          <w:sz w:val="20"/>
          <w:szCs w:val="20"/>
        </w:rPr>
        <w:t>(zahteva za oceno ustreznosti pomembnega deleža)</w:t>
      </w:r>
    </w:p>
    <w:p w14:paraId="1737A8A1" w14:textId="77777777" w:rsidR="00D91782" w:rsidRPr="00215B2F" w:rsidRDefault="00D91782" w:rsidP="00FD5520">
      <w:pPr>
        <w:pStyle w:val="Slog1"/>
        <w:shd w:val="clear" w:color="auto" w:fill="FFFFFF" w:themeFill="background1"/>
        <w:jc w:val="both"/>
        <w:rPr>
          <w:sz w:val="20"/>
          <w:szCs w:val="20"/>
        </w:rPr>
      </w:pPr>
    </w:p>
    <w:p w14:paraId="1B1D87B2" w14:textId="6769381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Zahteva za oceno ustreznosti iz tretjega ali četrtega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w:t>
      </w:r>
      <w:r w:rsidR="001673D4" w:rsidRPr="00215B2F">
        <w:rPr>
          <w:rFonts w:ascii="Arial" w:eastAsia="Arial" w:hAnsi="Arial" w:cs="Arial"/>
          <w:sz w:val="20"/>
          <w:szCs w:val="20"/>
        </w:rPr>
        <w:t>vključuje</w:t>
      </w:r>
      <w:r w:rsidRPr="00215B2F">
        <w:rPr>
          <w:rFonts w:ascii="Arial" w:eastAsia="Arial" w:hAnsi="Arial" w:cs="Arial"/>
          <w:sz w:val="20"/>
          <w:szCs w:val="20"/>
        </w:rPr>
        <w:t xml:space="preserve">: </w:t>
      </w:r>
    </w:p>
    <w:p w14:paraId="01D9150B"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56EB7089" w14:textId="3770EA4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velikost nameravane pridobitve pomembnega deleža, </w:t>
      </w:r>
    </w:p>
    <w:p w14:paraId="21490C71" w14:textId="52A61CB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dokumentacijo in informacije o tem, da pridobitev pomembnega deleža ustreza merilom iz tega zakona, kot je podrobneje predpisano s podzakonskim aktom iz </w:t>
      </w:r>
      <w:r w:rsidR="004259A7" w:rsidRPr="00215B2F">
        <w:rPr>
          <w:rFonts w:ascii="Arial" w:eastAsia="Arial" w:hAnsi="Arial" w:cs="Arial"/>
          <w:sz w:val="20"/>
          <w:szCs w:val="20"/>
        </w:rPr>
        <w:t>267</w:t>
      </w:r>
      <w:r w:rsidR="007127D3" w:rsidRPr="00215B2F">
        <w:rPr>
          <w:rFonts w:ascii="Arial" w:eastAsia="Arial" w:hAnsi="Arial" w:cs="Arial"/>
          <w:sz w:val="20"/>
          <w:szCs w:val="20"/>
        </w:rPr>
        <w:t>.</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0A6F084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09D01E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v desetih delovnih dneh po prejemu zahteve za oceno ustreznosti pomembnega deleža vložniku izda:</w:t>
      </w:r>
    </w:p>
    <w:p w14:paraId="2DEEA65C"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51218268" w14:textId="0FAB268E" w:rsidR="00AD740A"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potrdilo o prejemu popolne zahteve z navedbo datuma izteka roka iz </w:t>
      </w:r>
      <w:r w:rsidR="004259A7" w:rsidRPr="00215B2F">
        <w:rPr>
          <w:rFonts w:ascii="Arial" w:eastAsia="Arial" w:hAnsi="Arial" w:cs="Arial"/>
          <w:sz w:val="20"/>
          <w:szCs w:val="20"/>
        </w:rPr>
        <w:t>260</w:t>
      </w:r>
      <w:r w:rsidRPr="00215B2F">
        <w:rPr>
          <w:rFonts w:ascii="Arial" w:eastAsia="Arial" w:hAnsi="Arial" w:cs="Arial"/>
          <w:sz w:val="20"/>
          <w:szCs w:val="20"/>
        </w:rPr>
        <w:t>. člena</w:t>
      </w:r>
      <w:r w:rsidR="005B0CC7" w:rsidRPr="00215B2F">
        <w:rPr>
          <w:rFonts w:ascii="Arial" w:eastAsia="Arial" w:hAnsi="Arial" w:cs="Arial"/>
          <w:sz w:val="20"/>
          <w:szCs w:val="20"/>
        </w:rPr>
        <w:t xml:space="preserve"> tega zakona</w:t>
      </w:r>
      <w:r w:rsidRPr="00215B2F">
        <w:rPr>
          <w:rFonts w:ascii="Arial" w:eastAsia="Arial" w:hAnsi="Arial" w:cs="Arial"/>
          <w:sz w:val="20"/>
          <w:szCs w:val="20"/>
        </w:rPr>
        <w:t>, v katerem mora biti izdana odločitev o oceni ustreznosti pomembnega deleža</w:t>
      </w:r>
      <w:r w:rsidR="007127D3" w:rsidRPr="00215B2F">
        <w:rPr>
          <w:rFonts w:ascii="Arial" w:eastAsia="Arial" w:hAnsi="Arial" w:cs="Arial"/>
          <w:sz w:val="20"/>
          <w:szCs w:val="20"/>
        </w:rPr>
        <w:t>,</w:t>
      </w:r>
      <w:r w:rsidRPr="00215B2F">
        <w:rPr>
          <w:rFonts w:ascii="Arial" w:eastAsia="Arial" w:hAnsi="Arial" w:cs="Arial"/>
          <w:sz w:val="20"/>
          <w:szCs w:val="20"/>
        </w:rPr>
        <w:t xml:space="preserve"> ali</w:t>
      </w:r>
    </w:p>
    <w:p w14:paraId="0B37669A" w14:textId="05C1A959"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potrdilo o prejemu nepopolne zahteve z navedbo, da rok za odločitev o oceni ustreznosti pomembnega deleža še ni začel teči, </w:t>
      </w:r>
      <w:r w:rsidR="007127D3" w:rsidRPr="00215B2F">
        <w:rPr>
          <w:rFonts w:ascii="Arial" w:eastAsia="Arial" w:hAnsi="Arial" w:cs="Arial"/>
          <w:sz w:val="20"/>
          <w:szCs w:val="20"/>
        </w:rPr>
        <w:t xml:space="preserve">in </w:t>
      </w:r>
      <w:r w:rsidRPr="00215B2F">
        <w:rPr>
          <w:rFonts w:ascii="Arial" w:eastAsia="Arial" w:hAnsi="Arial" w:cs="Arial"/>
          <w:sz w:val="20"/>
          <w:szCs w:val="20"/>
        </w:rPr>
        <w:t>navedbo končnega datuma za izdajo sklepa o odpravi pomanjkljivosti zahteve za oceno ustreznosti pomembnega deleža.</w:t>
      </w:r>
    </w:p>
    <w:p w14:paraId="3C14A669"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6767C9E2" w14:textId="4028333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V primeru iz druge alineje prejšnjega </w:t>
      </w:r>
      <w:r w:rsidR="00746E88" w:rsidRPr="00215B2F">
        <w:rPr>
          <w:rFonts w:ascii="Arial" w:eastAsia="Arial" w:hAnsi="Arial" w:cs="Arial"/>
          <w:sz w:val="20"/>
          <w:szCs w:val="20"/>
        </w:rPr>
        <w:t xml:space="preserve">odstavka </w:t>
      </w:r>
      <w:r w:rsidRPr="00215B2F">
        <w:rPr>
          <w:rFonts w:ascii="Arial" w:eastAsia="Arial" w:hAnsi="Arial" w:cs="Arial"/>
          <w:sz w:val="20"/>
          <w:szCs w:val="20"/>
        </w:rPr>
        <w:t xml:space="preserve">(potrdilo o prejemu nepopolne zahteve) izda Banka Slovenije sklep o odpravi pomanjkljivosti zahteve za oceno ustreznosti v skladu s šestim odstavkom </w:t>
      </w:r>
      <w:r w:rsidR="004259A7" w:rsidRPr="00215B2F">
        <w:rPr>
          <w:rFonts w:ascii="Arial" w:eastAsia="Arial" w:hAnsi="Arial" w:cs="Arial"/>
          <w:sz w:val="20"/>
          <w:szCs w:val="20"/>
        </w:rPr>
        <w:t>457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13B8CCD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39643CB" w14:textId="376C675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(4) Banka Slovenije naj</w:t>
      </w:r>
      <w:r w:rsidR="007127D3" w:rsidRPr="00215B2F">
        <w:rPr>
          <w:rFonts w:ascii="Arial" w:eastAsia="Arial" w:hAnsi="Arial" w:cs="Arial"/>
          <w:sz w:val="20"/>
          <w:szCs w:val="20"/>
        </w:rPr>
        <w:t>poz</w:t>
      </w:r>
      <w:r w:rsidRPr="00215B2F">
        <w:rPr>
          <w:rFonts w:ascii="Arial" w:eastAsia="Arial" w:hAnsi="Arial" w:cs="Arial"/>
          <w:sz w:val="20"/>
          <w:szCs w:val="20"/>
        </w:rPr>
        <w:t>neje v desetih delovnih dn</w:t>
      </w:r>
      <w:r w:rsidR="007127D3" w:rsidRPr="00215B2F">
        <w:rPr>
          <w:rFonts w:ascii="Arial" w:eastAsia="Arial" w:hAnsi="Arial" w:cs="Arial"/>
          <w:sz w:val="20"/>
          <w:szCs w:val="20"/>
        </w:rPr>
        <w:t>eh</w:t>
      </w:r>
      <w:r w:rsidRPr="00215B2F">
        <w:rPr>
          <w:rFonts w:ascii="Arial" w:eastAsia="Arial" w:hAnsi="Arial" w:cs="Arial"/>
          <w:sz w:val="20"/>
          <w:szCs w:val="20"/>
        </w:rPr>
        <w:t xml:space="preserve"> po prejemu dopolnitve zahteve v skladu s sklepom o odpravi pomanjkljivosti, če je ta vložena pravočasno, izda:</w:t>
      </w:r>
    </w:p>
    <w:p w14:paraId="735EAD4F"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6BA69E9F" w14:textId="7A931478" w:rsidR="00AD740A" w:rsidRPr="00215B2F" w:rsidRDefault="00D91782" w:rsidP="00543D80">
      <w:pPr>
        <w:pStyle w:val="Odstavekseznama"/>
        <w:numPr>
          <w:ilvl w:val="3"/>
          <w:numId w:val="1"/>
        </w:numPr>
        <w:shd w:val="clear" w:color="auto" w:fill="FFFFFF" w:themeFill="background1"/>
        <w:spacing w:after="0" w:line="240" w:lineRule="auto"/>
        <w:ind w:left="357" w:hanging="357"/>
        <w:jc w:val="both"/>
        <w:rPr>
          <w:rFonts w:ascii="Arial" w:hAnsi="Arial" w:cs="Arial"/>
          <w:sz w:val="20"/>
          <w:szCs w:val="20"/>
        </w:rPr>
      </w:pPr>
      <w:r w:rsidRPr="00215B2F">
        <w:rPr>
          <w:rFonts w:ascii="Arial" w:eastAsia="Arial" w:hAnsi="Arial" w:cs="Arial"/>
          <w:sz w:val="20"/>
          <w:szCs w:val="20"/>
        </w:rPr>
        <w:t xml:space="preserve">potrdilo o prejemu popolne zahteve z navedbo roka za odločitev o oceni ustreznosti iz </w:t>
      </w:r>
      <w:r w:rsidR="004259A7" w:rsidRPr="00215B2F">
        <w:rPr>
          <w:rFonts w:ascii="Arial" w:eastAsia="Arial" w:hAnsi="Arial" w:cs="Arial"/>
          <w:sz w:val="20"/>
          <w:szCs w:val="20"/>
        </w:rPr>
        <w:t>260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v katerem mora biti izdana odločitev o oceni ustreznosti pomembnega deleža</w:t>
      </w:r>
      <w:r w:rsidR="007127D3" w:rsidRPr="00215B2F">
        <w:rPr>
          <w:rFonts w:ascii="Arial" w:eastAsia="Arial" w:hAnsi="Arial" w:cs="Arial"/>
          <w:sz w:val="20"/>
          <w:szCs w:val="20"/>
        </w:rPr>
        <w:t>,</w:t>
      </w:r>
      <w:r w:rsidRPr="00215B2F">
        <w:rPr>
          <w:rFonts w:ascii="Arial" w:eastAsia="Arial" w:hAnsi="Arial" w:cs="Arial"/>
          <w:sz w:val="20"/>
          <w:szCs w:val="20"/>
        </w:rPr>
        <w:t xml:space="preserve"> ali</w:t>
      </w:r>
    </w:p>
    <w:p w14:paraId="5476AD8F" w14:textId="54C686F8" w:rsidR="00D91782" w:rsidRPr="00215B2F" w:rsidRDefault="00D91782" w:rsidP="00543D80">
      <w:pPr>
        <w:pStyle w:val="Odstavekseznama"/>
        <w:numPr>
          <w:ilvl w:val="3"/>
          <w:numId w:val="1"/>
        </w:numPr>
        <w:shd w:val="clear" w:color="auto" w:fill="FFFFFF" w:themeFill="background1"/>
        <w:spacing w:after="0" w:line="240" w:lineRule="auto"/>
        <w:ind w:left="357" w:hanging="357"/>
        <w:jc w:val="both"/>
        <w:rPr>
          <w:rFonts w:ascii="Arial" w:hAnsi="Arial" w:cs="Arial"/>
          <w:sz w:val="20"/>
          <w:szCs w:val="20"/>
        </w:rPr>
      </w:pPr>
      <w:r w:rsidRPr="00215B2F">
        <w:rPr>
          <w:rFonts w:ascii="Arial" w:eastAsia="Arial" w:hAnsi="Arial" w:cs="Arial"/>
          <w:sz w:val="20"/>
          <w:szCs w:val="20"/>
        </w:rPr>
        <w:t xml:space="preserve">potrdilo o prejemu nepopolne zahteve z navedbo roka za odločitev v skladu s četrtim odstavkom </w:t>
      </w:r>
      <w:r w:rsidR="004259A7" w:rsidRPr="00215B2F">
        <w:rPr>
          <w:rFonts w:ascii="Arial" w:eastAsia="Arial" w:hAnsi="Arial" w:cs="Arial"/>
          <w:sz w:val="20"/>
          <w:szCs w:val="20"/>
        </w:rPr>
        <w:t>457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67ED27A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0182B2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Banka Slovenije lahko od vložnika zahteva, da predloži dodatne informacije ali dokumente, potrebne za oceno ustreznosti pomembnega deleža. Banka Slovenije lahko zahteva dodatne informacije ali dokumente od vložnika najpozneje do vključno 50. delovnega dne ocenjevalnega obdobja.</w:t>
      </w:r>
    </w:p>
    <w:p w14:paraId="0A3C7B6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D57823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Banka Slovenije vložniku zahteve v desetih delovnih dneh po prejemu dodatnih informacij ali dokumentov na podlagi zahteve za dodatne informacije ali dokumente izda potrdilo o prejemu teh dodatnih informacij ali dokumentov.</w:t>
      </w:r>
    </w:p>
    <w:p w14:paraId="312ABF9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003B368" w14:textId="4ADAAB7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(7) Banka Slovenije oceni ustreznost pomembnega deleža v skladu s tem poglavjem.</w:t>
      </w:r>
    </w:p>
    <w:p w14:paraId="39066A2F"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462458E7"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13" w:name="_Ref202965448"/>
      <w:r w:rsidRPr="00215B2F">
        <w:rPr>
          <w:rFonts w:ascii="Arial" w:eastAsia="Arial" w:hAnsi="Arial" w:cs="Arial"/>
          <w:b/>
          <w:bCs/>
          <w:sz w:val="20"/>
          <w:szCs w:val="20"/>
        </w:rPr>
        <w:t>člen</w:t>
      </w:r>
      <w:bookmarkEnd w:id="313"/>
    </w:p>
    <w:p w14:paraId="158AC30D" w14:textId="77777777" w:rsidR="00D91782" w:rsidRPr="00215B2F" w:rsidRDefault="00D91782" w:rsidP="00FD5520">
      <w:pPr>
        <w:pStyle w:val="Slog1"/>
        <w:shd w:val="clear" w:color="auto" w:fill="FFFFFF" w:themeFill="background1"/>
        <w:rPr>
          <w:sz w:val="20"/>
          <w:szCs w:val="20"/>
        </w:rPr>
      </w:pPr>
      <w:r w:rsidRPr="00215B2F">
        <w:rPr>
          <w:sz w:val="20"/>
          <w:szCs w:val="20"/>
        </w:rPr>
        <w:t>(rok za odločitev o oceni ustreznosti pomembnega deleža)</w:t>
      </w:r>
    </w:p>
    <w:p w14:paraId="07697868" w14:textId="77777777" w:rsidR="00D91782" w:rsidRPr="00215B2F" w:rsidRDefault="00D91782" w:rsidP="00FD5520">
      <w:pPr>
        <w:pStyle w:val="Slog1"/>
        <w:shd w:val="clear" w:color="auto" w:fill="FFFFFF" w:themeFill="background1"/>
        <w:jc w:val="both"/>
        <w:rPr>
          <w:sz w:val="20"/>
          <w:szCs w:val="20"/>
        </w:rPr>
      </w:pPr>
    </w:p>
    <w:p w14:paraId="743CE77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Odločitev o oceni ustreznosti pomembnega deleža mora biti izdana pisno v 60 delovnih dneh (ocenjevalno obdobje).</w:t>
      </w:r>
    </w:p>
    <w:p w14:paraId="2082B80E"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5F8907EA" w14:textId="64573C5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Ocenjevalno obdobje oziroma rok iz prejšnjega odstavka teče od izdaje potrdila o prejemu popolne zahteve v skladu s prvo alinejo drugega odstavka ali prvo alinejo četrtega odstavka </w:t>
      </w:r>
      <w:r w:rsidR="000F6FE0"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člena</w:t>
      </w:r>
      <w:r w:rsidRPr="00215B2F">
        <w:rPr>
          <w:rFonts w:ascii="Arial" w:eastAsia="Arial" w:hAnsi="Arial" w:cs="Arial"/>
          <w:sz w:val="20"/>
          <w:szCs w:val="20"/>
        </w:rPr>
        <w:t xml:space="preserve">. Če Banka Slovenije potrdila o popolni oziroma nepopolni zahtevi ne izda v roku iz drugega ali četrtega odstavka </w:t>
      </w:r>
      <w:r w:rsidR="000F6FE0"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člena</w:t>
      </w:r>
      <w:r w:rsidRPr="00215B2F">
        <w:rPr>
          <w:rFonts w:ascii="Arial" w:eastAsia="Arial" w:hAnsi="Arial" w:cs="Arial"/>
          <w:sz w:val="20"/>
          <w:szCs w:val="20"/>
        </w:rPr>
        <w:t xml:space="preserve">, teče rok iz prejšnjega odstavka od poteka roka za izdajo potrdila iz drugega ali četrtega odstavka </w:t>
      </w:r>
      <w:r w:rsidR="000F6FE0"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člena</w:t>
      </w:r>
      <w:r w:rsidRPr="00215B2F">
        <w:rPr>
          <w:rFonts w:ascii="Arial" w:eastAsia="Arial" w:hAnsi="Arial" w:cs="Arial"/>
          <w:sz w:val="20"/>
          <w:szCs w:val="20"/>
        </w:rPr>
        <w:t xml:space="preserve">. </w:t>
      </w:r>
    </w:p>
    <w:p w14:paraId="5414B21E"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270178B2" w14:textId="3E3548F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Banka Slovenije izda zahtevo za dodatne informacije ali dokumente v skladu s petim odstavkom </w:t>
      </w:r>
      <w:r w:rsidR="000F6FE0"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člena</w:t>
      </w:r>
      <w:r w:rsidRPr="00215B2F">
        <w:rPr>
          <w:rFonts w:ascii="Arial" w:eastAsia="Arial" w:hAnsi="Arial" w:cs="Arial"/>
          <w:sz w:val="20"/>
          <w:szCs w:val="20"/>
        </w:rPr>
        <w:t xml:space="preserve">, rok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ne teče od izdaje zahteve za dodatne informacije ali dokumente do dneva, ko vložnik predloži dodatne informacije ali dokumente, vendar največ 20 delovnih dni od izdaje prve zahteve. Druga </w:t>
      </w:r>
      <w:r w:rsidR="00121947" w:rsidRPr="00215B2F">
        <w:rPr>
          <w:rFonts w:ascii="Arial" w:eastAsia="Arial" w:hAnsi="Arial" w:cs="Arial"/>
          <w:sz w:val="20"/>
          <w:szCs w:val="20"/>
        </w:rPr>
        <w:t xml:space="preserve">zahteva </w:t>
      </w:r>
      <w:r w:rsidRPr="00215B2F">
        <w:rPr>
          <w:rFonts w:ascii="Arial" w:eastAsia="Arial" w:hAnsi="Arial" w:cs="Arial"/>
          <w:sz w:val="20"/>
          <w:szCs w:val="20"/>
        </w:rPr>
        <w:t xml:space="preserve">in naslednje zahteve Banke Slovenije v skladu s petim odstavkom </w:t>
      </w:r>
      <w:r w:rsidR="000F6FE0"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 xml:space="preserve">člena </w:t>
      </w:r>
      <w:r w:rsidRPr="00215B2F">
        <w:rPr>
          <w:rFonts w:ascii="Arial" w:eastAsia="Arial" w:hAnsi="Arial" w:cs="Arial"/>
          <w:sz w:val="20"/>
          <w:szCs w:val="20"/>
        </w:rPr>
        <w:t>ne zadržijo teka roka iz prejšnjega odstavka.</w:t>
      </w:r>
    </w:p>
    <w:p w14:paraId="3088955E"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7E801296" w14:textId="580AC73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Ne glede na prejšnji odstavek lahko Banka Slovenije prekinitev roka v skladu s prejšnjim odstavkom podaljša za največ 30 delovnih dni, če:</w:t>
      </w:r>
    </w:p>
    <w:p w14:paraId="0E23FD90"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25A48E37" w14:textId="05F69457" w:rsidR="00AD740A" w:rsidRPr="00215B2F" w:rsidRDefault="00D91782" w:rsidP="003D4DE0">
      <w:pPr>
        <w:pStyle w:val="tevilnatoka"/>
        <w:numPr>
          <w:ilvl w:val="0"/>
          <w:numId w:val="174"/>
        </w:numPr>
        <w:shd w:val="clear" w:color="auto" w:fill="FFFFFF" w:themeFill="background1"/>
        <w:tabs>
          <w:tab w:val="clear" w:pos="425"/>
        </w:tabs>
        <w:rPr>
          <w:rFonts w:cs="Arial"/>
          <w:bCs/>
          <w:sz w:val="20"/>
          <w:szCs w:val="20"/>
        </w:rPr>
      </w:pPr>
      <w:r w:rsidRPr="00215B2F">
        <w:rPr>
          <w:rFonts w:eastAsia="Arial" w:cs="Arial"/>
          <w:sz w:val="20"/>
          <w:szCs w:val="20"/>
        </w:rPr>
        <w:t>ima subjekt, ki je predmet pridobitve pomembnega deleža, sedež v tretji državi ali zanj velja regulat</w:t>
      </w:r>
      <w:r w:rsidR="00121947" w:rsidRPr="00215B2F">
        <w:rPr>
          <w:rFonts w:eastAsia="Arial" w:cs="Arial"/>
          <w:sz w:val="20"/>
          <w:szCs w:val="20"/>
        </w:rPr>
        <w:t>iv</w:t>
      </w:r>
      <w:r w:rsidRPr="00215B2F">
        <w:rPr>
          <w:rFonts w:eastAsia="Arial" w:cs="Arial"/>
          <w:sz w:val="20"/>
          <w:szCs w:val="20"/>
        </w:rPr>
        <w:t>ni okvir tretje države ali</w:t>
      </w:r>
    </w:p>
    <w:p w14:paraId="0874F89F" w14:textId="6DCE37D9" w:rsidR="00D91782" w:rsidRPr="00215B2F" w:rsidRDefault="00D91782" w:rsidP="003D4DE0">
      <w:pPr>
        <w:pStyle w:val="tevilnatoka"/>
        <w:numPr>
          <w:ilvl w:val="0"/>
          <w:numId w:val="174"/>
        </w:numPr>
        <w:shd w:val="clear" w:color="auto" w:fill="FFFFFF" w:themeFill="background1"/>
        <w:tabs>
          <w:tab w:val="clear" w:pos="425"/>
        </w:tabs>
        <w:rPr>
          <w:rFonts w:cs="Arial"/>
          <w:bCs/>
          <w:sz w:val="20"/>
          <w:szCs w:val="20"/>
        </w:rPr>
      </w:pPr>
      <w:r w:rsidRPr="00215B2F">
        <w:rPr>
          <w:rFonts w:eastAsia="Arial" w:cs="Arial"/>
          <w:sz w:val="20"/>
          <w:szCs w:val="20"/>
        </w:rPr>
        <w:t xml:space="preserve">je izmenjava informacij z organi, odgovornimi za nadzor </w:t>
      </w:r>
      <w:r w:rsidR="00121947" w:rsidRPr="00215B2F">
        <w:rPr>
          <w:rFonts w:eastAsia="Arial" w:cs="Arial"/>
          <w:sz w:val="20"/>
          <w:szCs w:val="20"/>
        </w:rPr>
        <w:t xml:space="preserve">nad </w:t>
      </w:r>
      <w:r w:rsidRPr="00215B2F">
        <w:rPr>
          <w:rFonts w:eastAsia="Arial" w:cs="Arial"/>
          <w:sz w:val="20"/>
          <w:szCs w:val="20"/>
        </w:rPr>
        <w:t>nameravan</w:t>
      </w:r>
      <w:r w:rsidR="00121947" w:rsidRPr="00215B2F">
        <w:rPr>
          <w:rFonts w:eastAsia="Arial" w:cs="Arial"/>
          <w:sz w:val="20"/>
          <w:szCs w:val="20"/>
        </w:rPr>
        <w:t>im</w:t>
      </w:r>
      <w:r w:rsidRPr="00215B2F">
        <w:rPr>
          <w:rFonts w:eastAsia="Arial" w:cs="Arial"/>
          <w:sz w:val="20"/>
          <w:szCs w:val="20"/>
        </w:rPr>
        <w:t xml:space="preserve"> pridobitelj</w:t>
      </w:r>
      <w:r w:rsidR="00121947" w:rsidRPr="00215B2F">
        <w:rPr>
          <w:rFonts w:eastAsia="Arial" w:cs="Arial"/>
          <w:sz w:val="20"/>
          <w:szCs w:val="20"/>
        </w:rPr>
        <w:t>em</w:t>
      </w:r>
      <w:r w:rsidRPr="00215B2F">
        <w:rPr>
          <w:rFonts w:eastAsia="Arial" w:cs="Arial"/>
          <w:sz w:val="20"/>
          <w:szCs w:val="20"/>
        </w:rPr>
        <w:t xml:space="preserve"> v skladu z zakonom, ki ureja preprečevanje pranja denarja in financiranja terorizma</w:t>
      </w:r>
      <w:r w:rsidR="00121947" w:rsidRPr="00215B2F">
        <w:rPr>
          <w:rFonts w:eastAsia="Arial" w:cs="Arial"/>
          <w:sz w:val="20"/>
          <w:szCs w:val="20"/>
        </w:rPr>
        <w:t>,</w:t>
      </w:r>
      <w:r w:rsidRPr="00215B2F">
        <w:rPr>
          <w:rFonts w:eastAsia="Arial" w:cs="Arial"/>
          <w:sz w:val="20"/>
          <w:szCs w:val="20"/>
        </w:rPr>
        <w:t xml:space="preserve"> oziroma Direktivo 2015/849/EU, nujna za izvedbo ocene ustreznosti pomembnega deleža.</w:t>
      </w:r>
    </w:p>
    <w:p w14:paraId="2BF102F2"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0A72ABC1" w14:textId="10E8257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Če Banka Slovenije pred iztekom roka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vložnika pozove, da se iz</w:t>
      </w:r>
      <w:r w:rsidR="00805CF8" w:rsidRPr="00215B2F">
        <w:rPr>
          <w:rFonts w:ascii="Arial" w:eastAsia="Arial" w:hAnsi="Arial" w:cs="Arial"/>
          <w:sz w:val="20"/>
          <w:szCs w:val="20"/>
        </w:rPr>
        <w:t>javi</w:t>
      </w:r>
      <w:r w:rsidRPr="00215B2F">
        <w:rPr>
          <w:rFonts w:ascii="Arial" w:eastAsia="Arial" w:hAnsi="Arial" w:cs="Arial"/>
          <w:sz w:val="20"/>
          <w:szCs w:val="20"/>
        </w:rPr>
        <w:t xml:space="preserve"> </w:t>
      </w:r>
      <w:r w:rsidR="00121947" w:rsidRPr="00215B2F">
        <w:rPr>
          <w:rFonts w:ascii="Arial" w:eastAsia="Arial" w:hAnsi="Arial" w:cs="Arial"/>
          <w:sz w:val="20"/>
          <w:szCs w:val="20"/>
        </w:rPr>
        <w:t>glede</w:t>
      </w:r>
      <w:r w:rsidRPr="00215B2F">
        <w:rPr>
          <w:rFonts w:ascii="Arial" w:eastAsia="Arial" w:hAnsi="Arial" w:cs="Arial"/>
          <w:sz w:val="20"/>
          <w:szCs w:val="20"/>
        </w:rPr>
        <w:t xml:space="preserve"> razlog</w:t>
      </w:r>
      <w:r w:rsidR="00121947" w:rsidRPr="00215B2F">
        <w:rPr>
          <w:rFonts w:ascii="Arial" w:eastAsia="Arial" w:hAnsi="Arial" w:cs="Arial"/>
          <w:sz w:val="20"/>
          <w:szCs w:val="20"/>
        </w:rPr>
        <w:t>ov</w:t>
      </w:r>
      <w:r w:rsidRPr="00215B2F">
        <w:rPr>
          <w:rFonts w:ascii="Arial" w:eastAsia="Arial" w:hAnsi="Arial" w:cs="Arial"/>
          <w:sz w:val="20"/>
          <w:szCs w:val="20"/>
        </w:rPr>
        <w:t xml:space="preserve"> za odločitev o nasprotovanju, rok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ne teče od vročitve poziva do izteka roka za izjavo oziroma do prejema izjave, če je bila ta pos</w:t>
      </w:r>
      <w:r w:rsidR="00121947" w:rsidRPr="00215B2F">
        <w:rPr>
          <w:rFonts w:ascii="Arial" w:eastAsia="Arial" w:hAnsi="Arial" w:cs="Arial"/>
          <w:sz w:val="20"/>
          <w:szCs w:val="20"/>
        </w:rPr>
        <w:t>l</w:t>
      </w:r>
      <w:r w:rsidRPr="00215B2F">
        <w:rPr>
          <w:rFonts w:ascii="Arial" w:eastAsia="Arial" w:hAnsi="Arial" w:cs="Arial"/>
          <w:sz w:val="20"/>
          <w:szCs w:val="20"/>
        </w:rPr>
        <w:t>ana v roku, določenem s pozivom.</w:t>
      </w:r>
    </w:p>
    <w:p w14:paraId="7F4BFD16"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6C33C33B" w14:textId="34F2B19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Če vložnik po izdaji potrdila o popolni vlogi predloži dodatno dokumentacijo, ki pomembno vpliva na oceno ustreznosti, se taka dopolnitev šteje kot nova zahteva iz prvega odstavka </w:t>
      </w:r>
      <w:r w:rsidR="00C96E2E" w:rsidRPr="00215B2F">
        <w:rPr>
          <w:rFonts w:ascii="Arial" w:eastAsia="Arial" w:hAnsi="Arial" w:cs="Arial"/>
          <w:sz w:val="20"/>
          <w:szCs w:val="20"/>
        </w:rPr>
        <w:t>81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ocenjevalno obdobje pa začne teči znova. O tem Banka Slovenije odloči s sklepom. </w:t>
      </w:r>
    </w:p>
    <w:p w14:paraId="69C31276"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18D5B083" w14:textId="7B324CA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Če pridobitev pomembnega deleža pomeni pridobitev kvalificiranega deleža v skladu </w:t>
      </w:r>
      <w:r w:rsidR="00121947" w:rsidRPr="00215B2F">
        <w:rPr>
          <w:rFonts w:ascii="Arial" w:eastAsia="Arial" w:hAnsi="Arial" w:cs="Arial"/>
          <w:sz w:val="20"/>
          <w:szCs w:val="20"/>
        </w:rPr>
        <w:t>z</w:t>
      </w:r>
      <w:r w:rsidRPr="00215B2F">
        <w:rPr>
          <w:rFonts w:ascii="Arial" w:eastAsia="Arial" w:hAnsi="Arial" w:cs="Arial"/>
          <w:sz w:val="20"/>
          <w:szCs w:val="20"/>
        </w:rPr>
        <w:t xml:space="preserve"> </w:t>
      </w:r>
      <w:r w:rsidR="00C96E2E" w:rsidRPr="00215B2F">
        <w:rPr>
          <w:rFonts w:ascii="Arial" w:eastAsia="Arial" w:hAnsi="Arial" w:cs="Arial"/>
          <w:sz w:val="20"/>
          <w:szCs w:val="20"/>
        </w:rPr>
        <w:t>81</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mora nameravani pridobitelj vložiti zahtevo in pridobiti odločitev o nenasprotovanju tudi za pridobitev kvalificiranega deleža. V tem primeru se ocenjevalno obdobje izteče šele, ko se izteče zadnje od zadevnih ocenjevalnih obdob</w:t>
      </w:r>
      <w:r w:rsidR="00121947" w:rsidRPr="00215B2F">
        <w:rPr>
          <w:rFonts w:ascii="Arial" w:eastAsia="Arial" w:hAnsi="Arial" w:cs="Arial"/>
          <w:sz w:val="20"/>
          <w:szCs w:val="20"/>
        </w:rPr>
        <w:t>i</w:t>
      </w:r>
      <w:r w:rsidRPr="00215B2F">
        <w:rPr>
          <w:rFonts w:ascii="Arial" w:eastAsia="Arial" w:hAnsi="Arial" w:cs="Arial"/>
          <w:sz w:val="20"/>
          <w:szCs w:val="20"/>
        </w:rPr>
        <w:t xml:space="preserve">j. </w:t>
      </w:r>
    </w:p>
    <w:p w14:paraId="1172DDA5"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58E151A7" w14:textId="55C71B6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(8) Kadar postopek ocene ustreznosti pomembnega deleža poteka hkrati s postopkom odobritve finančnega holdinga ali mešanega finančnega holdinga iz </w:t>
      </w:r>
      <w:r w:rsidR="00C96E2E"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se ocenjevalno obdobje začasno prekine, dokler ni končan postopek odobritve finančnega holdinga ali mešanega finančnega holdinga iz </w:t>
      </w:r>
      <w:r w:rsidR="00C96E2E"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p>
    <w:p w14:paraId="5706591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995D1DB"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14" w:name="_Ref202965453"/>
      <w:r w:rsidRPr="00215B2F">
        <w:rPr>
          <w:rFonts w:ascii="Arial" w:eastAsia="Arial" w:hAnsi="Arial" w:cs="Arial"/>
          <w:b/>
          <w:bCs/>
          <w:sz w:val="20"/>
          <w:szCs w:val="20"/>
        </w:rPr>
        <w:t>člen</w:t>
      </w:r>
      <w:bookmarkEnd w:id="314"/>
    </w:p>
    <w:p w14:paraId="6F34DE91" w14:textId="77777777" w:rsidR="00D91782" w:rsidRPr="00215B2F" w:rsidRDefault="00D91782" w:rsidP="00FD5520">
      <w:pPr>
        <w:pStyle w:val="Slog1"/>
        <w:shd w:val="clear" w:color="auto" w:fill="FFFFFF" w:themeFill="background1"/>
        <w:rPr>
          <w:sz w:val="20"/>
          <w:szCs w:val="20"/>
        </w:rPr>
      </w:pPr>
      <w:r w:rsidRPr="00215B2F">
        <w:rPr>
          <w:sz w:val="20"/>
          <w:szCs w:val="20"/>
        </w:rPr>
        <w:t>(sodelovanje med pristojnimi organi)</w:t>
      </w:r>
    </w:p>
    <w:p w14:paraId="5A4B4A19" w14:textId="77777777" w:rsidR="00D91782" w:rsidRPr="00215B2F" w:rsidRDefault="00D91782" w:rsidP="00FD5520">
      <w:pPr>
        <w:pStyle w:val="Slog1"/>
        <w:shd w:val="clear" w:color="auto" w:fill="FFFFFF" w:themeFill="background1"/>
        <w:jc w:val="both"/>
        <w:rPr>
          <w:sz w:val="20"/>
          <w:szCs w:val="20"/>
        </w:rPr>
      </w:pPr>
    </w:p>
    <w:p w14:paraId="156690C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se v zvezi z oceno ustreznosti pomembnega deleža posvetuje s pristojnimi organi drugih subjektov finančnega sektorja, če nameravana pridobitev zadeva nekaj od naslednjega:</w:t>
      </w:r>
    </w:p>
    <w:p w14:paraId="6EBE7BEF"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1B9412C3" w14:textId="77777777" w:rsidR="00C316EC" w:rsidRPr="00215B2F" w:rsidRDefault="00D91782" w:rsidP="003D4DE0">
      <w:pPr>
        <w:pStyle w:val="Odstavekseznama"/>
        <w:numPr>
          <w:ilvl w:val="0"/>
          <w:numId w:val="32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kreditno institucijo, zavarovalnico, pozavarovalnico, investicijsko podjetje ali družbo za upravljanje, ki je pridobila dovoljenje v drugi državi članici ali v drugem sektorju, kot je sektor nameravanega pridobitelja; </w:t>
      </w:r>
    </w:p>
    <w:p w14:paraId="4CF0E729" w14:textId="3CB4EBB2" w:rsidR="00C316EC" w:rsidRPr="00215B2F" w:rsidRDefault="00D91782" w:rsidP="003D4DE0">
      <w:pPr>
        <w:pStyle w:val="Odstavekseznama"/>
        <w:numPr>
          <w:ilvl w:val="0"/>
          <w:numId w:val="32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nadrejeno osebo osebam iz </w:t>
      </w:r>
      <w:r w:rsidR="00160486" w:rsidRPr="00215B2F">
        <w:rPr>
          <w:rFonts w:ascii="Arial" w:eastAsia="Arial" w:hAnsi="Arial" w:cs="Arial"/>
          <w:sz w:val="20"/>
          <w:szCs w:val="20"/>
        </w:rPr>
        <w:t xml:space="preserve">prejšnje </w:t>
      </w:r>
      <w:r w:rsidRPr="00215B2F">
        <w:rPr>
          <w:rFonts w:ascii="Arial" w:eastAsia="Arial" w:hAnsi="Arial" w:cs="Arial"/>
          <w:sz w:val="20"/>
          <w:szCs w:val="20"/>
        </w:rPr>
        <w:t xml:space="preserve">točke; </w:t>
      </w:r>
    </w:p>
    <w:p w14:paraId="74C57D6A" w14:textId="48498222" w:rsidR="00D91782" w:rsidRPr="00215B2F" w:rsidRDefault="00D91782" w:rsidP="003D4DE0">
      <w:pPr>
        <w:pStyle w:val="Odstavekseznama"/>
        <w:numPr>
          <w:ilvl w:val="0"/>
          <w:numId w:val="32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pravno osebo, ki obvladuje osebo iz točke a) tega odstavka.</w:t>
      </w:r>
    </w:p>
    <w:p w14:paraId="445C1DEB"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5769451E" w14:textId="5273F52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Če je nameravani pridobitelj pomembnega deleža banka, ki je del skupine, in Banka Slovenije ni hkrati tudi konsolidacijski nadzornik, ter je prag iz drugega odstavka </w:t>
      </w:r>
      <w:r w:rsidR="009470F4" w:rsidRPr="00215B2F">
        <w:rPr>
          <w:rFonts w:ascii="Arial" w:eastAsia="Arial" w:hAnsi="Arial" w:cs="Arial"/>
          <w:sz w:val="20"/>
          <w:szCs w:val="20"/>
        </w:rPr>
        <w:t>258</w:t>
      </w:r>
      <w:r w:rsidRPr="00215B2F">
        <w:rPr>
          <w:rFonts w:ascii="Arial" w:eastAsia="Arial" w:hAnsi="Arial" w:cs="Arial"/>
          <w:sz w:val="20"/>
          <w:szCs w:val="20"/>
        </w:rPr>
        <w:t>. člena</w:t>
      </w:r>
      <w:r w:rsidR="009470F4" w:rsidRPr="00215B2F">
        <w:rPr>
          <w:rFonts w:ascii="Arial" w:eastAsia="Arial" w:hAnsi="Arial" w:cs="Arial"/>
          <w:sz w:val="20"/>
          <w:szCs w:val="20"/>
        </w:rPr>
        <w:t xml:space="preserve"> tega zakona</w:t>
      </w:r>
      <w:r w:rsidRPr="00215B2F">
        <w:rPr>
          <w:rFonts w:ascii="Arial" w:eastAsia="Arial" w:hAnsi="Arial" w:cs="Arial"/>
          <w:sz w:val="20"/>
          <w:szCs w:val="20"/>
        </w:rPr>
        <w:t xml:space="preserve"> presežen le na posamični podlagi banke, Banka Slovenije o vloženi zahtevi banke za oceno ustreznosti pomembnega deleža uradno obvesti konsolidacijskega nadzornika v desetih delovnih dneh od prejema zahteve za oceno ustreznosti pomembnega deleža s strani banke. </w:t>
      </w:r>
    </w:p>
    <w:p w14:paraId="3DE3651A" w14:textId="77777777" w:rsidR="00042350"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 </w:t>
      </w:r>
    </w:p>
    <w:p w14:paraId="7C8D623E" w14:textId="471229B8" w:rsidR="00D91782" w:rsidRPr="00215B2F" w:rsidRDefault="00A43EFC"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D91782" w:rsidRPr="00215B2F">
        <w:rPr>
          <w:rFonts w:ascii="Arial" w:eastAsia="Arial" w:hAnsi="Arial" w:cs="Arial"/>
          <w:sz w:val="20"/>
          <w:szCs w:val="20"/>
        </w:rPr>
        <w:t xml:space="preserve">3) Če je nameravani pridobitelj pomembnega deleža finančni holding ali mešani finančni holding, ki je pridobil odobritev oziroma je v postopku odobritve v skladu s </w:t>
      </w:r>
      <w:r w:rsidR="00C96E2E" w:rsidRPr="00215B2F">
        <w:rPr>
          <w:rFonts w:ascii="Arial" w:eastAsia="Arial" w:hAnsi="Arial" w:cs="Arial"/>
          <w:sz w:val="20"/>
          <w:szCs w:val="20"/>
        </w:rPr>
        <w:t>108</w:t>
      </w:r>
      <w:r w:rsidR="00D91782"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r w:rsidR="00D91782" w:rsidRPr="00215B2F">
        <w:rPr>
          <w:rFonts w:ascii="Arial" w:eastAsia="Arial" w:hAnsi="Arial" w:cs="Arial"/>
          <w:sz w:val="20"/>
          <w:szCs w:val="20"/>
        </w:rPr>
        <w:t xml:space="preserve"> in je Banka Slovenije konsolidacijski nadzornik, ki ocenjuje ustreznost pomembnega deleža, o vloženi zahtevi finančnega holdinga ali mešanega finančnega holdinga za oceno ustreznosti pomembnega deleža uradno obvesti pristojni organ v državi članici, v kateri ima nameravani pridobitelj sedež</w:t>
      </w:r>
      <w:r w:rsidRPr="00215B2F">
        <w:rPr>
          <w:rFonts w:ascii="Arial" w:eastAsia="Arial" w:hAnsi="Arial" w:cs="Arial"/>
          <w:sz w:val="20"/>
          <w:szCs w:val="20"/>
        </w:rPr>
        <w:t>,</w:t>
      </w:r>
      <w:r w:rsidR="00D91782" w:rsidRPr="00215B2F">
        <w:rPr>
          <w:rFonts w:ascii="Arial" w:eastAsia="Arial" w:hAnsi="Arial" w:cs="Arial"/>
          <w:sz w:val="20"/>
          <w:szCs w:val="20"/>
        </w:rPr>
        <w:t xml:space="preserve"> v desetih delovnih dneh od prejema zahteve za oceno ustreznosti pomembnega deleža. </w:t>
      </w:r>
    </w:p>
    <w:p w14:paraId="6AA1615D"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56FED643" w14:textId="1ED749B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konsolidacijskemu nadzorniku oziroma pristojnemu organu v drugi državi članici na njegovo zahtevo ali na lastno pobudo brez odlašanja sporoči vse informacije, ki so bistvene in pomembne za oceno ustreznosti pomembnega deleža. V primeru iz drugega in tretjega odstavka </w:t>
      </w:r>
      <w:r w:rsidR="009470F4" w:rsidRPr="00215B2F">
        <w:rPr>
          <w:rFonts w:ascii="Arial" w:eastAsia="Arial" w:hAnsi="Arial" w:cs="Arial"/>
          <w:sz w:val="20"/>
          <w:szCs w:val="20"/>
        </w:rPr>
        <w:t xml:space="preserve">tega člena </w:t>
      </w:r>
      <w:r w:rsidRPr="00215B2F">
        <w:rPr>
          <w:rFonts w:ascii="Arial" w:eastAsia="Arial" w:hAnsi="Arial" w:cs="Arial"/>
          <w:sz w:val="20"/>
          <w:szCs w:val="20"/>
        </w:rPr>
        <w:t>Banka Slovenije konsolidacijskemu nadzorniku oziroma pristojnemu organu v državi članici po</w:t>
      </w:r>
      <w:r w:rsidR="00AA157D" w:rsidRPr="00215B2F">
        <w:rPr>
          <w:rFonts w:ascii="Arial" w:eastAsia="Arial" w:hAnsi="Arial" w:cs="Arial"/>
          <w:sz w:val="20"/>
          <w:szCs w:val="20"/>
        </w:rPr>
        <w:t>šl</w:t>
      </w:r>
      <w:r w:rsidRPr="00215B2F">
        <w:rPr>
          <w:rFonts w:ascii="Arial" w:eastAsia="Arial" w:hAnsi="Arial" w:cs="Arial"/>
          <w:sz w:val="20"/>
          <w:szCs w:val="20"/>
        </w:rPr>
        <w:t>je tudi svojo oceno.</w:t>
      </w:r>
    </w:p>
    <w:p w14:paraId="0FE49283"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096EBE5B" w14:textId="379B09D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in konsolidacijski nadzornik ali pristojni organ druge države članice si prizadevajo uskladiti ocene in zagotoviti doslednost svojih odločitev. Za ta namen Banka Slovenije, kadar je pristojna za oceno ustreznosti pomembnega deleža, v tej oceni navede vsa stališča ali pridržke, ki so jih izrazili drugi </w:t>
      </w:r>
      <w:r w:rsidR="00AA157D" w:rsidRPr="00215B2F">
        <w:rPr>
          <w:rFonts w:ascii="Arial" w:eastAsia="Arial" w:hAnsi="Arial" w:cs="Arial"/>
          <w:sz w:val="20"/>
          <w:szCs w:val="20"/>
        </w:rPr>
        <w:t xml:space="preserve">zadevni </w:t>
      </w:r>
      <w:r w:rsidRPr="00215B2F">
        <w:rPr>
          <w:rFonts w:ascii="Arial" w:eastAsia="Arial" w:hAnsi="Arial" w:cs="Arial"/>
          <w:sz w:val="20"/>
          <w:szCs w:val="20"/>
        </w:rPr>
        <w:t xml:space="preserve">pristojni organi. </w:t>
      </w:r>
    </w:p>
    <w:p w14:paraId="19F07250"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78895FC1" w14:textId="5134B85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Kadar je nameravani pridobitelj pomembnega deleža banka in je prag iz prvega odstavka </w:t>
      </w:r>
      <w:r w:rsidR="00C96E2E" w:rsidRPr="00215B2F">
        <w:rPr>
          <w:rFonts w:ascii="Arial" w:eastAsia="Arial" w:hAnsi="Arial" w:cs="Arial"/>
          <w:sz w:val="20"/>
          <w:szCs w:val="20"/>
        </w:rPr>
        <w:t>258</w:t>
      </w:r>
      <w:r w:rsidRPr="00215B2F">
        <w:rPr>
          <w:rFonts w:ascii="Arial" w:eastAsia="Arial" w:hAnsi="Arial" w:cs="Arial"/>
          <w:sz w:val="20"/>
          <w:szCs w:val="20"/>
        </w:rPr>
        <w:t xml:space="preserve">. člena </w:t>
      </w:r>
      <w:r w:rsidR="005A6EA0" w:rsidRPr="00215B2F">
        <w:rPr>
          <w:rFonts w:ascii="Arial" w:eastAsia="Arial" w:hAnsi="Arial" w:cs="Arial"/>
          <w:sz w:val="20"/>
          <w:szCs w:val="20"/>
        </w:rPr>
        <w:t xml:space="preserve">tega zakona </w:t>
      </w:r>
      <w:r w:rsidRPr="00215B2F">
        <w:rPr>
          <w:rFonts w:ascii="Arial" w:eastAsia="Arial" w:hAnsi="Arial" w:cs="Arial"/>
          <w:sz w:val="20"/>
          <w:szCs w:val="20"/>
        </w:rPr>
        <w:t xml:space="preserve">presežen tako na posamični podlagi kot na podlagi konsolidiranega položaja skupine, si Banka Slovenije in pristojni organ ali konsolidacijski nadzornik iz druge države članice, ki ocenjujeta nameravano pridobitev pomembnega deleža, prizadevata za uskladitev svojih ocen, zlasti kar zadeva njuno posvetovanje s pristojnimi organi druge države članice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w:t>
      </w:r>
    </w:p>
    <w:p w14:paraId="2F259F39"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492B5FE1" w14:textId="51D6568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Kadar je Banka Slovenije konsolidacijski nadzornik in ima nameravani pridobitelj pomembnega deleža sedež v drugi državi članici, Banka Slovenije s pristojnim organom v državi članici sodeluje in se z njim posvetuje v zvezi z oceno nameravane pridobitve. Banka Slovenije kot konsolidacijski nadzornik pripravi oceno ustreznosti nameravane pridobitve pomembnega deleža iz prvega odstavka </w:t>
      </w:r>
      <w:r w:rsidR="00C96E2E" w:rsidRPr="00215B2F">
        <w:rPr>
          <w:rFonts w:ascii="Arial" w:eastAsia="Arial" w:hAnsi="Arial" w:cs="Arial"/>
          <w:sz w:val="20"/>
          <w:szCs w:val="20"/>
        </w:rPr>
        <w:t>264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jo v obliki predloga skupne odločitve po</w:t>
      </w:r>
      <w:r w:rsidR="005D1DF3" w:rsidRPr="00215B2F">
        <w:rPr>
          <w:rFonts w:ascii="Arial" w:eastAsia="Arial" w:hAnsi="Arial" w:cs="Arial"/>
          <w:sz w:val="20"/>
          <w:szCs w:val="20"/>
        </w:rPr>
        <w:t>šl</w:t>
      </w:r>
      <w:r w:rsidRPr="00215B2F">
        <w:rPr>
          <w:rFonts w:ascii="Arial" w:eastAsia="Arial" w:hAnsi="Arial" w:cs="Arial"/>
          <w:sz w:val="20"/>
          <w:szCs w:val="20"/>
        </w:rPr>
        <w:t>je pristojnemu organu države članice, v kateri ima nameravani pridobitelj sedež. Oba organa storita vse, kar je v njuni moči, da se skupna odločitev sprejme v dveh mesecih od dneva predložitve navedene ocene pristojnemu organu države članice.</w:t>
      </w:r>
    </w:p>
    <w:p w14:paraId="139AA909"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200A22D1" w14:textId="0507B44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(8) Banka Slovenije kot konsolidacijski nadzornik o skupni odločitvi iz prejšnjega odstavka, ki je ustrezno dokumentirana in utemeljena, obvesti nameravanega pridobitelja. </w:t>
      </w:r>
    </w:p>
    <w:p w14:paraId="6B1AFA78"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3FE66ADE" w14:textId="6D2DE6B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(9) Kadar Banka Slovenije ni konsolidacijski nadzornik, ampak pristojni organ, v kateri ima nameravani pridobitelj sedež, Banka Slovenije sodeluje pri skupni odločitvi s konsolidacijskim nadzornikom glede </w:t>
      </w:r>
      <w:r w:rsidRPr="00215B2F">
        <w:rPr>
          <w:rFonts w:ascii="Arial" w:eastAsia="Arial" w:hAnsi="Arial" w:cs="Arial"/>
          <w:sz w:val="20"/>
          <w:szCs w:val="20"/>
        </w:rPr>
        <w:lastRenderedPageBreak/>
        <w:t>ocene ustreznosti nameravane pridobitve. Oba organa storita vse, kar je v njuni moči, da se skupna odločitev sprejme v dveh mesecih od dneva, ko Banka Slovenije prejme oceno ustreznosti nameravane pridobitve konsolidacijskega nadzornika.</w:t>
      </w:r>
    </w:p>
    <w:p w14:paraId="53881169"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059E904F" w14:textId="1DD147E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(10) </w:t>
      </w:r>
      <w:r w:rsidR="00256D7F" w:rsidRPr="00215B2F">
        <w:rPr>
          <w:rFonts w:ascii="Arial" w:eastAsia="Arial" w:hAnsi="Arial" w:cs="Arial"/>
          <w:sz w:val="20"/>
          <w:szCs w:val="20"/>
        </w:rPr>
        <w:t>Če</w:t>
      </w:r>
      <w:r w:rsidRPr="00215B2F">
        <w:rPr>
          <w:rFonts w:ascii="Arial" w:eastAsia="Arial" w:hAnsi="Arial" w:cs="Arial"/>
          <w:sz w:val="20"/>
          <w:szCs w:val="20"/>
        </w:rPr>
        <w:t xml:space="preserve"> se skupna odločitev iz sedmega ali devetega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ne sprejme v dveh mesecih po prejetju ocene konsolidacijskega nadzornika, konsolidacijski nadzornik ali pristojni organ države članice, v kateri ima nameravani pridobitelj sedež, ne sprejme odločitve iz sedmega ali devetega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in zadevo predloži Evropskemu bančnemu organu v skladu z 19. členom Uredbe 1093/2010/EU. Evropski bančni organ sprejme odločitev v enem mesecu po tem, ko </w:t>
      </w:r>
      <w:r w:rsidR="005D1DF3" w:rsidRPr="00215B2F">
        <w:rPr>
          <w:rFonts w:ascii="Arial" w:eastAsia="Arial" w:hAnsi="Arial" w:cs="Arial"/>
          <w:sz w:val="20"/>
          <w:szCs w:val="20"/>
        </w:rPr>
        <w:t xml:space="preserve">mu </w:t>
      </w:r>
      <w:r w:rsidRPr="00215B2F">
        <w:rPr>
          <w:rFonts w:ascii="Arial" w:eastAsia="Arial" w:hAnsi="Arial" w:cs="Arial"/>
          <w:sz w:val="20"/>
          <w:szCs w:val="20"/>
        </w:rPr>
        <w:t xml:space="preserve">je bila zadeva predložena. Zadevni pristojni organi sprejmejo skupno odločitev v skladu z odločitvijo Evropskega bančnega organa. </w:t>
      </w:r>
    </w:p>
    <w:p w14:paraId="2F12C905"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7EB67FA2"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15" w:name="_Ref202965458"/>
      <w:r w:rsidRPr="00215B2F">
        <w:rPr>
          <w:rFonts w:ascii="Arial" w:eastAsia="Arial" w:hAnsi="Arial" w:cs="Arial"/>
          <w:b/>
          <w:bCs/>
          <w:sz w:val="20"/>
          <w:szCs w:val="20"/>
        </w:rPr>
        <w:t>člen</w:t>
      </w:r>
      <w:bookmarkEnd w:id="315"/>
    </w:p>
    <w:p w14:paraId="77D1E80B" w14:textId="77777777" w:rsidR="00D91782" w:rsidRPr="00215B2F" w:rsidRDefault="00D91782" w:rsidP="00FD5520">
      <w:pPr>
        <w:pStyle w:val="Slog1"/>
        <w:shd w:val="clear" w:color="auto" w:fill="FFFFFF" w:themeFill="background1"/>
        <w:rPr>
          <w:sz w:val="20"/>
          <w:szCs w:val="20"/>
        </w:rPr>
      </w:pPr>
      <w:r w:rsidRPr="00215B2F">
        <w:rPr>
          <w:sz w:val="20"/>
          <w:szCs w:val="20"/>
        </w:rPr>
        <w:t>(presoja ustreznosti pomembnega deleža)</w:t>
      </w:r>
    </w:p>
    <w:p w14:paraId="4ABFE0F0" w14:textId="77777777" w:rsidR="00D91782" w:rsidRPr="00215B2F" w:rsidRDefault="00D91782" w:rsidP="00FD5520">
      <w:pPr>
        <w:pStyle w:val="Slog1"/>
        <w:shd w:val="clear" w:color="auto" w:fill="FFFFFF" w:themeFill="background1"/>
        <w:jc w:val="both"/>
        <w:rPr>
          <w:sz w:val="20"/>
          <w:szCs w:val="20"/>
        </w:rPr>
      </w:pPr>
    </w:p>
    <w:p w14:paraId="3E25233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pri presoji ustreznosti pomembnega deleža oceni verjetnost, da bo upravljanje s strani nameravanega pridobitelja preudarno in skrbno, ter zlasti tveganja, ki jim je ali bi jim lahko bil izpostavljen nameravani pridobitelj po nameravani pridobitvi na podlagi naslednjih meril: </w:t>
      </w:r>
    </w:p>
    <w:p w14:paraId="49F1AC15"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7B003AF1" w14:textId="798374BA" w:rsidR="00AD740A" w:rsidRPr="00215B2F" w:rsidRDefault="00D91782" w:rsidP="003D4DE0">
      <w:pPr>
        <w:pStyle w:val="tevilnatoka"/>
        <w:numPr>
          <w:ilvl w:val="0"/>
          <w:numId w:val="175"/>
        </w:numPr>
        <w:shd w:val="clear" w:color="auto" w:fill="FFFFFF" w:themeFill="background1"/>
        <w:tabs>
          <w:tab w:val="clear" w:pos="425"/>
        </w:tabs>
        <w:rPr>
          <w:rFonts w:cs="Arial"/>
          <w:bCs/>
          <w:sz w:val="20"/>
          <w:szCs w:val="20"/>
        </w:rPr>
      </w:pPr>
      <w:r w:rsidRPr="00215B2F">
        <w:rPr>
          <w:rFonts w:eastAsia="Arial" w:cs="Arial"/>
          <w:sz w:val="20"/>
          <w:szCs w:val="20"/>
        </w:rPr>
        <w:t>ali bo nameravani pridobitelj lahko izpolnil in še naprej izpolnjeval bonitetne zahteve iz tega zakona oziroma Direktive 2013/36/EU in Uredbe 575/2013/EU</w:t>
      </w:r>
      <w:r w:rsidR="005D1DF3" w:rsidRPr="00215B2F">
        <w:rPr>
          <w:rFonts w:eastAsia="Arial" w:cs="Arial"/>
          <w:sz w:val="20"/>
          <w:szCs w:val="20"/>
        </w:rPr>
        <w:t>,</w:t>
      </w:r>
      <w:r w:rsidRPr="00215B2F">
        <w:rPr>
          <w:rFonts w:eastAsia="Arial" w:cs="Arial"/>
          <w:sz w:val="20"/>
          <w:szCs w:val="20"/>
        </w:rPr>
        <w:t xml:space="preserve"> ter kadar je ustrezno, drugih pravnih aktov </w:t>
      </w:r>
      <w:r w:rsidR="00C461A6" w:rsidRPr="00215B2F">
        <w:rPr>
          <w:rFonts w:eastAsia="Arial" w:cs="Arial"/>
          <w:sz w:val="20"/>
          <w:szCs w:val="20"/>
        </w:rPr>
        <w:t>Evropske u</w:t>
      </w:r>
      <w:r w:rsidRPr="00215B2F">
        <w:rPr>
          <w:rFonts w:eastAsia="Arial" w:cs="Arial"/>
          <w:sz w:val="20"/>
          <w:szCs w:val="20"/>
        </w:rPr>
        <w:t>nije;</w:t>
      </w:r>
    </w:p>
    <w:p w14:paraId="0AD71A7E" w14:textId="2228B719" w:rsidR="00D91782" w:rsidRPr="00215B2F" w:rsidRDefault="00D91782" w:rsidP="003D4DE0">
      <w:pPr>
        <w:pStyle w:val="tevilnatoka"/>
        <w:numPr>
          <w:ilvl w:val="0"/>
          <w:numId w:val="175"/>
        </w:numPr>
        <w:shd w:val="clear" w:color="auto" w:fill="FFFFFF" w:themeFill="background1"/>
        <w:tabs>
          <w:tab w:val="clear" w:pos="425"/>
        </w:tabs>
        <w:rPr>
          <w:rFonts w:cs="Arial"/>
          <w:bCs/>
          <w:sz w:val="20"/>
          <w:szCs w:val="20"/>
        </w:rPr>
      </w:pPr>
      <w:r w:rsidRPr="00215B2F">
        <w:rPr>
          <w:rFonts w:eastAsia="Arial" w:cs="Arial"/>
          <w:sz w:val="20"/>
          <w:szCs w:val="20"/>
        </w:rPr>
        <w:t>ali obstajajo utemeljeni razlogi za sum, da gre ali je šlo v zvezi z nameravano pridobitvijo za pranje denarja ali financiranje terorizma, kot sta opredeljena v zakonu, ki ureja preprečevanje pranja denarja in financiranje terorizma</w:t>
      </w:r>
      <w:r w:rsidR="005D1DF3" w:rsidRPr="00215B2F">
        <w:rPr>
          <w:rFonts w:eastAsia="Arial" w:cs="Arial"/>
          <w:sz w:val="20"/>
          <w:szCs w:val="20"/>
        </w:rPr>
        <w:t>,</w:t>
      </w:r>
      <w:r w:rsidRPr="00215B2F">
        <w:rPr>
          <w:rFonts w:eastAsia="Arial" w:cs="Arial"/>
          <w:sz w:val="20"/>
          <w:szCs w:val="20"/>
        </w:rPr>
        <w:t xml:space="preserve"> ali za poskus tega ali da bi lahko nameravana pridobitev povečala tveganje tak</w:t>
      </w:r>
      <w:r w:rsidR="00805CF8" w:rsidRPr="00215B2F">
        <w:rPr>
          <w:rFonts w:eastAsia="Arial" w:cs="Arial"/>
          <w:sz w:val="20"/>
          <w:szCs w:val="20"/>
        </w:rPr>
        <w:t>ega</w:t>
      </w:r>
      <w:r w:rsidRPr="00215B2F">
        <w:rPr>
          <w:rFonts w:eastAsia="Arial" w:cs="Arial"/>
          <w:sz w:val="20"/>
          <w:szCs w:val="20"/>
        </w:rPr>
        <w:t xml:space="preserve"> ravnanj</w:t>
      </w:r>
      <w:r w:rsidR="00805CF8" w:rsidRPr="00215B2F">
        <w:rPr>
          <w:rFonts w:eastAsia="Arial" w:cs="Arial"/>
          <w:sz w:val="20"/>
          <w:szCs w:val="20"/>
        </w:rPr>
        <w:t>a</w:t>
      </w:r>
      <w:r w:rsidRPr="00215B2F">
        <w:rPr>
          <w:rFonts w:eastAsia="Arial" w:cs="Arial"/>
          <w:sz w:val="20"/>
          <w:szCs w:val="20"/>
        </w:rPr>
        <w:t>.</w:t>
      </w:r>
    </w:p>
    <w:p w14:paraId="15A010EA"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7920036D" w14:textId="5163C29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se pri presoji merila iz 2. točke prejšnjega odstavka posvetuje z Uradom </w:t>
      </w:r>
      <w:r w:rsidR="005D1DF3" w:rsidRPr="00215B2F">
        <w:rPr>
          <w:rFonts w:ascii="Arial" w:eastAsia="Arial" w:hAnsi="Arial" w:cs="Arial"/>
          <w:sz w:val="20"/>
          <w:szCs w:val="20"/>
        </w:rPr>
        <w:t xml:space="preserve">Republike Slovenije </w:t>
      </w:r>
      <w:r w:rsidRPr="00215B2F">
        <w:rPr>
          <w:rFonts w:ascii="Arial" w:eastAsia="Arial" w:hAnsi="Arial" w:cs="Arial"/>
          <w:sz w:val="20"/>
          <w:szCs w:val="20"/>
        </w:rPr>
        <w:t>za preprečevanj</w:t>
      </w:r>
      <w:r w:rsidR="005D1DF3" w:rsidRPr="00215B2F">
        <w:rPr>
          <w:rFonts w:ascii="Arial" w:eastAsia="Arial" w:hAnsi="Arial" w:cs="Arial"/>
          <w:sz w:val="20"/>
          <w:szCs w:val="20"/>
        </w:rPr>
        <w:t>e</w:t>
      </w:r>
      <w:r w:rsidRPr="00215B2F">
        <w:rPr>
          <w:rFonts w:ascii="Arial" w:eastAsia="Arial" w:hAnsi="Arial" w:cs="Arial"/>
          <w:sz w:val="20"/>
          <w:szCs w:val="20"/>
        </w:rPr>
        <w:t xml:space="preserve"> pranja denarja oziroma organom, odgovornim za nadzor </w:t>
      </w:r>
      <w:r w:rsidR="005D1DF3" w:rsidRPr="00215B2F">
        <w:rPr>
          <w:rFonts w:ascii="Arial" w:eastAsia="Arial" w:hAnsi="Arial" w:cs="Arial"/>
          <w:sz w:val="20"/>
          <w:szCs w:val="20"/>
        </w:rPr>
        <w:t xml:space="preserve">nad </w:t>
      </w:r>
      <w:r w:rsidRPr="00215B2F">
        <w:rPr>
          <w:rFonts w:ascii="Arial" w:eastAsia="Arial" w:hAnsi="Arial" w:cs="Arial"/>
          <w:sz w:val="20"/>
          <w:szCs w:val="20"/>
        </w:rPr>
        <w:t>nameravan</w:t>
      </w:r>
      <w:r w:rsidR="005D1DF3" w:rsidRPr="00215B2F">
        <w:rPr>
          <w:rFonts w:ascii="Arial" w:eastAsia="Arial" w:hAnsi="Arial" w:cs="Arial"/>
          <w:sz w:val="20"/>
          <w:szCs w:val="20"/>
        </w:rPr>
        <w:t>im</w:t>
      </w:r>
      <w:r w:rsidRPr="00215B2F">
        <w:rPr>
          <w:rFonts w:ascii="Arial" w:eastAsia="Arial" w:hAnsi="Arial" w:cs="Arial"/>
          <w:sz w:val="20"/>
          <w:szCs w:val="20"/>
        </w:rPr>
        <w:t xml:space="preserve"> pridobitelj</w:t>
      </w:r>
      <w:r w:rsidR="005D1DF3" w:rsidRPr="00215B2F">
        <w:rPr>
          <w:rFonts w:ascii="Arial" w:eastAsia="Arial" w:hAnsi="Arial" w:cs="Arial"/>
          <w:sz w:val="20"/>
          <w:szCs w:val="20"/>
        </w:rPr>
        <w:t>em</w:t>
      </w:r>
      <w:r w:rsidRPr="00215B2F">
        <w:rPr>
          <w:rFonts w:ascii="Arial" w:eastAsia="Arial" w:hAnsi="Arial" w:cs="Arial"/>
          <w:sz w:val="20"/>
          <w:szCs w:val="20"/>
        </w:rPr>
        <w:t xml:space="preserve"> v skladu z Direktivo 2015/849/EU v drugi državi članici, in ustrezno upošteva:</w:t>
      </w:r>
    </w:p>
    <w:p w14:paraId="6A4D5C36"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65D1999E" w14:textId="2602AAE6" w:rsidR="00AD740A" w:rsidRPr="00215B2F" w:rsidRDefault="00D91782" w:rsidP="00543D80">
      <w:pPr>
        <w:pStyle w:val="Odstavekseznama"/>
        <w:numPr>
          <w:ilvl w:val="3"/>
          <w:numId w:val="1"/>
        </w:numPr>
        <w:shd w:val="clear" w:color="auto" w:fill="FFFFFF" w:themeFill="background1"/>
        <w:spacing w:after="0" w:line="240" w:lineRule="auto"/>
        <w:ind w:left="357" w:hanging="357"/>
        <w:jc w:val="both"/>
        <w:rPr>
          <w:rFonts w:ascii="Arial" w:hAnsi="Arial" w:cs="Arial"/>
          <w:sz w:val="20"/>
          <w:szCs w:val="20"/>
        </w:rPr>
      </w:pPr>
      <w:r w:rsidRPr="00215B2F">
        <w:rPr>
          <w:rFonts w:ascii="Arial" w:eastAsia="Arial" w:hAnsi="Arial" w:cs="Arial"/>
          <w:sz w:val="20"/>
          <w:szCs w:val="20"/>
        </w:rPr>
        <w:t>informacije, ki jih je pridobila kot pristojni nadzorni organ na podlagi zakona, ki ureja preprečevanje pranja denarja in financiranje terorizma;</w:t>
      </w:r>
    </w:p>
    <w:p w14:paraId="460D65C6" w14:textId="79F874FD" w:rsidR="00D91782" w:rsidRPr="00215B2F" w:rsidRDefault="00D91782" w:rsidP="00543D80">
      <w:pPr>
        <w:pStyle w:val="Odstavekseznama"/>
        <w:numPr>
          <w:ilvl w:val="3"/>
          <w:numId w:val="1"/>
        </w:numPr>
        <w:shd w:val="clear" w:color="auto" w:fill="FFFFFF" w:themeFill="background1"/>
        <w:spacing w:after="0" w:line="240" w:lineRule="auto"/>
        <w:ind w:left="357" w:hanging="357"/>
        <w:jc w:val="both"/>
        <w:rPr>
          <w:rFonts w:ascii="Arial" w:hAnsi="Arial" w:cs="Arial"/>
          <w:sz w:val="20"/>
          <w:szCs w:val="20"/>
        </w:rPr>
      </w:pPr>
      <w:r w:rsidRPr="00215B2F">
        <w:rPr>
          <w:rFonts w:ascii="Arial" w:eastAsia="Arial" w:hAnsi="Arial" w:cs="Arial"/>
          <w:sz w:val="20"/>
          <w:szCs w:val="20"/>
        </w:rPr>
        <w:t xml:space="preserve">negativno mnenje Urada </w:t>
      </w:r>
      <w:r w:rsidR="00BB4AD0" w:rsidRPr="00215B2F">
        <w:rPr>
          <w:rFonts w:ascii="Arial" w:eastAsia="Arial" w:hAnsi="Arial" w:cs="Arial"/>
          <w:sz w:val="20"/>
          <w:szCs w:val="20"/>
        </w:rPr>
        <w:t xml:space="preserve">Republike Slovenije </w:t>
      </w:r>
      <w:r w:rsidRPr="00215B2F">
        <w:rPr>
          <w:rFonts w:ascii="Arial" w:eastAsia="Arial" w:hAnsi="Arial" w:cs="Arial"/>
          <w:sz w:val="20"/>
          <w:szCs w:val="20"/>
        </w:rPr>
        <w:t xml:space="preserve">za preprečevanja pranja denarja oziroma organa, odgovornega za nadzor </w:t>
      </w:r>
      <w:r w:rsidR="00BB4AD0" w:rsidRPr="00215B2F">
        <w:rPr>
          <w:rFonts w:ascii="Arial" w:eastAsia="Arial" w:hAnsi="Arial" w:cs="Arial"/>
          <w:sz w:val="20"/>
          <w:szCs w:val="20"/>
        </w:rPr>
        <w:t xml:space="preserve">nad </w:t>
      </w:r>
      <w:r w:rsidRPr="00215B2F">
        <w:rPr>
          <w:rFonts w:ascii="Arial" w:eastAsia="Arial" w:hAnsi="Arial" w:cs="Arial"/>
          <w:sz w:val="20"/>
          <w:szCs w:val="20"/>
        </w:rPr>
        <w:t>nameravan</w:t>
      </w:r>
      <w:r w:rsidR="00BB4AD0" w:rsidRPr="00215B2F">
        <w:rPr>
          <w:rFonts w:ascii="Arial" w:eastAsia="Arial" w:hAnsi="Arial" w:cs="Arial"/>
          <w:sz w:val="20"/>
          <w:szCs w:val="20"/>
        </w:rPr>
        <w:t>im</w:t>
      </w:r>
      <w:r w:rsidRPr="00215B2F">
        <w:rPr>
          <w:rFonts w:ascii="Arial" w:eastAsia="Arial" w:hAnsi="Arial" w:cs="Arial"/>
          <w:sz w:val="20"/>
          <w:szCs w:val="20"/>
        </w:rPr>
        <w:t xml:space="preserve"> pridobitelj</w:t>
      </w:r>
      <w:r w:rsidR="00BB4AD0" w:rsidRPr="00215B2F">
        <w:rPr>
          <w:rFonts w:ascii="Arial" w:eastAsia="Arial" w:hAnsi="Arial" w:cs="Arial"/>
          <w:sz w:val="20"/>
          <w:szCs w:val="20"/>
        </w:rPr>
        <w:t>em</w:t>
      </w:r>
      <w:r w:rsidRPr="00215B2F">
        <w:rPr>
          <w:rFonts w:ascii="Arial" w:eastAsia="Arial" w:hAnsi="Arial" w:cs="Arial"/>
          <w:sz w:val="20"/>
          <w:szCs w:val="20"/>
        </w:rPr>
        <w:t xml:space="preserve"> v skladu z Direktivo 2015/849/EU v drugi državi članici, ki ga je prejela v 30 dneh od začetka ocenjevalnega obdobja. </w:t>
      </w:r>
    </w:p>
    <w:p w14:paraId="0B06456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AA07C06" w14:textId="16E90CB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w:t>
      </w:r>
      <w:r w:rsidR="00A90A3B" w:rsidRPr="00215B2F">
        <w:rPr>
          <w:rFonts w:ascii="Arial" w:eastAsia="Arial" w:hAnsi="Arial" w:cs="Arial"/>
          <w:sz w:val="20"/>
          <w:szCs w:val="20"/>
        </w:rPr>
        <w:t>Negativne informacije ali n</w:t>
      </w:r>
      <w:r w:rsidRPr="00215B2F">
        <w:rPr>
          <w:rFonts w:ascii="Arial" w:eastAsia="Arial" w:hAnsi="Arial" w:cs="Arial"/>
          <w:sz w:val="20"/>
          <w:szCs w:val="20"/>
        </w:rPr>
        <w:t>egativno mnenje iz</w:t>
      </w:r>
      <w:r w:rsidR="00A90A3B" w:rsidRPr="00215B2F">
        <w:rPr>
          <w:rFonts w:ascii="Arial" w:eastAsia="Arial" w:hAnsi="Arial" w:cs="Arial"/>
          <w:sz w:val="20"/>
          <w:szCs w:val="20"/>
        </w:rPr>
        <w:t xml:space="preserve"> </w:t>
      </w:r>
      <w:r w:rsidRPr="00215B2F">
        <w:rPr>
          <w:rFonts w:ascii="Arial" w:eastAsia="Arial" w:hAnsi="Arial" w:cs="Arial"/>
          <w:sz w:val="20"/>
          <w:szCs w:val="20"/>
        </w:rPr>
        <w:t xml:space="preserve">tega odstavka </w:t>
      </w:r>
      <w:r w:rsidR="00BB4AD0" w:rsidRPr="00215B2F">
        <w:rPr>
          <w:rFonts w:ascii="Arial" w:eastAsia="Arial" w:hAnsi="Arial" w:cs="Arial"/>
          <w:sz w:val="20"/>
          <w:szCs w:val="20"/>
        </w:rPr>
        <w:t xml:space="preserve">je </w:t>
      </w:r>
      <w:r w:rsidRPr="00215B2F">
        <w:rPr>
          <w:rFonts w:ascii="Arial" w:eastAsia="Arial" w:hAnsi="Arial" w:cs="Arial"/>
          <w:sz w:val="20"/>
          <w:szCs w:val="20"/>
        </w:rPr>
        <w:t>lahko utemeljen</w:t>
      </w:r>
      <w:r w:rsidR="00BB4AD0" w:rsidRPr="00215B2F">
        <w:rPr>
          <w:rFonts w:ascii="Arial" w:eastAsia="Arial" w:hAnsi="Arial" w:cs="Arial"/>
          <w:sz w:val="20"/>
          <w:szCs w:val="20"/>
        </w:rPr>
        <w:t>i</w:t>
      </w:r>
      <w:r w:rsidRPr="00215B2F">
        <w:rPr>
          <w:rFonts w:ascii="Arial" w:eastAsia="Arial" w:hAnsi="Arial" w:cs="Arial"/>
          <w:sz w:val="20"/>
          <w:szCs w:val="20"/>
        </w:rPr>
        <w:t xml:space="preserve"> razlog za negativno mnenje Banke Slovenije o nameravani pridobitvi.</w:t>
      </w:r>
    </w:p>
    <w:p w14:paraId="5EDA9CF9"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49C2A73B" w14:textId="3B203D4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ne sme presojati ustreznosti pridobitve pomembnega deleža z vidika gospodarskih potreb trga.</w:t>
      </w:r>
    </w:p>
    <w:p w14:paraId="06AD22E4"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4B964CFD" w14:textId="0734AF4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Če Banka Slovenije hkrati obravnava dve ali več zahtev za pridobitev pomembnega deleža v istem subjektu, mora vse nameravane pridobitelje obravnavati nediskriminatorno.</w:t>
      </w:r>
    </w:p>
    <w:p w14:paraId="6014557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7204C2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16" w:name="_Ref202965463"/>
      <w:r w:rsidRPr="00215B2F">
        <w:rPr>
          <w:rFonts w:ascii="Arial" w:eastAsia="Arial" w:hAnsi="Arial" w:cs="Arial"/>
          <w:b/>
          <w:bCs/>
          <w:sz w:val="20"/>
          <w:szCs w:val="20"/>
        </w:rPr>
        <w:t>člen</w:t>
      </w:r>
      <w:bookmarkEnd w:id="316"/>
    </w:p>
    <w:p w14:paraId="48CA2E92" w14:textId="77777777" w:rsidR="00D91782" w:rsidRPr="00215B2F" w:rsidRDefault="00D91782" w:rsidP="00FD5520">
      <w:pPr>
        <w:pStyle w:val="Slog1"/>
        <w:shd w:val="clear" w:color="auto" w:fill="FFFFFF" w:themeFill="background1"/>
        <w:rPr>
          <w:sz w:val="20"/>
          <w:szCs w:val="20"/>
        </w:rPr>
      </w:pPr>
      <w:r w:rsidRPr="00215B2F">
        <w:rPr>
          <w:sz w:val="20"/>
          <w:szCs w:val="20"/>
        </w:rPr>
        <w:t>(razlogi za nasprotovanje pridobitvi pomembnega deleža)</w:t>
      </w:r>
    </w:p>
    <w:p w14:paraId="0F6978F9" w14:textId="77777777" w:rsidR="00D91782" w:rsidRPr="00215B2F" w:rsidRDefault="00D91782" w:rsidP="00FD5520">
      <w:pPr>
        <w:pStyle w:val="Slog1"/>
        <w:shd w:val="clear" w:color="auto" w:fill="FFFFFF" w:themeFill="background1"/>
        <w:jc w:val="both"/>
        <w:rPr>
          <w:sz w:val="20"/>
          <w:szCs w:val="20"/>
        </w:rPr>
      </w:pPr>
    </w:p>
    <w:p w14:paraId="5C52AB7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Slovenije nasprotuje nameravani pridobitvi pomembnega deleža (odločitev o nasprotovanju), če:</w:t>
      </w:r>
    </w:p>
    <w:p w14:paraId="5FE8CA7D"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4E8B9C7B" w14:textId="58DB2263" w:rsidR="00AD740A" w:rsidRPr="00215B2F" w:rsidRDefault="00D91782" w:rsidP="003D4DE0">
      <w:pPr>
        <w:pStyle w:val="tevilnatoka"/>
        <w:numPr>
          <w:ilvl w:val="0"/>
          <w:numId w:val="176"/>
        </w:numPr>
        <w:shd w:val="clear" w:color="auto" w:fill="FFFFFF" w:themeFill="background1"/>
        <w:tabs>
          <w:tab w:val="clear" w:pos="425"/>
        </w:tabs>
        <w:rPr>
          <w:rFonts w:cs="Arial"/>
          <w:bCs/>
          <w:sz w:val="20"/>
          <w:szCs w:val="20"/>
        </w:rPr>
      </w:pPr>
      <w:r w:rsidRPr="00215B2F">
        <w:rPr>
          <w:rFonts w:eastAsia="Arial" w:cs="Arial"/>
          <w:sz w:val="20"/>
          <w:szCs w:val="20"/>
        </w:rPr>
        <w:t xml:space="preserve">nameravani pridobitelj ne izpolnjuje meril iz </w:t>
      </w:r>
      <w:r w:rsidR="00186CB6" w:rsidRPr="00215B2F">
        <w:rPr>
          <w:rFonts w:eastAsia="Arial" w:cs="Arial"/>
          <w:sz w:val="20"/>
          <w:szCs w:val="20"/>
        </w:rPr>
        <w:t>prejšnjega</w:t>
      </w:r>
      <w:r w:rsidRPr="00215B2F">
        <w:rPr>
          <w:rFonts w:eastAsia="Arial" w:cs="Arial"/>
          <w:sz w:val="20"/>
          <w:szCs w:val="20"/>
        </w:rPr>
        <w:t> </w:t>
      </w:r>
      <w:r w:rsidR="001F2C7A" w:rsidRPr="00215B2F">
        <w:rPr>
          <w:rFonts w:eastAsia="Arial" w:cs="Arial"/>
          <w:sz w:val="20"/>
          <w:szCs w:val="20"/>
        </w:rPr>
        <w:t>člena</w:t>
      </w:r>
      <w:r w:rsidRPr="00215B2F">
        <w:rPr>
          <w:rFonts w:eastAsia="Arial" w:cs="Arial"/>
          <w:sz w:val="20"/>
          <w:szCs w:val="20"/>
        </w:rPr>
        <w:t>;</w:t>
      </w:r>
    </w:p>
    <w:p w14:paraId="7D110DE4" w14:textId="60C70805" w:rsidR="00D91782" w:rsidRPr="00215B2F" w:rsidRDefault="00D91782" w:rsidP="003D4DE0">
      <w:pPr>
        <w:pStyle w:val="tevilnatoka"/>
        <w:numPr>
          <w:ilvl w:val="0"/>
          <w:numId w:val="176"/>
        </w:numPr>
        <w:shd w:val="clear" w:color="auto" w:fill="FFFFFF" w:themeFill="background1"/>
        <w:tabs>
          <w:tab w:val="clear" w:pos="425"/>
        </w:tabs>
        <w:rPr>
          <w:rFonts w:cs="Arial"/>
          <w:bCs/>
          <w:sz w:val="20"/>
          <w:szCs w:val="20"/>
        </w:rPr>
      </w:pPr>
      <w:r w:rsidRPr="00215B2F">
        <w:rPr>
          <w:rFonts w:eastAsia="Arial" w:cs="Arial"/>
          <w:sz w:val="20"/>
          <w:szCs w:val="20"/>
        </w:rPr>
        <w:t xml:space="preserve">nameravani pridobitelj v roku, ki ga v skladu s tem zakonom določi Banka Slovenije, ne predloži vse dokumentacije in informacij, potrebnih za oceno ustreznosti. </w:t>
      </w:r>
    </w:p>
    <w:p w14:paraId="124ED93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5F0EB46"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17" w:name="_Ref202965468"/>
      <w:r w:rsidRPr="00215B2F">
        <w:rPr>
          <w:rFonts w:ascii="Arial" w:eastAsia="Arial" w:hAnsi="Arial" w:cs="Arial"/>
          <w:b/>
          <w:bCs/>
          <w:sz w:val="20"/>
          <w:szCs w:val="20"/>
        </w:rPr>
        <w:t>člen</w:t>
      </w:r>
      <w:bookmarkEnd w:id="317"/>
    </w:p>
    <w:p w14:paraId="39CF3C99" w14:textId="77777777" w:rsidR="00D91782" w:rsidRPr="00215B2F" w:rsidRDefault="00D91782" w:rsidP="00FD5520">
      <w:pPr>
        <w:pStyle w:val="Slog1"/>
        <w:shd w:val="clear" w:color="auto" w:fill="FFFFFF" w:themeFill="background1"/>
        <w:rPr>
          <w:sz w:val="20"/>
          <w:szCs w:val="20"/>
        </w:rPr>
      </w:pPr>
      <w:r w:rsidRPr="00215B2F">
        <w:rPr>
          <w:sz w:val="20"/>
          <w:szCs w:val="20"/>
        </w:rPr>
        <w:t>(odločitev o oceni ustreznosti pridobitve pomembnega deleža)</w:t>
      </w:r>
    </w:p>
    <w:p w14:paraId="5E549C09" w14:textId="77777777" w:rsidR="00D91782" w:rsidRPr="00215B2F" w:rsidRDefault="00D91782" w:rsidP="00FD5520">
      <w:pPr>
        <w:pStyle w:val="Slog1"/>
        <w:shd w:val="clear" w:color="auto" w:fill="FFFFFF" w:themeFill="background1"/>
        <w:jc w:val="both"/>
        <w:rPr>
          <w:sz w:val="20"/>
          <w:szCs w:val="20"/>
        </w:rPr>
      </w:pPr>
    </w:p>
    <w:p w14:paraId="6EF2F908" w14:textId="4EBAFA4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Odločitev o oceni ustreznosti pridobitve pomembnega deleža se izda kot odločitev o nenasprotovanju ali odločitev o nasprotovanju.</w:t>
      </w:r>
    </w:p>
    <w:p w14:paraId="40B2ED7D"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7A489A18" w14:textId="69C3070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V primeru nasprotovanja Banka Slovenije v dveh delovnih dneh po opravljeni oceni</w:t>
      </w:r>
      <w:r w:rsidR="006B0B0E" w:rsidRPr="00215B2F">
        <w:rPr>
          <w:rFonts w:ascii="Arial" w:eastAsia="Arial" w:hAnsi="Arial" w:cs="Arial"/>
          <w:sz w:val="20"/>
          <w:szCs w:val="20"/>
        </w:rPr>
        <w:t>tvi</w:t>
      </w:r>
      <w:r w:rsidRPr="00215B2F">
        <w:rPr>
          <w:rFonts w:ascii="Arial" w:eastAsia="Arial" w:hAnsi="Arial" w:cs="Arial"/>
          <w:sz w:val="20"/>
          <w:szCs w:val="20"/>
        </w:rPr>
        <w:t xml:space="preserve"> ustreznosti in pred iztekom ocenjevalnega obdobja iz </w:t>
      </w:r>
      <w:r w:rsidR="00C96E2E" w:rsidRPr="00215B2F">
        <w:rPr>
          <w:rFonts w:ascii="Arial" w:eastAsia="Arial" w:hAnsi="Arial" w:cs="Arial"/>
          <w:sz w:val="20"/>
          <w:szCs w:val="20"/>
        </w:rPr>
        <w:t>260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nameravanemu pridobitelju izda in </w:t>
      </w:r>
      <w:r w:rsidR="00C060A6" w:rsidRPr="00215B2F">
        <w:rPr>
          <w:rFonts w:ascii="Arial" w:eastAsia="Arial" w:hAnsi="Arial" w:cs="Arial"/>
          <w:sz w:val="20"/>
          <w:szCs w:val="20"/>
        </w:rPr>
        <w:t xml:space="preserve">odpošlje </w:t>
      </w:r>
      <w:r w:rsidRPr="00215B2F">
        <w:rPr>
          <w:rFonts w:ascii="Arial" w:eastAsia="Arial" w:hAnsi="Arial" w:cs="Arial"/>
          <w:sz w:val="20"/>
          <w:szCs w:val="20"/>
        </w:rPr>
        <w:t xml:space="preserve">pisni odpravek odločitve o nasprotovanju, ki vključuje tudi utemeljitev razlogov za nasprotovanje. </w:t>
      </w:r>
    </w:p>
    <w:p w14:paraId="3082E709"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4E4C8407" w14:textId="7FE2AEA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Banka Slovenije do poteka roka iz prvega odstavka </w:t>
      </w:r>
      <w:r w:rsidR="00C96E2E" w:rsidRPr="00215B2F">
        <w:rPr>
          <w:rFonts w:ascii="Arial" w:eastAsia="Arial" w:hAnsi="Arial" w:cs="Arial"/>
          <w:sz w:val="20"/>
          <w:szCs w:val="20"/>
        </w:rPr>
        <w:t>260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ob upoštevanju morebitnega zadržanja ali podaljšanja v skladu s tretjim, četrtim, petim, sedmim ali osmim odstavkom </w:t>
      </w:r>
      <w:r w:rsidR="00C96E2E" w:rsidRPr="00215B2F">
        <w:rPr>
          <w:rFonts w:ascii="Arial" w:eastAsia="Arial" w:hAnsi="Arial" w:cs="Arial"/>
          <w:sz w:val="20"/>
          <w:szCs w:val="20"/>
        </w:rPr>
        <w:t>260</w:t>
      </w:r>
      <w:r w:rsidRPr="00215B2F">
        <w:rPr>
          <w:rFonts w:ascii="Arial" w:eastAsia="Arial" w:hAnsi="Arial" w:cs="Arial"/>
          <w:sz w:val="20"/>
          <w:szCs w:val="20"/>
        </w:rPr>
        <w:t>. člena</w:t>
      </w:r>
      <w:r w:rsidR="005A6EA0" w:rsidRPr="00215B2F">
        <w:rPr>
          <w:rFonts w:ascii="Arial" w:eastAsia="Arial" w:hAnsi="Arial" w:cs="Arial"/>
          <w:sz w:val="20"/>
          <w:szCs w:val="20"/>
        </w:rPr>
        <w:t xml:space="preserve"> tega zakona</w:t>
      </w:r>
      <w:r w:rsidRPr="00215B2F">
        <w:rPr>
          <w:rFonts w:ascii="Arial" w:eastAsia="Arial" w:hAnsi="Arial" w:cs="Arial"/>
          <w:sz w:val="20"/>
          <w:szCs w:val="20"/>
        </w:rPr>
        <w:t xml:space="preserve"> ne izda pisnega odpravka odločitve o oceni ustreznosti, se šteje, da je z dnem, s katerim poteče ta rok, vložniku izdana odločitev o nenasprotovanju. </w:t>
      </w:r>
    </w:p>
    <w:p w14:paraId="6F95DA14"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6871DD61" w14:textId="508D2C9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Kadar se nameravana pridobitev pomembnega deleža izvede med subjekti iste skupine, k</w:t>
      </w:r>
      <w:r w:rsidR="006B0B0E" w:rsidRPr="00215B2F">
        <w:rPr>
          <w:rFonts w:ascii="Arial" w:eastAsia="Arial" w:hAnsi="Arial" w:cs="Arial"/>
          <w:sz w:val="20"/>
          <w:szCs w:val="20"/>
        </w:rPr>
        <w:t>akor</w:t>
      </w:r>
      <w:r w:rsidRPr="00215B2F">
        <w:rPr>
          <w:rFonts w:ascii="Arial" w:eastAsia="Arial" w:hAnsi="Arial" w:cs="Arial"/>
          <w:sz w:val="20"/>
          <w:szCs w:val="20"/>
        </w:rPr>
        <w:t xml:space="preserve"> je navedeno v šestem odstavku 113. člena Uredbe 575/2013/EU</w:t>
      </w:r>
      <w:r w:rsidR="006B0B0E" w:rsidRPr="00215B2F">
        <w:rPr>
          <w:rFonts w:ascii="Arial" w:eastAsia="Arial" w:hAnsi="Arial" w:cs="Arial"/>
          <w:sz w:val="20"/>
          <w:szCs w:val="20"/>
        </w:rPr>
        <w:t>,</w:t>
      </w:r>
      <w:r w:rsidRPr="00215B2F">
        <w:rPr>
          <w:rFonts w:ascii="Arial" w:eastAsia="Arial" w:hAnsi="Arial" w:cs="Arial"/>
          <w:sz w:val="20"/>
          <w:szCs w:val="20"/>
        </w:rPr>
        <w:t xml:space="preserve"> ali med subjekti iste institucionalne sheme za zaščito vlog, k</w:t>
      </w:r>
      <w:r w:rsidR="006B0B0E" w:rsidRPr="00215B2F">
        <w:rPr>
          <w:rFonts w:ascii="Arial" w:eastAsia="Arial" w:hAnsi="Arial" w:cs="Arial"/>
          <w:sz w:val="20"/>
          <w:szCs w:val="20"/>
        </w:rPr>
        <w:t>akor</w:t>
      </w:r>
      <w:r w:rsidRPr="00215B2F">
        <w:rPr>
          <w:rFonts w:ascii="Arial" w:eastAsia="Arial" w:hAnsi="Arial" w:cs="Arial"/>
          <w:sz w:val="20"/>
          <w:szCs w:val="20"/>
        </w:rPr>
        <w:t xml:space="preserve"> je navedeno v sedmem odstavku 113. člena Uredbe 575/2013/EU, lahko Banka Slovenije s sklepom odloči, da ne bo opravila ocene ustreznosti pomembnega deleža. Banka Slovenije o tem pred iztekom ocenjevalnega obdobja obvesti nameravanega pridobitelja. </w:t>
      </w:r>
    </w:p>
    <w:p w14:paraId="7346AE1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991E97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18" w:name="_Ref202965474"/>
      <w:r w:rsidRPr="00215B2F">
        <w:rPr>
          <w:rFonts w:ascii="Arial" w:eastAsia="Arial" w:hAnsi="Arial" w:cs="Arial"/>
          <w:b/>
          <w:bCs/>
          <w:sz w:val="20"/>
          <w:szCs w:val="20"/>
        </w:rPr>
        <w:t>člen</w:t>
      </w:r>
      <w:bookmarkEnd w:id="318"/>
    </w:p>
    <w:p w14:paraId="6A898D69" w14:textId="77777777" w:rsidR="00D91782" w:rsidRPr="00215B2F" w:rsidRDefault="00D91782" w:rsidP="00FD5520">
      <w:pPr>
        <w:pStyle w:val="Slog1"/>
        <w:shd w:val="clear" w:color="auto" w:fill="FFFFFF" w:themeFill="background1"/>
        <w:rPr>
          <w:sz w:val="20"/>
          <w:szCs w:val="20"/>
        </w:rPr>
      </w:pPr>
      <w:r w:rsidRPr="00215B2F">
        <w:rPr>
          <w:sz w:val="20"/>
          <w:szCs w:val="20"/>
        </w:rPr>
        <w:t>(rok za pridobitev pomembnega deleža)</w:t>
      </w:r>
    </w:p>
    <w:p w14:paraId="3A02D7D3" w14:textId="77777777" w:rsidR="00D91782" w:rsidRPr="00215B2F" w:rsidRDefault="00D91782" w:rsidP="00FD5520">
      <w:pPr>
        <w:pStyle w:val="Slog1"/>
        <w:shd w:val="clear" w:color="auto" w:fill="FFFFFF" w:themeFill="background1"/>
        <w:jc w:val="both"/>
        <w:rPr>
          <w:sz w:val="20"/>
          <w:szCs w:val="20"/>
        </w:rPr>
      </w:pPr>
    </w:p>
    <w:p w14:paraId="1A1E9BF6" w14:textId="79F19A4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lahko v odločitvi o nenasprotovanju določi skrajni rok za izvedbo nameravane pridobitve, za katero je izdana odločitev </w:t>
      </w:r>
      <w:r w:rsidR="00186CB6" w:rsidRPr="00215B2F">
        <w:rPr>
          <w:rFonts w:ascii="Arial" w:eastAsia="Arial" w:hAnsi="Arial" w:cs="Arial"/>
          <w:sz w:val="20"/>
          <w:szCs w:val="20"/>
        </w:rPr>
        <w:t xml:space="preserve">o </w:t>
      </w:r>
      <w:r w:rsidRPr="00215B2F">
        <w:rPr>
          <w:rFonts w:ascii="Arial" w:eastAsia="Arial" w:hAnsi="Arial" w:cs="Arial"/>
          <w:sz w:val="20"/>
          <w:szCs w:val="20"/>
        </w:rPr>
        <w:t xml:space="preserve">nenasprotovanju. </w:t>
      </w:r>
    </w:p>
    <w:p w14:paraId="50095C4C"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2351EBD5" w14:textId="7EFF976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Na podlagi obrazložene zahteve nameravanega pridobitelja se lahko rok iz prejšnjega odstavka podaljša za največ šest mesecev. Zahteva za podaljšanje roka mora biti vložena najmanj dva meseca pred potekom roka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1C7AA663"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18D11E73" w14:textId="587F089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Če nameravani pridobitelj ne izvede nameravane pridobitve v postavljenem roku, odločitev o nenasprotovanju preneha veljati.</w:t>
      </w:r>
    </w:p>
    <w:p w14:paraId="2989F3FA"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2C617B4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19" w:name="_Ref202965479"/>
      <w:r w:rsidRPr="00215B2F">
        <w:rPr>
          <w:rFonts w:ascii="Arial" w:eastAsia="Arial" w:hAnsi="Arial" w:cs="Arial"/>
          <w:b/>
          <w:bCs/>
          <w:sz w:val="20"/>
          <w:szCs w:val="20"/>
        </w:rPr>
        <w:t>člen</w:t>
      </w:r>
      <w:bookmarkEnd w:id="319"/>
    </w:p>
    <w:p w14:paraId="6D44A100" w14:textId="77777777" w:rsidR="00D91782" w:rsidRPr="00215B2F" w:rsidRDefault="00D91782" w:rsidP="00FD5520">
      <w:pPr>
        <w:pStyle w:val="Slog1"/>
        <w:shd w:val="clear" w:color="auto" w:fill="FFFFFF" w:themeFill="background1"/>
        <w:rPr>
          <w:sz w:val="20"/>
          <w:szCs w:val="20"/>
        </w:rPr>
      </w:pPr>
      <w:r w:rsidRPr="00215B2F">
        <w:rPr>
          <w:sz w:val="20"/>
          <w:szCs w:val="20"/>
        </w:rPr>
        <w:t>(obvestila v zvezi z odsvojitvijo pomembnega deleža)</w:t>
      </w:r>
    </w:p>
    <w:p w14:paraId="7CE17D0D" w14:textId="77777777" w:rsidR="00D91782" w:rsidRPr="00215B2F" w:rsidRDefault="00D91782" w:rsidP="00FD5520">
      <w:pPr>
        <w:pStyle w:val="Slog1"/>
        <w:shd w:val="clear" w:color="auto" w:fill="FFFFFF" w:themeFill="background1"/>
        <w:jc w:val="both"/>
        <w:rPr>
          <w:sz w:val="20"/>
          <w:szCs w:val="20"/>
        </w:rPr>
      </w:pPr>
    </w:p>
    <w:p w14:paraId="718745E5" w14:textId="2E614FD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pisno obvesti Banko Slovenije o svoji nameri, da bo neposredno ali posredno odsvojila pomembn</w:t>
      </w:r>
      <w:r w:rsidR="006B0B0E" w:rsidRPr="00215B2F">
        <w:rPr>
          <w:rFonts w:ascii="Arial" w:eastAsia="Arial" w:hAnsi="Arial" w:cs="Arial"/>
          <w:sz w:val="20"/>
          <w:szCs w:val="20"/>
        </w:rPr>
        <w:t>i</w:t>
      </w:r>
      <w:r w:rsidRPr="00215B2F">
        <w:rPr>
          <w:rFonts w:ascii="Arial" w:eastAsia="Arial" w:hAnsi="Arial" w:cs="Arial"/>
          <w:sz w:val="20"/>
          <w:szCs w:val="20"/>
        </w:rPr>
        <w:t xml:space="preserve"> delež, k</w:t>
      </w:r>
      <w:r w:rsidR="00EB484E" w:rsidRPr="00215B2F">
        <w:rPr>
          <w:rFonts w:ascii="Arial" w:eastAsia="Arial" w:hAnsi="Arial" w:cs="Arial"/>
          <w:sz w:val="20"/>
          <w:szCs w:val="20"/>
        </w:rPr>
        <w:t>akor</w:t>
      </w:r>
      <w:r w:rsidRPr="00215B2F">
        <w:rPr>
          <w:rFonts w:ascii="Arial" w:eastAsia="Arial" w:hAnsi="Arial" w:cs="Arial"/>
          <w:sz w:val="20"/>
          <w:szCs w:val="20"/>
        </w:rPr>
        <w:t xml:space="preserve"> je opredeljen v drugem odstavku </w:t>
      </w:r>
      <w:r w:rsidR="00C96E2E" w:rsidRPr="00215B2F">
        <w:rPr>
          <w:rFonts w:ascii="Arial" w:eastAsia="Arial" w:hAnsi="Arial" w:cs="Arial"/>
          <w:sz w:val="20"/>
          <w:szCs w:val="20"/>
        </w:rPr>
        <w:t>258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p>
    <w:p w14:paraId="70D5E354"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6D914ADD" w14:textId="386E6B1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Finančni holding ali mešani finančni holding, ki je pridobil odobritev iz </w:t>
      </w:r>
      <w:r w:rsidR="00C96E2E"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predhodno pisno obvesti konsolidacijskega nadzornika o svoji nameri, da bo neposredno ali posredno odsvojil pomembn</w:t>
      </w:r>
      <w:r w:rsidR="006B0B0E" w:rsidRPr="00215B2F">
        <w:rPr>
          <w:rFonts w:ascii="Arial" w:eastAsia="Arial" w:hAnsi="Arial" w:cs="Arial"/>
          <w:sz w:val="20"/>
          <w:szCs w:val="20"/>
        </w:rPr>
        <w:t>i</w:t>
      </w:r>
      <w:r w:rsidRPr="00215B2F">
        <w:rPr>
          <w:rFonts w:ascii="Arial" w:eastAsia="Arial" w:hAnsi="Arial" w:cs="Arial"/>
          <w:sz w:val="20"/>
          <w:szCs w:val="20"/>
        </w:rPr>
        <w:t xml:space="preserve"> delež, k</w:t>
      </w:r>
      <w:r w:rsidR="00EB484E" w:rsidRPr="00215B2F">
        <w:rPr>
          <w:rFonts w:ascii="Arial" w:eastAsia="Arial" w:hAnsi="Arial" w:cs="Arial"/>
          <w:sz w:val="20"/>
          <w:szCs w:val="20"/>
        </w:rPr>
        <w:t>akor</w:t>
      </w:r>
      <w:r w:rsidRPr="00215B2F">
        <w:rPr>
          <w:rFonts w:ascii="Arial" w:eastAsia="Arial" w:hAnsi="Arial" w:cs="Arial"/>
          <w:sz w:val="20"/>
          <w:szCs w:val="20"/>
        </w:rPr>
        <w:t xml:space="preserve"> je opredeljen v drugem odstavku </w:t>
      </w:r>
      <w:r w:rsidR="00C96E2E" w:rsidRPr="00215B2F">
        <w:rPr>
          <w:rFonts w:ascii="Arial" w:eastAsia="Arial" w:hAnsi="Arial" w:cs="Arial"/>
          <w:sz w:val="20"/>
          <w:szCs w:val="20"/>
        </w:rPr>
        <w:t>258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p>
    <w:p w14:paraId="040CCC7C"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79F1F70B" w14:textId="400FABB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Obvestilo vključuje tudi velikost nameravane odsvojitve pomembnega deleža</w:t>
      </w:r>
      <w:r w:rsidR="006B0B0E" w:rsidRPr="00215B2F">
        <w:rPr>
          <w:rFonts w:ascii="Arial" w:eastAsia="Arial" w:hAnsi="Arial" w:cs="Arial"/>
          <w:sz w:val="20"/>
          <w:szCs w:val="20"/>
        </w:rPr>
        <w:t>,</w:t>
      </w:r>
      <w:r w:rsidRPr="00215B2F">
        <w:rPr>
          <w:rFonts w:ascii="Arial" w:eastAsia="Arial" w:hAnsi="Arial" w:cs="Arial"/>
          <w:sz w:val="20"/>
          <w:szCs w:val="20"/>
        </w:rPr>
        <w:t xml:space="preserve"> in sicer znesek in njegov delež glede na sprejemljivi kapital nameravanega pridobitelja.</w:t>
      </w:r>
    </w:p>
    <w:p w14:paraId="46D0F9BE"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A09B64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20" w:name="_Ref202965483"/>
      <w:r w:rsidRPr="00215B2F">
        <w:rPr>
          <w:rFonts w:ascii="Arial" w:eastAsia="Arial" w:hAnsi="Arial" w:cs="Arial"/>
          <w:b/>
          <w:bCs/>
          <w:sz w:val="20"/>
          <w:szCs w:val="20"/>
        </w:rPr>
        <w:t>člen</w:t>
      </w:r>
      <w:bookmarkEnd w:id="320"/>
    </w:p>
    <w:p w14:paraId="74506E16" w14:textId="77777777" w:rsidR="00D91782" w:rsidRPr="00215B2F" w:rsidRDefault="00D91782" w:rsidP="00FD5520">
      <w:pPr>
        <w:pStyle w:val="Slog1"/>
        <w:shd w:val="clear" w:color="auto" w:fill="FFFFFF" w:themeFill="background1"/>
        <w:rPr>
          <w:sz w:val="20"/>
          <w:szCs w:val="20"/>
        </w:rPr>
      </w:pPr>
      <w:r w:rsidRPr="00215B2F">
        <w:rPr>
          <w:sz w:val="20"/>
          <w:szCs w:val="20"/>
        </w:rPr>
        <w:t>(podzakonski predpisi o pomembnih deležih)</w:t>
      </w:r>
    </w:p>
    <w:p w14:paraId="4C9C2B44" w14:textId="77777777" w:rsidR="00D91782" w:rsidRPr="00215B2F" w:rsidRDefault="00D91782" w:rsidP="00FD5520">
      <w:pPr>
        <w:pStyle w:val="Slog1"/>
        <w:shd w:val="clear" w:color="auto" w:fill="FFFFFF" w:themeFill="background1"/>
        <w:jc w:val="both"/>
        <w:rPr>
          <w:sz w:val="20"/>
          <w:szCs w:val="20"/>
        </w:rPr>
      </w:pPr>
    </w:p>
    <w:p w14:paraId="1E34B17D" w14:textId="56218454" w:rsidR="00D91782" w:rsidRPr="00215B2F" w:rsidRDefault="00802480"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w:t>
      </w:r>
      <w:r w:rsidR="00D91782" w:rsidRPr="00215B2F">
        <w:rPr>
          <w:rFonts w:ascii="Arial" w:eastAsia="Arial" w:hAnsi="Arial" w:cs="Arial"/>
          <w:sz w:val="20"/>
          <w:szCs w:val="20"/>
        </w:rPr>
        <w:t>Banka Slovenije predpiše:</w:t>
      </w:r>
    </w:p>
    <w:p w14:paraId="20B1725E"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4FF6A119" w14:textId="18428943" w:rsidR="00AD740A" w:rsidRPr="00215B2F" w:rsidRDefault="00D91782" w:rsidP="00543D80">
      <w:pPr>
        <w:pStyle w:val="Odstavekseznama"/>
        <w:numPr>
          <w:ilvl w:val="3"/>
          <w:numId w:val="1"/>
        </w:numPr>
        <w:shd w:val="clear" w:color="auto" w:fill="FFFFFF" w:themeFill="background1"/>
        <w:spacing w:after="0" w:line="240" w:lineRule="auto"/>
        <w:ind w:left="357" w:hanging="357"/>
        <w:jc w:val="both"/>
        <w:rPr>
          <w:rFonts w:ascii="Arial" w:hAnsi="Arial" w:cs="Arial"/>
          <w:sz w:val="20"/>
          <w:szCs w:val="20"/>
        </w:rPr>
      </w:pPr>
      <w:r w:rsidRPr="00215B2F">
        <w:rPr>
          <w:rFonts w:ascii="Arial" w:eastAsia="Arial" w:hAnsi="Arial" w:cs="Arial"/>
          <w:sz w:val="20"/>
          <w:szCs w:val="20"/>
        </w:rPr>
        <w:t xml:space="preserve">seznam dokumentacije in informacij, ki jih nameravani pridobitelj priloži zahtevi za oceno ustreznosti v skladu s prvim odstavkom </w:t>
      </w:r>
      <w:r w:rsidR="00C96E2E" w:rsidRPr="00215B2F">
        <w:rPr>
          <w:rFonts w:ascii="Arial" w:eastAsia="Arial" w:hAnsi="Arial" w:cs="Arial"/>
          <w:sz w:val="20"/>
          <w:szCs w:val="20"/>
        </w:rPr>
        <w:t>259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00AD740A" w:rsidRPr="00215B2F">
        <w:rPr>
          <w:rFonts w:ascii="Arial" w:eastAsia="Arial" w:hAnsi="Arial" w:cs="Arial"/>
          <w:sz w:val="20"/>
          <w:szCs w:val="20"/>
        </w:rPr>
        <w:t>;</w:t>
      </w:r>
    </w:p>
    <w:p w14:paraId="00798791" w14:textId="6B884773" w:rsidR="00AD740A" w:rsidRPr="00215B2F" w:rsidRDefault="00D91782" w:rsidP="00543D80">
      <w:pPr>
        <w:pStyle w:val="Odstavekseznama"/>
        <w:numPr>
          <w:ilvl w:val="3"/>
          <w:numId w:val="1"/>
        </w:numPr>
        <w:shd w:val="clear" w:color="auto" w:fill="FFFFFF" w:themeFill="background1"/>
        <w:spacing w:after="0" w:line="240" w:lineRule="auto"/>
        <w:ind w:left="357" w:hanging="357"/>
        <w:jc w:val="both"/>
        <w:rPr>
          <w:rFonts w:ascii="Arial" w:hAnsi="Arial" w:cs="Arial"/>
          <w:sz w:val="20"/>
          <w:szCs w:val="20"/>
        </w:rPr>
      </w:pPr>
      <w:r w:rsidRPr="00215B2F">
        <w:rPr>
          <w:rFonts w:ascii="Arial" w:eastAsia="Arial" w:hAnsi="Arial" w:cs="Arial"/>
          <w:sz w:val="20"/>
          <w:szCs w:val="20"/>
        </w:rPr>
        <w:t>podrobnejšo vsebino meril za presojo ustreznosti pomembnega deleža;</w:t>
      </w:r>
    </w:p>
    <w:p w14:paraId="30D358CF" w14:textId="1A9D774A" w:rsidR="00D91782" w:rsidRPr="00215B2F" w:rsidRDefault="00D91782" w:rsidP="00543D80">
      <w:pPr>
        <w:pStyle w:val="Odstavekseznama"/>
        <w:numPr>
          <w:ilvl w:val="3"/>
          <w:numId w:val="1"/>
        </w:numPr>
        <w:shd w:val="clear" w:color="auto" w:fill="FFFFFF" w:themeFill="background1"/>
        <w:spacing w:after="0" w:line="240" w:lineRule="auto"/>
        <w:ind w:left="357" w:hanging="357"/>
        <w:jc w:val="both"/>
        <w:rPr>
          <w:rFonts w:ascii="Arial" w:hAnsi="Arial" w:cs="Arial"/>
          <w:sz w:val="20"/>
          <w:szCs w:val="20"/>
        </w:rPr>
      </w:pPr>
      <w:r w:rsidRPr="00215B2F">
        <w:rPr>
          <w:rFonts w:ascii="Arial" w:eastAsia="Arial" w:hAnsi="Arial" w:cs="Arial"/>
          <w:sz w:val="20"/>
          <w:szCs w:val="20"/>
        </w:rPr>
        <w:t>podrobnejšo vsebino in način pošiljanja obvestil iz tega podpoglavja.</w:t>
      </w:r>
    </w:p>
    <w:p w14:paraId="7EB88097"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5A0412B5" w14:textId="7F0FFA25" w:rsidR="00042350"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Zahtevane informacije iz 1. točke prejšnjega odstavka so sorazmerne in primerne glede na naravo nameravane pridobitve </w:t>
      </w:r>
      <w:r w:rsidR="00155282" w:rsidRPr="00215B2F">
        <w:rPr>
          <w:rFonts w:ascii="Arial" w:eastAsia="Arial" w:hAnsi="Arial" w:cs="Arial"/>
          <w:sz w:val="20"/>
          <w:szCs w:val="20"/>
        </w:rPr>
        <w:t xml:space="preserve">ter </w:t>
      </w:r>
      <w:r w:rsidRPr="00215B2F">
        <w:rPr>
          <w:rFonts w:ascii="Arial" w:eastAsia="Arial" w:hAnsi="Arial" w:cs="Arial"/>
          <w:sz w:val="20"/>
          <w:szCs w:val="20"/>
        </w:rPr>
        <w:t xml:space="preserve">ne vključujejo informacij, ki niso pomembne za oceno varnega in skrbnega poslovanja v okviru prvega odstavka </w:t>
      </w:r>
      <w:r w:rsidR="00C96E2E" w:rsidRPr="00215B2F">
        <w:rPr>
          <w:rFonts w:ascii="Arial" w:eastAsia="Arial" w:hAnsi="Arial" w:cs="Arial"/>
          <w:sz w:val="20"/>
          <w:szCs w:val="20"/>
        </w:rPr>
        <w:t>262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p>
    <w:p w14:paraId="0363382C"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0270B2C6" w14:textId="22FC49A4"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6.</w:t>
      </w:r>
      <w:r w:rsidR="006B2743" w:rsidRPr="00215B2F">
        <w:rPr>
          <w:rFonts w:ascii="Arial" w:eastAsia="Arial" w:hAnsi="Arial" w:cs="Arial"/>
          <w:b/>
          <w:bCs/>
          <w:sz w:val="20"/>
          <w:szCs w:val="20"/>
        </w:rPr>
        <w:t>9</w:t>
      </w:r>
      <w:r w:rsidRPr="00215B2F">
        <w:rPr>
          <w:rFonts w:ascii="Arial" w:eastAsia="Arial" w:hAnsi="Arial" w:cs="Arial"/>
          <w:b/>
          <w:bCs/>
          <w:sz w:val="20"/>
          <w:szCs w:val="20"/>
        </w:rPr>
        <w:t xml:space="preserve"> POMEMBNI PRENOSI SREDSTEV ALI OBVEZNOSTI</w:t>
      </w:r>
    </w:p>
    <w:p w14:paraId="38871731"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319194A9"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21" w:name="_Ref202965487"/>
      <w:r w:rsidRPr="00215B2F">
        <w:rPr>
          <w:rFonts w:ascii="Arial" w:eastAsia="Arial" w:hAnsi="Arial" w:cs="Arial"/>
          <w:b/>
          <w:bCs/>
          <w:sz w:val="20"/>
          <w:szCs w:val="20"/>
        </w:rPr>
        <w:t>člen</w:t>
      </w:r>
      <w:bookmarkEnd w:id="321"/>
    </w:p>
    <w:p w14:paraId="732DC83C" w14:textId="43A1D725" w:rsidR="00D91782" w:rsidRPr="00215B2F" w:rsidRDefault="00D91782" w:rsidP="00FD5520">
      <w:pPr>
        <w:pStyle w:val="Slog1"/>
        <w:shd w:val="clear" w:color="auto" w:fill="FFFFFF" w:themeFill="background1"/>
        <w:rPr>
          <w:sz w:val="20"/>
          <w:szCs w:val="20"/>
        </w:rPr>
      </w:pPr>
      <w:r w:rsidRPr="00215B2F">
        <w:rPr>
          <w:sz w:val="20"/>
          <w:szCs w:val="20"/>
        </w:rPr>
        <w:lastRenderedPageBreak/>
        <w:t>(pomembn</w:t>
      </w:r>
      <w:r w:rsidR="00155282" w:rsidRPr="00215B2F">
        <w:rPr>
          <w:sz w:val="20"/>
          <w:szCs w:val="20"/>
        </w:rPr>
        <w:t>i</w:t>
      </w:r>
      <w:r w:rsidRPr="00215B2F">
        <w:rPr>
          <w:sz w:val="20"/>
          <w:szCs w:val="20"/>
        </w:rPr>
        <w:t xml:space="preserve"> prenos sredstev ali obveznosti)</w:t>
      </w:r>
    </w:p>
    <w:p w14:paraId="3E679CEF" w14:textId="77777777" w:rsidR="00D91782" w:rsidRPr="00215B2F" w:rsidRDefault="00D91782" w:rsidP="00FD5520">
      <w:pPr>
        <w:pStyle w:val="Slog1"/>
        <w:shd w:val="clear" w:color="auto" w:fill="FFFFFF" w:themeFill="background1"/>
        <w:jc w:val="both"/>
        <w:rPr>
          <w:sz w:val="20"/>
          <w:szCs w:val="20"/>
        </w:rPr>
      </w:pPr>
    </w:p>
    <w:p w14:paraId="27FC4F79" w14:textId="28AB51B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w:t>
      </w:r>
      <w:r w:rsidR="00155282" w:rsidRPr="00215B2F">
        <w:rPr>
          <w:rFonts w:ascii="Arial" w:eastAsia="Arial" w:hAnsi="Arial" w:cs="Arial"/>
          <w:sz w:val="20"/>
          <w:szCs w:val="20"/>
        </w:rPr>
        <w:t xml:space="preserve">in </w:t>
      </w:r>
      <w:r w:rsidRPr="00215B2F">
        <w:rPr>
          <w:rFonts w:ascii="Arial" w:eastAsia="Arial" w:hAnsi="Arial" w:cs="Arial"/>
          <w:sz w:val="20"/>
          <w:szCs w:val="20"/>
        </w:rPr>
        <w:t xml:space="preserve">finančni holding ali mešani finančni holding, ki je pridobil odobritev iz </w:t>
      </w:r>
      <w:r w:rsidR="00C96E2E"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morajo pred izvršitvijo pomembnega prenosa sredstev ali obveznosti, ki ga izvršijo s prodajo ali drugo vrsto transakcije (v nadaljnjem besedilu: nameravani posel) o tem pisno uradno obvestiti Banko Slovenije v skladu </w:t>
      </w:r>
      <w:r w:rsidR="00155282" w:rsidRPr="00215B2F">
        <w:rPr>
          <w:rFonts w:ascii="Arial" w:eastAsia="Arial" w:hAnsi="Arial" w:cs="Arial"/>
          <w:sz w:val="20"/>
          <w:szCs w:val="20"/>
        </w:rPr>
        <w:t xml:space="preserve">z </w:t>
      </w:r>
      <w:r w:rsidR="00C96E2E" w:rsidRPr="00215B2F">
        <w:rPr>
          <w:rFonts w:ascii="Arial" w:eastAsia="Arial" w:hAnsi="Arial" w:cs="Arial"/>
          <w:sz w:val="20"/>
          <w:szCs w:val="20"/>
        </w:rPr>
        <w:t>269.</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3E6C6F12"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158195D9" w14:textId="0A7E549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Dolžnost uradnega obveščanja iz prejšnjega odstavka velja posamično za vsak subjekt, ki je vključen v isti nameravani posel, vključno za nameravane posle med subjekti iste skupine.</w:t>
      </w:r>
    </w:p>
    <w:p w14:paraId="153914D1" w14:textId="77777777" w:rsidR="00042350" w:rsidRPr="00215B2F" w:rsidRDefault="00042350" w:rsidP="00FD5520">
      <w:pPr>
        <w:shd w:val="clear" w:color="auto" w:fill="FFFFFF" w:themeFill="background1"/>
        <w:spacing w:after="0" w:line="240" w:lineRule="auto"/>
        <w:jc w:val="both"/>
        <w:rPr>
          <w:rFonts w:ascii="Arial" w:eastAsia="Arial" w:hAnsi="Arial" w:cs="Arial"/>
          <w:sz w:val="20"/>
          <w:szCs w:val="20"/>
        </w:rPr>
      </w:pPr>
    </w:p>
    <w:p w14:paraId="275E64D9" w14:textId="1641434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Za pomembn</w:t>
      </w:r>
      <w:r w:rsidR="00BA360D" w:rsidRPr="00215B2F">
        <w:rPr>
          <w:rFonts w:ascii="Arial" w:eastAsia="Arial" w:hAnsi="Arial" w:cs="Arial"/>
          <w:sz w:val="20"/>
          <w:szCs w:val="20"/>
        </w:rPr>
        <w:t>i</w:t>
      </w:r>
      <w:r w:rsidRPr="00215B2F">
        <w:rPr>
          <w:rFonts w:ascii="Arial" w:eastAsia="Arial" w:hAnsi="Arial" w:cs="Arial"/>
          <w:sz w:val="20"/>
          <w:szCs w:val="20"/>
        </w:rPr>
        <w:t xml:space="preserve"> prenos sredstev ali obveznosti po tem zakonu se šteje posel, ki </w:t>
      </w:r>
      <w:r w:rsidR="00C060A6" w:rsidRPr="00215B2F">
        <w:rPr>
          <w:rFonts w:ascii="Arial" w:eastAsia="Arial" w:hAnsi="Arial" w:cs="Arial"/>
          <w:sz w:val="20"/>
          <w:szCs w:val="20"/>
        </w:rPr>
        <w:t xml:space="preserve">predstavlja </w:t>
      </w:r>
      <w:r w:rsidRPr="00215B2F">
        <w:rPr>
          <w:rFonts w:ascii="Arial" w:eastAsia="Arial" w:hAnsi="Arial" w:cs="Arial"/>
          <w:sz w:val="20"/>
          <w:szCs w:val="20"/>
        </w:rPr>
        <w:t xml:space="preserve">vsaj </w:t>
      </w:r>
      <w:r w:rsidR="006302F6" w:rsidRPr="00215B2F">
        <w:rPr>
          <w:rFonts w:ascii="Arial" w:eastAsia="Arial" w:hAnsi="Arial" w:cs="Arial"/>
          <w:sz w:val="20"/>
          <w:szCs w:val="20"/>
        </w:rPr>
        <w:t>deset </w:t>
      </w:r>
      <w:r w:rsidR="00BA360D" w:rsidRPr="00215B2F">
        <w:rPr>
          <w:rFonts w:ascii="Arial" w:eastAsia="Arial" w:hAnsi="Arial" w:cs="Arial"/>
          <w:sz w:val="20"/>
          <w:szCs w:val="20"/>
        </w:rPr>
        <w:t>odstotkov</w:t>
      </w:r>
      <w:r w:rsidRPr="00215B2F">
        <w:rPr>
          <w:rFonts w:ascii="Arial" w:eastAsia="Arial" w:hAnsi="Arial" w:cs="Arial"/>
          <w:sz w:val="20"/>
          <w:szCs w:val="20"/>
        </w:rPr>
        <w:t xml:space="preserve"> skupnih sredstev ali obveznosti subjekta, razen če se posel izvrši med subjekti iste skupine; v tem primeru se za pomembn</w:t>
      </w:r>
      <w:r w:rsidR="00BA360D" w:rsidRPr="00215B2F">
        <w:rPr>
          <w:rFonts w:ascii="Arial" w:eastAsia="Arial" w:hAnsi="Arial" w:cs="Arial"/>
          <w:sz w:val="20"/>
          <w:szCs w:val="20"/>
        </w:rPr>
        <w:t>i</w:t>
      </w:r>
      <w:r w:rsidRPr="00215B2F">
        <w:rPr>
          <w:rFonts w:ascii="Arial" w:eastAsia="Arial" w:hAnsi="Arial" w:cs="Arial"/>
          <w:sz w:val="20"/>
          <w:szCs w:val="20"/>
        </w:rPr>
        <w:t xml:space="preserve"> posel šteje posel, ki </w:t>
      </w:r>
      <w:r w:rsidR="00C060A6" w:rsidRPr="00215B2F">
        <w:rPr>
          <w:rFonts w:ascii="Arial" w:eastAsia="Arial" w:hAnsi="Arial" w:cs="Arial"/>
          <w:sz w:val="20"/>
          <w:szCs w:val="20"/>
        </w:rPr>
        <w:t xml:space="preserve">predstavlja </w:t>
      </w:r>
      <w:r w:rsidRPr="00215B2F">
        <w:rPr>
          <w:rFonts w:ascii="Arial" w:eastAsia="Arial" w:hAnsi="Arial" w:cs="Arial"/>
          <w:sz w:val="20"/>
          <w:szCs w:val="20"/>
        </w:rPr>
        <w:t xml:space="preserve">vsaj </w:t>
      </w:r>
      <w:r w:rsidR="00C060A6" w:rsidRPr="00215B2F">
        <w:rPr>
          <w:rFonts w:ascii="Arial" w:eastAsia="Arial" w:hAnsi="Arial" w:cs="Arial"/>
          <w:sz w:val="20"/>
          <w:szCs w:val="20"/>
        </w:rPr>
        <w:t>petnajst</w:t>
      </w:r>
      <w:r w:rsidR="00BA360D" w:rsidRPr="00215B2F">
        <w:rPr>
          <w:rFonts w:ascii="Arial" w:eastAsia="Arial" w:hAnsi="Arial" w:cs="Arial"/>
          <w:sz w:val="20"/>
          <w:szCs w:val="20"/>
        </w:rPr>
        <w:t> odstotkov</w:t>
      </w:r>
      <w:r w:rsidRPr="00215B2F">
        <w:rPr>
          <w:rFonts w:ascii="Arial" w:eastAsia="Arial" w:hAnsi="Arial" w:cs="Arial"/>
          <w:sz w:val="20"/>
          <w:szCs w:val="20"/>
        </w:rPr>
        <w:t xml:space="preserve"> skupnih sredstev ali obveznosti tega subjekta. </w:t>
      </w:r>
    </w:p>
    <w:p w14:paraId="5FB12738"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B4FA974" w14:textId="617D0BE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Za nadrejeni finančni holding ali nadrejeni mešani finančni holding, ki je pridobil odobritev iz </w:t>
      </w:r>
      <w:r w:rsidR="00C96E2E"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se odstotki iz </w:t>
      </w:r>
      <w:r w:rsidR="006C7F42" w:rsidRPr="00215B2F">
        <w:rPr>
          <w:rFonts w:ascii="Arial" w:eastAsia="Arial" w:hAnsi="Arial" w:cs="Arial"/>
          <w:sz w:val="20"/>
          <w:szCs w:val="20"/>
        </w:rPr>
        <w:t xml:space="preserve">prejšnjega </w:t>
      </w:r>
      <w:r w:rsidR="00746E88" w:rsidRPr="00215B2F">
        <w:rPr>
          <w:rFonts w:ascii="Arial" w:eastAsia="Arial" w:hAnsi="Arial" w:cs="Arial"/>
          <w:sz w:val="20"/>
          <w:szCs w:val="20"/>
        </w:rPr>
        <w:t>odstavka</w:t>
      </w:r>
      <w:r w:rsidRPr="00215B2F">
        <w:rPr>
          <w:rFonts w:ascii="Arial" w:eastAsia="Arial" w:hAnsi="Arial" w:cs="Arial"/>
          <w:sz w:val="20"/>
          <w:szCs w:val="20"/>
        </w:rPr>
        <w:t xml:space="preserve"> uporabljajo na podlagi njegovega konsolidiranega položaja. </w:t>
      </w:r>
    </w:p>
    <w:p w14:paraId="081E81F9"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A24B210" w14:textId="1D5F621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Pri izračunu odstotkov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se ne upoštevajo: </w:t>
      </w:r>
    </w:p>
    <w:p w14:paraId="3EEAEC6B"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75EEE20B" w14:textId="77777777" w:rsidR="00C316EC" w:rsidRPr="00215B2F" w:rsidRDefault="00D91782" w:rsidP="003D4DE0">
      <w:pPr>
        <w:pStyle w:val="Odstavekseznama"/>
        <w:numPr>
          <w:ilvl w:val="0"/>
          <w:numId w:val="323"/>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prenosi nedonosnih sredstev; </w:t>
      </w:r>
    </w:p>
    <w:p w14:paraId="74F3313A" w14:textId="543F28E5" w:rsidR="00C316EC" w:rsidRPr="00215B2F" w:rsidRDefault="00D91782" w:rsidP="003D4DE0">
      <w:pPr>
        <w:pStyle w:val="Odstavekseznama"/>
        <w:numPr>
          <w:ilvl w:val="0"/>
          <w:numId w:val="323"/>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prenosi sredstev za namene vključitve v kritno premoženje, kakor je opredeljeno v zakonu, ki ureja hipotekarno in komunalno obveznico</w:t>
      </w:r>
      <w:r w:rsidR="00BA360D" w:rsidRPr="00215B2F">
        <w:rPr>
          <w:rFonts w:ascii="Arial" w:eastAsia="Arial" w:hAnsi="Arial" w:cs="Arial"/>
          <w:sz w:val="20"/>
          <w:szCs w:val="20"/>
        </w:rPr>
        <w:t>,</w:t>
      </w:r>
      <w:r w:rsidRPr="00215B2F">
        <w:rPr>
          <w:rFonts w:ascii="Arial" w:eastAsia="Arial" w:hAnsi="Arial" w:cs="Arial"/>
          <w:sz w:val="20"/>
          <w:szCs w:val="20"/>
        </w:rPr>
        <w:t xml:space="preserve"> oziroma 3. točki 3. člena Direktive 2019/2162/EU;</w:t>
      </w:r>
    </w:p>
    <w:p w14:paraId="3A7E5574" w14:textId="77777777" w:rsidR="00C316EC" w:rsidRPr="00215B2F" w:rsidRDefault="00D91782" w:rsidP="003D4DE0">
      <w:pPr>
        <w:pStyle w:val="Odstavekseznama"/>
        <w:numPr>
          <w:ilvl w:val="0"/>
          <w:numId w:val="323"/>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prenosi sredstev za namene listinjenja;</w:t>
      </w:r>
    </w:p>
    <w:p w14:paraId="745BC2D1" w14:textId="05364B9F" w:rsidR="0061405D" w:rsidRPr="00215B2F" w:rsidRDefault="0061405D" w:rsidP="0061405D">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č)   </w:t>
      </w:r>
      <w:r w:rsidR="00D91782" w:rsidRPr="00215B2F">
        <w:rPr>
          <w:rFonts w:ascii="Arial" w:eastAsia="Arial" w:hAnsi="Arial" w:cs="Arial"/>
          <w:sz w:val="20"/>
          <w:szCs w:val="20"/>
        </w:rPr>
        <w:t xml:space="preserve">prenosi sredstev ali obveznosti v okviru uporabe instrumentov, pooblastil in mehanizmov za </w:t>
      </w:r>
      <w:r w:rsidRPr="00215B2F">
        <w:rPr>
          <w:rFonts w:ascii="Arial" w:eastAsia="Arial" w:hAnsi="Arial" w:cs="Arial"/>
          <w:sz w:val="20"/>
          <w:szCs w:val="20"/>
        </w:rPr>
        <w:t xml:space="preserve">   </w:t>
      </w:r>
    </w:p>
    <w:p w14:paraId="4B473C83" w14:textId="77777777" w:rsidR="0061405D" w:rsidRPr="00215B2F" w:rsidRDefault="0061405D" w:rsidP="0061405D">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      </w:t>
      </w:r>
      <w:r w:rsidR="00D91782" w:rsidRPr="00215B2F">
        <w:rPr>
          <w:rFonts w:ascii="Arial" w:eastAsia="Arial" w:hAnsi="Arial" w:cs="Arial"/>
          <w:sz w:val="20"/>
          <w:szCs w:val="20"/>
        </w:rPr>
        <w:t>reševanje, k</w:t>
      </w:r>
      <w:r w:rsidR="006B0B0E" w:rsidRPr="00215B2F">
        <w:rPr>
          <w:rFonts w:ascii="Arial" w:eastAsia="Arial" w:hAnsi="Arial" w:cs="Arial"/>
          <w:sz w:val="20"/>
          <w:szCs w:val="20"/>
        </w:rPr>
        <w:t>akor</w:t>
      </w:r>
      <w:r w:rsidR="00D91782" w:rsidRPr="00215B2F">
        <w:rPr>
          <w:rFonts w:ascii="Arial" w:eastAsia="Arial" w:hAnsi="Arial" w:cs="Arial"/>
          <w:sz w:val="20"/>
          <w:szCs w:val="20"/>
        </w:rPr>
        <w:t xml:space="preserve"> so določeni v zakonu, ki ureja reševanje in prisilno prenehanje bank</w:t>
      </w:r>
      <w:r w:rsidR="00BA360D" w:rsidRPr="00215B2F">
        <w:rPr>
          <w:rFonts w:ascii="Arial" w:eastAsia="Arial" w:hAnsi="Arial" w:cs="Arial"/>
          <w:sz w:val="20"/>
          <w:szCs w:val="20"/>
        </w:rPr>
        <w:t>,</w:t>
      </w:r>
      <w:r w:rsidR="00D91782" w:rsidRPr="00215B2F">
        <w:rPr>
          <w:rFonts w:ascii="Arial" w:eastAsia="Arial" w:hAnsi="Arial" w:cs="Arial"/>
          <w:sz w:val="20"/>
          <w:szCs w:val="20"/>
        </w:rPr>
        <w:t xml:space="preserve"> oziroma</w:t>
      </w:r>
      <w:r w:rsidRPr="00215B2F">
        <w:rPr>
          <w:rFonts w:ascii="Arial" w:eastAsia="Arial" w:hAnsi="Arial" w:cs="Arial"/>
          <w:sz w:val="20"/>
          <w:szCs w:val="20"/>
        </w:rPr>
        <w:t xml:space="preserve"> </w:t>
      </w:r>
      <w:r w:rsidR="00D91782" w:rsidRPr="00215B2F">
        <w:rPr>
          <w:rFonts w:ascii="Arial" w:eastAsia="Arial" w:hAnsi="Arial" w:cs="Arial"/>
          <w:sz w:val="20"/>
          <w:szCs w:val="20"/>
        </w:rPr>
        <w:t xml:space="preserve"> </w:t>
      </w:r>
    </w:p>
    <w:p w14:paraId="146CD907" w14:textId="0AACF8F4" w:rsidR="00D91782" w:rsidRPr="00215B2F" w:rsidRDefault="0061405D" w:rsidP="0061405D">
      <w:p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      </w:t>
      </w:r>
      <w:r w:rsidR="00D91782" w:rsidRPr="00215B2F">
        <w:rPr>
          <w:rFonts w:ascii="Arial" w:eastAsia="Arial" w:hAnsi="Arial" w:cs="Arial"/>
          <w:sz w:val="20"/>
          <w:szCs w:val="20"/>
        </w:rPr>
        <w:t>naslovu IV Direktive 2014/59/EU.</w:t>
      </w:r>
    </w:p>
    <w:p w14:paraId="2ECE9F4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7C180C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22" w:name="_Ref202965492"/>
      <w:r w:rsidRPr="00215B2F">
        <w:rPr>
          <w:rFonts w:ascii="Arial" w:eastAsia="Arial" w:hAnsi="Arial" w:cs="Arial"/>
          <w:b/>
          <w:bCs/>
          <w:sz w:val="20"/>
          <w:szCs w:val="20"/>
        </w:rPr>
        <w:t>člen</w:t>
      </w:r>
      <w:bookmarkEnd w:id="322"/>
    </w:p>
    <w:p w14:paraId="7797F879" w14:textId="77777777" w:rsidR="00D91782" w:rsidRPr="00215B2F" w:rsidRDefault="00D91782" w:rsidP="00FD5520">
      <w:pPr>
        <w:pStyle w:val="Slog1"/>
        <w:shd w:val="clear" w:color="auto" w:fill="FFFFFF" w:themeFill="background1"/>
        <w:rPr>
          <w:sz w:val="20"/>
          <w:szCs w:val="20"/>
        </w:rPr>
      </w:pPr>
      <w:r w:rsidRPr="00215B2F">
        <w:rPr>
          <w:sz w:val="20"/>
          <w:szCs w:val="20"/>
        </w:rPr>
        <w:t>(uradno obvestilo o pomembnem prenosu sredstev ali obveznosti)</w:t>
      </w:r>
    </w:p>
    <w:p w14:paraId="1C243C56" w14:textId="77777777" w:rsidR="00D91782" w:rsidRPr="00215B2F" w:rsidRDefault="00D91782" w:rsidP="00FD5520">
      <w:pPr>
        <w:pStyle w:val="Slog1"/>
        <w:shd w:val="clear" w:color="auto" w:fill="FFFFFF" w:themeFill="background1"/>
        <w:jc w:val="both"/>
        <w:rPr>
          <w:sz w:val="20"/>
          <w:szCs w:val="20"/>
        </w:rPr>
      </w:pPr>
    </w:p>
    <w:p w14:paraId="352B64D1" w14:textId="2B28546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Uradno obvestilo iz prvega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vključuje: </w:t>
      </w:r>
    </w:p>
    <w:p w14:paraId="5260C8E1"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7DC58DAF" w14:textId="0A80CDEE" w:rsidR="00AD740A" w:rsidRPr="00215B2F" w:rsidRDefault="00D91782" w:rsidP="00543D80">
      <w:pPr>
        <w:pStyle w:val="Odstavekseznama"/>
        <w:numPr>
          <w:ilvl w:val="3"/>
          <w:numId w:val="1"/>
        </w:numPr>
        <w:shd w:val="clear" w:color="auto" w:fill="FFFFFF" w:themeFill="background1"/>
        <w:spacing w:after="0" w:line="240" w:lineRule="auto"/>
        <w:ind w:left="357" w:hanging="357"/>
        <w:jc w:val="both"/>
        <w:rPr>
          <w:rFonts w:ascii="Arial" w:hAnsi="Arial" w:cs="Arial"/>
          <w:sz w:val="20"/>
          <w:szCs w:val="20"/>
        </w:rPr>
      </w:pPr>
      <w:r w:rsidRPr="00215B2F">
        <w:rPr>
          <w:rFonts w:ascii="Arial" w:eastAsia="Arial" w:hAnsi="Arial" w:cs="Arial"/>
          <w:sz w:val="20"/>
          <w:szCs w:val="20"/>
        </w:rPr>
        <w:t xml:space="preserve">informacije in dokumentacijo v zvezi s pomembnim prenosom sredstev in obveznosti, </w:t>
      </w:r>
    </w:p>
    <w:p w14:paraId="6BC27C47" w14:textId="18EF3332" w:rsidR="00D91782" w:rsidRPr="00215B2F" w:rsidRDefault="00D91782" w:rsidP="00543D80">
      <w:pPr>
        <w:pStyle w:val="Odstavekseznama"/>
        <w:numPr>
          <w:ilvl w:val="3"/>
          <w:numId w:val="1"/>
        </w:numPr>
        <w:shd w:val="clear" w:color="auto" w:fill="FFFFFF" w:themeFill="background1"/>
        <w:spacing w:after="0" w:line="240" w:lineRule="auto"/>
        <w:ind w:left="357" w:hanging="357"/>
        <w:jc w:val="both"/>
        <w:rPr>
          <w:rFonts w:ascii="Arial" w:hAnsi="Arial" w:cs="Arial"/>
          <w:sz w:val="20"/>
          <w:szCs w:val="20"/>
        </w:rPr>
      </w:pPr>
      <w:r w:rsidRPr="00215B2F">
        <w:rPr>
          <w:rFonts w:ascii="Arial" w:eastAsia="Arial" w:hAnsi="Arial" w:cs="Arial"/>
          <w:sz w:val="20"/>
          <w:szCs w:val="20"/>
        </w:rPr>
        <w:t>informacije in dokumentacijo o izpolnjevanju meril za združitev oziroma delitev, kot so predpisana s tem zakonom.</w:t>
      </w:r>
    </w:p>
    <w:p w14:paraId="51A17E76"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1F26AEE0" w14:textId="533FD30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prejem uradnega obvestila iz prvega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potrdi subjektu </w:t>
      </w:r>
      <w:r w:rsidR="00DE7DBF" w:rsidRPr="00215B2F">
        <w:rPr>
          <w:rFonts w:ascii="Arial" w:eastAsia="Arial" w:hAnsi="Arial" w:cs="Arial"/>
          <w:sz w:val="20"/>
          <w:szCs w:val="20"/>
        </w:rPr>
        <w:t>i</w:t>
      </w:r>
      <w:r w:rsidRPr="00215B2F">
        <w:rPr>
          <w:rFonts w:ascii="Arial" w:eastAsia="Arial" w:hAnsi="Arial" w:cs="Arial"/>
          <w:sz w:val="20"/>
          <w:szCs w:val="20"/>
        </w:rPr>
        <w:t xml:space="preserve">z prvega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v desetih delovnih dneh po prejemu. </w:t>
      </w:r>
    </w:p>
    <w:p w14:paraId="71E107EF"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2A0F7D40" w14:textId="1081FF0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Ne glede na prvi </w:t>
      </w:r>
      <w:r w:rsidR="00746E88" w:rsidRPr="00215B2F">
        <w:rPr>
          <w:rFonts w:ascii="Arial" w:eastAsia="Arial" w:hAnsi="Arial" w:cs="Arial"/>
          <w:sz w:val="20"/>
          <w:szCs w:val="20"/>
        </w:rPr>
        <w:t>odstavek tega člena</w:t>
      </w:r>
      <w:r w:rsidRPr="00215B2F">
        <w:rPr>
          <w:rFonts w:ascii="Arial" w:eastAsia="Arial" w:hAnsi="Arial" w:cs="Arial"/>
          <w:sz w:val="20"/>
          <w:szCs w:val="20"/>
        </w:rPr>
        <w:t xml:space="preserve"> lahko Banka Slovenije v zvezi z nameravanim poslom o pomembnem prenosu sredstev ali obveznosti od subjekta iz prvega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zahteva predložitev dodatnih informacij.</w:t>
      </w:r>
    </w:p>
    <w:p w14:paraId="5F5BD3C9"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2F44CABB" w14:textId="43EE571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Če Banka Slovenije oceni, da bi nameravani posel lahko negativno vplival na izpolnjevanje bonitetnih zahtev iz tega zakona ali Uredbe 575/2013/EU</w:t>
      </w:r>
      <w:r w:rsidR="00DE7DBF" w:rsidRPr="00215B2F">
        <w:rPr>
          <w:rFonts w:ascii="Arial" w:eastAsia="Arial" w:hAnsi="Arial" w:cs="Arial"/>
          <w:sz w:val="20"/>
          <w:szCs w:val="20"/>
        </w:rPr>
        <w:t>,</w:t>
      </w:r>
      <w:r w:rsidRPr="00215B2F">
        <w:rPr>
          <w:rFonts w:ascii="Arial" w:eastAsia="Arial" w:hAnsi="Arial" w:cs="Arial"/>
          <w:sz w:val="20"/>
          <w:szCs w:val="20"/>
        </w:rPr>
        <w:t xml:space="preserve"> o tem obvesti subjekt nadzora, ki je pos</w:t>
      </w:r>
      <w:r w:rsidR="00DE7DBF" w:rsidRPr="00215B2F">
        <w:rPr>
          <w:rFonts w:ascii="Arial" w:eastAsia="Arial" w:hAnsi="Arial" w:cs="Arial"/>
          <w:sz w:val="20"/>
          <w:szCs w:val="20"/>
        </w:rPr>
        <w:t>l</w:t>
      </w:r>
      <w:r w:rsidRPr="00215B2F">
        <w:rPr>
          <w:rFonts w:ascii="Arial" w:eastAsia="Arial" w:hAnsi="Arial" w:cs="Arial"/>
          <w:sz w:val="20"/>
          <w:szCs w:val="20"/>
        </w:rPr>
        <w:t xml:space="preserve">al uradno obvestilo. Negativni vpliv nameravanega posla je lahko razlog za nadzorniško ukrepanje Banke Slovenije v skladu z </w:t>
      </w:r>
      <w:r w:rsidR="00C96E2E" w:rsidRPr="00215B2F">
        <w:rPr>
          <w:rFonts w:ascii="Arial" w:eastAsia="Arial" w:hAnsi="Arial" w:cs="Arial"/>
          <w:sz w:val="20"/>
          <w:szCs w:val="20"/>
        </w:rPr>
        <w:t>10</w:t>
      </w:r>
      <w:r w:rsidRPr="00215B2F">
        <w:rPr>
          <w:rFonts w:ascii="Arial" w:eastAsia="Arial" w:hAnsi="Arial" w:cs="Arial"/>
          <w:sz w:val="20"/>
          <w:szCs w:val="20"/>
        </w:rPr>
        <w:t xml:space="preserve">. </w:t>
      </w:r>
      <w:r w:rsidR="001F2C7A" w:rsidRPr="00215B2F">
        <w:rPr>
          <w:rFonts w:ascii="Arial" w:eastAsia="Arial" w:hAnsi="Arial" w:cs="Arial"/>
          <w:sz w:val="20"/>
          <w:szCs w:val="20"/>
        </w:rPr>
        <w:t>poglavjem tega zakona</w:t>
      </w:r>
      <w:r w:rsidRPr="00215B2F">
        <w:rPr>
          <w:rFonts w:ascii="Arial" w:eastAsia="Arial" w:hAnsi="Arial" w:cs="Arial"/>
          <w:sz w:val="20"/>
          <w:szCs w:val="20"/>
        </w:rPr>
        <w:t xml:space="preserve">. </w:t>
      </w:r>
    </w:p>
    <w:p w14:paraId="3F1F9FBD"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7D223089" w14:textId="1179301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Če banka, finančni holding in mešani finančni holding, odobren v skladu s </w:t>
      </w:r>
      <w:r w:rsidR="00C96E2E"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ni predhodno pisno obvestil Banke Slovenije o pomembnem prenosu sredstev ali obveznosti v skladu s prvim odstavkom </w:t>
      </w:r>
      <w:r w:rsidR="003E4351" w:rsidRPr="00215B2F">
        <w:rPr>
          <w:rFonts w:ascii="Arial" w:eastAsia="Arial" w:hAnsi="Arial" w:cs="Arial"/>
          <w:sz w:val="20"/>
          <w:szCs w:val="20"/>
        </w:rPr>
        <w:t>prejšnjega</w:t>
      </w:r>
      <w:r w:rsidRPr="00215B2F">
        <w:rPr>
          <w:rFonts w:ascii="Arial" w:eastAsia="Arial" w:hAnsi="Arial" w:cs="Arial"/>
          <w:sz w:val="20"/>
          <w:szCs w:val="20"/>
        </w:rPr>
        <w:t xml:space="preserve"> </w:t>
      </w:r>
      <w:r w:rsidR="003E4351" w:rsidRPr="00215B2F">
        <w:rPr>
          <w:rFonts w:ascii="Arial" w:eastAsia="Arial" w:hAnsi="Arial" w:cs="Arial"/>
          <w:sz w:val="20"/>
          <w:szCs w:val="20"/>
        </w:rPr>
        <w:t>člena</w:t>
      </w:r>
      <w:r w:rsidRPr="00215B2F">
        <w:rPr>
          <w:rFonts w:ascii="Arial" w:eastAsia="Arial" w:hAnsi="Arial" w:cs="Arial"/>
          <w:sz w:val="20"/>
          <w:szCs w:val="20"/>
        </w:rPr>
        <w:t>, lahko Banka Slovenije določi rok</w:t>
      </w:r>
      <w:r w:rsidR="00DE7DBF" w:rsidRPr="00215B2F">
        <w:rPr>
          <w:rFonts w:ascii="Arial" w:eastAsia="Arial" w:hAnsi="Arial" w:cs="Arial"/>
          <w:sz w:val="20"/>
          <w:szCs w:val="20"/>
        </w:rPr>
        <w:t>,</w:t>
      </w:r>
      <w:r w:rsidRPr="00215B2F">
        <w:rPr>
          <w:rFonts w:ascii="Arial" w:eastAsia="Arial" w:hAnsi="Arial" w:cs="Arial"/>
          <w:sz w:val="20"/>
          <w:szCs w:val="20"/>
        </w:rPr>
        <w:t xml:space="preserve"> v katerem ji mora subjekt pos</w:t>
      </w:r>
      <w:r w:rsidR="00DE7DBF" w:rsidRPr="00215B2F">
        <w:rPr>
          <w:rFonts w:ascii="Arial" w:eastAsia="Arial" w:hAnsi="Arial" w:cs="Arial"/>
          <w:sz w:val="20"/>
          <w:szCs w:val="20"/>
        </w:rPr>
        <w:t>l</w:t>
      </w:r>
      <w:r w:rsidRPr="00215B2F">
        <w:rPr>
          <w:rFonts w:ascii="Arial" w:eastAsia="Arial" w:hAnsi="Arial" w:cs="Arial"/>
          <w:sz w:val="20"/>
          <w:szCs w:val="20"/>
        </w:rPr>
        <w:t xml:space="preserve">ati uradno pisno obvestilo iz prvega </w:t>
      </w:r>
      <w:r w:rsidR="00746E88" w:rsidRPr="00215B2F">
        <w:rPr>
          <w:rFonts w:ascii="Arial" w:eastAsia="Arial" w:hAnsi="Arial" w:cs="Arial"/>
          <w:sz w:val="20"/>
          <w:szCs w:val="20"/>
        </w:rPr>
        <w:t>odstavka tega člena</w:t>
      </w:r>
      <w:r w:rsidR="00DE7DBF" w:rsidRPr="00215B2F">
        <w:rPr>
          <w:rFonts w:ascii="Arial" w:eastAsia="Arial" w:hAnsi="Arial" w:cs="Arial"/>
          <w:sz w:val="20"/>
          <w:szCs w:val="20"/>
        </w:rPr>
        <w:t>,</w:t>
      </w:r>
      <w:r w:rsidRPr="00215B2F">
        <w:rPr>
          <w:rFonts w:ascii="Arial" w:eastAsia="Arial" w:hAnsi="Arial" w:cs="Arial"/>
          <w:sz w:val="20"/>
          <w:szCs w:val="20"/>
        </w:rPr>
        <w:t xml:space="preserve"> in mu naloži administrativno </w:t>
      </w:r>
      <w:r w:rsidR="00C96E2E" w:rsidRPr="00215B2F">
        <w:rPr>
          <w:rFonts w:ascii="Arial" w:eastAsia="Arial" w:hAnsi="Arial" w:cs="Arial"/>
          <w:sz w:val="20"/>
          <w:szCs w:val="20"/>
        </w:rPr>
        <w:t>sankcijo</w:t>
      </w:r>
      <w:r w:rsidRPr="00215B2F">
        <w:rPr>
          <w:rFonts w:ascii="Arial" w:eastAsia="Arial" w:hAnsi="Arial" w:cs="Arial"/>
          <w:sz w:val="20"/>
          <w:szCs w:val="20"/>
        </w:rPr>
        <w:t>.</w:t>
      </w:r>
    </w:p>
    <w:p w14:paraId="23ACF85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DC03C7C" w14:textId="5E3FFC1F"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6.</w:t>
      </w:r>
      <w:r w:rsidR="000A76F2" w:rsidRPr="00215B2F">
        <w:rPr>
          <w:rFonts w:ascii="Arial" w:eastAsia="Arial" w:hAnsi="Arial" w:cs="Arial"/>
          <w:b/>
          <w:bCs/>
          <w:sz w:val="20"/>
          <w:szCs w:val="20"/>
        </w:rPr>
        <w:t>10</w:t>
      </w:r>
      <w:r w:rsidRPr="00215B2F">
        <w:rPr>
          <w:rFonts w:ascii="Arial" w:eastAsia="Arial" w:hAnsi="Arial" w:cs="Arial"/>
          <w:b/>
          <w:bCs/>
          <w:sz w:val="20"/>
          <w:szCs w:val="20"/>
        </w:rPr>
        <w:t xml:space="preserve"> POROČANJE O POMEMBNIH OKOLIŠČINAH</w:t>
      </w:r>
    </w:p>
    <w:p w14:paraId="12DD25D6"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49012C7A"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23" w:name="_Ref202965505"/>
      <w:r w:rsidRPr="00215B2F">
        <w:rPr>
          <w:rFonts w:ascii="Arial" w:eastAsia="Arial" w:hAnsi="Arial" w:cs="Arial"/>
          <w:b/>
          <w:bCs/>
          <w:sz w:val="20"/>
          <w:szCs w:val="20"/>
        </w:rPr>
        <w:t>člen</w:t>
      </w:r>
      <w:bookmarkEnd w:id="323"/>
    </w:p>
    <w:p w14:paraId="18D5B10F" w14:textId="77777777" w:rsidR="00D91782" w:rsidRPr="00215B2F" w:rsidRDefault="00D91782" w:rsidP="00FD5520">
      <w:pPr>
        <w:pStyle w:val="Slog1"/>
        <w:shd w:val="clear" w:color="auto" w:fill="FFFFFF" w:themeFill="background1"/>
        <w:rPr>
          <w:sz w:val="20"/>
          <w:szCs w:val="20"/>
        </w:rPr>
      </w:pPr>
      <w:r w:rsidRPr="00215B2F">
        <w:rPr>
          <w:sz w:val="20"/>
          <w:szCs w:val="20"/>
        </w:rPr>
        <w:t>(poročila banke o pomembnih dejstvih in okoliščinah)</w:t>
      </w:r>
    </w:p>
    <w:p w14:paraId="58F65055" w14:textId="77777777" w:rsidR="00D91782" w:rsidRPr="00215B2F" w:rsidRDefault="00D91782" w:rsidP="00FD5520">
      <w:pPr>
        <w:pStyle w:val="Slog1"/>
        <w:shd w:val="clear" w:color="auto" w:fill="FFFFFF" w:themeFill="background1"/>
        <w:jc w:val="both"/>
        <w:rPr>
          <w:sz w:val="20"/>
          <w:szCs w:val="20"/>
        </w:rPr>
      </w:pPr>
    </w:p>
    <w:p w14:paraId="7C74BC72" w14:textId="50A34FC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(1) Banka mora Banko Slovenije obveščati o naslednjih dejstvih in okoliščinah:</w:t>
      </w:r>
    </w:p>
    <w:p w14:paraId="52FCA7CE"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0AB2995A" w14:textId="754D5B8D" w:rsidR="00AD740A" w:rsidRPr="00215B2F" w:rsidRDefault="00D91782" w:rsidP="003D4DE0">
      <w:pPr>
        <w:pStyle w:val="tevilnatoka"/>
        <w:numPr>
          <w:ilvl w:val="0"/>
          <w:numId w:val="177"/>
        </w:numPr>
        <w:shd w:val="clear" w:color="auto" w:fill="FFFFFF" w:themeFill="background1"/>
        <w:tabs>
          <w:tab w:val="clear" w:pos="425"/>
        </w:tabs>
        <w:rPr>
          <w:rFonts w:cs="Arial"/>
          <w:bCs/>
          <w:sz w:val="20"/>
          <w:szCs w:val="20"/>
        </w:rPr>
      </w:pPr>
      <w:r w:rsidRPr="00215B2F">
        <w:rPr>
          <w:rFonts w:eastAsia="Arial" w:cs="Arial"/>
          <w:sz w:val="20"/>
          <w:szCs w:val="20"/>
        </w:rPr>
        <w:t>spremembah podatkov, ki se vpisujejo v sodni register;</w:t>
      </w:r>
    </w:p>
    <w:p w14:paraId="2DA71EDF" w14:textId="77777777" w:rsidR="00AD740A" w:rsidRPr="00215B2F" w:rsidRDefault="00D91782" w:rsidP="003D4DE0">
      <w:pPr>
        <w:pStyle w:val="tevilnatoka"/>
        <w:numPr>
          <w:ilvl w:val="0"/>
          <w:numId w:val="177"/>
        </w:numPr>
        <w:shd w:val="clear" w:color="auto" w:fill="FFFFFF" w:themeFill="background1"/>
        <w:tabs>
          <w:tab w:val="clear" w:pos="425"/>
        </w:tabs>
        <w:rPr>
          <w:rFonts w:cs="Arial"/>
          <w:bCs/>
          <w:sz w:val="20"/>
          <w:szCs w:val="20"/>
        </w:rPr>
      </w:pPr>
      <w:r w:rsidRPr="00215B2F">
        <w:rPr>
          <w:rFonts w:eastAsia="Arial" w:cs="Arial"/>
          <w:sz w:val="20"/>
          <w:szCs w:val="20"/>
        </w:rPr>
        <w:t>sklicu skupščine in vseh sklepih, sprejetih na skupščini;</w:t>
      </w:r>
    </w:p>
    <w:p w14:paraId="37B9286F" w14:textId="77777777" w:rsidR="00AD740A" w:rsidRPr="00215B2F" w:rsidRDefault="00D91782" w:rsidP="003D4DE0">
      <w:pPr>
        <w:pStyle w:val="tevilnatoka"/>
        <w:numPr>
          <w:ilvl w:val="0"/>
          <w:numId w:val="177"/>
        </w:numPr>
        <w:shd w:val="clear" w:color="auto" w:fill="FFFFFF" w:themeFill="background1"/>
        <w:tabs>
          <w:tab w:val="clear" w:pos="425"/>
        </w:tabs>
        <w:rPr>
          <w:rFonts w:cs="Arial"/>
          <w:bCs/>
          <w:sz w:val="20"/>
          <w:szCs w:val="20"/>
        </w:rPr>
      </w:pPr>
      <w:r w:rsidRPr="00215B2F">
        <w:rPr>
          <w:rFonts w:eastAsia="Arial" w:cs="Arial"/>
          <w:sz w:val="20"/>
          <w:szCs w:val="20"/>
        </w:rPr>
        <w:t>imetnikih delnic banke ter o pridobitvi oziroma spremembi kvalificiranih deležev;</w:t>
      </w:r>
    </w:p>
    <w:p w14:paraId="1288F4BE" w14:textId="77777777" w:rsidR="00AD740A" w:rsidRPr="00215B2F" w:rsidRDefault="00D91782" w:rsidP="003D4DE0">
      <w:pPr>
        <w:pStyle w:val="tevilnatoka"/>
        <w:numPr>
          <w:ilvl w:val="0"/>
          <w:numId w:val="177"/>
        </w:numPr>
        <w:shd w:val="clear" w:color="auto" w:fill="FFFFFF" w:themeFill="background1"/>
        <w:tabs>
          <w:tab w:val="clear" w:pos="425"/>
        </w:tabs>
        <w:rPr>
          <w:rFonts w:cs="Arial"/>
          <w:bCs/>
          <w:sz w:val="20"/>
          <w:szCs w:val="20"/>
        </w:rPr>
      </w:pPr>
      <w:r w:rsidRPr="00215B2F">
        <w:rPr>
          <w:rFonts w:eastAsia="Arial" w:cs="Arial"/>
          <w:sz w:val="20"/>
          <w:szCs w:val="20"/>
        </w:rPr>
        <w:t>pridobitvi oziroma odtujitvi delnic, poslovnih deležev oziroma članskih pravic, v pravnih osebah;</w:t>
      </w:r>
    </w:p>
    <w:p w14:paraId="20519853" w14:textId="57B81FA1" w:rsidR="00AD740A" w:rsidRPr="00215B2F" w:rsidRDefault="00D91782" w:rsidP="003D4DE0">
      <w:pPr>
        <w:pStyle w:val="tevilnatoka"/>
        <w:numPr>
          <w:ilvl w:val="0"/>
          <w:numId w:val="177"/>
        </w:numPr>
        <w:shd w:val="clear" w:color="auto" w:fill="FFFFFF" w:themeFill="background1"/>
        <w:tabs>
          <w:tab w:val="clear" w:pos="425"/>
        </w:tabs>
        <w:rPr>
          <w:rFonts w:cs="Arial"/>
          <w:bCs/>
          <w:sz w:val="20"/>
          <w:szCs w:val="20"/>
        </w:rPr>
      </w:pPr>
      <w:r w:rsidRPr="00215B2F">
        <w:rPr>
          <w:rFonts w:eastAsia="Arial" w:cs="Arial"/>
          <w:sz w:val="20"/>
          <w:szCs w:val="20"/>
        </w:rPr>
        <w:t xml:space="preserve">prenehanju opravljanja </w:t>
      </w:r>
      <w:r w:rsidR="00DE7DBF" w:rsidRPr="00215B2F">
        <w:rPr>
          <w:rFonts w:eastAsia="Arial" w:cs="Arial"/>
          <w:sz w:val="20"/>
          <w:szCs w:val="20"/>
        </w:rPr>
        <w:t>posamez</w:t>
      </w:r>
      <w:r w:rsidRPr="00215B2F">
        <w:rPr>
          <w:rFonts w:eastAsia="Arial" w:cs="Arial"/>
          <w:sz w:val="20"/>
          <w:szCs w:val="20"/>
        </w:rPr>
        <w:t>nih storitev, ki jih opravlja banka;</w:t>
      </w:r>
    </w:p>
    <w:p w14:paraId="45C67D02" w14:textId="593E56D6" w:rsidR="00D91782" w:rsidRPr="00215B2F" w:rsidRDefault="00D91782" w:rsidP="003D4DE0">
      <w:pPr>
        <w:pStyle w:val="tevilnatoka"/>
        <w:numPr>
          <w:ilvl w:val="0"/>
          <w:numId w:val="177"/>
        </w:numPr>
        <w:shd w:val="clear" w:color="auto" w:fill="FFFFFF" w:themeFill="background1"/>
        <w:tabs>
          <w:tab w:val="clear" w:pos="425"/>
        </w:tabs>
        <w:rPr>
          <w:rFonts w:cs="Arial"/>
          <w:bCs/>
          <w:sz w:val="20"/>
          <w:szCs w:val="20"/>
        </w:rPr>
      </w:pPr>
      <w:r w:rsidRPr="00215B2F">
        <w:rPr>
          <w:rFonts w:eastAsia="Arial" w:cs="Arial"/>
          <w:sz w:val="20"/>
          <w:szCs w:val="20"/>
        </w:rPr>
        <w:t xml:space="preserve">o drugih dejstvih in okoliščinah, ki jih določi Banka Slovenije v podzakonskem predpisu iz </w:t>
      </w:r>
      <w:r w:rsidR="00C96E2E" w:rsidRPr="00215B2F">
        <w:rPr>
          <w:rFonts w:eastAsia="Arial" w:cs="Arial"/>
          <w:sz w:val="20"/>
          <w:szCs w:val="20"/>
        </w:rPr>
        <w:t>184</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in so pomembn</w:t>
      </w:r>
      <w:r w:rsidR="00DE7DBF" w:rsidRPr="00215B2F">
        <w:rPr>
          <w:rFonts w:eastAsia="Arial" w:cs="Arial"/>
          <w:sz w:val="20"/>
          <w:szCs w:val="20"/>
        </w:rPr>
        <w:t>i</w:t>
      </w:r>
      <w:r w:rsidRPr="00215B2F">
        <w:rPr>
          <w:rFonts w:eastAsia="Arial" w:cs="Arial"/>
          <w:sz w:val="20"/>
          <w:szCs w:val="20"/>
        </w:rPr>
        <w:t xml:space="preserve"> za presojo, ali banka posluje v skladu s predpisi iz </w:t>
      </w:r>
      <w:r w:rsidR="00702635" w:rsidRPr="00215B2F">
        <w:rPr>
          <w:rFonts w:eastAsia="Arial" w:cs="Arial"/>
          <w:sz w:val="20"/>
          <w:szCs w:val="20"/>
        </w:rPr>
        <w:t>tretjega</w:t>
      </w:r>
      <w:r w:rsidRPr="00215B2F">
        <w:rPr>
          <w:rFonts w:eastAsia="Arial" w:cs="Arial"/>
          <w:sz w:val="20"/>
          <w:szCs w:val="20"/>
        </w:rPr>
        <w:t xml:space="preserve"> odstavka 9. </w:t>
      </w:r>
      <w:r w:rsidR="001F2C7A" w:rsidRPr="00215B2F">
        <w:rPr>
          <w:rFonts w:eastAsia="Arial" w:cs="Arial"/>
          <w:sz w:val="20"/>
          <w:szCs w:val="20"/>
        </w:rPr>
        <w:t>člena tega zakona</w:t>
      </w:r>
      <w:r w:rsidRPr="00215B2F">
        <w:rPr>
          <w:rFonts w:eastAsia="Arial" w:cs="Arial"/>
          <w:sz w:val="20"/>
          <w:szCs w:val="20"/>
        </w:rPr>
        <w:t>.</w:t>
      </w:r>
    </w:p>
    <w:p w14:paraId="09F148FB"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AB68633" w14:textId="476C39F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Uprava banke mora Banko nemudoma obvestiti:</w:t>
      </w:r>
    </w:p>
    <w:p w14:paraId="1C822198"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0A417009" w14:textId="77777777" w:rsidR="00AD740A" w:rsidRPr="00215B2F" w:rsidRDefault="00D91782" w:rsidP="003D4DE0">
      <w:pPr>
        <w:pStyle w:val="tevilnatoka"/>
        <w:numPr>
          <w:ilvl w:val="0"/>
          <w:numId w:val="178"/>
        </w:numPr>
        <w:shd w:val="clear" w:color="auto" w:fill="FFFFFF" w:themeFill="background1"/>
        <w:tabs>
          <w:tab w:val="clear" w:pos="425"/>
        </w:tabs>
        <w:rPr>
          <w:rFonts w:cs="Arial"/>
          <w:bCs/>
          <w:sz w:val="20"/>
          <w:szCs w:val="20"/>
        </w:rPr>
      </w:pPr>
      <w:r w:rsidRPr="00215B2F">
        <w:rPr>
          <w:rFonts w:eastAsia="Arial" w:cs="Arial"/>
          <w:sz w:val="20"/>
          <w:szCs w:val="20"/>
        </w:rPr>
        <w:t>če banka na zahtevo vlagatelja ni sposobna izplačati njegove dospele vloge;</w:t>
      </w:r>
    </w:p>
    <w:p w14:paraId="35377770" w14:textId="24697F97" w:rsidR="00AD740A" w:rsidRPr="00215B2F" w:rsidRDefault="00D91782" w:rsidP="003D4DE0">
      <w:pPr>
        <w:pStyle w:val="tevilnatoka"/>
        <w:numPr>
          <w:ilvl w:val="0"/>
          <w:numId w:val="178"/>
        </w:numPr>
        <w:shd w:val="clear" w:color="auto" w:fill="FFFFFF" w:themeFill="background1"/>
        <w:tabs>
          <w:tab w:val="clear" w:pos="425"/>
        </w:tabs>
        <w:rPr>
          <w:rFonts w:cs="Arial"/>
          <w:bCs/>
          <w:sz w:val="20"/>
          <w:szCs w:val="20"/>
        </w:rPr>
      </w:pPr>
      <w:r w:rsidRPr="00215B2F">
        <w:rPr>
          <w:rFonts w:eastAsia="Arial" w:cs="Arial"/>
          <w:sz w:val="20"/>
          <w:szCs w:val="20"/>
        </w:rPr>
        <w:t xml:space="preserve">če se položaj banke spremeni tako, da banka ne zagotavlja ali verjetno ne bo zagotavljala kapitalske ustreznosti iz </w:t>
      </w:r>
      <w:r w:rsidR="00C96E2E" w:rsidRPr="00215B2F">
        <w:rPr>
          <w:rFonts w:eastAsia="Arial" w:cs="Arial"/>
          <w:sz w:val="20"/>
          <w:szCs w:val="20"/>
        </w:rPr>
        <w:t>178</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ali ustrezne likvidnosti iz </w:t>
      </w:r>
      <w:r w:rsidR="00C96E2E" w:rsidRPr="00215B2F">
        <w:rPr>
          <w:rFonts w:eastAsia="Arial" w:cs="Arial"/>
          <w:sz w:val="20"/>
          <w:szCs w:val="20"/>
        </w:rPr>
        <w:t>179</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13C30D1D" w14:textId="674ACC54" w:rsidR="00AD740A" w:rsidRPr="00215B2F" w:rsidRDefault="00D91782" w:rsidP="003D4DE0">
      <w:pPr>
        <w:pStyle w:val="tevilnatoka"/>
        <w:numPr>
          <w:ilvl w:val="0"/>
          <w:numId w:val="178"/>
        </w:numPr>
        <w:shd w:val="clear" w:color="auto" w:fill="FFFFFF" w:themeFill="background1"/>
        <w:tabs>
          <w:tab w:val="clear" w:pos="425"/>
        </w:tabs>
        <w:rPr>
          <w:rFonts w:cs="Arial"/>
          <w:bCs/>
          <w:sz w:val="20"/>
          <w:szCs w:val="20"/>
        </w:rPr>
      </w:pPr>
      <w:r w:rsidRPr="00215B2F">
        <w:rPr>
          <w:rFonts w:eastAsia="Arial" w:cs="Arial"/>
          <w:sz w:val="20"/>
          <w:szCs w:val="20"/>
        </w:rPr>
        <w:t>če je banka začela obširnejšo prenovo informacijskih sistemov ali razvoj nove ponudbe storitev, ki so pretežno podprte z informacijsko tehnologijo;</w:t>
      </w:r>
    </w:p>
    <w:p w14:paraId="4939B1F4" w14:textId="0BDBDCBD" w:rsidR="00D91782" w:rsidRPr="00215B2F" w:rsidRDefault="00DE7DBF" w:rsidP="003D4DE0">
      <w:pPr>
        <w:pStyle w:val="tevilnatoka"/>
        <w:numPr>
          <w:ilvl w:val="0"/>
          <w:numId w:val="178"/>
        </w:numPr>
        <w:shd w:val="clear" w:color="auto" w:fill="FFFFFF" w:themeFill="background1"/>
        <w:tabs>
          <w:tab w:val="clear" w:pos="425"/>
        </w:tabs>
        <w:rPr>
          <w:rFonts w:cs="Arial"/>
          <w:bCs/>
          <w:sz w:val="20"/>
          <w:szCs w:val="20"/>
        </w:rPr>
      </w:pPr>
      <w:r w:rsidRPr="00215B2F">
        <w:rPr>
          <w:rFonts w:eastAsia="Arial" w:cs="Arial"/>
          <w:sz w:val="20"/>
          <w:szCs w:val="20"/>
        </w:rPr>
        <w:t xml:space="preserve">o </w:t>
      </w:r>
      <w:r w:rsidR="00D91782" w:rsidRPr="00215B2F">
        <w:rPr>
          <w:rFonts w:eastAsia="Arial" w:cs="Arial"/>
          <w:sz w:val="20"/>
          <w:szCs w:val="20"/>
        </w:rPr>
        <w:t>drugih dogodkih, ki lahko pomembno vplivajo na poslovanje banke v skladu s pravili o upravljanju tveganj.</w:t>
      </w:r>
    </w:p>
    <w:p w14:paraId="456CBA70"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77394648"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r w:rsidRPr="00215B2F">
        <w:rPr>
          <w:rFonts w:ascii="Arial" w:eastAsia="Arial" w:hAnsi="Arial" w:cs="Arial"/>
          <w:sz w:val="20"/>
          <w:szCs w:val="20"/>
        </w:rPr>
        <w:t xml:space="preserve">7. POGLAVJE: </w:t>
      </w:r>
      <w:r w:rsidRPr="00215B2F">
        <w:rPr>
          <w:rFonts w:ascii="Arial" w:eastAsia="Arial" w:hAnsi="Arial" w:cs="Arial"/>
          <w:sz w:val="20"/>
          <w:szCs w:val="20"/>
        </w:rPr>
        <w:br/>
        <w:t>KAPITALSKI BLAŽILNIKI</w:t>
      </w:r>
    </w:p>
    <w:p w14:paraId="6B4A3210"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186F7E09" w14:textId="572D75EB"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7.1 SPLOŠNE DOLOČBE</w:t>
      </w:r>
    </w:p>
    <w:p w14:paraId="0842DA3E"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07BB2E2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24" w:name="_Ref202965512"/>
      <w:r w:rsidRPr="00215B2F">
        <w:rPr>
          <w:rFonts w:ascii="Arial" w:eastAsia="Arial" w:hAnsi="Arial" w:cs="Arial"/>
          <w:b/>
          <w:bCs/>
          <w:sz w:val="20"/>
          <w:szCs w:val="20"/>
        </w:rPr>
        <w:t>člen</w:t>
      </w:r>
      <w:bookmarkEnd w:id="324"/>
    </w:p>
    <w:p w14:paraId="255CE59C" w14:textId="77777777" w:rsidR="00D91782" w:rsidRPr="00215B2F" w:rsidRDefault="00D91782" w:rsidP="00FD5520">
      <w:pPr>
        <w:pStyle w:val="Slog1"/>
        <w:shd w:val="clear" w:color="auto" w:fill="FFFFFF" w:themeFill="background1"/>
        <w:rPr>
          <w:sz w:val="20"/>
          <w:szCs w:val="20"/>
        </w:rPr>
      </w:pPr>
      <w:r w:rsidRPr="00215B2F">
        <w:rPr>
          <w:sz w:val="20"/>
          <w:szCs w:val="20"/>
        </w:rPr>
        <w:t>(pomen izrazov)</w:t>
      </w:r>
    </w:p>
    <w:p w14:paraId="77E15687" w14:textId="77777777" w:rsidR="00D91782" w:rsidRPr="00215B2F" w:rsidRDefault="00D91782" w:rsidP="00FD5520">
      <w:pPr>
        <w:pStyle w:val="Slog1"/>
        <w:shd w:val="clear" w:color="auto" w:fill="FFFFFF" w:themeFill="background1"/>
        <w:jc w:val="both"/>
        <w:rPr>
          <w:sz w:val="20"/>
          <w:szCs w:val="20"/>
        </w:rPr>
      </w:pPr>
    </w:p>
    <w:p w14:paraId="1AC1767A" w14:textId="2CA4203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Izrazi, uporabljeni v tem </w:t>
      </w:r>
      <w:r w:rsidR="001F2C7A" w:rsidRPr="00215B2F">
        <w:rPr>
          <w:rFonts w:ascii="Arial" w:eastAsia="Arial" w:hAnsi="Arial" w:cs="Arial"/>
          <w:sz w:val="20"/>
          <w:szCs w:val="20"/>
        </w:rPr>
        <w:t>poglavju</w:t>
      </w:r>
      <w:r w:rsidRPr="00215B2F">
        <w:rPr>
          <w:rFonts w:ascii="Arial" w:eastAsia="Arial" w:hAnsi="Arial" w:cs="Arial"/>
          <w:sz w:val="20"/>
          <w:szCs w:val="20"/>
        </w:rPr>
        <w:t>, pomenijo:</w:t>
      </w:r>
    </w:p>
    <w:p w14:paraId="7DF10AF8"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1C0383DD" w14:textId="2F74C4DC" w:rsidR="00AD740A" w:rsidRPr="00215B2F" w:rsidRDefault="00D91782" w:rsidP="003D4DE0">
      <w:pPr>
        <w:pStyle w:val="tevilnatoka"/>
        <w:numPr>
          <w:ilvl w:val="0"/>
          <w:numId w:val="179"/>
        </w:numPr>
        <w:shd w:val="clear" w:color="auto" w:fill="FFFFFF" w:themeFill="background1"/>
        <w:tabs>
          <w:tab w:val="clear" w:pos="425"/>
        </w:tabs>
        <w:rPr>
          <w:rFonts w:cs="Arial"/>
          <w:bCs/>
          <w:sz w:val="20"/>
          <w:szCs w:val="20"/>
        </w:rPr>
      </w:pPr>
      <w:r w:rsidRPr="00215B2F">
        <w:rPr>
          <w:rFonts w:eastAsia="Arial" w:cs="Arial"/>
          <w:sz w:val="20"/>
          <w:szCs w:val="20"/>
        </w:rPr>
        <w:t xml:space="preserve">»varovalni kapitalski blažilnik« </w:t>
      </w:r>
      <w:r w:rsidR="003E4351" w:rsidRPr="00215B2F">
        <w:rPr>
          <w:rFonts w:eastAsia="Arial" w:cs="Arial"/>
          <w:sz w:val="20"/>
          <w:szCs w:val="20"/>
        </w:rPr>
        <w:t xml:space="preserve">je </w:t>
      </w:r>
      <w:r w:rsidRPr="00215B2F">
        <w:rPr>
          <w:rFonts w:eastAsia="Arial" w:cs="Arial"/>
          <w:sz w:val="20"/>
          <w:szCs w:val="20"/>
        </w:rPr>
        <w:t xml:space="preserve">kapital, ki ga mora banka zagotavljati v skladu z </w:t>
      </w:r>
      <w:r w:rsidR="00C96E2E" w:rsidRPr="00215B2F">
        <w:rPr>
          <w:rFonts w:eastAsia="Arial" w:cs="Arial"/>
          <w:sz w:val="20"/>
          <w:szCs w:val="20"/>
        </w:rPr>
        <w:t>273</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w:t>
      </w:r>
    </w:p>
    <w:p w14:paraId="38BA6006" w14:textId="2DB0EE76" w:rsidR="00AD740A" w:rsidRPr="00215B2F" w:rsidRDefault="00D91782" w:rsidP="003D4DE0">
      <w:pPr>
        <w:pStyle w:val="tevilnatoka"/>
        <w:numPr>
          <w:ilvl w:val="0"/>
          <w:numId w:val="179"/>
        </w:numPr>
        <w:shd w:val="clear" w:color="auto" w:fill="FFFFFF" w:themeFill="background1"/>
        <w:tabs>
          <w:tab w:val="clear" w:pos="425"/>
        </w:tabs>
        <w:rPr>
          <w:rFonts w:cs="Arial"/>
          <w:bCs/>
          <w:sz w:val="20"/>
          <w:szCs w:val="20"/>
        </w:rPr>
      </w:pPr>
      <w:r w:rsidRPr="00215B2F">
        <w:rPr>
          <w:rFonts w:eastAsia="Arial" w:cs="Arial"/>
          <w:sz w:val="20"/>
          <w:szCs w:val="20"/>
        </w:rPr>
        <w:t>»posamezni banki lastn</w:t>
      </w:r>
      <w:r w:rsidR="00EF223C" w:rsidRPr="00215B2F">
        <w:rPr>
          <w:rFonts w:eastAsia="Arial" w:cs="Arial"/>
          <w:sz w:val="20"/>
          <w:szCs w:val="20"/>
        </w:rPr>
        <w:t>i</w:t>
      </w:r>
      <w:r w:rsidRPr="00215B2F">
        <w:rPr>
          <w:rFonts w:eastAsia="Arial" w:cs="Arial"/>
          <w:sz w:val="20"/>
          <w:szCs w:val="20"/>
        </w:rPr>
        <w:t xml:space="preserve"> proticiklični kapitalski blažilnik« </w:t>
      </w:r>
      <w:r w:rsidR="003E4351" w:rsidRPr="00215B2F">
        <w:rPr>
          <w:rFonts w:eastAsia="Arial" w:cs="Arial"/>
          <w:sz w:val="20"/>
          <w:szCs w:val="20"/>
        </w:rPr>
        <w:t xml:space="preserve">je </w:t>
      </w:r>
      <w:r w:rsidRPr="00215B2F">
        <w:rPr>
          <w:rFonts w:eastAsia="Arial" w:cs="Arial"/>
          <w:sz w:val="20"/>
          <w:szCs w:val="20"/>
        </w:rPr>
        <w:t xml:space="preserve">kapital, ki ga mora banka zagotavljati v skladu z </w:t>
      </w:r>
      <w:r w:rsidR="00C96E2E" w:rsidRPr="00215B2F">
        <w:rPr>
          <w:rFonts w:eastAsia="Arial" w:cs="Arial"/>
          <w:sz w:val="20"/>
          <w:szCs w:val="20"/>
        </w:rPr>
        <w:t>274</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w:t>
      </w:r>
    </w:p>
    <w:p w14:paraId="581A7AA1" w14:textId="77B8E3BB" w:rsidR="00AD740A" w:rsidRPr="00215B2F" w:rsidRDefault="00D91782" w:rsidP="003D4DE0">
      <w:pPr>
        <w:pStyle w:val="tevilnatoka"/>
        <w:numPr>
          <w:ilvl w:val="0"/>
          <w:numId w:val="179"/>
        </w:numPr>
        <w:shd w:val="clear" w:color="auto" w:fill="FFFFFF" w:themeFill="background1"/>
        <w:tabs>
          <w:tab w:val="clear" w:pos="425"/>
        </w:tabs>
        <w:rPr>
          <w:rFonts w:cs="Arial"/>
          <w:bCs/>
          <w:sz w:val="20"/>
          <w:szCs w:val="20"/>
        </w:rPr>
      </w:pPr>
      <w:r w:rsidRPr="00215B2F">
        <w:rPr>
          <w:rFonts w:eastAsia="Arial" w:cs="Arial"/>
          <w:sz w:val="20"/>
          <w:szCs w:val="20"/>
        </w:rPr>
        <w:t xml:space="preserve">»blažilnik za GSPB« </w:t>
      </w:r>
      <w:r w:rsidR="003E4351" w:rsidRPr="00215B2F">
        <w:rPr>
          <w:rFonts w:eastAsia="Arial" w:cs="Arial"/>
          <w:sz w:val="20"/>
          <w:szCs w:val="20"/>
        </w:rPr>
        <w:t xml:space="preserve">je </w:t>
      </w:r>
      <w:r w:rsidRPr="00215B2F">
        <w:rPr>
          <w:rFonts w:eastAsia="Arial" w:cs="Arial"/>
          <w:sz w:val="20"/>
          <w:szCs w:val="20"/>
        </w:rPr>
        <w:t xml:space="preserve">kapital, ki ga mora banka zagotavljati v skladu z </w:t>
      </w:r>
      <w:r w:rsidR="00C96E2E" w:rsidRPr="00215B2F">
        <w:rPr>
          <w:rFonts w:eastAsia="Arial" w:cs="Arial"/>
          <w:sz w:val="20"/>
          <w:szCs w:val="20"/>
        </w:rPr>
        <w:t>285</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w:t>
      </w:r>
    </w:p>
    <w:p w14:paraId="7A3D2492" w14:textId="0B0565FD" w:rsidR="00AD740A" w:rsidRPr="00215B2F" w:rsidRDefault="00D91782" w:rsidP="003D4DE0">
      <w:pPr>
        <w:pStyle w:val="tevilnatoka"/>
        <w:numPr>
          <w:ilvl w:val="0"/>
          <w:numId w:val="179"/>
        </w:numPr>
        <w:shd w:val="clear" w:color="auto" w:fill="FFFFFF" w:themeFill="background1"/>
        <w:tabs>
          <w:tab w:val="clear" w:pos="425"/>
        </w:tabs>
        <w:rPr>
          <w:rFonts w:cs="Arial"/>
          <w:bCs/>
          <w:sz w:val="20"/>
          <w:szCs w:val="20"/>
        </w:rPr>
      </w:pPr>
      <w:r w:rsidRPr="00215B2F">
        <w:rPr>
          <w:rFonts w:eastAsia="Arial" w:cs="Arial"/>
          <w:sz w:val="20"/>
          <w:szCs w:val="20"/>
        </w:rPr>
        <w:t xml:space="preserve">»blažilnik za DSPB« </w:t>
      </w:r>
      <w:r w:rsidR="003E4351" w:rsidRPr="00215B2F">
        <w:rPr>
          <w:rFonts w:eastAsia="Arial" w:cs="Arial"/>
          <w:sz w:val="20"/>
          <w:szCs w:val="20"/>
        </w:rPr>
        <w:t xml:space="preserve">je </w:t>
      </w:r>
      <w:r w:rsidRPr="00215B2F">
        <w:rPr>
          <w:rFonts w:eastAsia="Arial" w:cs="Arial"/>
          <w:sz w:val="20"/>
          <w:szCs w:val="20"/>
        </w:rPr>
        <w:t xml:space="preserve">kapital, ki ga mora banka zagotavljati v skladu z </w:t>
      </w:r>
      <w:r w:rsidR="00C96E2E" w:rsidRPr="00215B2F">
        <w:rPr>
          <w:rFonts w:eastAsia="Arial" w:cs="Arial"/>
          <w:sz w:val="20"/>
          <w:szCs w:val="20"/>
        </w:rPr>
        <w:t>286</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w:t>
      </w:r>
    </w:p>
    <w:p w14:paraId="7769FAF4" w14:textId="6926417F" w:rsidR="00AD740A" w:rsidRPr="00215B2F" w:rsidRDefault="00D91782" w:rsidP="003D4DE0">
      <w:pPr>
        <w:pStyle w:val="tevilnatoka"/>
        <w:numPr>
          <w:ilvl w:val="0"/>
          <w:numId w:val="179"/>
        </w:numPr>
        <w:shd w:val="clear" w:color="auto" w:fill="FFFFFF" w:themeFill="background1"/>
        <w:tabs>
          <w:tab w:val="clear" w:pos="425"/>
        </w:tabs>
        <w:rPr>
          <w:rFonts w:cs="Arial"/>
          <w:bCs/>
          <w:sz w:val="20"/>
          <w:szCs w:val="20"/>
        </w:rPr>
      </w:pPr>
      <w:r w:rsidRPr="00215B2F">
        <w:rPr>
          <w:rFonts w:eastAsia="Arial" w:cs="Arial"/>
          <w:sz w:val="20"/>
          <w:szCs w:val="20"/>
        </w:rPr>
        <w:t xml:space="preserve">»blažilnik sistemskih tveganj« </w:t>
      </w:r>
      <w:r w:rsidR="003E4351" w:rsidRPr="00215B2F">
        <w:rPr>
          <w:rFonts w:eastAsia="Arial" w:cs="Arial"/>
          <w:sz w:val="20"/>
          <w:szCs w:val="20"/>
        </w:rPr>
        <w:t xml:space="preserve">je </w:t>
      </w:r>
      <w:r w:rsidRPr="00215B2F">
        <w:rPr>
          <w:rFonts w:eastAsia="Arial" w:cs="Arial"/>
          <w:sz w:val="20"/>
          <w:szCs w:val="20"/>
        </w:rPr>
        <w:t xml:space="preserve">kapital, ki ga mora banka zagotavljati v skladu z </w:t>
      </w:r>
      <w:r w:rsidR="00C96E2E" w:rsidRPr="00215B2F">
        <w:rPr>
          <w:rFonts w:eastAsia="Arial" w:cs="Arial"/>
          <w:sz w:val="20"/>
          <w:szCs w:val="20"/>
        </w:rPr>
        <w:t>288</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w:t>
      </w:r>
    </w:p>
    <w:p w14:paraId="62093963" w14:textId="7BAB93E1" w:rsidR="00D91782" w:rsidRPr="00215B2F" w:rsidRDefault="00D91782" w:rsidP="003D4DE0">
      <w:pPr>
        <w:pStyle w:val="tevilnatoka"/>
        <w:numPr>
          <w:ilvl w:val="0"/>
          <w:numId w:val="179"/>
        </w:numPr>
        <w:shd w:val="clear" w:color="auto" w:fill="FFFFFF" w:themeFill="background1"/>
        <w:tabs>
          <w:tab w:val="clear" w:pos="425"/>
        </w:tabs>
        <w:rPr>
          <w:rFonts w:cs="Arial"/>
          <w:bCs/>
          <w:sz w:val="20"/>
          <w:szCs w:val="20"/>
        </w:rPr>
      </w:pPr>
      <w:r w:rsidRPr="00215B2F">
        <w:rPr>
          <w:rFonts w:eastAsia="Arial" w:cs="Arial"/>
          <w:sz w:val="20"/>
          <w:szCs w:val="20"/>
        </w:rPr>
        <w:t xml:space="preserve">»zahteva po skupnem blažilniku« </w:t>
      </w:r>
      <w:r w:rsidR="003E4351" w:rsidRPr="00215B2F">
        <w:rPr>
          <w:rFonts w:eastAsia="Arial" w:cs="Arial"/>
          <w:sz w:val="20"/>
          <w:szCs w:val="20"/>
        </w:rPr>
        <w:t xml:space="preserve">je </w:t>
      </w:r>
      <w:r w:rsidRPr="00215B2F">
        <w:rPr>
          <w:rFonts w:eastAsia="Arial" w:cs="Arial"/>
          <w:sz w:val="20"/>
          <w:szCs w:val="20"/>
        </w:rPr>
        <w:t>celotn</w:t>
      </w:r>
      <w:r w:rsidR="00EF223C" w:rsidRPr="00215B2F">
        <w:rPr>
          <w:rFonts w:eastAsia="Arial" w:cs="Arial"/>
          <w:sz w:val="20"/>
          <w:szCs w:val="20"/>
        </w:rPr>
        <w:t>i</w:t>
      </w:r>
      <w:r w:rsidRPr="00215B2F">
        <w:rPr>
          <w:rFonts w:eastAsia="Arial" w:cs="Arial"/>
          <w:sz w:val="20"/>
          <w:szCs w:val="20"/>
        </w:rPr>
        <w:t xml:space="preserve"> navadn</w:t>
      </w:r>
      <w:r w:rsidR="00EF223C" w:rsidRPr="00215B2F">
        <w:rPr>
          <w:rFonts w:eastAsia="Arial" w:cs="Arial"/>
          <w:sz w:val="20"/>
          <w:szCs w:val="20"/>
        </w:rPr>
        <w:t>i</w:t>
      </w:r>
      <w:r w:rsidRPr="00215B2F">
        <w:rPr>
          <w:rFonts w:eastAsia="Arial" w:cs="Arial"/>
          <w:sz w:val="20"/>
          <w:szCs w:val="20"/>
        </w:rPr>
        <w:t xml:space="preserve"> lastniški temeljni kapital, ki ga mora banka zagotavljati za izpolnjevanje zahtev v zvezi z:</w:t>
      </w:r>
    </w:p>
    <w:p w14:paraId="358A81D6"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varovalnim kapitalskim blažilnikom,</w:t>
      </w:r>
    </w:p>
    <w:p w14:paraId="4CE60CD4"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posamezni banki lastnim proticikličnim kapitalskim blažilnikom,</w:t>
      </w:r>
    </w:p>
    <w:p w14:paraId="2B82E7CF"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blažilnikom za GSPB,</w:t>
      </w:r>
    </w:p>
    <w:p w14:paraId="1B2C5CB3"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blažilnikom za DSPB,</w:t>
      </w:r>
    </w:p>
    <w:p w14:paraId="371B74A7" w14:textId="5EFFECCD"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blažilnikom sistemskih tveganj;</w:t>
      </w:r>
    </w:p>
    <w:p w14:paraId="2608FB7D" w14:textId="597D38BB" w:rsidR="00AD740A" w:rsidRPr="00215B2F" w:rsidRDefault="00D91782" w:rsidP="00543D80">
      <w:pPr>
        <w:pStyle w:val="tevilnatoka"/>
        <w:rPr>
          <w:rFonts w:cs="Arial"/>
          <w:bCs/>
          <w:sz w:val="20"/>
          <w:szCs w:val="20"/>
        </w:rPr>
      </w:pPr>
      <w:r w:rsidRPr="00215B2F">
        <w:rPr>
          <w:rFonts w:eastAsia="Arial" w:cs="Arial"/>
          <w:sz w:val="20"/>
          <w:szCs w:val="20"/>
        </w:rPr>
        <w:t xml:space="preserve">»stopnja proticikličnega blažilnika« </w:t>
      </w:r>
      <w:r w:rsidR="003E4351" w:rsidRPr="00215B2F">
        <w:rPr>
          <w:rFonts w:eastAsia="Arial" w:cs="Arial"/>
          <w:sz w:val="20"/>
          <w:szCs w:val="20"/>
        </w:rPr>
        <w:t>je stopnja</w:t>
      </w:r>
      <w:r w:rsidRPr="00215B2F">
        <w:rPr>
          <w:rFonts w:eastAsia="Arial" w:cs="Arial"/>
          <w:sz w:val="20"/>
          <w:szCs w:val="20"/>
        </w:rPr>
        <w:t xml:space="preserve">, ki jo mora uporabljati banka za izračun banki lastnega proticikličnega kapitalskega blažilnika in ki je določena v skladu z </w:t>
      </w:r>
      <w:r w:rsidR="00C96E2E" w:rsidRPr="00215B2F">
        <w:rPr>
          <w:rFonts w:eastAsia="Arial" w:cs="Arial"/>
          <w:sz w:val="20"/>
          <w:szCs w:val="20"/>
        </w:rPr>
        <w:t>275</w:t>
      </w:r>
      <w:r w:rsidRPr="00215B2F">
        <w:rPr>
          <w:rFonts w:eastAsia="Arial" w:cs="Arial"/>
          <w:sz w:val="20"/>
          <w:szCs w:val="20"/>
        </w:rPr>
        <w:t xml:space="preserve">. do </w:t>
      </w:r>
      <w:r w:rsidR="00C96E2E" w:rsidRPr="00215B2F">
        <w:rPr>
          <w:rFonts w:eastAsia="Arial" w:cs="Arial"/>
          <w:sz w:val="20"/>
          <w:szCs w:val="20"/>
        </w:rPr>
        <w:t>278</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 xml:space="preserve"> ali </w:t>
      </w:r>
      <w:r w:rsidR="00EF223C" w:rsidRPr="00215B2F">
        <w:rPr>
          <w:rFonts w:eastAsia="Arial" w:cs="Arial"/>
          <w:sz w:val="20"/>
          <w:szCs w:val="20"/>
        </w:rPr>
        <w:t>jo določi</w:t>
      </w:r>
      <w:r w:rsidRPr="00215B2F">
        <w:rPr>
          <w:rFonts w:eastAsia="Arial" w:cs="Arial"/>
          <w:sz w:val="20"/>
          <w:szCs w:val="20"/>
        </w:rPr>
        <w:t xml:space="preserve"> ustrezn</w:t>
      </w:r>
      <w:r w:rsidR="00EF223C" w:rsidRPr="00215B2F">
        <w:rPr>
          <w:rFonts w:eastAsia="Arial" w:cs="Arial"/>
          <w:sz w:val="20"/>
          <w:szCs w:val="20"/>
        </w:rPr>
        <w:t>i</w:t>
      </w:r>
      <w:r w:rsidRPr="00215B2F">
        <w:rPr>
          <w:rFonts w:eastAsia="Arial" w:cs="Arial"/>
          <w:sz w:val="20"/>
          <w:szCs w:val="20"/>
        </w:rPr>
        <w:t xml:space="preserve"> organ tretje države;</w:t>
      </w:r>
    </w:p>
    <w:p w14:paraId="3FD30394" w14:textId="25AD3C22" w:rsidR="00AD740A" w:rsidRPr="00215B2F" w:rsidRDefault="00D91782" w:rsidP="00543D80">
      <w:pPr>
        <w:pStyle w:val="tevilnatoka"/>
        <w:rPr>
          <w:rFonts w:cs="Arial"/>
          <w:bCs/>
          <w:sz w:val="20"/>
          <w:szCs w:val="20"/>
        </w:rPr>
      </w:pPr>
      <w:r w:rsidRPr="00215B2F">
        <w:rPr>
          <w:rFonts w:eastAsia="Arial" w:cs="Arial"/>
          <w:sz w:val="20"/>
          <w:szCs w:val="20"/>
        </w:rPr>
        <w:t xml:space="preserve">»vodilo za blažilnik« </w:t>
      </w:r>
      <w:r w:rsidR="003E4351" w:rsidRPr="00215B2F">
        <w:rPr>
          <w:rFonts w:eastAsia="Arial" w:cs="Arial"/>
          <w:sz w:val="20"/>
          <w:szCs w:val="20"/>
        </w:rPr>
        <w:t xml:space="preserve">je referenčna stopnja </w:t>
      </w:r>
      <w:r w:rsidRPr="00215B2F">
        <w:rPr>
          <w:rFonts w:eastAsia="Arial" w:cs="Arial"/>
          <w:sz w:val="20"/>
          <w:szCs w:val="20"/>
        </w:rPr>
        <w:t xml:space="preserve">blažilnika, </w:t>
      </w:r>
      <w:r w:rsidR="003E4351" w:rsidRPr="00215B2F">
        <w:rPr>
          <w:rFonts w:eastAsia="Arial" w:cs="Arial"/>
          <w:sz w:val="20"/>
          <w:szCs w:val="20"/>
        </w:rPr>
        <w:t xml:space="preserve">izračunana </w:t>
      </w:r>
      <w:r w:rsidRPr="00215B2F">
        <w:rPr>
          <w:rFonts w:eastAsia="Arial" w:cs="Arial"/>
          <w:sz w:val="20"/>
          <w:szCs w:val="20"/>
        </w:rPr>
        <w:t xml:space="preserve">v skladu z </w:t>
      </w:r>
      <w:r w:rsidR="00C96E2E" w:rsidRPr="00215B2F">
        <w:rPr>
          <w:rFonts w:eastAsia="Arial" w:cs="Arial"/>
          <w:sz w:val="20"/>
          <w:szCs w:val="20"/>
        </w:rPr>
        <w:t>275</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w:t>
      </w:r>
    </w:p>
    <w:p w14:paraId="4D2878BB" w14:textId="213CE6F5" w:rsidR="00AD740A" w:rsidRPr="00215B2F" w:rsidRDefault="00D91782" w:rsidP="00543D80">
      <w:pPr>
        <w:pStyle w:val="tevilnatoka"/>
        <w:rPr>
          <w:rFonts w:cs="Arial"/>
          <w:bCs/>
          <w:sz w:val="20"/>
          <w:szCs w:val="20"/>
        </w:rPr>
      </w:pPr>
      <w:r w:rsidRPr="00215B2F">
        <w:rPr>
          <w:rFonts w:eastAsia="Arial" w:cs="Arial"/>
          <w:sz w:val="20"/>
          <w:szCs w:val="20"/>
        </w:rPr>
        <w:t xml:space="preserve">»blažilnik količnika finančnega vzvoda« </w:t>
      </w:r>
      <w:r w:rsidR="003E4351" w:rsidRPr="00215B2F">
        <w:rPr>
          <w:rFonts w:eastAsia="Arial" w:cs="Arial"/>
          <w:sz w:val="20"/>
          <w:szCs w:val="20"/>
        </w:rPr>
        <w:t xml:space="preserve">je </w:t>
      </w:r>
      <w:r w:rsidRPr="00215B2F">
        <w:rPr>
          <w:rFonts w:eastAsia="Arial" w:cs="Arial"/>
          <w:sz w:val="20"/>
          <w:szCs w:val="20"/>
        </w:rPr>
        <w:t xml:space="preserve">temeljni kapital, ki ga mora banka zagotavljati za izpolnjevanje zahtev, ki so določene </w:t>
      </w:r>
      <w:r w:rsidR="00AA2AD1" w:rsidRPr="00215B2F">
        <w:rPr>
          <w:rFonts w:eastAsia="Arial" w:cs="Arial"/>
          <w:sz w:val="20"/>
          <w:szCs w:val="20"/>
        </w:rPr>
        <w:t xml:space="preserve">s 1a </w:t>
      </w:r>
      <w:r w:rsidRPr="00215B2F">
        <w:rPr>
          <w:rFonts w:eastAsia="Arial" w:cs="Arial"/>
          <w:sz w:val="20"/>
          <w:szCs w:val="20"/>
        </w:rPr>
        <w:t>odstavkom 92. člena Uredbe 575/2013/EU;</w:t>
      </w:r>
    </w:p>
    <w:p w14:paraId="30C92CBA" w14:textId="38751866" w:rsidR="00AD740A" w:rsidRPr="00215B2F" w:rsidRDefault="00D91782" w:rsidP="00543D80">
      <w:pPr>
        <w:pStyle w:val="tevilnatoka"/>
        <w:rPr>
          <w:rFonts w:cs="Arial"/>
          <w:bCs/>
          <w:sz w:val="20"/>
          <w:szCs w:val="20"/>
        </w:rPr>
      </w:pPr>
      <w:r w:rsidRPr="00215B2F">
        <w:rPr>
          <w:rFonts w:eastAsia="Arial" w:cs="Arial"/>
          <w:sz w:val="20"/>
          <w:szCs w:val="20"/>
        </w:rPr>
        <w:t xml:space="preserve">»znesek skupne izpostavljenosti tveganjem« </w:t>
      </w:r>
      <w:r w:rsidR="003E4351" w:rsidRPr="00215B2F">
        <w:rPr>
          <w:rFonts w:eastAsia="Arial" w:cs="Arial"/>
          <w:sz w:val="20"/>
          <w:szCs w:val="20"/>
        </w:rPr>
        <w:t xml:space="preserve">je </w:t>
      </w:r>
      <w:r w:rsidRPr="00215B2F">
        <w:rPr>
          <w:rFonts w:eastAsia="Arial" w:cs="Arial"/>
          <w:sz w:val="20"/>
          <w:szCs w:val="20"/>
        </w:rPr>
        <w:t>znesek izpostavljenosti tveganjem, izračunanim v skladu s tretjim odstavkom 92. člena Uredbe 575/2013/EU;</w:t>
      </w:r>
    </w:p>
    <w:p w14:paraId="3E2AC8CC" w14:textId="77777777" w:rsidR="00AD740A" w:rsidRPr="00215B2F" w:rsidRDefault="00D91782" w:rsidP="00543D80">
      <w:pPr>
        <w:pStyle w:val="tevilnatoka"/>
        <w:rPr>
          <w:rFonts w:cs="Arial"/>
          <w:bCs/>
          <w:sz w:val="20"/>
          <w:szCs w:val="20"/>
        </w:rPr>
      </w:pPr>
      <w:r w:rsidRPr="00215B2F">
        <w:rPr>
          <w:rFonts w:eastAsia="Arial" w:cs="Arial"/>
          <w:sz w:val="20"/>
          <w:szCs w:val="20"/>
        </w:rPr>
        <w:t>»GSPB« je globalna sistemsko pomembna banka, ki jo na konsolidirani podlagi kot globalno sistemsko pomembno banko opredeli Banka Slovenije v skladu s tem zakonom in Uredbo 1024/2013/EU;</w:t>
      </w:r>
    </w:p>
    <w:p w14:paraId="3B72441C" w14:textId="77777777" w:rsidR="00AD740A" w:rsidRPr="00215B2F" w:rsidRDefault="00D91782" w:rsidP="00543D80">
      <w:pPr>
        <w:pStyle w:val="tevilnatoka"/>
        <w:rPr>
          <w:rFonts w:cs="Arial"/>
          <w:bCs/>
          <w:sz w:val="20"/>
          <w:szCs w:val="20"/>
        </w:rPr>
      </w:pPr>
      <w:r w:rsidRPr="00215B2F">
        <w:rPr>
          <w:rFonts w:eastAsia="Arial" w:cs="Arial"/>
          <w:sz w:val="20"/>
          <w:szCs w:val="20"/>
        </w:rPr>
        <w:lastRenderedPageBreak/>
        <w:t>»DSPB« je druga sistemsko pomembna banka, ki jo na posamični, subkonsolidirani ali konsolidirani podlagi kot drugo sistemsko pomembno banko opredeli Banka Slovenije v skladu s tem zakonom in Uredbo 1024/2013/EU;</w:t>
      </w:r>
    </w:p>
    <w:p w14:paraId="07D47221" w14:textId="29ABAB8F" w:rsidR="00D91782" w:rsidRPr="00215B2F" w:rsidRDefault="00D91782" w:rsidP="00543D80">
      <w:pPr>
        <w:pStyle w:val="tevilnatoka"/>
        <w:rPr>
          <w:rFonts w:cs="Arial"/>
          <w:bCs/>
          <w:sz w:val="20"/>
          <w:szCs w:val="20"/>
        </w:rPr>
      </w:pPr>
      <w:r w:rsidRPr="00215B2F">
        <w:rPr>
          <w:rFonts w:eastAsia="Arial" w:cs="Arial"/>
          <w:sz w:val="20"/>
          <w:szCs w:val="20"/>
        </w:rPr>
        <w:t>»imenovani organ druge države« je organ druge države članice ali tretje države, ki je po pravu te države ali v skladu z Uredbo 1024/2013/EU pristojen za določanje zahtev glede kapitalskih blažilnikov, ki jih mora vzdrževati banka države članice ali tretje države, oziroma za opredelitev banke države članice ali tretje države kot GSPB ali DSPB.</w:t>
      </w:r>
    </w:p>
    <w:p w14:paraId="7C2B01A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8EC31B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25" w:name="_Ref202965519"/>
      <w:r w:rsidRPr="00215B2F">
        <w:rPr>
          <w:rFonts w:ascii="Arial" w:eastAsia="Arial" w:hAnsi="Arial" w:cs="Arial"/>
          <w:b/>
          <w:bCs/>
          <w:sz w:val="20"/>
          <w:szCs w:val="20"/>
        </w:rPr>
        <w:t>člen</w:t>
      </w:r>
      <w:bookmarkEnd w:id="325"/>
    </w:p>
    <w:p w14:paraId="5B5A9B5B" w14:textId="77777777" w:rsidR="00D91782" w:rsidRPr="00215B2F" w:rsidRDefault="00D91782" w:rsidP="00FD5520">
      <w:pPr>
        <w:pStyle w:val="Slog1"/>
        <w:shd w:val="clear" w:color="auto" w:fill="FFFFFF" w:themeFill="background1"/>
        <w:rPr>
          <w:sz w:val="20"/>
          <w:szCs w:val="20"/>
        </w:rPr>
      </w:pPr>
      <w:r w:rsidRPr="00215B2F">
        <w:rPr>
          <w:sz w:val="20"/>
          <w:szCs w:val="20"/>
        </w:rPr>
        <w:t>(pristojnosti Banke Slovenije)</w:t>
      </w:r>
    </w:p>
    <w:p w14:paraId="3E06D7BD" w14:textId="77777777" w:rsidR="00D91782" w:rsidRPr="00215B2F" w:rsidRDefault="00D91782" w:rsidP="00FD5520">
      <w:pPr>
        <w:pStyle w:val="Slog1"/>
        <w:shd w:val="clear" w:color="auto" w:fill="FFFFFF" w:themeFill="background1"/>
        <w:jc w:val="both"/>
        <w:rPr>
          <w:sz w:val="20"/>
          <w:szCs w:val="20"/>
        </w:rPr>
      </w:pPr>
    </w:p>
    <w:p w14:paraId="278F33C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v skladu s tem zakonom določi zahteve po vzdrževanju kapitalskih blažilnikov z namenom preprečevanja ali omejevanja makrobonitetnega in sistemskega tveganja.</w:t>
      </w:r>
    </w:p>
    <w:p w14:paraId="5E4B2FB6"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3BC2CD2F" w14:textId="7AB2547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Za namene iz prejšnjega odstavka Banka Slovenije določi zahteve po vzdrževanju enega ali več kapitalskih blažilnikov:</w:t>
      </w:r>
    </w:p>
    <w:p w14:paraId="2B5D5761"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0AC1469F" w14:textId="435FE82B" w:rsidR="00AD740A" w:rsidRPr="00215B2F" w:rsidRDefault="00D91782" w:rsidP="003D4DE0">
      <w:pPr>
        <w:pStyle w:val="tevilnatoka"/>
        <w:numPr>
          <w:ilvl w:val="0"/>
          <w:numId w:val="180"/>
        </w:numPr>
        <w:shd w:val="clear" w:color="auto" w:fill="FFFFFF" w:themeFill="background1"/>
        <w:tabs>
          <w:tab w:val="clear" w:pos="425"/>
        </w:tabs>
        <w:rPr>
          <w:rFonts w:cs="Arial"/>
          <w:bCs/>
          <w:sz w:val="20"/>
          <w:szCs w:val="20"/>
        </w:rPr>
      </w:pPr>
      <w:r w:rsidRPr="00215B2F">
        <w:rPr>
          <w:rFonts w:eastAsia="Arial" w:cs="Arial"/>
          <w:sz w:val="20"/>
          <w:szCs w:val="20"/>
        </w:rPr>
        <w:t xml:space="preserve">proticikličnega blažilnika iz </w:t>
      </w:r>
      <w:r w:rsidR="00C96E2E" w:rsidRPr="00215B2F">
        <w:rPr>
          <w:rFonts w:eastAsia="Arial" w:cs="Arial"/>
          <w:sz w:val="20"/>
          <w:szCs w:val="20"/>
        </w:rPr>
        <w:t>274</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0129AF99" w14:textId="1995F607" w:rsidR="00AD740A" w:rsidRPr="00215B2F" w:rsidRDefault="00D91782" w:rsidP="003D4DE0">
      <w:pPr>
        <w:pStyle w:val="tevilnatoka"/>
        <w:numPr>
          <w:ilvl w:val="0"/>
          <w:numId w:val="180"/>
        </w:numPr>
        <w:shd w:val="clear" w:color="auto" w:fill="FFFFFF" w:themeFill="background1"/>
        <w:tabs>
          <w:tab w:val="clear" w:pos="425"/>
        </w:tabs>
        <w:rPr>
          <w:rFonts w:cs="Arial"/>
          <w:bCs/>
          <w:sz w:val="20"/>
          <w:szCs w:val="20"/>
        </w:rPr>
      </w:pPr>
      <w:r w:rsidRPr="00215B2F">
        <w:rPr>
          <w:rFonts w:eastAsia="Arial" w:cs="Arial"/>
          <w:sz w:val="20"/>
          <w:szCs w:val="20"/>
        </w:rPr>
        <w:t xml:space="preserve">blažilnika za GSPB iz </w:t>
      </w:r>
      <w:r w:rsidR="00C96E2E" w:rsidRPr="00215B2F">
        <w:rPr>
          <w:rFonts w:eastAsia="Arial" w:cs="Arial"/>
          <w:sz w:val="20"/>
          <w:szCs w:val="20"/>
        </w:rPr>
        <w:t>285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6D746A1C" w14:textId="6711D13B" w:rsidR="00D91782" w:rsidRPr="00215B2F" w:rsidRDefault="00D91782" w:rsidP="003D4DE0">
      <w:pPr>
        <w:pStyle w:val="tevilnatoka"/>
        <w:numPr>
          <w:ilvl w:val="0"/>
          <w:numId w:val="180"/>
        </w:numPr>
        <w:shd w:val="clear" w:color="auto" w:fill="FFFFFF" w:themeFill="background1"/>
        <w:tabs>
          <w:tab w:val="clear" w:pos="425"/>
        </w:tabs>
        <w:rPr>
          <w:rFonts w:cs="Arial"/>
          <w:bCs/>
          <w:sz w:val="20"/>
          <w:szCs w:val="20"/>
        </w:rPr>
      </w:pPr>
      <w:r w:rsidRPr="00215B2F">
        <w:rPr>
          <w:rFonts w:eastAsia="Arial" w:cs="Arial"/>
          <w:sz w:val="20"/>
          <w:szCs w:val="20"/>
        </w:rPr>
        <w:t xml:space="preserve">blažilnika za DSPB iz </w:t>
      </w:r>
      <w:r w:rsidR="00C96E2E" w:rsidRPr="00215B2F">
        <w:rPr>
          <w:rFonts w:eastAsia="Arial" w:cs="Arial"/>
          <w:sz w:val="20"/>
          <w:szCs w:val="20"/>
        </w:rPr>
        <w:t>286</w:t>
      </w:r>
      <w:r w:rsidRPr="00215B2F">
        <w:rPr>
          <w:rFonts w:eastAsia="Arial" w:cs="Arial"/>
          <w:sz w:val="20"/>
          <w:szCs w:val="20"/>
        </w:rPr>
        <w:t xml:space="preserve">. </w:t>
      </w:r>
      <w:r w:rsidR="001F2C7A" w:rsidRPr="00215B2F">
        <w:rPr>
          <w:rFonts w:eastAsia="Arial" w:cs="Arial"/>
          <w:sz w:val="20"/>
          <w:szCs w:val="20"/>
        </w:rPr>
        <w:t>člena tega zakona</w:t>
      </w:r>
      <w:r w:rsidR="00BB1B7B" w:rsidRPr="00215B2F">
        <w:rPr>
          <w:rFonts w:eastAsia="Arial" w:cs="Arial"/>
          <w:sz w:val="20"/>
          <w:szCs w:val="20"/>
        </w:rPr>
        <w:t>;</w:t>
      </w:r>
    </w:p>
    <w:p w14:paraId="43BDC428" w14:textId="7204934D" w:rsidR="00BB1B7B" w:rsidRPr="00215B2F" w:rsidRDefault="00BB1B7B" w:rsidP="00BB1B7B">
      <w:pPr>
        <w:pStyle w:val="tevilnatoka"/>
        <w:numPr>
          <w:ilvl w:val="0"/>
          <w:numId w:val="180"/>
        </w:numPr>
        <w:shd w:val="clear" w:color="auto" w:fill="FFFFFF" w:themeFill="background1"/>
        <w:tabs>
          <w:tab w:val="clear" w:pos="425"/>
        </w:tabs>
        <w:rPr>
          <w:rFonts w:cs="Arial"/>
          <w:bCs/>
          <w:sz w:val="20"/>
          <w:szCs w:val="20"/>
        </w:rPr>
      </w:pPr>
      <w:r w:rsidRPr="00215B2F">
        <w:rPr>
          <w:rFonts w:eastAsia="Arial" w:cs="Arial"/>
          <w:sz w:val="20"/>
          <w:szCs w:val="20"/>
        </w:rPr>
        <w:t>blažilnika sistemskih tveganj iz 288. člena tega zakona.</w:t>
      </w:r>
    </w:p>
    <w:p w14:paraId="75D92117"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26179B33" w14:textId="7ABB131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obvesti Odbor za finančno stabilnost pred odločitvijo glede:</w:t>
      </w:r>
    </w:p>
    <w:p w14:paraId="51FFB3CD"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1EDD9EC8" w14:textId="77777777" w:rsidR="00AD740A" w:rsidRPr="00215B2F" w:rsidRDefault="00D91782" w:rsidP="003D4DE0">
      <w:pPr>
        <w:pStyle w:val="tevilnatoka"/>
        <w:numPr>
          <w:ilvl w:val="0"/>
          <w:numId w:val="181"/>
        </w:numPr>
        <w:shd w:val="clear" w:color="auto" w:fill="FFFFFF" w:themeFill="background1"/>
        <w:tabs>
          <w:tab w:val="clear" w:pos="425"/>
        </w:tabs>
        <w:rPr>
          <w:rFonts w:cs="Arial"/>
          <w:bCs/>
          <w:sz w:val="20"/>
          <w:szCs w:val="20"/>
        </w:rPr>
      </w:pPr>
      <w:r w:rsidRPr="00215B2F">
        <w:rPr>
          <w:rFonts w:eastAsia="Arial" w:cs="Arial"/>
          <w:sz w:val="20"/>
          <w:szCs w:val="20"/>
        </w:rPr>
        <w:t>določitve banke kot GSPB ali DSPB;</w:t>
      </w:r>
    </w:p>
    <w:p w14:paraId="05373A5D" w14:textId="77777777" w:rsidR="00AD740A" w:rsidRPr="00215B2F" w:rsidRDefault="00D91782" w:rsidP="00543D80">
      <w:pPr>
        <w:pStyle w:val="tevilnatoka"/>
        <w:rPr>
          <w:rFonts w:cs="Arial"/>
          <w:bCs/>
          <w:sz w:val="20"/>
          <w:szCs w:val="20"/>
        </w:rPr>
      </w:pPr>
      <w:r w:rsidRPr="00215B2F">
        <w:rPr>
          <w:rFonts w:eastAsia="Arial" w:cs="Arial"/>
          <w:sz w:val="20"/>
          <w:szCs w:val="20"/>
        </w:rPr>
        <w:t>zahteve v zvezi s proticikličnim kapitalskim blažilnikom;</w:t>
      </w:r>
    </w:p>
    <w:p w14:paraId="3BF07902" w14:textId="77777777" w:rsidR="00AD740A" w:rsidRPr="00215B2F" w:rsidRDefault="00D91782" w:rsidP="00543D80">
      <w:pPr>
        <w:pStyle w:val="tevilnatoka"/>
        <w:rPr>
          <w:rFonts w:cs="Arial"/>
          <w:bCs/>
          <w:sz w:val="20"/>
          <w:szCs w:val="20"/>
        </w:rPr>
      </w:pPr>
      <w:r w:rsidRPr="00215B2F">
        <w:rPr>
          <w:rFonts w:eastAsia="Arial" w:cs="Arial"/>
          <w:sz w:val="20"/>
          <w:szCs w:val="20"/>
        </w:rPr>
        <w:t>zahteve v zvezi z blažilnikom sistemskih tveganj in</w:t>
      </w:r>
    </w:p>
    <w:p w14:paraId="4F78951C" w14:textId="36E9A1C9" w:rsidR="00D91782" w:rsidRPr="00215B2F" w:rsidRDefault="00D91782" w:rsidP="00543D80">
      <w:pPr>
        <w:pStyle w:val="tevilnatoka"/>
        <w:rPr>
          <w:rFonts w:cs="Arial"/>
          <w:bCs/>
          <w:sz w:val="20"/>
          <w:szCs w:val="20"/>
        </w:rPr>
      </w:pPr>
      <w:r w:rsidRPr="00215B2F">
        <w:rPr>
          <w:rFonts w:eastAsia="Arial" w:cs="Arial"/>
          <w:sz w:val="20"/>
          <w:szCs w:val="20"/>
        </w:rPr>
        <w:t>zahteve v zvezi z blažilnikom za DSPB.</w:t>
      </w:r>
    </w:p>
    <w:p w14:paraId="206FC3E6"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FFD2C56" w14:textId="33CC279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Odbor za finančno stabilnost v roku, ki ga določi Banka Slovenije in ki ni krajši od osmih dni, da mnenje v zvezi s predlagano odločitvijo Banke Slovenije v zadevah iz prejšnjega odstavka. Če Odbor za finančno stabilnost v določenem roku da mnenje o predlogu odločitve, Banka Slovenije pri odločitvi to mnenje upošteva ali pisno pojasni razloge, zaradi katerih tega mnenja ni upoštevala.</w:t>
      </w:r>
    </w:p>
    <w:p w14:paraId="0E9ABEE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19B6236" w14:textId="3A1805E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7.2 VRSTE KAPITALSKIH BLAŽILNIKOV</w:t>
      </w:r>
    </w:p>
    <w:p w14:paraId="2113A2D6"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095AB0D4" w14:textId="46A74948"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7.2.1 Varovalni kapitalski blažilnik</w:t>
      </w:r>
    </w:p>
    <w:p w14:paraId="773E7A9F" w14:textId="77777777"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p>
    <w:p w14:paraId="32F31C26"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26" w:name="_Ref202965534"/>
      <w:r w:rsidRPr="00215B2F">
        <w:rPr>
          <w:rFonts w:ascii="Arial" w:eastAsia="Arial" w:hAnsi="Arial" w:cs="Arial"/>
          <w:b/>
          <w:bCs/>
          <w:sz w:val="20"/>
          <w:szCs w:val="20"/>
        </w:rPr>
        <w:t>člen</w:t>
      </w:r>
      <w:bookmarkEnd w:id="326"/>
    </w:p>
    <w:p w14:paraId="12058722" w14:textId="77777777" w:rsidR="00D91782" w:rsidRPr="00215B2F" w:rsidRDefault="00D91782" w:rsidP="00FD5520">
      <w:pPr>
        <w:pStyle w:val="Slog1"/>
        <w:shd w:val="clear" w:color="auto" w:fill="FFFFFF" w:themeFill="background1"/>
        <w:rPr>
          <w:sz w:val="20"/>
          <w:szCs w:val="20"/>
        </w:rPr>
      </w:pPr>
      <w:r w:rsidRPr="00215B2F">
        <w:rPr>
          <w:sz w:val="20"/>
          <w:szCs w:val="20"/>
        </w:rPr>
        <w:t>(zahteva po vzdrževanju varovalnega kapitalskega blažilnika)</w:t>
      </w:r>
    </w:p>
    <w:p w14:paraId="791DE6DC" w14:textId="77777777" w:rsidR="00D91782" w:rsidRPr="00215B2F" w:rsidRDefault="00D91782" w:rsidP="00FD5520">
      <w:pPr>
        <w:pStyle w:val="Slog1"/>
        <w:shd w:val="clear" w:color="auto" w:fill="FFFFFF" w:themeFill="background1"/>
        <w:jc w:val="both"/>
        <w:rPr>
          <w:sz w:val="20"/>
          <w:szCs w:val="20"/>
        </w:rPr>
      </w:pPr>
    </w:p>
    <w:p w14:paraId="0B2E790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mora vzdrževati varovalni kapitalski blažilnik v višini 2,5 odstotka zneska skupne izpostavljenosti tveganjem na posamični in konsolidirani podlagi, kot velja v skladu z II. naslovom 1. dela Uredbe 575/2013/EU. Banka izpolnjuje to zahtevo z navadnim lastniškim temeljnim kapitalom.</w:t>
      </w:r>
    </w:p>
    <w:p w14:paraId="50884141"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10E541EF" w14:textId="19A0FFF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navadnega lastniškega temeljnega kapitala, ki ga vzdržuje za izpolnjevanje zahteve po varovalnem kapitalskem blažilniku, ne sme uporabiti za izpolnitev katere koli kapitalske zahteve iz točk (a), (b) ali (c) prvega odstavka 92. člena Uredbe 575/2013/EU.</w:t>
      </w:r>
    </w:p>
    <w:p w14:paraId="461F192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21406BE" w14:textId="1AB32B3F"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7.2.2 Proticiklični kapitalski blažilnik</w:t>
      </w:r>
    </w:p>
    <w:p w14:paraId="45537540"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2DC5E40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27" w:name="_Ref202965540"/>
      <w:r w:rsidRPr="00215B2F">
        <w:rPr>
          <w:rFonts w:ascii="Arial" w:eastAsia="Arial" w:hAnsi="Arial" w:cs="Arial"/>
          <w:b/>
          <w:bCs/>
          <w:sz w:val="20"/>
          <w:szCs w:val="20"/>
        </w:rPr>
        <w:t>člen</w:t>
      </w:r>
      <w:bookmarkEnd w:id="327"/>
    </w:p>
    <w:p w14:paraId="006DD87E" w14:textId="77777777" w:rsidR="00D91782" w:rsidRPr="00215B2F" w:rsidRDefault="00D91782" w:rsidP="00FD5520">
      <w:pPr>
        <w:pStyle w:val="Slog1"/>
        <w:shd w:val="clear" w:color="auto" w:fill="FFFFFF" w:themeFill="background1"/>
        <w:rPr>
          <w:sz w:val="20"/>
          <w:szCs w:val="20"/>
        </w:rPr>
      </w:pPr>
      <w:r w:rsidRPr="00215B2F">
        <w:rPr>
          <w:sz w:val="20"/>
          <w:szCs w:val="20"/>
        </w:rPr>
        <w:t>(zahteva po vzdrževanju banki lastnega proticikličnega kapitalskega blažilnika)</w:t>
      </w:r>
    </w:p>
    <w:p w14:paraId="111707EF" w14:textId="77777777" w:rsidR="00D91782" w:rsidRPr="00215B2F" w:rsidRDefault="00D91782" w:rsidP="00FD5520">
      <w:pPr>
        <w:pStyle w:val="Slog1"/>
        <w:shd w:val="clear" w:color="auto" w:fill="FFFFFF" w:themeFill="background1"/>
        <w:jc w:val="both"/>
        <w:rPr>
          <w:sz w:val="20"/>
          <w:szCs w:val="20"/>
        </w:rPr>
      </w:pPr>
    </w:p>
    <w:p w14:paraId="3B980B1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mora vzdrževati lastni proticiklični kapitalski blažilnik, enak znesku njene skupne izpostavljenosti tveganjem, pomnoženemu s tehtanim povprečjem stopenj proticikličnega blažilnika, izračunanih v skladu s tretjim odstavkom tega člena na posamični in konsolidirani podlagi, kot velja v skladu z II. naslovom 1. dela Uredbe 575/2013/EU. Banka izpolnjuje to zahtevo z navadnim lastniškim temeljnim kapitalom.</w:t>
      </w:r>
    </w:p>
    <w:p w14:paraId="523D6D90"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2EEE163" w14:textId="5ABE512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(2) Stopnja banki lastnega proticikličnega kapitalskega blažilnika je sestavljena iz tehtanega povprečja stopenj proticikličnega blažilnika, ki se uporabljajo za države, v katerih so kreditne izpostavljenosti te banke.</w:t>
      </w:r>
    </w:p>
    <w:p w14:paraId="3D860D70"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31497B91" w14:textId="6CF63CC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predpiše podrobnejša pravila za izračun stopenj posamezni banki lastnega proticikličnega kapitalskega blažilnika.</w:t>
      </w:r>
    </w:p>
    <w:p w14:paraId="6B16330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DB08D1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28" w:name="_Ref202965549"/>
      <w:r w:rsidRPr="00215B2F">
        <w:rPr>
          <w:rFonts w:ascii="Arial" w:eastAsia="Arial" w:hAnsi="Arial" w:cs="Arial"/>
          <w:b/>
          <w:bCs/>
          <w:sz w:val="20"/>
          <w:szCs w:val="20"/>
        </w:rPr>
        <w:t>člen</w:t>
      </w:r>
      <w:bookmarkEnd w:id="328"/>
    </w:p>
    <w:p w14:paraId="5298804F" w14:textId="77777777" w:rsidR="00D91782" w:rsidRPr="00215B2F" w:rsidRDefault="00D91782" w:rsidP="00FD5520">
      <w:pPr>
        <w:pStyle w:val="Slog1"/>
        <w:shd w:val="clear" w:color="auto" w:fill="FFFFFF" w:themeFill="background1"/>
        <w:rPr>
          <w:sz w:val="20"/>
          <w:szCs w:val="20"/>
        </w:rPr>
      </w:pPr>
      <w:r w:rsidRPr="00215B2F">
        <w:rPr>
          <w:sz w:val="20"/>
          <w:szCs w:val="20"/>
        </w:rPr>
        <w:t>(določanje stopnje proticikličnega blažilnika)</w:t>
      </w:r>
    </w:p>
    <w:p w14:paraId="3F7F4811" w14:textId="77777777" w:rsidR="00D91782" w:rsidRPr="00215B2F" w:rsidRDefault="00D91782" w:rsidP="00FD5520">
      <w:pPr>
        <w:pStyle w:val="Slog1"/>
        <w:shd w:val="clear" w:color="auto" w:fill="FFFFFF" w:themeFill="background1"/>
        <w:jc w:val="both"/>
        <w:rPr>
          <w:sz w:val="20"/>
          <w:szCs w:val="20"/>
        </w:rPr>
      </w:pPr>
    </w:p>
    <w:p w14:paraId="10FC873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četrtletno izračunava vodilo za blažilnik, ki smiselno odraža kreditni cikel in tveganja zaradi čezmerne kreditne rasti v Republiki Sloveniji, ter ustrezno upošteva posebnosti gospodarstva v Republiki Sloveniji. Vodilo za blažilnik temelji na odstopanju razmerja med krediti in bruto domačim proizvodom (v nadaljnjem besedilu: BDP) od dolgoročnega trenda tega razmerja, pri čemer upošteva:</w:t>
      </w:r>
    </w:p>
    <w:p w14:paraId="03444420"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2CA71282" w14:textId="668ECC6D" w:rsidR="00AD740A" w:rsidRPr="00215B2F" w:rsidRDefault="00D91782" w:rsidP="003D4DE0">
      <w:pPr>
        <w:pStyle w:val="tevilnatoka"/>
        <w:numPr>
          <w:ilvl w:val="0"/>
          <w:numId w:val="182"/>
        </w:numPr>
        <w:shd w:val="clear" w:color="auto" w:fill="FFFFFF" w:themeFill="background1"/>
        <w:tabs>
          <w:tab w:val="clear" w:pos="425"/>
        </w:tabs>
        <w:rPr>
          <w:rFonts w:cs="Arial"/>
          <w:bCs/>
          <w:sz w:val="20"/>
          <w:szCs w:val="20"/>
        </w:rPr>
      </w:pPr>
      <w:r w:rsidRPr="00215B2F">
        <w:rPr>
          <w:rFonts w:eastAsia="Arial" w:cs="Arial"/>
          <w:sz w:val="20"/>
          <w:szCs w:val="20"/>
        </w:rPr>
        <w:t xml:space="preserve">kazalnik rasti ravni kreditov v Republiki Sloveniji </w:t>
      </w:r>
      <w:r w:rsidR="001D29C3" w:rsidRPr="00215B2F">
        <w:rPr>
          <w:rFonts w:eastAsia="Arial" w:cs="Arial"/>
          <w:sz w:val="20"/>
          <w:szCs w:val="20"/>
        </w:rPr>
        <w:t xml:space="preserve">in </w:t>
      </w:r>
      <w:r w:rsidRPr="00215B2F">
        <w:rPr>
          <w:rFonts w:eastAsia="Arial" w:cs="Arial"/>
          <w:sz w:val="20"/>
          <w:szCs w:val="20"/>
        </w:rPr>
        <w:t>zlasti kazalnik, ki odraža spremembe razmerja med krediti, odobrenimi v Republiki Sloveniji, in BDP;</w:t>
      </w:r>
    </w:p>
    <w:p w14:paraId="76ED5DF6" w14:textId="297FF357" w:rsidR="00D91782" w:rsidRPr="00215B2F" w:rsidRDefault="00D91782" w:rsidP="003D4DE0">
      <w:pPr>
        <w:pStyle w:val="tevilnatoka"/>
        <w:numPr>
          <w:ilvl w:val="0"/>
          <w:numId w:val="182"/>
        </w:numPr>
        <w:shd w:val="clear" w:color="auto" w:fill="FFFFFF" w:themeFill="background1"/>
        <w:tabs>
          <w:tab w:val="clear" w:pos="425"/>
        </w:tabs>
        <w:rPr>
          <w:rFonts w:cs="Arial"/>
          <w:bCs/>
          <w:sz w:val="20"/>
          <w:szCs w:val="20"/>
        </w:rPr>
      </w:pPr>
      <w:r w:rsidRPr="00215B2F">
        <w:rPr>
          <w:rFonts w:eastAsia="Arial" w:cs="Arial"/>
          <w:sz w:val="20"/>
          <w:szCs w:val="20"/>
        </w:rPr>
        <w:t>smernice Evropskega odbora za sistemska tveganja glede izračuna vodila za blažilnik.</w:t>
      </w:r>
    </w:p>
    <w:p w14:paraId="7768AF02"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0B3A9F3B" w14:textId="4AAD30E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četrtletno oceni intenzivnost cikličnega sistemskega tveganja in ustreznost stopnje proticikličnega blažilnika v Republiki Slovenij</w:t>
      </w:r>
      <w:r w:rsidR="00C1768E" w:rsidRPr="00215B2F">
        <w:rPr>
          <w:rFonts w:ascii="Arial" w:eastAsia="Arial" w:hAnsi="Arial" w:cs="Arial"/>
          <w:sz w:val="20"/>
          <w:szCs w:val="20"/>
        </w:rPr>
        <w:t>i</w:t>
      </w:r>
      <w:r w:rsidRPr="00215B2F">
        <w:rPr>
          <w:rFonts w:ascii="Arial" w:eastAsia="Arial" w:hAnsi="Arial" w:cs="Arial"/>
          <w:sz w:val="20"/>
          <w:szCs w:val="20"/>
        </w:rPr>
        <w:t xml:space="preserve"> ter določi ali prilagodi stopnjo proticikličnega blažilnika, ki se uporablja za izračun stopnje banki lastnega proticikličnega kapitalskega blažilnika v zvezi s kreditnimi izpostavljenostmi v Republiki Sloveniji (v nadaljnjem besedilu: stopnja proticikličnega blažilnika za Republiko Slovenijo).</w:t>
      </w:r>
    </w:p>
    <w:p w14:paraId="5C1A331F"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2FB4D75" w14:textId="10CE799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pri določitvi stopnje proticikličnega blažilnika za Republiko Slovenijo upošteva:</w:t>
      </w:r>
    </w:p>
    <w:p w14:paraId="408A0D95"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1533F6F6" w14:textId="77777777" w:rsidR="00AD740A" w:rsidRPr="00215B2F" w:rsidRDefault="00D91782" w:rsidP="003D4DE0">
      <w:pPr>
        <w:pStyle w:val="tevilnatoka"/>
        <w:numPr>
          <w:ilvl w:val="0"/>
          <w:numId w:val="183"/>
        </w:numPr>
        <w:shd w:val="clear" w:color="auto" w:fill="FFFFFF" w:themeFill="background1"/>
        <w:tabs>
          <w:tab w:val="clear" w:pos="425"/>
        </w:tabs>
        <w:rPr>
          <w:rFonts w:cs="Arial"/>
          <w:bCs/>
          <w:sz w:val="20"/>
          <w:szCs w:val="20"/>
        </w:rPr>
      </w:pPr>
      <w:r w:rsidRPr="00215B2F">
        <w:rPr>
          <w:rFonts w:eastAsia="Arial" w:cs="Arial"/>
          <w:sz w:val="20"/>
          <w:szCs w:val="20"/>
        </w:rPr>
        <w:t>vodilo za blažilnik, izračunano v skladu s prvim odstavkom tega člena;</w:t>
      </w:r>
    </w:p>
    <w:p w14:paraId="1E403AA4" w14:textId="0F4568D0" w:rsidR="00AD740A" w:rsidRPr="00215B2F" w:rsidRDefault="00D91782" w:rsidP="003D4DE0">
      <w:pPr>
        <w:pStyle w:val="tevilnatoka"/>
        <w:numPr>
          <w:ilvl w:val="0"/>
          <w:numId w:val="183"/>
        </w:numPr>
        <w:shd w:val="clear" w:color="auto" w:fill="FFFFFF" w:themeFill="background1"/>
        <w:tabs>
          <w:tab w:val="clear" w:pos="425"/>
        </w:tabs>
        <w:rPr>
          <w:rFonts w:cs="Arial"/>
          <w:bCs/>
          <w:sz w:val="20"/>
          <w:szCs w:val="20"/>
        </w:rPr>
      </w:pPr>
      <w:r w:rsidRPr="00215B2F">
        <w:rPr>
          <w:rFonts w:eastAsia="Arial" w:cs="Arial"/>
          <w:sz w:val="20"/>
          <w:szCs w:val="20"/>
        </w:rPr>
        <w:t xml:space="preserve">smernice </w:t>
      </w:r>
      <w:r w:rsidR="0041233E" w:rsidRPr="00215B2F">
        <w:rPr>
          <w:rFonts w:eastAsia="Arial" w:cs="Arial"/>
          <w:sz w:val="20"/>
          <w:szCs w:val="20"/>
        </w:rPr>
        <w:t xml:space="preserve">in </w:t>
      </w:r>
      <w:r w:rsidRPr="00215B2F">
        <w:rPr>
          <w:rFonts w:eastAsia="Arial" w:cs="Arial"/>
          <w:sz w:val="20"/>
          <w:szCs w:val="20"/>
        </w:rPr>
        <w:t>priporočila Evropskega odbora za sistemska tveganja glede določanja stopnje blažilnika;</w:t>
      </w:r>
    </w:p>
    <w:p w14:paraId="2934E7F0" w14:textId="3CB24650" w:rsidR="00D91782" w:rsidRPr="00215B2F" w:rsidRDefault="00D91782" w:rsidP="003D4DE0">
      <w:pPr>
        <w:pStyle w:val="tevilnatoka"/>
        <w:numPr>
          <w:ilvl w:val="0"/>
          <w:numId w:val="183"/>
        </w:numPr>
        <w:shd w:val="clear" w:color="auto" w:fill="FFFFFF" w:themeFill="background1"/>
        <w:tabs>
          <w:tab w:val="clear" w:pos="425"/>
        </w:tabs>
        <w:rPr>
          <w:rFonts w:cs="Arial"/>
          <w:bCs/>
          <w:sz w:val="20"/>
          <w:szCs w:val="20"/>
        </w:rPr>
      </w:pPr>
      <w:r w:rsidRPr="00215B2F">
        <w:rPr>
          <w:rFonts w:eastAsia="Arial" w:cs="Arial"/>
          <w:sz w:val="20"/>
          <w:szCs w:val="20"/>
        </w:rPr>
        <w:t>druge spremenljivke, ki so po mnenju Banke Slovenije pomembne pri ugotavljanju cikličnega sistemskega tveganja.</w:t>
      </w:r>
    </w:p>
    <w:p w14:paraId="6DB29CB4"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7832A04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29" w:name="_Ref202965556"/>
      <w:r w:rsidRPr="00215B2F">
        <w:rPr>
          <w:rFonts w:ascii="Arial" w:eastAsia="Arial" w:hAnsi="Arial" w:cs="Arial"/>
          <w:b/>
          <w:bCs/>
          <w:sz w:val="20"/>
          <w:szCs w:val="20"/>
        </w:rPr>
        <w:t>člen</w:t>
      </w:r>
      <w:bookmarkEnd w:id="329"/>
    </w:p>
    <w:p w14:paraId="08BA6B0F" w14:textId="77777777" w:rsidR="00D91782" w:rsidRPr="00215B2F" w:rsidRDefault="00D91782" w:rsidP="00FD5520">
      <w:pPr>
        <w:pStyle w:val="Slog1"/>
        <w:shd w:val="clear" w:color="auto" w:fill="FFFFFF" w:themeFill="background1"/>
        <w:rPr>
          <w:sz w:val="20"/>
          <w:szCs w:val="20"/>
        </w:rPr>
      </w:pPr>
      <w:r w:rsidRPr="00215B2F">
        <w:rPr>
          <w:sz w:val="20"/>
          <w:szCs w:val="20"/>
        </w:rPr>
        <w:t>(višina stopnje proticikličnega blažilnika)</w:t>
      </w:r>
    </w:p>
    <w:p w14:paraId="72A9D90A" w14:textId="77777777" w:rsidR="00D91782" w:rsidRPr="00215B2F" w:rsidRDefault="00D91782" w:rsidP="00FD5520">
      <w:pPr>
        <w:pStyle w:val="Slog1"/>
        <w:shd w:val="clear" w:color="auto" w:fill="FFFFFF" w:themeFill="background1"/>
        <w:jc w:val="both"/>
        <w:rPr>
          <w:sz w:val="20"/>
          <w:szCs w:val="20"/>
        </w:rPr>
      </w:pPr>
    </w:p>
    <w:p w14:paraId="78F8567B" w14:textId="458D9DA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določi stopnjo proticikličnega blažilnika za Republiko Slovenijo v razponu </w:t>
      </w:r>
      <w:r w:rsidR="000C1FF4" w:rsidRPr="00215B2F">
        <w:rPr>
          <w:rFonts w:ascii="Arial" w:eastAsia="Arial" w:hAnsi="Arial" w:cs="Arial"/>
          <w:sz w:val="20"/>
          <w:szCs w:val="20"/>
        </w:rPr>
        <w:t>o</w:t>
      </w:r>
      <w:r w:rsidRPr="00215B2F">
        <w:rPr>
          <w:rFonts w:ascii="Arial" w:eastAsia="Arial" w:hAnsi="Arial" w:cs="Arial"/>
          <w:sz w:val="20"/>
          <w:szCs w:val="20"/>
        </w:rPr>
        <w:t>d 0</w:t>
      </w:r>
      <w:r w:rsidR="0041233E" w:rsidRPr="00215B2F">
        <w:rPr>
          <w:rFonts w:ascii="Arial" w:eastAsia="Arial" w:hAnsi="Arial" w:cs="Arial"/>
          <w:sz w:val="20"/>
          <w:szCs w:val="20"/>
        </w:rPr>
        <w:t> </w:t>
      </w:r>
      <w:r w:rsidRPr="00215B2F">
        <w:rPr>
          <w:rFonts w:ascii="Arial" w:eastAsia="Arial" w:hAnsi="Arial" w:cs="Arial"/>
          <w:sz w:val="20"/>
          <w:szCs w:val="20"/>
        </w:rPr>
        <w:t xml:space="preserve">odstotkov </w:t>
      </w:r>
      <w:r w:rsidR="000C1FF4" w:rsidRPr="00215B2F">
        <w:rPr>
          <w:rFonts w:ascii="Arial" w:eastAsia="Arial" w:hAnsi="Arial" w:cs="Arial"/>
          <w:sz w:val="20"/>
          <w:szCs w:val="20"/>
        </w:rPr>
        <w:t xml:space="preserve">do </w:t>
      </w:r>
      <w:r w:rsidRPr="00215B2F">
        <w:rPr>
          <w:rFonts w:ascii="Arial" w:eastAsia="Arial" w:hAnsi="Arial" w:cs="Arial"/>
          <w:sz w:val="20"/>
          <w:szCs w:val="20"/>
        </w:rPr>
        <w:t>2,5 odstotk</w:t>
      </w:r>
      <w:r w:rsidR="0041233E" w:rsidRPr="00215B2F">
        <w:rPr>
          <w:rFonts w:ascii="Arial" w:eastAsia="Arial" w:hAnsi="Arial" w:cs="Arial"/>
          <w:sz w:val="20"/>
          <w:szCs w:val="20"/>
        </w:rPr>
        <w:t>a</w:t>
      </w:r>
      <w:r w:rsidRPr="00215B2F">
        <w:rPr>
          <w:rFonts w:ascii="Arial" w:eastAsia="Arial" w:hAnsi="Arial" w:cs="Arial"/>
          <w:sz w:val="20"/>
          <w:szCs w:val="20"/>
        </w:rPr>
        <w:t xml:space="preserve"> zneska skupne izpostavljenosti tveganjem, pri čemer se stopnja določa v korakih po 0,25 odstotne točke ali z večkratniki 0,25 odstotne točke.</w:t>
      </w:r>
    </w:p>
    <w:p w14:paraId="22A0E06D"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A1AA4A4" w14:textId="2FC38E0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Ne glede na prejšnji odstavek lahko Banka Slovenije določi stopnjo proticikličnega blažilnika za Republiko Slovenijo, ki presega 2,5 odstotka zneska skupne izpostavljenosti tveganjem, če je to utemeljeno na podlagi ocene iz </w:t>
      </w:r>
      <w:r w:rsidR="00746E88" w:rsidRPr="00215B2F">
        <w:rPr>
          <w:rFonts w:ascii="Arial" w:eastAsia="Arial" w:hAnsi="Arial" w:cs="Arial"/>
          <w:sz w:val="20"/>
          <w:szCs w:val="20"/>
        </w:rPr>
        <w:t>prejšnjega člena</w:t>
      </w:r>
      <w:r w:rsidRPr="00215B2F">
        <w:rPr>
          <w:rFonts w:ascii="Arial" w:eastAsia="Arial" w:hAnsi="Arial" w:cs="Arial"/>
          <w:sz w:val="20"/>
          <w:szCs w:val="20"/>
        </w:rPr>
        <w:t>.</w:t>
      </w:r>
    </w:p>
    <w:p w14:paraId="1B2B207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0884200"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30" w:name="_Ref202965563"/>
      <w:r w:rsidRPr="00215B2F">
        <w:rPr>
          <w:rFonts w:ascii="Arial" w:eastAsia="Arial" w:hAnsi="Arial" w:cs="Arial"/>
          <w:b/>
          <w:bCs/>
          <w:sz w:val="20"/>
          <w:szCs w:val="20"/>
        </w:rPr>
        <w:t>člen</w:t>
      </w:r>
      <w:bookmarkEnd w:id="330"/>
    </w:p>
    <w:p w14:paraId="7BBA8EA2" w14:textId="77777777" w:rsidR="00D91782" w:rsidRPr="00215B2F" w:rsidRDefault="00D91782" w:rsidP="00FD5520">
      <w:pPr>
        <w:pStyle w:val="Slog1"/>
        <w:shd w:val="clear" w:color="auto" w:fill="FFFFFF" w:themeFill="background1"/>
        <w:rPr>
          <w:sz w:val="20"/>
          <w:szCs w:val="20"/>
        </w:rPr>
      </w:pPr>
      <w:r w:rsidRPr="00215B2F">
        <w:rPr>
          <w:sz w:val="20"/>
          <w:szCs w:val="20"/>
        </w:rPr>
        <w:t>(začetek uporabe proticikličnega blažilnika)</w:t>
      </w:r>
    </w:p>
    <w:p w14:paraId="3EFECED1" w14:textId="77777777" w:rsidR="00D91782" w:rsidRPr="00215B2F" w:rsidRDefault="00D91782" w:rsidP="00FD5520">
      <w:pPr>
        <w:pStyle w:val="Slog1"/>
        <w:shd w:val="clear" w:color="auto" w:fill="FFFFFF" w:themeFill="background1"/>
        <w:jc w:val="both"/>
        <w:rPr>
          <w:sz w:val="20"/>
          <w:szCs w:val="20"/>
        </w:rPr>
      </w:pPr>
    </w:p>
    <w:p w14:paraId="50510C67" w14:textId="64E5E8E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Ko Banka Slovenije določi stopnjo proticikličnega blažilnika za Republiko Slovenijo, ki je višja od 0</w:t>
      </w:r>
      <w:r w:rsidR="0041233E" w:rsidRPr="00215B2F">
        <w:rPr>
          <w:rFonts w:ascii="Arial" w:eastAsia="Arial" w:hAnsi="Arial" w:cs="Arial"/>
          <w:sz w:val="20"/>
          <w:szCs w:val="20"/>
        </w:rPr>
        <w:t> </w:t>
      </w:r>
      <w:r w:rsidRPr="00215B2F">
        <w:rPr>
          <w:rFonts w:ascii="Arial" w:eastAsia="Arial" w:hAnsi="Arial" w:cs="Arial"/>
          <w:sz w:val="20"/>
          <w:szCs w:val="20"/>
        </w:rPr>
        <w:t xml:space="preserve">odstotkov, ali poviša že uveljavljeno stopnjo, se nova stopnja proticikličnega blažilnika za Republiko Slovenijo začne uporabljati 12 mesecev po objavi iz </w:t>
      </w:r>
      <w:r w:rsidR="00C96E2E" w:rsidRPr="00215B2F">
        <w:rPr>
          <w:rFonts w:ascii="Arial" w:eastAsia="Arial" w:hAnsi="Arial" w:cs="Arial"/>
          <w:sz w:val="20"/>
          <w:szCs w:val="20"/>
        </w:rPr>
        <w:t>280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33A4C55F"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055BB83" w14:textId="4FFCF2B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Ne glede na prejšnji odstavek lahko Banka Slovenije v izjemnih okoliščinah določi, da se nova stopnja proticikličnega blažilnika za Republiko Slovenijo, ki je objavljena v skladu z </w:t>
      </w:r>
      <w:r w:rsidR="00C96E2E" w:rsidRPr="00215B2F">
        <w:rPr>
          <w:rFonts w:ascii="Arial" w:eastAsia="Arial" w:hAnsi="Arial" w:cs="Arial"/>
          <w:sz w:val="20"/>
          <w:szCs w:val="20"/>
        </w:rPr>
        <w:t>280</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začne uporabljati pred potekom 12 mesecev od objave.</w:t>
      </w:r>
    </w:p>
    <w:p w14:paraId="403B8D22"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0407603E" w14:textId="6E04910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Če Banka Slovenije zniža veljavno stopnjo proticikličnega blažilnika za Republiko Slovenijo ali jo zniža na 0 odstotkov, določi tudi okvirno obdobje, v katerem se povečanje blažilnika ne pričakuje. Tako določeno okvirno obdobje Banke Slovenije ne zavezuje.</w:t>
      </w:r>
    </w:p>
    <w:p w14:paraId="2A03E13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1E4121C"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31" w:name="_Ref202965569"/>
      <w:r w:rsidRPr="00215B2F">
        <w:rPr>
          <w:rFonts w:ascii="Arial" w:eastAsia="Arial" w:hAnsi="Arial" w:cs="Arial"/>
          <w:b/>
          <w:bCs/>
          <w:sz w:val="20"/>
          <w:szCs w:val="20"/>
        </w:rPr>
        <w:t>člen</w:t>
      </w:r>
      <w:bookmarkEnd w:id="331"/>
    </w:p>
    <w:p w14:paraId="35820A52" w14:textId="77777777" w:rsidR="00D91782" w:rsidRPr="00215B2F" w:rsidRDefault="00D91782" w:rsidP="00FD5520">
      <w:pPr>
        <w:pStyle w:val="Slog1"/>
        <w:shd w:val="clear" w:color="auto" w:fill="FFFFFF" w:themeFill="background1"/>
        <w:rPr>
          <w:sz w:val="20"/>
          <w:szCs w:val="20"/>
        </w:rPr>
      </w:pPr>
      <w:r w:rsidRPr="00215B2F">
        <w:rPr>
          <w:sz w:val="20"/>
          <w:szCs w:val="20"/>
        </w:rPr>
        <w:lastRenderedPageBreak/>
        <w:t>(priznavanje stopenj proticikličnega blažilnika, ki presegajo 2,5 odstotka)</w:t>
      </w:r>
    </w:p>
    <w:p w14:paraId="58D2B990" w14:textId="77777777" w:rsidR="00D91782" w:rsidRPr="00215B2F" w:rsidRDefault="00D91782" w:rsidP="00FD5520">
      <w:pPr>
        <w:pStyle w:val="Slog1"/>
        <w:shd w:val="clear" w:color="auto" w:fill="FFFFFF" w:themeFill="background1"/>
        <w:jc w:val="both"/>
        <w:rPr>
          <w:sz w:val="20"/>
          <w:szCs w:val="20"/>
        </w:rPr>
      </w:pPr>
    </w:p>
    <w:p w14:paraId="2725B7F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Kadar imenovani organ druge države določi stopnjo proticikličnega blažilnika za to državo, ki presega 2,5 odstotka zneska skupne izpostavljenosti tveganjem, lahko Banka Slovenije prizna to stopnjo blažilnika za namene izračuna banki lastnega proticikličnega kapitalskega blažilnika.</w:t>
      </w:r>
    </w:p>
    <w:p w14:paraId="08D85369"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D0FFCE3" w14:textId="42B0848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Kadar Banka Slovenije prizna stopnjo proticikličnega blažilnika druge države, ki presega 2,5 odstotka zneska skupne izpostavljenosti tveganjem, banka pri izračunu banki lastnega proticikličnega kapitalskega blažilnika upošteva to stopnjo v zvezi z izpostavljenostmi v tej državi članici ali tretji državi.</w:t>
      </w:r>
    </w:p>
    <w:p w14:paraId="75907A4B"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19656F1A" w14:textId="6324F2E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Kadar Banka Slovenije ne prizna stopnje proticikličnega blažilnika druge države, ki presega 2,5</w:t>
      </w:r>
      <w:r w:rsidR="00FF4220" w:rsidRPr="00215B2F">
        <w:rPr>
          <w:rFonts w:ascii="Arial" w:eastAsia="Arial" w:hAnsi="Arial" w:cs="Arial"/>
          <w:sz w:val="20"/>
          <w:szCs w:val="20"/>
        </w:rPr>
        <w:t> </w:t>
      </w:r>
      <w:r w:rsidRPr="00215B2F">
        <w:rPr>
          <w:rFonts w:ascii="Arial" w:eastAsia="Arial" w:hAnsi="Arial" w:cs="Arial"/>
          <w:sz w:val="20"/>
          <w:szCs w:val="20"/>
        </w:rPr>
        <w:t>odstotka zneska skupne izpostavljenosti tveganjem, banke pri izračunu banki lastnega proticikličnega kapitalskega blažilnika v zvezi z izpostavljenostmi v tej državi članici ali tretji državi upoštevajo stopnjo proticikličnega blažilnika v višini 2,5 odstotka.</w:t>
      </w:r>
    </w:p>
    <w:p w14:paraId="6363FBC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DBFF2FE"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32" w:name="_Ref202965579"/>
      <w:r w:rsidRPr="00215B2F">
        <w:rPr>
          <w:rFonts w:ascii="Arial" w:eastAsia="Arial" w:hAnsi="Arial" w:cs="Arial"/>
          <w:b/>
          <w:bCs/>
          <w:sz w:val="20"/>
          <w:szCs w:val="20"/>
        </w:rPr>
        <w:t>člen</w:t>
      </w:r>
      <w:bookmarkEnd w:id="332"/>
    </w:p>
    <w:p w14:paraId="1627A233" w14:textId="77777777" w:rsidR="00D91782" w:rsidRPr="00215B2F" w:rsidRDefault="00D91782" w:rsidP="00FD5520">
      <w:pPr>
        <w:pStyle w:val="Slog1"/>
        <w:shd w:val="clear" w:color="auto" w:fill="FFFFFF" w:themeFill="background1"/>
        <w:rPr>
          <w:sz w:val="20"/>
          <w:szCs w:val="20"/>
        </w:rPr>
      </w:pPr>
      <w:r w:rsidRPr="00215B2F">
        <w:rPr>
          <w:sz w:val="20"/>
          <w:szCs w:val="20"/>
        </w:rPr>
        <w:t>(odločitev o stopnjah proticikličnega blažilnika za izpostavljenosti bank v tretjih državah)</w:t>
      </w:r>
    </w:p>
    <w:p w14:paraId="0986389A" w14:textId="77777777" w:rsidR="00D91782" w:rsidRPr="00215B2F" w:rsidRDefault="00D91782" w:rsidP="00FD5520">
      <w:pPr>
        <w:pStyle w:val="Slog1"/>
        <w:shd w:val="clear" w:color="auto" w:fill="FFFFFF" w:themeFill="background1"/>
        <w:jc w:val="both"/>
        <w:rPr>
          <w:sz w:val="20"/>
          <w:szCs w:val="20"/>
        </w:rPr>
      </w:pPr>
    </w:p>
    <w:p w14:paraId="7D3616A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Če imenovani organ tretje države ni določil in objavil stopnje proticikličnega blažilnika za to državo, lahko Banka Slovenije določi stopnjo proticikličnega blažilnika za izpostavljenosti bank v tej državi, ki jo banke upoštevajo pri izračunu banki lastnega proticikličnega kapitalskega blažilnika.</w:t>
      </w:r>
    </w:p>
    <w:p w14:paraId="6B8C43FA"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1F0FF30A" w14:textId="00EBA7A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Kadar je imenovani organ tretje države določil in objavil stopnjo proticikličnega blažilnika za to državo, lahko Banka Slovenije določi drugačno stopnjo proticikličnega blažilnika za izpostavljenosti bank v tej državi, če stopnja blažilnika, ki jo je določil imenovani organ tretje države, ne zadostuje za ustrezno zaščito bank pred tveganji čezmerne kreditne rasti v tej državi.</w:t>
      </w:r>
    </w:p>
    <w:p w14:paraId="4FEE381E"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41EB8F8A" w14:textId="658239B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Stopnja proticikličnega blažilnika za izpostavljenosti bank v tretji državi, ki jo določi Banka Slovenije na podlagi prejšnjega odstavka, ne sme biti nižja od stopnje, ki jo določi imenovani organ tretje države, razen če stopnja blažilnika, ki jo je določil imenovani organ tretje države, presega 2,5 odstotka zneska skupne izpostavljenosti tveganjem.</w:t>
      </w:r>
    </w:p>
    <w:p w14:paraId="3383E202"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04EE70DC" w14:textId="43B5E0F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lahko obvesti Evropski odbor za sistemska tveganja, da stopnja proticikličnega blažilnika za tretjo državo, ki jo je določil imenovani organ tretje države, za to tretjo državo ni zadostna.</w:t>
      </w:r>
    </w:p>
    <w:p w14:paraId="738801B1"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4A6C6596" w14:textId="01BD4C3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Če Evropski odbor za sistemska tveganja na podlagi obvestila iz prejšnjega odstavka ali obvestila imenovanega organa države članice ali na lastno pobudo izda priporočilo, ga Banka Slovenije upošteva pri presoji na podlagi prvega do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1BE5AC25"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3B821824" w14:textId="35F7DBB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Kadar Banka Slovenije določi stopnjo proticikličnega blažilnika za izpostavljenosti bank v tretji državi v skladu z drugim in tretjim odstavkom tega člena, zaradi česar se zviša stopnja proticikličnega blažilnika, ki jo je določil imenovani organ tretje države, se nova stopnja proticikličnega blažilnika za izpostavljenosti bank v tej državi začne uporabljati 12 mesecev po objavi iz </w:t>
      </w:r>
      <w:r w:rsidR="00C96E2E" w:rsidRPr="00215B2F">
        <w:rPr>
          <w:rFonts w:ascii="Arial" w:eastAsia="Arial" w:hAnsi="Arial" w:cs="Arial"/>
          <w:sz w:val="20"/>
          <w:szCs w:val="20"/>
        </w:rPr>
        <w:t>281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60516C40"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08E4DF18" w14:textId="1B888ED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Ne glede na prejšnji odstavek lahko Banka Slovenije v izjemnih okoliščinah določi, da se nova stopnja proticikličnega blažilnika za izpostavljenosti bank v tretji državi, ki je objavljena v skladu z </w:t>
      </w:r>
      <w:r w:rsidR="00C96E2E" w:rsidRPr="00215B2F">
        <w:rPr>
          <w:rFonts w:ascii="Arial" w:eastAsia="Arial" w:hAnsi="Arial" w:cs="Arial"/>
          <w:sz w:val="20"/>
          <w:szCs w:val="20"/>
        </w:rPr>
        <w:t>281</w:t>
      </w:r>
      <w:r w:rsidRPr="00215B2F">
        <w:rPr>
          <w:rFonts w:ascii="Arial" w:eastAsia="Arial" w:hAnsi="Arial" w:cs="Arial"/>
          <w:sz w:val="20"/>
          <w:szCs w:val="20"/>
        </w:rPr>
        <w:t>.</w:t>
      </w:r>
      <w:r w:rsidR="00213669" w:rsidRPr="00215B2F">
        <w:rPr>
          <w:rFonts w:ascii="Arial" w:eastAsia="Arial" w:hAnsi="Arial" w:cs="Arial"/>
          <w:sz w:val="20"/>
          <w:szCs w:val="20"/>
        </w:rPr>
        <w:t> </w:t>
      </w:r>
      <w:r w:rsidR="001F2C7A" w:rsidRPr="00215B2F">
        <w:rPr>
          <w:rFonts w:ascii="Arial" w:eastAsia="Arial" w:hAnsi="Arial" w:cs="Arial"/>
          <w:sz w:val="20"/>
          <w:szCs w:val="20"/>
        </w:rPr>
        <w:t>členom tega zakona</w:t>
      </w:r>
      <w:r w:rsidRPr="00215B2F">
        <w:rPr>
          <w:rFonts w:ascii="Arial" w:eastAsia="Arial" w:hAnsi="Arial" w:cs="Arial"/>
          <w:sz w:val="20"/>
          <w:szCs w:val="20"/>
        </w:rPr>
        <w:t>, začne uporabljati pred potekom 12 mesecev od objave.</w:t>
      </w:r>
    </w:p>
    <w:p w14:paraId="4F4F502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0C36128"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33" w:name="_Ref202965585"/>
      <w:r w:rsidRPr="00215B2F">
        <w:rPr>
          <w:rFonts w:ascii="Arial" w:eastAsia="Arial" w:hAnsi="Arial" w:cs="Arial"/>
          <w:b/>
          <w:bCs/>
          <w:sz w:val="20"/>
          <w:szCs w:val="20"/>
        </w:rPr>
        <w:t>člen</w:t>
      </w:r>
      <w:bookmarkEnd w:id="333"/>
    </w:p>
    <w:p w14:paraId="21AEEA37" w14:textId="77777777" w:rsidR="00D91782" w:rsidRPr="00215B2F" w:rsidRDefault="00D91782" w:rsidP="00FD5520">
      <w:pPr>
        <w:pStyle w:val="Slog1"/>
        <w:shd w:val="clear" w:color="auto" w:fill="FFFFFF" w:themeFill="background1"/>
        <w:rPr>
          <w:sz w:val="20"/>
          <w:szCs w:val="20"/>
        </w:rPr>
      </w:pPr>
      <w:r w:rsidRPr="00215B2F">
        <w:rPr>
          <w:sz w:val="20"/>
          <w:szCs w:val="20"/>
        </w:rPr>
        <w:t>(objava stopnje proticikličnega blažilnika za Republiko Slovenijo)</w:t>
      </w:r>
    </w:p>
    <w:p w14:paraId="4E5C0451" w14:textId="77777777" w:rsidR="00D91782" w:rsidRPr="00215B2F" w:rsidRDefault="00D91782" w:rsidP="00FD5520">
      <w:pPr>
        <w:pStyle w:val="Slog1"/>
        <w:shd w:val="clear" w:color="auto" w:fill="FFFFFF" w:themeFill="background1"/>
        <w:jc w:val="both"/>
        <w:rPr>
          <w:sz w:val="20"/>
          <w:szCs w:val="20"/>
        </w:rPr>
      </w:pPr>
    </w:p>
    <w:p w14:paraId="3B1E6414" w14:textId="440408B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četrtletno na svoji spletni strani objavi stopnjo proticikličnega blažilnika za Republiko Slovenijo, določenega v skladu z </w:t>
      </w:r>
      <w:r w:rsidR="00C96E2E" w:rsidRPr="00215B2F">
        <w:rPr>
          <w:rFonts w:ascii="Arial" w:eastAsia="Arial" w:hAnsi="Arial" w:cs="Arial"/>
          <w:sz w:val="20"/>
          <w:szCs w:val="20"/>
        </w:rPr>
        <w:t>275</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in si prizadeva za časovno usklajenost te objave z objavami drugih imenovanih organov.</w:t>
      </w:r>
    </w:p>
    <w:p w14:paraId="29F79B8C"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17F22624" w14:textId="7466E1F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Objava stopnje proticikličnega blažilnika iz prejšnjega odstavka vključuje vsaj naslednje podatke:</w:t>
      </w:r>
    </w:p>
    <w:p w14:paraId="024A3884"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BEE6CA6" w14:textId="77777777" w:rsidR="00AD740A" w:rsidRPr="00215B2F" w:rsidRDefault="00D91782" w:rsidP="003D4DE0">
      <w:pPr>
        <w:pStyle w:val="tevilnatoka"/>
        <w:numPr>
          <w:ilvl w:val="0"/>
          <w:numId w:val="184"/>
        </w:numPr>
        <w:shd w:val="clear" w:color="auto" w:fill="FFFFFF" w:themeFill="background1"/>
        <w:tabs>
          <w:tab w:val="clear" w:pos="425"/>
        </w:tabs>
        <w:rPr>
          <w:rFonts w:cs="Arial"/>
          <w:bCs/>
          <w:sz w:val="20"/>
          <w:szCs w:val="20"/>
        </w:rPr>
      </w:pPr>
      <w:r w:rsidRPr="00215B2F">
        <w:rPr>
          <w:rFonts w:eastAsia="Arial" w:cs="Arial"/>
          <w:sz w:val="20"/>
          <w:szCs w:val="20"/>
        </w:rPr>
        <w:t>veljavno stopnjo proticikličnega blažilnika;</w:t>
      </w:r>
    </w:p>
    <w:p w14:paraId="5C7317B7" w14:textId="77777777" w:rsidR="00AD740A" w:rsidRPr="00215B2F" w:rsidRDefault="00D91782" w:rsidP="003D4DE0">
      <w:pPr>
        <w:pStyle w:val="tevilnatoka"/>
        <w:numPr>
          <w:ilvl w:val="0"/>
          <w:numId w:val="184"/>
        </w:numPr>
        <w:shd w:val="clear" w:color="auto" w:fill="FFFFFF" w:themeFill="background1"/>
        <w:tabs>
          <w:tab w:val="clear" w:pos="425"/>
        </w:tabs>
        <w:rPr>
          <w:rFonts w:cs="Arial"/>
          <w:bCs/>
          <w:sz w:val="20"/>
          <w:szCs w:val="20"/>
        </w:rPr>
      </w:pPr>
      <w:r w:rsidRPr="00215B2F">
        <w:rPr>
          <w:rFonts w:eastAsia="Arial" w:cs="Arial"/>
          <w:sz w:val="20"/>
          <w:szCs w:val="20"/>
        </w:rPr>
        <w:t>razmerje med krediti in BDP ter odstopanje tega razmerja od dolgoročnega trenda;</w:t>
      </w:r>
    </w:p>
    <w:p w14:paraId="320FC19A" w14:textId="69CE8847" w:rsidR="00AD740A" w:rsidRPr="00215B2F" w:rsidRDefault="00D91782" w:rsidP="003D4DE0">
      <w:pPr>
        <w:pStyle w:val="tevilnatoka"/>
        <w:numPr>
          <w:ilvl w:val="0"/>
          <w:numId w:val="184"/>
        </w:numPr>
        <w:shd w:val="clear" w:color="auto" w:fill="FFFFFF" w:themeFill="background1"/>
        <w:tabs>
          <w:tab w:val="clear" w:pos="425"/>
        </w:tabs>
        <w:rPr>
          <w:rFonts w:cs="Arial"/>
          <w:bCs/>
          <w:sz w:val="20"/>
          <w:szCs w:val="20"/>
        </w:rPr>
      </w:pPr>
      <w:r w:rsidRPr="00215B2F">
        <w:rPr>
          <w:rFonts w:eastAsia="Arial" w:cs="Arial"/>
          <w:sz w:val="20"/>
          <w:szCs w:val="20"/>
        </w:rPr>
        <w:t xml:space="preserve">vodilo za blažilnik, izračunano v skladu s prvim odstavkom </w:t>
      </w:r>
      <w:r w:rsidR="00C96E2E" w:rsidRPr="00215B2F">
        <w:rPr>
          <w:rFonts w:eastAsia="Arial" w:cs="Arial"/>
          <w:sz w:val="20"/>
          <w:szCs w:val="20"/>
        </w:rPr>
        <w:t>275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591367D9" w14:textId="77777777" w:rsidR="00AD740A" w:rsidRPr="00215B2F" w:rsidRDefault="00D91782" w:rsidP="003D4DE0">
      <w:pPr>
        <w:pStyle w:val="tevilnatoka"/>
        <w:numPr>
          <w:ilvl w:val="0"/>
          <w:numId w:val="184"/>
        </w:numPr>
        <w:shd w:val="clear" w:color="auto" w:fill="FFFFFF" w:themeFill="background1"/>
        <w:tabs>
          <w:tab w:val="clear" w:pos="425"/>
        </w:tabs>
        <w:rPr>
          <w:rFonts w:cs="Arial"/>
          <w:bCs/>
          <w:sz w:val="20"/>
          <w:szCs w:val="20"/>
        </w:rPr>
      </w:pPr>
      <w:r w:rsidRPr="00215B2F">
        <w:rPr>
          <w:rFonts w:eastAsia="Arial" w:cs="Arial"/>
          <w:sz w:val="20"/>
          <w:szCs w:val="20"/>
        </w:rPr>
        <w:lastRenderedPageBreak/>
        <w:t>utemeljitev zadevne stopnje blažilnika;</w:t>
      </w:r>
    </w:p>
    <w:p w14:paraId="796E72BA" w14:textId="77777777" w:rsidR="00AD740A" w:rsidRPr="00215B2F" w:rsidRDefault="00D91782" w:rsidP="003D4DE0">
      <w:pPr>
        <w:pStyle w:val="tevilnatoka"/>
        <w:numPr>
          <w:ilvl w:val="0"/>
          <w:numId w:val="184"/>
        </w:numPr>
        <w:shd w:val="clear" w:color="auto" w:fill="FFFFFF" w:themeFill="background1"/>
        <w:tabs>
          <w:tab w:val="clear" w:pos="425"/>
        </w:tabs>
        <w:rPr>
          <w:rFonts w:cs="Arial"/>
          <w:bCs/>
          <w:sz w:val="20"/>
          <w:szCs w:val="20"/>
        </w:rPr>
      </w:pPr>
      <w:r w:rsidRPr="00215B2F">
        <w:rPr>
          <w:rFonts w:eastAsia="Arial" w:cs="Arial"/>
          <w:sz w:val="20"/>
          <w:szCs w:val="20"/>
        </w:rPr>
        <w:t>kadar se stopnja blažilnika zviša, datum, od katerega morajo banke uporabljati to višjo stopnjo blažilnika za namene izračuna svojega lastnega proticikličnega kapitalskega blažilnika;</w:t>
      </w:r>
    </w:p>
    <w:p w14:paraId="39B0F015" w14:textId="77777777" w:rsidR="00AD740A" w:rsidRPr="00215B2F" w:rsidRDefault="00D91782" w:rsidP="003D4DE0">
      <w:pPr>
        <w:pStyle w:val="tevilnatoka"/>
        <w:numPr>
          <w:ilvl w:val="0"/>
          <w:numId w:val="184"/>
        </w:numPr>
        <w:shd w:val="clear" w:color="auto" w:fill="FFFFFF" w:themeFill="background1"/>
        <w:tabs>
          <w:tab w:val="clear" w:pos="425"/>
        </w:tabs>
        <w:rPr>
          <w:rFonts w:cs="Arial"/>
          <w:bCs/>
          <w:sz w:val="20"/>
          <w:szCs w:val="20"/>
        </w:rPr>
      </w:pPr>
      <w:r w:rsidRPr="00215B2F">
        <w:rPr>
          <w:rFonts w:eastAsia="Arial" w:cs="Arial"/>
          <w:sz w:val="20"/>
          <w:szCs w:val="20"/>
        </w:rPr>
        <w:t>sklicevanje na izjemne okoliščine, ki upravičujejo odločitev, da se uporaba stopnje blažilnika zahteva prej kot 12 mesecev od objave v skladu s tem členom;</w:t>
      </w:r>
    </w:p>
    <w:p w14:paraId="288A43A5" w14:textId="3BAB6791" w:rsidR="00D91782" w:rsidRPr="00215B2F" w:rsidRDefault="00D91782" w:rsidP="003D4DE0">
      <w:pPr>
        <w:pStyle w:val="tevilnatoka"/>
        <w:numPr>
          <w:ilvl w:val="0"/>
          <w:numId w:val="184"/>
        </w:numPr>
        <w:shd w:val="clear" w:color="auto" w:fill="FFFFFF" w:themeFill="background1"/>
        <w:tabs>
          <w:tab w:val="clear" w:pos="425"/>
        </w:tabs>
        <w:rPr>
          <w:rFonts w:cs="Arial"/>
          <w:bCs/>
          <w:sz w:val="20"/>
          <w:szCs w:val="20"/>
        </w:rPr>
      </w:pPr>
      <w:r w:rsidRPr="00215B2F">
        <w:rPr>
          <w:rFonts w:eastAsia="Arial" w:cs="Arial"/>
          <w:sz w:val="20"/>
          <w:szCs w:val="20"/>
        </w:rPr>
        <w:t>če se stopnja blažilnika zniža, okvirno obdobje, v katerem se povišanje stopnje blažilnika ne pričakuje, skupaj z utemeljitvijo za to obdobje.</w:t>
      </w:r>
    </w:p>
    <w:p w14:paraId="611E3E3B"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B51D919" w14:textId="6156FC6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uradno obvesti Evropski odbor za sistemska tveganja o vsaki spremembi stopnje proticikličnega blažilnika za Republiko Slovenijo in sporoči podatke iz prejšnjega odstavka.</w:t>
      </w:r>
    </w:p>
    <w:p w14:paraId="6E026AD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DC9EDB5"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34" w:name="_Ref202965593"/>
      <w:r w:rsidRPr="00215B2F">
        <w:rPr>
          <w:rFonts w:ascii="Arial" w:eastAsia="Arial" w:hAnsi="Arial" w:cs="Arial"/>
          <w:b/>
          <w:bCs/>
          <w:sz w:val="20"/>
          <w:szCs w:val="20"/>
        </w:rPr>
        <w:t>člen</w:t>
      </w:r>
      <w:bookmarkEnd w:id="334"/>
    </w:p>
    <w:p w14:paraId="0467C8D8" w14:textId="77777777" w:rsidR="00D91782" w:rsidRPr="00215B2F" w:rsidRDefault="00D91782" w:rsidP="00FD5520">
      <w:pPr>
        <w:pStyle w:val="Slog1"/>
        <w:shd w:val="clear" w:color="auto" w:fill="FFFFFF" w:themeFill="background1"/>
        <w:rPr>
          <w:sz w:val="20"/>
          <w:szCs w:val="20"/>
        </w:rPr>
      </w:pPr>
      <w:r w:rsidRPr="00215B2F">
        <w:rPr>
          <w:sz w:val="20"/>
          <w:szCs w:val="20"/>
        </w:rPr>
        <w:t>(objava stopnje proticikličnega blažilnika za izpostavljenosti bank v tretji državi)</w:t>
      </w:r>
    </w:p>
    <w:p w14:paraId="1C90CC14" w14:textId="77777777" w:rsidR="00D91782" w:rsidRPr="00215B2F" w:rsidRDefault="00D91782" w:rsidP="00FD5520">
      <w:pPr>
        <w:pStyle w:val="Slog1"/>
        <w:shd w:val="clear" w:color="auto" w:fill="FFFFFF" w:themeFill="background1"/>
        <w:jc w:val="both"/>
        <w:rPr>
          <w:sz w:val="20"/>
          <w:szCs w:val="20"/>
        </w:rPr>
      </w:pPr>
    </w:p>
    <w:p w14:paraId="79F1EB49" w14:textId="334EFB8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na svojih spletnih straneh objavi stopnjo proticikličnega blažilnika za izpostavljenosti bank v tretji državi, ki jo je določila v skladu s prvim in drugim odstavkom </w:t>
      </w:r>
      <w:r w:rsidR="00C96E2E" w:rsidRPr="00215B2F">
        <w:rPr>
          <w:rFonts w:ascii="Arial" w:eastAsia="Arial" w:hAnsi="Arial" w:cs="Arial"/>
          <w:sz w:val="20"/>
          <w:szCs w:val="20"/>
        </w:rPr>
        <w:t>279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3EBC856A"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0DC4F6C" w14:textId="3144FD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v objavo iz prejšnjega odstavka vključi naslednje podatke:</w:t>
      </w:r>
    </w:p>
    <w:p w14:paraId="2F2B756F"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24A3902C" w14:textId="77777777" w:rsidR="00AD740A" w:rsidRPr="00215B2F" w:rsidRDefault="00D91782" w:rsidP="003D4DE0">
      <w:pPr>
        <w:pStyle w:val="tevilnatoka"/>
        <w:numPr>
          <w:ilvl w:val="0"/>
          <w:numId w:val="185"/>
        </w:numPr>
        <w:shd w:val="clear" w:color="auto" w:fill="FFFFFF" w:themeFill="background1"/>
        <w:tabs>
          <w:tab w:val="clear" w:pos="425"/>
        </w:tabs>
        <w:rPr>
          <w:rFonts w:cs="Arial"/>
          <w:bCs/>
          <w:sz w:val="20"/>
          <w:szCs w:val="20"/>
        </w:rPr>
      </w:pPr>
      <w:r w:rsidRPr="00215B2F">
        <w:rPr>
          <w:rFonts w:eastAsia="Arial" w:cs="Arial"/>
          <w:sz w:val="20"/>
          <w:szCs w:val="20"/>
        </w:rPr>
        <w:t>stopnjo proticikličnega blažilnika in tretjo državo, za katero se blažilnik uporablja;</w:t>
      </w:r>
    </w:p>
    <w:p w14:paraId="3572B23B" w14:textId="77777777" w:rsidR="00AD740A" w:rsidRPr="00215B2F" w:rsidRDefault="00D91782" w:rsidP="003D4DE0">
      <w:pPr>
        <w:pStyle w:val="tevilnatoka"/>
        <w:numPr>
          <w:ilvl w:val="0"/>
          <w:numId w:val="185"/>
        </w:numPr>
        <w:shd w:val="clear" w:color="auto" w:fill="FFFFFF" w:themeFill="background1"/>
        <w:tabs>
          <w:tab w:val="clear" w:pos="425"/>
        </w:tabs>
        <w:rPr>
          <w:rFonts w:cs="Arial"/>
          <w:bCs/>
          <w:sz w:val="20"/>
          <w:szCs w:val="20"/>
        </w:rPr>
      </w:pPr>
      <w:r w:rsidRPr="00215B2F">
        <w:rPr>
          <w:rFonts w:eastAsia="Arial" w:cs="Arial"/>
          <w:sz w:val="20"/>
          <w:szCs w:val="20"/>
        </w:rPr>
        <w:t>utemeljitev zadevne stopnje blažilnika;</w:t>
      </w:r>
    </w:p>
    <w:p w14:paraId="40D77166" w14:textId="77777777" w:rsidR="00AD740A" w:rsidRPr="00215B2F" w:rsidRDefault="00D91782" w:rsidP="003D4DE0">
      <w:pPr>
        <w:pStyle w:val="tevilnatoka"/>
        <w:numPr>
          <w:ilvl w:val="0"/>
          <w:numId w:val="185"/>
        </w:numPr>
        <w:shd w:val="clear" w:color="auto" w:fill="FFFFFF" w:themeFill="background1"/>
        <w:tabs>
          <w:tab w:val="clear" w:pos="425"/>
        </w:tabs>
        <w:rPr>
          <w:rFonts w:cs="Arial"/>
          <w:bCs/>
          <w:sz w:val="20"/>
          <w:szCs w:val="20"/>
        </w:rPr>
      </w:pPr>
      <w:r w:rsidRPr="00215B2F">
        <w:rPr>
          <w:rFonts w:eastAsia="Arial" w:cs="Arial"/>
          <w:sz w:val="20"/>
          <w:szCs w:val="20"/>
        </w:rPr>
        <w:t>kadar je stopnja blažilnika prvič večja od nič ali se poviša, datum, od katerega morajo banke uporabljati to višjo stopnjo blažilnika za namene izračuna svojega lastnega proticikličnega kapitalskega blažilnika;</w:t>
      </w:r>
    </w:p>
    <w:p w14:paraId="5CADC675" w14:textId="0407F890" w:rsidR="00D91782" w:rsidRPr="00215B2F" w:rsidRDefault="00D91782" w:rsidP="003D4DE0">
      <w:pPr>
        <w:pStyle w:val="tevilnatoka"/>
        <w:numPr>
          <w:ilvl w:val="0"/>
          <w:numId w:val="185"/>
        </w:numPr>
        <w:shd w:val="clear" w:color="auto" w:fill="FFFFFF" w:themeFill="background1"/>
        <w:tabs>
          <w:tab w:val="clear" w:pos="425"/>
        </w:tabs>
        <w:rPr>
          <w:rFonts w:cs="Arial"/>
          <w:bCs/>
          <w:sz w:val="20"/>
          <w:szCs w:val="20"/>
        </w:rPr>
      </w:pPr>
      <w:r w:rsidRPr="00215B2F">
        <w:rPr>
          <w:rFonts w:eastAsia="Arial" w:cs="Arial"/>
          <w:sz w:val="20"/>
          <w:szCs w:val="20"/>
        </w:rPr>
        <w:t>sklicevanje na izjemne okoliščine, ki upravičujejo odločitev, da se uporaba stopnje blažilnika zahteva prej kot 12 mesecev od objave v skladu s tem členom.</w:t>
      </w:r>
    </w:p>
    <w:p w14:paraId="11A36B0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54D639A"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35" w:name="_Ref202965600"/>
      <w:r w:rsidRPr="00215B2F">
        <w:rPr>
          <w:rFonts w:ascii="Arial" w:eastAsia="Arial" w:hAnsi="Arial" w:cs="Arial"/>
          <w:b/>
          <w:bCs/>
          <w:sz w:val="20"/>
          <w:szCs w:val="20"/>
        </w:rPr>
        <w:t>člen</w:t>
      </w:r>
      <w:bookmarkEnd w:id="335"/>
    </w:p>
    <w:p w14:paraId="33CA1581" w14:textId="77777777" w:rsidR="00D91782" w:rsidRPr="00215B2F" w:rsidRDefault="00D91782" w:rsidP="00FD5520">
      <w:pPr>
        <w:pStyle w:val="Slog1"/>
        <w:shd w:val="clear" w:color="auto" w:fill="FFFFFF" w:themeFill="background1"/>
        <w:rPr>
          <w:sz w:val="20"/>
          <w:szCs w:val="20"/>
        </w:rPr>
      </w:pPr>
      <w:r w:rsidRPr="00215B2F">
        <w:rPr>
          <w:sz w:val="20"/>
          <w:szCs w:val="20"/>
        </w:rPr>
        <w:t>(objava stopnje proticikličnega blažilnika, ki presega 2,5 odstotka)</w:t>
      </w:r>
    </w:p>
    <w:p w14:paraId="6AA7CDE7" w14:textId="77777777" w:rsidR="00D91782" w:rsidRPr="00215B2F" w:rsidRDefault="00D91782" w:rsidP="00FD5520">
      <w:pPr>
        <w:pStyle w:val="Slog1"/>
        <w:shd w:val="clear" w:color="auto" w:fill="FFFFFF" w:themeFill="background1"/>
        <w:jc w:val="both"/>
        <w:rPr>
          <w:sz w:val="20"/>
          <w:szCs w:val="20"/>
        </w:rPr>
      </w:pPr>
    </w:p>
    <w:p w14:paraId="4293012B" w14:textId="7813A3C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Kadar Banka Slovenije v skladu z </w:t>
      </w:r>
      <w:r w:rsidR="00C96E2E" w:rsidRPr="00215B2F">
        <w:rPr>
          <w:rFonts w:ascii="Arial" w:eastAsia="Arial" w:hAnsi="Arial" w:cs="Arial"/>
          <w:sz w:val="20"/>
          <w:szCs w:val="20"/>
        </w:rPr>
        <w:t>278</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prizna stopnjo blažilnika za drugo državo članico ali tretjo državo, ki presega 2,5 odstotka zneska skupne izpostavljenosti tveganjem, to objavi na svoji spletni strani. Objava vključuje vsaj naslednje podatke:</w:t>
      </w:r>
    </w:p>
    <w:p w14:paraId="150B811B"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131A8EA" w14:textId="77777777" w:rsidR="00AD740A" w:rsidRPr="00215B2F" w:rsidRDefault="00D91782" w:rsidP="003D4DE0">
      <w:pPr>
        <w:pStyle w:val="tevilnatoka"/>
        <w:numPr>
          <w:ilvl w:val="0"/>
          <w:numId w:val="186"/>
        </w:numPr>
        <w:shd w:val="clear" w:color="auto" w:fill="FFFFFF" w:themeFill="background1"/>
        <w:tabs>
          <w:tab w:val="clear" w:pos="425"/>
        </w:tabs>
        <w:rPr>
          <w:rFonts w:cs="Arial"/>
          <w:bCs/>
          <w:sz w:val="20"/>
          <w:szCs w:val="20"/>
        </w:rPr>
      </w:pPr>
      <w:r w:rsidRPr="00215B2F">
        <w:rPr>
          <w:rFonts w:eastAsia="Arial" w:cs="Arial"/>
          <w:sz w:val="20"/>
          <w:szCs w:val="20"/>
        </w:rPr>
        <w:t>stopnjo proticikličnega blažilnika;</w:t>
      </w:r>
    </w:p>
    <w:p w14:paraId="44C2D960" w14:textId="77777777" w:rsidR="00AD740A" w:rsidRPr="00215B2F" w:rsidRDefault="00D91782" w:rsidP="003D4DE0">
      <w:pPr>
        <w:pStyle w:val="tevilnatoka"/>
        <w:numPr>
          <w:ilvl w:val="0"/>
          <w:numId w:val="186"/>
        </w:numPr>
        <w:shd w:val="clear" w:color="auto" w:fill="FFFFFF" w:themeFill="background1"/>
        <w:tabs>
          <w:tab w:val="clear" w:pos="425"/>
        </w:tabs>
        <w:rPr>
          <w:rFonts w:cs="Arial"/>
          <w:bCs/>
          <w:sz w:val="20"/>
          <w:szCs w:val="20"/>
        </w:rPr>
      </w:pPr>
      <w:r w:rsidRPr="00215B2F">
        <w:rPr>
          <w:rFonts w:eastAsia="Arial" w:cs="Arial"/>
          <w:sz w:val="20"/>
          <w:szCs w:val="20"/>
        </w:rPr>
        <w:t>državo članico ali tretjo državo, za katero se blažilnik uporablja;</w:t>
      </w:r>
    </w:p>
    <w:p w14:paraId="78118DBD" w14:textId="77777777" w:rsidR="00AD740A" w:rsidRPr="00215B2F" w:rsidRDefault="00D91782" w:rsidP="003D4DE0">
      <w:pPr>
        <w:pStyle w:val="tevilnatoka"/>
        <w:numPr>
          <w:ilvl w:val="0"/>
          <w:numId w:val="186"/>
        </w:numPr>
        <w:shd w:val="clear" w:color="auto" w:fill="FFFFFF" w:themeFill="background1"/>
        <w:tabs>
          <w:tab w:val="clear" w:pos="425"/>
        </w:tabs>
        <w:rPr>
          <w:rFonts w:cs="Arial"/>
          <w:bCs/>
          <w:sz w:val="20"/>
          <w:szCs w:val="20"/>
        </w:rPr>
      </w:pPr>
      <w:r w:rsidRPr="00215B2F">
        <w:rPr>
          <w:rFonts w:eastAsia="Arial" w:cs="Arial"/>
          <w:sz w:val="20"/>
          <w:szCs w:val="20"/>
        </w:rPr>
        <w:t>kadar se stopnja blažilnika zviša, datum, od katerega morajo banke uporabljati to višjo stopnjo blažilnika za namene izračuna svojega lastnega proticikličnega kapitalskega blažilnika;</w:t>
      </w:r>
    </w:p>
    <w:p w14:paraId="6E0128E3" w14:textId="015369E1" w:rsidR="00D91782" w:rsidRPr="00215B2F" w:rsidRDefault="00D91782" w:rsidP="003D4DE0">
      <w:pPr>
        <w:pStyle w:val="tevilnatoka"/>
        <w:numPr>
          <w:ilvl w:val="0"/>
          <w:numId w:val="186"/>
        </w:numPr>
        <w:shd w:val="clear" w:color="auto" w:fill="FFFFFF" w:themeFill="background1"/>
        <w:tabs>
          <w:tab w:val="clear" w:pos="425"/>
        </w:tabs>
        <w:rPr>
          <w:rFonts w:cs="Arial"/>
          <w:bCs/>
          <w:sz w:val="20"/>
          <w:szCs w:val="20"/>
        </w:rPr>
      </w:pPr>
      <w:r w:rsidRPr="00215B2F">
        <w:rPr>
          <w:rFonts w:eastAsia="Arial" w:cs="Arial"/>
          <w:sz w:val="20"/>
          <w:szCs w:val="20"/>
        </w:rPr>
        <w:t>sklicevanje na izjemne okoliščine, ki upravičujejo odločitev, da se uporaba stopnje blažilnika zahteva prej kot 12 mesecev od objave v skladu s tem členom.</w:t>
      </w:r>
    </w:p>
    <w:p w14:paraId="3D8A8D1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7548D18" w14:textId="60DBD984"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7.2.3 Blažilnik za GSPB in blažilnik za DSPB</w:t>
      </w:r>
    </w:p>
    <w:p w14:paraId="51B59959"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3EC8DE0C"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36" w:name="_Ref202965612"/>
      <w:r w:rsidRPr="00215B2F">
        <w:rPr>
          <w:rFonts w:ascii="Arial" w:eastAsia="Arial" w:hAnsi="Arial" w:cs="Arial"/>
          <w:b/>
          <w:bCs/>
          <w:sz w:val="20"/>
          <w:szCs w:val="20"/>
        </w:rPr>
        <w:t>člen</w:t>
      </w:r>
      <w:bookmarkEnd w:id="336"/>
    </w:p>
    <w:p w14:paraId="562E2C1F" w14:textId="77777777" w:rsidR="00D91782" w:rsidRPr="00215B2F" w:rsidRDefault="00D91782" w:rsidP="00FD5520">
      <w:pPr>
        <w:pStyle w:val="Slog1"/>
        <w:shd w:val="clear" w:color="auto" w:fill="FFFFFF" w:themeFill="background1"/>
        <w:rPr>
          <w:sz w:val="20"/>
          <w:szCs w:val="20"/>
        </w:rPr>
      </w:pPr>
      <w:r w:rsidRPr="00215B2F">
        <w:rPr>
          <w:sz w:val="20"/>
          <w:szCs w:val="20"/>
        </w:rPr>
        <w:t>(določanje globalnih sistemsko pomembnih bank)</w:t>
      </w:r>
    </w:p>
    <w:p w14:paraId="445F78C7" w14:textId="77777777" w:rsidR="00D91782" w:rsidRPr="00215B2F" w:rsidRDefault="00D91782" w:rsidP="00FD5520">
      <w:pPr>
        <w:pStyle w:val="Slog1"/>
        <w:shd w:val="clear" w:color="auto" w:fill="FFFFFF" w:themeFill="background1"/>
        <w:jc w:val="both"/>
        <w:rPr>
          <w:sz w:val="20"/>
          <w:szCs w:val="20"/>
        </w:rPr>
      </w:pPr>
    </w:p>
    <w:p w14:paraId="1DA94A21" w14:textId="7F1D6F8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z upoštevanjem metodologije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z odločbo kot GSPB določi:</w:t>
      </w:r>
    </w:p>
    <w:p w14:paraId="441F0EAD"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7F49F9E3" w14:textId="77777777" w:rsidR="00AD740A" w:rsidRPr="00215B2F" w:rsidRDefault="00D91782" w:rsidP="003D4DE0">
      <w:pPr>
        <w:pStyle w:val="tevilnatoka"/>
        <w:numPr>
          <w:ilvl w:val="0"/>
          <w:numId w:val="187"/>
        </w:numPr>
        <w:shd w:val="clear" w:color="auto" w:fill="FFFFFF" w:themeFill="background1"/>
        <w:tabs>
          <w:tab w:val="clear" w:pos="425"/>
        </w:tabs>
        <w:rPr>
          <w:rFonts w:cs="Arial"/>
          <w:bCs/>
          <w:sz w:val="20"/>
          <w:szCs w:val="20"/>
        </w:rPr>
      </w:pPr>
      <w:r w:rsidRPr="00215B2F">
        <w:rPr>
          <w:rFonts w:eastAsia="Arial" w:cs="Arial"/>
          <w:sz w:val="20"/>
          <w:szCs w:val="20"/>
        </w:rPr>
        <w:t>skupino, katere del je banka in na vrhu katere je EU nadrejena banka, EU nadrejeni finančni holding ali EU nadrejeni mešani finančni holding, ki imajo sedež v Republiki Sloveniji, ali</w:t>
      </w:r>
    </w:p>
    <w:p w14:paraId="0C673CD3" w14:textId="7F15B83D" w:rsidR="00D91782" w:rsidRPr="00215B2F" w:rsidRDefault="00D91782" w:rsidP="003D4DE0">
      <w:pPr>
        <w:pStyle w:val="tevilnatoka"/>
        <w:numPr>
          <w:ilvl w:val="0"/>
          <w:numId w:val="187"/>
        </w:numPr>
        <w:shd w:val="clear" w:color="auto" w:fill="FFFFFF" w:themeFill="background1"/>
        <w:tabs>
          <w:tab w:val="clear" w:pos="425"/>
        </w:tabs>
        <w:rPr>
          <w:rFonts w:cs="Arial"/>
          <w:bCs/>
          <w:sz w:val="20"/>
          <w:szCs w:val="20"/>
        </w:rPr>
      </w:pPr>
      <w:r w:rsidRPr="00215B2F">
        <w:rPr>
          <w:rFonts w:eastAsia="Arial" w:cs="Arial"/>
          <w:sz w:val="20"/>
          <w:szCs w:val="20"/>
        </w:rPr>
        <w:t>banko, ki ni podrejena družba EU nadrejene kreditne institucije, EU nadrejenega finančnega holdinga ali EU nadrejenega mešanega finančnega holdinga.</w:t>
      </w:r>
    </w:p>
    <w:p w14:paraId="0C791104"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F95307C" w14:textId="4ED6409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določi banko ali skupino kot GSPB, če bi njen propad ali slabo poslovanje lahko povzročilo sistemsko tveganje globalnega pomena. Banka Slovenije oceni vpliv posamezne banke ali skupine na sistemsko tveganje globalnega pomena z uporabo metodologije, ki temelji na naslednjih merljivih in enakovredno uteženih kazalnikih:</w:t>
      </w:r>
    </w:p>
    <w:p w14:paraId="31CADEE8"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0E340C3A" w14:textId="77777777" w:rsidR="00AD740A" w:rsidRPr="00215B2F" w:rsidRDefault="00D91782" w:rsidP="003D4DE0">
      <w:pPr>
        <w:pStyle w:val="tevilnatoka"/>
        <w:numPr>
          <w:ilvl w:val="0"/>
          <w:numId w:val="188"/>
        </w:numPr>
        <w:shd w:val="clear" w:color="auto" w:fill="FFFFFF" w:themeFill="background1"/>
        <w:tabs>
          <w:tab w:val="clear" w:pos="425"/>
        </w:tabs>
        <w:rPr>
          <w:rFonts w:cs="Arial"/>
          <w:bCs/>
          <w:sz w:val="20"/>
          <w:szCs w:val="20"/>
        </w:rPr>
      </w:pPr>
      <w:r w:rsidRPr="00215B2F">
        <w:rPr>
          <w:rFonts w:eastAsia="Arial" w:cs="Arial"/>
          <w:sz w:val="20"/>
          <w:szCs w:val="20"/>
        </w:rPr>
        <w:t>velikost skupine;</w:t>
      </w:r>
    </w:p>
    <w:p w14:paraId="4FA7B184" w14:textId="77777777" w:rsidR="00AD740A" w:rsidRPr="00215B2F" w:rsidRDefault="00D91782" w:rsidP="003D4DE0">
      <w:pPr>
        <w:pStyle w:val="tevilnatoka"/>
        <w:numPr>
          <w:ilvl w:val="0"/>
          <w:numId w:val="188"/>
        </w:numPr>
        <w:shd w:val="clear" w:color="auto" w:fill="FFFFFF" w:themeFill="background1"/>
        <w:tabs>
          <w:tab w:val="clear" w:pos="425"/>
        </w:tabs>
        <w:rPr>
          <w:rFonts w:cs="Arial"/>
          <w:bCs/>
          <w:sz w:val="20"/>
          <w:szCs w:val="20"/>
        </w:rPr>
      </w:pPr>
      <w:r w:rsidRPr="00215B2F">
        <w:rPr>
          <w:rFonts w:eastAsia="Arial" w:cs="Arial"/>
          <w:sz w:val="20"/>
          <w:szCs w:val="20"/>
        </w:rPr>
        <w:lastRenderedPageBreak/>
        <w:t>medsebojna povezanost skupine s finančnim sistemom;</w:t>
      </w:r>
    </w:p>
    <w:p w14:paraId="30F94EF7" w14:textId="77777777" w:rsidR="00AD740A" w:rsidRPr="00215B2F" w:rsidRDefault="00D91782" w:rsidP="003D4DE0">
      <w:pPr>
        <w:pStyle w:val="tevilnatoka"/>
        <w:numPr>
          <w:ilvl w:val="0"/>
          <w:numId w:val="188"/>
        </w:numPr>
        <w:shd w:val="clear" w:color="auto" w:fill="FFFFFF" w:themeFill="background1"/>
        <w:tabs>
          <w:tab w:val="clear" w:pos="425"/>
        </w:tabs>
        <w:rPr>
          <w:rFonts w:cs="Arial"/>
          <w:bCs/>
          <w:sz w:val="20"/>
          <w:szCs w:val="20"/>
        </w:rPr>
      </w:pPr>
      <w:r w:rsidRPr="00215B2F">
        <w:rPr>
          <w:rFonts w:eastAsia="Arial" w:cs="Arial"/>
          <w:sz w:val="20"/>
          <w:szCs w:val="20"/>
        </w:rPr>
        <w:t>nadomestljivost storitev ali finančne infrastrukture, ki jo zagotavlja skupina;</w:t>
      </w:r>
    </w:p>
    <w:p w14:paraId="45408214" w14:textId="77777777" w:rsidR="00AD740A" w:rsidRPr="00215B2F" w:rsidRDefault="00D91782" w:rsidP="003D4DE0">
      <w:pPr>
        <w:pStyle w:val="tevilnatoka"/>
        <w:numPr>
          <w:ilvl w:val="0"/>
          <w:numId w:val="188"/>
        </w:numPr>
        <w:shd w:val="clear" w:color="auto" w:fill="FFFFFF" w:themeFill="background1"/>
        <w:tabs>
          <w:tab w:val="clear" w:pos="425"/>
        </w:tabs>
        <w:rPr>
          <w:rFonts w:cs="Arial"/>
          <w:bCs/>
          <w:sz w:val="20"/>
          <w:szCs w:val="20"/>
        </w:rPr>
      </w:pPr>
      <w:r w:rsidRPr="00215B2F">
        <w:rPr>
          <w:rFonts w:eastAsia="Arial" w:cs="Arial"/>
          <w:sz w:val="20"/>
          <w:szCs w:val="20"/>
        </w:rPr>
        <w:t>zapletenost skupine;</w:t>
      </w:r>
    </w:p>
    <w:p w14:paraId="793F4B52" w14:textId="6BF230A1" w:rsidR="00D91782" w:rsidRPr="00215B2F" w:rsidRDefault="00D91782" w:rsidP="003D4DE0">
      <w:pPr>
        <w:pStyle w:val="tevilnatoka"/>
        <w:numPr>
          <w:ilvl w:val="0"/>
          <w:numId w:val="188"/>
        </w:numPr>
        <w:shd w:val="clear" w:color="auto" w:fill="FFFFFF" w:themeFill="background1"/>
        <w:tabs>
          <w:tab w:val="clear" w:pos="425"/>
        </w:tabs>
        <w:rPr>
          <w:rFonts w:cs="Arial"/>
          <w:bCs/>
          <w:sz w:val="20"/>
          <w:szCs w:val="20"/>
        </w:rPr>
      </w:pPr>
      <w:r w:rsidRPr="00215B2F">
        <w:rPr>
          <w:rFonts w:eastAsia="Arial" w:cs="Arial"/>
          <w:sz w:val="20"/>
          <w:szCs w:val="20"/>
        </w:rPr>
        <w:t>čezmejne dejavnosti skupine, vključno s čezmejno dejavnostjo med Republiko Slovenijo in drugimi državami članicami ter med Republiko Slovenijo in tretjo državo.</w:t>
      </w:r>
    </w:p>
    <w:p w14:paraId="61DBD3A9"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0C398134" w14:textId="247E3B2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Na podlagi skupnega rezultata uporabljene metodologije iz prejšnjega odstavka Banka Slovenije banko ali skupino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katere skupni rezultat presega najnižjo presečno vrednost rezultata, določenega za prvo podkategorijo GSPB, razvrsti v eno od petih podkategorij GSPB iz prvega odstavka </w:t>
      </w:r>
      <w:r w:rsidR="00C96E2E" w:rsidRPr="00215B2F">
        <w:rPr>
          <w:rFonts w:ascii="Arial" w:eastAsia="Arial" w:hAnsi="Arial" w:cs="Arial"/>
          <w:sz w:val="20"/>
          <w:szCs w:val="20"/>
        </w:rPr>
        <w:t>285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Presečne vrednosti rezultatov med zaporednimi podkategorijami upoštevajo načelo konstantnega linearnega naraščanja sistemskega pomena GSPB med vsako podkategorijo, z izjemo najvišje podkategorije.</w:t>
      </w:r>
    </w:p>
    <w:p w14:paraId="77E36228"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151E5779" w14:textId="19AFC30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Ko Banka Slovenije opredeli banko ali skupino kot GSPB, jo razvrsti v ustrezno podkategorijo GSPB in ji določi rok za izpolnitev zahteve po vzdrževanju blažilnika za GSPB, ki je določen za to podkategorijo v skladu z </w:t>
      </w:r>
      <w:r w:rsidR="00C96E2E" w:rsidRPr="00215B2F">
        <w:rPr>
          <w:rFonts w:ascii="Arial" w:eastAsia="Arial" w:hAnsi="Arial" w:cs="Arial"/>
          <w:sz w:val="20"/>
          <w:szCs w:val="20"/>
        </w:rPr>
        <w:t>285</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7B625FFF"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480E7D8C" w14:textId="06DA7D9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lahko v primeru posebnih okoliščin in ob upoštevanju podkategorij in presečnih vrednosti rezultatov iz </w:t>
      </w:r>
      <w:r w:rsidR="00C96E2E" w:rsidRPr="00215B2F">
        <w:rPr>
          <w:rFonts w:ascii="Arial" w:eastAsia="Arial" w:hAnsi="Arial" w:cs="Arial"/>
          <w:sz w:val="20"/>
          <w:szCs w:val="20"/>
        </w:rPr>
        <w:t>285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6C243E4C"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9E60523" w14:textId="6D3484E0" w:rsidR="00AD740A" w:rsidRPr="00215B2F" w:rsidRDefault="00D91782" w:rsidP="003D4DE0">
      <w:pPr>
        <w:pStyle w:val="tevilnatoka"/>
        <w:numPr>
          <w:ilvl w:val="0"/>
          <w:numId w:val="189"/>
        </w:numPr>
        <w:shd w:val="clear" w:color="auto" w:fill="FFFFFF" w:themeFill="background1"/>
        <w:tabs>
          <w:tab w:val="clear" w:pos="425"/>
        </w:tabs>
        <w:rPr>
          <w:rFonts w:cs="Arial"/>
          <w:bCs/>
          <w:sz w:val="20"/>
          <w:szCs w:val="20"/>
        </w:rPr>
      </w:pPr>
      <w:r w:rsidRPr="00215B2F">
        <w:rPr>
          <w:rFonts w:eastAsia="Arial" w:cs="Arial"/>
          <w:sz w:val="20"/>
          <w:szCs w:val="20"/>
        </w:rPr>
        <w:t>prerazvrsti GSPB v višjo podkategorijo GSPB, k</w:t>
      </w:r>
      <w:r w:rsidR="006B0B0E" w:rsidRPr="00215B2F">
        <w:rPr>
          <w:rFonts w:eastAsia="Arial" w:cs="Arial"/>
          <w:sz w:val="20"/>
          <w:szCs w:val="20"/>
        </w:rPr>
        <w:t>akor</w:t>
      </w:r>
      <w:r w:rsidRPr="00215B2F">
        <w:rPr>
          <w:rFonts w:eastAsia="Arial" w:cs="Arial"/>
          <w:sz w:val="20"/>
          <w:szCs w:val="20"/>
        </w:rPr>
        <w:t xml:space="preserve"> je določena na podlagi tretjega </w:t>
      </w:r>
      <w:r w:rsidR="00746E88" w:rsidRPr="00215B2F">
        <w:rPr>
          <w:rFonts w:eastAsia="Arial" w:cs="Arial"/>
          <w:sz w:val="20"/>
          <w:szCs w:val="20"/>
        </w:rPr>
        <w:t>odstavka tega člena</w:t>
      </w:r>
      <w:r w:rsidRPr="00215B2F">
        <w:rPr>
          <w:rFonts w:eastAsia="Arial" w:cs="Arial"/>
          <w:sz w:val="20"/>
          <w:szCs w:val="20"/>
        </w:rPr>
        <w:t>;</w:t>
      </w:r>
    </w:p>
    <w:p w14:paraId="2839F489" w14:textId="0E59420A" w:rsidR="00AD740A" w:rsidRPr="00215B2F" w:rsidRDefault="00D91782" w:rsidP="003D4DE0">
      <w:pPr>
        <w:pStyle w:val="tevilnatoka"/>
        <w:numPr>
          <w:ilvl w:val="0"/>
          <w:numId w:val="189"/>
        </w:numPr>
        <w:shd w:val="clear" w:color="auto" w:fill="FFFFFF" w:themeFill="background1"/>
        <w:tabs>
          <w:tab w:val="clear" w:pos="425"/>
        </w:tabs>
        <w:rPr>
          <w:rFonts w:cs="Arial"/>
          <w:bCs/>
          <w:sz w:val="20"/>
          <w:szCs w:val="20"/>
        </w:rPr>
      </w:pPr>
      <w:r w:rsidRPr="00215B2F">
        <w:rPr>
          <w:rFonts w:eastAsia="Arial" w:cs="Arial"/>
          <w:sz w:val="20"/>
          <w:szCs w:val="20"/>
        </w:rPr>
        <w:t xml:space="preserve">kot GSPB opredeli banko ali skupino iz prvega </w:t>
      </w:r>
      <w:r w:rsidR="00746E88" w:rsidRPr="00215B2F">
        <w:rPr>
          <w:rFonts w:eastAsia="Arial" w:cs="Arial"/>
          <w:sz w:val="20"/>
          <w:szCs w:val="20"/>
        </w:rPr>
        <w:t>odstavka tega člena</w:t>
      </w:r>
      <w:r w:rsidRPr="00215B2F">
        <w:rPr>
          <w:rFonts w:eastAsia="Arial" w:cs="Arial"/>
          <w:sz w:val="20"/>
          <w:szCs w:val="20"/>
        </w:rPr>
        <w:t xml:space="preserve">, ki na podlagi uporabljene metodologije ne presega najnižje presečne vrednosti za prvo podkategorijo GSPB, določeno na podlagi tretjega </w:t>
      </w:r>
      <w:r w:rsidR="00746E88" w:rsidRPr="00215B2F">
        <w:rPr>
          <w:rFonts w:eastAsia="Arial" w:cs="Arial"/>
          <w:sz w:val="20"/>
          <w:szCs w:val="20"/>
        </w:rPr>
        <w:t>odstavka tega člena</w:t>
      </w:r>
      <w:r w:rsidRPr="00215B2F">
        <w:rPr>
          <w:rFonts w:eastAsia="Arial" w:cs="Arial"/>
          <w:sz w:val="20"/>
          <w:szCs w:val="20"/>
        </w:rPr>
        <w:t>;</w:t>
      </w:r>
    </w:p>
    <w:p w14:paraId="26F3F941" w14:textId="12DA831C" w:rsidR="00D91782" w:rsidRPr="00215B2F" w:rsidRDefault="00D91782" w:rsidP="003D4DE0">
      <w:pPr>
        <w:pStyle w:val="tevilnatoka"/>
        <w:numPr>
          <w:ilvl w:val="0"/>
          <w:numId w:val="189"/>
        </w:numPr>
        <w:shd w:val="clear" w:color="auto" w:fill="FFFFFF" w:themeFill="background1"/>
        <w:tabs>
          <w:tab w:val="clear" w:pos="425"/>
        </w:tabs>
        <w:rPr>
          <w:rFonts w:cs="Arial"/>
          <w:bCs/>
          <w:sz w:val="20"/>
          <w:szCs w:val="20"/>
        </w:rPr>
      </w:pPr>
      <w:r w:rsidRPr="00215B2F">
        <w:rPr>
          <w:rFonts w:eastAsia="Arial" w:cs="Arial"/>
          <w:sz w:val="20"/>
          <w:szCs w:val="20"/>
        </w:rPr>
        <w:t xml:space="preserve">prerazvrsti GSPB na podlagi dodatne določitvene metodologije iz višje </w:t>
      </w:r>
      <w:r w:rsidR="0085297D" w:rsidRPr="00215B2F">
        <w:rPr>
          <w:rFonts w:eastAsia="Arial" w:cs="Arial"/>
          <w:sz w:val="20"/>
          <w:szCs w:val="20"/>
        </w:rPr>
        <w:t xml:space="preserve">podkategorije </w:t>
      </w:r>
      <w:r w:rsidRPr="00215B2F">
        <w:rPr>
          <w:rFonts w:eastAsia="Arial" w:cs="Arial"/>
          <w:sz w:val="20"/>
          <w:szCs w:val="20"/>
        </w:rPr>
        <w:t xml:space="preserve">v nižjo ob upoštevanju enotnega mehanizma za reševanje na podlagi dodatnega skupnega rezultata iz šestega </w:t>
      </w:r>
      <w:r w:rsidR="00746E88" w:rsidRPr="00215B2F">
        <w:rPr>
          <w:rFonts w:eastAsia="Arial" w:cs="Arial"/>
          <w:sz w:val="20"/>
          <w:szCs w:val="20"/>
        </w:rPr>
        <w:t>odstavka tega člena</w:t>
      </w:r>
      <w:r w:rsidRPr="00215B2F">
        <w:rPr>
          <w:rFonts w:eastAsia="Arial" w:cs="Arial"/>
          <w:sz w:val="20"/>
          <w:szCs w:val="20"/>
        </w:rPr>
        <w:t>.</w:t>
      </w:r>
    </w:p>
    <w:p w14:paraId="36867458"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78ADFBE4" w14:textId="41BB52C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Za </w:t>
      </w:r>
      <w:r w:rsidR="00AE4FE8" w:rsidRPr="00215B2F">
        <w:rPr>
          <w:rFonts w:ascii="Arial" w:eastAsia="Arial" w:hAnsi="Arial" w:cs="Arial"/>
          <w:sz w:val="20"/>
          <w:szCs w:val="20"/>
        </w:rPr>
        <w:t>pod</w:t>
      </w:r>
      <w:r w:rsidRPr="00215B2F">
        <w:rPr>
          <w:rFonts w:ascii="Arial" w:eastAsia="Arial" w:hAnsi="Arial" w:cs="Arial"/>
          <w:sz w:val="20"/>
          <w:szCs w:val="20"/>
        </w:rPr>
        <w:t xml:space="preserve">kategorije iz 1. točke prejšnjega odstavka so kazalniki enaki kot ustrezni kazalniki, določeni na podlagi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10544D80"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45A56365" w14:textId="3DA641B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Banka Slovenije za banko ali skupino izračuna dodatni skupni rezultat, na podlagi katerega lahko sprejme ukrep iz 3. točke prejšnjega odstavka. Pri izračunu uporabi dodatno določitveno metodologijo, ki temelji na naslednjih enakovrednih </w:t>
      </w:r>
      <w:r w:rsidR="00E832FC" w:rsidRPr="00215B2F">
        <w:rPr>
          <w:rFonts w:ascii="Arial" w:eastAsia="Arial" w:hAnsi="Arial" w:cs="Arial"/>
          <w:sz w:val="20"/>
          <w:szCs w:val="20"/>
        </w:rPr>
        <w:t xml:space="preserve">kategorijah </w:t>
      </w:r>
      <w:r w:rsidRPr="00215B2F">
        <w:rPr>
          <w:rFonts w:ascii="Arial" w:eastAsia="Arial" w:hAnsi="Arial" w:cs="Arial"/>
          <w:sz w:val="20"/>
          <w:szCs w:val="20"/>
        </w:rPr>
        <w:t>merljivih kazalnikov:</w:t>
      </w:r>
    </w:p>
    <w:p w14:paraId="741948FC"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3853B541" w14:textId="0C6A13CA" w:rsidR="00AD740A" w:rsidRPr="00215B2F" w:rsidRDefault="00E832FC" w:rsidP="003D4DE0">
      <w:pPr>
        <w:pStyle w:val="tevilnatoka"/>
        <w:numPr>
          <w:ilvl w:val="0"/>
          <w:numId w:val="190"/>
        </w:numPr>
        <w:shd w:val="clear" w:color="auto" w:fill="FFFFFF" w:themeFill="background1"/>
        <w:tabs>
          <w:tab w:val="clear" w:pos="425"/>
        </w:tabs>
        <w:rPr>
          <w:rFonts w:cs="Arial"/>
          <w:bCs/>
          <w:sz w:val="20"/>
          <w:szCs w:val="20"/>
        </w:rPr>
      </w:pPr>
      <w:r w:rsidRPr="00215B2F">
        <w:rPr>
          <w:rFonts w:eastAsia="Arial" w:cs="Arial"/>
          <w:sz w:val="20"/>
          <w:szCs w:val="20"/>
        </w:rPr>
        <w:t xml:space="preserve">kategorijah </w:t>
      </w:r>
      <w:r w:rsidR="00D91782" w:rsidRPr="00215B2F">
        <w:rPr>
          <w:rFonts w:eastAsia="Arial" w:cs="Arial"/>
          <w:sz w:val="20"/>
          <w:szCs w:val="20"/>
        </w:rPr>
        <w:t xml:space="preserve">iz 1. do 4. točke drugega </w:t>
      </w:r>
      <w:r w:rsidR="00746E88" w:rsidRPr="00215B2F">
        <w:rPr>
          <w:rFonts w:eastAsia="Arial" w:cs="Arial"/>
          <w:sz w:val="20"/>
          <w:szCs w:val="20"/>
        </w:rPr>
        <w:t>odstavka tega člena</w:t>
      </w:r>
      <w:r w:rsidR="00D91782" w:rsidRPr="00215B2F">
        <w:rPr>
          <w:rFonts w:eastAsia="Arial" w:cs="Arial"/>
          <w:sz w:val="20"/>
          <w:szCs w:val="20"/>
        </w:rPr>
        <w:t>;</w:t>
      </w:r>
    </w:p>
    <w:p w14:paraId="4479D97D" w14:textId="58330500" w:rsidR="00D91782" w:rsidRPr="00215B2F" w:rsidRDefault="00D91782" w:rsidP="003D4DE0">
      <w:pPr>
        <w:pStyle w:val="tevilnatoka"/>
        <w:numPr>
          <w:ilvl w:val="0"/>
          <w:numId w:val="190"/>
        </w:numPr>
        <w:shd w:val="clear" w:color="auto" w:fill="FFFFFF" w:themeFill="background1"/>
        <w:tabs>
          <w:tab w:val="clear" w:pos="425"/>
        </w:tabs>
        <w:rPr>
          <w:rFonts w:cs="Arial"/>
          <w:bCs/>
          <w:sz w:val="20"/>
          <w:szCs w:val="20"/>
        </w:rPr>
      </w:pPr>
      <w:r w:rsidRPr="00215B2F">
        <w:rPr>
          <w:rFonts w:eastAsia="Arial" w:cs="Arial"/>
          <w:sz w:val="20"/>
          <w:szCs w:val="20"/>
        </w:rPr>
        <w:t>čezmejni dejavnosti skupine, razen dejavnosti skupine v sodelujočih državah članicah iz 4. člena Uredbe 806/2014/EU.</w:t>
      </w:r>
    </w:p>
    <w:p w14:paraId="28F56D2A"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11996741" w14:textId="657FF49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(8) Banka Slovenije najmanj enkrat letno preveri določitev GSPB in razvrstitev GSPB v ustrezne podkategorije GSPB. </w:t>
      </w:r>
      <w:r w:rsidR="0085297D" w:rsidRPr="00215B2F">
        <w:rPr>
          <w:rFonts w:ascii="Arial" w:eastAsia="Arial" w:hAnsi="Arial" w:cs="Arial"/>
          <w:sz w:val="20"/>
          <w:szCs w:val="20"/>
        </w:rPr>
        <w:t>Če</w:t>
      </w:r>
      <w:r w:rsidRPr="00215B2F">
        <w:rPr>
          <w:rFonts w:ascii="Arial" w:eastAsia="Arial" w:hAnsi="Arial" w:cs="Arial"/>
          <w:sz w:val="20"/>
          <w:szCs w:val="20"/>
        </w:rPr>
        <w:t xml:space="preserve"> Banka Slovenije ob ponovnem pregledu ugotovi, da se GSPB z upoštevanjem skupnega rezultata na podlagi metodologije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ali zaradi posebnih okoliščin iz petega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prerazvrsti v drugo podkategorijo GSPB, ali če ugotovi, da banka ali skupina ne izpolnjuje več meril za GSPB, odloči, da:</w:t>
      </w:r>
    </w:p>
    <w:p w14:paraId="75F01592"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400D051C" w14:textId="78D6C5C0" w:rsidR="00AD740A" w:rsidRPr="00215B2F" w:rsidRDefault="00D91782" w:rsidP="003D4DE0">
      <w:pPr>
        <w:pStyle w:val="tevilnatoka"/>
        <w:numPr>
          <w:ilvl w:val="0"/>
          <w:numId w:val="191"/>
        </w:numPr>
        <w:shd w:val="clear" w:color="auto" w:fill="FFFFFF" w:themeFill="background1"/>
        <w:tabs>
          <w:tab w:val="clear" w:pos="425"/>
        </w:tabs>
        <w:rPr>
          <w:rFonts w:cs="Arial"/>
          <w:bCs/>
          <w:sz w:val="20"/>
          <w:szCs w:val="20"/>
        </w:rPr>
      </w:pPr>
      <w:r w:rsidRPr="00215B2F">
        <w:rPr>
          <w:rFonts w:eastAsia="Arial" w:cs="Arial"/>
          <w:sz w:val="20"/>
          <w:szCs w:val="20"/>
        </w:rPr>
        <w:t xml:space="preserve">se za GSPB uporablja nova podkategorija GSPB, določena na podlagi tretjega in petega </w:t>
      </w:r>
      <w:r w:rsidR="00746E88" w:rsidRPr="00215B2F">
        <w:rPr>
          <w:rFonts w:eastAsia="Arial" w:cs="Arial"/>
          <w:sz w:val="20"/>
          <w:szCs w:val="20"/>
        </w:rPr>
        <w:t>odstavka tega člena</w:t>
      </w:r>
      <w:r w:rsidRPr="00215B2F">
        <w:rPr>
          <w:rFonts w:eastAsia="Arial" w:cs="Arial"/>
          <w:sz w:val="20"/>
          <w:szCs w:val="20"/>
        </w:rPr>
        <w:t xml:space="preserve">, ter določi rok za izpolnitev zahteve po vzdrževanju blažilnika za GSPB, ki je določen za to podkategorijo GSPB, v skladu z </w:t>
      </w:r>
      <w:r w:rsidR="00C96E2E" w:rsidRPr="00215B2F">
        <w:rPr>
          <w:rFonts w:eastAsia="Arial" w:cs="Arial"/>
          <w:sz w:val="20"/>
          <w:szCs w:val="20"/>
        </w:rPr>
        <w:t>285</w:t>
      </w:r>
      <w:r w:rsidRPr="00215B2F">
        <w:rPr>
          <w:rFonts w:eastAsia="Arial" w:cs="Arial"/>
          <w:sz w:val="20"/>
          <w:szCs w:val="20"/>
        </w:rPr>
        <w:t xml:space="preserve">. </w:t>
      </w:r>
      <w:r w:rsidR="001F2C7A" w:rsidRPr="00215B2F">
        <w:rPr>
          <w:rFonts w:eastAsia="Arial" w:cs="Arial"/>
          <w:sz w:val="20"/>
          <w:szCs w:val="20"/>
        </w:rPr>
        <w:t>členom tega zakona</w:t>
      </w:r>
      <w:r w:rsidR="0085297D" w:rsidRPr="00215B2F">
        <w:rPr>
          <w:rFonts w:eastAsia="Arial" w:cs="Arial"/>
          <w:sz w:val="20"/>
          <w:szCs w:val="20"/>
        </w:rPr>
        <w:t>,</w:t>
      </w:r>
      <w:r w:rsidRPr="00215B2F">
        <w:rPr>
          <w:rFonts w:eastAsia="Arial" w:cs="Arial"/>
          <w:sz w:val="20"/>
          <w:szCs w:val="20"/>
        </w:rPr>
        <w:t xml:space="preserve"> ali</w:t>
      </w:r>
    </w:p>
    <w:p w14:paraId="3579AD80" w14:textId="766C9E97" w:rsidR="00D91782" w:rsidRPr="00215B2F" w:rsidRDefault="00D91782" w:rsidP="003D4DE0">
      <w:pPr>
        <w:pStyle w:val="tevilnatoka"/>
        <w:numPr>
          <w:ilvl w:val="0"/>
          <w:numId w:val="191"/>
        </w:numPr>
        <w:shd w:val="clear" w:color="auto" w:fill="FFFFFF" w:themeFill="background1"/>
        <w:tabs>
          <w:tab w:val="clear" w:pos="425"/>
        </w:tabs>
        <w:rPr>
          <w:rFonts w:cs="Arial"/>
          <w:bCs/>
          <w:sz w:val="20"/>
          <w:szCs w:val="20"/>
        </w:rPr>
      </w:pPr>
      <w:r w:rsidRPr="00215B2F">
        <w:rPr>
          <w:rFonts w:eastAsia="Arial" w:cs="Arial"/>
          <w:sz w:val="20"/>
          <w:szCs w:val="20"/>
        </w:rPr>
        <w:t>banka ali skupina ni več opredeljena kot GSPB.</w:t>
      </w:r>
    </w:p>
    <w:p w14:paraId="7AEF920C"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1801C6BE" w14:textId="1C3CE44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(9) Banka Slovenije obvesti Evropski odbor za sistemska tveganja o rezultatih pregleda in določitvi GSPB ter podkategorijah GSPB, v katero je </w:t>
      </w:r>
      <w:r w:rsidR="00DD6C31" w:rsidRPr="00215B2F">
        <w:rPr>
          <w:rFonts w:ascii="Arial" w:eastAsia="Arial" w:hAnsi="Arial" w:cs="Arial"/>
          <w:sz w:val="20"/>
          <w:szCs w:val="20"/>
        </w:rPr>
        <w:t>razvrščena</w:t>
      </w:r>
      <w:r w:rsidR="00DD6C31" w:rsidRPr="00215B2F" w:rsidDel="00DD6C31">
        <w:rPr>
          <w:rFonts w:ascii="Arial" w:eastAsia="Arial" w:hAnsi="Arial" w:cs="Arial"/>
          <w:sz w:val="20"/>
          <w:szCs w:val="20"/>
        </w:rPr>
        <w:t xml:space="preserve"> </w:t>
      </w:r>
      <w:r w:rsidR="00DD6C31" w:rsidRPr="00215B2F">
        <w:rPr>
          <w:rFonts w:ascii="Arial" w:eastAsia="Arial" w:hAnsi="Arial" w:cs="Arial"/>
          <w:sz w:val="20"/>
          <w:szCs w:val="20"/>
        </w:rPr>
        <w:t xml:space="preserve">posamezna </w:t>
      </w:r>
      <w:r w:rsidRPr="00215B2F">
        <w:rPr>
          <w:rFonts w:ascii="Arial" w:eastAsia="Arial" w:hAnsi="Arial" w:cs="Arial"/>
          <w:sz w:val="20"/>
          <w:szCs w:val="20"/>
        </w:rPr>
        <w:t xml:space="preserve">GSPB, vključno z utemeljitvijo presoje posebnih okoliščin iz petega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Banka Slovenije informacijo o podkategoriji, v katero je </w:t>
      </w:r>
      <w:r w:rsidR="00DD6C31" w:rsidRPr="00215B2F">
        <w:rPr>
          <w:rFonts w:ascii="Arial" w:eastAsia="Arial" w:hAnsi="Arial" w:cs="Arial"/>
          <w:sz w:val="20"/>
          <w:szCs w:val="20"/>
        </w:rPr>
        <w:t xml:space="preserve">razvrščena </w:t>
      </w:r>
      <w:r w:rsidRPr="00215B2F">
        <w:rPr>
          <w:rFonts w:ascii="Arial" w:eastAsia="Arial" w:hAnsi="Arial" w:cs="Arial"/>
          <w:sz w:val="20"/>
          <w:szCs w:val="20"/>
        </w:rPr>
        <w:t>posamezna GSPB, objavi na svoji spletni strani.</w:t>
      </w:r>
    </w:p>
    <w:p w14:paraId="64C83D5C"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17322631" w14:textId="21D4B30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(10) Banka Slovenije informacije iz sedmega in osmega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predloži na evropsko enotno točko dostopa, vzpostavljeno na podlagi Uredbe 2023/2859/EU, v formatu, ki omogoča izvlečenje podatkov, kakor je opredeljen v 3. točki 2. člena Uredbe 2023/2859/EU, in z metapodatki, ki vključujejo: </w:t>
      </w:r>
    </w:p>
    <w:p w14:paraId="63F17895"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218E6CA7" w14:textId="07344D1F" w:rsidR="00AD740A"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vsa imena institucij, na katere se informacije nanašajo; </w:t>
      </w:r>
    </w:p>
    <w:p w14:paraId="18B3F1A9" w14:textId="670DCAE9" w:rsidR="00AD740A"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kadar je na voljo, identifikator pravnih subjektov institucije, k</w:t>
      </w:r>
      <w:r w:rsidR="006B0B0E" w:rsidRPr="00215B2F">
        <w:rPr>
          <w:rFonts w:ascii="Arial" w:eastAsia="Arial" w:hAnsi="Arial" w:cs="Arial"/>
          <w:sz w:val="20"/>
          <w:szCs w:val="20"/>
        </w:rPr>
        <w:t>akor</w:t>
      </w:r>
      <w:r w:rsidRPr="00215B2F">
        <w:rPr>
          <w:rFonts w:ascii="Arial" w:eastAsia="Arial" w:hAnsi="Arial" w:cs="Arial"/>
          <w:sz w:val="20"/>
          <w:szCs w:val="20"/>
        </w:rPr>
        <w:t xml:space="preserve"> je določen na podlagi točke (b) četrtega odstavka 7. člena Uredbe 2023/2859/EU;</w:t>
      </w:r>
    </w:p>
    <w:p w14:paraId="0A034BD8" w14:textId="77777777" w:rsidR="00AD740A"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vrsto informacij glede na razvrstitev na podlagi točke (c) četrtega odstavka 7. člena Uredbe 2023/2859/EU; </w:t>
      </w:r>
    </w:p>
    <w:p w14:paraId="52EB8EA2" w14:textId="42E944DB"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oznako, iz katere je razvidno, ali te informacije vsebujejo osebne podatke.</w:t>
      </w:r>
    </w:p>
    <w:p w14:paraId="31CBC3CE"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71237F57"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37" w:name="_Ref202965633"/>
      <w:r w:rsidRPr="00215B2F">
        <w:rPr>
          <w:rFonts w:ascii="Arial" w:eastAsia="Arial" w:hAnsi="Arial" w:cs="Arial"/>
          <w:b/>
          <w:bCs/>
          <w:sz w:val="20"/>
          <w:szCs w:val="20"/>
        </w:rPr>
        <w:t>člen</w:t>
      </w:r>
      <w:bookmarkEnd w:id="337"/>
    </w:p>
    <w:p w14:paraId="16EFE88B" w14:textId="77777777" w:rsidR="00D91782" w:rsidRPr="00215B2F" w:rsidRDefault="00D91782" w:rsidP="00FD5520">
      <w:pPr>
        <w:pStyle w:val="Slog1"/>
        <w:shd w:val="clear" w:color="auto" w:fill="FFFFFF" w:themeFill="background1"/>
        <w:rPr>
          <w:sz w:val="20"/>
          <w:szCs w:val="20"/>
        </w:rPr>
      </w:pPr>
      <w:r w:rsidRPr="00215B2F">
        <w:rPr>
          <w:sz w:val="20"/>
          <w:szCs w:val="20"/>
        </w:rPr>
        <w:t>(določanje drugih sistemsko pomembnih bank)</w:t>
      </w:r>
    </w:p>
    <w:p w14:paraId="1D4184CB" w14:textId="77777777" w:rsidR="00707327" w:rsidRPr="00215B2F" w:rsidRDefault="00707327" w:rsidP="00FD5520">
      <w:pPr>
        <w:shd w:val="clear" w:color="auto" w:fill="FFFFFF" w:themeFill="background1"/>
        <w:spacing w:after="0" w:line="240" w:lineRule="auto"/>
        <w:jc w:val="both"/>
        <w:rPr>
          <w:rFonts w:ascii="Arial" w:eastAsia="Arial" w:hAnsi="Arial" w:cs="Arial"/>
          <w:sz w:val="20"/>
          <w:szCs w:val="20"/>
        </w:rPr>
      </w:pPr>
    </w:p>
    <w:p w14:paraId="0CB8E5DB" w14:textId="1B7801B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z upoštevanjem meril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z odločbo kot DSPB določi:</w:t>
      </w:r>
    </w:p>
    <w:p w14:paraId="733EA86D"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04C00BB1" w14:textId="77777777" w:rsidR="00AD740A" w:rsidRPr="00215B2F" w:rsidRDefault="00D91782" w:rsidP="003D4DE0">
      <w:pPr>
        <w:pStyle w:val="tevilnatoka"/>
        <w:numPr>
          <w:ilvl w:val="0"/>
          <w:numId w:val="192"/>
        </w:numPr>
        <w:shd w:val="clear" w:color="auto" w:fill="FFFFFF" w:themeFill="background1"/>
        <w:tabs>
          <w:tab w:val="clear" w:pos="425"/>
        </w:tabs>
        <w:rPr>
          <w:rFonts w:cs="Arial"/>
          <w:bCs/>
          <w:sz w:val="20"/>
          <w:szCs w:val="20"/>
        </w:rPr>
      </w:pPr>
      <w:r w:rsidRPr="00215B2F">
        <w:rPr>
          <w:rFonts w:eastAsia="Arial" w:cs="Arial"/>
          <w:sz w:val="20"/>
          <w:szCs w:val="20"/>
        </w:rPr>
        <w:t>banko ali</w:t>
      </w:r>
    </w:p>
    <w:p w14:paraId="14927474" w14:textId="172E2E0E" w:rsidR="00D91782" w:rsidRPr="00215B2F" w:rsidRDefault="00D91782" w:rsidP="003D4DE0">
      <w:pPr>
        <w:pStyle w:val="tevilnatoka"/>
        <w:numPr>
          <w:ilvl w:val="0"/>
          <w:numId w:val="192"/>
        </w:numPr>
        <w:shd w:val="clear" w:color="auto" w:fill="FFFFFF" w:themeFill="background1"/>
        <w:tabs>
          <w:tab w:val="clear" w:pos="425"/>
        </w:tabs>
        <w:rPr>
          <w:rFonts w:cs="Arial"/>
          <w:bCs/>
          <w:sz w:val="20"/>
          <w:szCs w:val="20"/>
        </w:rPr>
      </w:pPr>
      <w:r w:rsidRPr="00215B2F">
        <w:rPr>
          <w:rFonts w:eastAsia="Arial" w:cs="Arial"/>
          <w:sz w:val="20"/>
          <w:szCs w:val="20"/>
        </w:rPr>
        <w:t xml:space="preserve">skupino, katere del je banka in na vrhu katere je ena </w:t>
      </w:r>
      <w:r w:rsidR="004A2666" w:rsidRPr="00215B2F">
        <w:rPr>
          <w:rFonts w:eastAsia="Arial" w:cs="Arial"/>
          <w:sz w:val="20"/>
          <w:szCs w:val="20"/>
        </w:rPr>
        <w:t>o</w:t>
      </w:r>
      <w:r w:rsidRPr="00215B2F">
        <w:rPr>
          <w:rFonts w:eastAsia="Arial" w:cs="Arial"/>
          <w:sz w:val="20"/>
          <w:szCs w:val="20"/>
        </w:rPr>
        <w:t>d naslednjih oseb s sedežem v Republiki Sloveniji:</w:t>
      </w:r>
    </w:p>
    <w:p w14:paraId="784BC9D4"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EU nadrejena banka;</w:t>
      </w:r>
    </w:p>
    <w:p w14:paraId="1A99F9C1"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EU nadrejeni finančni holding;</w:t>
      </w:r>
    </w:p>
    <w:p w14:paraId="087CABFB"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EU nadrejeni mešani finančni holding;</w:t>
      </w:r>
    </w:p>
    <w:p w14:paraId="5337731B"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nadrejena banka;</w:t>
      </w:r>
    </w:p>
    <w:p w14:paraId="39D4A758"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nadrejeni finančni holding ali</w:t>
      </w:r>
    </w:p>
    <w:p w14:paraId="1C46C4FE" w14:textId="1729CE1B"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nadrejeni mešani finančni holding.</w:t>
      </w:r>
    </w:p>
    <w:p w14:paraId="745225BB"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1FFF413" w14:textId="64D5ACC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banko ali skupino iz prejšnjega odstavka opredeli kot DSPB, če bi propad ali slabo poslovanje banke lahko povzročilo sistemsko tveganje v Republiki Sloveniji. Banka Slovenije oceni vpliv posamezne banke na sistemsko tveganje v Republiki Sloveniji na podlagi vsaj enega od naslednjih meril:</w:t>
      </w:r>
    </w:p>
    <w:p w14:paraId="43D88791"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F32BD6C" w14:textId="77777777" w:rsidR="00AD740A" w:rsidRPr="00215B2F" w:rsidRDefault="00D91782" w:rsidP="003D4DE0">
      <w:pPr>
        <w:pStyle w:val="tevilnatoka"/>
        <w:numPr>
          <w:ilvl w:val="0"/>
          <w:numId w:val="193"/>
        </w:numPr>
        <w:shd w:val="clear" w:color="auto" w:fill="FFFFFF" w:themeFill="background1"/>
        <w:tabs>
          <w:tab w:val="clear" w:pos="425"/>
        </w:tabs>
        <w:rPr>
          <w:rFonts w:cs="Arial"/>
          <w:bCs/>
          <w:sz w:val="20"/>
          <w:szCs w:val="20"/>
        </w:rPr>
      </w:pPr>
      <w:r w:rsidRPr="00215B2F">
        <w:rPr>
          <w:rFonts w:eastAsia="Arial" w:cs="Arial"/>
          <w:sz w:val="20"/>
          <w:szCs w:val="20"/>
        </w:rPr>
        <w:t>velikost,</w:t>
      </w:r>
    </w:p>
    <w:p w14:paraId="06ACEFCC" w14:textId="77777777" w:rsidR="00AD740A" w:rsidRPr="00215B2F" w:rsidRDefault="00D91782" w:rsidP="003D4DE0">
      <w:pPr>
        <w:pStyle w:val="tevilnatoka"/>
        <w:numPr>
          <w:ilvl w:val="0"/>
          <w:numId w:val="193"/>
        </w:numPr>
        <w:shd w:val="clear" w:color="auto" w:fill="FFFFFF" w:themeFill="background1"/>
        <w:tabs>
          <w:tab w:val="clear" w:pos="425"/>
        </w:tabs>
        <w:rPr>
          <w:rFonts w:cs="Arial"/>
          <w:bCs/>
          <w:sz w:val="20"/>
          <w:szCs w:val="20"/>
        </w:rPr>
      </w:pPr>
      <w:r w:rsidRPr="00215B2F">
        <w:rPr>
          <w:rFonts w:eastAsia="Arial" w:cs="Arial"/>
          <w:sz w:val="20"/>
          <w:szCs w:val="20"/>
        </w:rPr>
        <w:t>pomen za gospodarstvo Evropske unije ali Republike Slovenije,</w:t>
      </w:r>
    </w:p>
    <w:p w14:paraId="10E0B848" w14:textId="77777777" w:rsidR="00AD740A" w:rsidRPr="00215B2F" w:rsidRDefault="00D91782" w:rsidP="003D4DE0">
      <w:pPr>
        <w:pStyle w:val="tevilnatoka"/>
        <w:numPr>
          <w:ilvl w:val="0"/>
          <w:numId w:val="193"/>
        </w:numPr>
        <w:shd w:val="clear" w:color="auto" w:fill="FFFFFF" w:themeFill="background1"/>
        <w:tabs>
          <w:tab w:val="clear" w:pos="425"/>
        </w:tabs>
        <w:rPr>
          <w:rFonts w:cs="Arial"/>
          <w:bCs/>
          <w:sz w:val="20"/>
          <w:szCs w:val="20"/>
        </w:rPr>
      </w:pPr>
      <w:r w:rsidRPr="00215B2F">
        <w:rPr>
          <w:rFonts w:eastAsia="Arial" w:cs="Arial"/>
          <w:sz w:val="20"/>
          <w:szCs w:val="20"/>
        </w:rPr>
        <w:t>pomen čezmejnih dejavnosti,</w:t>
      </w:r>
    </w:p>
    <w:p w14:paraId="3232995E" w14:textId="34A09E2B" w:rsidR="00D91782" w:rsidRPr="00215B2F" w:rsidRDefault="00D91782" w:rsidP="003D4DE0">
      <w:pPr>
        <w:pStyle w:val="tevilnatoka"/>
        <w:numPr>
          <w:ilvl w:val="0"/>
          <w:numId w:val="193"/>
        </w:numPr>
        <w:shd w:val="clear" w:color="auto" w:fill="FFFFFF" w:themeFill="background1"/>
        <w:tabs>
          <w:tab w:val="clear" w:pos="425"/>
        </w:tabs>
        <w:rPr>
          <w:rFonts w:cs="Arial"/>
          <w:bCs/>
          <w:sz w:val="20"/>
          <w:szCs w:val="20"/>
        </w:rPr>
      </w:pPr>
      <w:r w:rsidRPr="00215B2F">
        <w:rPr>
          <w:rFonts w:eastAsia="Arial" w:cs="Arial"/>
          <w:sz w:val="20"/>
          <w:szCs w:val="20"/>
        </w:rPr>
        <w:t>medsebojna povezanost banke ali skupine s finančnim sistemom.</w:t>
      </w:r>
    </w:p>
    <w:p w14:paraId="6E258DA6"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5A328356" w14:textId="523C4B6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Ko Banka Slovenije opredeli banko ali skupino kot DSPB, hkrati določi tudi stopnjo blažilnika za DSPB in rok za izpolnitev zahteve po vzdrževanju tega blažilnika.</w:t>
      </w:r>
    </w:p>
    <w:p w14:paraId="59121EFF"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EE5726D" w14:textId="3FC6173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Ne glede na drugi </w:t>
      </w:r>
      <w:r w:rsidR="00746E88" w:rsidRPr="00215B2F">
        <w:rPr>
          <w:rFonts w:ascii="Arial" w:eastAsia="Arial" w:hAnsi="Arial" w:cs="Arial"/>
          <w:sz w:val="20"/>
          <w:szCs w:val="20"/>
        </w:rPr>
        <w:t>odstavek tega člena</w:t>
      </w:r>
      <w:r w:rsidRPr="00215B2F">
        <w:rPr>
          <w:rFonts w:ascii="Arial" w:eastAsia="Arial" w:hAnsi="Arial" w:cs="Arial"/>
          <w:sz w:val="20"/>
          <w:szCs w:val="20"/>
        </w:rPr>
        <w:t xml:space="preserve"> Banka Slovenije v primeru, ko ob ponovnem pregledu DSPB določi nižji ali višji blažilnik za DSPB, ali če ugotovi, da z upoštevanjem meril iz prvega in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pri banki ali skupini n</w:t>
      </w:r>
      <w:r w:rsidR="00330C80" w:rsidRPr="00215B2F">
        <w:rPr>
          <w:rFonts w:ascii="Arial" w:eastAsia="Arial" w:hAnsi="Arial" w:cs="Arial"/>
          <w:sz w:val="20"/>
          <w:szCs w:val="20"/>
        </w:rPr>
        <w:t>e obstajaj</w:t>
      </w:r>
      <w:r w:rsidRPr="00215B2F">
        <w:rPr>
          <w:rFonts w:ascii="Arial" w:eastAsia="Arial" w:hAnsi="Arial" w:cs="Arial"/>
          <w:sz w:val="20"/>
          <w:szCs w:val="20"/>
        </w:rPr>
        <w:t>o več okoliščine za obravnavo kot DSPB, odloči, da:</w:t>
      </w:r>
    </w:p>
    <w:p w14:paraId="189E78E6"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417F081" w14:textId="2D748081" w:rsidR="00AD740A" w:rsidRPr="00215B2F" w:rsidRDefault="00D91782" w:rsidP="003D4DE0">
      <w:pPr>
        <w:pStyle w:val="tevilnatoka"/>
        <w:numPr>
          <w:ilvl w:val="0"/>
          <w:numId w:val="194"/>
        </w:numPr>
        <w:shd w:val="clear" w:color="auto" w:fill="FFFFFF" w:themeFill="background1"/>
        <w:tabs>
          <w:tab w:val="clear" w:pos="425"/>
        </w:tabs>
        <w:rPr>
          <w:rFonts w:cs="Arial"/>
          <w:bCs/>
          <w:sz w:val="20"/>
          <w:szCs w:val="20"/>
        </w:rPr>
      </w:pPr>
      <w:r w:rsidRPr="00215B2F">
        <w:rPr>
          <w:rFonts w:eastAsia="Arial" w:cs="Arial"/>
          <w:sz w:val="20"/>
          <w:szCs w:val="20"/>
        </w:rPr>
        <w:t>se za banko ali skupino uporablja nova stopnja blažilnika za DSPB</w:t>
      </w:r>
      <w:r w:rsidR="004A2666" w:rsidRPr="00215B2F">
        <w:rPr>
          <w:rFonts w:eastAsia="Arial" w:cs="Arial"/>
          <w:sz w:val="20"/>
          <w:szCs w:val="20"/>
        </w:rPr>
        <w:t>,</w:t>
      </w:r>
      <w:r w:rsidRPr="00215B2F">
        <w:rPr>
          <w:rFonts w:eastAsia="Arial" w:cs="Arial"/>
          <w:sz w:val="20"/>
          <w:szCs w:val="20"/>
        </w:rPr>
        <w:t xml:space="preserve"> in določi rok za izpolnitev zahteve po vzdrževanju tega blažilnika ali</w:t>
      </w:r>
    </w:p>
    <w:p w14:paraId="41079815" w14:textId="2C2CF74C" w:rsidR="00D91782" w:rsidRPr="00215B2F" w:rsidRDefault="00D91782" w:rsidP="003D4DE0">
      <w:pPr>
        <w:pStyle w:val="tevilnatoka"/>
        <w:numPr>
          <w:ilvl w:val="0"/>
          <w:numId w:val="194"/>
        </w:numPr>
        <w:shd w:val="clear" w:color="auto" w:fill="FFFFFF" w:themeFill="background1"/>
        <w:tabs>
          <w:tab w:val="clear" w:pos="425"/>
        </w:tabs>
        <w:rPr>
          <w:rFonts w:cs="Arial"/>
          <w:bCs/>
          <w:sz w:val="20"/>
          <w:szCs w:val="20"/>
        </w:rPr>
      </w:pPr>
      <w:r w:rsidRPr="00215B2F">
        <w:rPr>
          <w:rFonts w:eastAsia="Arial" w:cs="Arial"/>
          <w:sz w:val="20"/>
          <w:szCs w:val="20"/>
        </w:rPr>
        <w:t>banka ali skupina ni več opredeljena kot DSPB.</w:t>
      </w:r>
    </w:p>
    <w:p w14:paraId="64BEF005"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B622A21" w14:textId="1D190AC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Banka Slovenije obvesti Evropski odbor za sistemska tveganja o bankah in skupinah, ki jih je opredelila kot DSPB, ter na svoji spletni strani objavi seznam DSPB.</w:t>
      </w:r>
    </w:p>
    <w:p w14:paraId="7B9BA515"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FF71F49" w14:textId="66566AD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Banka Slovenije najmanj enkrat na leto preveri izpolnjevanje meril za DSPB in ustreznost določenih stopenj blažilnika za DSPB. Banka Slovenije obvesti o </w:t>
      </w:r>
      <w:r w:rsidR="00E832FC" w:rsidRPr="00215B2F">
        <w:rPr>
          <w:rFonts w:ascii="Arial" w:eastAsia="Arial" w:hAnsi="Arial" w:cs="Arial"/>
          <w:sz w:val="20"/>
          <w:szCs w:val="20"/>
        </w:rPr>
        <w:t xml:space="preserve">rezultatih </w:t>
      </w:r>
      <w:r w:rsidRPr="00215B2F">
        <w:rPr>
          <w:rFonts w:ascii="Arial" w:eastAsia="Arial" w:hAnsi="Arial" w:cs="Arial"/>
          <w:sz w:val="20"/>
          <w:szCs w:val="20"/>
        </w:rPr>
        <w:t>to DSPB in Evropski odbor za sistemska tveganja ter na svoji spletni strani objavi posodobljen</w:t>
      </w:r>
      <w:r w:rsidR="004A2666" w:rsidRPr="00215B2F">
        <w:rPr>
          <w:rFonts w:ascii="Arial" w:eastAsia="Arial" w:hAnsi="Arial" w:cs="Arial"/>
          <w:sz w:val="20"/>
          <w:szCs w:val="20"/>
        </w:rPr>
        <w:t>i</w:t>
      </w:r>
      <w:r w:rsidRPr="00215B2F">
        <w:rPr>
          <w:rFonts w:ascii="Arial" w:eastAsia="Arial" w:hAnsi="Arial" w:cs="Arial"/>
          <w:sz w:val="20"/>
          <w:szCs w:val="20"/>
        </w:rPr>
        <w:t xml:space="preserve"> seznam DSPB.</w:t>
      </w:r>
    </w:p>
    <w:p w14:paraId="4292E8C0"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2678118E" w14:textId="7C433C0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Banka Slovenije informacije iz petega in šestega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predloži na evropsko enotno točko dostopa, vzpostavljeno na podlagi Uredbe 2023/2859/EU, v formatu, ki omogoča izvlečenje podatkov, kakor je opredeljen v 3. točki 2. člena Uredbe 2023/2859/EU, in z metapodatki, ki vključujejo:</w:t>
      </w:r>
    </w:p>
    <w:p w14:paraId="7A0812D1"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1DB8C431" w14:textId="29BCBE67" w:rsidR="00AD740A"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vsa imena institucij</w:t>
      </w:r>
      <w:r w:rsidR="004A2666" w:rsidRPr="00215B2F">
        <w:rPr>
          <w:rFonts w:ascii="Arial" w:eastAsia="Arial" w:hAnsi="Arial" w:cs="Arial"/>
          <w:sz w:val="20"/>
          <w:szCs w:val="20"/>
        </w:rPr>
        <w:t>e</w:t>
      </w:r>
      <w:r w:rsidRPr="00215B2F">
        <w:rPr>
          <w:rFonts w:ascii="Arial" w:eastAsia="Arial" w:hAnsi="Arial" w:cs="Arial"/>
          <w:sz w:val="20"/>
          <w:szCs w:val="20"/>
        </w:rPr>
        <w:t xml:space="preserve">, na katero se informacije nanašajo; </w:t>
      </w:r>
    </w:p>
    <w:p w14:paraId="7AF7FF33" w14:textId="6BF90B5A" w:rsidR="00AD740A"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kadar je na voljo, identifikator pravnih subjektov institucije, k</w:t>
      </w:r>
      <w:r w:rsidR="006B0B0E" w:rsidRPr="00215B2F">
        <w:rPr>
          <w:rFonts w:ascii="Arial" w:eastAsia="Arial" w:hAnsi="Arial" w:cs="Arial"/>
          <w:sz w:val="20"/>
          <w:szCs w:val="20"/>
        </w:rPr>
        <w:t>akor</w:t>
      </w:r>
      <w:r w:rsidRPr="00215B2F">
        <w:rPr>
          <w:rFonts w:ascii="Arial" w:eastAsia="Arial" w:hAnsi="Arial" w:cs="Arial"/>
          <w:sz w:val="20"/>
          <w:szCs w:val="20"/>
        </w:rPr>
        <w:t xml:space="preserve"> je določen na podlagi točke (b) četrtega odstavka 7. člena Uredbe 2023/2859/EU;</w:t>
      </w:r>
    </w:p>
    <w:p w14:paraId="36BDF075" w14:textId="77777777" w:rsidR="00AD740A"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vrsto informacij glede na razvrstitev na podlagi točke (c) četrtega odstavka 7. člena Uredbe 2023/2859/EU; </w:t>
      </w:r>
    </w:p>
    <w:p w14:paraId="42665779" w14:textId="723357D8"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lastRenderedPageBreak/>
        <w:t>oznako, iz katere je razvidno, ali te informacije vsebujejo osebne podatke.</w:t>
      </w:r>
    </w:p>
    <w:p w14:paraId="6B368603"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25BFFEC1"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38" w:name="_Ref202965640"/>
      <w:r w:rsidRPr="00215B2F">
        <w:rPr>
          <w:rFonts w:ascii="Arial" w:eastAsia="Arial" w:hAnsi="Arial" w:cs="Arial"/>
          <w:b/>
          <w:bCs/>
          <w:sz w:val="20"/>
          <w:szCs w:val="20"/>
        </w:rPr>
        <w:t>člen</w:t>
      </w:r>
      <w:bookmarkEnd w:id="338"/>
    </w:p>
    <w:p w14:paraId="0B711FE9" w14:textId="77777777" w:rsidR="00D91782" w:rsidRPr="00215B2F" w:rsidRDefault="00D91782" w:rsidP="00FD5520">
      <w:pPr>
        <w:pStyle w:val="Slog1"/>
        <w:shd w:val="clear" w:color="auto" w:fill="FFFFFF" w:themeFill="background1"/>
        <w:rPr>
          <w:sz w:val="20"/>
          <w:szCs w:val="20"/>
        </w:rPr>
      </w:pPr>
      <w:r w:rsidRPr="00215B2F">
        <w:rPr>
          <w:sz w:val="20"/>
          <w:szCs w:val="20"/>
        </w:rPr>
        <w:t>(zahteva po vzdrževanju blažilnika za GSPB)</w:t>
      </w:r>
    </w:p>
    <w:p w14:paraId="0DE1E060" w14:textId="77777777" w:rsidR="00D91782" w:rsidRPr="00215B2F" w:rsidRDefault="00D91782" w:rsidP="00FD5520">
      <w:pPr>
        <w:pStyle w:val="Slog1"/>
        <w:shd w:val="clear" w:color="auto" w:fill="FFFFFF" w:themeFill="background1"/>
        <w:jc w:val="both"/>
        <w:rPr>
          <w:sz w:val="20"/>
          <w:szCs w:val="20"/>
        </w:rPr>
      </w:pPr>
    </w:p>
    <w:p w14:paraId="2D69753A" w14:textId="4C3559F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GSPB mora vzdrževati blažilnik za GSPB na konsolidirani podlagi, ki ustreza podkategoriji za GSPB, v katero je GSPB razvrščena na podlagi </w:t>
      </w:r>
      <w:r w:rsidR="00C96E2E" w:rsidRPr="00215B2F">
        <w:rPr>
          <w:rFonts w:ascii="Arial" w:eastAsia="Arial" w:hAnsi="Arial" w:cs="Arial"/>
          <w:sz w:val="20"/>
          <w:szCs w:val="20"/>
        </w:rPr>
        <w:t>283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v </w:t>
      </w:r>
      <w:r w:rsidR="00F95676" w:rsidRPr="00215B2F">
        <w:rPr>
          <w:rFonts w:ascii="Arial" w:eastAsia="Arial" w:hAnsi="Arial" w:cs="Arial"/>
          <w:sz w:val="20"/>
          <w:szCs w:val="20"/>
        </w:rPr>
        <w:t xml:space="preserve">naslednji </w:t>
      </w:r>
      <w:r w:rsidRPr="00215B2F">
        <w:rPr>
          <w:rFonts w:ascii="Arial" w:eastAsia="Arial" w:hAnsi="Arial" w:cs="Arial"/>
          <w:sz w:val="20"/>
          <w:szCs w:val="20"/>
        </w:rPr>
        <w:t>višini:</w:t>
      </w:r>
    </w:p>
    <w:p w14:paraId="34C25B3D" w14:textId="77777777" w:rsidR="00C37513" w:rsidRPr="00215B2F" w:rsidRDefault="00C37513" w:rsidP="00FD5520">
      <w:pPr>
        <w:shd w:val="clear" w:color="auto" w:fill="FFFFFF" w:themeFill="background1"/>
        <w:spacing w:after="0" w:line="240" w:lineRule="auto"/>
        <w:jc w:val="both"/>
        <w:rPr>
          <w:rFonts w:ascii="Arial" w:eastAsia="Arial" w:hAnsi="Arial" w:cs="Arial"/>
          <w:sz w:val="20"/>
          <w:szCs w:val="20"/>
        </w:rPr>
      </w:pPr>
    </w:p>
    <w:p w14:paraId="6563B61A" w14:textId="77777777" w:rsidR="00C37513" w:rsidRPr="00215B2F" w:rsidRDefault="00D91782" w:rsidP="003D4DE0">
      <w:pPr>
        <w:pStyle w:val="tevilnatoka"/>
        <w:numPr>
          <w:ilvl w:val="0"/>
          <w:numId w:val="359"/>
        </w:numPr>
        <w:shd w:val="clear" w:color="auto" w:fill="FFFFFF" w:themeFill="background1"/>
        <w:tabs>
          <w:tab w:val="num" w:pos="360"/>
        </w:tabs>
        <w:rPr>
          <w:rFonts w:cs="Arial"/>
          <w:bCs/>
          <w:sz w:val="20"/>
          <w:szCs w:val="20"/>
        </w:rPr>
      </w:pPr>
      <w:r w:rsidRPr="00215B2F">
        <w:rPr>
          <w:rFonts w:eastAsia="Arial" w:cs="Arial"/>
          <w:sz w:val="20"/>
          <w:szCs w:val="20"/>
        </w:rPr>
        <w:t>za prvo najnižjo podkategorijo: 1 odstotek zneska skupne izpostavljenosti tveganjem;</w:t>
      </w:r>
    </w:p>
    <w:p w14:paraId="3D3E137E" w14:textId="77777777" w:rsidR="00C37513" w:rsidRPr="00215B2F" w:rsidRDefault="00D91782" w:rsidP="003D4DE0">
      <w:pPr>
        <w:pStyle w:val="tevilnatoka"/>
        <w:numPr>
          <w:ilvl w:val="0"/>
          <w:numId w:val="359"/>
        </w:numPr>
        <w:shd w:val="clear" w:color="auto" w:fill="FFFFFF" w:themeFill="background1"/>
        <w:tabs>
          <w:tab w:val="num" w:pos="360"/>
        </w:tabs>
        <w:rPr>
          <w:rFonts w:cs="Arial"/>
          <w:bCs/>
          <w:sz w:val="20"/>
          <w:szCs w:val="20"/>
        </w:rPr>
      </w:pPr>
      <w:r w:rsidRPr="00215B2F">
        <w:rPr>
          <w:rFonts w:eastAsia="Arial" w:cs="Arial"/>
          <w:sz w:val="20"/>
          <w:szCs w:val="20"/>
        </w:rPr>
        <w:t>za drugo podkategorijo: 1,5 odstotka zneska skupne izpostavljenosti tveganjem;</w:t>
      </w:r>
    </w:p>
    <w:p w14:paraId="3CEB1295" w14:textId="77777777" w:rsidR="00C37513" w:rsidRPr="00215B2F" w:rsidRDefault="00D91782" w:rsidP="003D4DE0">
      <w:pPr>
        <w:pStyle w:val="tevilnatoka"/>
        <w:numPr>
          <w:ilvl w:val="0"/>
          <w:numId w:val="359"/>
        </w:numPr>
        <w:shd w:val="clear" w:color="auto" w:fill="FFFFFF" w:themeFill="background1"/>
        <w:tabs>
          <w:tab w:val="num" w:pos="360"/>
        </w:tabs>
        <w:rPr>
          <w:rFonts w:cs="Arial"/>
          <w:bCs/>
          <w:sz w:val="20"/>
          <w:szCs w:val="20"/>
        </w:rPr>
      </w:pPr>
      <w:r w:rsidRPr="00215B2F">
        <w:rPr>
          <w:rFonts w:eastAsia="Arial" w:cs="Arial"/>
          <w:sz w:val="20"/>
          <w:szCs w:val="20"/>
        </w:rPr>
        <w:t>za tretjo podkategorijo: 2 odstotka zneska skupne izpostavljenosti tveganjem;</w:t>
      </w:r>
    </w:p>
    <w:p w14:paraId="657346E9" w14:textId="77777777" w:rsidR="00C37513" w:rsidRPr="00215B2F" w:rsidRDefault="00D91782" w:rsidP="003D4DE0">
      <w:pPr>
        <w:pStyle w:val="tevilnatoka"/>
        <w:numPr>
          <w:ilvl w:val="0"/>
          <w:numId w:val="359"/>
        </w:numPr>
        <w:shd w:val="clear" w:color="auto" w:fill="FFFFFF" w:themeFill="background1"/>
        <w:tabs>
          <w:tab w:val="num" w:pos="360"/>
        </w:tabs>
        <w:rPr>
          <w:rFonts w:cs="Arial"/>
          <w:bCs/>
          <w:sz w:val="20"/>
          <w:szCs w:val="20"/>
        </w:rPr>
      </w:pPr>
      <w:r w:rsidRPr="00215B2F">
        <w:rPr>
          <w:rFonts w:eastAsia="Arial" w:cs="Arial"/>
          <w:sz w:val="20"/>
          <w:szCs w:val="20"/>
        </w:rPr>
        <w:t>za četrto podkategorijo: 2,5 odstotka zneska skupne izpostavljenosti tveganjem;</w:t>
      </w:r>
    </w:p>
    <w:p w14:paraId="68199299" w14:textId="67B35290" w:rsidR="00D91782" w:rsidRPr="00215B2F" w:rsidRDefault="00D91782" w:rsidP="003D4DE0">
      <w:pPr>
        <w:pStyle w:val="tevilnatoka"/>
        <w:numPr>
          <w:ilvl w:val="0"/>
          <w:numId w:val="359"/>
        </w:numPr>
        <w:shd w:val="clear" w:color="auto" w:fill="FFFFFF" w:themeFill="background1"/>
        <w:tabs>
          <w:tab w:val="num" w:pos="360"/>
        </w:tabs>
        <w:rPr>
          <w:rFonts w:cs="Arial"/>
          <w:bCs/>
          <w:sz w:val="20"/>
          <w:szCs w:val="20"/>
        </w:rPr>
      </w:pPr>
      <w:r w:rsidRPr="00215B2F">
        <w:rPr>
          <w:rFonts w:eastAsia="Arial" w:cs="Arial"/>
          <w:sz w:val="20"/>
          <w:szCs w:val="20"/>
        </w:rPr>
        <w:t>za peto podkategorijo: 3,5 odstotka zneska skupne izpostavljenosti tveganjem.</w:t>
      </w:r>
    </w:p>
    <w:p w14:paraId="3DAFE4E9"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3819DE9C" w14:textId="702E5CE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GSPB izpolnjuje to zahtevo z navadnim lastniškim temeljnim kapitalom.</w:t>
      </w:r>
    </w:p>
    <w:p w14:paraId="537DD725"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1DB3836E"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39" w:name="_Ref202965648"/>
      <w:r w:rsidRPr="00215B2F">
        <w:rPr>
          <w:rFonts w:ascii="Arial" w:eastAsia="Arial" w:hAnsi="Arial" w:cs="Arial"/>
          <w:b/>
          <w:bCs/>
          <w:sz w:val="20"/>
          <w:szCs w:val="20"/>
        </w:rPr>
        <w:t>člen</w:t>
      </w:r>
      <w:bookmarkEnd w:id="339"/>
    </w:p>
    <w:p w14:paraId="62BECCD0" w14:textId="77777777" w:rsidR="00D91782" w:rsidRPr="00215B2F" w:rsidRDefault="00D91782" w:rsidP="00FD5520">
      <w:pPr>
        <w:pStyle w:val="Slog1"/>
        <w:shd w:val="clear" w:color="auto" w:fill="FFFFFF" w:themeFill="background1"/>
        <w:rPr>
          <w:sz w:val="20"/>
          <w:szCs w:val="20"/>
        </w:rPr>
      </w:pPr>
      <w:r w:rsidRPr="00215B2F">
        <w:rPr>
          <w:sz w:val="20"/>
          <w:szCs w:val="20"/>
        </w:rPr>
        <w:t>(zahteva po vzdrževanju blažilnika za DSPB)</w:t>
      </w:r>
    </w:p>
    <w:p w14:paraId="4CC42586" w14:textId="77777777" w:rsidR="00D91782" w:rsidRPr="00215B2F" w:rsidRDefault="00D91782" w:rsidP="00FD5520">
      <w:pPr>
        <w:pStyle w:val="Slog1"/>
        <w:shd w:val="clear" w:color="auto" w:fill="FFFFFF" w:themeFill="background1"/>
        <w:jc w:val="both"/>
        <w:rPr>
          <w:sz w:val="20"/>
          <w:szCs w:val="20"/>
        </w:rPr>
      </w:pPr>
    </w:p>
    <w:p w14:paraId="1BE056F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340" w:name="_Hlk203396159"/>
      <w:r w:rsidRPr="00215B2F">
        <w:rPr>
          <w:rFonts w:ascii="Arial" w:eastAsia="Arial" w:hAnsi="Arial" w:cs="Arial"/>
          <w:sz w:val="20"/>
          <w:szCs w:val="20"/>
        </w:rPr>
        <w:t>(1) DSPB mora vzdrževati blažilnik za DSPB na posamični, subkonsolidirani ali konsolidirani podlagi v višini, ki ga določi Banka Slovenije. DSPB izpolnjuje to zahtevo z navadnim lastniškim temeljnim kapitalom.</w:t>
      </w:r>
    </w:p>
    <w:p w14:paraId="2B68D7DF"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087591BC" w14:textId="289385C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lahko določi blažilnik za DSPB v višini do </w:t>
      </w:r>
      <w:r w:rsidR="006302F6" w:rsidRPr="00215B2F">
        <w:rPr>
          <w:rFonts w:ascii="Arial" w:eastAsia="Arial" w:hAnsi="Arial" w:cs="Arial"/>
          <w:sz w:val="20"/>
          <w:szCs w:val="20"/>
        </w:rPr>
        <w:t xml:space="preserve">treh </w:t>
      </w:r>
      <w:r w:rsidRPr="00215B2F">
        <w:rPr>
          <w:rFonts w:ascii="Arial" w:eastAsia="Arial" w:hAnsi="Arial" w:cs="Arial"/>
          <w:sz w:val="20"/>
          <w:szCs w:val="20"/>
        </w:rPr>
        <w:t xml:space="preserve">odstotkov zneska skupne izpostavljenosti tveganjem ob upoštevanju meril za določitev DSPB iz </w:t>
      </w:r>
      <w:r w:rsidR="00C96E2E" w:rsidRPr="00215B2F">
        <w:rPr>
          <w:rFonts w:ascii="Arial" w:eastAsia="Arial" w:hAnsi="Arial" w:cs="Arial"/>
          <w:sz w:val="20"/>
          <w:szCs w:val="20"/>
        </w:rPr>
        <w:t>284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na konsolidirani, subkonsolidirani ali posamični podlagi. Banka Slovenije zagotovi, da zahteva po vzdrževanju blažilnika za DSPB ne povzroča nesorazmernih negativnih učinkov na celotn</w:t>
      </w:r>
      <w:r w:rsidR="00116669" w:rsidRPr="00215B2F">
        <w:rPr>
          <w:rFonts w:ascii="Arial" w:eastAsia="Arial" w:hAnsi="Arial" w:cs="Arial"/>
          <w:sz w:val="20"/>
          <w:szCs w:val="20"/>
        </w:rPr>
        <w:t>i</w:t>
      </w:r>
      <w:r w:rsidRPr="00215B2F">
        <w:rPr>
          <w:rFonts w:ascii="Arial" w:eastAsia="Arial" w:hAnsi="Arial" w:cs="Arial"/>
          <w:sz w:val="20"/>
          <w:szCs w:val="20"/>
        </w:rPr>
        <w:t xml:space="preserve"> finančni sistem ali njegove dele, vključno z učinki v drugih državah članicah ali na ravni Evropske unije, ki bi ovirali delovanje notranjega trga.</w:t>
      </w:r>
    </w:p>
    <w:p w14:paraId="47231F93"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216495C4" w14:textId="1F3C9FC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14736" w:rsidRPr="00215B2F">
        <w:rPr>
          <w:rFonts w:ascii="Arial" w:eastAsia="Arial" w:hAnsi="Arial" w:cs="Arial"/>
          <w:sz w:val="20"/>
          <w:szCs w:val="20"/>
        </w:rPr>
        <w:t>3</w:t>
      </w:r>
      <w:r w:rsidRPr="00215B2F">
        <w:rPr>
          <w:rFonts w:ascii="Arial" w:eastAsia="Arial" w:hAnsi="Arial" w:cs="Arial"/>
          <w:sz w:val="20"/>
          <w:szCs w:val="20"/>
        </w:rPr>
        <w:t xml:space="preserve">) Ko DSPB postane zavezana spoštovati izstopni prag, Banka Slovenije najpozneje do datuma letnega pregleda iz šestega odstavka </w:t>
      </w:r>
      <w:r w:rsidR="00C96E2E" w:rsidRPr="00215B2F">
        <w:rPr>
          <w:rFonts w:ascii="Arial" w:eastAsia="Arial" w:hAnsi="Arial" w:cs="Arial"/>
          <w:sz w:val="20"/>
          <w:szCs w:val="20"/>
        </w:rPr>
        <w:t>284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pregleda stopnjo blažilnika za DSPB in jo po potrebi prilagodi tako, da ostane njegova umerjenost ustrezna. </w:t>
      </w:r>
    </w:p>
    <w:p w14:paraId="01807DB9"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2AD24A16" w14:textId="0B48239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14736" w:rsidRPr="00215B2F">
        <w:rPr>
          <w:rFonts w:ascii="Arial" w:eastAsia="Arial" w:hAnsi="Arial" w:cs="Arial"/>
          <w:sz w:val="20"/>
          <w:szCs w:val="20"/>
        </w:rPr>
        <w:t>4</w:t>
      </w:r>
      <w:r w:rsidRPr="00215B2F">
        <w:rPr>
          <w:rFonts w:ascii="Arial" w:eastAsia="Arial" w:hAnsi="Arial" w:cs="Arial"/>
          <w:sz w:val="20"/>
          <w:szCs w:val="20"/>
        </w:rPr>
        <w:t xml:space="preserve">) Ne glede na </w:t>
      </w:r>
      <w:r w:rsidR="00801AA6" w:rsidRPr="00215B2F">
        <w:rPr>
          <w:rFonts w:ascii="Arial" w:eastAsia="Arial" w:hAnsi="Arial" w:cs="Arial"/>
          <w:sz w:val="20"/>
          <w:szCs w:val="20"/>
        </w:rPr>
        <w:t xml:space="preserve">drugi </w:t>
      </w:r>
      <w:r w:rsidRPr="00215B2F">
        <w:rPr>
          <w:rFonts w:ascii="Arial" w:eastAsia="Arial" w:hAnsi="Arial" w:cs="Arial"/>
          <w:sz w:val="20"/>
          <w:szCs w:val="20"/>
        </w:rPr>
        <w:t xml:space="preserve">odstavek </w:t>
      </w:r>
      <w:r w:rsidR="00801AA6" w:rsidRPr="00215B2F">
        <w:rPr>
          <w:rFonts w:ascii="Arial" w:eastAsia="Arial" w:hAnsi="Arial" w:cs="Arial"/>
          <w:sz w:val="20"/>
          <w:szCs w:val="20"/>
        </w:rPr>
        <w:t xml:space="preserve">tega člena </w:t>
      </w:r>
      <w:r w:rsidRPr="00215B2F">
        <w:rPr>
          <w:rFonts w:ascii="Arial" w:eastAsia="Arial" w:hAnsi="Arial" w:cs="Arial"/>
          <w:sz w:val="20"/>
          <w:szCs w:val="20"/>
        </w:rPr>
        <w:t xml:space="preserve">lahko Banka Slovenije določi blažilnik za DSPB, višji od </w:t>
      </w:r>
      <w:r w:rsidR="006302F6" w:rsidRPr="00215B2F">
        <w:rPr>
          <w:rFonts w:ascii="Arial" w:eastAsia="Arial" w:hAnsi="Arial" w:cs="Arial"/>
          <w:sz w:val="20"/>
          <w:szCs w:val="20"/>
        </w:rPr>
        <w:t>treh</w:t>
      </w:r>
      <w:r w:rsidR="00116669" w:rsidRPr="00215B2F">
        <w:rPr>
          <w:rFonts w:ascii="Arial" w:eastAsia="Arial" w:hAnsi="Arial" w:cs="Arial"/>
          <w:sz w:val="20"/>
          <w:szCs w:val="20"/>
        </w:rPr>
        <w:t> </w:t>
      </w:r>
      <w:r w:rsidRPr="00215B2F">
        <w:rPr>
          <w:rFonts w:ascii="Arial" w:eastAsia="Arial" w:hAnsi="Arial" w:cs="Arial"/>
          <w:sz w:val="20"/>
          <w:szCs w:val="20"/>
        </w:rPr>
        <w:t xml:space="preserve">odstotkov zneska skupne izpostavljenosti tveganjem, če Komisija v treh mesecih po prejemu obvestila Evropskega odbora za sistemska tveganja iz </w:t>
      </w:r>
      <w:r w:rsidR="00801AA6" w:rsidRPr="00215B2F">
        <w:rPr>
          <w:rFonts w:ascii="Arial" w:eastAsia="Arial" w:hAnsi="Arial" w:cs="Arial"/>
          <w:sz w:val="20"/>
          <w:szCs w:val="20"/>
        </w:rPr>
        <w:t xml:space="preserve">šestega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sprejme izvedbeni akt s pooblastilom Banki Slovenije za zahtevo po vzdrževanju blažilnika za DSPB, višjega od </w:t>
      </w:r>
      <w:r w:rsidR="006302F6" w:rsidRPr="00215B2F">
        <w:rPr>
          <w:rFonts w:ascii="Arial" w:eastAsia="Arial" w:hAnsi="Arial" w:cs="Arial"/>
          <w:sz w:val="20"/>
          <w:szCs w:val="20"/>
        </w:rPr>
        <w:t xml:space="preserve">treh </w:t>
      </w:r>
      <w:r w:rsidRPr="00215B2F">
        <w:rPr>
          <w:rFonts w:ascii="Arial" w:eastAsia="Arial" w:hAnsi="Arial" w:cs="Arial"/>
          <w:sz w:val="20"/>
          <w:szCs w:val="20"/>
        </w:rPr>
        <w:t>odstotkov skupne izpostavljenosti tveganjem.</w:t>
      </w:r>
    </w:p>
    <w:p w14:paraId="1E9EC3F2"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070E536" w14:textId="5C85EF9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14736" w:rsidRPr="00215B2F">
        <w:rPr>
          <w:rFonts w:ascii="Arial" w:eastAsia="Arial" w:hAnsi="Arial" w:cs="Arial"/>
          <w:sz w:val="20"/>
          <w:szCs w:val="20"/>
        </w:rPr>
        <w:t>5</w:t>
      </w:r>
      <w:r w:rsidRPr="00215B2F">
        <w:rPr>
          <w:rFonts w:ascii="Arial" w:eastAsia="Arial" w:hAnsi="Arial" w:cs="Arial"/>
          <w:sz w:val="20"/>
          <w:szCs w:val="20"/>
        </w:rPr>
        <w:t xml:space="preserve">) Ne glede na prvi </w:t>
      </w:r>
      <w:r w:rsidR="00746E88" w:rsidRPr="00215B2F">
        <w:rPr>
          <w:rFonts w:ascii="Arial" w:eastAsia="Arial" w:hAnsi="Arial" w:cs="Arial"/>
          <w:sz w:val="20"/>
          <w:szCs w:val="20"/>
        </w:rPr>
        <w:t>odstavek tega člena</w:t>
      </w:r>
      <w:r w:rsidRPr="00215B2F">
        <w:rPr>
          <w:rFonts w:ascii="Arial" w:eastAsia="Arial" w:hAnsi="Arial" w:cs="Arial"/>
          <w:sz w:val="20"/>
          <w:szCs w:val="20"/>
        </w:rPr>
        <w:t xml:space="preserve"> in zahteve po vzdrževanju blažilnika sistemskih tveganj se v primeru, ko je DSPB podrejena globaln</w:t>
      </w:r>
      <w:r w:rsidR="00116669" w:rsidRPr="00215B2F">
        <w:rPr>
          <w:rFonts w:ascii="Arial" w:eastAsia="Arial" w:hAnsi="Arial" w:cs="Arial"/>
          <w:sz w:val="20"/>
          <w:szCs w:val="20"/>
        </w:rPr>
        <w:t>i</w:t>
      </w:r>
      <w:r w:rsidRPr="00215B2F">
        <w:rPr>
          <w:rFonts w:ascii="Arial" w:eastAsia="Arial" w:hAnsi="Arial" w:cs="Arial"/>
          <w:sz w:val="20"/>
          <w:szCs w:val="20"/>
        </w:rPr>
        <w:t xml:space="preserve"> sistemsko pomembni instituciji (v nadaljnjem besedilu: GSPI) ali </w:t>
      </w:r>
      <w:r w:rsidR="00C1768E" w:rsidRPr="00215B2F">
        <w:rPr>
          <w:rFonts w:ascii="Arial" w:eastAsia="Arial" w:hAnsi="Arial" w:cs="Arial"/>
          <w:sz w:val="20"/>
          <w:szCs w:val="20"/>
        </w:rPr>
        <w:t>drugi</w:t>
      </w:r>
      <w:r w:rsidRPr="00215B2F">
        <w:rPr>
          <w:rFonts w:ascii="Arial" w:eastAsia="Arial" w:hAnsi="Arial" w:cs="Arial"/>
          <w:sz w:val="20"/>
          <w:szCs w:val="20"/>
        </w:rPr>
        <w:t xml:space="preserve"> sistemsko pomembni instituciji (v nadaljnjem besedilu: DSPI), ki je institucija ali skupina, na vrhu katere je EU nadrejena institucija in </w:t>
      </w:r>
      <w:r w:rsidR="00116669" w:rsidRPr="00215B2F">
        <w:rPr>
          <w:rFonts w:ascii="Arial" w:eastAsia="Arial" w:hAnsi="Arial" w:cs="Arial"/>
          <w:sz w:val="20"/>
          <w:szCs w:val="20"/>
        </w:rPr>
        <w:t>za katero se</w:t>
      </w:r>
      <w:r w:rsidRPr="00215B2F">
        <w:rPr>
          <w:rFonts w:ascii="Arial" w:eastAsia="Arial" w:hAnsi="Arial" w:cs="Arial"/>
          <w:sz w:val="20"/>
          <w:szCs w:val="20"/>
        </w:rPr>
        <w:t xml:space="preserve"> na konsolidirani podlagi zahteva po vzdrževanju blažilnika za DSPI, za to podrejeno DSPB na posamični ali subkonsolidirani podlagi uporabi blažilnik, ki ne presega nižje </w:t>
      </w:r>
      <w:r w:rsidR="00116669" w:rsidRPr="00215B2F">
        <w:rPr>
          <w:rFonts w:ascii="Arial" w:eastAsia="Arial" w:hAnsi="Arial" w:cs="Arial"/>
          <w:sz w:val="20"/>
          <w:szCs w:val="20"/>
        </w:rPr>
        <w:t>o</w:t>
      </w:r>
      <w:r w:rsidRPr="00215B2F">
        <w:rPr>
          <w:rFonts w:ascii="Arial" w:eastAsia="Arial" w:hAnsi="Arial" w:cs="Arial"/>
          <w:sz w:val="20"/>
          <w:szCs w:val="20"/>
        </w:rPr>
        <w:t>d vrednosti:</w:t>
      </w:r>
    </w:p>
    <w:p w14:paraId="1873EA56"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BBE7872" w14:textId="3BE91C27" w:rsidR="00AD740A" w:rsidRPr="00215B2F" w:rsidRDefault="00D91782" w:rsidP="003D4DE0">
      <w:pPr>
        <w:pStyle w:val="tevilnatoka"/>
        <w:numPr>
          <w:ilvl w:val="0"/>
          <w:numId w:val="195"/>
        </w:numPr>
        <w:shd w:val="clear" w:color="auto" w:fill="FFFFFF" w:themeFill="background1"/>
        <w:tabs>
          <w:tab w:val="clear" w:pos="425"/>
        </w:tabs>
        <w:rPr>
          <w:rFonts w:cs="Arial"/>
          <w:bCs/>
          <w:sz w:val="20"/>
          <w:szCs w:val="20"/>
        </w:rPr>
      </w:pPr>
      <w:r w:rsidRPr="00215B2F">
        <w:rPr>
          <w:rFonts w:eastAsia="Arial" w:cs="Arial"/>
          <w:sz w:val="20"/>
          <w:szCs w:val="20"/>
        </w:rPr>
        <w:t xml:space="preserve">vsote višjega od blažilnikov za GSPI ali DSPI, ki se uporabljata za skupino na konsolidirani podlagi, in </w:t>
      </w:r>
      <w:r w:rsidR="006302F6" w:rsidRPr="00215B2F">
        <w:rPr>
          <w:rFonts w:eastAsia="Arial" w:cs="Arial"/>
          <w:sz w:val="20"/>
          <w:szCs w:val="20"/>
        </w:rPr>
        <w:t xml:space="preserve">enega </w:t>
      </w:r>
      <w:r w:rsidRPr="00215B2F">
        <w:rPr>
          <w:rFonts w:eastAsia="Arial" w:cs="Arial"/>
          <w:sz w:val="20"/>
          <w:szCs w:val="20"/>
        </w:rPr>
        <w:t>odstotka zneska skupne izpostavljenosti tveganjem ali</w:t>
      </w:r>
    </w:p>
    <w:p w14:paraId="7F33DA9F" w14:textId="0BC86A43" w:rsidR="00D91782" w:rsidRPr="00215B2F" w:rsidRDefault="006302F6" w:rsidP="003D4DE0">
      <w:pPr>
        <w:pStyle w:val="tevilnatoka"/>
        <w:numPr>
          <w:ilvl w:val="0"/>
          <w:numId w:val="195"/>
        </w:numPr>
        <w:shd w:val="clear" w:color="auto" w:fill="FFFFFF" w:themeFill="background1"/>
        <w:tabs>
          <w:tab w:val="clear" w:pos="425"/>
        </w:tabs>
        <w:rPr>
          <w:rFonts w:cs="Arial"/>
          <w:bCs/>
          <w:sz w:val="20"/>
          <w:szCs w:val="20"/>
        </w:rPr>
      </w:pPr>
      <w:r w:rsidRPr="00215B2F">
        <w:rPr>
          <w:rFonts w:eastAsia="Arial" w:cs="Arial"/>
          <w:sz w:val="20"/>
          <w:szCs w:val="20"/>
        </w:rPr>
        <w:t xml:space="preserve">treh </w:t>
      </w:r>
      <w:r w:rsidR="00D91782" w:rsidRPr="00215B2F">
        <w:rPr>
          <w:rFonts w:eastAsia="Arial" w:cs="Arial"/>
          <w:sz w:val="20"/>
          <w:szCs w:val="20"/>
        </w:rPr>
        <w:t xml:space="preserve">odstotkov zneska skupne izpostavljenosti tveganjem ali stopnje, višje od </w:t>
      </w:r>
      <w:r w:rsidRPr="00215B2F">
        <w:rPr>
          <w:rFonts w:eastAsia="Arial" w:cs="Arial"/>
          <w:sz w:val="20"/>
          <w:szCs w:val="20"/>
        </w:rPr>
        <w:t xml:space="preserve">treh </w:t>
      </w:r>
      <w:r w:rsidR="00D91782" w:rsidRPr="00215B2F">
        <w:rPr>
          <w:rFonts w:eastAsia="Arial" w:cs="Arial"/>
          <w:sz w:val="20"/>
          <w:szCs w:val="20"/>
        </w:rPr>
        <w:t>odstotkov zneska skupne izpostavljenosti tveganjem, ki se na podlagi izvedbenega akta Komisije uporablja za skupino na konsolidirani podlagi v skladu s prejšnjim odstavkom.</w:t>
      </w:r>
    </w:p>
    <w:p w14:paraId="3686ACA5"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03570D16" w14:textId="3F3F879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14736" w:rsidRPr="00215B2F">
        <w:rPr>
          <w:rFonts w:ascii="Arial" w:eastAsia="Arial" w:hAnsi="Arial" w:cs="Arial"/>
          <w:sz w:val="20"/>
          <w:szCs w:val="20"/>
        </w:rPr>
        <w:t>6</w:t>
      </w:r>
      <w:r w:rsidRPr="00215B2F">
        <w:rPr>
          <w:rFonts w:ascii="Arial" w:eastAsia="Arial" w:hAnsi="Arial" w:cs="Arial"/>
          <w:sz w:val="20"/>
          <w:szCs w:val="20"/>
        </w:rPr>
        <w:t xml:space="preserve">) Banka Slovenije pred določitvijo ali spremembo blažilnika za DSPB o tem obvesti Evropski odbor za sistemska tveganja vsaj en mesec pred objavo odločitve, kadar je blažilnik določen v višini do </w:t>
      </w:r>
      <w:r w:rsidR="006302F6" w:rsidRPr="00215B2F">
        <w:rPr>
          <w:rFonts w:ascii="Arial" w:eastAsia="Arial" w:hAnsi="Arial" w:cs="Arial"/>
          <w:sz w:val="20"/>
          <w:szCs w:val="20"/>
        </w:rPr>
        <w:t>treh</w:t>
      </w:r>
      <w:r w:rsidR="00116669" w:rsidRPr="00215B2F">
        <w:rPr>
          <w:rFonts w:ascii="Arial" w:eastAsia="Arial" w:hAnsi="Arial" w:cs="Arial"/>
          <w:sz w:val="20"/>
          <w:szCs w:val="20"/>
        </w:rPr>
        <w:t> </w:t>
      </w:r>
      <w:r w:rsidRPr="00215B2F">
        <w:rPr>
          <w:rFonts w:ascii="Arial" w:eastAsia="Arial" w:hAnsi="Arial" w:cs="Arial"/>
          <w:sz w:val="20"/>
          <w:szCs w:val="20"/>
        </w:rPr>
        <w:t xml:space="preserve">odstotkov zneska skupne izpostavljenosti tveganjem, oziroma vsaj tri mesece pred objavo odločitve, kadar je blažilnik določen s stopnjo, višjo od </w:t>
      </w:r>
      <w:r w:rsidR="006302F6" w:rsidRPr="00215B2F">
        <w:rPr>
          <w:rFonts w:ascii="Arial" w:eastAsia="Arial" w:hAnsi="Arial" w:cs="Arial"/>
          <w:sz w:val="20"/>
          <w:szCs w:val="20"/>
        </w:rPr>
        <w:t xml:space="preserve">treh </w:t>
      </w:r>
      <w:r w:rsidRPr="00215B2F">
        <w:rPr>
          <w:rFonts w:ascii="Arial" w:eastAsia="Arial" w:hAnsi="Arial" w:cs="Arial"/>
          <w:sz w:val="20"/>
          <w:szCs w:val="20"/>
        </w:rPr>
        <w:t>odstotkov.</w:t>
      </w:r>
    </w:p>
    <w:p w14:paraId="636EF9F9"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3D9DBA44" w14:textId="3F9CAB8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14736" w:rsidRPr="00215B2F">
        <w:rPr>
          <w:rFonts w:ascii="Arial" w:eastAsia="Arial" w:hAnsi="Arial" w:cs="Arial"/>
          <w:sz w:val="20"/>
          <w:szCs w:val="20"/>
        </w:rPr>
        <w:t>7</w:t>
      </w:r>
      <w:r w:rsidRPr="00215B2F">
        <w:rPr>
          <w:rFonts w:ascii="Arial" w:eastAsia="Arial" w:hAnsi="Arial" w:cs="Arial"/>
          <w:sz w:val="20"/>
          <w:szCs w:val="20"/>
        </w:rPr>
        <w:t>) Obvestilo iz prejšnjega odstavka vključuje:</w:t>
      </w:r>
    </w:p>
    <w:p w14:paraId="2560FEF9"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6B2F733" w14:textId="77777777" w:rsidR="00AD740A" w:rsidRPr="00215B2F" w:rsidRDefault="00D91782" w:rsidP="003D4DE0">
      <w:pPr>
        <w:pStyle w:val="tevilnatoka"/>
        <w:numPr>
          <w:ilvl w:val="0"/>
          <w:numId w:val="196"/>
        </w:numPr>
        <w:shd w:val="clear" w:color="auto" w:fill="FFFFFF" w:themeFill="background1"/>
        <w:tabs>
          <w:tab w:val="clear" w:pos="425"/>
        </w:tabs>
        <w:rPr>
          <w:rFonts w:cs="Arial"/>
          <w:bCs/>
          <w:sz w:val="20"/>
          <w:szCs w:val="20"/>
        </w:rPr>
      </w:pPr>
      <w:r w:rsidRPr="00215B2F">
        <w:rPr>
          <w:rFonts w:eastAsia="Arial" w:cs="Arial"/>
          <w:sz w:val="20"/>
          <w:szCs w:val="20"/>
        </w:rPr>
        <w:lastRenderedPageBreak/>
        <w:t>razloge, zaradi katerih Banka Slovenije ocenjuje, da bo blažilnik za DSPB učinkovit in sorazmeren pri zmanjševanju tveganja;</w:t>
      </w:r>
    </w:p>
    <w:p w14:paraId="21ABA57B" w14:textId="77777777" w:rsidR="00AD740A" w:rsidRPr="00215B2F" w:rsidRDefault="00D91782" w:rsidP="003D4DE0">
      <w:pPr>
        <w:pStyle w:val="tevilnatoka"/>
        <w:numPr>
          <w:ilvl w:val="0"/>
          <w:numId w:val="196"/>
        </w:numPr>
        <w:shd w:val="clear" w:color="auto" w:fill="FFFFFF" w:themeFill="background1"/>
        <w:tabs>
          <w:tab w:val="clear" w:pos="425"/>
        </w:tabs>
        <w:rPr>
          <w:rFonts w:cs="Arial"/>
          <w:bCs/>
          <w:sz w:val="20"/>
          <w:szCs w:val="20"/>
        </w:rPr>
      </w:pPr>
      <w:r w:rsidRPr="00215B2F">
        <w:rPr>
          <w:rFonts w:eastAsia="Arial" w:cs="Arial"/>
          <w:sz w:val="20"/>
          <w:szCs w:val="20"/>
        </w:rPr>
        <w:t>oceno verjetnega pozitivnega ali negativnega učinka blažilnika za DSPB na notranji trg na podlagi razpoložljivih informacij, ki so na voljo Banki Slovenije;</w:t>
      </w:r>
    </w:p>
    <w:p w14:paraId="3C6F1AD0" w14:textId="1CDB3C79" w:rsidR="00D91782" w:rsidRPr="00215B2F" w:rsidRDefault="00D91782" w:rsidP="003D4DE0">
      <w:pPr>
        <w:pStyle w:val="tevilnatoka"/>
        <w:numPr>
          <w:ilvl w:val="0"/>
          <w:numId w:val="196"/>
        </w:numPr>
        <w:shd w:val="clear" w:color="auto" w:fill="FFFFFF" w:themeFill="background1"/>
        <w:tabs>
          <w:tab w:val="clear" w:pos="425"/>
        </w:tabs>
        <w:rPr>
          <w:rFonts w:cs="Arial"/>
          <w:bCs/>
          <w:sz w:val="20"/>
          <w:szCs w:val="20"/>
        </w:rPr>
      </w:pPr>
      <w:r w:rsidRPr="00215B2F">
        <w:rPr>
          <w:rFonts w:eastAsia="Arial" w:cs="Arial"/>
          <w:sz w:val="20"/>
          <w:szCs w:val="20"/>
        </w:rPr>
        <w:t>stopnjo blažilnika za DSPB, ki jo Banka Slovenije namerava določiti.</w:t>
      </w:r>
    </w:p>
    <w:bookmarkEnd w:id="340"/>
    <w:p w14:paraId="0D64618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EFE21DA"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41" w:name="_Ref202965655"/>
      <w:r w:rsidRPr="00215B2F">
        <w:rPr>
          <w:rFonts w:ascii="Arial" w:eastAsia="Arial" w:hAnsi="Arial" w:cs="Arial"/>
          <w:b/>
          <w:bCs/>
          <w:sz w:val="20"/>
          <w:szCs w:val="20"/>
        </w:rPr>
        <w:t>člen</w:t>
      </w:r>
      <w:bookmarkEnd w:id="341"/>
    </w:p>
    <w:p w14:paraId="11458D68"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(zahteva po vzdrževanju blažilnika za GSPB in DSPB)</w:t>
      </w:r>
    </w:p>
    <w:p w14:paraId="344E930B"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456BD2A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Kadar za skupino na konsolidirani podlagi veljata tako zahteva po vzdrževanju blažilnika za GSPB kot zahteva po vzdrževanju blažilnika za DSPB, se uporabi višja od obeh zahtev.</w:t>
      </w:r>
    </w:p>
    <w:p w14:paraId="547E343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8A58450" w14:textId="5C574C7B"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7.2.4 Blažilnik sistemskih tveganj</w:t>
      </w:r>
    </w:p>
    <w:p w14:paraId="50D1A73C" w14:textId="77777777"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p>
    <w:p w14:paraId="16098F27"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42" w:name="_Ref202965663"/>
      <w:r w:rsidRPr="00215B2F">
        <w:rPr>
          <w:rFonts w:ascii="Arial" w:eastAsia="Arial" w:hAnsi="Arial" w:cs="Arial"/>
          <w:b/>
          <w:bCs/>
          <w:sz w:val="20"/>
          <w:szCs w:val="20"/>
        </w:rPr>
        <w:t>člen</w:t>
      </w:r>
      <w:bookmarkEnd w:id="342"/>
    </w:p>
    <w:p w14:paraId="3F4A8998" w14:textId="77777777" w:rsidR="00D91782" w:rsidRPr="00215B2F" w:rsidRDefault="00D91782" w:rsidP="00FD5520">
      <w:pPr>
        <w:pStyle w:val="Slog1"/>
        <w:shd w:val="clear" w:color="auto" w:fill="FFFFFF" w:themeFill="background1"/>
        <w:rPr>
          <w:sz w:val="20"/>
          <w:szCs w:val="20"/>
        </w:rPr>
      </w:pPr>
      <w:r w:rsidRPr="00215B2F">
        <w:rPr>
          <w:sz w:val="20"/>
          <w:szCs w:val="20"/>
        </w:rPr>
        <w:t>(zahteva glede vzdrževanja blažilnika sistemskih tveganj)</w:t>
      </w:r>
    </w:p>
    <w:p w14:paraId="298D72A6" w14:textId="77777777" w:rsidR="00D91782" w:rsidRPr="00215B2F" w:rsidRDefault="00D91782" w:rsidP="00FD5520">
      <w:pPr>
        <w:pStyle w:val="Slog1"/>
        <w:shd w:val="clear" w:color="auto" w:fill="FFFFFF" w:themeFill="background1"/>
        <w:jc w:val="both"/>
        <w:rPr>
          <w:sz w:val="20"/>
          <w:szCs w:val="20"/>
        </w:rPr>
      </w:pPr>
    </w:p>
    <w:p w14:paraId="32740965" w14:textId="02269FD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343" w:name="_Hlk203396366"/>
      <w:r w:rsidRPr="00215B2F">
        <w:rPr>
          <w:rFonts w:ascii="Arial" w:eastAsia="Arial" w:hAnsi="Arial" w:cs="Arial"/>
          <w:sz w:val="20"/>
          <w:szCs w:val="20"/>
        </w:rPr>
        <w:t xml:space="preserve">(1) Banka Slovenije lahko določi blažilnik sistemskih tveganj za vse izpostavljenosti ali za eno ali več podskupin izpostavljenosti iz prvega odstavka </w:t>
      </w:r>
      <w:r w:rsidR="00C96E2E" w:rsidRPr="00215B2F">
        <w:rPr>
          <w:rFonts w:ascii="Arial" w:eastAsia="Arial" w:hAnsi="Arial" w:cs="Arial"/>
          <w:sz w:val="20"/>
          <w:szCs w:val="20"/>
        </w:rPr>
        <w:t>289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da se preprečijo ali zmanjšajo sistemska ali makrobonitetna tveganja, vključno z makrobonitetnimi ali sistemskimi tveganji, ki izhajajo iz podnebnih sprememb, ki jih Uredba 575/2013/EU ter </w:t>
      </w:r>
      <w:r w:rsidR="00C96E2E" w:rsidRPr="00215B2F">
        <w:rPr>
          <w:rFonts w:ascii="Arial" w:eastAsia="Arial" w:hAnsi="Arial" w:cs="Arial"/>
          <w:sz w:val="20"/>
          <w:szCs w:val="20"/>
        </w:rPr>
        <w:t>274</w:t>
      </w:r>
      <w:r w:rsidRPr="00215B2F">
        <w:rPr>
          <w:rFonts w:ascii="Arial" w:eastAsia="Arial" w:hAnsi="Arial" w:cs="Arial"/>
          <w:sz w:val="20"/>
          <w:szCs w:val="20"/>
        </w:rPr>
        <w:t xml:space="preserve">., </w:t>
      </w:r>
      <w:r w:rsidR="00C96E2E" w:rsidRPr="00215B2F">
        <w:rPr>
          <w:rFonts w:ascii="Arial" w:eastAsia="Arial" w:hAnsi="Arial" w:cs="Arial"/>
          <w:sz w:val="20"/>
          <w:szCs w:val="20"/>
        </w:rPr>
        <w:t>285</w:t>
      </w:r>
      <w:r w:rsidRPr="00215B2F">
        <w:rPr>
          <w:rFonts w:ascii="Arial" w:eastAsia="Arial" w:hAnsi="Arial" w:cs="Arial"/>
          <w:sz w:val="20"/>
          <w:szCs w:val="20"/>
        </w:rPr>
        <w:t xml:space="preserve">. in </w:t>
      </w:r>
      <w:r w:rsidR="00C96E2E" w:rsidRPr="00215B2F">
        <w:rPr>
          <w:rFonts w:ascii="Arial" w:eastAsia="Arial" w:hAnsi="Arial" w:cs="Arial"/>
          <w:sz w:val="20"/>
          <w:szCs w:val="20"/>
        </w:rPr>
        <w:t>286</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 xml:space="preserve"> ne zajemajo, zlasti tveganje motenj v finančnem sistemu, ki bi </w:t>
      </w:r>
      <w:r w:rsidR="00F81EBA" w:rsidRPr="00215B2F">
        <w:rPr>
          <w:rFonts w:ascii="Arial" w:eastAsia="Arial" w:hAnsi="Arial" w:cs="Arial"/>
          <w:sz w:val="20"/>
          <w:szCs w:val="20"/>
        </w:rPr>
        <w:t xml:space="preserve">lahko </w:t>
      </w:r>
      <w:r w:rsidRPr="00215B2F">
        <w:rPr>
          <w:rFonts w:ascii="Arial" w:eastAsia="Arial" w:hAnsi="Arial" w:cs="Arial"/>
          <w:sz w:val="20"/>
          <w:szCs w:val="20"/>
        </w:rPr>
        <w:t>ime</w:t>
      </w:r>
      <w:r w:rsidR="00F81EBA" w:rsidRPr="00215B2F">
        <w:rPr>
          <w:rFonts w:ascii="Arial" w:eastAsia="Arial" w:hAnsi="Arial" w:cs="Arial"/>
          <w:sz w:val="20"/>
          <w:szCs w:val="20"/>
        </w:rPr>
        <w:t>le</w:t>
      </w:r>
      <w:r w:rsidRPr="00215B2F">
        <w:rPr>
          <w:rFonts w:ascii="Arial" w:eastAsia="Arial" w:hAnsi="Arial" w:cs="Arial"/>
          <w:sz w:val="20"/>
          <w:szCs w:val="20"/>
        </w:rPr>
        <w:t xml:space="preserve"> resne </w:t>
      </w:r>
      <w:r w:rsidR="000C53AF" w:rsidRPr="00215B2F">
        <w:rPr>
          <w:rFonts w:ascii="Arial" w:eastAsia="Arial" w:hAnsi="Arial" w:cs="Arial"/>
          <w:sz w:val="20"/>
          <w:szCs w:val="20"/>
        </w:rPr>
        <w:t xml:space="preserve">negativne </w:t>
      </w:r>
      <w:r w:rsidRPr="00215B2F">
        <w:rPr>
          <w:rFonts w:ascii="Arial" w:eastAsia="Arial" w:hAnsi="Arial" w:cs="Arial"/>
          <w:sz w:val="20"/>
          <w:szCs w:val="20"/>
        </w:rPr>
        <w:t>posledice za finančni sistem in realno gospodarstvo v Republiki Sloveniji.</w:t>
      </w:r>
    </w:p>
    <w:p w14:paraId="1E293682"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28993F49" w14:textId="5965544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lahko zahteva, da morajo vse banke ali določene skupine bank vzdrževati blažilnik sistemskih tveganj, izračunan v skladu z </w:t>
      </w:r>
      <w:r w:rsidR="00C96E2E" w:rsidRPr="00215B2F">
        <w:rPr>
          <w:rFonts w:ascii="Arial" w:eastAsia="Arial" w:hAnsi="Arial" w:cs="Arial"/>
          <w:sz w:val="20"/>
          <w:szCs w:val="20"/>
        </w:rPr>
        <w:t>290</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in sicer na posamični, subkonsolidirani ali konsolidirani podlagi, kot to velja v skladu z II. naslovom 1. dela Uredbe 575/2013/EU. Zahteva se izpolnjuje z navadnim lastniškim temeljnim kapitalom.</w:t>
      </w:r>
    </w:p>
    <w:p w14:paraId="2961A66C" w14:textId="77777777" w:rsidR="004B14EE" w:rsidRPr="00215B2F" w:rsidRDefault="004B14EE" w:rsidP="00FD5520">
      <w:pPr>
        <w:shd w:val="clear" w:color="auto" w:fill="FFFFFF" w:themeFill="background1"/>
        <w:spacing w:after="0" w:line="240" w:lineRule="auto"/>
        <w:jc w:val="both"/>
        <w:rPr>
          <w:rFonts w:ascii="Arial" w:eastAsia="Arial" w:hAnsi="Arial" w:cs="Arial"/>
          <w:sz w:val="20"/>
          <w:szCs w:val="20"/>
        </w:rPr>
      </w:pPr>
    </w:p>
    <w:p w14:paraId="1A1D93F6" w14:textId="2126BF5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Pri določanju zahtev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Banka Slovenije upošteva tveganja, ki niso zajeta </w:t>
      </w:r>
      <w:r w:rsidR="004B14EE" w:rsidRPr="00215B2F">
        <w:rPr>
          <w:rFonts w:ascii="Arial" w:eastAsia="Arial" w:hAnsi="Arial" w:cs="Arial"/>
          <w:sz w:val="20"/>
          <w:szCs w:val="20"/>
        </w:rPr>
        <w:t xml:space="preserve">v </w:t>
      </w:r>
      <w:r w:rsidRPr="00215B2F">
        <w:rPr>
          <w:rFonts w:ascii="Arial" w:eastAsia="Arial" w:hAnsi="Arial" w:cs="Arial"/>
          <w:sz w:val="20"/>
          <w:szCs w:val="20"/>
        </w:rPr>
        <w:t>zahteva</w:t>
      </w:r>
      <w:r w:rsidR="004B14EE" w:rsidRPr="00215B2F">
        <w:rPr>
          <w:rFonts w:ascii="Arial" w:eastAsia="Arial" w:hAnsi="Arial" w:cs="Arial"/>
          <w:sz w:val="20"/>
          <w:szCs w:val="20"/>
        </w:rPr>
        <w:t>h</w:t>
      </w:r>
      <w:r w:rsidRPr="00215B2F">
        <w:rPr>
          <w:rFonts w:ascii="Arial" w:eastAsia="Arial" w:hAnsi="Arial" w:cs="Arial"/>
          <w:sz w:val="20"/>
          <w:szCs w:val="20"/>
        </w:rPr>
        <w:t xml:space="preserve"> iz </w:t>
      </w:r>
      <w:r w:rsidR="00C96E2E" w:rsidRPr="00215B2F">
        <w:rPr>
          <w:rFonts w:ascii="Arial" w:eastAsia="Arial" w:hAnsi="Arial" w:cs="Arial"/>
          <w:sz w:val="20"/>
          <w:szCs w:val="20"/>
        </w:rPr>
        <w:t>274</w:t>
      </w:r>
      <w:r w:rsidRPr="00215B2F">
        <w:rPr>
          <w:rFonts w:ascii="Arial" w:eastAsia="Arial" w:hAnsi="Arial" w:cs="Arial"/>
          <w:sz w:val="20"/>
          <w:szCs w:val="20"/>
        </w:rPr>
        <w:t xml:space="preserve">., </w:t>
      </w:r>
      <w:r w:rsidR="00C96E2E" w:rsidRPr="00215B2F">
        <w:rPr>
          <w:rFonts w:ascii="Arial" w:eastAsia="Arial" w:hAnsi="Arial" w:cs="Arial"/>
          <w:sz w:val="20"/>
          <w:szCs w:val="20"/>
        </w:rPr>
        <w:t>285</w:t>
      </w:r>
      <w:r w:rsidRPr="00215B2F">
        <w:rPr>
          <w:rFonts w:ascii="Arial" w:eastAsia="Arial" w:hAnsi="Arial" w:cs="Arial"/>
          <w:sz w:val="20"/>
          <w:szCs w:val="20"/>
        </w:rPr>
        <w:t xml:space="preserve">. in </w:t>
      </w:r>
      <w:r w:rsidR="00C96E2E" w:rsidRPr="00215B2F">
        <w:rPr>
          <w:rFonts w:ascii="Arial" w:eastAsia="Arial" w:hAnsi="Arial" w:cs="Arial"/>
          <w:sz w:val="20"/>
          <w:szCs w:val="20"/>
        </w:rPr>
        <w:t>286</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r w:rsidR="004B14EE" w:rsidRPr="00215B2F">
        <w:rPr>
          <w:rFonts w:ascii="Arial" w:eastAsia="Arial" w:hAnsi="Arial" w:cs="Arial"/>
          <w:sz w:val="20"/>
          <w:szCs w:val="20"/>
        </w:rPr>
        <w:t xml:space="preserve">ter </w:t>
      </w:r>
      <w:r w:rsidRPr="00215B2F">
        <w:rPr>
          <w:rFonts w:ascii="Arial" w:eastAsia="Arial" w:hAnsi="Arial" w:cs="Arial"/>
          <w:sz w:val="20"/>
          <w:szCs w:val="20"/>
        </w:rPr>
        <w:t>Uredbe 575/2013/EU, zlasti pa upošteva tveganje motenj v finančnem sistemu, ki bi lahko imele resne negativne posledice za finančni sistem in realno gospodarstvo v Republiki Sloveniji.</w:t>
      </w:r>
    </w:p>
    <w:bookmarkEnd w:id="343"/>
    <w:p w14:paraId="7BC1FFEF"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C845D2C"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44" w:name="_Ref202965669"/>
      <w:r w:rsidRPr="00215B2F">
        <w:rPr>
          <w:rFonts w:ascii="Arial" w:eastAsia="Arial" w:hAnsi="Arial" w:cs="Arial"/>
          <w:b/>
          <w:bCs/>
          <w:sz w:val="20"/>
          <w:szCs w:val="20"/>
        </w:rPr>
        <w:t>člen</w:t>
      </w:r>
      <w:bookmarkEnd w:id="344"/>
    </w:p>
    <w:p w14:paraId="15D76876" w14:textId="77777777" w:rsidR="00D91782" w:rsidRPr="00215B2F" w:rsidRDefault="00D91782" w:rsidP="00FD5520">
      <w:pPr>
        <w:pStyle w:val="Slog1"/>
        <w:shd w:val="clear" w:color="auto" w:fill="FFFFFF" w:themeFill="background1"/>
        <w:rPr>
          <w:sz w:val="20"/>
          <w:szCs w:val="20"/>
        </w:rPr>
      </w:pPr>
      <w:r w:rsidRPr="00215B2F">
        <w:rPr>
          <w:sz w:val="20"/>
          <w:szCs w:val="20"/>
        </w:rPr>
        <w:t>(določanje stopnje blažilnika sistemskih tveganj)</w:t>
      </w:r>
    </w:p>
    <w:p w14:paraId="03CF3DAE" w14:textId="77777777" w:rsidR="00D91782" w:rsidRPr="00215B2F" w:rsidRDefault="00D91782" w:rsidP="00FD5520">
      <w:pPr>
        <w:pStyle w:val="Slog1"/>
        <w:shd w:val="clear" w:color="auto" w:fill="FFFFFF" w:themeFill="background1"/>
        <w:jc w:val="both"/>
        <w:rPr>
          <w:sz w:val="20"/>
          <w:szCs w:val="20"/>
        </w:rPr>
      </w:pPr>
    </w:p>
    <w:p w14:paraId="407DE246" w14:textId="500D9AF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345" w:name="_Hlk203569017"/>
      <w:r w:rsidRPr="00215B2F">
        <w:rPr>
          <w:rFonts w:ascii="Arial" w:eastAsia="Arial" w:hAnsi="Arial" w:cs="Arial"/>
          <w:sz w:val="20"/>
          <w:szCs w:val="20"/>
        </w:rPr>
        <w:t>(1) Banka Slovenije lahko določi stopnje blažilnika sistemskih tveganj za vse banke ali za določene skupine bank v zvezi z vsemi izpostavljenostmi oziroma za eno ali več naslednjih podskupin izpostavljenosti:</w:t>
      </w:r>
    </w:p>
    <w:p w14:paraId="522EFF66"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0D2E873A" w14:textId="77777777" w:rsidR="00AD740A" w:rsidRPr="00215B2F" w:rsidRDefault="00D91782" w:rsidP="003D4DE0">
      <w:pPr>
        <w:pStyle w:val="tevilnatoka"/>
        <w:numPr>
          <w:ilvl w:val="0"/>
          <w:numId w:val="197"/>
        </w:numPr>
        <w:shd w:val="clear" w:color="auto" w:fill="FFFFFF" w:themeFill="background1"/>
        <w:tabs>
          <w:tab w:val="clear" w:pos="425"/>
        </w:tabs>
        <w:rPr>
          <w:rFonts w:cs="Arial"/>
          <w:bCs/>
          <w:sz w:val="20"/>
          <w:szCs w:val="20"/>
        </w:rPr>
      </w:pPr>
      <w:r w:rsidRPr="00215B2F">
        <w:rPr>
          <w:rFonts w:eastAsia="Arial" w:cs="Arial"/>
          <w:sz w:val="20"/>
          <w:szCs w:val="20"/>
        </w:rPr>
        <w:t>vse izpostavljenosti v Republiki Sloveniji;</w:t>
      </w:r>
    </w:p>
    <w:p w14:paraId="7E4E2C8A" w14:textId="624772F7" w:rsidR="00AD740A" w:rsidRPr="00215B2F" w:rsidRDefault="00D91782" w:rsidP="003D4DE0">
      <w:pPr>
        <w:pStyle w:val="tevilnatoka"/>
        <w:numPr>
          <w:ilvl w:val="0"/>
          <w:numId w:val="197"/>
        </w:numPr>
        <w:shd w:val="clear" w:color="auto" w:fill="FFFFFF" w:themeFill="background1"/>
        <w:tabs>
          <w:tab w:val="clear" w:pos="425"/>
        </w:tabs>
        <w:rPr>
          <w:rFonts w:cs="Arial"/>
          <w:bCs/>
          <w:sz w:val="20"/>
          <w:szCs w:val="20"/>
        </w:rPr>
      </w:pPr>
      <w:r w:rsidRPr="00215B2F">
        <w:rPr>
          <w:rFonts w:eastAsia="Arial" w:cs="Arial"/>
          <w:sz w:val="20"/>
          <w:szCs w:val="20"/>
        </w:rPr>
        <w:t xml:space="preserve">vse izpostavljenosti v drugi državi članici ob upoštevanju </w:t>
      </w:r>
      <w:r w:rsidR="00C96E2E" w:rsidRPr="00215B2F">
        <w:rPr>
          <w:rFonts w:eastAsia="Arial" w:cs="Arial"/>
          <w:sz w:val="20"/>
          <w:szCs w:val="20"/>
        </w:rPr>
        <w:t>291</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502BB3F6" w14:textId="77777777" w:rsidR="00AD740A" w:rsidRPr="00215B2F" w:rsidRDefault="00D91782" w:rsidP="003D4DE0">
      <w:pPr>
        <w:pStyle w:val="tevilnatoka"/>
        <w:numPr>
          <w:ilvl w:val="0"/>
          <w:numId w:val="197"/>
        </w:numPr>
        <w:shd w:val="clear" w:color="auto" w:fill="FFFFFF" w:themeFill="background1"/>
        <w:tabs>
          <w:tab w:val="clear" w:pos="425"/>
        </w:tabs>
        <w:rPr>
          <w:rFonts w:cs="Arial"/>
          <w:bCs/>
          <w:sz w:val="20"/>
          <w:szCs w:val="20"/>
        </w:rPr>
      </w:pPr>
      <w:r w:rsidRPr="00215B2F">
        <w:rPr>
          <w:rFonts w:eastAsia="Arial" w:cs="Arial"/>
          <w:sz w:val="20"/>
          <w:szCs w:val="20"/>
        </w:rPr>
        <w:t>izpostavljenosti v tretjih državah;</w:t>
      </w:r>
    </w:p>
    <w:p w14:paraId="1E1E3656" w14:textId="134B709B" w:rsidR="00D91782" w:rsidRPr="00215B2F" w:rsidRDefault="00D91782" w:rsidP="003D4DE0">
      <w:pPr>
        <w:pStyle w:val="tevilnatoka"/>
        <w:numPr>
          <w:ilvl w:val="0"/>
          <w:numId w:val="197"/>
        </w:numPr>
        <w:shd w:val="clear" w:color="auto" w:fill="FFFFFF" w:themeFill="background1"/>
        <w:tabs>
          <w:tab w:val="clear" w:pos="425"/>
        </w:tabs>
        <w:rPr>
          <w:rFonts w:cs="Arial"/>
          <w:bCs/>
          <w:sz w:val="20"/>
          <w:szCs w:val="20"/>
        </w:rPr>
      </w:pPr>
      <w:r w:rsidRPr="00215B2F">
        <w:rPr>
          <w:rFonts w:eastAsia="Arial" w:cs="Arial"/>
          <w:sz w:val="20"/>
          <w:szCs w:val="20"/>
        </w:rPr>
        <w:t>sektorske izpostavljenosti v Republiki Sloveniji:</w:t>
      </w:r>
    </w:p>
    <w:p w14:paraId="6E31C511"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vse izpostavljenosti na drobno do fizičnih oseb, zavarovane s stanovanjskimi nepremičninami;</w:t>
      </w:r>
    </w:p>
    <w:p w14:paraId="756AC477" w14:textId="34FE8E15"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vse druge izpostavljenosti do fizičnih oseb razen izpostavljenosti iz prejšnje alineje;</w:t>
      </w:r>
    </w:p>
    <w:p w14:paraId="0BC827CF" w14:textId="77777777" w:rsidR="00EE2E1D"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vse izpostavljenosti do pravnih oseb, zavarovane s hipotekami na poslovne nepremičnine;</w:t>
      </w:r>
    </w:p>
    <w:p w14:paraId="5AB6544D" w14:textId="249D96BE"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vse druge izpostavljenosti do pravnih oseb razen izpostavljenosti iz prejšnje alineje;</w:t>
      </w:r>
    </w:p>
    <w:p w14:paraId="0D767D15" w14:textId="6A1256DA" w:rsidR="00AD740A" w:rsidRPr="00215B2F" w:rsidRDefault="00D91782" w:rsidP="00543D80">
      <w:pPr>
        <w:pStyle w:val="tevilnatoka"/>
        <w:rPr>
          <w:rFonts w:cs="Arial"/>
          <w:bCs/>
          <w:sz w:val="20"/>
          <w:szCs w:val="20"/>
        </w:rPr>
      </w:pPr>
      <w:r w:rsidRPr="00215B2F">
        <w:rPr>
          <w:rFonts w:eastAsia="Arial" w:cs="Arial"/>
          <w:sz w:val="20"/>
          <w:szCs w:val="20"/>
        </w:rPr>
        <w:t xml:space="preserve">sektorske izpostavljenosti iz prejšnje točke v drugi državi članici zgolj zaradi omogočitve priznavanja stopnje blažilnika, ki jo določi druga država članica v skladu z </w:t>
      </w:r>
      <w:r w:rsidR="00C96E2E" w:rsidRPr="00215B2F">
        <w:rPr>
          <w:rFonts w:eastAsia="Arial" w:cs="Arial"/>
          <w:sz w:val="20"/>
          <w:szCs w:val="20"/>
        </w:rPr>
        <w:t>293</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w:t>
      </w:r>
    </w:p>
    <w:p w14:paraId="15D98A36" w14:textId="3D1CA608" w:rsidR="00D91782" w:rsidRPr="00215B2F" w:rsidRDefault="00D91782" w:rsidP="00543D80">
      <w:pPr>
        <w:pStyle w:val="tevilnatoka"/>
        <w:rPr>
          <w:rFonts w:cs="Arial"/>
          <w:bCs/>
          <w:sz w:val="20"/>
          <w:szCs w:val="20"/>
        </w:rPr>
      </w:pPr>
      <w:r w:rsidRPr="00215B2F">
        <w:rPr>
          <w:rFonts w:eastAsia="Arial" w:cs="Arial"/>
          <w:sz w:val="20"/>
          <w:szCs w:val="20"/>
        </w:rPr>
        <w:t xml:space="preserve">podskupine vseh </w:t>
      </w:r>
      <w:r w:rsidR="00E832FC" w:rsidRPr="00215B2F">
        <w:rPr>
          <w:rFonts w:eastAsia="Arial" w:cs="Arial"/>
          <w:sz w:val="20"/>
          <w:szCs w:val="20"/>
        </w:rPr>
        <w:t xml:space="preserve">kategorij </w:t>
      </w:r>
      <w:r w:rsidRPr="00215B2F">
        <w:rPr>
          <w:rFonts w:eastAsia="Arial" w:cs="Arial"/>
          <w:sz w:val="20"/>
          <w:szCs w:val="20"/>
        </w:rPr>
        <w:t>sektorskih izpostavljenosti iz 4. točke tega odstavka.</w:t>
      </w:r>
    </w:p>
    <w:p w14:paraId="587CBFC4"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598073E" w14:textId="5325496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blažilnik sistemskih tveganj določi s stopnjami prilagoditev po 0,5 odstotne točke ali večkratnikom te vrednosti. Za različne skupine bank in izpostavljenosti lahko Banka Slovenije določi različne zahteve.</w:t>
      </w:r>
    </w:p>
    <w:p w14:paraId="20AE2099"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445AB642" w14:textId="1819611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Blažilnik sistemskih tveganj se ne uporablja za obravnavo:</w:t>
      </w:r>
    </w:p>
    <w:p w14:paraId="55256ED2"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3A46B25C" w14:textId="26989AD1" w:rsidR="00AD740A"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tveganj iz </w:t>
      </w:r>
      <w:r w:rsidR="00C96E2E" w:rsidRPr="00215B2F">
        <w:rPr>
          <w:rFonts w:ascii="Arial" w:eastAsia="Arial" w:hAnsi="Arial" w:cs="Arial"/>
          <w:sz w:val="20"/>
          <w:szCs w:val="20"/>
        </w:rPr>
        <w:t>274</w:t>
      </w:r>
      <w:r w:rsidRPr="00215B2F">
        <w:rPr>
          <w:rFonts w:ascii="Arial" w:eastAsia="Arial" w:hAnsi="Arial" w:cs="Arial"/>
          <w:sz w:val="20"/>
          <w:szCs w:val="20"/>
        </w:rPr>
        <w:t xml:space="preserve">., </w:t>
      </w:r>
      <w:r w:rsidR="00C96E2E" w:rsidRPr="00215B2F">
        <w:rPr>
          <w:rFonts w:ascii="Arial" w:eastAsia="Arial" w:hAnsi="Arial" w:cs="Arial"/>
          <w:sz w:val="20"/>
          <w:szCs w:val="20"/>
        </w:rPr>
        <w:t>285</w:t>
      </w:r>
      <w:r w:rsidRPr="00215B2F">
        <w:rPr>
          <w:rFonts w:ascii="Arial" w:eastAsia="Arial" w:hAnsi="Arial" w:cs="Arial"/>
          <w:sz w:val="20"/>
          <w:szCs w:val="20"/>
        </w:rPr>
        <w:t xml:space="preserve">. in </w:t>
      </w:r>
      <w:r w:rsidR="00C96E2E" w:rsidRPr="00215B2F">
        <w:rPr>
          <w:rFonts w:ascii="Arial" w:eastAsia="Arial" w:hAnsi="Arial" w:cs="Arial"/>
          <w:sz w:val="20"/>
          <w:szCs w:val="20"/>
        </w:rPr>
        <w:t>286</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00C96E2E" w:rsidRPr="00215B2F">
        <w:rPr>
          <w:rFonts w:ascii="Arial" w:eastAsia="Arial" w:hAnsi="Arial" w:cs="Arial"/>
          <w:sz w:val="20"/>
          <w:szCs w:val="20"/>
        </w:rPr>
        <w:t>;</w:t>
      </w:r>
    </w:p>
    <w:p w14:paraId="3D30F3D6" w14:textId="334FF842"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lastRenderedPageBreak/>
        <w:t xml:space="preserve">tveganj, ki jih v celoti zajema izračun iz tretjega odstavka 92. člena Uredbe 575/2013/EU. </w:t>
      </w:r>
    </w:p>
    <w:p w14:paraId="4BDF8CC5"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1A072313" w14:textId="1C1D883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pri določanju zahteve po vzdrževanju blažilnika sistemskih tveganj zagotovi, da blažilnik sistemskih tveganj ne povzroči nesorazmernih negativnih učinkov na celotn</w:t>
      </w:r>
      <w:r w:rsidR="00417F9D" w:rsidRPr="00215B2F">
        <w:rPr>
          <w:rFonts w:ascii="Arial" w:eastAsia="Arial" w:hAnsi="Arial" w:cs="Arial"/>
          <w:sz w:val="20"/>
          <w:szCs w:val="20"/>
        </w:rPr>
        <w:t>i</w:t>
      </w:r>
      <w:r w:rsidRPr="00215B2F">
        <w:rPr>
          <w:rFonts w:ascii="Arial" w:eastAsia="Arial" w:hAnsi="Arial" w:cs="Arial"/>
          <w:sz w:val="20"/>
          <w:szCs w:val="20"/>
        </w:rPr>
        <w:t xml:space="preserve"> finančni sistem ali njegove dele v drugih državah članicah ali vsej EU, ki bi ovirali ali povzročili ovire za delovanje notranjega trga.</w:t>
      </w:r>
    </w:p>
    <w:p w14:paraId="52945013"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1ED94A93" w14:textId="569CA5D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Banka Slovenije najmanj vsako drugo leto preveri ustreznost zahtev po vzdrževanju blažilnika sistemskih tveganj.</w:t>
      </w:r>
    </w:p>
    <w:p w14:paraId="7FF3C858"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110EA57F" w14:textId="34003A6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14736" w:rsidRPr="00215B2F">
        <w:rPr>
          <w:rFonts w:ascii="Arial" w:eastAsia="Arial" w:hAnsi="Arial" w:cs="Arial"/>
          <w:sz w:val="20"/>
          <w:szCs w:val="20"/>
        </w:rPr>
        <w:t>6</w:t>
      </w:r>
      <w:r w:rsidRPr="00215B2F">
        <w:rPr>
          <w:rFonts w:ascii="Arial" w:eastAsia="Arial" w:hAnsi="Arial" w:cs="Arial"/>
          <w:sz w:val="20"/>
          <w:szCs w:val="20"/>
        </w:rPr>
        <w:t>) Kadar blažilni</w:t>
      </w:r>
      <w:r w:rsidR="00417F9D" w:rsidRPr="00215B2F">
        <w:rPr>
          <w:rFonts w:ascii="Arial" w:eastAsia="Arial" w:hAnsi="Arial" w:cs="Arial"/>
          <w:sz w:val="20"/>
          <w:szCs w:val="20"/>
        </w:rPr>
        <w:t>k</w:t>
      </w:r>
      <w:r w:rsidRPr="00215B2F">
        <w:rPr>
          <w:rFonts w:ascii="Arial" w:eastAsia="Arial" w:hAnsi="Arial" w:cs="Arial"/>
          <w:sz w:val="20"/>
          <w:szCs w:val="20"/>
        </w:rPr>
        <w:t xml:space="preserve"> sistemskih tveganj velja za znesek skupne izpostavljenosti tveganjem banke in ko ta banka postane zavezana spoštovati izstopni prag, Banka Slovenije najpozneje do datuma dveletnega pregleda iz prejšnjega odstavka pregleda zahtevo banke glede blažilnika sistemskih tveganj in jo po potrebi prilagodi, da ostane umerjenost ustrezna. </w:t>
      </w:r>
    </w:p>
    <w:p w14:paraId="1AFC2824"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79EFC689" w14:textId="29CBDA1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14736" w:rsidRPr="00215B2F">
        <w:rPr>
          <w:rFonts w:ascii="Arial" w:eastAsia="Arial" w:hAnsi="Arial" w:cs="Arial"/>
          <w:sz w:val="20"/>
          <w:szCs w:val="20"/>
        </w:rPr>
        <w:t>7</w:t>
      </w:r>
      <w:r w:rsidRPr="00215B2F">
        <w:rPr>
          <w:rFonts w:ascii="Arial" w:eastAsia="Arial" w:hAnsi="Arial" w:cs="Arial"/>
          <w:sz w:val="20"/>
          <w:szCs w:val="20"/>
        </w:rPr>
        <w:t>) Ko Banka Slovenije določi stopnje blažilnika sistemskih tveganj v skladu s tem pod</w:t>
      </w:r>
      <w:r w:rsidR="005B0CC7" w:rsidRPr="00215B2F">
        <w:rPr>
          <w:rFonts w:ascii="Arial" w:eastAsia="Arial" w:hAnsi="Arial" w:cs="Arial"/>
          <w:sz w:val="20"/>
          <w:szCs w:val="20"/>
        </w:rPr>
        <w:t>o</w:t>
      </w:r>
      <w:r w:rsidR="001F2C7A" w:rsidRPr="00215B2F">
        <w:rPr>
          <w:rFonts w:ascii="Arial" w:eastAsia="Arial" w:hAnsi="Arial" w:cs="Arial"/>
          <w:sz w:val="20"/>
          <w:szCs w:val="20"/>
        </w:rPr>
        <w:t>ddelkom</w:t>
      </w:r>
      <w:r w:rsidRPr="00215B2F">
        <w:rPr>
          <w:rFonts w:ascii="Arial" w:eastAsia="Arial" w:hAnsi="Arial" w:cs="Arial"/>
          <w:sz w:val="20"/>
          <w:szCs w:val="20"/>
        </w:rPr>
        <w:t xml:space="preserve">, zaprosi Evropski odbor za sistemska tveganja, da v skladu s 16. členom Uredbe 1092/2010/EU izda priporočilo za eno ali več držav članic za priznanje stopenj blažilnika sistemskih tveganj za vse izpostavljenosti ali za podskupine izpostavljenosti v skladu z </w:t>
      </w:r>
      <w:r w:rsidR="00C96E2E" w:rsidRPr="00215B2F">
        <w:rPr>
          <w:rFonts w:ascii="Arial" w:eastAsia="Arial" w:hAnsi="Arial" w:cs="Arial"/>
          <w:sz w:val="20"/>
          <w:szCs w:val="20"/>
        </w:rPr>
        <w:t>293</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bookmarkEnd w:id="345"/>
    <w:p w14:paraId="7EA067F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AC11B4F"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46" w:name="_Ref202965682"/>
      <w:r w:rsidRPr="00215B2F">
        <w:rPr>
          <w:rFonts w:ascii="Arial" w:eastAsia="Arial" w:hAnsi="Arial" w:cs="Arial"/>
          <w:b/>
          <w:bCs/>
          <w:sz w:val="20"/>
          <w:szCs w:val="20"/>
        </w:rPr>
        <w:t>člen</w:t>
      </w:r>
      <w:bookmarkEnd w:id="346"/>
    </w:p>
    <w:p w14:paraId="2AF95B6B" w14:textId="77777777" w:rsidR="00D91782" w:rsidRPr="00215B2F" w:rsidRDefault="00D91782" w:rsidP="00FD5520">
      <w:pPr>
        <w:pStyle w:val="Slog1"/>
        <w:shd w:val="clear" w:color="auto" w:fill="FFFFFF" w:themeFill="background1"/>
        <w:rPr>
          <w:sz w:val="20"/>
          <w:szCs w:val="20"/>
        </w:rPr>
      </w:pPr>
      <w:r w:rsidRPr="00215B2F">
        <w:rPr>
          <w:sz w:val="20"/>
          <w:szCs w:val="20"/>
        </w:rPr>
        <w:t>(izračun blažilnika sistemskih tveganj)</w:t>
      </w:r>
    </w:p>
    <w:p w14:paraId="3B34E5DF" w14:textId="77777777" w:rsidR="00D91782" w:rsidRPr="00215B2F" w:rsidRDefault="00D91782" w:rsidP="00FD5520">
      <w:pPr>
        <w:pStyle w:val="Slog1"/>
        <w:shd w:val="clear" w:color="auto" w:fill="FFFFFF" w:themeFill="background1"/>
        <w:jc w:val="both"/>
        <w:rPr>
          <w:sz w:val="20"/>
          <w:szCs w:val="20"/>
        </w:rPr>
      </w:pPr>
    </w:p>
    <w:p w14:paraId="7763793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izračuna blažilnik sistemskih tveganj na naslednji način:</w:t>
      </w:r>
    </w:p>
    <w:p w14:paraId="3E2E580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noProof/>
          <w:sz w:val="20"/>
          <w:szCs w:val="20"/>
          <w:lang w:eastAsia="sl-SI"/>
        </w:rPr>
        <w:drawing>
          <wp:inline distT="0" distB="0" distL="0" distR="0" wp14:anchorId="01AD75D3" wp14:editId="768DCCD5">
            <wp:extent cx="3323810" cy="285714"/>
            <wp:effectExtent l="0" t="0" r="0" b="0"/>
            <wp:docPr id="100001" name="Slika 100001" descr="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1" name=""/>
                    <pic:cNvPicPr>
                      <a:picLocks noChangeAspect="1"/>
                    </pic:cNvPicPr>
                  </pic:nvPicPr>
                  <pic:blipFill>
                    <a:blip r:embed="rId20"/>
                    <a:stretch>
                      <a:fillRect/>
                    </a:stretch>
                  </pic:blipFill>
                  <pic:spPr>
                    <a:xfrm>
                      <a:off x="0" y="0"/>
                      <a:ext cx="3323810" cy="285714"/>
                    </a:xfrm>
                    <a:prstGeom prst="rect">
                      <a:avLst/>
                    </a:prstGeom>
                  </pic:spPr>
                </pic:pic>
              </a:graphicData>
            </a:graphic>
          </wp:inline>
        </w:drawing>
      </w:r>
    </w:p>
    <w:p w14:paraId="12F4A43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pri čemer je:</w:t>
      </w:r>
    </w:p>
    <w:tbl>
      <w:tblPr>
        <w:tblW w:w="0" w:type="auto"/>
        <w:tblInd w:w="113" w:type="dxa"/>
        <w:tblCellMar>
          <w:top w:w="15" w:type="dxa"/>
          <w:left w:w="15" w:type="dxa"/>
          <w:bottom w:w="15" w:type="dxa"/>
          <w:right w:w="15" w:type="dxa"/>
        </w:tblCellMar>
        <w:tblLook w:val="04A0" w:firstRow="1" w:lastRow="0" w:firstColumn="1" w:lastColumn="0" w:noHBand="0" w:noVBand="1"/>
      </w:tblPr>
      <w:tblGrid>
        <w:gridCol w:w="865"/>
        <w:gridCol w:w="613"/>
        <w:gridCol w:w="7481"/>
      </w:tblGrid>
      <w:tr w:rsidR="001C3B60" w:rsidRPr="00215B2F" w14:paraId="3FD348DB" w14:textId="77777777" w:rsidTr="0067471B">
        <w:trPr>
          <w:trHeight w:val="356"/>
        </w:trPr>
        <w:tc>
          <w:tcPr>
            <w:tcW w:w="901" w:type="dxa"/>
            <w:tcMar>
              <w:top w:w="0" w:type="dxa"/>
              <w:left w:w="113" w:type="dxa"/>
              <w:bottom w:w="0" w:type="dxa"/>
              <w:right w:w="113" w:type="dxa"/>
            </w:tcMar>
            <w:hideMark/>
          </w:tcPr>
          <w:p w14:paraId="4E4BD1D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noProof/>
                <w:sz w:val="20"/>
                <w:szCs w:val="20"/>
                <w:lang w:eastAsia="sl-SI"/>
              </w:rPr>
              <w:drawing>
                <wp:inline distT="0" distB="0" distL="0" distR="0" wp14:anchorId="38F7F587" wp14:editId="1B93070C">
                  <wp:extent cx="247619" cy="161905"/>
                  <wp:effectExtent l="0" t="0" r="0" b="0"/>
                  <wp:docPr id="100003" name="Slika 100003" descr="image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3" name=""/>
                          <pic:cNvPicPr>
                            <a:picLocks noChangeAspect="1"/>
                          </pic:cNvPicPr>
                        </pic:nvPicPr>
                        <pic:blipFill>
                          <a:blip r:embed="rId21"/>
                          <a:stretch>
                            <a:fillRect/>
                          </a:stretch>
                        </pic:blipFill>
                        <pic:spPr>
                          <a:xfrm>
                            <a:off x="0" y="0"/>
                            <a:ext cx="247619" cy="161905"/>
                          </a:xfrm>
                          <a:prstGeom prst="rect">
                            <a:avLst/>
                          </a:prstGeom>
                        </pic:spPr>
                      </pic:pic>
                    </a:graphicData>
                  </a:graphic>
                </wp:inline>
              </w:drawing>
            </w:r>
          </w:p>
        </w:tc>
        <w:tc>
          <w:tcPr>
            <w:tcW w:w="652" w:type="dxa"/>
            <w:tcMar>
              <w:top w:w="0" w:type="dxa"/>
              <w:left w:w="113" w:type="dxa"/>
              <w:bottom w:w="0" w:type="dxa"/>
              <w:right w:w="113" w:type="dxa"/>
            </w:tcMar>
            <w:hideMark/>
          </w:tcPr>
          <w:p w14:paraId="4DBE812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p>
        </w:tc>
        <w:tc>
          <w:tcPr>
            <w:tcW w:w="8338" w:type="dxa"/>
            <w:tcMar>
              <w:top w:w="0" w:type="dxa"/>
              <w:left w:w="113" w:type="dxa"/>
              <w:bottom w:w="0" w:type="dxa"/>
              <w:right w:w="113" w:type="dxa"/>
            </w:tcMar>
            <w:hideMark/>
          </w:tcPr>
          <w:p w14:paraId="206E3AD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blažilnik sistemskih tveganj;</w:t>
            </w:r>
          </w:p>
        </w:tc>
      </w:tr>
      <w:tr w:rsidR="001C3B60" w:rsidRPr="00215B2F" w14:paraId="09201A54" w14:textId="77777777" w:rsidTr="0067471B">
        <w:trPr>
          <w:trHeight w:val="476"/>
        </w:trPr>
        <w:tc>
          <w:tcPr>
            <w:tcW w:w="901" w:type="dxa"/>
            <w:tcMar>
              <w:top w:w="0" w:type="dxa"/>
              <w:left w:w="113" w:type="dxa"/>
              <w:bottom w:w="0" w:type="dxa"/>
              <w:right w:w="113" w:type="dxa"/>
            </w:tcMar>
            <w:hideMark/>
          </w:tcPr>
          <w:p w14:paraId="279EC6B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noProof/>
                <w:sz w:val="20"/>
                <w:szCs w:val="20"/>
                <w:lang w:eastAsia="sl-SI"/>
              </w:rPr>
              <w:drawing>
                <wp:inline distT="0" distB="0" distL="0" distR="0" wp14:anchorId="72822A61" wp14:editId="06A0AEF9">
                  <wp:extent cx="161905" cy="161905"/>
                  <wp:effectExtent l="0" t="0" r="0" b="0"/>
                  <wp:docPr id="100005" name="Slika 100005" descr="image0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5" name=""/>
                          <pic:cNvPicPr>
                            <a:picLocks noChangeAspect="1"/>
                          </pic:cNvPicPr>
                        </pic:nvPicPr>
                        <pic:blipFill>
                          <a:blip r:embed="rId22"/>
                          <a:stretch>
                            <a:fillRect/>
                          </a:stretch>
                        </pic:blipFill>
                        <pic:spPr>
                          <a:xfrm>
                            <a:off x="0" y="0"/>
                            <a:ext cx="161905" cy="161905"/>
                          </a:xfrm>
                          <a:prstGeom prst="rect">
                            <a:avLst/>
                          </a:prstGeom>
                        </pic:spPr>
                      </pic:pic>
                    </a:graphicData>
                  </a:graphic>
                </wp:inline>
              </w:drawing>
            </w:r>
          </w:p>
        </w:tc>
        <w:tc>
          <w:tcPr>
            <w:tcW w:w="652" w:type="dxa"/>
            <w:tcMar>
              <w:top w:w="0" w:type="dxa"/>
              <w:left w:w="113" w:type="dxa"/>
              <w:bottom w:w="0" w:type="dxa"/>
              <w:right w:w="113" w:type="dxa"/>
            </w:tcMar>
            <w:hideMark/>
          </w:tcPr>
          <w:p w14:paraId="113AF79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p>
        </w:tc>
        <w:tc>
          <w:tcPr>
            <w:tcW w:w="8338" w:type="dxa"/>
            <w:tcMar>
              <w:top w:w="0" w:type="dxa"/>
              <w:left w:w="113" w:type="dxa"/>
              <w:bottom w:w="0" w:type="dxa"/>
              <w:right w:w="113" w:type="dxa"/>
            </w:tcMar>
            <w:hideMark/>
          </w:tcPr>
          <w:p w14:paraId="1E38EE7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stopnja blažilnika, ki se uporablja za znesek skupne izpostavljenosti tveganjem banke;</w:t>
            </w:r>
          </w:p>
        </w:tc>
      </w:tr>
      <w:tr w:rsidR="001C3B60" w:rsidRPr="00215B2F" w14:paraId="18DAD6C5" w14:textId="77777777" w:rsidTr="0067471B">
        <w:tc>
          <w:tcPr>
            <w:tcW w:w="901" w:type="dxa"/>
            <w:tcMar>
              <w:top w:w="0" w:type="dxa"/>
              <w:left w:w="113" w:type="dxa"/>
              <w:bottom w:w="0" w:type="dxa"/>
              <w:right w:w="113" w:type="dxa"/>
            </w:tcMar>
            <w:hideMark/>
          </w:tcPr>
          <w:p w14:paraId="2F9EC19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noProof/>
                <w:sz w:val="20"/>
                <w:szCs w:val="20"/>
                <w:lang w:eastAsia="sl-SI"/>
              </w:rPr>
              <w:drawing>
                <wp:inline distT="0" distB="0" distL="0" distR="0" wp14:anchorId="5D6530F1" wp14:editId="0E136705">
                  <wp:extent cx="123810" cy="123810"/>
                  <wp:effectExtent l="0" t="0" r="0" b="0"/>
                  <wp:docPr id="100007" name="Slika 100007" descr="image0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7" name=""/>
                          <pic:cNvPicPr>
                            <a:picLocks noChangeAspect="1"/>
                          </pic:cNvPicPr>
                        </pic:nvPicPr>
                        <pic:blipFill>
                          <a:blip r:embed="rId23"/>
                          <a:stretch>
                            <a:fillRect/>
                          </a:stretch>
                        </pic:blipFill>
                        <pic:spPr>
                          <a:xfrm>
                            <a:off x="0" y="0"/>
                            <a:ext cx="123810" cy="123810"/>
                          </a:xfrm>
                          <a:prstGeom prst="rect">
                            <a:avLst/>
                          </a:prstGeom>
                        </pic:spPr>
                      </pic:pic>
                    </a:graphicData>
                  </a:graphic>
                </wp:inline>
              </w:drawing>
            </w:r>
          </w:p>
        </w:tc>
        <w:tc>
          <w:tcPr>
            <w:tcW w:w="652" w:type="dxa"/>
            <w:tcMar>
              <w:top w:w="0" w:type="dxa"/>
              <w:left w:w="113" w:type="dxa"/>
              <w:bottom w:w="0" w:type="dxa"/>
              <w:right w:w="113" w:type="dxa"/>
            </w:tcMar>
            <w:hideMark/>
          </w:tcPr>
          <w:p w14:paraId="7876673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p>
        </w:tc>
        <w:tc>
          <w:tcPr>
            <w:tcW w:w="8338" w:type="dxa"/>
            <w:tcMar>
              <w:top w:w="0" w:type="dxa"/>
              <w:left w:w="113" w:type="dxa"/>
              <w:bottom w:w="0" w:type="dxa"/>
              <w:right w:w="113" w:type="dxa"/>
            </w:tcMar>
            <w:hideMark/>
          </w:tcPr>
          <w:p w14:paraId="7163B31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znesek skupne izpostavljenosti tveganjem banke, izračunan v skladu s tretjim odstavkom 92. člena Uredbe 575/2013/EU; </w:t>
            </w:r>
          </w:p>
        </w:tc>
      </w:tr>
      <w:tr w:rsidR="001C3B60" w:rsidRPr="00215B2F" w14:paraId="6BDCF4C0" w14:textId="77777777" w:rsidTr="0067471B">
        <w:trPr>
          <w:trHeight w:val="306"/>
        </w:trPr>
        <w:tc>
          <w:tcPr>
            <w:tcW w:w="901" w:type="dxa"/>
            <w:tcMar>
              <w:top w:w="0" w:type="dxa"/>
              <w:left w:w="113" w:type="dxa"/>
              <w:bottom w:w="0" w:type="dxa"/>
              <w:right w:w="113" w:type="dxa"/>
            </w:tcMar>
            <w:hideMark/>
          </w:tcPr>
          <w:p w14:paraId="1E6E13D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i</w:t>
            </w:r>
          </w:p>
        </w:tc>
        <w:tc>
          <w:tcPr>
            <w:tcW w:w="652" w:type="dxa"/>
            <w:tcMar>
              <w:top w:w="0" w:type="dxa"/>
              <w:left w:w="113" w:type="dxa"/>
              <w:bottom w:w="0" w:type="dxa"/>
              <w:right w:w="113" w:type="dxa"/>
            </w:tcMar>
            <w:hideMark/>
          </w:tcPr>
          <w:p w14:paraId="7FFB010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p>
        </w:tc>
        <w:tc>
          <w:tcPr>
            <w:tcW w:w="8338" w:type="dxa"/>
            <w:tcMar>
              <w:top w:w="0" w:type="dxa"/>
              <w:left w:w="113" w:type="dxa"/>
              <w:bottom w:w="0" w:type="dxa"/>
              <w:right w:w="113" w:type="dxa"/>
            </w:tcMar>
            <w:hideMark/>
          </w:tcPr>
          <w:p w14:paraId="5B627986" w14:textId="5258A98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indeks, ki označuje podskupino izpostavljenosti iz </w:t>
            </w:r>
            <w:r w:rsidR="00746E88" w:rsidRPr="00215B2F">
              <w:rPr>
                <w:rFonts w:ascii="Arial" w:eastAsia="Arial" w:hAnsi="Arial" w:cs="Arial"/>
                <w:sz w:val="20"/>
                <w:szCs w:val="20"/>
              </w:rPr>
              <w:t>prejšnjega člena</w:t>
            </w:r>
            <w:r w:rsidRPr="00215B2F">
              <w:rPr>
                <w:rFonts w:ascii="Arial" w:eastAsia="Arial" w:hAnsi="Arial" w:cs="Arial"/>
                <w:sz w:val="20"/>
                <w:szCs w:val="20"/>
              </w:rPr>
              <w:t>;</w:t>
            </w:r>
          </w:p>
        </w:tc>
      </w:tr>
      <w:tr w:rsidR="001C3B60" w:rsidRPr="00215B2F" w14:paraId="2ED61026" w14:textId="77777777" w:rsidTr="0067471B">
        <w:tc>
          <w:tcPr>
            <w:tcW w:w="901" w:type="dxa"/>
            <w:tcMar>
              <w:top w:w="0" w:type="dxa"/>
              <w:left w:w="113" w:type="dxa"/>
              <w:bottom w:w="0" w:type="dxa"/>
              <w:right w:w="113" w:type="dxa"/>
            </w:tcMar>
            <w:hideMark/>
          </w:tcPr>
          <w:p w14:paraId="16A6593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noProof/>
                <w:sz w:val="20"/>
                <w:szCs w:val="20"/>
                <w:lang w:eastAsia="sl-SI"/>
              </w:rPr>
              <w:drawing>
                <wp:inline distT="0" distB="0" distL="0" distR="0" wp14:anchorId="1963D9A6" wp14:editId="26A17CF0">
                  <wp:extent cx="152381" cy="142857"/>
                  <wp:effectExtent l="0" t="0" r="0" b="0"/>
                  <wp:docPr id="100009" name="Slika 100009" descr="image0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9" name=""/>
                          <pic:cNvPicPr>
                            <a:picLocks noChangeAspect="1"/>
                          </pic:cNvPicPr>
                        </pic:nvPicPr>
                        <pic:blipFill>
                          <a:blip r:embed="rId24"/>
                          <a:stretch>
                            <a:fillRect/>
                          </a:stretch>
                        </pic:blipFill>
                        <pic:spPr>
                          <a:xfrm>
                            <a:off x="0" y="0"/>
                            <a:ext cx="152381" cy="142857"/>
                          </a:xfrm>
                          <a:prstGeom prst="rect">
                            <a:avLst/>
                          </a:prstGeom>
                        </pic:spPr>
                      </pic:pic>
                    </a:graphicData>
                  </a:graphic>
                </wp:inline>
              </w:drawing>
            </w:r>
          </w:p>
        </w:tc>
        <w:tc>
          <w:tcPr>
            <w:tcW w:w="652" w:type="dxa"/>
            <w:tcMar>
              <w:top w:w="0" w:type="dxa"/>
              <w:left w:w="113" w:type="dxa"/>
              <w:bottom w:w="0" w:type="dxa"/>
              <w:right w:w="113" w:type="dxa"/>
            </w:tcMar>
            <w:hideMark/>
          </w:tcPr>
          <w:p w14:paraId="06BA842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p>
        </w:tc>
        <w:tc>
          <w:tcPr>
            <w:tcW w:w="8338" w:type="dxa"/>
            <w:tcMar>
              <w:top w:w="0" w:type="dxa"/>
              <w:left w:w="113" w:type="dxa"/>
              <w:bottom w:w="0" w:type="dxa"/>
              <w:right w:w="113" w:type="dxa"/>
            </w:tcMar>
            <w:hideMark/>
          </w:tcPr>
          <w:p w14:paraId="3C6CA3D6" w14:textId="1FB57AB6" w:rsidR="00D91782" w:rsidRPr="00215B2F" w:rsidRDefault="00D91782" w:rsidP="00AE2D53">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stopnja blažilnika, ki se uporablja za znesek izpostavljenosti tveganjem podskupine izpostavljenosti i; </w:t>
            </w:r>
          </w:p>
        </w:tc>
      </w:tr>
      <w:tr w:rsidR="00D91782" w:rsidRPr="00215B2F" w14:paraId="3F06D9B4" w14:textId="77777777" w:rsidTr="0067471B">
        <w:trPr>
          <w:trHeight w:val="422"/>
        </w:trPr>
        <w:tc>
          <w:tcPr>
            <w:tcW w:w="901" w:type="dxa"/>
            <w:tcMar>
              <w:top w:w="0" w:type="dxa"/>
              <w:left w:w="113" w:type="dxa"/>
              <w:bottom w:w="0" w:type="dxa"/>
              <w:right w:w="113" w:type="dxa"/>
            </w:tcMar>
            <w:hideMark/>
          </w:tcPr>
          <w:p w14:paraId="65365F9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noProof/>
                <w:sz w:val="20"/>
                <w:szCs w:val="20"/>
                <w:lang w:eastAsia="sl-SI"/>
              </w:rPr>
              <w:drawing>
                <wp:inline distT="0" distB="0" distL="0" distR="0" wp14:anchorId="1C42CF8B" wp14:editId="4A20BE7E">
                  <wp:extent cx="152381" cy="152381"/>
                  <wp:effectExtent l="0" t="0" r="0" b="0"/>
                  <wp:docPr id="100011" name="Slika 100011" descr="image0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1" name=""/>
                          <pic:cNvPicPr>
                            <a:picLocks noChangeAspect="1"/>
                          </pic:cNvPicPr>
                        </pic:nvPicPr>
                        <pic:blipFill>
                          <a:blip r:embed="rId25"/>
                          <a:stretch>
                            <a:fillRect/>
                          </a:stretch>
                        </pic:blipFill>
                        <pic:spPr>
                          <a:xfrm>
                            <a:off x="0" y="0"/>
                            <a:ext cx="152381" cy="152381"/>
                          </a:xfrm>
                          <a:prstGeom prst="rect">
                            <a:avLst/>
                          </a:prstGeom>
                        </pic:spPr>
                      </pic:pic>
                    </a:graphicData>
                  </a:graphic>
                </wp:inline>
              </w:drawing>
            </w:r>
          </w:p>
        </w:tc>
        <w:tc>
          <w:tcPr>
            <w:tcW w:w="652" w:type="dxa"/>
            <w:tcMar>
              <w:top w:w="0" w:type="dxa"/>
              <w:left w:w="113" w:type="dxa"/>
              <w:bottom w:w="0" w:type="dxa"/>
              <w:right w:w="113" w:type="dxa"/>
            </w:tcMar>
            <w:hideMark/>
          </w:tcPr>
          <w:p w14:paraId="71FEF3C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p>
        </w:tc>
        <w:tc>
          <w:tcPr>
            <w:tcW w:w="8338" w:type="dxa"/>
            <w:tcMar>
              <w:top w:w="0" w:type="dxa"/>
              <w:left w:w="113" w:type="dxa"/>
              <w:bottom w:w="0" w:type="dxa"/>
              <w:right w:w="113" w:type="dxa"/>
            </w:tcMar>
            <w:hideMark/>
          </w:tcPr>
          <w:p w14:paraId="5CDA3EA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znesek izpostavljenosti tveganjem banke za podskupino izpostavljenosti i, izračunan v skladu s tretjim odstavkom 92. člena Uredbe 575/2013/EU.</w:t>
            </w:r>
          </w:p>
          <w:p w14:paraId="3BA188B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tc>
      </w:tr>
    </w:tbl>
    <w:p w14:paraId="04DAA696" w14:textId="77777777" w:rsidR="00D91782" w:rsidRPr="00215B2F" w:rsidRDefault="00D91782" w:rsidP="00FD5520">
      <w:pPr>
        <w:pStyle w:val="Slog1"/>
        <w:shd w:val="clear" w:color="auto" w:fill="FFFFFF" w:themeFill="background1"/>
        <w:jc w:val="both"/>
        <w:rPr>
          <w:sz w:val="20"/>
          <w:szCs w:val="20"/>
        </w:rPr>
      </w:pPr>
    </w:p>
    <w:p w14:paraId="533573F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47" w:name="_Ref202965689"/>
      <w:r w:rsidRPr="00215B2F">
        <w:rPr>
          <w:rFonts w:ascii="Arial" w:eastAsia="Arial" w:hAnsi="Arial" w:cs="Arial"/>
          <w:b/>
          <w:bCs/>
          <w:sz w:val="20"/>
          <w:szCs w:val="20"/>
        </w:rPr>
        <w:t>člen</w:t>
      </w:r>
      <w:bookmarkEnd w:id="347"/>
    </w:p>
    <w:p w14:paraId="65F2B84A" w14:textId="77777777" w:rsidR="00D91782" w:rsidRPr="00215B2F" w:rsidRDefault="00D91782" w:rsidP="00FD5520">
      <w:pPr>
        <w:pStyle w:val="Slog1"/>
        <w:shd w:val="clear" w:color="auto" w:fill="FFFFFF" w:themeFill="background1"/>
        <w:rPr>
          <w:sz w:val="20"/>
          <w:szCs w:val="20"/>
        </w:rPr>
      </w:pPr>
      <w:r w:rsidRPr="00215B2F">
        <w:rPr>
          <w:sz w:val="20"/>
          <w:szCs w:val="20"/>
        </w:rPr>
        <w:t>(postopek določanja stopnje blažilnika sistemskih tveganj)</w:t>
      </w:r>
    </w:p>
    <w:p w14:paraId="2B94E1C0" w14:textId="77777777" w:rsidR="00D91782" w:rsidRPr="00215B2F" w:rsidRDefault="00D91782" w:rsidP="00FD5520">
      <w:pPr>
        <w:pStyle w:val="Slog1"/>
        <w:shd w:val="clear" w:color="auto" w:fill="FFFFFF" w:themeFill="background1"/>
        <w:jc w:val="both"/>
        <w:rPr>
          <w:sz w:val="20"/>
          <w:szCs w:val="20"/>
        </w:rPr>
      </w:pPr>
    </w:p>
    <w:p w14:paraId="09A547B0" w14:textId="1031679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pred objavo odločitve o določitvi ali spremembi stopenj blažilnika sistemskih tveganj na podlagi </w:t>
      </w:r>
      <w:r w:rsidR="00C96E2E" w:rsidRPr="00215B2F">
        <w:rPr>
          <w:rFonts w:ascii="Arial" w:eastAsia="Arial" w:hAnsi="Arial" w:cs="Arial"/>
          <w:sz w:val="20"/>
          <w:szCs w:val="20"/>
        </w:rPr>
        <w:t>292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obvesti Evropski odbor za sistemska tveganja. </w:t>
      </w:r>
      <w:r w:rsidR="00256D7F" w:rsidRPr="00215B2F">
        <w:rPr>
          <w:rFonts w:ascii="Arial" w:eastAsia="Arial" w:hAnsi="Arial" w:cs="Arial"/>
          <w:sz w:val="20"/>
          <w:szCs w:val="20"/>
        </w:rPr>
        <w:t>Če</w:t>
      </w:r>
      <w:r w:rsidRPr="00215B2F">
        <w:rPr>
          <w:rFonts w:ascii="Arial" w:eastAsia="Arial" w:hAnsi="Arial" w:cs="Arial"/>
          <w:sz w:val="20"/>
          <w:szCs w:val="20"/>
        </w:rPr>
        <w:t xml:space="preserve"> se stopnje blažilnika sistemskih tveganj nanašajo na banko, katere nadrejena oseba ima sedež v drugi državi članici, Banka Slovenije obvesti tudi organe te države članice. Kadar se stopnje blažilnika sistemskih tveganj nanašajo na izpostavljenosti v tretjih državah, Banka Slovenije prav tako obvesti Evropski odbor za sistemska tveganja.</w:t>
      </w:r>
    </w:p>
    <w:p w14:paraId="14D09627"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24BBE29C" w14:textId="7E83794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Obvestilo iz prejšnjega odstavka vključuje:</w:t>
      </w:r>
    </w:p>
    <w:p w14:paraId="7161181D"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30415586" w14:textId="77777777" w:rsidR="00EA58C4" w:rsidRPr="00215B2F" w:rsidRDefault="00D91782" w:rsidP="003D4DE0">
      <w:pPr>
        <w:pStyle w:val="tevilnatoka"/>
        <w:numPr>
          <w:ilvl w:val="0"/>
          <w:numId w:val="198"/>
        </w:numPr>
        <w:shd w:val="clear" w:color="auto" w:fill="FFFFFF" w:themeFill="background1"/>
        <w:tabs>
          <w:tab w:val="clear" w:pos="425"/>
        </w:tabs>
        <w:rPr>
          <w:rFonts w:cs="Arial"/>
          <w:bCs/>
          <w:sz w:val="20"/>
          <w:szCs w:val="20"/>
        </w:rPr>
      </w:pPr>
      <w:r w:rsidRPr="00215B2F">
        <w:rPr>
          <w:rFonts w:eastAsia="Arial" w:cs="Arial"/>
          <w:sz w:val="20"/>
          <w:szCs w:val="20"/>
        </w:rPr>
        <w:t>opis sistemskega ali makrobonitetnega tveganja v Republiki Sloveniji;</w:t>
      </w:r>
    </w:p>
    <w:p w14:paraId="5F2D7DBB" w14:textId="77777777" w:rsidR="00EA58C4" w:rsidRPr="00215B2F" w:rsidRDefault="00D91782" w:rsidP="003D4DE0">
      <w:pPr>
        <w:pStyle w:val="tevilnatoka"/>
        <w:numPr>
          <w:ilvl w:val="0"/>
          <w:numId w:val="198"/>
        </w:numPr>
        <w:shd w:val="clear" w:color="auto" w:fill="FFFFFF" w:themeFill="background1"/>
        <w:tabs>
          <w:tab w:val="clear" w:pos="425"/>
        </w:tabs>
        <w:rPr>
          <w:rFonts w:cs="Arial"/>
          <w:bCs/>
          <w:sz w:val="20"/>
          <w:szCs w:val="20"/>
        </w:rPr>
      </w:pPr>
      <w:r w:rsidRPr="00215B2F">
        <w:rPr>
          <w:rFonts w:eastAsia="Arial" w:cs="Arial"/>
          <w:sz w:val="20"/>
          <w:szCs w:val="20"/>
        </w:rPr>
        <w:t>opis razsežnosti sistemskih ali makrobonitetnih tveganj, zaradi katerih je ogrožena stabilnost finančnega sistema v Republiki Sloveniji, kar upravičuje stopnjo blažilnika sistemskih tveganj;</w:t>
      </w:r>
    </w:p>
    <w:p w14:paraId="22BA5138" w14:textId="77777777" w:rsidR="00EA58C4" w:rsidRPr="00215B2F" w:rsidRDefault="00D91782" w:rsidP="003D4DE0">
      <w:pPr>
        <w:pStyle w:val="tevilnatoka"/>
        <w:numPr>
          <w:ilvl w:val="0"/>
          <w:numId w:val="198"/>
        </w:numPr>
        <w:shd w:val="clear" w:color="auto" w:fill="FFFFFF" w:themeFill="background1"/>
        <w:tabs>
          <w:tab w:val="clear" w:pos="425"/>
        </w:tabs>
        <w:rPr>
          <w:rFonts w:cs="Arial"/>
          <w:bCs/>
          <w:sz w:val="20"/>
          <w:szCs w:val="20"/>
        </w:rPr>
      </w:pPr>
      <w:r w:rsidRPr="00215B2F">
        <w:rPr>
          <w:rFonts w:eastAsia="Arial" w:cs="Arial"/>
          <w:sz w:val="20"/>
          <w:szCs w:val="20"/>
        </w:rPr>
        <w:t>utemeljitev razlogov, zakaj Banka Slovenije ocenjuje, da je zahteva po vzdrževanju blažilnika sistemskih tveganj nujna ter pomeni učinkovit in sorazmeren ukrep pri zmanjševanju tveganja;</w:t>
      </w:r>
    </w:p>
    <w:p w14:paraId="45504687" w14:textId="77777777" w:rsidR="00EA58C4" w:rsidRPr="00215B2F" w:rsidRDefault="00D91782" w:rsidP="003D4DE0">
      <w:pPr>
        <w:pStyle w:val="tevilnatoka"/>
        <w:numPr>
          <w:ilvl w:val="0"/>
          <w:numId w:val="198"/>
        </w:numPr>
        <w:shd w:val="clear" w:color="auto" w:fill="FFFFFF" w:themeFill="background1"/>
        <w:tabs>
          <w:tab w:val="clear" w:pos="425"/>
        </w:tabs>
        <w:rPr>
          <w:rFonts w:cs="Arial"/>
          <w:bCs/>
          <w:sz w:val="20"/>
          <w:szCs w:val="20"/>
        </w:rPr>
      </w:pPr>
      <w:r w:rsidRPr="00215B2F">
        <w:rPr>
          <w:rFonts w:eastAsia="Arial" w:cs="Arial"/>
          <w:sz w:val="20"/>
          <w:szCs w:val="20"/>
        </w:rPr>
        <w:t>oceno verjetnega pozitivnega ali negativnega učinka blažilnika sistemskih tveganj na notranji trg na podlagi razpoložljivih informacij;</w:t>
      </w:r>
    </w:p>
    <w:p w14:paraId="201EE40C" w14:textId="7B09AE2C" w:rsidR="00EA58C4" w:rsidRPr="00215B2F" w:rsidRDefault="00D91782" w:rsidP="003D4DE0">
      <w:pPr>
        <w:pStyle w:val="tevilnatoka"/>
        <w:numPr>
          <w:ilvl w:val="0"/>
          <w:numId w:val="198"/>
        </w:numPr>
        <w:shd w:val="clear" w:color="auto" w:fill="FFFFFF" w:themeFill="background1"/>
        <w:tabs>
          <w:tab w:val="clear" w:pos="425"/>
        </w:tabs>
        <w:rPr>
          <w:rFonts w:cs="Arial"/>
          <w:bCs/>
          <w:sz w:val="20"/>
          <w:szCs w:val="20"/>
        </w:rPr>
      </w:pPr>
      <w:r w:rsidRPr="00215B2F">
        <w:rPr>
          <w:rFonts w:eastAsia="Arial" w:cs="Arial"/>
          <w:sz w:val="20"/>
          <w:szCs w:val="20"/>
        </w:rPr>
        <w:lastRenderedPageBreak/>
        <w:t xml:space="preserve">če se stopnja blažilnika uporablja za vse izpostavljenosti, utemeljitev Banke Slovenije, zakaj blažilnik sistemskih tveganj ne podvaja delovanja blažilnika za DSPB iz </w:t>
      </w:r>
      <w:r w:rsidR="00C96E2E" w:rsidRPr="00215B2F">
        <w:rPr>
          <w:rFonts w:eastAsia="Arial" w:cs="Arial"/>
          <w:sz w:val="20"/>
          <w:szCs w:val="20"/>
        </w:rPr>
        <w:t>286</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5BF0618B" w14:textId="3A9FD0ED" w:rsidR="00D91782" w:rsidRPr="00215B2F" w:rsidRDefault="00D91782" w:rsidP="003D4DE0">
      <w:pPr>
        <w:pStyle w:val="tevilnatoka"/>
        <w:numPr>
          <w:ilvl w:val="0"/>
          <w:numId w:val="198"/>
        </w:numPr>
        <w:shd w:val="clear" w:color="auto" w:fill="FFFFFF" w:themeFill="background1"/>
        <w:tabs>
          <w:tab w:val="clear" w:pos="425"/>
        </w:tabs>
        <w:rPr>
          <w:rFonts w:cs="Arial"/>
          <w:bCs/>
          <w:sz w:val="20"/>
          <w:szCs w:val="20"/>
        </w:rPr>
      </w:pPr>
      <w:r w:rsidRPr="00215B2F">
        <w:rPr>
          <w:rFonts w:eastAsia="Arial" w:cs="Arial"/>
          <w:sz w:val="20"/>
          <w:szCs w:val="20"/>
        </w:rPr>
        <w:t>stopnje blažilnika sistemskih tveganj, ki jih Banka Slovenije namerava določiti, izpostavljenosti, za katere se bodo uporabljale te stopnje, in banke, za katere bodo veljale te stopnje.</w:t>
      </w:r>
    </w:p>
    <w:p w14:paraId="7AF4057D"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2FDAF23B" w14:textId="6449B6B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Kadar določitev ali sprememba stopenj blažilnika sistemskih tveganj ne privede do povečanja predhodno določene stopnje blažilnika sistemskih tveganj, Banka Slovenije o tem zgolj obvesti Evropski odbor za sistemska tveganja in druge pristojne organe v skladu s tem členom.</w:t>
      </w:r>
    </w:p>
    <w:p w14:paraId="3F7AC7A4"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7D8B8803" w14:textId="69F7A16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Kadar določitev ali sprememba stopenj blažilnika sistemskih tveganj ne privede do skupne stopnje blažilnika sistemskih tveganj za katero koli skupino ali podskupino izpostavljenosti, višje od </w:t>
      </w:r>
      <w:r w:rsidR="006302F6" w:rsidRPr="00215B2F">
        <w:rPr>
          <w:rFonts w:ascii="Arial" w:eastAsia="Arial" w:hAnsi="Arial" w:cs="Arial"/>
          <w:sz w:val="20"/>
          <w:szCs w:val="20"/>
        </w:rPr>
        <w:t xml:space="preserve">treh </w:t>
      </w:r>
      <w:r w:rsidRPr="00215B2F">
        <w:rPr>
          <w:rFonts w:ascii="Arial" w:eastAsia="Arial" w:hAnsi="Arial" w:cs="Arial"/>
          <w:sz w:val="20"/>
          <w:szCs w:val="20"/>
        </w:rPr>
        <w:t xml:space="preserve">odstotkov, Banka Slovenije pošlje obvestilo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Evropskemu odboru za sistemska tveganja vsaj en mesec pred objavo odločitve na podlagi </w:t>
      </w:r>
      <w:r w:rsidR="00C96E2E" w:rsidRPr="00215B2F">
        <w:rPr>
          <w:rFonts w:ascii="Arial" w:eastAsia="Arial" w:hAnsi="Arial" w:cs="Arial"/>
          <w:sz w:val="20"/>
          <w:szCs w:val="20"/>
        </w:rPr>
        <w:t>292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Za namene tega odstavka se v izračunu navedenega praga ne upošteva stopnj</w:t>
      </w:r>
      <w:r w:rsidR="00925501" w:rsidRPr="00215B2F">
        <w:rPr>
          <w:rFonts w:ascii="Arial" w:eastAsia="Arial" w:hAnsi="Arial" w:cs="Arial"/>
          <w:sz w:val="20"/>
          <w:szCs w:val="20"/>
        </w:rPr>
        <w:t>a</w:t>
      </w:r>
      <w:r w:rsidRPr="00215B2F">
        <w:rPr>
          <w:rFonts w:ascii="Arial" w:eastAsia="Arial" w:hAnsi="Arial" w:cs="Arial"/>
          <w:sz w:val="20"/>
          <w:szCs w:val="20"/>
        </w:rPr>
        <w:t xml:space="preserve"> blažilnika sistemskih tveganj, priznan</w:t>
      </w:r>
      <w:r w:rsidR="00925501" w:rsidRPr="00215B2F">
        <w:rPr>
          <w:rFonts w:ascii="Arial" w:eastAsia="Arial" w:hAnsi="Arial" w:cs="Arial"/>
          <w:sz w:val="20"/>
          <w:szCs w:val="20"/>
        </w:rPr>
        <w:t>a</w:t>
      </w:r>
      <w:r w:rsidRPr="00215B2F">
        <w:rPr>
          <w:rFonts w:ascii="Arial" w:eastAsia="Arial" w:hAnsi="Arial" w:cs="Arial"/>
          <w:sz w:val="20"/>
          <w:szCs w:val="20"/>
        </w:rPr>
        <w:t xml:space="preserve"> v skladu z </w:t>
      </w:r>
      <w:r w:rsidR="00C96E2E" w:rsidRPr="00215B2F">
        <w:rPr>
          <w:rFonts w:ascii="Arial" w:eastAsia="Arial" w:hAnsi="Arial" w:cs="Arial"/>
          <w:sz w:val="20"/>
          <w:szCs w:val="20"/>
        </w:rPr>
        <w:t>293</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ki jo določi druga država članica.</w:t>
      </w:r>
    </w:p>
    <w:p w14:paraId="017BDBF2"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CEDDF56" w14:textId="3135EA1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Kadar določitev ali sprememba stopenj blažilnika sistemskih tveganj privede do skupne stopnje blažilnika sistemskih tveganj za katero koli skupino ali podskupino izpostavljenosti, ki je višja od </w:t>
      </w:r>
      <w:r w:rsidR="006302F6" w:rsidRPr="00215B2F">
        <w:rPr>
          <w:rFonts w:ascii="Arial" w:eastAsia="Arial" w:hAnsi="Arial" w:cs="Arial"/>
          <w:sz w:val="20"/>
          <w:szCs w:val="20"/>
        </w:rPr>
        <w:t xml:space="preserve">treh </w:t>
      </w:r>
      <w:r w:rsidRPr="00215B2F">
        <w:rPr>
          <w:rFonts w:ascii="Arial" w:eastAsia="Arial" w:hAnsi="Arial" w:cs="Arial"/>
          <w:sz w:val="20"/>
          <w:szCs w:val="20"/>
        </w:rPr>
        <w:t xml:space="preserve">odstotkov, vendar ne presega </w:t>
      </w:r>
      <w:r w:rsidR="006302F6" w:rsidRPr="00215B2F">
        <w:rPr>
          <w:rFonts w:ascii="Arial" w:eastAsia="Arial" w:hAnsi="Arial" w:cs="Arial"/>
          <w:sz w:val="20"/>
          <w:szCs w:val="20"/>
        </w:rPr>
        <w:t xml:space="preserve">pet </w:t>
      </w:r>
      <w:r w:rsidRPr="00215B2F">
        <w:rPr>
          <w:rFonts w:ascii="Arial" w:eastAsia="Arial" w:hAnsi="Arial" w:cs="Arial"/>
          <w:sz w:val="20"/>
          <w:szCs w:val="20"/>
        </w:rPr>
        <w:t xml:space="preserve">odstotkov, Banka Slovenije v obvestilu Evropskemu odboru za sistemska tveganja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zaprosi za mnenji Komisije in Evropskega odbora za sistemska tveganja. Za namene tega odstavka se v izračunu navedenega praga ne upošteva stopnj</w:t>
      </w:r>
      <w:r w:rsidR="00925501" w:rsidRPr="00215B2F">
        <w:rPr>
          <w:rFonts w:ascii="Arial" w:eastAsia="Arial" w:hAnsi="Arial" w:cs="Arial"/>
          <w:sz w:val="20"/>
          <w:szCs w:val="20"/>
        </w:rPr>
        <w:t>a</w:t>
      </w:r>
      <w:r w:rsidRPr="00215B2F">
        <w:rPr>
          <w:rFonts w:ascii="Arial" w:eastAsia="Arial" w:hAnsi="Arial" w:cs="Arial"/>
          <w:sz w:val="20"/>
          <w:szCs w:val="20"/>
        </w:rPr>
        <w:t xml:space="preserve"> blažilnika sistemskih tveganj, priznan</w:t>
      </w:r>
      <w:r w:rsidR="00925501" w:rsidRPr="00215B2F">
        <w:rPr>
          <w:rFonts w:ascii="Arial" w:eastAsia="Arial" w:hAnsi="Arial" w:cs="Arial"/>
          <w:sz w:val="20"/>
          <w:szCs w:val="20"/>
        </w:rPr>
        <w:t>a</w:t>
      </w:r>
      <w:r w:rsidRPr="00215B2F">
        <w:rPr>
          <w:rFonts w:ascii="Arial" w:eastAsia="Arial" w:hAnsi="Arial" w:cs="Arial"/>
          <w:sz w:val="20"/>
          <w:szCs w:val="20"/>
        </w:rPr>
        <w:t xml:space="preserve"> v skladu z </w:t>
      </w:r>
      <w:r w:rsidR="00C96E2E" w:rsidRPr="00215B2F">
        <w:rPr>
          <w:rFonts w:ascii="Arial" w:eastAsia="Arial" w:hAnsi="Arial" w:cs="Arial"/>
          <w:sz w:val="20"/>
          <w:szCs w:val="20"/>
        </w:rPr>
        <w:t>293</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ki jo določi druga država članica.</w:t>
      </w:r>
    </w:p>
    <w:p w14:paraId="4EF8F60E"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7C9DD702" w14:textId="7C63476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14736" w:rsidRPr="00215B2F">
        <w:rPr>
          <w:rFonts w:ascii="Arial" w:eastAsia="Arial" w:hAnsi="Arial" w:cs="Arial"/>
          <w:sz w:val="20"/>
          <w:szCs w:val="20"/>
        </w:rPr>
        <w:t>6</w:t>
      </w:r>
      <w:r w:rsidRPr="00215B2F">
        <w:rPr>
          <w:rFonts w:ascii="Arial" w:eastAsia="Arial" w:hAnsi="Arial" w:cs="Arial"/>
          <w:sz w:val="20"/>
          <w:szCs w:val="20"/>
        </w:rPr>
        <w:t xml:space="preserve">) V primeru iz prejšnjega odstavka Evropski odbor za sistemska tveganja v enem mesecu po prejemu obvestila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predloži Komisiji mnenje o tem, ali se stopnja oziroma stopnje blažilnika sistemskih tveganj štejejo za primerne. Komisija v dveh mesecih po prejemu tega uradnega obvestila in ob upoštevanju mnenja Evropskega odbora za sistemska tveganja da svoje mnenje. Banka Slovenije sprejme odločitev o stopnji blažilnika sistemskih tveganj v skladu z mnenjem Komisije ali obrazloži, zakaj ga ne bo upoštevala.</w:t>
      </w:r>
    </w:p>
    <w:p w14:paraId="0A0C82A7"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4E4E4FCD" w14:textId="763F179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14736" w:rsidRPr="00215B2F">
        <w:rPr>
          <w:rFonts w:ascii="Arial" w:eastAsia="Arial" w:hAnsi="Arial" w:cs="Arial"/>
          <w:sz w:val="20"/>
          <w:szCs w:val="20"/>
        </w:rPr>
        <w:t>7</w:t>
      </w:r>
      <w:r w:rsidRPr="00215B2F">
        <w:rPr>
          <w:rFonts w:ascii="Arial" w:eastAsia="Arial" w:hAnsi="Arial" w:cs="Arial"/>
          <w:sz w:val="20"/>
          <w:szCs w:val="20"/>
        </w:rPr>
        <w:t xml:space="preserve">) Če se določitev ali sprememba ene ali več stopenj blažilnika sistemskih tveganj iz petega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nanaša na eno ali več bank, katere nadrejena oseba ima sedež v drugi državi članici, Evropski odbor za sistemska tveganja in Komisija v svojih mnenjih preučita tudi, ali se šteje, da je uporaba stopnje oziroma stopenj blažilnika sistemskih tveganj za te banke primerna. Če organ nadrejene osebe izrazi nestrinjanje s predlagano stopnjo oziroma stopnjami blažilnika sistemskih tveganj iz </w:t>
      </w:r>
      <w:r w:rsidR="00603EA3" w:rsidRPr="00215B2F">
        <w:rPr>
          <w:rFonts w:ascii="Arial" w:eastAsia="Arial" w:hAnsi="Arial" w:cs="Arial"/>
          <w:sz w:val="20"/>
          <w:szCs w:val="20"/>
        </w:rPr>
        <w:t xml:space="preserve">petega </w:t>
      </w:r>
      <w:r w:rsidRPr="00215B2F">
        <w:rPr>
          <w:rFonts w:ascii="Arial" w:eastAsia="Arial" w:hAnsi="Arial" w:cs="Arial"/>
          <w:sz w:val="20"/>
          <w:szCs w:val="20"/>
        </w:rPr>
        <w:t>odstavka</w:t>
      </w:r>
      <w:r w:rsidR="00603EA3" w:rsidRPr="00215B2F">
        <w:rPr>
          <w:rFonts w:ascii="Arial" w:eastAsia="Arial" w:hAnsi="Arial" w:cs="Arial"/>
          <w:sz w:val="20"/>
          <w:szCs w:val="20"/>
        </w:rPr>
        <w:t xml:space="preserve"> tega člena</w:t>
      </w:r>
      <w:r w:rsidRPr="00215B2F">
        <w:rPr>
          <w:rFonts w:ascii="Arial" w:eastAsia="Arial" w:hAnsi="Arial" w:cs="Arial"/>
          <w:sz w:val="20"/>
          <w:szCs w:val="20"/>
        </w:rPr>
        <w:t xml:space="preserve"> za podrejeno banko ali sta mnenji Komisije in Evropskega odbora za sistemska tveganja negativni, Banka Slovenije:</w:t>
      </w:r>
    </w:p>
    <w:p w14:paraId="2D4936F9"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ECCE5A7" w14:textId="5D727E34" w:rsidR="00EA58C4" w:rsidRPr="00215B2F" w:rsidRDefault="00D91782" w:rsidP="00543D80">
      <w:pPr>
        <w:pStyle w:val="Odstavekseznama"/>
        <w:numPr>
          <w:ilvl w:val="3"/>
          <w:numId w:val="1"/>
        </w:numPr>
        <w:shd w:val="clear" w:color="auto" w:fill="FFFFFF" w:themeFill="background1"/>
        <w:spacing w:after="0" w:line="240" w:lineRule="auto"/>
        <w:ind w:left="357" w:hanging="357"/>
        <w:jc w:val="both"/>
        <w:rPr>
          <w:rFonts w:ascii="Arial" w:hAnsi="Arial" w:cs="Arial"/>
          <w:sz w:val="20"/>
          <w:szCs w:val="20"/>
        </w:rPr>
      </w:pPr>
      <w:r w:rsidRPr="00215B2F">
        <w:rPr>
          <w:rFonts w:ascii="Arial" w:eastAsia="Arial" w:hAnsi="Arial" w:cs="Arial"/>
          <w:sz w:val="20"/>
          <w:szCs w:val="20"/>
        </w:rPr>
        <w:t>lahko prekine postopek in zaprosi za pomoč Evropski bančni organ v skladu z 19. členom Uredbe 1093/2010/EU ter sprejme odločitev v skladu z odločitvijo Evropskega bančnega organa ali</w:t>
      </w:r>
    </w:p>
    <w:p w14:paraId="30228BD2" w14:textId="4B512BC4" w:rsidR="00D91782" w:rsidRPr="00215B2F" w:rsidRDefault="00D91782" w:rsidP="00543D80">
      <w:pPr>
        <w:pStyle w:val="Odstavekseznama"/>
        <w:numPr>
          <w:ilvl w:val="3"/>
          <w:numId w:val="1"/>
        </w:numPr>
        <w:shd w:val="clear" w:color="auto" w:fill="FFFFFF" w:themeFill="background1"/>
        <w:spacing w:after="0" w:line="240" w:lineRule="auto"/>
        <w:ind w:left="357" w:hanging="357"/>
        <w:jc w:val="both"/>
        <w:rPr>
          <w:rFonts w:ascii="Arial" w:hAnsi="Arial" w:cs="Arial"/>
          <w:sz w:val="20"/>
          <w:szCs w:val="20"/>
        </w:rPr>
      </w:pPr>
      <w:r w:rsidRPr="00215B2F">
        <w:rPr>
          <w:rFonts w:ascii="Arial" w:eastAsia="Arial" w:hAnsi="Arial" w:cs="Arial"/>
          <w:sz w:val="20"/>
          <w:szCs w:val="20"/>
        </w:rPr>
        <w:t>ustavi postopek določitve predlagane stopnje oziroma stopenj blažilnika sistemskih tveganj.</w:t>
      </w:r>
    </w:p>
    <w:p w14:paraId="4FAFF61E"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385ABBD9" w14:textId="41A2B84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14736" w:rsidRPr="00215B2F">
        <w:rPr>
          <w:rFonts w:ascii="Arial" w:eastAsia="Arial" w:hAnsi="Arial" w:cs="Arial"/>
          <w:sz w:val="20"/>
          <w:szCs w:val="20"/>
        </w:rPr>
        <w:t>8</w:t>
      </w:r>
      <w:r w:rsidRPr="00215B2F">
        <w:rPr>
          <w:rFonts w:ascii="Arial" w:eastAsia="Arial" w:hAnsi="Arial" w:cs="Arial"/>
          <w:sz w:val="20"/>
          <w:szCs w:val="20"/>
        </w:rPr>
        <w:t xml:space="preserve">) Kadar določitev ali sprememba stopenj blažilnika sistemskih tveganj privede do skupne stopnje blažilnika sistemskega tveganja za katero koli skupino ali podskupino izpostavljenosti, višje od </w:t>
      </w:r>
      <w:r w:rsidR="006302F6" w:rsidRPr="00215B2F">
        <w:rPr>
          <w:rFonts w:ascii="Arial" w:eastAsia="Arial" w:hAnsi="Arial" w:cs="Arial"/>
          <w:sz w:val="20"/>
          <w:szCs w:val="20"/>
        </w:rPr>
        <w:t xml:space="preserve">petih </w:t>
      </w:r>
      <w:r w:rsidRPr="00215B2F">
        <w:rPr>
          <w:rFonts w:ascii="Arial" w:eastAsia="Arial" w:hAnsi="Arial" w:cs="Arial"/>
          <w:sz w:val="20"/>
          <w:szCs w:val="20"/>
        </w:rPr>
        <w:t xml:space="preserve">odstotkov, Banka Slovenije zaprosi za dovoljenje Komisijo. Zaprosilo vključuje vse informacije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Če Komisija v treh mes</w:t>
      </w:r>
      <w:r w:rsidR="00C1768E" w:rsidRPr="00215B2F">
        <w:rPr>
          <w:rFonts w:ascii="Arial" w:eastAsia="Arial" w:hAnsi="Arial" w:cs="Arial"/>
          <w:sz w:val="20"/>
          <w:szCs w:val="20"/>
        </w:rPr>
        <w:t>e</w:t>
      </w:r>
      <w:r w:rsidRPr="00215B2F">
        <w:rPr>
          <w:rFonts w:ascii="Arial" w:eastAsia="Arial" w:hAnsi="Arial" w:cs="Arial"/>
          <w:sz w:val="20"/>
          <w:szCs w:val="20"/>
        </w:rPr>
        <w:t>cih sprejme izvedbeni akt s pooblastilom Banki Slovenije za uvedbo blažilnika sistemskih tveganj, Banka Slovenije določi stopnjo blažilnika sistemskih tveganj v skladu s tem aktom. Za namene tega odstavka se v izračunu navedenega praga ne upošteva stopnj</w:t>
      </w:r>
      <w:r w:rsidR="00EA1F11" w:rsidRPr="00215B2F">
        <w:rPr>
          <w:rFonts w:ascii="Arial" w:eastAsia="Arial" w:hAnsi="Arial" w:cs="Arial"/>
          <w:sz w:val="20"/>
          <w:szCs w:val="20"/>
        </w:rPr>
        <w:t>a</w:t>
      </w:r>
      <w:r w:rsidRPr="00215B2F">
        <w:rPr>
          <w:rFonts w:ascii="Arial" w:eastAsia="Arial" w:hAnsi="Arial" w:cs="Arial"/>
          <w:sz w:val="20"/>
          <w:szCs w:val="20"/>
        </w:rPr>
        <w:t xml:space="preserve"> blažilnika sistemskih tveganj, priznan</w:t>
      </w:r>
      <w:r w:rsidR="00EA1F11" w:rsidRPr="00215B2F">
        <w:rPr>
          <w:rFonts w:ascii="Arial" w:eastAsia="Arial" w:hAnsi="Arial" w:cs="Arial"/>
          <w:sz w:val="20"/>
          <w:szCs w:val="20"/>
        </w:rPr>
        <w:t>a</w:t>
      </w:r>
      <w:r w:rsidRPr="00215B2F">
        <w:rPr>
          <w:rFonts w:ascii="Arial" w:eastAsia="Arial" w:hAnsi="Arial" w:cs="Arial"/>
          <w:sz w:val="20"/>
          <w:szCs w:val="20"/>
        </w:rPr>
        <w:t xml:space="preserve"> v skladu z </w:t>
      </w:r>
      <w:r w:rsidR="00C96E2E" w:rsidRPr="00215B2F">
        <w:rPr>
          <w:rFonts w:ascii="Arial" w:eastAsia="Arial" w:hAnsi="Arial" w:cs="Arial"/>
          <w:sz w:val="20"/>
          <w:szCs w:val="20"/>
        </w:rPr>
        <w:t>293</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ki jo določi druga država članica. </w:t>
      </w:r>
    </w:p>
    <w:p w14:paraId="5B92EF0C"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0BE55564" w14:textId="655056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514736" w:rsidRPr="00215B2F">
        <w:rPr>
          <w:rFonts w:ascii="Arial" w:eastAsia="Arial" w:hAnsi="Arial" w:cs="Arial"/>
          <w:sz w:val="20"/>
          <w:szCs w:val="20"/>
        </w:rPr>
        <w:t>9</w:t>
      </w:r>
      <w:r w:rsidRPr="00215B2F">
        <w:rPr>
          <w:rFonts w:ascii="Arial" w:eastAsia="Arial" w:hAnsi="Arial" w:cs="Arial"/>
          <w:sz w:val="20"/>
          <w:szCs w:val="20"/>
        </w:rPr>
        <w:t xml:space="preserve">) Če Banka Slovenije določi stopnjo blažilnika sistemskih tveganj za izpostavljenosti v drugih državah članicah, mora biti ta stopnja enaka za vse izpostavljenosti znotraj Evropske unije, razen če se prizna stopnja blažilnika sistemskih tveganj v skladu z </w:t>
      </w:r>
      <w:r w:rsidR="00C96E2E" w:rsidRPr="00215B2F">
        <w:rPr>
          <w:rFonts w:ascii="Arial" w:eastAsia="Arial" w:hAnsi="Arial" w:cs="Arial"/>
          <w:sz w:val="20"/>
          <w:szCs w:val="20"/>
        </w:rPr>
        <w:t>293</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7809A3D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4DF1FA9"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48" w:name="_Ref202965699"/>
      <w:r w:rsidRPr="00215B2F">
        <w:rPr>
          <w:rFonts w:ascii="Arial" w:eastAsia="Arial" w:hAnsi="Arial" w:cs="Arial"/>
          <w:b/>
          <w:bCs/>
          <w:sz w:val="20"/>
          <w:szCs w:val="20"/>
        </w:rPr>
        <w:t>člen</w:t>
      </w:r>
      <w:bookmarkEnd w:id="348"/>
    </w:p>
    <w:p w14:paraId="6EFF9320"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(objava stopenj blažilnika sistemskih tveganj)</w:t>
      </w:r>
    </w:p>
    <w:p w14:paraId="5DBC189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408AE08" w14:textId="717B111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(1) Banka Slovenije na svoji spletni strani objavi odločitve o stopnjah blažilnika sistemskih tveganj, pri čemer objava vključuje</w:t>
      </w:r>
      <w:r w:rsidR="00381107" w:rsidRPr="00215B2F">
        <w:rPr>
          <w:rFonts w:ascii="Arial" w:eastAsia="Arial" w:hAnsi="Arial" w:cs="Arial"/>
          <w:sz w:val="20"/>
          <w:szCs w:val="20"/>
        </w:rPr>
        <w:t xml:space="preserve"> naslednje podatke</w:t>
      </w:r>
      <w:r w:rsidRPr="00215B2F">
        <w:rPr>
          <w:rFonts w:ascii="Arial" w:eastAsia="Arial" w:hAnsi="Arial" w:cs="Arial"/>
          <w:sz w:val="20"/>
          <w:szCs w:val="20"/>
        </w:rPr>
        <w:t>:</w:t>
      </w:r>
    </w:p>
    <w:p w14:paraId="6B4ACDCC"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3BA17CC" w14:textId="77777777" w:rsidR="00EA58C4" w:rsidRPr="00215B2F" w:rsidRDefault="00D91782" w:rsidP="003D4DE0">
      <w:pPr>
        <w:pStyle w:val="tevilnatoka"/>
        <w:numPr>
          <w:ilvl w:val="0"/>
          <w:numId w:val="199"/>
        </w:numPr>
        <w:shd w:val="clear" w:color="auto" w:fill="FFFFFF" w:themeFill="background1"/>
        <w:tabs>
          <w:tab w:val="clear" w:pos="425"/>
        </w:tabs>
        <w:rPr>
          <w:rFonts w:cs="Arial"/>
          <w:bCs/>
          <w:sz w:val="20"/>
          <w:szCs w:val="20"/>
        </w:rPr>
      </w:pPr>
      <w:r w:rsidRPr="00215B2F">
        <w:rPr>
          <w:rFonts w:eastAsia="Arial" w:cs="Arial"/>
          <w:sz w:val="20"/>
          <w:szCs w:val="20"/>
        </w:rPr>
        <w:t>stopnje blažilnika sistemskih tveganj;</w:t>
      </w:r>
    </w:p>
    <w:p w14:paraId="24ABB9DB" w14:textId="77777777" w:rsidR="00EA58C4" w:rsidRPr="00215B2F" w:rsidRDefault="00D91782" w:rsidP="003D4DE0">
      <w:pPr>
        <w:pStyle w:val="tevilnatoka"/>
        <w:numPr>
          <w:ilvl w:val="0"/>
          <w:numId w:val="199"/>
        </w:numPr>
        <w:shd w:val="clear" w:color="auto" w:fill="FFFFFF" w:themeFill="background1"/>
        <w:tabs>
          <w:tab w:val="clear" w:pos="425"/>
        </w:tabs>
        <w:rPr>
          <w:rFonts w:cs="Arial"/>
          <w:bCs/>
          <w:sz w:val="20"/>
          <w:szCs w:val="20"/>
        </w:rPr>
      </w:pPr>
      <w:r w:rsidRPr="00215B2F">
        <w:rPr>
          <w:rFonts w:eastAsia="Arial" w:cs="Arial"/>
          <w:sz w:val="20"/>
          <w:szCs w:val="20"/>
        </w:rPr>
        <w:t>banke, za katere velja blažilnik sistemskih tveganj;</w:t>
      </w:r>
    </w:p>
    <w:p w14:paraId="49E7E5D6" w14:textId="77777777" w:rsidR="00EA58C4" w:rsidRPr="00215B2F" w:rsidRDefault="00D91782" w:rsidP="003D4DE0">
      <w:pPr>
        <w:pStyle w:val="tevilnatoka"/>
        <w:numPr>
          <w:ilvl w:val="0"/>
          <w:numId w:val="199"/>
        </w:numPr>
        <w:shd w:val="clear" w:color="auto" w:fill="FFFFFF" w:themeFill="background1"/>
        <w:tabs>
          <w:tab w:val="clear" w:pos="425"/>
        </w:tabs>
        <w:rPr>
          <w:rFonts w:cs="Arial"/>
          <w:bCs/>
          <w:sz w:val="20"/>
          <w:szCs w:val="20"/>
        </w:rPr>
      </w:pPr>
      <w:r w:rsidRPr="00215B2F">
        <w:rPr>
          <w:rFonts w:eastAsia="Arial" w:cs="Arial"/>
          <w:sz w:val="20"/>
          <w:szCs w:val="20"/>
        </w:rPr>
        <w:t>izpostavljenosti, za katere veljajo stopnje blažilnika sistemskih tveganj;</w:t>
      </w:r>
    </w:p>
    <w:p w14:paraId="1C7F3190" w14:textId="77777777" w:rsidR="00EA58C4" w:rsidRPr="00215B2F" w:rsidRDefault="00D91782" w:rsidP="003D4DE0">
      <w:pPr>
        <w:pStyle w:val="tevilnatoka"/>
        <w:numPr>
          <w:ilvl w:val="0"/>
          <w:numId w:val="199"/>
        </w:numPr>
        <w:shd w:val="clear" w:color="auto" w:fill="FFFFFF" w:themeFill="background1"/>
        <w:tabs>
          <w:tab w:val="clear" w:pos="425"/>
        </w:tabs>
        <w:rPr>
          <w:rFonts w:cs="Arial"/>
          <w:bCs/>
          <w:sz w:val="20"/>
          <w:szCs w:val="20"/>
        </w:rPr>
      </w:pPr>
      <w:r w:rsidRPr="00215B2F">
        <w:rPr>
          <w:rFonts w:eastAsia="Arial" w:cs="Arial"/>
          <w:sz w:val="20"/>
          <w:szCs w:val="20"/>
        </w:rPr>
        <w:t>utemeljitev za določitev stopenj blažilnika sistemskih tveganj;</w:t>
      </w:r>
    </w:p>
    <w:p w14:paraId="1B23E197" w14:textId="77777777" w:rsidR="00EA58C4" w:rsidRPr="00215B2F" w:rsidRDefault="00D91782" w:rsidP="003D4DE0">
      <w:pPr>
        <w:pStyle w:val="tevilnatoka"/>
        <w:numPr>
          <w:ilvl w:val="0"/>
          <w:numId w:val="199"/>
        </w:numPr>
        <w:shd w:val="clear" w:color="auto" w:fill="FFFFFF" w:themeFill="background1"/>
        <w:tabs>
          <w:tab w:val="clear" w:pos="425"/>
        </w:tabs>
        <w:rPr>
          <w:rFonts w:cs="Arial"/>
          <w:bCs/>
          <w:sz w:val="20"/>
          <w:szCs w:val="20"/>
        </w:rPr>
      </w:pPr>
      <w:r w:rsidRPr="00215B2F">
        <w:rPr>
          <w:rFonts w:eastAsia="Arial" w:cs="Arial"/>
          <w:sz w:val="20"/>
          <w:szCs w:val="20"/>
        </w:rPr>
        <w:t>datum, od katerega morajo banke vzdrževati blažilnik sistemskih tveganj;</w:t>
      </w:r>
    </w:p>
    <w:p w14:paraId="3445CD85" w14:textId="0D734B7E" w:rsidR="00D91782" w:rsidRPr="00215B2F" w:rsidRDefault="00D91782" w:rsidP="003D4DE0">
      <w:pPr>
        <w:pStyle w:val="tevilnatoka"/>
        <w:numPr>
          <w:ilvl w:val="0"/>
          <w:numId w:val="199"/>
        </w:numPr>
        <w:shd w:val="clear" w:color="auto" w:fill="FFFFFF" w:themeFill="background1"/>
        <w:tabs>
          <w:tab w:val="clear" w:pos="425"/>
        </w:tabs>
        <w:rPr>
          <w:rFonts w:cs="Arial"/>
          <w:bCs/>
          <w:sz w:val="20"/>
          <w:szCs w:val="20"/>
        </w:rPr>
      </w:pPr>
      <w:r w:rsidRPr="00215B2F">
        <w:rPr>
          <w:rFonts w:eastAsia="Arial" w:cs="Arial"/>
          <w:sz w:val="20"/>
          <w:szCs w:val="20"/>
        </w:rPr>
        <w:t>imena držav, če so izpostavljenosti v teh državah upoštevane v blažilniku sistemskih tveganj.</w:t>
      </w:r>
    </w:p>
    <w:p w14:paraId="6497D973"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74EA25BB" w14:textId="66FA60C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Če bi objava iz 4. točke prejšnjega odstavka lahko ogrozila stabilnost finančnega sistema, Banka Slovenije teh </w:t>
      </w:r>
      <w:r w:rsidR="00381107" w:rsidRPr="00215B2F">
        <w:rPr>
          <w:rFonts w:ascii="Arial" w:eastAsia="Arial" w:hAnsi="Arial" w:cs="Arial"/>
          <w:sz w:val="20"/>
          <w:szCs w:val="20"/>
        </w:rPr>
        <w:t>podatkov</w:t>
      </w:r>
      <w:r w:rsidRPr="00215B2F">
        <w:rPr>
          <w:rFonts w:ascii="Arial" w:eastAsia="Arial" w:hAnsi="Arial" w:cs="Arial"/>
          <w:sz w:val="20"/>
          <w:szCs w:val="20"/>
        </w:rPr>
        <w:t xml:space="preserve"> ne vključi v objavo.</w:t>
      </w:r>
    </w:p>
    <w:p w14:paraId="7577B96A"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5B65C89" w14:textId="4087CCD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na svoji spletni strani objavi tudi odločitve o odpravi katere koli </w:t>
      </w:r>
      <w:r w:rsidR="00381107" w:rsidRPr="00215B2F">
        <w:rPr>
          <w:rFonts w:ascii="Arial" w:eastAsia="Arial" w:hAnsi="Arial" w:cs="Arial"/>
          <w:sz w:val="20"/>
          <w:szCs w:val="20"/>
        </w:rPr>
        <w:t>o</w:t>
      </w:r>
      <w:r w:rsidRPr="00215B2F">
        <w:rPr>
          <w:rFonts w:ascii="Arial" w:eastAsia="Arial" w:hAnsi="Arial" w:cs="Arial"/>
          <w:sz w:val="20"/>
          <w:szCs w:val="20"/>
        </w:rPr>
        <w:t xml:space="preserve">d stopenj blažilnika sistemskih tveganj, pri čemer smiselno upošteva </w:t>
      </w:r>
      <w:r w:rsidR="00381107" w:rsidRPr="00215B2F">
        <w:rPr>
          <w:rFonts w:ascii="Arial" w:eastAsia="Arial" w:hAnsi="Arial" w:cs="Arial"/>
          <w:sz w:val="20"/>
          <w:szCs w:val="20"/>
        </w:rPr>
        <w:t>podatk</w:t>
      </w:r>
      <w:r w:rsidRPr="00215B2F">
        <w:rPr>
          <w:rFonts w:ascii="Arial" w:eastAsia="Arial" w:hAnsi="Arial" w:cs="Arial"/>
          <w:sz w:val="20"/>
          <w:szCs w:val="20"/>
        </w:rPr>
        <w:t xml:space="preserve">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5008D94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E85172A"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49" w:name="_Ref202965705"/>
      <w:r w:rsidRPr="00215B2F">
        <w:rPr>
          <w:rFonts w:ascii="Arial" w:eastAsia="Arial" w:hAnsi="Arial" w:cs="Arial"/>
          <w:b/>
          <w:bCs/>
          <w:sz w:val="20"/>
          <w:szCs w:val="20"/>
        </w:rPr>
        <w:t>člen</w:t>
      </w:r>
      <w:bookmarkEnd w:id="349"/>
    </w:p>
    <w:p w14:paraId="110FFF5B" w14:textId="77777777" w:rsidR="00D91782" w:rsidRPr="00215B2F" w:rsidRDefault="00D91782" w:rsidP="00FD5520">
      <w:pPr>
        <w:pStyle w:val="Slog1"/>
        <w:shd w:val="clear" w:color="auto" w:fill="FFFFFF" w:themeFill="background1"/>
        <w:rPr>
          <w:sz w:val="20"/>
          <w:szCs w:val="20"/>
        </w:rPr>
      </w:pPr>
      <w:r w:rsidRPr="00215B2F">
        <w:rPr>
          <w:sz w:val="20"/>
          <w:szCs w:val="20"/>
        </w:rPr>
        <w:t>(priznavanje stopnje blažilnika sistemskih tveganj)</w:t>
      </w:r>
    </w:p>
    <w:p w14:paraId="2DC40C7E" w14:textId="77777777" w:rsidR="00D91782" w:rsidRPr="00215B2F" w:rsidRDefault="00D91782" w:rsidP="00FD5520">
      <w:pPr>
        <w:pStyle w:val="Slog1"/>
        <w:shd w:val="clear" w:color="auto" w:fill="FFFFFF" w:themeFill="background1"/>
        <w:jc w:val="both"/>
        <w:rPr>
          <w:sz w:val="20"/>
          <w:szCs w:val="20"/>
        </w:rPr>
      </w:pPr>
    </w:p>
    <w:p w14:paraId="55200DB9" w14:textId="1490186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350" w:name="_Hlk203569322"/>
      <w:r w:rsidRPr="00215B2F">
        <w:rPr>
          <w:rFonts w:ascii="Arial" w:eastAsia="Arial" w:hAnsi="Arial" w:cs="Arial"/>
          <w:sz w:val="20"/>
          <w:szCs w:val="20"/>
        </w:rPr>
        <w:t xml:space="preserve">(1) Banka Slovenije lahko prizna stopnje blažilnika sistemskih tveganj, ki jih določijo imenovani organi drugih držav članic, in so določene v skladu s </w:t>
      </w:r>
      <w:r w:rsidR="00224E25" w:rsidRPr="00215B2F">
        <w:rPr>
          <w:rFonts w:ascii="Arial" w:eastAsia="Arial" w:hAnsi="Arial" w:cs="Arial"/>
          <w:sz w:val="20"/>
          <w:szCs w:val="20"/>
        </w:rPr>
        <w:t xml:space="preserve">tem </w:t>
      </w:r>
      <w:r w:rsidRPr="00215B2F">
        <w:rPr>
          <w:rFonts w:ascii="Arial" w:eastAsia="Arial" w:hAnsi="Arial" w:cs="Arial"/>
          <w:sz w:val="20"/>
          <w:szCs w:val="20"/>
        </w:rPr>
        <w:t>pod</w:t>
      </w:r>
      <w:r w:rsidR="005B0CC7" w:rsidRPr="00215B2F">
        <w:rPr>
          <w:rFonts w:ascii="Arial" w:eastAsia="Arial" w:hAnsi="Arial" w:cs="Arial"/>
          <w:sz w:val="20"/>
          <w:szCs w:val="20"/>
        </w:rPr>
        <w:t>o</w:t>
      </w:r>
      <w:r w:rsidR="001F2C7A" w:rsidRPr="00215B2F">
        <w:rPr>
          <w:rFonts w:ascii="Arial" w:eastAsia="Arial" w:hAnsi="Arial" w:cs="Arial"/>
          <w:sz w:val="20"/>
          <w:szCs w:val="20"/>
        </w:rPr>
        <w:t>ddelkom</w:t>
      </w:r>
      <w:r w:rsidR="00381107" w:rsidRPr="00215B2F">
        <w:rPr>
          <w:rFonts w:ascii="Arial" w:eastAsia="Arial" w:hAnsi="Arial" w:cs="Arial"/>
          <w:sz w:val="20"/>
          <w:szCs w:val="20"/>
        </w:rPr>
        <w:t>, ter</w:t>
      </w:r>
      <w:r w:rsidRPr="00215B2F">
        <w:rPr>
          <w:rFonts w:ascii="Arial" w:eastAsia="Arial" w:hAnsi="Arial" w:cs="Arial"/>
          <w:sz w:val="20"/>
          <w:szCs w:val="20"/>
        </w:rPr>
        <w:t xml:space="preserve"> lahko te stopnje blažilnika uporablja za banke z izpostavljenostmi v teh državah članicah, ki so uvedle te stopnje blažilnika.</w:t>
      </w:r>
    </w:p>
    <w:p w14:paraId="011515E1"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49BB44C7" w14:textId="479382F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Če Banka Slovenije prizna stopnjo blažilnika sistemskih tveganj, ki jo določi imenovani organ druge države članice, o tem obvesti Evropski odbor za sistemska tveganja. Odločitev o priznanju in uporabi stopnje blažilnika sistemskih tveganj, ki ga je določil imenovani organ druge države članice, Banka Slovenije objavi na svoji spletni strani.</w:t>
      </w:r>
    </w:p>
    <w:p w14:paraId="0CE851B7"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304A6694" w14:textId="4DDCC84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Pri odločitvi o priznanju in uporabi stopnje blažilnika sistemskih tveganj, ki ga je določil imenovani organ druge države članice, Banka Slovenije upošteva informacije, ki jih je država članica, ki je določila stopnjo blažilnika, predložila v skladu z devetim in trinajstim odstavkom 133. člena Direktive 2013/36/EU</w:t>
      </w:r>
      <w:r w:rsidR="0059639B" w:rsidRPr="00215B2F">
        <w:rPr>
          <w:rFonts w:ascii="Arial" w:eastAsia="Arial" w:hAnsi="Arial" w:cs="Arial"/>
          <w:sz w:val="20"/>
          <w:szCs w:val="20"/>
        </w:rPr>
        <w:t xml:space="preserve"> </w:t>
      </w:r>
      <w:r w:rsidR="00492A05" w:rsidRPr="00215B2F">
        <w:rPr>
          <w:rFonts w:ascii="Arial" w:eastAsia="Arial" w:hAnsi="Arial" w:cs="Arial"/>
          <w:sz w:val="20"/>
          <w:szCs w:val="20"/>
        </w:rPr>
        <w:t xml:space="preserve">ter </w:t>
      </w:r>
      <w:r w:rsidRPr="00215B2F">
        <w:rPr>
          <w:rFonts w:ascii="Arial" w:eastAsia="Arial" w:hAnsi="Arial" w:cs="Arial"/>
          <w:sz w:val="20"/>
          <w:szCs w:val="20"/>
        </w:rPr>
        <w:t>jih javno objavila na spletni strani.</w:t>
      </w:r>
    </w:p>
    <w:p w14:paraId="6BC39770"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314DFEE7" w14:textId="5612105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Če Banka Slovenije v skladu s prvim odstavkom tega člena prizna stopnjo blažilnika sistemskih tveganj, ki jo določi imenovani organ druge države članice, se lahko ta blažilnik sistemskega tveganja prišteje k blažilniku sistemskega tveganja, ki se uporablja v skladu z </w:t>
      </w:r>
      <w:r w:rsidR="005A78EE" w:rsidRPr="00215B2F">
        <w:rPr>
          <w:rFonts w:ascii="Arial" w:eastAsia="Arial" w:hAnsi="Arial" w:cs="Arial"/>
          <w:sz w:val="20"/>
          <w:szCs w:val="20"/>
        </w:rPr>
        <w:t>288</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pod pogojem, da blažilnika obravnavata različna tveganja. Če blažilnika obravnavata ista tveganja, se uporabi samo višji blažilnik</w:t>
      </w:r>
      <w:bookmarkEnd w:id="350"/>
      <w:r w:rsidRPr="00215B2F">
        <w:rPr>
          <w:rFonts w:ascii="Arial" w:eastAsia="Arial" w:hAnsi="Arial" w:cs="Arial"/>
          <w:sz w:val="20"/>
          <w:szCs w:val="20"/>
        </w:rPr>
        <w:t>.</w:t>
      </w:r>
    </w:p>
    <w:p w14:paraId="1838B42B"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2649DB4" w14:textId="0CB8684A"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7.3 KOMBINIRANA UPORABA BLAŽILNIKOV ZA GSPB IN DSPB TER BLAŽILNIKA SISTEMSKIH TVEGANJ</w:t>
      </w:r>
    </w:p>
    <w:p w14:paraId="7902D230"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BC0E541" w14:textId="77777777" w:rsidR="00707327" w:rsidRPr="00215B2F" w:rsidRDefault="00707327"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51" w:name="_Ref202965719"/>
      <w:r w:rsidRPr="00215B2F">
        <w:rPr>
          <w:rFonts w:ascii="Arial" w:eastAsia="Arial" w:hAnsi="Arial" w:cs="Arial"/>
          <w:b/>
          <w:bCs/>
          <w:sz w:val="20"/>
          <w:szCs w:val="20"/>
        </w:rPr>
        <w:t>člen</w:t>
      </w:r>
      <w:bookmarkEnd w:id="351"/>
    </w:p>
    <w:p w14:paraId="33D498DA"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(zahteve v zvezi z uporabo blažilnikov za GSPB in DSPB ter blažilnika sistemskih tveganj)</w:t>
      </w:r>
    </w:p>
    <w:p w14:paraId="7DF8A5A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6F7FC4A" w14:textId="02E2D64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Če za banko velja blažilnik sistemskih tveganj, določen v skladu s pod</w:t>
      </w:r>
      <w:r w:rsidR="005B0CC7" w:rsidRPr="00215B2F">
        <w:rPr>
          <w:rFonts w:ascii="Arial" w:eastAsia="Arial" w:hAnsi="Arial" w:cs="Arial"/>
          <w:sz w:val="20"/>
          <w:szCs w:val="20"/>
        </w:rPr>
        <w:t>o</w:t>
      </w:r>
      <w:r w:rsidR="001F2C7A" w:rsidRPr="00215B2F">
        <w:rPr>
          <w:rFonts w:ascii="Arial" w:eastAsia="Arial" w:hAnsi="Arial" w:cs="Arial"/>
          <w:sz w:val="20"/>
          <w:szCs w:val="20"/>
        </w:rPr>
        <w:t>ddelkom</w:t>
      </w:r>
      <w:r w:rsidRPr="00215B2F">
        <w:rPr>
          <w:rFonts w:ascii="Arial" w:eastAsia="Arial" w:hAnsi="Arial" w:cs="Arial"/>
          <w:sz w:val="20"/>
          <w:szCs w:val="20"/>
        </w:rPr>
        <w:t xml:space="preserve"> 7.2.4 tega zakona, se prišteje blažilniku za GSPB ali blažilniku za DSPB, kot sta določena v pododdelku 7.2.3 tega zakona.</w:t>
      </w:r>
    </w:p>
    <w:p w14:paraId="3296903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hAnsi="Arial" w:cs="Arial"/>
          <w:i/>
          <w:iCs/>
          <w:sz w:val="20"/>
          <w:szCs w:val="20"/>
        </w:rPr>
        <w:t xml:space="preserve"> </w:t>
      </w:r>
    </w:p>
    <w:p w14:paraId="5526F541" w14:textId="3713A3E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Kadar je vsota stopnje blažilnika sistemskih tveganj, kot se izračuna za namen</w:t>
      </w:r>
      <w:r w:rsidR="005D224E" w:rsidRPr="00215B2F">
        <w:rPr>
          <w:rFonts w:ascii="Arial" w:eastAsia="Arial" w:hAnsi="Arial" w:cs="Arial"/>
          <w:sz w:val="20"/>
          <w:szCs w:val="20"/>
        </w:rPr>
        <w:t>e</w:t>
      </w:r>
      <w:r w:rsidRPr="00215B2F">
        <w:rPr>
          <w:rFonts w:ascii="Arial" w:eastAsia="Arial" w:hAnsi="Arial" w:cs="Arial"/>
          <w:sz w:val="20"/>
          <w:szCs w:val="20"/>
        </w:rPr>
        <w:t xml:space="preserve"> četrtega, petega ali sedmega odstavka </w:t>
      </w:r>
      <w:r w:rsidR="005A78EE" w:rsidRPr="00215B2F">
        <w:rPr>
          <w:rFonts w:ascii="Arial" w:eastAsia="Arial" w:hAnsi="Arial" w:cs="Arial"/>
          <w:sz w:val="20"/>
          <w:szCs w:val="20"/>
        </w:rPr>
        <w:t>291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stopnje blažilnika za GSPB oziroma DSPB višja od </w:t>
      </w:r>
      <w:r w:rsidR="006302F6" w:rsidRPr="00215B2F">
        <w:rPr>
          <w:rFonts w:ascii="Arial" w:eastAsia="Arial" w:hAnsi="Arial" w:cs="Arial"/>
          <w:sz w:val="20"/>
          <w:szCs w:val="20"/>
        </w:rPr>
        <w:t>petih</w:t>
      </w:r>
      <w:r w:rsidR="00492A05" w:rsidRPr="00215B2F">
        <w:rPr>
          <w:rFonts w:ascii="Arial" w:eastAsia="Arial" w:hAnsi="Arial" w:cs="Arial"/>
          <w:sz w:val="20"/>
          <w:szCs w:val="20"/>
        </w:rPr>
        <w:t> </w:t>
      </w:r>
      <w:r w:rsidRPr="00215B2F">
        <w:rPr>
          <w:rFonts w:ascii="Arial" w:eastAsia="Arial" w:hAnsi="Arial" w:cs="Arial"/>
          <w:sz w:val="20"/>
          <w:szCs w:val="20"/>
        </w:rPr>
        <w:t xml:space="preserve">odstotkov, je treba predhodno pridobiti pooblastilo Komisije iz tretjega odstavka </w:t>
      </w:r>
      <w:r w:rsidR="005A78EE" w:rsidRPr="00215B2F">
        <w:rPr>
          <w:rFonts w:ascii="Arial" w:eastAsia="Arial" w:hAnsi="Arial" w:cs="Arial"/>
          <w:sz w:val="20"/>
          <w:szCs w:val="20"/>
        </w:rPr>
        <w:t>286</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Za ta namen Banka Slovenije tri mesece pred objavo odločitve predloži obvestilo Evropskemu odboru za sistemska tveganja.</w:t>
      </w:r>
    </w:p>
    <w:p w14:paraId="529B9AB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68AA7EF" w14:textId="35F2FD2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Kadar odločitev o določitvi blažilnika sistemskih tveganj, blažilnika za DSPB ali blažilnika za GSPB privede do znižanja predhodno določene stopnje ali se le-ta ne spremeni, se postopek iz prejšnjega odstavka ne uporablja. </w:t>
      </w:r>
    </w:p>
    <w:p w14:paraId="00594CA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CDF3BF2" w14:textId="0784BAA1"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7.4 UKREPI ZA OHRANITEV KAPITALA</w:t>
      </w:r>
    </w:p>
    <w:p w14:paraId="1B0BAE7A"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2A312E0D" w14:textId="09F86BD0"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lastRenderedPageBreak/>
        <w:t>7.4.1 Zahteva po skupnem blažilniku</w:t>
      </w:r>
    </w:p>
    <w:p w14:paraId="3BC07740"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1AB938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52" w:name="_Ref202965729"/>
      <w:r w:rsidRPr="00215B2F">
        <w:rPr>
          <w:rFonts w:ascii="Arial" w:eastAsia="Arial" w:hAnsi="Arial" w:cs="Arial"/>
          <w:b/>
          <w:bCs/>
          <w:sz w:val="20"/>
          <w:szCs w:val="20"/>
        </w:rPr>
        <w:t>člen</w:t>
      </w:r>
      <w:bookmarkEnd w:id="352"/>
    </w:p>
    <w:p w14:paraId="519CF9CB" w14:textId="77777777" w:rsidR="00D91782" w:rsidRPr="00215B2F" w:rsidRDefault="00D91782" w:rsidP="00FD5520">
      <w:pPr>
        <w:pStyle w:val="Slog1"/>
        <w:shd w:val="clear" w:color="auto" w:fill="FFFFFF" w:themeFill="background1"/>
        <w:rPr>
          <w:sz w:val="20"/>
          <w:szCs w:val="20"/>
        </w:rPr>
      </w:pPr>
      <w:r w:rsidRPr="00215B2F">
        <w:rPr>
          <w:sz w:val="20"/>
          <w:szCs w:val="20"/>
        </w:rPr>
        <w:t>(zahteva po skupnem blažilniku)</w:t>
      </w:r>
    </w:p>
    <w:p w14:paraId="0E27CD8C" w14:textId="77777777" w:rsidR="00D91782" w:rsidRPr="00215B2F" w:rsidRDefault="00D91782" w:rsidP="00FD5520">
      <w:pPr>
        <w:pStyle w:val="Slog1"/>
        <w:shd w:val="clear" w:color="auto" w:fill="FFFFFF" w:themeFill="background1"/>
        <w:jc w:val="both"/>
        <w:rPr>
          <w:sz w:val="20"/>
          <w:szCs w:val="20"/>
        </w:rPr>
      </w:pPr>
    </w:p>
    <w:p w14:paraId="28051D72" w14:textId="19B957C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mora stalno izpolnjevati zahtevo po skupnem blažilniku z navadnim lastniškim temeljnim kapitalom. Če te zahteve ne izpolnjuje v celoti, zanjo veljajo omejitve razdelitev iz </w:t>
      </w:r>
      <w:r w:rsidR="005A78EE" w:rsidRPr="00215B2F">
        <w:rPr>
          <w:rFonts w:ascii="Arial" w:eastAsia="Arial" w:hAnsi="Arial" w:cs="Arial"/>
          <w:sz w:val="20"/>
          <w:szCs w:val="20"/>
        </w:rPr>
        <w:t>296</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713BB92E"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74770FC" w14:textId="285C1FC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navadnega lastniškega temeljnega kapitala, ki ga vzdržuje za izpolnjevanje enega od elementov zahteve po skupnem blažilniku, ne sme uporabiti za izpolnjevanje drugih ustreznih elementov zahteve po skupnem blažilniku.</w:t>
      </w:r>
    </w:p>
    <w:p w14:paraId="07141451"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3AC653D5" w14:textId="31C5A58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navadnega lastniškega temeljnega kapitala, ki ga vzdržuje za izpolnjevanje zahteve po skupnem blažilniku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ne sme uporabiti za izpolnjevanje:</w:t>
      </w:r>
    </w:p>
    <w:p w14:paraId="1ECFD58C"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22C37CAA" w14:textId="77777777" w:rsidR="00EA58C4" w:rsidRPr="00215B2F" w:rsidRDefault="00D91782" w:rsidP="003D4DE0">
      <w:pPr>
        <w:pStyle w:val="tevilnatoka"/>
        <w:numPr>
          <w:ilvl w:val="0"/>
          <w:numId w:val="200"/>
        </w:numPr>
        <w:shd w:val="clear" w:color="auto" w:fill="FFFFFF" w:themeFill="background1"/>
        <w:tabs>
          <w:tab w:val="clear" w:pos="425"/>
        </w:tabs>
        <w:rPr>
          <w:rFonts w:eastAsiaTheme="minorHAnsi" w:cs="Arial"/>
          <w:bCs/>
          <w:sz w:val="20"/>
          <w:szCs w:val="20"/>
        </w:rPr>
      </w:pPr>
      <w:r w:rsidRPr="00215B2F">
        <w:rPr>
          <w:rFonts w:eastAsia="Arial" w:cs="Arial"/>
          <w:sz w:val="20"/>
          <w:szCs w:val="20"/>
        </w:rPr>
        <w:t>zahtev iz točk (a), (b) in (c) prvega odstavka 92. člena Uredbe 575/2013/EU;</w:t>
      </w:r>
    </w:p>
    <w:p w14:paraId="7E077412" w14:textId="1B84D786" w:rsidR="00EA58C4" w:rsidRPr="00215B2F" w:rsidRDefault="00D91782" w:rsidP="003D4DE0">
      <w:pPr>
        <w:pStyle w:val="tevilnatoka"/>
        <w:numPr>
          <w:ilvl w:val="0"/>
          <w:numId w:val="200"/>
        </w:numPr>
        <w:shd w:val="clear" w:color="auto" w:fill="FFFFFF" w:themeFill="background1"/>
        <w:tabs>
          <w:tab w:val="clear" w:pos="425"/>
        </w:tabs>
        <w:rPr>
          <w:rFonts w:eastAsiaTheme="minorHAnsi" w:cs="Arial"/>
          <w:bCs/>
          <w:sz w:val="20"/>
          <w:szCs w:val="20"/>
        </w:rPr>
      </w:pPr>
      <w:r w:rsidRPr="00215B2F">
        <w:rPr>
          <w:rFonts w:eastAsia="Arial" w:cs="Arial"/>
          <w:sz w:val="20"/>
          <w:szCs w:val="20"/>
        </w:rPr>
        <w:t xml:space="preserve">dodatne kapitalske zahteve na podlagi </w:t>
      </w:r>
      <w:r w:rsidR="005A78EE" w:rsidRPr="00215B2F">
        <w:rPr>
          <w:rFonts w:eastAsia="Arial" w:cs="Arial"/>
          <w:sz w:val="20"/>
          <w:szCs w:val="20"/>
        </w:rPr>
        <w:t>238</w:t>
      </w:r>
      <w:r w:rsidRPr="00215B2F">
        <w:rPr>
          <w:rFonts w:eastAsia="Arial" w:cs="Arial"/>
          <w:sz w:val="20"/>
          <w:szCs w:val="20"/>
        </w:rPr>
        <w:t xml:space="preserve">. člena ali 1. točke drugega odstavka </w:t>
      </w:r>
      <w:r w:rsidR="005A78EE" w:rsidRPr="00215B2F">
        <w:rPr>
          <w:rFonts w:eastAsia="Arial" w:cs="Arial"/>
          <w:sz w:val="20"/>
          <w:szCs w:val="20"/>
        </w:rPr>
        <w:t>345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ki se nanaša na tveganja, ki niso tveganja prevelikega finančnega vzvoda;</w:t>
      </w:r>
    </w:p>
    <w:p w14:paraId="27825F0F" w14:textId="524CFA88" w:rsidR="00EA58C4" w:rsidRPr="00215B2F" w:rsidRDefault="00D91782" w:rsidP="003D4DE0">
      <w:pPr>
        <w:pStyle w:val="tevilnatoka"/>
        <w:numPr>
          <w:ilvl w:val="0"/>
          <w:numId w:val="200"/>
        </w:numPr>
        <w:shd w:val="clear" w:color="auto" w:fill="FFFFFF" w:themeFill="background1"/>
        <w:tabs>
          <w:tab w:val="clear" w:pos="425"/>
        </w:tabs>
        <w:rPr>
          <w:rFonts w:eastAsiaTheme="minorHAnsi" w:cs="Arial"/>
          <w:bCs/>
          <w:sz w:val="20"/>
          <w:szCs w:val="20"/>
        </w:rPr>
      </w:pPr>
      <w:r w:rsidRPr="00215B2F">
        <w:rPr>
          <w:rFonts w:eastAsia="Arial" w:cs="Arial"/>
          <w:sz w:val="20"/>
          <w:szCs w:val="20"/>
        </w:rPr>
        <w:t xml:space="preserve">zahteve glede zagotavljanja ustreznega notranjega kapitala v skladu s </w:t>
      </w:r>
      <w:r w:rsidR="005A78EE" w:rsidRPr="00215B2F">
        <w:rPr>
          <w:rFonts w:eastAsia="Arial" w:cs="Arial"/>
          <w:sz w:val="20"/>
          <w:szCs w:val="20"/>
        </w:rPr>
        <w:t>180</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 ki se nanaša na tveganja, ki niso tveganja prevelikega finančnega vzvoda;</w:t>
      </w:r>
    </w:p>
    <w:p w14:paraId="04A9E021" w14:textId="1A75B7EB" w:rsidR="00EA58C4" w:rsidRPr="00215B2F" w:rsidRDefault="00D91782" w:rsidP="003D4DE0">
      <w:pPr>
        <w:pStyle w:val="tevilnatoka"/>
        <w:numPr>
          <w:ilvl w:val="0"/>
          <w:numId w:val="200"/>
        </w:numPr>
        <w:shd w:val="clear" w:color="auto" w:fill="FFFFFF" w:themeFill="background1"/>
        <w:tabs>
          <w:tab w:val="clear" w:pos="425"/>
        </w:tabs>
        <w:rPr>
          <w:rFonts w:eastAsiaTheme="minorHAnsi" w:cs="Arial"/>
          <w:bCs/>
          <w:sz w:val="20"/>
          <w:szCs w:val="20"/>
        </w:rPr>
      </w:pPr>
      <w:r w:rsidRPr="00215B2F">
        <w:rPr>
          <w:rFonts w:eastAsia="Arial" w:cs="Arial"/>
          <w:sz w:val="20"/>
          <w:szCs w:val="20"/>
        </w:rPr>
        <w:t xml:space="preserve">napotka, sporočenega v skladu z </w:t>
      </w:r>
      <w:r w:rsidR="005A78EE" w:rsidRPr="00215B2F">
        <w:rPr>
          <w:rFonts w:eastAsia="Arial" w:cs="Arial"/>
          <w:sz w:val="20"/>
          <w:szCs w:val="20"/>
        </w:rPr>
        <w:t>240</w:t>
      </w:r>
      <w:r w:rsidRPr="00215B2F">
        <w:rPr>
          <w:rFonts w:eastAsia="Arial" w:cs="Arial"/>
          <w:sz w:val="20"/>
          <w:szCs w:val="20"/>
        </w:rPr>
        <w:t xml:space="preserve">. </w:t>
      </w:r>
      <w:r w:rsidR="001F2C7A" w:rsidRPr="00215B2F">
        <w:rPr>
          <w:rFonts w:eastAsia="Arial" w:cs="Arial"/>
          <w:sz w:val="20"/>
          <w:szCs w:val="20"/>
        </w:rPr>
        <w:t>členom tega zakona</w:t>
      </w:r>
      <w:r w:rsidR="00C20C9A" w:rsidRPr="00215B2F">
        <w:rPr>
          <w:rFonts w:eastAsia="Arial" w:cs="Arial"/>
          <w:sz w:val="20"/>
          <w:szCs w:val="20"/>
        </w:rPr>
        <w:t>,</w:t>
      </w:r>
      <w:r w:rsidRPr="00215B2F">
        <w:rPr>
          <w:rFonts w:eastAsia="Arial" w:cs="Arial"/>
          <w:sz w:val="20"/>
          <w:szCs w:val="20"/>
        </w:rPr>
        <w:t xml:space="preserve"> za obravnavanje tveganj, ki niso tveganje prevelikega finančnega vzvoda;</w:t>
      </w:r>
    </w:p>
    <w:p w14:paraId="766AC7AF" w14:textId="4F6C7D7D" w:rsidR="00D91782" w:rsidRPr="00215B2F" w:rsidRDefault="00D91782" w:rsidP="003D4DE0">
      <w:pPr>
        <w:pStyle w:val="tevilnatoka"/>
        <w:numPr>
          <w:ilvl w:val="0"/>
          <w:numId w:val="200"/>
        </w:numPr>
        <w:shd w:val="clear" w:color="auto" w:fill="FFFFFF" w:themeFill="background1"/>
        <w:tabs>
          <w:tab w:val="clear" w:pos="425"/>
        </w:tabs>
        <w:rPr>
          <w:rFonts w:eastAsiaTheme="minorHAnsi" w:cs="Arial"/>
          <w:bCs/>
          <w:sz w:val="20"/>
          <w:szCs w:val="20"/>
        </w:rPr>
      </w:pPr>
      <w:r w:rsidRPr="00215B2F">
        <w:rPr>
          <w:rFonts w:eastAsia="Arial" w:cs="Arial"/>
          <w:sz w:val="20"/>
          <w:szCs w:val="20"/>
        </w:rPr>
        <w:t xml:space="preserve">komponent, ki temeljijo na tveganjih in so določene v 92.a in 92.b členu Uredbe 575/2013/EU ter pri določitvi minimalne zahteve glede kapitala in kvalificiranih obveznosti, ki je določena v skladu z </w:t>
      </w:r>
      <w:r w:rsidR="00BB1B7B" w:rsidRPr="00215B2F">
        <w:rPr>
          <w:rFonts w:eastAsia="Arial" w:cs="Arial"/>
          <w:sz w:val="20"/>
          <w:szCs w:val="20"/>
        </w:rPr>
        <w:t>ZRPPB-1</w:t>
      </w:r>
      <w:r w:rsidRPr="00215B2F">
        <w:rPr>
          <w:rFonts w:eastAsia="Arial" w:cs="Arial"/>
          <w:sz w:val="20"/>
          <w:szCs w:val="20"/>
        </w:rPr>
        <w:t>.</w:t>
      </w:r>
    </w:p>
    <w:p w14:paraId="3B911EB2"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797B7410" w14:textId="3785A13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Šteje se, da banka ne izpolnjuje zahteve po skupnem blažilniku, kadar nima kapitala v zadostnem obsegu in kakovosti, da bi hkrati izpolnila vs</w:t>
      </w:r>
      <w:r w:rsidR="00C20C9A" w:rsidRPr="00215B2F">
        <w:rPr>
          <w:rFonts w:ascii="Arial" w:eastAsia="Arial" w:hAnsi="Arial" w:cs="Arial"/>
          <w:sz w:val="20"/>
          <w:szCs w:val="20"/>
        </w:rPr>
        <w:t>e</w:t>
      </w:r>
      <w:r w:rsidRPr="00215B2F">
        <w:rPr>
          <w:rFonts w:ascii="Arial" w:eastAsia="Arial" w:hAnsi="Arial" w:cs="Arial"/>
          <w:sz w:val="20"/>
          <w:szCs w:val="20"/>
        </w:rPr>
        <w:t xml:space="preserve"> naslednj</w:t>
      </w:r>
      <w:r w:rsidR="00C20C9A" w:rsidRPr="00215B2F">
        <w:rPr>
          <w:rFonts w:ascii="Arial" w:eastAsia="Arial" w:hAnsi="Arial" w:cs="Arial"/>
          <w:sz w:val="20"/>
          <w:szCs w:val="20"/>
        </w:rPr>
        <w:t>e</w:t>
      </w:r>
      <w:r w:rsidRPr="00215B2F">
        <w:rPr>
          <w:rFonts w:ascii="Arial" w:eastAsia="Arial" w:hAnsi="Arial" w:cs="Arial"/>
          <w:sz w:val="20"/>
          <w:szCs w:val="20"/>
        </w:rPr>
        <w:t xml:space="preserve"> zahtev</w:t>
      </w:r>
      <w:r w:rsidR="00C20C9A" w:rsidRPr="00215B2F">
        <w:rPr>
          <w:rFonts w:ascii="Arial" w:eastAsia="Arial" w:hAnsi="Arial" w:cs="Arial"/>
          <w:sz w:val="20"/>
          <w:szCs w:val="20"/>
        </w:rPr>
        <w:t>e</w:t>
      </w:r>
      <w:r w:rsidRPr="00215B2F">
        <w:rPr>
          <w:rFonts w:ascii="Arial" w:eastAsia="Arial" w:hAnsi="Arial" w:cs="Arial"/>
          <w:sz w:val="20"/>
          <w:szCs w:val="20"/>
        </w:rPr>
        <w:t>:</w:t>
      </w:r>
    </w:p>
    <w:p w14:paraId="3CFEEFF4"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401197D4" w14:textId="77777777" w:rsidR="00EA58C4" w:rsidRPr="00215B2F" w:rsidRDefault="00D91782" w:rsidP="003D4DE0">
      <w:pPr>
        <w:pStyle w:val="tevilnatoka"/>
        <w:numPr>
          <w:ilvl w:val="0"/>
          <w:numId w:val="201"/>
        </w:numPr>
        <w:shd w:val="clear" w:color="auto" w:fill="FFFFFF" w:themeFill="background1"/>
        <w:tabs>
          <w:tab w:val="clear" w:pos="425"/>
        </w:tabs>
        <w:rPr>
          <w:rFonts w:cs="Arial"/>
          <w:bCs/>
          <w:sz w:val="20"/>
          <w:szCs w:val="20"/>
        </w:rPr>
      </w:pPr>
      <w:r w:rsidRPr="00215B2F">
        <w:rPr>
          <w:rFonts w:eastAsia="Arial" w:cs="Arial"/>
          <w:sz w:val="20"/>
          <w:szCs w:val="20"/>
        </w:rPr>
        <w:t>zahtevo po skupnem blažilniku;</w:t>
      </w:r>
    </w:p>
    <w:p w14:paraId="3CE052CC" w14:textId="77777777" w:rsidR="00EA58C4" w:rsidRPr="00215B2F" w:rsidRDefault="00D91782" w:rsidP="003D4DE0">
      <w:pPr>
        <w:pStyle w:val="tevilnatoka"/>
        <w:numPr>
          <w:ilvl w:val="0"/>
          <w:numId w:val="201"/>
        </w:numPr>
        <w:shd w:val="clear" w:color="auto" w:fill="FFFFFF" w:themeFill="background1"/>
        <w:tabs>
          <w:tab w:val="clear" w:pos="425"/>
        </w:tabs>
        <w:rPr>
          <w:rFonts w:cs="Arial"/>
          <w:bCs/>
          <w:sz w:val="20"/>
          <w:szCs w:val="20"/>
        </w:rPr>
      </w:pPr>
      <w:r w:rsidRPr="00215B2F">
        <w:rPr>
          <w:rFonts w:eastAsia="Arial" w:cs="Arial"/>
          <w:sz w:val="20"/>
          <w:szCs w:val="20"/>
        </w:rPr>
        <w:t>zahteve iz točk (a), (b) in (c) prvega odstavka 92. člena Uredbe 575/2013/EU;</w:t>
      </w:r>
    </w:p>
    <w:p w14:paraId="4DA97208" w14:textId="221EAAB9" w:rsidR="00EA58C4" w:rsidRPr="00215B2F" w:rsidRDefault="00D91782" w:rsidP="003D4DE0">
      <w:pPr>
        <w:pStyle w:val="tevilnatoka"/>
        <w:numPr>
          <w:ilvl w:val="0"/>
          <w:numId w:val="201"/>
        </w:numPr>
        <w:shd w:val="clear" w:color="auto" w:fill="FFFFFF" w:themeFill="background1"/>
        <w:tabs>
          <w:tab w:val="clear" w:pos="425"/>
        </w:tabs>
        <w:rPr>
          <w:rFonts w:cs="Arial"/>
          <w:bCs/>
          <w:sz w:val="20"/>
          <w:szCs w:val="20"/>
        </w:rPr>
      </w:pPr>
      <w:r w:rsidRPr="00215B2F">
        <w:rPr>
          <w:rFonts w:eastAsia="Arial" w:cs="Arial"/>
          <w:sz w:val="20"/>
          <w:szCs w:val="20"/>
        </w:rPr>
        <w:t xml:space="preserve">dodatno kapitalsko zahtevo na podlagi </w:t>
      </w:r>
      <w:r w:rsidR="005A78EE" w:rsidRPr="00215B2F">
        <w:rPr>
          <w:rFonts w:eastAsia="Arial" w:cs="Arial"/>
          <w:sz w:val="20"/>
          <w:szCs w:val="20"/>
        </w:rPr>
        <w:t>238</w:t>
      </w:r>
      <w:r w:rsidRPr="00215B2F">
        <w:rPr>
          <w:rFonts w:eastAsia="Arial" w:cs="Arial"/>
          <w:sz w:val="20"/>
          <w:szCs w:val="20"/>
        </w:rPr>
        <w:t xml:space="preserve">. člena ali 1. točke drugega odstavka </w:t>
      </w:r>
      <w:r w:rsidR="005A78EE" w:rsidRPr="00215B2F">
        <w:rPr>
          <w:rFonts w:eastAsia="Arial" w:cs="Arial"/>
          <w:sz w:val="20"/>
          <w:szCs w:val="20"/>
        </w:rPr>
        <w:t>345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ki se nanaša na tveganja, ki niso tveganja prevelikega finančnega vzvoda;</w:t>
      </w:r>
    </w:p>
    <w:p w14:paraId="4D2294C4" w14:textId="0D88355B" w:rsidR="00D91782" w:rsidRPr="00215B2F" w:rsidRDefault="00D91782" w:rsidP="003D4DE0">
      <w:pPr>
        <w:pStyle w:val="tevilnatoka"/>
        <w:numPr>
          <w:ilvl w:val="0"/>
          <w:numId w:val="201"/>
        </w:numPr>
        <w:shd w:val="clear" w:color="auto" w:fill="FFFFFF" w:themeFill="background1"/>
        <w:tabs>
          <w:tab w:val="clear" w:pos="425"/>
        </w:tabs>
        <w:rPr>
          <w:rFonts w:cs="Arial"/>
          <w:bCs/>
          <w:sz w:val="20"/>
          <w:szCs w:val="20"/>
        </w:rPr>
      </w:pPr>
      <w:r w:rsidRPr="00215B2F">
        <w:rPr>
          <w:rFonts w:eastAsia="Arial" w:cs="Arial"/>
          <w:sz w:val="20"/>
          <w:szCs w:val="20"/>
        </w:rPr>
        <w:t xml:space="preserve">zahtevo glede zagotavljanja ustreznega notranjega kapitala v skladu s </w:t>
      </w:r>
      <w:r w:rsidR="005A78EE" w:rsidRPr="00215B2F">
        <w:rPr>
          <w:rFonts w:eastAsia="Arial" w:cs="Arial"/>
          <w:sz w:val="20"/>
          <w:szCs w:val="20"/>
        </w:rPr>
        <w:t>180</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 ki se nanaša na tveganja, ki niso tveganja prevelikega finančnega vzvoda.</w:t>
      </w:r>
    </w:p>
    <w:p w14:paraId="42B20D4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3B5249B"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53" w:name="_Ref202965737"/>
      <w:r w:rsidRPr="00215B2F">
        <w:rPr>
          <w:rFonts w:ascii="Arial" w:eastAsia="Arial" w:hAnsi="Arial" w:cs="Arial"/>
          <w:b/>
          <w:bCs/>
          <w:sz w:val="20"/>
          <w:szCs w:val="20"/>
        </w:rPr>
        <w:t>člen</w:t>
      </w:r>
      <w:bookmarkEnd w:id="353"/>
    </w:p>
    <w:p w14:paraId="1118C0D2" w14:textId="77777777" w:rsidR="00D91782" w:rsidRPr="00215B2F" w:rsidRDefault="00D91782" w:rsidP="00FD5520">
      <w:pPr>
        <w:pStyle w:val="Slog1"/>
        <w:shd w:val="clear" w:color="auto" w:fill="FFFFFF" w:themeFill="background1"/>
        <w:rPr>
          <w:sz w:val="20"/>
          <w:szCs w:val="20"/>
        </w:rPr>
      </w:pPr>
      <w:r w:rsidRPr="00215B2F">
        <w:rPr>
          <w:sz w:val="20"/>
          <w:szCs w:val="20"/>
        </w:rPr>
        <w:t>(omejitve razdelitev v zvezi z neizpolnjevanjem zahteve po skupnem blažilniku)</w:t>
      </w:r>
    </w:p>
    <w:p w14:paraId="7DA9E0BF" w14:textId="77777777" w:rsidR="00D91782" w:rsidRPr="00215B2F" w:rsidRDefault="00D91782" w:rsidP="00FD5520">
      <w:pPr>
        <w:pStyle w:val="Slog1"/>
        <w:shd w:val="clear" w:color="auto" w:fill="FFFFFF" w:themeFill="background1"/>
        <w:jc w:val="both"/>
        <w:rPr>
          <w:sz w:val="20"/>
          <w:szCs w:val="20"/>
        </w:rPr>
      </w:pPr>
    </w:p>
    <w:p w14:paraId="792002E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ki izpolnjuje zahtevo po skupnem blažilniku, ne izvede izplačil oziroma razdelitev v zvezi z navadnim lastniškim temeljnim kapitalom v obsegu, ki bi zmanjšal njen navadni lastniški temeljni kapital na raven, na kateri zahteva po skupnem blažilniku ne bi bila več izpolnjena.</w:t>
      </w:r>
    </w:p>
    <w:p w14:paraId="7E83BDD5"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C1B8FE9" w14:textId="2E2AAAC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ki ne izpolnjuje zahteve po skupnem blažilniku, mora izračunati </w:t>
      </w:r>
      <w:r w:rsidR="00806C22" w:rsidRPr="00215B2F">
        <w:rPr>
          <w:rFonts w:ascii="Arial" w:eastAsia="Arial" w:hAnsi="Arial" w:cs="Arial"/>
          <w:sz w:val="20"/>
          <w:szCs w:val="20"/>
        </w:rPr>
        <w:t>najvišj</w:t>
      </w:r>
      <w:r w:rsidRPr="00215B2F">
        <w:rPr>
          <w:rFonts w:ascii="Arial" w:eastAsia="Arial" w:hAnsi="Arial" w:cs="Arial"/>
          <w:sz w:val="20"/>
          <w:szCs w:val="20"/>
        </w:rPr>
        <w:t xml:space="preserve">i znesek za razdelitev (v nadaljnjem besedilu: MDA) v skladu z </w:t>
      </w:r>
      <w:r w:rsidR="005A78EE" w:rsidRPr="00215B2F">
        <w:rPr>
          <w:rFonts w:ascii="Arial" w:eastAsia="Arial" w:hAnsi="Arial" w:cs="Arial"/>
          <w:sz w:val="20"/>
          <w:szCs w:val="20"/>
        </w:rPr>
        <w:t>297</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Banka mora nemudoma obvestiti Banko Slovenije o neizpolnjevanju zahteve po skupnem blažilniku </w:t>
      </w:r>
      <w:r w:rsidR="00806C22" w:rsidRPr="00215B2F">
        <w:rPr>
          <w:rFonts w:ascii="Arial" w:eastAsia="Arial" w:hAnsi="Arial" w:cs="Arial"/>
          <w:sz w:val="20"/>
          <w:szCs w:val="20"/>
        </w:rPr>
        <w:t xml:space="preserve">in </w:t>
      </w:r>
      <w:r w:rsidRPr="00215B2F">
        <w:rPr>
          <w:rFonts w:ascii="Arial" w:eastAsia="Arial" w:hAnsi="Arial" w:cs="Arial"/>
          <w:sz w:val="20"/>
          <w:szCs w:val="20"/>
        </w:rPr>
        <w:t>izračunanem MDA ter pos</w:t>
      </w:r>
      <w:r w:rsidR="00806C22" w:rsidRPr="00215B2F">
        <w:rPr>
          <w:rFonts w:ascii="Arial" w:eastAsia="Arial" w:hAnsi="Arial" w:cs="Arial"/>
          <w:sz w:val="20"/>
          <w:szCs w:val="20"/>
        </w:rPr>
        <w:t>l</w:t>
      </w:r>
      <w:r w:rsidRPr="00215B2F">
        <w:rPr>
          <w:rFonts w:ascii="Arial" w:eastAsia="Arial" w:hAnsi="Arial" w:cs="Arial"/>
          <w:sz w:val="20"/>
          <w:szCs w:val="20"/>
        </w:rPr>
        <w:t xml:space="preserve">ati načrt za ohranitev kapitala iz </w:t>
      </w:r>
      <w:r w:rsidR="005A78EE" w:rsidRPr="00215B2F">
        <w:rPr>
          <w:rFonts w:ascii="Arial" w:eastAsia="Arial" w:hAnsi="Arial" w:cs="Arial"/>
          <w:sz w:val="20"/>
          <w:szCs w:val="20"/>
        </w:rPr>
        <w:t>303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187B8F9D"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286CC892" w14:textId="07B07B6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v primeru iz prejšnjega odstavka pred izračunom MDA ne sme:</w:t>
      </w:r>
    </w:p>
    <w:p w14:paraId="5A6FA241"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72EF45F1" w14:textId="77777777" w:rsidR="00EA58C4" w:rsidRPr="00215B2F" w:rsidRDefault="00D91782" w:rsidP="003D4DE0">
      <w:pPr>
        <w:pStyle w:val="tevilnatoka"/>
        <w:numPr>
          <w:ilvl w:val="0"/>
          <w:numId w:val="202"/>
        </w:numPr>
        <w:shd w:val="clear" w:color="auto" w:fill="FFFFFF" w:themeFill="background1"/>
        <w:tabs>
          <w:tab w:val="clear" w:pos="425"/>
        </w:tabs>
        <w:rPr>
          <w:rFonts w:cs="Arial"/>
          <w:bCs/>
          <w:sz w:val="20"/>
          <w:szCs w:val="20"/>
        </w:rPr>
      </w:pPr>
      <w:r w:rsidRPr="00215B2F">
        <w:rPr>
          <w:rFonts w:eastAsia="Arial" w:cs="Arial"/>
          <w:sz w:val="20"/>
          <w:szCs w:val="20"/>
        </w:rPr>
        <w:t>opravljati izplačil oziroma razdelitev v zvezi z navadnim lastniškim temeljnim kapitalom;</w:t>
      </w:r>
    </w:p>
    <w:p w14:paraId="74C72BF2" w14:textId="3C0E73AC" w:rsidR="00EA58C4" w:rsidRPr="00215B2F" w:rsidRDefault="00D91782" w:rsidP="003D4DE0">
      <w:pPr>
        <w:pStyle w:val="tevilnatoka"/>
        <w:numPr>
          <w:ilvl w:val="0"/>
          <w:numId w:val="202"/>
        </w:numPr>
        <w:shd w:val="clear" w:color="auto" w:fill="FFFFFF" w:themeFill="background1"/>
        <w:tabs>
          <w:tab w:val="clear" w:pos="425"/>
        </w:tabs>
        <w:rPr>
          <w:rFonts w:cs="Arial"/>
          <w:bCs/>
          <w:sz w:val="20"/>
          <w:szCs w:val="20"/>
        </w:rPr>
      </w:pPr>
      <w:r w:rsidRPr="00215B2F">
        <w:rPr>
          <w:rFonts w:eastAsia="Arial" w:cs="Arial"/>
          <w:sz w:val="20"/>
          <w:szCs w:val="20"/>
        </w:rPr>
        <w:t>vzpostaviti obveznosti za izplačilo variabilnih prejemkov ali diskrecijskih pokojninskih ugodnosti oziroma izplačilo variabilnih prejemkov, če je obveznost izplačila nastala v času, ko banka ni izpolnjevala zahtev po skupnem blažilniku;</w:t>
      </w:r>
    </w:p>
    <w:p w14:paraId="0AD11F55" w14:textId="4C97C0AB" w:rsidR="00D91782" w:rsidRPr="00215B2F" w:rsidRDefault="00D91782" w:rsidP="003D4DE0">
      <w:pPr>
        <w:pStyle w:val="tevilnatoka"/>
        <w:numPr>
          <w:ilvl w:val="0"/>
          <w:numId w:val="202"/>
        </w:numPr>
        <w:shd w:val="clear" w:color="auto" w:fill="FFFFFF" w:themeFill="background1"/>
        <w:tabs>
          <w:tab w:val="clear" w:pos="425"/>
        </w:tabs>
        <w:rPr>
          <w:rFonts w:cs="Arial"/>
          <w:bCs/>
          <w:sz w:val="20"/>
          <w:szCs w:val="20"/>
        </w:rPr>
      </w:pPr>
      <w:r w:rsidRPr="00215B2F">
        <w:rPr>
          <w:rFonts w:eastAsia="Arial" w:cs="Arial"/>
          <w:sz w:val="20"/>
          <w:szCs w:val="20"/>
        </w:rPr>
        <w:t>opravljati izplačil v zvezi z instrumenti dodatnega temeljnega kapitala.</w:t>
      </w:r>
    </w:p>
    <w:p w14:paraId="27DBABDD"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13ABAEF0" w14:textId="117850F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Kot izplačilo oziroma razdelitev v povezavi z navadnim lastniškim temeljnim kapitalom se za namene iz prvega in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w:t>
      </w:r>
      <w:r w:rsidR="008F674B" w:rsidRPr="00215B2F">
        <w:rPr>
          <w:rFonts w:ascii="Arial" w:eastAsia="Arial" w:hAnsi="Arial" w:cs="Arial"/>
          <w:sz w:val="20"/>
          <w:szCs w:val="20"/>
        </w:rPr>
        <w:t>šteje</w:t>
      </w:r>
      <w:r w:rsidRPr="00215B2F">
        <w:rPr>
          <w:rFonts w:ascii="Arial" w:eastAsia="Arial" w:hAnsi="Arial" w:cs="Arial"/>
          <w:sz w:val="20"/>
          <w:szCs w:val="20"/>
        </w:rPr>
        <w:t>:</w:t>
      </w:r>
    </w:p>
    <w:p w14:paraId="14F5FB9C"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00D33CB7" w14:textId="77777777" w:rsidR="00EA58C4" w:rsidRPr="00215B2F" w:rsidRDefault="00D91782" w:rsidP="003D4DE0">
      <w:pPr>
        <w:pStyle w:val="tevilnatoka"/>
        <w:numPr>
          <w:ilvl w:val="0"/>
          <w:numId w:val="203"/>
        </w:numPr>
        <w:shd w:val="clear" w:color="auto" w:fill="FFFFFF" w:themeFill="background1"/>
        <w:tabs>
          <w:tab w:val="clear" w:pos="425"/>
        </w:tabs>
        <w:rPr>
          <w:rFonts w:cs="Arial"/>
          <w:bCs/>
          <w:sz w:val="20"/>
          <w:szCs w:val="20"/>
        </w:rPr>
      </w:pPr>
      <w:r w:rsidRPr="00215B2F">
        <w:rPr>
          <w:rFonts w:eastAsia="Arial" w:cs="Arial"/>
          <w:sz w:val="20"/>
          <w:szCs w:val="20"/>
        </w:rPr>
        <w:lastRenderedPageBreak/>
        <w:t>plačilo dividend v denarju;</w:t>
      </w:r>
    </w:p>
    <w:p w14:paraId="54F9836B" w14:textId="77777777" w:rsidR="00EA58C4" w:rsidRPr="00215B2F" w:rsidRDefault="00D91782" w:rsidP="003D4DE0">
      <w:pPr>
        <w:pStyle w:val="tevilnatoka"/>
        <w:numPr>
          <w:ilvl w:val="0"/>
          <w:numId w:val="203"/>
        </w:numPr>
        <w:shd w:val="clear" w:color="auto" w:fill="FFFFFF" w:themeFill="background1"/>
        <w:tabs>
          <w:tab w:val="clear" w:pos="425"/>
        </w:tabs>
        <w:rPr>
          <w:rFonts w:cs="Arial"/>
          <w:bCs/>
          <w:sz w:val="20"/>
          <w:szCs w:val="20"/>
        </w:rPr>
      </w:pPr>
      <w:r w:rsidRPr="00215B2F">
        <w:rPr>
          <w:rFonts w:eastAsia="Arial" w:cs="Arial"/>
          <w:sz w:val="20"/>
          <w:szCs w:val="20"/>
        </w:rPr>
        <w:t>celotno ali delno izplačilo variabilnega dela prejemkov v obliki delnic ali drugih kapitalskih instrumentov iz točke (a) prvega odstavka 26. člena Uredbe 575/2013/EU;</w:t>
      </w:r>
    </w:p>
    <w:p w14:paraId="7EFAF0B2" w14:textId="77777777" w:rsidR="00EA58C4" w:rsidRPr="00215B2F" w:rsidRDefault="00D91782" w:rsidP="003D4DE0">
      <w:pPr>
        <w:pStyle w:val="tevilnatoka"/>
        <w:numPr>
          <w:ilvl w:val="0"/>
          <w:numId w:val="203"/>
        </w:numPr>
        <w:shd w:val="clear" w:color="auto" w:fill="FFFFFF" w:themeFill="background1"/>
        <w:tabs>
          <w:tab w:val="clear" w:pos="425"/>
        </w:tabs>
        <w:rPr>
          <w:rFonts w:cs="Arial"/>
          <w:bCs/>
          <w:sz w:val="20"/>
          <w:szCs w:val="20"/>
        </w:rPr>
      </w:pPr>
      <w:r w:rsidRPr="00215B2F">
        <w:rPr>
          <w:rFonts w:eastAsia="Arial" w:cs="Arial"/>
          <w:sz w:val="20"/>
          <w:szCs w:val="20"/>
        </w:rPr>
        <w:t>odkup ali nakup lastnih delnic ali drugih kapitalskih instrumentov iz točke (a) prvega odstavka 26. člena Uredbe 575/2013/EU s strani banke;</w:t>
      </w:r>
    </w:p>
    <w:p w14:paraId="4E2355D3" w14:textId="77777777" w:rsidR="00EA58C4" w:rsidRPr="00215B2F" w:rsidRDefault="00D91782" w:rsidP="003D4DE0">
      <w:pPr>
        <w:pStyle w:val="tevilnatoka"/>
        <w:numPr>
          <w:ilvl w:val="0"/>
          <w:numId w:val="203"/>
        </w:numPr>
        <w:shd w:val="clear" w:color="auto" w:fill="FFFFFF" w:themeFill="background1"/>
        <w:tabs>
          <w:tab w:val="clear" w:pos="425"/>
        </w:tabs>
        <w:rPr>
          <w:rFonts w:cs="Arial"/>
          <w:bCs/>
          <w:sz w:val="20"/>
          <w:szCs w:val="20"/>
        </w:rPr>
      </w:pPr>
      <w:r w:rsidRPr="00215B2F">
        <w:rPr>
          <w:rFonts w:eastAsia="Arial" w:cs="Arial"/>
          <w:sz w:val="20"/>
          <w:szCs w:val="20"/>
        </w:rPr>
        <w:t>izplačilo kapitalskih instrumentov iz točke (a) prvega odstavka 26. člena Uredbe 575/2013/EU;</w:t>
      </w:r>
    </w:p>
    <w:p w14:paraId="7E5068C4" w14:textId="6340F5D2" w:rsidR="00D91782" w:rsidRPr="00215B2F" w:rsidRDefault="00D91782" w:rsidP="003D4DE0">
      <w:pPr>
        <w:pStyle w:val="tevilnatoka"/>
        <w:numPr>
          <w:ilvl w:val="0"/>
          <w:numId w:val="203"/>
        </w:numPr>
        <w:shd w:val="clear" w:color="auto" w:fill="FFFFFF" w:themeFill="background1"/>
        <w:tabs>
          <w:tab w:val="clear" w:pos="425"/>
        </w:tabs>
        <w:rPr>
          <w:rFonts w:cs="Arial"/>
          <w:bCs/>
          <w:sz w:val="20"/>
          <w:szCs w:val="20"/>
        </w:rPr>
      </w:pPr>
      <w:r w:rsidRPr="00215B2F">
        <w:rPr>
          <w:rFonts w:eastAsia="Arial" w:cs="Arial"/>
          <w:sz w:val="20"/>
          <w:szCs w:val="20"/>
        </w:rPr>
        <w:t>izplačilo postavk iz točk (b) do (e) prvega odstavka 26. člena Uredbe 575/2013/EU.</w:t>
      </w:r>
    </w:p>
    <w:p w14:paraId="4D17D22A"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DD03304" w14:textId="5213BF1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Če banka ne izpolnjuje zahteve po skupnem blažilniku ali je ne presega, lahko opravi izplačila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največ v višini MDA, izračunanega v skladu z </w:t>
      </w:r>
      <w:r w:rsidR="005A78EE" w:rsidRPr="00215B2F">
        <w:rPr>
          <w:rFonts w:ascii="Arial" w:eastAsia="Arial" w:hAnsi="Arial" w:cs="Arial"/>
          <w:sz w:val="20"/>
          <w:szCs w:val="20"/>
        </w:rPr>
        <w:t>297</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70A28CCB"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7421E8E" w14:textId="1763F45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Omejitve izplačil iz tega člena se uporabljajo le za plačila, ki povzročijo zmanjšanje navadnega lastniškega temeljnega kapitala ali zmanjšanje dobička, in kadar ustavitev ali neizvedba plačila ne pomeni nastopa dogodka neplačila ali pogoja za začetek postopka insolventnosti.</w:t>
      </w:r>
    </w:p>
    <w:p w14:paraId="100B2A57"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E9B2266" w14:textId="5A95B46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Če uporaba omejitev iz tega člena ne omogoča ustreznega izboljšanja obsega navadnega lastniškega temeljnega kapitala banke glede na zadevno sistemsko tveganje iz </w:t>
      </w:r>
      <w:r w:rsidR="005A78EE" w:rsidRPr="00215B2F">
        <w:rPr>
          <w:rFonts w:ascii="Arial" w:eastAsia="Arial" w:hAnsi="Arial" w:cs="Arial"/>
          <w:sz w:val="20"/>
          <w:szCs w:val="20"/>
        </w:rPr>
        <w:t>288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Banka Slovenije banki izreče ustrezne ukrepe nadzora v skladu s tem zakonom.</w:t>
      </w:r>
    </w:p>
    <w:p w14:paraId="508383B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060C33E"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54" w:name="_Ref202965750"/>
      <w:r w:rsidRPr="00215B2F">
        <w:rPr>
          <w:rFonts w:ascii="Arial" w:eastAsia="Arial" w:hAnsi="Arial" w:cs="Arial"/>
          <w:b/>
          <w:bCs/>
          <w:sz w:val="20"/>
          <w:szCs w:val="20"/>
        </w:rPr>
        <w:t>člen</w:t>
      </w:r>
      <w:bookmarkEnd w:id="354"/>
    </w:p>
    <w:p w14:paraId="57BDEA4E" w14:textId="77777777" w:rsidR="00D91782" w:rsidRPr="00215B2F" w:rsidRDefault="00D91782" w:rsidP="00FD5520">
      <w:pPr>
        <w:pStyle w:val="Slog1"/>
        <w:shd w:val="clear" w:color="auto" w:fill="FFFFFF" w:themeFill="background1"/>
        <w:rPr>
          <w:sz w:val="20"/>
          <w:szCs w:val="20"/>
        </w:rPr>
      </w:pPr>
      <w:r w:rsidRPr="00215B2F">
        <w:rPr>
          <w:sz w:val="20"/>
          <w:szCs w:val="20"/>
        </w:rPr>
        <w:t>(izračun MDA)</w:t>
      </w:r>
    </w:p>
    <w:p w14:paraId="2BD297B7" w14:textId="77777777" w:rsidR="00D91782" w:rsidRPr="00215B2F" w:rsidRDefault="00D91782" w:rsidP="00FD5520">
      <w:pPr>
        <w:pStyle w:val="Slog1"/>
        <w:shd w:val="clear" w:color="auto" w:fill="FFFFFF" w:themeFill="background1"/>
        <w:jc w:val="both"/>
        <w:rPr>
          <w:sz w:val="20"/>
          <w:szCs w:val="20"/>
        </w:rPr>
      </w:pPr>
    </w:p>
    <w:p w14:paraId="4913181A" w14:textId="44FC0D6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izračuna MDA z množenjem vsote, izračunane v skladu z drugim odstavkom tega člena, in faktorja, določenega v skladu s tretjim odstavkom tega člena. Izračunani znesek MDA se zmanjša za znesek iz naslova izplačil ali drugih dejanj iz tretjega odstavka </w:t>
      </w:r>
      <w:r w:rsidR="009F152A"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člena</w:t>
      </w:r>
      <w:r w:rsidRPr="00215B2F">
        <w:rPr>
          <w:rFonts w:ascii="Arial" w:eastAsia="Arial" w:hAnsi="Arial" w:cs="Arial"/>
          <w:sz w:val="20"/>
          <w:szCs w:val="20"/>
        </w:rPr>
        <w:t>.</w:t>
      </w:r>
    </w:p>
    <w:p w14:paraId="399FD651"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7C90885D" w14:textId="499BB0A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Vsota iz prejšnjega odstavka se izračuna kot seštevek vseh dobičkov banke, ustvarjenih med letom, in vseh čistih dobičkov poslovnega leta, kadar ti dobički niso upoštevani v navadnem lastniškem temeljnem kapitalu banke v skladu z drugim odstavkom 26. člena Uredbe 575/2013/EU, pri tem pa se seštevek zmanjša za morebitno razdelitev dobičkov ali izplačilo iz tretjega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ter davek, ki bi ga banka </w:t>
      </w:r>
      <w:r w:rsidR="006130FF" w:rsidRPr="00215B2F">
        <w:rPr>
          <w:rFonts w:ascii="Arial" w:eastAsia="Arial" w:hAnsi="Arial" w:cs="Arial"/>
          <w:sz w:val="20"/>
          <w:szCs w:val="20"/>
        </w:rPr>
        <w:t xml:space="preserve">morala </w:t>
      </w:r>
      <w:r w:rsidRPr="00215B2F">
        <w:rPr>
          <w:rFonts w:ascii="Arial" w:eastAsia="Arial" w:hAnsi="Arial" w:cs="Arial"/>
          <w:sz w:val="20"/>
          <w:szCs w:val="20"/>
        </w:rPr>
        <w:t>plačati, če bi bil ta dobiček zadržan.</w:t>
      </w:r>
    </w:p>
    <w:p w14:paraId="7A2900FD"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4FCC5FB4" w14:textId="74D3BBC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Faktor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je določen glede na delež, ki ga predstavlja navadni lastniški temeljni kapital banke, izražen kot odstotni delež zneska skupne izpostavljenosti tveganjem, v zahtevi po skupnem blažilniku, in sicer</w:t>
      </w:r>
      <w:r w:rsidR="00474AC7" w:rsidRPr="00215B2F">
        <w:rPr>
          <w:rFonts w:ascii="Arial" w:eastAsia="Arial" w:hAnsi="Arial" w:cs="Arial"/>
          <w:sz w:val="20"/>
          <w:szCs w:val="20"/>
        </w:rPr>
        <w:t xml:space="preserve"> se,</w:t>
      </w:r>
      <w:r w:rsidRPr="00215B2F">
        <w:rPr>
          <w:rFonts w:ascii="Arial" w:eastAsia="Arial" w:hAnsi="Arial" w:cs="Arial"/>
          <w:sz w:val="20"/>
          <w:szCs w:val="20"/>
        </w:rPr>
        <w:t xml:space="preserve"> če je višina tega deleža:</w:t>
      </w:r>
    </w:p>
    <w:p w14:paraId="1257A435"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7B384CAB" w14:textId="3CAA8E83" w:rsidR="00EA58C4" w:rsidRPr="00215B2F" w:rsidRDefault="00E832FC" w:rsidP="003D4DE0">
      <w:pPr>
        <w:pStyle w:val="tevilnatoka"/>
        <w:numPr>
          <w:ilvl w:val="0"/>
          <w:numId w:val="204"/>
        </w:numPr>
        <w:shd w:val="clear" w:color="auto" w:fill="FFFFFF" w:themeFill="background1"/>
        <w:tabs>
          <w:tab w:val="clear" w:pos="425"/>
        </w:tabs>
        <w:rPr>
          <w:rFonts w:cs="Arial"/>
          <w:bCs/>
          <w:sz w:val="20"/>
          <w:szCs w:val="20"/>
        </w:rPr>
      </w:pPr>
      <w:r w:rsidRPr="00215B2F">
        <w:rPr>
          <w:rFonts w:eastAsia="Arial" w:cs="Arial"/>
          <w:sz w:val="20"/>
          <w:szCs w:val="20"/>
        </w:rPr>
        <w:t xml:space="preserve">enaka </w:t>
      </w:r>
      <w:r w:rsidR="00D91782" w:rsidRPr="00215B2F">
        <w:rPr>
          <w:rFonts w:eastAsia="Arial" w:cs="Arial"/>
          <w:sz w:val="20"/>
          <w:szCs w:val="20"/>
        </w:rPr>
        <w:t>25 odstotkov</w:t>
      </w:r>
      <w:r w:rsidR="00474AC7" w:rsidRPr="00215B2F">
        <w:rPr>
          <w:rFonts w:eastAsia="Arial" w:cs="Arial"/>
          <w:sz w:val="20"/>
          <w:szCs w:val="20"/>
        </w:rPr>
        <w:t xml:space="preserve"> ali nižja</w:t>
      </w:r>
      <w:r w:rsidR="00D91782" w:rsidRPr="00215B2F">
        <w:rPr>
          <w:rFonts w:eastAsia="Arial" w:cs="Arial"/>
          <w:sz w:val="20"/>
          <w:szCs w:val="20"/>
        </w:rPr>
        <w:t>, uporabi faktor 0;</w:t>
      </w:r>
    </w:p>
    <w:p w14:paraId="0BFED41E" w14:textId="134059E9" w:rsidR="00EA58C4" w:rsidRPr="00215B2F" w:rsidRDefault="00D91782" w:rsidP="003D4DE0">
      <w:pPr>
        <w:pStyle w:val="tevilnatoka"/>
        <w:numPr>
          <w:ilvl w:val="0"/>
          <w:numId w:val="204"/>
        </w:numPr>
        <w:shd w:val="clear" w:color="auto" w:fill="FFFFFF" w:themeFill="background1"/>
        <w:tabs>
          <w:tab w:val="clear" w:pos="425"/>
        </w:tabs>
        <w:rPr>
          <w:rFonts w:cs="Arial"/>
          <w:bCs/>
          <w:sz w:val="20"/>
          <w:szCs w:val="20"/>
        </w:rPr>
      </w:pPr>
      <w:r w:rsidRPr="00215B2F">
        <w:rPr>
          <w:rFonts w:eastAsia="Arial" w:cs="Arial"/>
          <w:sz w:val="20"/>
          <w:szCs w:val="20"/>
        </w:rPr>
        <w:t>višja od 25 odstotkov in nižja od 50 odstotkov</w:t>
      </w:r>
      <w:r w:rsidR="00474AC7" w:rsidRPr="00215B2F">
        <w:rPr>
          <w:rFonts w:eastAsia="Arial" w:cs="Arial"/>
          <w:sz w:val="20"/>
          <w:szCs w:val="20"/>
        </w:rPr>
        <w:t xml:space="preserve"> ali </w:t>
      </w:r>
      <w:r w:rsidR="00E832FC" w:rsidRPr="00215B2F">
        <w:rPr>
          <w:rFonts w:eastAsia="Arial" w:cs="Arial"/>
          <w:sz w:val="20"/>
          <w:szCs w:val="20"/>
        </w:rPr>
        <w:t xml:space="preserve">enaka </w:t>
      </w:r>
      <w:r w:rsidR="00474AC7" w:rsidRPr="00215B2F">
        <w:rPr>
          <w:rFonts w:eastAsia="Arial" w:cs="Arial"/>
          <w:sz w:val="20"/>
          <w:szCs w:val="20"/>
        </w:rPr>
        <w:t>50 odstotkov</w:t>
      </w:r>
      <w:r w:rsidRPr="00215B2F">
        <w:rPr>
          <w:rFonts w:eastAsia="Arial" w:cs="Arial"/>
          <w:sz w:val="20"/>
          <w:szCs w:val="20"/>
        </w:rPr>
        <w:t>, uporabi faktor 0,2;</w:t>
      </w:r>
    </w:p>
    <w:p w14:paraId="0D74E59B" w14:textId="1A25395B" w:rsidR="00EA58C4" w:rsidRPr="00215B2F" w:rsidRDefault="00D91782" w:rsidP="003D4DE0">
      <w:pPr>
        <w:pStyle w:val="tevilnatoka"/>
        <w:numPr>
          <w:ilvl w:val="0"/>
          <w:numId w:val="204"/>
        </w:numPr>
        <w:shd w:val="clear" w:color="auto" w:fill="FFFFFF" w:themeFill="background1"/>
        <w:tabs>
          <w:tab w:val="clear" w:pos="425"/>
        </w:tabs>
        <w:rPr>
          <w:rFonts w:cs="Arial"/>
          <w:bCs/>
          <w:sz w:val="20"/>
          <w:szCs w:val="20"/>
        </w:rPr>
      </w:pPr>
      <w:r w:rsidRPr="00215B2F">
        <w:rPr>
          <w:rFonts w:eastAsia="Arial" w:cs="Arial"/>
          <w:sz w:val="20"/>
          <w:szCs w:val="20"/>
        </w:rPr>
        <w:t>višja od 50 odstotkov in nižja od 75 odstotkov</w:t>
      </w:r>
      <w:r w:rsidR="00474AC7" w:rsidRPr="00215B2F">
        <w:rPr>
          <w:rFonts w:eastAsia="Arial" w:cs="Arial"/>
          <w:sz w:val="20"/>
          <w:szCs w:val="20"/>
        </w:rPr>
        <w:t xml:space="preserve"> ali </w:t>
      </w:r>
      <w:r w:rsidR="00E832FC" w:rsidRPr="00215B2F">
        <w:rPr>
          <w:rFonts w:eastAsia="Arial" w:cs="Arial"/>
          <w:sz w:val="20"/>
          <w:szCs w:val="20"/>
        </w:rPr>
        <w:t xml:space="preserve">enaka </w:t>
      </w:r>
      <w:r w:rsidR="00474AC7" w:rsidRPr="00215B2F">
        <w:rPr>
          <w:rFonts w:eastAsia="Arial" w:cs="Arial"/>
          <w:sz w:val="20"/>
          <w:szCs w:val="20"/>
        </w:rPr>
        <w:t>75 odstotkov</w:t>
      </w:r>
      <w:r w:rsidRPr="00215B2F">
        <w:rPr>
          <w:rFonts w:eastAsia="Arial" w:cs="Arial"/>
          <w:sz w:val="20"/>
          <w:szCs w:val="20"/>
        </w:rPr>
        <w:t>, uporabi faktor 0,4;</w:t>
      </w:r>
    </w:p>
    <w:p w14:paraId="6503F666" w14:textId="45C65E1D" w:rsidR="00D91782" w:rsidRPr="00215B2F" w:rsidRDefault="00D91782" w:rsidP="003D4DE0">
      <w:pPr>
        <w:pStyle w:val="tevilnatoka"/>
        <w:numPr>
          <w:ilvl w:val="0"/>
          <w:numId w:val="204"/>
        </w:numPr>
        <w:shd w:val="clear" w:color="auto" w:fill="FFFFFF" w:themeFill="background1"/>
        <w:tabs>
          <w:tab w:val="clear" w:pos="425"/>
        </w:tabs>
        <w:rPr>
          <w:rFonts w:cs="Arial"/>
          <w:bCs/>
          <w:sz w:val="20"/>
          <w:szCs w:val="20"/>
        </w:rPr>
      </w:pPr>
      <w:r w:rsidRPr="00215B2F">
        <w:rPr>
          <w:rFonts w:eastAsia="Arial" w:cs="Arial"/>
          <w:sz w:val="20"/>
          <w:szCs w:val="20"/>
        </w:rPr>
        <w:t>višja od 75 odstotkov in nižja od 100 odstotkov</w:t>
      </w:r>
      <w:r w:rsidR="0087316A" w:rsidRPr="00215B2F">
        <w:rPr>
          <w:rFonts w:eastAsia="Arial" w:cs="Arial"/>
          <w:sz w:val="20"/>
          <w:szCs w:val="20"/>
        </w:rPr>
        <w:t xml:space="preserve"> ali </w:t>
      </w:r>
      <w:r w:rsidR="00E832FC" w:rsidRPr="00215B2F">
        <w:rPr>
          <w:rFonts w:eastAsia="Arial" w:cs="Arial"/>
          <w:sz w:val="20"/>
          <w:szCs w:val="20"/>
        </w:rPr>
        <w:t xml:space="preserve">enaka </w:t>
      </w:r>
      <w:r w:rsidR="0087316A" w:rsidRPr="00215B2F">
        <w:rPr>
          <w:rFonts w:eastAsia="Arial" w:cs="Arial"/>
          <w:sz w:val="20"/>
          <w:szCs w:val="20"/>
        </w:rPr>
        <w:t>100 odstotkov</w:t>
      </w:r>
      <w:r w:rsidRPr="00215B2F">
        <w:rPr>
          <w:rFonts w:eastAsia="Arial" w:cs="Arial"/>
          <w:sz w:val="20"/>
          <w:szCs w:val="20"/>
        </w:rPr>
        <w:t>, uporabi faktor 0,6.</w:t>
      </w:r>
    </w:p>
    <w:p w14:paraId="26378E7C"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410A41C" w14:textId="1E22558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Za namen prejšnjega odstavka se kot navadni lastniški temeljni kapital banke upošteva kapital, ki se ne uporablja za izpolnjevanje:</w:t>
      </w:r>
    </w:p>
    <w:p w14:paraId="2FCB1CF3"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286A8D20" w14:textId="77777777" w:rsidR="00EA58C4" w:rsidRPr="00215B2F" w:rsidRDefault="00D91782" w:rsidP="003D4DE0">
      <w:pPr>
        <w:pStyle w:val="tevilnatoka"/>
        <w:numPr>
          <w:ilvl w:val="0"/>
          <w:numId w:val="205"/>
        </w:numPr>
        <w:shd w:val="clear" w:color="auto" w:fill="FFFFFF" w:themeFill="background1"/>
        <w:tabs>
          <w:tab w:val="clear" w:pos="425"/>
        </w:tabs>
        <w:rPr>
          <w:rFonts w:cs="Arial"/>
          <w:bCs/>
          <w:sz w:val="20"/>
          <w:szCs w:val="20"/>
        </w:rPr>
      </w:pPr>
      <w:r w:rsidRPr="00215B2F">
        <w:rPr>
          <w:rFonts w:eastAsia="Arial" w:cs="Arial"/>
          <w:sz w:val="20"/>
          <w:szCs w:val="20"/>
        </w:rPr>
        <w:t>kapitalske zahteve iz točk (a), (b), in (c) prvega odstavka 92. člena Uredbe 575/2013/EU;</w:t>
      </w:r>
    </w:p>
    <w:p w14:paraId="0DF48037" w14:textId="737720EA" w:rsidR="00EA58C4" w:rsidRPr="00215B2F" w:rsidRDefault="00D91782" w:rsidP="003D4DE0">
      <w:pPr>
        <w:pStyle w:val="tevilnatoka"/>
        <w:numPr>
          <w:ilvl w:val="0"/>
          <w:numId w:val="205"/>
        </w:numPr>
        <w:shd w:val="clear" w:color="auto" w:fill="FFFFFF" w:themeFill="background1"/>
        <w:tabs>
          <w:tab w:val="clear" w:pos="425"/>
        </w:tabs>
        <w:rPr>
          <w:rFonts w:cs="Arial"/>
          <w:bCs/>
          <w:sz w:val="20"/>
          <w:szCs w:val="20"/>
        </w:rPr>
      </w:pPr>
      <w:r w:rsidRPr="00215B2F">
        <w:rPr>
          <w:rFonts w:eastAsia="Arial" w:cs="Arial"/>
          <w:sz w:val="20"/>
          <w:szCs w:val="20"/>
        </w:rPr>
        <w:t xml:space="preserve">dodatne kapitalske zahteve na podlagi </w:t>
      </w:r>
      <w:r w:rsidR="005A78EE" w:rsidRPr="00215B2F">
        <w:rPr>
          <w:rFonts w:eastAsia="Arial" w:cs="Arial"/>
          <w:sz w:val="20"/>
          <w:szCs w:val="20"/>
        </w:rPr>
        <w:t>238</w:t>
      </w:r>
      <w:r w:rsidRPr="00215B2F">
        <w:rPr>
          <w:rFonts w:eastAsia="Arial" w:cs="Arial"/>
          <w:sz w:val="20"/>
          <w:szCs w:val="20"/>
        </w:rPr>
        <w:t xml:space="preserve">. člena ali odredbe iz 1. točke drugega odstavka </w:t>
      </w:r>
      <w:r w:rsidR="005A78EE" w:rsidRPr="00215B2F">
        <w:rPr>
          <w:rFonts w:eastAsia="Arial" w:cs="Arial"/>
          <w:sz w:val="20"/>
          <w:szCs w:val="20"/>
        </w:rPr>
        <w:t>345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ki se nanaša na tveganja, ki niso tveganja prevelikega finančnega vzvoda;</w:t>
      </w:r>
    </w:p>
    <w:p w14:paraId="360CE773" w14:textId="3C36AC7D" w:rsidR="00D91782" w:rsidRPr="00215B2F" w:rsidRDefault="00D91782" w:rsidP="003D4DE0">
      <w:pPr>
        <w:pStyle w:val="tevilnatoka"/>
        <w:numPr>
          <w:ilvl w:val="0"/>
          <w:numId w:val="205"/>
        </w:numPr>
        <w:shd w:val="clear" w:color="auto" w:fill="FFFFFF" w:themeFill="background1"/>
        <w:tabs>
          <w:tab w:val="clear" w:pos="425"/>
        </w:tabs>
        <w:rPr>
          <w:rFonts w:cs="Arial"/>
          <w:bCs/>
          <w:sz w:val="20"/>
          <w:szCs w:val="20"/>
        </w:rPr>
      </w:pPr>
      <w:r w:rsidRPr="00215B2F">
        <w:rPr>
          <w:rFonts w:eastAsia="Arial" w:cs="Arial"/>
          <w:sz w:val="20"/>
          <w:szCs w:val="20"/>
        </w:rPr>
        <w:t xml:space="preserve">zahteve glede zagotavljanja ustreznega notranjega kapitala v skladu s </w:t>
      </w:r>
      <w:r w:rsidR="005A78EE" w:rsidRPr="00215B2F">
        <w:rPr>
          <w:rFonts w:eastAsia="Arial" w:cs="Arial"/>
          <w:sz w:val="20"/>
          <w:szCs w:val="20"/>
        </w:rPr>
        <w:t>180</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 ki se nanaša na tveganja, ki niso tveganja prevelikega finančnega vzvoda.</w:t>
      </w:r>
    </w:p>
    <w:p w14:paraId="5883918F"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2A69A04B" w14:textId="77777777" w:rsidR="005724C2" w:rsidRPr="00215B2F" w:rsidRDefault="005724C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55" w:name="_Ref202965758"/>
      <w:r w:rsidRPr="00215B2F">
        <w:rPr>
          <w:rFonts w:ascii="Arial" w:eastAsia="Arial" w:hAnsi="Arial" w:cs="Arial"/>
          <w:b/>
          <w:bCs/>
          <w:sz w:val="20"/>
          <w:szCs w:val="20"/>
        </w:rPr>
        <w:t>člen</w:t>
      </w:r>
      <w:bookmarkEnd w:id="355"/>
    </w:p>
    <w:p w14:paraId="39F6B4ED"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(obveščanje Banke Slovenije)</w:t>
      </w:r>
    </w:p>
    <w:p w14:paraId="674D993D" w14:textId="77777777" w:rsidR="00707327" w:rsidRPr="00215B2F" w:rsidRDefault="00707327" w:rsidP="00FD5520">
      <w:pPr>
        <w:shd w:val="clear" w:color="auto" w:fill="FFFFFF" w:themeFill="background1"/>
        <w:spacing w:after="0" w:line="240" w:lineRule="auto"/>
        <w:jc w:val="both"/>
        <w:rPr>
          <w:rFonts w:ascii="Arial" w:eastAsia="Arial" w:hAnsi="Arial" w:cs="Arial"/>
          <w:sz w:val="20"/>
          <w:szCs w:val="20"/>
        </w:rPr>
      </w:pPr>
    </w:p>
    <w:p w14:paraId="4887C768" w14:textId="18841E7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ki ne izpolnjuje zahteve po skupnem blažilniku, najpozneje en mesec pred nameravanim izplačilom razpoložljivega dobička ali izvedbo dejanj iz tretjega odstavka </w:t>
      </w:r>
      <w:r w:rsidR="005A78EE" w:rsidRPr="00215B2F">
        <w:rPr>
          <w:rFonts w:ascii="Arial" w:eastAsia="Arial" w:hAnsi="Arial" w:cs="Arial"/>
          <w:sz w:val="20"/>
          <w:szCs w:val="20"/>
        </w:rPr>
        <w:t>296</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 tem obvesti Banko Slovenije in predloži naslednje podatke:</w:t>
      </w:r>
    </w:p>
    <w:p w14:paraId="2B83189C"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1BF9BC6C" w14:textId="0F37351B" w:rsidR="00D91782" w:rsidRPr="00215B2F" w:rsidRDefault="00D91782" w:rsidP="003D4DE0">
      <w:pPr>
        <w:pStyle w:val="tevilnatoka"/>
        <w:numPr>
          <w:ilvl w:val="0"/>
          <w:numId w:val="206"/>
        </w:numPr>
        <w:shd w:val="clear" w:color="auto" w:fill="FFFFFF" w:themeFill="background1"/>
        <w:tabs>
          <w:tab w:val="clear" w:pos="425"/>
        </w:tabs>
        <w:rPr>
          <w:rFonts w:cs="Arial"/>
          <w:bCs/>
          <w:sz w:val="20"/>
          <w:szCs w:val="20"/>
        </w:rPr>
      </w:pPr>
      <w:r w:rsidRPr="00215B2F">
        <w:rPr>
          <w:rFonts w:eastAsia="Arial" w:cs="Arial"/>
          <w:sz w:val="20"/>
          <w:szCs w:val="20"/>
        </w:rPr>
        <w:t>znesek kapitala, razčlenjen na:</w:t>
      </w:r>
    </w:p>
    <w:p w14:paraId="04D4754C" w14:textId="77777777"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navadni lastniški temeljni kapital,</w:t>
      </w:r>
    </w:p>
    <w:p w14:paraId="673F8BAF" w14:textId="77777777"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dodatni temeljni kapital,</w:t>
      </w:r>
    </w:p>
    <w:p w14:paraId="100E9D93" w14:textId="05A0072A"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lastRenderedPageBreak/>
        <w:t>dodatni kapital;</w:t>
      </w:r>
    </w:p>
    <w:p w14:paraId="21AE8152" w14:textId="77777777" w:rsidR="00EA58C4" w:rsidRPr="00215B2F" w:rsidRDefault="00D91782" w:rsidP="00543D80">
      <w:pPr>
        <w:pStyle w:val="tevilnatoka"/>
        <w:rPr>
          <w:rFonts w:cs="Arial"/>
          <w:bCs/>
          <w:sz w:val="20"/>
          <w:szCs w:val="20"/>
        </w:rPr>
      </w:pPr>
      <w:r w:rsidRPr="00215B2F">
        <w:rPr>
          <w:rFonts w:eastAsia="Arial" w:cs="Arial"/>
          <w:sz w:val="20"/>
          <w:szCs w:val="20"/>
        </w:rPr>
        <w:t>znesek dobička med letom in čistega dobička poslovnega leta;</w:t>
      </w:r>
    </w:p>
    <w:p w14:paraId="4B3DFCB3" w14:textId="77777777" w:rsidR="00EA58C4" w:rsidRPr="00215B2F" w:rsidRDefault="00D91782" w:rsidP="00543D80">
      <w:pPr>
        <w:pStyle w:val="tevilnatoka"/>
        <w:rPr>
          <w:rFonts w:cs="Arial"/>
          <w:bCs/>
          <w:sz w:val="20"/>
          <w:szCs w:val="20"/>
        </w:rPr>
      </w:pPr>
      <w:r w:rsidRPr="00215B2F">
        <w:rPr>
          <w:rFonts w:eastAsia="Arial" w:cs="Arial"/>
          <w:sz w:val="20"/>
          <w:szCs w:val="20"/>
        </w:rPr>
        <w:t>MDA, izračunan v skladu s prejšnjim členom;</w:t>
      </w:r>
    </w:p>
    <w:p w14:paraId="0164757C" w14:textId="71EDCF7E" w:rsidR="00D91782" w:rsidRPr="00215B2F" w:rsidRDefault="00D91782" w:rsidP="00543D80">
      <w:pPr>
        <w:pStyle w:val="tevilnatoka"/>
        <w:rPr>
          <w:rFonts w:cs="Arial"/>
          <w:bCs/>
          <w:sz w:val="20"/>
          <w:szCs w:val="20"/>
        </w:rPr>
      </w:pPr>
      <w:r w:rsidRPr="00215B2F">
        <w:rPr>
          <w:rFonts w:eastAsia="Arial" w:cs="Arial"/>
          <w:sz w:val="20"/>
          <w:szCs w:val="20"/>
        </w:rPr>
        <w:t>znesek razpoložljivega dobička, ki ga namerava razporediti med naslednje postavke:</w:t>
      </w:r>
    </w:p>
    <w:p w14:paraId="00828AE2" w14:textId="77777777"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izplačila dividend,</w:t>
      </w:r>
    </w:p>
    <w:p w14:paraId="3DB38314" w14:textId="63CE8D59"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(re)odkupi delnic,</w:t>
      </w:r>
    </w:p>
    <w:p w14:paraId="06DD597B" w14:textId="77777777"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izplačila na instrumente dodatnega temeljnega kapitala,</w:t>
      </w:r>
    </w:p>
    <w:p w14:paraId="08272958" w14:textId="17B14629"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izplačila variabilnih prejemkov ali diskrecijskih pokojninskih ugodnosti, ki se lahko izvedejo z vzpostavitvijo nove obveznosti izplačila ali z izplačilom obveznosti izplačila, ki je nastala v času, ko banka ni izpolnjevala zahtev po skupnem blažilniku.</w:t>
      </w:r>
    </w:p>
    <w:p w14:paraId="64C19C19"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169D69B" w14:textId="06118AA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mora vzpostaviti in vzdrževati ureditve, s katerimi zagotavlja natančn</w:t>
      </w:r>
      <w:r w:rsidR="00616805" w:rsidRPr="00215B2F">
        <w:rPr>
          <w:rFonts w:ascii="Arial" w:eastAsia="Arial" w:hAnsi="Arial" w:cs="Arial"/>
          <w:sz w:val="20"/>
          <w:szCs w:val="20"/>
        </w:rPr>
        <w:t>i</w:t>
      </w:r>
      <w:r w:rsidRPr="00215B2F">
        <w:rPr>
          <w:rFonts w:ascii="Arial" w:eastAsia="Arial" w:hAnsi="Arial" w:cs="Arial"/>
          <w:sz w:val="20"/>
          <w:szCs w:val="20"/>
        </w:rPr>
        <w:t xml:space="preserve"> izračun zneska razpoložljivega dobička in MDA</w:t>
      </w:r>
      <w:r w:rsidR="00616805" w:rsidRPr="00215B2F">
        <w:rPr>
          <w:rFonts w:ascii="Arial" w:eastAsia="Arial" w:hAnsi="Arial" w:cs="Arial"/>
          <w:sz w:val="20"/>
          <w:szCs w:val="20"/>
        </w:rPr>
        <w:t>,</w:t>
      </w:r>
      <w:r w:rsidRPr="00215B2F">
        <w:rPr>
          <w:rFonts w:ascii="Arial" w:eastAsia="Arial" w:hAnsi="Arial" w:cs="Arial"/>
          <w:sz w:val="20"/>
          <w:szCs w:val="20"/>
        </w:rPr>
        <w:t xml:space="preserve"> ter na zahtevo Banke Slovenije to tudi dokazati.</w:t>
      </w:r>
    </w:p>
    <w:p w14:paraId="345AD6A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BE945B8" w14:textId="6A0174D8"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7.4.2 Zahteva po blažilniku količnika finančnega vzvoda</w:t>
      </w:r>
    </w:p>
    <w:p w14:paraId="5F246C26" w14:textId="77777777" w:rsidR="00D91782" w:rsidRPr="00215B2F" w:rsidRDefault="00D91782" w:rsidP="00FD5520">
      <w:pPr>
        <w:shd w:val="clear" w:color="auto" w:fill="FFFFFF" w:themeFill="background1"/>
        <w:spacing w:after="0" w:line="240" w:lineRule="auto"/>
        <w:jc w:val="both"/>
        <w:rPr>
          <w:rFonts w:ascii="Arial" w:eastAsia="Arial" w:hAnsi="Arial" w:cs="Arial"/>
          <w:i/>
          <w:iCs/>
          <w:sz w:val="20"/>
          <w:szCs w:val="20"/>
        </w:rPr>
      </w:pPr>
    </w:p>
    <w:p w14:paraId="1355D283" w14:textId="77777777" w:rsidR="00D91782" w:rsidRPr="00215B2F" w:rsidRDefault="00D91782" w:rsidP="00543D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56" w:name="_Ref202965766"/>
      <w:r w:rsidRPr="00215B2F">
        <w:rPr>
          <w:rFonts w:ascii="Arial" w:eastAsia="Arial" w:hAnsi="Arial" w:cs="Arial"/>
          <w:b/>
          <w:bCs/>
          <w:sz w:val="20"/>
          <w:szCs w:val="20"/>
        </w:rPr>
        <w:t>člen</w:t>
      </w:r>
      <w:bookmarkEnd w:id="356"/>
    </w:p>
    <w:p w14:paraId="7B901891" w14:textId="77777777" w:rsidR="00D91782" w:rsidRPr="00215B2F" w:rsidRDefault="00D91782" w:rsidP="00FD5520">
      <w:pPr>
        <w:pStyle w:val="Slog1"/>
        <w:shd w:val="clear" w:color="auto" w:fill="FFFFFF" w:themeFill="background1"/>
        <w:rPr>
          <w:sz w:val="20"/>
          <w:szCs w:val="20"/>
        </w:rPr>
      </w:pPr>
      <w:r w:rsidRPr="00215B2F">
        <w:rPr>
          <w:sz w:val="20"/>
          <w:szCs w:val="20"/>
        </w:rPr>
        <w:t>(zahteva po blažilniku količnika finančnega vzvoda)</w:t>
      </w:r>
    </w:p>
    <w:p w14:paraId="620B773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CE9ABF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Šteje se, da banka ne izpolnjuje zahteve po blažilniku količnika finančnega vzvoda, kadar nima zadostnega obsega temeljnega kapitala, da bi hkrati izpolnila:</w:t>
      </w:r>
    </w:p>
    <w:p w14:paraId="5CCFA644"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3C1C6338" w14:textId="3307FA2A" w:rsidR="00EA58C4" w:rsidRPr="00215B2F" w:rsidRDefault="00D91782" w:rsidP="003D4DE0">
      <w:pPr>
        <w:pStyle w:val="tevilnatoka"/>
        <w:numPr>
          <w:ilvl w:val="0"/>
          <w:numId w:val="207"/>
        </w:numPr>
        <w:shd w:val="clear" w:color="auto" w:fill="FFFFFF" w:themeFill="background1"/>
        <w:tabs>
          <w:tab w:val="clear" w:pos="425"/>
        </w:tabs>
        <w:rPr>
          <w:rFonts w:cs="Arial"/>
          <w:bCs/>
          <w:sz w:val="20"/>
          <w:szCs w:val="20"/>
        </w:rPr>
      </w:pPr>
      <w:r w:rsidRPr="00215B2F">
        <w:rPr>
          <w:rFonts w:eastAsia="Arial" w:cs="Arial"/>
          <w:sz w:val="20"/>
          <w:szCs w:val="20"/>
        </w:rPr>
        <w:t xml:space="preserve">zahtevo po blažilniku količnika finančnega vzvoda iz </w:t>
      </w:r>
      <w:r w:rsidR="00AA2AD1" w:rsidRPr="00215B2F">
        <w:rPr>
          <w:rFonts w:eastAsia="Arial" w:cs="Arial"/>
          <w:sz w:val="20"/>
          <w:szCs w:val="20"/>
        </w:rPr>
        <w:t xml:space="preserve">1a </w:t>
      </w:r>
      <w:r w:rsidRPr="00215B2F">
        <w:rPr>
          <w:rFonts w:eastAsia="Arial" w:cs="Arial"/>
          <w:sz w:val="20"/>
          <w:szCs w:val="20"/>
        </w:rPr>
        <w:t>odstavka 92. člena Uredbe 575/2013/EU;</w:t>
      </w:r>
    </w:p>
    <w:p w14:paraId="5C566BCE" w14:textId="77777777" w:rsidR="00EA58C4" w:rsidRPr="00215B2F" w:rsidRDefault="00D91782" w:rsidP="003D4DE0">
      <w:pPr>
        <w:pStyle w:val="tevilnatoka"/>
        <w:numPr>
          <w:ilvl w:val="0"/>
          <w:numId w:val="207"/>
        </w:numPr>
        <w:shd w:val="clear" w:color="auto" w:fill="FFFFFF" w:themeFill="background1"/>
        <w:tabs>
          <w:tab w:val="clear" w:pos="425"/>
        </w:tabs>
        <w:rPr>
          <w:rFonts w:cs="Arial"/>
          <w:bCs/>
          <w:sz w:val="20"/>
          <w:szCs w:val="20"/>
        </w:rPr>
      </w:pPr>
      <w:r w:rsidRPr="00215B2F">
        <w:rPr>
          <w:rFonts w:eastAsia="Arial" w:cs="Arial"/>
          <w:sz w:val="20"/>
          <w:szCs w:val="20"/>
        </w:rPr>
        <w:t>zahtevo po količniku finančnega vzvoda iz točke (d) prvega odstavka 92. člena Uredbe 575/2013/EU;</w:t>
      </w:r>
    </w:p>
    <w:p w14:paraId="7940F84C" w14:textId="490C29E1" w:rsidR="00EA58C4" w:rsidRPr="00215B2F" w:rsidRDefault="00D91782" w:rsidP="003D4DE0">
      <w:pPr>
        <w:pStyle w:val="tevilnatoka"/>
        <w:numPr>
          <w:ilvl w:val="0"/>
          <w:numId w:val="207"/>
        </w:numPr>
        <w:shd w:val="clear" w:color="auto" w:fill="FFFFFF" w:themeFill="background1"/>
        <w:tabs>
          <w:tab w:val="clear" w:pos="425"/>
        </w:tabs>
        <w:rPr>
          <w:rFonts w:cs="Arial"/>
          <w:bCs/>
          <w:sz w:val="20"/>
          <w:szCs w:val="20"/>
        </w:rPr>
      </w:pPr>
      <w:r w:rsidRPr="00215B2F">
        <w:rPr>
          <w:rFonts w:eastAsia="Arial" w:cs="Arial"/>
          <w:sz w:val="20"/>
          <w:szCs w:val="20"/>
        </w:rPr>
        <w:t>zahtev</w:t>
      </w:r>
      <w:r w:rsidR="00616805" w:rsidRPr="00215B2F">
        <w:rPr>
          <w:rFonts w:eastAsia="Arial" w:cs="Arial"/>
          <w:sz w:val="20"/>
          <w:szCs w:val="20"/>
        </w:rPr>
        <w:t>o</w:t>
      </w:r>
      <w:r w:rsidRPr="00215B2F">
        <w:rPr>
          <w:rFonts w:eastAsia="Arial" w:cs="Arial"/>
          <w:sz w:val="20"/>
          <w:szCs w:val="20"/>
        </w:rPr>
        <w:t xml:space="preserve"> na podlagi 203. člena ali 1. točke drugega odstavka </w:t>
      </w:r>
      <w:r w:rsidR="005A78EE" w:rsidRPr="00215B2F">
        <w:rPr>
          <w:rFonts w:eastAsia="Arial" w:cs="Arial"/>
          <w:sz w:val="20"/>
          <w:szCs w:val="20"/>
        </w:rPr>
        <w:t>345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za obravnavo tveganja prevelikega finančnega vzvoda, ki ni zadosti pokrito z zahtevo iz točke (d) prvega odstavka 92. člena Uredbe 575/2013/EU;</w:t>
      </w:r>
      <w:r w:rsidR="009F152A" w:rsidRPr="00215B2F">
        <w:rPr>
          <w:rFonts w:eastAsia="Arial" w:cs="Arial"/>
          <w:sz w:val="20"/>
          <w:szCs w:val="20"/>
        </w:rPr>
        <w:t>.</w:t>
      </w:r>
    </w:p>
    <w:p w14:paraId="2E0C8B40" w14:textId="3FD70768" w:rsidR="00D91782" w:rsidRPr="00215B2F" w:rsidRDefault="00D91782" w:rsidP="003D4DE0">
      <w:pPr>
        <w:pStyle w:val="tevilnatoka"/>
        <w:numPr>
          <w:ilvl w:val="0"/>
          <w:numId w:val="207"/>
        </w:numPr>
        <w:shd w:val="clear" w:color="auto" w:fill="FFFFFF" w:themeFill="background1"/>
        <w:tabs>
          <w:tab w:val="clear" w:pos="425"/>
        </w:tabs>
        <w:rPr>
          <w:rFonts w:cs="Arial"/>
          <w:bCs/>
          <w:sz w:val="20"/>
          <w:szCs w:val="20"/>
        </w:rPr>
      </w:pPr>
      <w:r w:rsidRPr="00215B2F">
        <w:rPr>
          <w:rFonts w:eastAsia="Arial" w:cs="Arial"/>
          <w:sz w:val="20"/>
          <w:szCs w:val="20"/>
        </w:rPr>
        <w:t>zahtev</w:t>
      </w:r>
      <w:r w:rsidR="00616805" w:rsidRPr="00215B2F">
        <w:rPr>
          <w:rFonts w:eastAsia="Arial" w:cs="Arial"/>
          <w:sz w:val="20"/>
          <w:szCs w:val="20"/>
        </w:rPr>
        <w:t>o</w:t>
      </w:r>
      <w:r w:rsidRPr="00215B2F">
        <w:rPr>
          <w:rFonts w:eastAsia="Arial" w:cs="Arial"/>
          <w:sz w:val="20"/>
          <w:szCs w:val="20"/>
        </w:rPr>
        <w:t xml:space="preserve"> glede zagotavljanja ustreznega notranjega kapitala v skladu s </w:t>
      </w:r>
      <w:r w:rsidR="00FA74E6" w:rsidRPr="00215B2F">
        <w:rPr>
          <w:rFonts w:eastAsia="Arial" w:cs="Arial"/>
          <w:sz w:val="20"/>
          <w:szCs w:val="20"/>
        </w:rPr>
        <w:t>180</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 ki se nanaša na tveganje prevelikega finančnega vzvoda.</w:t>
      </w:r>
    </w:p>
    <w:p w14:paraId="2B15321B"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2BEAE3E" w14:textId="77777777" w:rsidR="005724C2" w:rsidRPr="00215B2F" w:rsidRDefault="005724C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člen</w:t>
      </w:r>
    </w:p>
    <w:p w14:paraId="6375F68E"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(omejitev razdelitev v zvezi z neizpolnjevanjem zahteve po blažilniku količnika finančnega vzvoda)</w:t>
      </w:r>
    </w:p>
    <w:p w14:paraId="45ECABE4"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3F809920" w14:textId="5414E78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ki izpolnjuje zahtevo po blažilniku finančnega vzvoda na podlagi </w:t>
      </w:r>
      <w:r w:rsidR="00AA2AD1" w:rsidRPr="00215B2F">
        <w:rPr>
          <w:rFonts w:ascii="Arial" w:eastAsia="Arial" w:hAnsi="Arial" w:cs="Arial"/>
          <w:sz w:val="20"/>
          <w:szCs w:val="20"/>
        </w:rPr>
        <w:t xml:space="preserve">1a </w:t>
      </w:r>
      <w:r w:rsidRPr="00215B2F">
        <w:rPr>
          <w:rFonts w:ascii="Arial" w:eastAsia="Arial" w:hAnsi="Arial" w:cs="Arial"/>
          <w:sz w:val="20"/>
          <w:szCs w:val="20"/>
        </w:rPr>
        <w:t>odstavka 92. člena Uredbe 575/2013/EU, ne izvede izplačil oziroma razdelitev v zvezi s temeljnim kapitalom v obsegu, ki bi zmanjšal njen temeljni kapital na raven, na kateri zahteva po blažilniku količnika finančnega vzvoda ne bi bila več izpolnjena.</w:t>
      </w:r>
    </w:p>
    <w:p w14:paraId="62AD3639"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437F3DE9" w14:textId="75241D0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ki ne izpolnjuje zahteve po blažilniku količnika finančnega vzvoda, mora izračunati </w:t>
      </w:r>
      <w:r w:rsidR="00616805" w:rsidRPr="00215B2F">
        <w:rPr>
          <w:rFonts w:ascii="Arial" w:eastAsia="Arial" w:hAnsi="Arial" w:cs="Arial"/>
          <w:sz w:val="20"/>
          <w:szCs w:val="20"/>
        </w:rPr>
        <w:t>najvišj</w:t>
      </w:r>
      <w:r w:rsidRPr="00215B2F">
        <w:rPr>
          <w:rFonts w:ascii="Arial" w:eastAsia="Arial" w:hAnsi="Arial" w:cs="Arial"/>
          <w:sz w:val="20"/>
          <w:szCs w:val="20"/>
        </w:rPr>
        <w:t xml:space="preserve">i znesek za razdelitev glede na količnik finančnega vzvoda (v nadaljnjem besedilu: L-MDA) v skladu </w:t>
      </w:r>
      <w:r w:rsidR="00616805" w:rsidRPr="00215B2F">
        <w:rPr>
          <w:rFonts w:ascii="Arial" w:eastAsia="Arial" w:hAnsi="Arial" w:cs="Arial"/>
          <w:sz w:val="20"/>
          <w:szCs w:val="20"/>
        </w:rPr>
        <w:t xml:space="preserve">s </w:t>
      </w:r>
      <w:r w:rsidR="00FA74E6" w:rsidRPr="00215B2F">
        <w:rPr>
          <w:rFonts w:ascii="Arial" w:eastAsia="Arial" w:hAnsi="Arial" w:cs="Arial"/>
          <w:sz w:val="20"/>
          <w:szCs w:val="20"/>
        </w:rPr>
        <w:t>301</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Banka mora nemudoma obvestiti Banko Slovenije o neizpolnjevanju zahteve po blažilniku količnika finančnega vzvoda in izračunanem L-MDA ter pos</w:t>
      </w:r>
      <w:r w:rsidR="001F2F3E" w:rsidRPr="00215B2F">
        <w:rPr>
          <w:rFonts w:ascii="Arial" w:eastAsia="Arial" w:hAnsi="Arial" w:cs="Arial"/>
          <w:sz w:val="20"/>
          <w:szCs w:val="20"/>
        </w:rPr>
        <w:t>l</w:t>
      </w:r>
      <w:r w:rsidRPr="00215B2F">
        <w:rPr>
          <w:rFonts w:ascii="Arial" w:eastAsia="Arial" w:hAnsi="Arial" w:cs="Arial"/>
          <w:sz w:val="20"/>
          <w:szCs w:val="20"/>
        </w:rPr>
        <w:t xml:space="preserve">ati načrt za ohranitev kapitala iz </w:t>
      </w:r>
      <w:r w:rsidR="00FA74E6" w:rsidRPr="00215B2F">
        <w:rPr>
          <w:rFonts w:ascii="Arial" w:eastAsia="Arial" w:hAnsi="Arial" w:cs="Arial"/>
          <w:sz w:val="20"/>
          <w:szCs w:val="20"/>
        </w:rPr>
        <w:t>303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14F292CD"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0376F2F5" w14:textId="721118D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v primeru iz prejšnjega odstavka pred izračunom L-MDA ne sme:</w:t>
      </w:r>
    </w:p>
    <w:p w14:paraId="30BA31B1"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FF02591" w14:textId="77777777" w:rsidR="00EA58C4" w:rsidRPr="00215B2F" w:rsidRDefault="00D91782" w:rsidP="003D4DE0">
      <w:pPr>
        <w:pStyle w:val="tevilnatoka"/>
        <w:numPr>
          <w:ilvl w:val="0"/>
          <w:numId w:val="208"/>
        </w:numPr>
        <w:shd w:val="clear" w:color="auto" w:fill="FFFFFF" w:themeFill="background1"/>
        <w:tabs>
          <w:tab w:val="clear" w:pos="425"/>
        </w:tabs>
        <w:rPr>
          <w:rFonts w:cs="Arial"/>
          <w:bCs/>
          <w:sz w:val="20"/>
          <w:szCs w:val="20"/>
        </w:rPr>
      </w:pPr>
      <w:r w:rsidRPr="00215B2F">
        <w:rPr>
          <w:rFonts w:eastAsia="Arial" w:cs="Arial"/>
          <w:sz w:val="20"/>
          <w:szCs w:val="20"/>
        </w:rPr>
        <w:t>opravljati izplačil oziroma razdelitev v zvezi z navadnim lastniškim temeljnim kapitalom;</w:t>
      </w:r>
    </w:p>
    <w:p w14:paraId="4E468D12" w14:textId="77777777" w:rsidR="00EA58C4" w:rsidRPr="00215B2F" w:rsidRDefault="00D91782" w:rsidP="003D4DE0">
      <w:pPr>
        <w:pStyle w:val="tevilnatoka"/>
        <w:numPr>
          <w:ilvl w:val="0"/>
          <w:numId w:val="208"/>
        </w:numPr>
        <w:shd w:val="clear" w:color="auto" w:fill="FFFFFF" w:themeFill="background1"/>
        <w:tabs>
          <w:tab w:val="clear" w:pos="425"/>
        </w:tabs>
        <w:rPr>
          <w:rFonts w:cs="Arial"/>
          <w:bCs/>
          <w:sz w:val="20"/>
          <w:szCs w:val="20"/>
        </w:rPr>
      </w:pPr>
      <w:r w:rsidRPr="00215B2F">
        <w:rPr>
          <w:rFonts w:eastAsia="Arial" w:cs="Arial"/>
          <w:sz w:val="20"/>
          <w:szCs w:val="20"/>
        </w:rPr>
        <w:t>vzpostaviti obveznosti za izplačilo variabilnih prejemkov ali diskrecijskih pokojninskih ugodnosti oziroma izplačilo variabilnih prejemkov, če je obveznost izplačila nastala v času, ko banka ni izpolnjevala zahtev po skupnem blažilniku;</w:t>
      </w:r>
    </w:p>
    <w:p w14:paraId="4EFF9DD3" w14:textId="33513AB9" w:rsidR="00D91782" w:rsidRPr="00215B2F" w:rsidRDefault="00D91782" w:rsidP="003D4DE0">
      <w:pPr>
        <w:pStyle w:val="tevilnatoka"/>
        <w:numPr>
          <w:ilvl w:val="0"/>
          <w:numId w:val="208"/>
        </w:numPr>
        <w:shd w:val="clear" w:color="auto" w:fill="FFFFFF" w:themeFill="background1"/>
        <w:tabs>
          <w:tab w:val="clear" w:pos="425"/>
        </w:tabs>
        <w:rPr>
          <w:rFonts w:cs="Arial"/>
          <w:bCs/>
          <w:sz w:val="20"/>
          <w:szCs w:val="20"/>
        </w:rPr>
      </w:pPr>
      <w:r w:rsidRPr="00215B2F">
        <w:rPr>
          <w:rFonts w:eastAsia="Arial" w:cs="Arial"/>
          <w:sz w:val="20"/>
          <w:szCs w:val="20"/>
        </w:rPr>
        <w:t>opravljati izplačil v zvezi z instrumenti dodatnega temeljnega kapitala.</w:t>
      </w:r>
    </w:p>
    <w:p w14:paraId="7B15A248" w14:textId="77777777" w:rsidR="00EA58C4" w:rsidRPr="00215B2F" w:rsidRDefault="00EA58C4" w:rsidP="00FD5520">
      <w:pPr>
        <w:shd w:val="clear" w:color="auto" w:fill="FFFFFF" w:themeFill="background1"/>
        <w:spacing w:after="0" w:line="240" w:lineRule="auto"/>
        <w:jc w:val="both"/>
        <w:rPr>
          <w:rFonts w:ascii="Arial" w:eastAsia="Arial" w:hAnsi="Arial" w:cs="Arial"/>
          <w:sz w:val="20"/>
          <w:szCs w:val="20"/>
        </w:rPr>
      </w:pPr>
    </w:p>
    <w:p w14:paraId="3F567EDF" w14:textId="7560E6A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Kot izplačilo oziroma razdelitev v povezavi z navadnim lastniškim temeljnim kapitalom se za namene iz prvega in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šteje:</w:t>
      </w:r>
    </w:p>
    <w:p w14:paraId="72DBAB6A" w14:textId="77777777" w:rsidR="00EA58C4" w:rsidRPr="00215B2F" w:rsidRDefault="00EA58C4" w:rsidP="00FD5520">
      <w:pPr>
        <w:shd w:val="clear" w:color="auto" w:fill="FFFFFF" w:themeFill="background1"/>
        <w:spacing w:after="0" w:line="240" w:lineRule="auto"/>
        <w:jc w:val="both"/>
        <w:rPr>
          <w:rFonts w:ascii="Arial" w:eastAsia="Arial" w:hAnsi="Arial" w:cs="Arial"/>
          <w:sz w:val="20"/>
          <w:szCs w:val="20"/>
        </w:rPr>
      </w:pPr>
    </w:p>
    <w:p w14:paraId="58AD03AB" w14:textId="77777777" w:rsidR="00EA58C4" w:rsidRPr="00215B2F" w:rsidRDefault="00D91782" w:rsidP="003D4DE0">
      <w:pPr>
        <w:pStyle w:val="tevilnatoka"/>
        <w:numPr>
          <w:ilvl w:val="0"/>
          <w:numId w:val="209"/>
        </w:numPr>
        <w:shd w:val="clear" w:color="auto" w:fill="FFFFFF" w:themeFill="background1"/>
        <w:tabs>
          <w:tab w:val="clear" w:pos="425"/>
        </w:tabs>
        <w:rPr>
          <w:rFonts w:cs="Arial"/>
          <w:bCs/>
          <w:sz w:val="20"/>
          <w:szCs w:val="20"/>
        </w:rPr>
      </w:pPr>
      <w:r w:rsidRPr="00215B2F">
        <w:rPr>
          <w:rFonts w:eastAsia="Arial" w:cs="Arial"/>
          <w:sz w:val="20"/>
          <w:szCs w:val="20"/>
        </w:rPr>
        <w:t>plačilo dividend v denarju;</w:t>
      </w:r>
    </w:p>
    <w:p w14:paraId="02D32BC6" w14:textId="77777777" w:rsidR="00EA58C4" w:rsidRPr="00215B2F" w:rsidRDefault="00D91782" w:rsidP="003D4DE0">
      <w:pPr>
        <w:pStyle w:val="tevilnatoka"/>
        <w:numPr>
          <w:ilvl w:val="0"/>
          <w:numId w:val="209"/>
        </w:numPr>
        <w:shd w:val="clear" w:color="auto" w:fill="FFFFFF" w:themeFill="background1"/>
        <w:tabs>
          <w:tab w:val="clear" w:pos="425"/>
        </w:tabs>
        <w:rPr>
          <w:rFonts w:cs="Arial"/>
          <w:bCs/>
          <w:sz w:val="20"/>
          <w:szCs w:val="20"/>
        </w:rPr>
      </w:pPr>
      <w:r w:rsidRPr="00215B2F">
        <w:rPr>
          <w:rFonts w:eastAsia="Arial" w:cs="Arial"/>
          <w:sz w:val="20"/>
          <w:szCs w:val="20"/>
        </w:rPr>
        <w:t>celotno ali delno izplačilo variabilnega dela prejemkov v obliki delnic ali drugih kapitalskih instrumentov iz točke (a) prvega odstavka 26. člena Uredbe 575/2013/EU;</w:t>
      </w:r>
    </w:p>
    <w:p w14:paraId="3A30D7DD" w14:textId="77777777" w:rsidR="00EA58C4" w:rsidRPr="00215B2F" w:rsidRDefault="00D91782" w:rsidP="003D4DE0">
      <w:pPr>
        <w:pStyle w:val="tevilnatoka"/>
        <w:numPr>
          <w:ilvl w:val="0"/>
          <w:numId w:val="209"/>
        </w:numPr>
        <w:shd w:val="clear" w:color="auto" w:fill="FFFFFF" w:themeFill="background1"/>
        <w:tabs>
          <w:tab w:val="clear" w:pos="425"/>
        </w:tabs>
        <w:rPr>
          <w:rFonts w:cs="Arial"/>
          <w:bCs/>
          <w:sz w:val="20"/>
          <w:szCs w:val="20"/>
        </w:rPr>
      </w:pPr>
      <w:r w:rsidRPr="00215B2F">
        <w:rPr>
          <w:rFonts w:eastAsia="Arial" w:cs="Arial"/>
          <w:sz w:val="20"/>
          <w:szCs w:val="20"/>
        </w:rPr>
        <w:lastRenderedPageBreak/>
        <w:t>odkup ali nakup lastnih delnic ali drugih kapitalskih instrumentov iz točke (a) prvega odstavka 26. člena Uredbe 575/2013/EU s strani banke;</w:t>
      </w:r>
    </w:p>
    <w:p w14:paraId="08AC0431" w14:textId="77777777" w:rsidR="00EA58C4" w:rsidRPr="00215B2F" w:rsidRDefault="00D91782" w:rsidP="003D4DE0">
      <w:pPr>
        <w:pStyle w:val="tevilnatoka"/>
        <w:numPr>
          <w:ilvl w:val="0"/>
          <w:numId w:val="209"/>
        </w:numPr>
        <w:shd w:val="clear" w:color="auto" w:fill="FFFFFF" w:themeFill="background1"/>
        <w:tabs>
          <w:tab w:val="clear" w:pos="425"/>
        </w:tabs>
        <w:rPr>
          <w:rFonts w:cs="Arial"/>
          <w:bCs/>
          <w:sz w:val="20"/>
          <w:szCs w:val="20"/>
        </w:rPr>
      </w:pPr>
      <w:r w:rsidRPr="00215B2F">
        <w:rPr>
          <w:rFonts w:eastAsia="Arial" w:cs="Arial"/>
          <w:sz w:val="20"/>
          <w:szCs w:val="20"/>
        </w:rPr>
        <w:t>izplačilo kapitalskih instrumentov iz točke (a) prvega odstavka 26. člena Uredbe 575/2013/EU;</w:t>
      </w:r>
    </w:p>
    <w:p w14:paraId="7FC2EC93" w14:textId="2A6F3E0B" w:rsidR="00D91782" w:rsidRPr="00215B2F" w:rsidRDefault="00D91782" w:rsidP="003D4DE0">
      <w:pPr>
        <w:pStyle w:val="tevilnatoka"/>
        <w:numPr>
          <w:ilvl w:val="0"/>
          <w:numId w:val="209"/>
        </w:numPr>
        <w:shd w:val="clear" w:color="auto" w:fill="FFFFFF" w:themeFill="background1"/>
        <w:tabs>
          <w:tab w:val="clear" w:pos="425"/>
        </w:tabs>
        <w:rPr>
          <w:rFonts w:cs="Arial"/>
          <w:bCs/>
          <w:sz w:val="20"/>
          <w:szCs w:val="20"/>
        </w:rPr>
      </w:pPr>
      <w:r w:rsidRPr="00215B2F">
        <w:rPr>
          <w:rFonts w:eastAsia="Arial" w:cs="Arial"/>
          <w:sz w:val="20"/>
          <w:szCs w:val="20"/>
        </w:rPr>
        <w:t>izplačilo postavk iz točk (b) do (e) prvega odstavka 26. člena Uredbe 575/2013/EU.</w:t>
      </w:r>
    </w:p>
    <w:p w14:paraId="51997935"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73FAD296" w14:textId="6B9FA67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Če banka ne izpolnjuje zahteve po blažilniku količnika finančnega vzvoda ali je ne presega, lahko opravi izplačila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največ v višini L-MDA, izračunanega v skladu </w:t>
      </w:r>
      <w:r w:rsidR="00331013" w:rsidRPr="00215B2F">
        <w:rPr>
          <w:rFonts w:ascii="Arial" w:eastAsia="Arial" w:hAnsi="Arial" w:cs="Arial"/>
          <w:sz w:val="20"/>
          <w:szCs w:val="20"/>
        </w:rPr>
        <w:t xml:space="preserve">s </w:t>
      </w:r>
      <w:r w:rsidR="00FA74E6" w:rsidRPr="00215B2F">
        <w:rPr>
          <w:rFonts w:ascii="Arial" w:eastAsia="Arial" w:hAnsi="Arial" w:cs="Arial"/>
          <w:sz w:val="20"/>
          <w:szCs w:val="20"/>
        </w:rPr>
        <w:t>301</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00A1B651"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786DC930" w14:textId="4BE8596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Omejitve izplačil iz tega člena se uporabljajo le za plačila, ki povzročijo zmanjšanje temeljnega kapitala ali zmanjšanje dobička</w:t>
      </w:r>
      <w:r w:rsidR="00331013" w:rsidRPr="00215B2F">
        <w:rPr>
          <w:rFonts w:ascii="Arial" w:eastAsia="Arial" w:hAnsi="Arial" w:cs="Arial"/>
          <w:sz w:val="20"/>
          <w:szCs w:val="20"/>
        </w:rPr>
        <w:t>,</w:t>
      </w:r>
      <w:r w:rsidRPr="00215B2F">
        <w:rPr>
          <w:rFonts w:ascii="Arial" w:eastAsia="Arial" w:hAnsi="Arial" w:cs="Arial"/>
          <w:sz w:val="20"/>
          <w:szCs w:val="20"/>
        </w:rPr>
        <w:t xml:space="preserve"> in kadar ustavitev ali neizvedba plačila ne pomeni nastopa dogodka neplačila ali pogoja za začetek postopka insolventnosti.</w:t>
      </w:r>
    </w:p>
    <w:p w14:paraId="26CC2AA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18D1805"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člen</w:t>
      </w:r>
    </w:p>
    <w:p w14:paraId="3A9AB641"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(izračun L-MDA)</w:t>
      </w:r>
    </w:p>
    <w:p w14:paraId="5C4EA741"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50733D48" w14:textId="05C2A75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izračuna L-MDA z množenjem vsote, izračunane v skladu z drugim odstavkom tega člena, in faktorja, določenega v skladu s tretjim odstavkom tega člena. Izračunani znesek L-MDA se zmanjša za znesek iz naslova izplačil ali drugih dejanj iz tretjega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w:t>
      </w:r>
    </w:p>
    <w:p w14:paraId="25601BD3"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7002D6BC" w14:textId="480008C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Vsota iz prejšnjega odstavka se izračuna kot seštevek vseh dobičkov banke, ustvarjenih med letom, in vseh čistih dobičkov poslovnega leta, kadar ti dobički niso upoštevani v navadnem lastniškem temeljnem kapitalu banke v skladu z drugim odstavkom 26. člena Uredbe 575/2013/EU, pri tem pa se seštevek zmanjša za morebitno razdelitev dobičkov ali izplačilo iz tretjega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ter davek, ki bi ga morala banka plačati v primeru, če bi bil ta dobiček zadržan.</w:t>
      </w:r>
    </w:p>
    <w:p w14:paraId="0A8C4976"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37F4D37F" w14:textId="2BB9972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Faktor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je določen glede na delež, ki ga predstavlja temeljni kapital banke, izražen kot odstotni delež mere skupne izpostavljenosti, izračunane v skladu s četrtim odstavkom 429. člena Uredbe 575/2013/EU, v zahtevi po blažilniku količnika finančnega vzvoda, in sicer</w:t>
      </w:r>
      <w:r w:rsidR="00331013" w:rsidRPr="00215B2F">
        <w:rPr>
          <w:rFonts w:ascii="Arial" w:eastAsia="Arial" w:hAnsi="Arial" w:cs="Arial"/>
          <w:sz w:val="20"/>
          <w:szCs w:val="20"/>
        </w:rPr>
        <w:t xml:space="preserve"> se,</w:t>
      </w:r>
      <w:r w:rsidRPr="00215B2F">
        <w:rPr>
          <w:rFonts w:ascii="Arial" w:eastAsia="Arial" w:hAnsi="Arial" w:cs="Arial"/>
          <w:sz w:val="20"/>
          <w:szCs w:val="20"/>
        </w:rPr>
        <w:t xml:space="preserve"> če je višina tega deleža:</w:t>
      </w:r>
    </w:p>
    <w:p w14:paraId="46B483EB"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422BE0F6" w14:textId="417441A2" w:rsidR="00EA58C4" w:rsidRPr="00215B2F" w:rsidRDefault="00E832FC" w:rsidP="003D4DE0">
      <w:pPr>
        <w:pStyle w:val="tevilnatoka"/>
        <w:numPr>
          <w:ilvl w:val="0"/>
          <w:numId w:val="210"/>
        </w:numPr>
        <w:shd w:val="clear" w:color="auto" w:fill="FFFFFF" w:themeFill="background1"/>
        <w:tabs>
          <w:tab w:val="clear" w:pos="425"/>
        </w:tabs>
        <w:rPr>
          <w:rFonts w:cs="Arial"/>
          <w:bCs/>
          <w:sz w:val="20"/>
          <w:szCs w:val="20"/>
        </w:rPr>
      </w:pPr>
      <w:r w:rsidRPr="00215B2F">
        <w:rPr>
          <w:rFonts w:eastAsia="Arial" w:cs="Arial"/>
          <w:sz w:val="20"/>
          <w:szCs w:val="20"/>
        </w:rPr>
        <w:t xml:space="preserve">enaka </w:t>
      </w:r>
      <w:r w:rsidR="00D91782" w:rsidRPr="00215B2F">
        <w:rPr>
          <w:rFonts w:eastAsia="Arial" w:cs="Arial"/>
          <w:sz w:val="20"/>
          <w:szCs w:val="20"/>
        </w:rPr>
        <w:t>25 odstotkov</w:t>
      </w:r>
      <w:r w:rsidR="00D84BD8" w:rsidRPr="00215B2F">
        <w:rPr>
          <w:rFonts w:eastAsia="Arial" w:cs="Arial"/>
          <w:sz w:val="20"/>
          <w:szCs w:val="20"/>
        </w:rPr>
        <w:t xml:space="preserve"> ali nižja</w:t>
      </w:r>
      <w:r w:rsidR="00D91782" w:rsidRPr="00215B2F">
        <w:rPr>
          <w:rFonts w:eastAsia="Arial" w:cs="Arial"/>
          <w:sz w:val="20"/>
          <w:szCs w:val="20"/>
        </w:rPr>
        <w:t>, uporabi faktor 0;</w:t>
      </w:r>
    </w:p>
    <w:p w14:paraId="4BC49E13" w14:textId="6FBCE95A" w:rsidR="00EA58C4" w:rsidRPr="00215B2F" w:rsidRDefault="00D91782" w:rsidP="003D4DE0">
      <w:pPr>
        <w:pStyle w:val="tevilnatoka"/>
        <w:numPr>
          <w:ilvl w:val="0"/>
          <w:numId w:val="210"/>
        </w:numPr>
        <w:shd w:val="clear" w:color="auto" w:fill="FFFFFF" w:themeFill="background1"/>
        <w:tabs>
          <w:tab w:val="clear" w:pos="425"/>
        </w:tabs>
        <w:rPr>
          <w:rFonts w:cs="Arial"/>
          <w:bCs/>
          <w:sz w:val="20"/>
          <w:szCs w:val="20"/>
        </w:rPr>
      </w:pPr>
      <w:r w:rsidRPr="00215B2F">
        <w:rPr>
          <w:rFonts w:eastAsia="Arial" w:cs="Arial"/>
          <w:sz w:val="20"/>
          <w:szCs w:val="20"/>
        </w:rPr>
        <w:t>višja od 25 odstotkov in nižja od 50 odstotkov</w:t>
      </w:r>
      <w:r w:rsidR="00D84BD8" w:rsidRPr="00215B2F">
        <w:rPr>
          <w:rFonts w:eastAsia="Arial" w:cs="Arial"/>
          <w:sz w:val="20"/>
          <w:szCs w:val="20"/>
        </w:rPr>
        <w:t xml:space="preserve"> ali </w:t>
      </w:r>
      <w:r w:rsidR="00E832FC" w:rsidRPr="00215B2F">
        <w:rPr>
          <w:rFonts w:eastAsia="Arial" w:cs="Arial"/>
          <w:sz w:val="20"/>
          <w:szCs w:val="20"/>
        </w:rPr>
        <w:t xml:space="preserve">enaka </w:t>
      </w:r>
      <w:r w:rsidR="00D84BD8" w:rsidRPr="00215B2F">
        <w:rPr>
          <w:rFonts w:eastAsia="Arial" w:cs="Arial"/>
          <w:sz w:val="20"/>
          <w:szCs w:val="20"/>
        </w:rPr>
        <w:t>50 odstotkov</w:t>
      </w:r>
      <w:r w:rsidRPr="00215B2F">
        <w:rPr>
          <w:rFonts w:eastAsia="Arial" w:cs="Arial"/>
          <w:sz w:val="20"/>
          <w:szCs w:val="20"/>
        </w:rPr>
        <w:t>, uporabi faktor 0,2;</w:t>
      </w:r>
    </w:p>
    <w:p w14:paraId="77B36883" w14:textId="3696DD5D" w:rsidR="00EA58C4" w:rsidRPr="00215B2F" w:rsidRDefault="00D91782" w:rsidP="003D4DE0">
      <w:pPr>
        <w:pStyle w:val="tevilnatoka"/>
        <w:numPr>
          <w:ilvl w:val="0"/>
          <w:numId w:val="210"/>
        </w:numPr>
        <w:shd w:val="clear" w:color="auto" w:fill="FFFFFF" w:themeFill="background1"/>
        <w:tabs>
          <w:tab w:val="clear" w:pos="425"/>
        </w:tabs>
        <w:rPr>
          <w:rFonts w:cs="Arial"/>
          <w:bCs/>
          <w:sz w:val="20"/>
          <w:szCs w:val="20"/>
        </w:rPr>
      </w:pPr>
      <w:r w:rsidRPr="00215B2F">
        <w:rPr>
          <w:rFonts w:eastAsia="Arial" w:cs="Arial"/>
          <w:sz w:val="20"/>
          <w:szCs w:val="20"/>
        </w:rPr>
        <w:t>višja od 50 odstotkov in nižja od 75 odstotkov</w:t>
      </w:r>
      <w:r w:rsidR="00D84BD8" w:rsidRPr="00215B2F">
        <w:rPr>
          <w:rFonts w:eastAsia="Arial" w:cs="Arial"/>
          <w:sz w:val="20"/>
          <w:szCs w:val="20"/>
        </w:rPr>
        <w:t xml:space="preserve"> ali </w:t>
      </w:r>
      <w:r w:rsidR="00E832FC" w:rsidRPr="00215B2F">
        <w:rPr>
          <w:rFonts w:eastAsia="Arial" w:cs="Arial"/>
          <w:sz w:val="20"/>
          <w:szCs w:val="20"/>
        </w:rPr>
        <w:t xml:space="preserve">enaka </w:t>
      </w:r>
      <w:r w:rsidR="00D84BD8" w:rsidRPr="00215B2F">
        <w:rPr>
          <w:rFonts w:eastAsia="Arial" w:cs="Arial"/>
          <w:sz w:val="20"/>
          <w:szCs w:val="20"/>
        </w:rPr>
        <w:t>75 odstotkov</w:t>
      </w:r>
      <w:r w:rsidRPr="00215B2F">
        <w:rPr>
          <w:rFonts w:eastAsia="Arial" w:cs="Arial"/>
          <w:sz w:val="20"/>
          <w:szCs w:val="20"/>
        </w:rPr>
        <w:t>, uporabi faktor 0,4;</w:t>
      </w:r>
    </w:p>
    <w:p w14:paraId="76BEFAEA" w14:textId="25EABEC0" w:rsidR="00D91782" w:rsidRPr="00215B2F" w:rsidRDefault="00D91782" w:rsidP="003D4DE0">
      <w:pPr>
        <w:pStyle w:val="tevilnatoka"/>
        <w:numPr>
          <w:ilvl w:val="0"/>
          <w:numId w:val="210"/>
        </w:numPr>
        <w:shd w:val="clear" w:color="auto" w:fill="FFFFFF" w:themeFill="background1"/>
        <w:tabs>
          <w:tab w:val="clear" w:pos="425"/>
        </w:tabs>
        <w:rPr>
          <w:rFonts w:cs="Arial"/>
          <w:bCs/>
          <w:sz w:val="20"/>
          <w:szCs w:val="20"/>
        </w:rPr>
      </w:pPr>
      <w:r w:rsidRPr="00215B2F">
        <w:rPr>
          <w:rFonts w:eastAsia="Arial" w:cs="Arial"/>
          <w:sz w:val="20"/>
          <w:szCs w:val="20"/>
        </w:rPr>
        <w:t>višja od 75 odstotkov in nižja od 100 odstotkov</w:t>
      </w:r>
      <w:r w:rsidR="00D84BD8" w:rsidRPr="00215B2F">
        <w:rPr>
          <w:rFonts w:eastAsia="Arial" w:cs="Arial"/>
          <w:sz w:val="20"/>
          <w:szCs w:val="20"/>
        </w:rPr>
        <w:t xml:space="preserve"> ali </w:t>
      </w:r>
      <w:r w:rsidR="00E832FC" w:rsidRPr="00215B2F">
        <w:rPr>
          <w:rFonts w:eastAsia="Arial" w:cs="Arial"/>
          <w:sz w:val="20"/>
          <w:szCs w:val="20"/>
        </w:rPr>
        <w:t xml:space="preserve">enaka </w:t>
      </w:r>
      <w:r w:rsidR="00D84BD8" w:rsidRPr="00215B2F">
        <w:rPr>
          <w:rFonts w:eastAsia="Arial" w:cs="Arial"/>
          <w:sz w:val="20"/>
          <w:szCs w:val="20"/>
        </w:rPr>
        <w:t>100 odstotkov</w:t>
      </w:r>
      <w:r w:rsidRPr="00215B2F">
        <w:rPr>
          <w:rFonts w:eastAsia="Arial" w:cs="Arial"/>
          <w:sz w:val="20"/>
          <w:szCs w:val="20"/>
        </w:rPr>
        <w:t>, uporabi faktor 0,6.</w:t>
      </w:r>
    </w:p>
    <w:p w14:paraId="651AADE0"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17ACD13B" w14:textId="5EC5CB7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Za namen prejšnjega odstavka se kot temeljni kapital banke upošteva kapital, ki se ne uporablja za izpolnjevanje:</w:t>
      </w:r>
    </w:p>
    <w:p w14:paraId="76C480ED"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5F913557" w14:textId="77777777" w:rsidR="00EA58C4" w:rsidRPr="00215B2F" w:rsidRDefault="00D91782" w:rsidP="003D4DE0">
      <w:pPr>
        <w:pStyle w:val="tevilnatoka"/>
        <w:numPr>
          <w:ilvl w:val="0"/>
          <w:numId w:val="211"/>
        </w:numPr>
        <w:shd w:val="clear" w:color="auto" w:fill="FFFFFF" w:themeFill="background1"/>
        <w:tabs>
          <w:tab w:val="clear" w:pos="425"/>
        </w:tabs>
        <w:rPr>
          <w:rFonts w:cs="Arial"/>
          <w:bCs/>
          <w:sz w:val="20"/>
          <w:szCs w:val="20"/>
        </w:rPr>
      </w:pPr>
      <w:r w:rsidRPr="00215B2F">
        <w:rPr>
          <w:rFonts w:eastAsia="Arial" w:cs="Arial"/>
          <w:sz w:val="20"/>
          <w:szCs w:val="20"/>
        </w:rPr>
        <w:t>zahteve iz točke (d) prvega odstavka 92. člena Uredbe 575/2013/EU;</w:t>
      </w:r>
    </w:p>
    <w:p w14:paraId="179B68D4" w14:textId="4E271177" w:rsidR="00EA58C4" w:rsidRPr="00215B2F" w:rsidRDefault="00D91782" w:rsidP="003D4DE0">
      <w:pPr>
        <w:pStyle w:val="tevilnatoka"/>
        <w:numPr>
          <w:ilvl w:val="0"/>
          <w:numId w:val="211"/>
        </w:numPr>
        <w:shd w:val="clear" w:color="auto" w:fill="FFFFFF" w:themeFill="background1"/>
        <w:tabs>
          <w:tab w:val="clear" w:pos="425"/>
        </w:tabs>
        <w:rPr>
          <w:rFonts w:cs="Arial"/>
          <w:bCs/>
          <w:sz w:val="20"/>
          <w:szCs w:val="20"/>
        </w:rPr>
      </w:pPr>
      <w:r w:rsidRPr="00215B2F">
        <w:rPr>
          <w:rFonts w:eastAsia="Arial" w:cs="Arial"/>
          <w:sz w:val="20"/>
          <w:szCs w:val="20"/>
        </w:rPr>
        <w:t xml:space="preserve">zahteve na podlagi 203. člena ali 1. točke drugega odstavka </w:t>
      </w:r>
      <w:r w:rsidR="005A78EE" w:rsidRPr="00215B2F">
        <w:rPr>
          <w:rFonts w:eastAsia="Arial" w:cs="Arial"/>
          <w:sz w:val="20"/>
          <w:szCs w:val="20"/>
        </w:rPr>
        <w:t>345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za obravnavo tveganja prevelikega finančnega vzvoda, ki ni zadosti pokrito </w:t>
      </w:r>
      <w:r w:rsidR="00D84BD8" w:rsidRPr="00215B2F">
        <w:rPr>
          <w:rFonts w:eastAsia="Arial" w:cs="Arial"/>
          <w:sz w:val="20"/>
          <w:szCs w:val="20"/>
        </w:rPr>
        <w:t>z zahtevo iz</w:t>
      </w:r>
      <w:r w:rsidRPr="00215B2F">
        <w:rPr>
          <w:rFonts w:eastAsia="Arial" w:cs="Arial"/>
          <w:sz w:val="20"/>
          <w:szCs w:val="20"/>
        </w:rPr>
        <w:t xml:space="preserve"> točk</w:t>
      </w:r>
      <w:r w:rsidR="00D84BD8" w:rsidRPr="00215B2F">
        <w:rPr>
          <w:rFonts w:eastAsia="Arial" w:cs="Arial"/>
          <w:sz w:val="20"/>
          <w:szCs w:val="20"/>
        </w:rPr>
        <w:t>e</w:t>
      </w:r>
      <w:r w:rsidRPr="00215B2F">
        <w:rPr>
          <w:rFonts w:eastAsia="Arial" w:cs="Arial"/>
          <w:sz w:val="20"/>
          <w:szCs w:val="20"/>
        </w:rPr>
        <w:t xml:space="preserve"> (d) prvega odstavka 92. člena Uredbe 575/2013/EU;</w:t>
      </w:r>
    </w:p>
    <w:p w14:paraId="024D14E3" w14:textId="0725A404" w:rsidR="00D91782" w:rsidRPr="00215B2F" w:rsidRDefault="00D91782" w:rsidP="003D4DE0">
      <w:pPr>
        <w:pStyle w:val="tevilnatoka"/>
        <w:numPr>
          <w:ilvl w:val="0"/>
          <w:numId w:val="211"/>
        </w:numPr>
        <w:shd w:val="clear" w:color="auto" w:fill="FFFFFF" w:themeFill="background1"/>
        <w:tabs>
          <w:tab w:val="clear" w:pos="425"/>
        </w:tabs>
        <w:rPr>
          <w:rFonts w:cs="Arial"/>
          <w:bCs/>
          <w:sz w:val="20"/>
          <w:szCs w:val="20"/>
        </w:rPr>
      </w:pPr>
      <w:r w:rsidRPr="00215B2F">
        <w:rPr>
          <w:rFonts w:eastAsia="Arial" w:cs="Arial"/>
          <w:sz w:val="20"/>
          <w:szCs w:val="20"/>
        </w:rPr>
        <w:t xml:space="preserve">zahteve glede zagotavljanja ustreznega notranjega kapitala v skladu s </w:t>
      </w:r>
      <w:r w:rsidR="00FA74E6" w:rsidRPr="00215B2F">
        <w:rPr>
          <w:rFonts w:eastAsia="Arial" w:cs="Arial"/>
          <w:sz w:val="20"/>
          <w:szCs w:val="20"/>
        </w:rPr>
        <w:t>180</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 ki se nanaša na tveganje prevelikega finančnega vzvoda.</w:t>
      </w:r>
    </w:p>
    <w:p w14:paraId="6226EF6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ABC13D3"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57" w:name="_Ref203381926"/>
      <w:r w:rsidRPr="00215B2F">
        <w:rPr>
          <w:rFonts w:ascii="Arial" w:eastAsia="Arial" w:hAnsi="Arial" w:cs="Arial"/>
          <w:b/>
          <w:bCs/>
          <w:sz w:val="20"/>
          <w:szCs w:val="20"/>
        </w:rPr>
        <w:t>člen</w:t>
      </w:r>
      <w:bookmarkEnd w:id="357"/>
    </w:p>
    <w:p w14:paraId="061195BF"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(obveščanje Banke Slovenije)</w:t>
      </w:r>
    </w:p>
    <w:p w14:paraId="6BAA7343"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0514B7FF" w14:textId="4A11EA5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ki ne izpolnjuje zahteve po blažilniku količnika finančnega vzvoda, najpozneje en mesec pred nameravanim izplačilom razpoložljivega dobička ali izvedbo dejanj iz tretjega odstavka </w:t>
      </w:r>
      <w:r w:rsidR="00FA74E6" w:rsidRPr="00215B2F">
        <w:rPr>
          <w:rFonts w:ascii="Arial" w:eastAsia="Arial" w:hAnsi="Arial" w:cs="Arial"/>
          <w:sz w:val="20"/>
          <w:szCs w:val="20"/>
        </w:rPr>
        <w:t>300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 tem obvesti Banko Slovenije in predloži naslednje podatke:</w:t>
      </w:r>
    </w:p>
    <w:p w14:paraId="5BD6E96C"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06E35F6C" w14:textId="14B70E66" w:rsidR="00D91782" w:rsidRPr="00215B2F" w:rsidRDefault="00D91782" w:rsidP="003D4DE0">
      <w:pPr>
        <w:pStyle w:val="tevilnatoka"/>
        <w:numPr>
          <w:ilvl w:val="0"/>
          <w:numId w:val="212"/>
        </w:numPr>
        <w:shd w:val="clear" w:color="auto" w:fill="FFFFFF" w:themeFill="background1"/>
        <w:tabs>
          <w:tab w:val="clear" w:pos="425"/>
        </w:tabs>
        <w:rPr>
          <w:rFonts w:cs="Arial"/>
          <w:bCs/>
          <w:sz w:val="20"/>
          <w:szCs w:val="20"/>
        </w:rPr>
      </w:pPr>
      <w:r w:rsidRPr="00215B2F">
        <w:rPr>
          <w:rFonts w:eastAsia="Arial" w:cs="Arial"/>
          <w:sz w:val="20"/>
          <w:szCs w:val="20"/>
        </w:rPr>
        <w:t>znesek temeljnega kapitala, razčlenjen na:</w:t>
      </w:r>
    </w:p>
    <w:p w14:paraId="51DC3A7C" w14:textId="77777777"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navadni lastniški temeljni kapital in</w:t>
      </w:r>
    </w:p>
    <w:p w14:paraId="64C0E9F3" w14:textId="4E87FC05"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dodatni temeljni kapital;</w:t>
      </w:r>
    </w:p>
    <w:p w14:paraId="195F8FD7" w14:textId="77777777" w:rsidR="00EA58C4" w:rsidRPr="00215B2F" w:rsidRDefault="00D91782" w:rsidP="00D8730E">
      <w:pPr>
        <w:pStyle w:val="tevilnatoka"/>
        <w:rPr>
          <w:rFonts w:cs="Arial"/>
          <w:bCs/>
          <w:sz w:val="20"/>
          <w:szCs w:val="20"/>
        </w:rPr>
      </w:pPr>
      <w:r w:rsidRPr="00215B2F">
        <w:rPr>
          <w:rFonts w:eastAsia="Arial" w:cs="Arial"/>
          <w:sz w:val="20"/>
          <w:szCs w:val="20"/>
        </w:rPr>
        <w:t>znesek dobička med letom in čistega dobička poslovnega leta;</w:t>
      </w:r>
    </w:p>
    <w:p w14:paraId="61A43D7A" w14:textId="77777777" w:rsidR="00EA58C4" w:rsidRPr="00215B2F" w:rsidRDefault="00D91782" w:rsidP="00D8730E">
      <w:pPr>
        <w:pStyle w:val="tevilnatoka"/>
        <w:rPr>
          <w:rFonts w:cs="Arial"/>
          <w:bCs/>
          <w:sz w:val="20"/>
          <w:szCs w:val="20"/>
        </w:rPr>
      </w:pPr>
      <w:r w:rsidRPr="00215B2F">
        <w:rPr>
          <w:rFonts w:eastAsia="Arial" w:cs="Arial"/>
          <w:sz w:val="20"/>
          <w:szCs w:val="20"/>
        </w:rPr>
        <w:t>L-MDA, izračunan v skladu s prejšnjim členom;</w:t>
      </w:r>
    </w:p>
    <w:p w14:paraId="547BFFF6" w14:textId="741B9807" w:rsidR="00D91782" w:rsidRPr="00215B2F" w:rsidRDefault="00D91782" w:rsidP="00D8730E">
      <w:pPr>
        <w:pStyle w:val="tevilnatoka"/>
        <w:rPr>
          <w:rFonts w:cs="Arial"/>
          <w:bCs/>
          <w:sz w:val="20"/>
          <w:szCs w:val="20"/>
        </w:rPr>
      </w:pPr>
      <w:r w:rsidRPr="00215B2F">
        <w:rPr>
          <w:rFonts w:eastAsia="Arial" w:cs="Arial"/>
          <w:sz w:val="20"/>
          <w:szCs w:val="20"/>
        </w:rPr>
        <w:t>znesek razpoložljivega dobička, ki ga namerava razporediti med naslednje postavke:</w:t>
      </w:r>
    </w:p>
    <w:p w14:paraId="601AAED8" w14:textId="77777777"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izplačila dividend,</w:t>
      </w:r>
    </w:p>
    <w:p w14:paraId="4FF192EA" w14:textId="4BD5DF37"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lastRenderedPageBreak/>
        <w:t>(re)odkupi delnic,</w:t>
      </w:r>
    </w:p>
    <w:p w14:paraId="2FAEDAA1" w14:textId="77777777"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izplačila na instrumente dodatnega temeljnega kapitala,</w:t>
      </w:r>
    </w:p>
    <w:p w14:paraId="0CEE37B6" w14:textId="2A879D6B"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izplačila variabilnih prejemkov ali diskrecijskih pokojninskih ugodnosti, ki se lahko izvedejo z vzpostavitvijo nove obveznosti izplačila ali z izplačilom obveznosti izplačila, ki je nastala v času, ko banka ni izpolnjevala zahtev po blažilniku količnika finančnega vzvoda.</w:t>
      </w:r>
    </w:p>
    <w:p w14:paraId="5B5E11CF"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29DBE9C4" w14:textId="66E12AC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mora vzpostaviti in vzdrževati ureditve, s katerimi zagotavlja natančn</w:t>
      </w:r>
      <w:r w:rsidR="00D84BD8" w:rsidRPr="00215B2F">
        <w:rPr>
          <w:rFonts w:ascii="Arial" w:eastAsia="Arial" w:hAnsi="Arial" w:cs="Arial"/>
          <w:sz w:val="20"/>
          <w:szCs w:val="20"/>
        </w:rPr>
        <w:t>i</w:t>
      </w:r>
      <w:r w:rsidRPr="00215B2F">
        <w:rPr>
          <w:rFonts w:ascii="Arial" w:eastAsia="Arial" w:hAnsi="Arial" w:cs="Arial"/>
          <w:sz w:val="20"/>
          <w:szCs w:val="20"/>
        </w:rPr>
        <w:t xml:space="preserve"> izračun zneska razpoložljivega dobička in L-MDA, ter na zahtevo Banke Slovenije to tudi dokazati.</w:t>
      </w:r>
    </w:p>
    <w:p w14:paraId="74A3DF9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DC50B04" w14:textId="6733006A"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7.4.3 Načrt za ohranitev kapitala</w:t>
      </w:r>
    </w:p>
    <w:p w14:paraId="1B447D62" w14:textId="77777777" w:rsidR="00D91782" w:rsidRPr="00215B2F" w:rsidRDefault="00D91782" w:rsidP="00FD5520">
      <w:pPr>
        <w:shd w:val="clear" w:color="auto" w:fill="FFFFFF" w:themeFill="background1"/>
        <w:spacing w:after="0" w:line="240" w:lineRule="auto"/>
        <w:jc w:val="both"/>
        <w:rPr>
          <w:rFonts w:ascii="Arial" w:eastAsia="Arial" w:hAnsi="Arial" w:cs="Arial"/>
          <w:i/>
          <w:iCs/>
          <w:sz w:val="20"/>
          <w:szCs w:val="20"/>
        </w:rPr>
      </w:pPr>
    </w:p>
    <w:p w14:paraId="2D8AE5C7"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58" w:name="_Ref202965782"/>
      <w:r w:rsidRPr="00215B2F">
        <w:rPr>
          <w:rFonts w:ascii="Arial" w:eastAsia="Arial" w:hAnsi="Arial" w:cs="Arial"/>
          <w:b/>
          <w:bCs/>
          <w:sz w:val="20"/>
          <w:szCs w:val="20"/>
        </w:rPr>
        <w:t>člen</w:t>
      </w:r>
      <w:bookmarkEnd w:id="358"/>
    </w:p>
    <w:p w14:paraId="77BD6D12" w14:textId="77777777" w:rsidR="00D91782" w:rsidRPr="00215B2F" w:rsidRDefault="00D91782" w:rsidP="00FD5520">
      <w:pPr>
        <w:pStyle w:val="Slog1"/>
        <w:shd w:val="clear" w:color="auto" w:fill="FFFFFF" w:themeFill="background1"/>
        <w:rPr>
          <w:sz w:val="20"/>
          <w:szCs w:val="20"/>
        </w:rPr>
      </w:pPr>
      <w:r w:rsidRPr="00215B2F">
        <w:rPr>
          <w:sz w:val="20"/>
          <w:szCs w:val="20"/>
        </w:rPr>
        <w:t>(načrt za ohranitev kapitala)</w:t>
      </w:r>
    </w:p>
    <w:p w14:paraId="390E4D8A" w14:textId="77777777" w:rsidR="00D91782" w:rsidRPr="00215B2F" w:rsidRDefault="00D91782" w:rsidP="00FD5520">
      <w:pPr>
        <w:pStyle w:val="Slog1"/>
        <w:shd w:val="clear" w:color="auto" w:fill="FFFFFF" w:themeFill="background1"/>
        <w:jc w:val="both"/>
        <w:rPr>
          <w:sz w:val="20"/>
          <w:szCs w:val="20"/>
        </w:rPr>
      </w:pPr>
    </w:p>
    <w:p w14:paraId="74C186AA" w14:textId="1608526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banka ne izpolni zahteve po skupnem blažilniku ali zahteve po blažilniku količnika finančnega vzvoda, mora pripraviti načrt za ohranitev kapitala in ga predložiti Banki Slovenije najpozneje v petih delovnih dneh, </w:t>
      </w:r>
      <w:r w:rsidR="00813E5E" w:rsidRPr="00215B2F">
        <w:rPr>
          <w:rFonts w:ascii="Arial" w:eastAsia="Arial" w:hAnsi="Arial" w:cs="Arial"/>
          <w:sz w:val="20"/>
          <w:szCs w:val="20"/>
        </w:rPr>
        <w:t xml:space="preserve">potem </w:t>
      </w:r>
      <w:r w:rsidRPr="00215B2F">
        <w:rPr>
          <w:rFonts w:ascii="Arial" w:eastAsia="Arial" w:hAnsi="Arial" w:cs="Arial"/>
          <w:sz w:val="20"/>
          <w:szCs w:val="20"/>
        </w:rPr>
        <w:t>ko ugotovi, da ji navedenih zahtev ne bo uspelo izpolniti. Banka Slovenije lahko na predlog banke rok za predložitev načrta podaljša na največ deset dni ob upoštevanju obsega in zapletenosti dejavnosti banke.</w:t>
      </w:r>
    </w:p>
    <w:p w14:paraId="4DC36368"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3F58184D" w14:textId="72053B5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Načrt za ohranitev kapitala iz prejšnjega odstavka mora vključevati:</w:t>
      </w:r>
    </w:p>
    <w:p w14:paraId="3813FE08"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0BF834F8" w14:textId="0C73120F" w:rsidR="00EA58C4" w:rsidRPr="00215B2F" w:rsidRDefault="00D91782" w:rsidP="003D4DE0">
      <w:pPr>
        <w:pStyle w:val="tevilnatoka"/>
        <w:numPr>
          <w:ilvl w:val="0"/>
          <w:numId w:val="213"/>
        </w:numPr>
        <w:shd w:val="clear" w:color="auto" w:fill="FFFFFF" w:themeFill="background1"/>
        <w:tabs>
          <w:tab w:val="clear" w:pos="425"/>
        </w:tabs>
        <w:rPr>
          <w:rFonts w:cs="Arial"/>
          <w:bCs/>
          <w:sz w:val="20"/>
          <w:szCs w:val="20"/>
        </w:rPr>
      </w:pPr>
      <w:r w:rsidRPr="00215B2F">
        <w:rPr>
          <w:rFonts w:eastAsia="Arial" w:cs="Arial"/>
          <w:sz w:val="20"/>
          <w:szCs w:val="20"/>
        </w:rPr>
        <w:t>ocene prihodkov in odhodkov ter načrt</w:t>
      </w:r>
      <w:r w:rsidR="00E832FC" w:rsidRPr="00215B2F">
        <w:rPr>
          <w:rFonts w:eastAsia="Arial" w:cs="Arial"/>
          <w:sz w:val="20"/>
          <w:szCs w:val="20"/>
        </w:rPr>
        <w:t xml:space="preserve"> bilance stanja</w:t>
      </w:r>
      <w:r w:rsidRPr="00215B2F">
        <w:rPr>
          <w:rFonts w:eastAsia="Arial" w:cs="Arial"/>
          <w:sz w:val="20"/>
          <w:szCs w:val="20"/>
        </w:rPr>
        <w:t>;</w:t>
      </w:r>
    </w:p>
    <w:p w14:paraId="264BBF76" w14:textId="77777777" w:rsidR="00EA58C4" w:rsidRPr="00215B2F" w:rsidRDefault="00D91782" w:rsidP="003D4DE0">
      <w:pPr>
        <w:pStyle w:val="tevilnatoka"/>
        <w:numPr>
          <w:ilvl w:val="0"/>
          <w:numId w:val="213"/>
        </w:numPr>
        <w:shd w:val="clear" w:color="auto" w:fill="FFFFFF" w:themeFill="background1"/>
        <w:tabs>
          <w:tab w:val="clear" w:pos="425"/>
        </w:tabs>
        <w:rPr>
          <w:rFonts w:cs="Arial"/>
          <w:bCs/>
          <w:sz w:val="20"/>
          <w:szCs w:val="20"/>
        </w:rPr>
      </w:pPr>
      <w:r w:rsidRPr="00215B2F">
        <w:rPr>
          <w:rFonts w:eastAsia="Arial" w:cs="Arial"/>
          <w:sz w:val="20"/>
          <w:szCs w:val="20"/>
        </w:rPr>
        <w:t>ukrepe za povečanje kapitalskih količnikov banke;</w:t>
      </w:r>
    </w:p>
    <w:p w14:paraId="151F8CD0" w14:textId="07D58B40" w:rsidR="00D91782" w:rsidRPr="00215B2F" w:rsidRDefault="00D91782" w:rsidP="003D4DE0">
      <w:pPr>
        <w:pStyle w:val="tevilnatoka"/>
        <w:numPr>
          <w:ilvl w:val="0"/>
          <w:numId w:val="213"/>
        </w:numPr>
        <w:shd w:val="clear" w:color="auto" w:fill="FFFFFF" w:themeFill="background1"/>
        <w:tabs>
          <w:tab w:val="clear" w:pos="425"/>
        </w:tabs>
        <w:rPr>
          <w:rFonts w:cs="Arial"/>
          <w:bCs/>
          <w:sz w:val="20"/>
          <w:szCs w:val="20"/>
        </w:rPr>
      </w:pPr>
      <w:r w:rsidRPr="00215B2F">
        <w:rPr>
          <w:rFonts w:eastAsia="Arial" w:cs="Arial"/>
          <w:sz w:val="20"/>
          <w:szCs w:val="20"/>
        </w:rPr>
        <w:t>načrt in časovni okvir za povečanje kapitala z namenom celotne izpolnitve zahteve po skupnem blažilniku ali zahteve po blažilniku količnika finančnega vzvoda.</w:t>
      </w:r>
    </w:p>
    <w:p w14:paraId="0D4F9A66"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7669B4D1" w14:textId="5E566AA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lahko od banke zahteva tudi druge informacije za izvedbo ocene iz četrtega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02067CD8"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04AAB0A" w14:textId="42423C0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v enem mesecu po prejemu oceni načrt za ohranitev kapitala in ga odobri, če oceni, da je mogoče upravičeno pričakovati, da se bo z izvajanjem načrta zagotovil ali zbral zadosten kapital, ki bo banki omogočil izpolnjevanje zahteve po skupnem blažilniku ali zahteve po blažilniku količnika finančnega vzvoda v primernem roku. Če v času izvajanja odobrenega načrta za ohranitev kapitala nastanejo pomembnejša odstopanja, lahko Banka Slovenije zahteva predložitev novega načrta za ohranitev kapitala.</w:t>
      </w:r>
    </w:p>
    <w:p w14:paraId="72690719"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B9074E0" w14:textId="11A1CAB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Če Banka Slovenije ne odobri načrta iz prejšnjega odstavka, zahteva predložitev spremembe načrta za ohranitev kapitala ali banki naloži enega ali več dodatnih ukrepov, s katerimi:</w:t>
      </w:r>
    </w:p>
    <w:p w14:paraId="0D22E640"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1C0BDBF6" w14:textId="77777777" w:rsidR="00EA58C4" w:rsidRPr="00215B2F" w:rsidRDefault="00D91782" w:rsidP="003D4DE0">
      <w:pPr>
        <w:pStyle w:val="tevilnatoka"/>
        <w:numPr>
          <w:ilvl w:val="0"/>
          <w:numId w:val="214"/>
        </w:numPr>
        <w:shd w:val="clear" w:color="auto" w:fill="FFFFFF" w:themeFill="background1"/>
        <w:tabs>
          <w:tab w:val="clear" w:pos="425"/>
        </w:tabs>
        <w:rPr>
          <w:rFonts w:cs="Arial"/>
          <w:bCs/>
          <w:sz w:val="20"/>
          <w:szCs w:val="20"/>
        </w:rPr>
      </w:pPr>
      <w:r w:rsidRPr="00215B2F">
        <w:rPr>
          <w:rFonts w:eastAsia="Arial" w:cs="Arial"/>
          <w:sz w:val="20"/>
          <w:szCs w:val="20"/>
        </w:rPr>
        <w:t>zahteva povečanje kapitala banke v določenem roku ali</w:t>
      </w:r>
    </w:p>
    <w:p w14:paraId="75479E1F" w14:textId="2AA3C078" w:rsidR="00D91782" w:rsidRPr="00215B2F" w:rsidRDefault="00D91782" w:rsidP="003D4DE0">
      <w:pPr>
        <w:pStyle w:val="tevilnatoka"/>
        <w:numPr>
          <w:ilvl w:val="0"/>
          <w:numId w:val="214"/>
        </w:numPr>
        <w:shd w:val="clear" w:color="auto" w:fill="FFFFFF" w:themeFill="background1"/>
        <w:tabs>
          <w:tab w:val="clear" w:pos="425"/>
        </w:tabs>
        <w:rPr>
          <w:rFonts w:cs="Arial"/>
          <w:bCs/>
          <w:sz w:val="20"/>
          <w:szCs w:val="20"/>
        </w:rPr>
      </w:pPr>
      <w:r w:rsidRPr="00215B2F">
        <w:rPr>
          <w:rFonts w:eastAsia="Arial" w:cs="Arial"/>
          <w:sz w:val="20"/>
          <w:szCs w:val="20"/>
        </w:rPr>
        <w:t>strožje omeji razdelitve, k</w:t>
      </w:r>
      <w:r w:rsidR="006B0B0E" w:rsidRPr="00215B2F">
        <w:rPr>
          <w:rFonts w:eastAsia="Arial" w:cs="Arial"/>
          <w:sz w:val="20"/>
          <w:szCs w:val="20"/>
        </w:rPr>
        <w:t>akor</w:t>
      </w:r>
      <w:r w:rsidRPr="00215B2F">
        <w:rPr>
          <w:rFonts w:eastAsia="Arial" w:cs="Arial"/>
          <w:sz w:val="20"/>
          <w:szCs w:val="20"/>
        </w:rPr>
        <w:t xml:space="preserve"> so opredeljene v </w:t>
      </w:r>
      <w:r w:rsidR="00FA74E6" w:rsidRPr="00215B2F">
        <w:rPr>
          <w:rFonts w:eastAsia="Arial" w:cs="Arial"/>
          <w:sz w:val="20"/>
          <w:szCs w:val="20"/>
        </w:rPr>
        <w:t>296</w:t>
      </w:r>
      <w:r w:rsidRPr="00215B2F">
        <w:rPr>
          <w:rFonts w:eastAsia="Arial" w:cs="Arial"/>
          <w:sz w:val="20"/>
          <w:szCs w:val="20"/>
        </w:rPr>
        <w:t xml:space="preserve">. in </w:t>
      </w:r>
      <w:r w:rsidR="00FA74E6" w:rsidRPr="00215B2F">
        <w:rPr>
          <w:rFonts w:eastAsia="Arial" w:cs="Arial"/>
          <w:sz w:val="20"/>
          <w:szCs w:val="20"/>
        </w:rPr>
        <w:t>300</w:t>
      </w:r>
      <w:r w:rsidRPr="00215B2F">
        <w:rPr>
          <w:rFonts w:eastAsia="Arial" w:cs="Arial"/>
          <w:sz w:val="20"/>
          <w:szCs w:val="20"/>
        </w:rPr>
        <w:t xml:space="preserve">. </w:t>
      </w:r>
      <w:r w:rsidR="001F2C7A" w:rsidRPr="00215B2F">
        <w:rPr>
          <w:rFonts w:eastAsia="Arial" w:cs="Arial"/>
          <w:sz w:val="20"/>
          <w:szCs w:val="20"/>
        </w:rPr>
        <w:t>členu tega zakona</w:t>
      </w:r>
      <w:r w:rsidRPr="00215B2F">
        <w:rPr>
          <w:rFonts w:eastAsia="Arial" w:cs="Arial"/>
          <w:sz w:val="20"/>
          <w:szCs w:val="20"/>
        </w:rPr>
        <w:t>.</w:t>
      </w:r>
    </w:p>
    <w:p w14:paraId="578A143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736F6C5" w14:textId="671B8CE4"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7.5 POROČANJE V ZVEZI Z ZAHTEVAMI PO KAPITALSKIH BLAŽILNIKIH</w:t>
      </w:r>
    </w:p>
    <w:p w14:paraId="42A5CD84"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DCA14A5"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59" w:name="_Ref202966824"/>
      <w:r w:rsidRPr="00215B2F">
        <w:rPr>
          <w:rFonts w:ascii="Arial" w:eastAsia="Arial" w:hAnsi="Arial" w:cs="Arial"/>
          <w:b/>
          <w:bCs/>
          <w:sz w:val="20"/>
          <w:szCs w:val="20"/>
        </w:rPr>
        <w:t>člen</w:t>
      </w:r>
      <w:bookmarkEnd w:id="359"/>
    </w:p>
    <w:p w14:paraId="61328A39" w14:textId="77777777" w:rsidR="00D91782" w:rsidRPr="00215B2F" w:rsidRDefault="00D91782" w:rsidP="00FD5520">
      <w:pPr>
        <w:pStyle w:val="Slog1"/>
        <w:shd w:val="clear" w:color="auto" w:fill="FFFFFF" w:themeFill="background1"/>
        <w:rPr>
          <w:sz w:val="20"/>
          <w:szCs w:val="20"/>
        </w:rPr>
      </w:pPr>
      <w:r w:rsidRPr="00215B2F">
        <w:rPr>
          <w:sz w:val="20"/>
          <w:szCs w:val="20"/>
        </w:rPr>
        <w:t>(poročanje)</w:t>
      </w:r>
    </w:p>
    <w:p w14:paraId="6AEDA903" w14:textId="77777777" w:rsidR="00D91782" w:rsidRPr="00215B2F" w:rsidRDefault="00D91782" w:rsidP="00FD5520">
      <w:pPr>
        <w:pStyle w:val="Slog1"/>
        <w:shd w:val="clear" w:color="auto" w:fill="FFFFFF" w:themeFill="background1"/>
        <w:jc w:val="both"/>
        <w:rPr>
          <w:sz w:val="20"/>
          <w:szCs w:val="20"/>
        </w:rPr>
      </w:pPr>
    </w:p>
    <w:p w14:paraId="3A79BF0B" w14:textId="15A5AC1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Banka Slovenije lahko s podzakonskim aktom predpiše vsebino poročil ter roke in način poročanja v zvezi z zahtevami po kapitalskih blažilnikih iz </w:t>
      </w:r>
      <w:r w:rsidR="009F152A" w:rsidRPr="00215B2F">
        <w:rPr>
          <w:rFonts w:ascii="Arial" w:eastAsia="Arial" w:hAnsi="Arial" w:cs="Arial"/>
          <w:sz w:val="20"/>
          <w:szCs w:val="20"/>
        </w:rPr>
        <w:t>tega</w:t>
      </w:r>
      <w:r w:rsidRPr="00215B2F">
        <w:rPr>
          <w:rFonts w:ascii="Arial" w:eastAsia="Arial" w:hAnsi="Arial" w:cs="Arial"/>
          <w:sz w:val="20"/>
          <w:szCs w:val="20"/>
        </w:rPr>
        <w:t xml:space="preserve"> </w:t>
      </w:r>
      <w:r w:rsidR="001F2C7A" w:rsidRPr="00215B2F">
        <w:rPr>
          <w:rFonts w:ascii="Arial" w:eastAsia="Arial" w:hAnsi="Arial" w:cs="Arial"/>
          <w:sz w:val="20"/>
          <w:szCs w:val="20"/>
        </w:rPr>
        <w:t>poglavja</w:t>
      </w:r>
      <w:r w:rsidRPr="00215B2F">
        <w:rPr>
          <w:rFonts w:ascii="Arial" w:eastAsia="Arial" w:hAnsi="Arial" w:cs="Arial"/>
          <w:sz w:val="20"/>
          <w:szCs w:val="20"/>
        </w:rPr>
        <w:t>.</w:t>
      </w:r>
    </w:p>
    <w:p w14:paraId="6BA2D2A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0781959"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r w:rsidRPr="00215B2F">
        <w:rPr>
          <w:rFonts w:ascii="Arial" w:eastAsia="Arial" w:hAnsi="Arial" w:cs="Arial"/>
          <w:sz w:val="20"/>
          <w:szCs w:val="20"/>
        </w:rPr>
        <w:t xml:space="preserve">8. POGLAVJE: </w:t>
      </w:r>
      <w:r w:rsidRPr="00215B2F">
        <w:rPr>
          <w:rFonts w:ascii="Arial" w:eastAsia="Arial" w:hAnsi="Arial" w:cs="Arial"/>
          <w:sz w:val="20"/>
          <w:szCs w:val="20"/>
        </w:rPr>
        <w:br/>
        <w:t>MAJHNA IN NEKOMPLEKSNA BANKA</w:t>
      </w:r>
    </w:p>
    <w:p w14:paraId="7A714CA9"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796EDB9"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60" w:name="_Ref202966897"/>
      <w:r w:rsidRPr="00215B2F">
        <w:rPr>
          <w:rFonts w:ascii="Arial" w:eastAsia="Arial" w:hAnsi="Arial" w:cs="Arial"/>
          <w:b/>
          <w:bCs/>
          <w:sz w:val="20"/>
          <w:szCs w:val="20"/>
        </w:rPr>
        <w:t>člen</w:t>
      </w:r>
      <w:bookmarkEnd w:id="360"/>
    </w:p>
    <w:p w14:paraId="1587097B" w14:textId="77777777" w:rsidR="00D91782" w:rsidRPr="00215B2F" w:rsidRDefault="00D91782" w:rsidP="00FD5520">
      <w:pPr>
        <w:pStyle w:val="Slog1"/>
        <w:shd w:val="clear" w:color="auto" w:fill="FFFFFF" w:themeFill="background1"/>
        <w:rPr>
          <w:sz w:val="20"/>
          <w:szCs w:val="20"/>
        </w:rPr>
      </w:pPr>
      <w:r w:rsidRPr="00215B2F">
        <w:rPr>
          <w:sz w:val="20"/>
          <w:szCs w:val="20"/>
        </w:rPr>
        <w:t>(opredelitev majhne in nekompleksne banke)</w:t>
      </w:r>
    </w:p>
    <w:p w14:paraId="7883704C" w14:textId="77777777" w:rsidR="00D91782" w:rsidRPr="00215B2F" w:rsidRDefault="00D91782" w:rsidP="00FD5520">
      <w:pPr>
        <w:pStyle w:val="Slog1"/>
        <w:shd w:val="clear" w:color="auto" w:fill="FFFFFF" w:themeFill="background1"/>
        <w:jc w:val="both"/>
        <w:rPr>
          <w:sz w:val="20"/>
          <w:szCs w:val="20"/>
        </w:rPr>
      </w:pPr>
    </w:p>
    <w:p w14:paraId="657811C9" w14:textId="6BFA09C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z odločbo opredeli banko kot majhno in nekompleksno, če izpolnjuje vse pogoje iz 145. točke prvega odstavka 4. člena Uredbe 575/2013/EU, pri čemer se za namen podtočke (h) </w:t>
      </w:r>
      <w:r w:rsidRPr="00215B2F">
        <w:rPr>
          <w:rFonts w:ascii="Arial" w:eastAsia="Arial" w:hAnsi="Arial" w:cs="Arial"/>
          <w:sz w:val="20"/>
          <w:szCs w:val="20"/>
        </w:rPr>
        <w:lastRenderedPageBreak/>
        <w:t xml:space="preserve">upošteva izjava banke, ki jo predloži na podlagi </w:t>
      </w:r>
      <w:r w:rsidR="00FA74E6" w:rsidRPr="00215B2F">
        <w:rPr>
          <w:rFonts w:ascii="Arial" w:eastAsia="Arial" w:hAnsi="Arial" w:cs="Arial"/>
          <w:sz w:val="20"/>
          <w:szCs w:val="20"/>
        </w:rPr>
        <w:t>445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pred izdajo odločbe po tem členu.</w:t>
      </w:r>
    </w:p>
    <w:p w14:paraId="1D9ECCF6"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4A4F47BA" w14:textId="13C8E8F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redno oziroma najmanj enkrat na leto preveri izpolnjevanje pogojev iz prejšnjega odstavka za opredelitev banke kot majhne in nekompleksne.</w:t>
      </w:r>
    </w:p>
    <w:p w14:paraId="650534D6"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E7F8023" w14:textId="6461467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Banka Slovenije pri preverjanju iz prejšnjega odstavka ugotovi, da banka ne izpolnjuje več vseh pogojev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o tem izda odločbo, v kateri določi tudi rok, v katerem se mora banka uskladiti z vsemi zahtevami tega zakona in Uredbe 575/2013/EU, ki veljajo za banke.</w:t>
      </w:r>
    </w:p>
    <w:p w14:paraId="61ED256E"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C63A930" w14:textId="26F8E3B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izda odločbo o prenehanju opredelitve banke kot majhne in nekompleksne tudi, če banka vloži ugovor iz podtočke (h) 145. točke prvega odstavka 4. člena Uredbe 575/2013/EU.</w:t>
      </w:r>
    </w:p>
    <w:p w14:paraId="46E1E37C" w14:textId="77777777" w:rsidR="00707327" w:rsidRPr="00215B2F" w:rsidRDefault="00707327" w:rsidP="00FD5520">
      <w:pPr>
        <w:shd w:val="clear" w:color="auto" w:fill="FFFFFF" w:themeFill="background1"/>
        <w:spacing w:after="0" w:line="240" w:lineRule="auto"/>
        <w:jc w:val="both"/>
        <w:rPr>
          <w:rFonts w:ascii="Arial" w:eastAsia="Arial" w:hAnsi="Arial" w:cs="Arial"/>
          <w:sz w:val="20"/>
          <w:szCs w:val="20"/>
        </w:rPr>
      </w:pPr>
    </w:p>
    <w:p w14:paraId="765E748B" w14:textId="39440D86" w:rsidR="00D91782" w:rsidRPr="00215B2F" w:rsidRDefault="000A76F2" w:rsidP="00FD5520">
      <w:pPr>
        <w:shd w:val="clear" w:color="auto" w:fill="FFFFFF" w:themeFill="background1"/>
        <w:spacing w:after="0" w:line="240" w:lineRule="auto"/>
        <w:jc w:val="center"/>
        <w:rPr>
          <w:rFonts w:ascii="Arial" w:eastAsia="Arial" w:hAnsi="Arial" w:cs="Arial"/>
          <w:sz w:val="20"/>
          <w:szCs w:val="20"/>
        </w:rPr>
      </w:pPr>
      <w:r w:rsidRPr="00215B2F">
        <w:rPr>
          <w:rFonts w:ascii="Arial" w:eastAsia="Arial" w:hAnsi="Arial" w:cs="Arial"/>
          <w:sz w:val="20"/>
          <w:szCs w:val="20"/>
        </w:rPr>
        <w:t>9. </w:t>
      </w:r>
      <w:r w:rsidR="00D91782" w:rsidRPr="00215B2F">
        <w:rPr>
          <w:rFonts w:ascii="Arial" w:eastAsia="Arial" w:hAnsi="Arial" w:cs="Arial"/>
          <w:sz w:val="20"/>
          <w:szCs w:val="20"/>
        </w:rPr>
        <w:t xml:space="preserve">POGLAVJE: </w:t>
      </w:r>
      <w:r w:rsidR="00D91782" w:rsidRPr="00215B2F">
        <w:rPr>
          <w:rFonts w:ascii="Arial" w:eastAsia="Arial" w:hAnsi="Arial" w:cs="Arial"/>
          <w:sz w:val="20"/>
          <w:szCs w:val="20"/>
        </w:rPr>
        <w:br/>
        <w:t xml:space="preserve">BONITETNI NADZOR </w:t>
      </w:r>
      <w:r w:rsidR="00D76599" w:rsidRPr="00215B2F">
        <w:rPr>
          <w:rFonts w:ascii="Arial" w:eastAsia="Arial" w:hAnsi="Arial" w:cs="Arial"/>
          <w:sz w:val="20"/>
          <w:szCs w:val="20"/>
        </w:rPr>
        <w:t xml:space="preserve">NAD </w:t>
      </w:r>
      <w:r w:rsidR="00D91782" w:rsidRPr="00215B2F">
        <w:rPr>
          <w:rFonts w:ascii="Arial" w:eastAsia="Arial" w:hAnsi="Arial" w:cs="Arial"/>
          <w:sz w:val="20"/>
          <w:szCs w:val="20"/>
        </w:rPr>
        <w:t>PODRUŽNIC</w:t>
      </w:r>
      <w:r w:rsidR="00D76599" w:rsidRPr="00215B2F">
        <w:rPr>
          <w:rFonts w:ascii="Arial" w:eastAsia="Arial" w:hAnsi="Arial" w:cs="Arial"/>
          <w:sz w:val="20"/>
          <w:szCs w:val="20"/>
        </w:rPr>
        <w:t>AMI</w:t>
      </w:r>
      <w:r w:rsidR="00D91782" w:rsidRPr="00215B2F">
        <w:rPr>
          <w:rFonts w:ascii="Arial" w:eastAsia="Arial" w:hAnsi="Arial" w:cs="Arial"/>
          <w:sz w:val="20"/>
          <w:szCs w:val="20"/>
        </w:rPr>
        <w:t xml:space="preserve"> IZ TRETJIH DRŽAV IN ODNOSI S TRETJIMI DRŽAVAMI</w:t>
      </w:r>
    </w:p>
    <w:p w14:paraId="20A9FE18"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3485B377" w14:textId="3545AC7E" w:rsidR="00D91782" w:rsidRPr="00215B2F" w:rsidRDefault="000A76F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9</w:t>
      </w:r>
      <w:r w:rsidR="00D91782" w:rsidRPr="00215B2F">
        <w:rPr>
          <w:rFonts w:ascii="Arial" w:eastAsia="Arial" w:hAnsi="Arial" w:cs="Arial"/>
          <w:b/>
          <w:bCs/>
          <w:sz w:val="20"/>
          <w:szCs w:val="20"/>
        </w:rPr>
        <w:t>.1 SPLOŠNE DOLOČBE</w:t>
      </w:r>
    </w:p>
    <w:p w14:paraId="0842A06B"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7F10E795"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61" w:name="_Ref202966908"/>
      <w:r w:rsidRPr="00215B2F">
        <w:rPr>
          <w:rFonts w:ascii="Arial" w:eastAsia="Arial" w:hAnsi="Arial" w:cs="Arial"/>
          <w:b/>
          <w:bCs/>
          <w:sz w:val="20"/>
          <w:szCs w:val="20"/>
        </w:rPr>
        <w:t>člen</w:t>
      </w:r>
      <w:bookmarkEnd w:id="361"/>
    </w:p>
    <w:p w14:paraId="4D684F5A" w14:textId="77777777" w:rsidR="00D91782" w:rsidRPr="00215B2F" w:rsidRDefault="00D91782" w:rsidP="00FD5520">
      <w:pPr>
        <w:pStyle w:val="Slog1"/>
        <w:shd w:val="clear" w:color="auto" w:fill="FFFFFF" w:themeFill="background1"/>
        <w:rPr>
          <w:sz w:val="20"/>
          <w:szCs w:val="20"/>
        </w:rPr>
      </w:pPr>
      <w:r w:rsidRPr="00215B2F">
        <w:rPr>
          <w:sz w:val="20"/>
          <w:szCs w:val="20"/>
        </w:rPr>
        <w:t>(pomen izrazov)</w:t>
      </w:r>
    </w:p>
    <w:p w14:paraId="35B90FC1" w14:textId="77777777" w:rsidR="00D91782" w:rsidRPr="00215B2F" w:rsidRDefault="00D91782" w:rsidP="00FD5520">
      <w:pPr>
        <w:pStyle w:val="Slog1"/>
        <w:shd w:val="clear" w:color="auto" w:fill="FFFFFF" w:themeFill="background1"/>
        <w:jc w:val="both"/>
        <w:rPr>
          <w:sz w:val="20"/>
          <w:szCs w:val="20"/>
        </w:rPr>
      </w:pPr>
    </w:p>
    <w:p w14:paraId="179E33B6" w14:textId="3FA30A37" w:rsidR="00D91782" w:rsidRPr="00215B2F" w:rsidRDefault="00041AE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Izrazi, uporabljeni v</w:t>
      </w:r>
      <w:r w:rsidR="00D91782" w:rsidRPr="00215B2F">
        <w:rPr>
          <w:rFonts w:ascii="Arial" w:eastAsia="Arial" w:hAnsi="Arial" w:cs="Arial"/>
          <w:sz w:val="20"/>
          <w:szCs w:val="20"/>
        </w:rPr>
        <w:t xml:space="preserve"> </w:t>
      </w:r>
      <w:r w:rsidRPr="00215B2F">
        <w:rPr>
          <w:rFonts w:ascii="Arial" w:eastAsia="Arial" w:hAnsi="Arial" w:cs="Arial"/>
          <w:sz w:val="20"/>
          <w:szCs w:val="20"/>
        </w:rPr>
        <w:t xml:space="preserve">tem poglavju, </w:t>
      </w:r>
      <w:r w:rsidR="00D91782" w:rsidRPr="00215B2F">
        <w:rPr>
          <w:rFonts w:ascii="Arial" w:eastAsia="Arial" w:hAnsi="Arial" w:cs="Arial"/>
          <w:sz w:val="20"/>
          <w:szCs w:val="20"/>
        </w:rPr>
        <w:t>pomen</w:t>
      </w:r>
      <w:r w:rsidR="00B53767" w:rsidRPr="00215B2F">
        <w:rPr>
          <w:rFonts w:ascii="Arial" w:eastAsia="Arial" w:hAnsi="Arial" w:cs="Arial"/>
          <w:sz w:val="20"/>
          <w:szCs w:val="20"/>
        </w:rPr>
        <w:t>ijo</w:t>
      </w:r>
      <w:r w:rsidR="00D91782" w:rsidRPr="00215B2F">
        <w:rPr>
          <w:rFonts w:ascii="Arial" w:eastAsia="Arial" w:hAnsi="Arial" w:cs="Arial"/>
          <w:sz w:val="20"/>
          <w:szCs w:val="20"/>
        </w:rPr>
        <w:t>:</w:t>
      </w:r>
    </w:p>
    <w:p w14:paraId="0B1F84CC"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2B32835E" w14:textId="5F95F419" w:rsidR="00D91782" w:rsidRPr="00215B2F" w:rsidRDefault="00D91782" w:rsidP="003D4DE0">
      <w:pPr>
        <w:pStyle w:val="tevilnatoka"/>
        <w:numPr>
          <w:ilvl w:val="0"/>
          <w:numId w:val="215"/>
        </w:numPr>
        <w:shd w:val="clear" w:color="auto" w:fill="FFFFFF" w:themeFill="background1"/>
        <w:tabs>
          <w:tab w:val="clear" w:pos="425"/>
        </w:tabs>
        <w:rPr>
          <w:rFonts w:cs="Arial"/>
          <w:bCs/>
          <w:sz w:val="20"/>
          <w:szCs w:val="20"/>
        </w:rPr>
      </w:pPr>
      <w:r w:rsidRPr="00215B2F">
        <w:rPr>
          <w:rFonts w:eastAsia="Arial" w:cs="Arial"/>
          <w:sz w:val="20"/>
          <w:szCs w:val="20"/>
        </w:rPr>
        <w:t xml:space="preserve"> </w:t>
      </w:r>
      <w:r w:rsidR="00EA58C4" w:rsidRPr="00215B2F">
        <w:rPr>
          <w:rFonts w:eastAsia="Arial" w:cs="Arial"/>
          <w:sz w:val="20"/>
          <w:szCs w:val="20"/>
        </w:rPr>
        <w:t>»</w:t>
      </w:r>
      <w:r w:rsidRPr="00215B2F">
        <w:rPr>
          <w:rFonts w:eastAsia="Arial" w:cs="Arial"/>
          <w:sz w:val="20"/>
          <w:szCs w:val="20"/>
        </w:rPr>
        <w:t>podružnica iz tretje države</w:t>
      </w:r>
      <w:r w:rsidR="00EA58C4" w:rsidRPr="00215B2F">
        <w:rPr>
          <w:rFonts w:eastAsia="Arial" w:cs="Arial"/>
          <w:sz w:val="20"/>
          <w:szCs w:val="20"/>
        </w:rPr>
        <w:t>«</w:t>
      </w:r>
      <w:r w:rsidRPr="00215B2F">
        <w:rPr>
          <w:rFonts w:eastAsia="Arial" w:cs="Arial"/>
          <w:sz w:val="20"/>
          <w:szCs w:val="20"/>
        </w:rPr>
        <w:t xml:space="preserve"> </w:t>
      </w:r>
      <w:r w:rsidR="00041AE2" w:rsidRPr="00215B2F">
        <w:rPr>
          <w:rFonts w:eastAsia="Arial" w:cs="Arial"/>
          <w:sz w:val="20"/>
          <w:szCs w:val="20"/>
        </w:rPr>
        <w:t>je podružnica</w:t>
      </w:r>
      <w:r w:rsidRPr="00215B2F">
        <w:rPr>
          <w:rFonts w:eastAsia="Arial" w:cs="Arial"/>
          <w:sz w:val="20"/>
          <w:szCs w:val="20"/>
        </w:rPr>
        <w:t>, ki jo v Republiki Sloveniji ustanovi:</w:t>
      </w:r>
    </w:p>
    <w:p w14:paraId="5EE095B6" w14:textId="194FC8F8" w:rsidR="00C316EC" w:rsidRPr="00215B2F" w:rsidRDefault="00D91782" w:rsidP="003D4DE0">
      <w:pPr>
        <w:pStyle w:val="Odstavekseznama"/>
        <w:numPr>
          <w:ilvl w:val="0"/>
          <w:numId w:val="317"/>
        </w:numPr>
        <w:shd w:val="clear" w:color="auto" w:fill="FFFFFF" w:themeFill="background1"/>
        <w:spacing w:after="0" w:line="240" w:lineRule="auto"/>
        <w:jc w:val="both"/>
        <w:rPr>
          <w:rFonts w:ascii="Arial" w:hAnsi="Arial" w:cs="Arial"/>
          <w:bCs/>
          <w:sz w:val="20"/>
          <w:szCs w:val="20"/>
        </w:rPr>
      </w:pPr>
      <w:r w:rsidRPr="00215B2F">
        <w:rPr>
          <w:rFonts w:ascii="Arial" w:hAnsi="Arial" w:cs="Arial"/>
          <w:sz w:val="20"/>
          <w:szCs w:val="20"/>
        </w:rPr>
        <w:t xml:space="preserve">bodisi družba s sedežem v tretji državi, za namene izvajanja katere koli dejavnosti iz </w:t>
      </w:r>
      <w:r w:rsidR="00F65E9E" w:rsidRPr="00215B2F">
        <w:rPr>
          <w:rFonts w:ascii="Arial" w:hAnsi="Arial" w:cs="Arial"/>
          <w:sz w:val="20"/>
          <w:szCs w:val="20"/>
        </w:rPr>
        <w:t xml:space="preserve">1., 2. in 6. </w:t>
      </w:r>
      <w:r w:rsidRPr="00215B2F">
        <w:rPr>
          <w:rFonts w:ascii="Arial" w:hAnsi="Arial" w:cs="Arial"/>
          <w:sz w:val="20"/>
          <w:szCs w:val="20"/>
        </w:rPr>
        <w:t>točk</w:t>
      </w:r>
      <w:r w:rsidR="00F65E9E" w:rsidRPr="00215B2F">
        <w:rPr>
          <w:rFonts w:ascii="Arial" w:hAnsi="Arial" w:cs="Arial"/>
          <w:sz w:val="20"/>
          <w:szCs w:val="20"/>
        </w:rPr>
        <w:t>e</w:t>
      </w:r>
      <w:r w:rsidRPr="00215B2F">
        <w:rPr>
          <w:rFonts w:ascii="Arial" w:hAnsi="Arial" w:cs="Arial"/>
          <w:sz w:val="20"/>
          <w:szCs w:val="20"/>
        </w:rPr>
        <w:t xml:space="preserve"> drugega odstavka 5. </w:t>
      </w:r>
      <w:r w:rsidR="001F2C7A" w:rsidRPr="00215B2F">
        <w:rPr>
          <w:rFonts w:ascii="Arial" w:hAnsi="Arial" w:cs="Arial"/>
          <w:sz w:val="20"/>
          <w:szCs w:val="20"/>
        </w:rPr>
        <w:t>člena tega zakona</w:t>
      </w:r>
      <w:r w:rsidRPr="00215B2F">
        <w:rPr>
          <w:rFonts w:ascii="Arial" w:hAnsi="Arial" w:cs="Arial"/>
          <w:sz w:val="20"/>
          <w:szCs w:val="20"/>
        </w:rPr>
        <w:t xml:space="preserve"> oziroma 1</w:t>
      </w:r>
      <w:r w:rsidR="00F65E9E" w:rsidRPr="00215B2F">
        <w:rPr>
          <w:rFonts w:ascii="Arial" w:hAnsi="Arial" w:cs="Arial"/>
          <w:sz w:val="20"/>
          <w:szCs w:val="20"/>
        </w:rPr>
        <w:t>.</w:t>
      </w:r>
      <w:r w:rsidRPr="00215B2F">
        <w:rPr>
          <w:rFonts w:ascii="Arial" w:hAnsi="Arial" w:cs="Arial"/>
          <w:sz w:val="20"/>
          <w:szCs w:val="20"/>
        </w:rPr>
        <w:t>, 2</w:t>
      </w:r>
      <w:r w:rsidR="00F65E9E" w:rsidRPr="00215B2F">
        <w:rPr>
          <w:rFonts w:ascii="Arial" w:hAnsi="Arial" w:cs="Arial"/>
          <w:sz w:val="20"/>
          <w:szCs w:val="20"/>
        </w:rPr>
        <w:t>.</w:t>
      </w:r>
      <w:r w:rsidRPr="00215B2F">
        <w:rPr>
          <w:rFonts w:ascii="Arial" w:hAnsi="Arial" w:cs="Arial"/>
          <w:sz w:val="20"/>
          <w:szCs w:val="20"/>
        </w:rPr>
        <w:t xml:space="preserve"> in 6</w:t>
      </w:r>
      <w:r w:rsidR="00F65E9E" w:rsidRPr="00215B2F">
        <w:rPr>
          <w:rFonts w:ascii="Arial" w:hAnsi="Arial" w:cs="Arial"/>
          <w:sz w:val="20"/>
          <w:szCs w:val="20"/>
        </w:rPr>
        <w:t>.</w:t>
      </w:r>
      <w:r w:rsidRPr="00215B2F">
        <w:rPr>
          <w:rFonts w:ascii="Arial" w:hAnsi="Arial" w:cs="Arial"/>
          <w:sz w:val="20"/>
          <w:szCs w:val="20"/>
        </w:rPr>
        <w:t xml:space="preserve"> </w:t>
      </w:r>
      <w:r w:rsidR="00F65E9E" w:rsidRPr="00215B2F">
        <w:rPr>
          <w:rFonts w:ascii="Arial" w:hAnsi="Arial" w:cs="Arial"/>
          <w:sz w:val="20"/>
          <w:szCs w:val="20"/>
        </w:rPr>
        <w:t>točk</w:t>
      </w:r>
      <w:r w:rsidR="00041AE2" w:rsidRPr="00215B2F">
        <w:rPr>
          <w:rFonts w:ascii="Arial" w:hAnsi="Arial" w:cs="Arial"/>
          <w:sz w:val="20"/>
          <w:szCs w:val="20"/>
        </w:rPr>
        <w:t>e</w:t>
      </w:r>
      <w:r w:rsidR="00F65E9E" w:rsidRPr="00215B2F">
        <w:rPr>
          <w:rFonts w:ascii="Arial" w:hAnsi="Arial" w:cs="Arial"/>
          <w:sz w:val="20"/>
          <w:szCs w:val="20"/>
        </w:rPr>
        <w:t xml:space="preserve"> </w:t>
      </w:r>
      <w:r w:rsidR="00041AE2" w:rsidRPr="00215B2F">
        <w:rPr>
          <w:rFonts w:ascii="Arial" w:hAnsi="Arial" w:cs="Arial"/>
          <w:sz w:val="20"/>
          <w:szCs w:val="20"/>
        </w:rPr>
        <w:t xml:space="preserve">Priloge </w:t>
      </w:r>
      <w:r w:rsidRPr="00215B2F">
        <w:rPr>
          <w:rFonts w:ascii="Arial" w:hAnsi="Arial" w:cs="Arial"/>
          <w:sz w:val="20"/>
          <w:szCs w:val="20"/>
        </w:rPr>
        <w:t>I Direktiv</w:t>
      </w:r>
      <w:r w:rsidR="00041AE2" w:rsidRPr="00215B2F">
        <w:rPr>
          <w:rFonts w:ascii="Arial" w:hAnsi="Arial" w:cs="Arial"/>
          <w:sz w:val="20"/>
          <w:szCs w:val="20"/>
        </w:rPr>
        <w:t>e</w:t>
      </w:r>
      <w:r w:rsidRPr="00215B2F">
        <w:rPr>
          <w:rFonts w:ascii="Arial" w:hAnsi="Arial" w:cs="Arial"/>
          <w:sz w:val="20"/>
          <w:szCs w:val="20"/>
        </w:rPr>
        <w:t xml:space="preserve"> 2013/36/EU;</w:t>
      </w:r>
    </w:p>
    <w:p w14:paraId="63010A2C" w14:textId="7B90036E" w:rsidR="00D91782" w:rsidRPr="00215B2F" w:rsidRDefault="00D91782" w:rsidP="003D4DE0">
      <w:pPr>
        <w:pStyle w:val="Odstavekseznama"/>
        <w:numPr>
          <w:ilvl w:val="0"/>
          <w:numId w:val="317"/>
        </w:numPr>
        <w:shd w:val="clear" w:color="auto" w:fill="FFFFFF" w:themeFill="background1"/>
        <w:spacing w:after="0" w:line="240" w:lineRule="auto"/>
        <w:jc w:val="both"/>
        <w:rPr>
          <w:rFonts w:ascii="Arial" w:hAnsi="Arial" w:cs="Arial"/>
          <w:bCs/>
          <w:sz w:val="20"/>
          <w:szCs w:val="20"/>
        </w:rPr>
      </w:pPr>
      <w:r w:rsidRPr="00215B2F">
        <w:rPr>
          <w:rFonts w:ascii="Arial" w:hAnsi="Arial" w:cs="Arial"/>
          <w:sz w:val="20"/>
          <w:szCs w:val="20"/>
        </w:rPr>
        <w:t>bodisi kreditna institucija s sedežem v tretji državi;</w:t>
      </w:r>
    </w:p>
    <w:p w14:paraId="39F01612" w14:textId="61EF7CFC" w:rsidR="00D91782" w:rsidRPr="00215B2F" w:rsidRDefault="00EA58C4" w:rsidP="00D8730E">
      <w:pPr>
        <w:pStyle w:val="tevilnatoka"/>
        <w:rPr>
          <w:rFonts w:cs="Arial"/>
          <w:bCs/>
          <w:sz w:val="20"/>
          <w:szCs w:val="20"/>
        </w:rPr>
      </w:pPr>
      <w:r w:rsidRPr="00215B2F">
        <w:rPr>
          <w:rFonts w:eastAsia="Arial" w:cs="Arial"/>
          <w:sz w:val="20"/>
          <w:szCs w:val="20"/>
        </w:rPr>
        <w:t>»</w:t>
      </w:r>
      <w:r w:rsidR="00D91782" w:rsidRPr="00215B2F">
        <w:rPr>
          <w:rFonts w:eastAsia="Arial" w:cs="Arial"/>
          <w:sz w:val="20"/>
          <w:szCs w:val="20"/>
        </w:rPr>
        <w:t>matična družba</w:t>
      </w:r>
      <w:r w:rsidRPr="00215B2F">
        <w:rPr>
          <w:rFonts w:eastAsia="Arial" w:cs="Arial"/>
          <w:sz w:val="20"/>
          <w:szCs w:val="20"/>
        </w:rPr>
        <w:t>«</w:t>
      </w:r>
      <w:r w:rsidR="00D91782" w:rsidRPr="00215B2F">
        <w:rPr>
          <w:rFonts w:eastAsia="Arial" w:cs="Arial"/>
          <w:sz w:val="20"/>
          <w:szCs w:val="20"/>
        </w:rPr>
        <w:t xml:space="preserve"> </w:t>
      </w:r>
      <w:r w:rsidR="00041AE2" w:rsidRPr="00215B2F">
        <w:rPr>
          <w:rFonts w:eastAsia="Arial" w:cs="Arial"/>
          <w:sz w:val="20"/>
          <w:szCs w:val="20"/>
        </w:rPr>
        <w:t>je družba</w:t>
      </w:r>
      <w:r w:rsidR="00D91782" w:rsidRPr="00215B2F">
        <w:rPr>
          <w:rFonts w:eastAsia="Arial" w:cs="Arial"/>
          <w:sz w:val="20"/>
          <w:szCs w:val="20"/>
        </w:rPr>
        <w:t xml:space="preserve">, ki ima sedež v tretji državi in je ustanovila podružnico </w:t>
      </w:r>
      <w:r w:rsidR="00F65E9E" w:rsidRPr="00215B2F">
        <w:rPr>
          <w:rFonts w:eastAsia="Arial" w:cs="Arial"/>
          <w:sz w:val="20"/>
          <w:szCs w:val="20"/>
        </w:rPr>
        <w:t xml:space="preserve">iz </w:t>
      </w:r>
      <w:r w:rsidR="00D91782" w:rsidRPr="00215B2F">
        <w:rPr>
          <w:rFonts w:eastAsia="Arial" w:cs="Arial"/>
          <w:sz w:val="20"/>
          <w:szCs w:val="20"/>
        </w:rPr>
        <w:t xml:space="preserve">tretje države v Republiki Sloveniji, ter vmesne oziroma končne nadrejene osebe te družbe, kot je ustrezno. </w:t>
      </w:r>
    </w:p>
    <w:p w14:paraId="4A8B937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7A44D42"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62" w:name="_Ref202966957"/>
      <w:r w:rsidRPr="00215B2F">
        <w:rPr>
          <w:rFonts w:ascii="Arial" w:eastAsia="Arial" w:hAnsi="Arial" w:cs="Arial"/>
          <w:b/>
          <w:bCs/>
          <w:sz w:val="20"/>
          <w:szCs w:val="20"/>
        </w:rPr>
        <w:t>člen</w:t>
      </w:r>
      <w:bookmarkEnd w:id="362"/>
    </w:p>
    <w:p w14:paraId="7807A007" w14:textId="77777777" w:rsidR="00D91782" w:rsidRPr="00215B2F" w:rsidRDefault="00D91782" w:rsidP="00FD5520">
      <w:pPr>
        <w:pStyle w:val="Slog1"/>
        <w:shd w:val="clear" w:color="auto" w:fill="FFFFFF" w:themeFill="background1"/>
        <w:rPr>
          <w:sz w:val="20"/>
          <w:szCs w:val="20"/>
        </w:rPr>
      </w:pPr>
      <w:r w:rsidRPr="00215B2F">
        <w:rPr>
          <w:sz w:val="20"/>
          <w:szCs w:val="20"/>
        </w:rPr>
        <w:t>(prepoved diskriminacije)</w:t>
      </w:r>
    </w:p>
    <w:p w14:paraId="57931A89" w14:textId="77777777" w:rsidR="00D91782" w:rsidRPr="00215B2F" w:rsidRDefault="00D91782" w:rsidP="00FD5520">
      <w:pPr>
        <w:pStyle w:val="Slog1"/>
        <w:shd w:val="clear" w:color="auto" w:fill="FFFFFF" w:themeFill="background1"/>
        <w:jc w:val="both"/>
        <w:rPr>
          <w:sz w:val="20"/>
          <w:szCs w:val="20"/>
        </w:rPr>
      </w:pPr>
    </w:p>
    <w:p w14:paraId="416DEC7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Banka Slovenije pri izvajanju nadzora po tem zakonu ne uporablja določb, ki podružnice iz tretjih držav obravnavajo ugodneje od podružnic institucij s sedežem v drugi državi članici. </w:t>
      </w:r>
    </w:p>
    <w:p w14:paraId="31162E69" w14:textId="77777777" w:rsidR="003113BE" w:rsidRPr="00215B2F" w:rsidRDefault="003113BE" w:rsidP="00FD5520">
      <w:pPr>
        <w:shd w:val="clear" w:color="auto" w:fill="FFFFFF" w:themeFill="background1"/>
        <w:spacing w:after="0" w:line="240" w:lineRule="auto"/>
        <w:jc w:val="both"/>
        <w:rPr>
          <w:rFonts w:ascii="Arial" w:eastAsia="Arial" w:hAnsi="Arial" w:cs="Arial"/>
          <w:sz w:val="20"/>
          <w:szCs w:val="20"/>
        </w:rPr>
      </w:pPr>
    </w:p>
    <w:p w14:paraId="3AFF320F"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63" w:name="_Ref202966962"/>
      <w:r w:rsidRPr="00215B2F">
        <w:rPr>
          <w:rFonts w:ascii="Arial" w:eastAsia="Arial" w:hAnsi="Arial" w:cs="Arial"/>
          <w:b/>
          <w:bCs/>
          <w:sz w:val="20"/>
          <w:szCs w:val="20"/>
        </w:rPr>
        <w:t>člen</w:t>
      </w:r>
      <w:bookmarkEnd w:id="363"/>
    </w:p>
    <w:p w14:paraId="35392391" w14:textId="77777777" w:rsidR="00D91782" w:rsidRPr="00215B2F" w:rsidRDefault="00D91782" w:rsidP="00FD5520">
      <w:pPr>
        <w:pStyle w:val="Slog1"/>
        <w:shd w:val="clear" w:color="auto" w:fill="FFFFFF" w:themeFill="background1"/>
        <w:rPr>
          <w:sz w:val="20"/>
          <w:szCs w:val="20"/>
        </w:rPr>
      </w:pPr>
      <w:r w:rsidRPr="00215B2F">
        <w:rPr>
          <w:sz w:val="20"/>
          <w:szCs w:val="20"/>
        </w:rPr>
        <w:t>(razvrstitev podružnic iz tretjih držav)</w:t>
      </w:r>
    </w:p>
    <w:p w14:paraId="62E640E8" w14:textId="77777777" w:rsidR="007F3A8C" w:rsidRPr="00215B2F" w:rsidRDefault="007F3A8C" w:rsidP="00FD5520">
      <w:pPr>
        <w:shd w:val="clear" w:color="auto" w:fill="FFFFFF" w:themeFill="background1"/>
        <w:spacing w:after="0" w:line="240" w:lineRule="auto"/>
        <w:jc w:val="both"/>
        <w:rPr>
          <w:rFonts w:ascii="Arial" w:eastAsia="Arial" w:hAnsi="Arial" w:cs="Arial"/>
          <w:sz w:val="20"/>
          <w:szCs w:val="20"/>
        </w:rPr>
      </w:pPr>
    </w:p>
    <w:p w14:paraId="2A7385A2" w14:textId="3AB23D4B" w:rsidR="00D91782" w:rsidRPr="00215B2F" w:rsidRDefault="007F3A8C"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w:t>
      </w:r>
      <w:r w:rsidR="00D91782" w:rsidRPr="00215B2F">
        <w:rPr>
          <w:rFonts w:ascii="Arial" w:eastAsia="Arial" w:hAnsi="Arial" w:cs="Arial"/>
          <w:sz w:val="20"/>
          <w:szCs w:val="20"/>
        </w:rPr>
        <w:t>Banka Slovenije podružnico iz tretje države razvrsti:</w:t>
      </w:r>
    </w:p>
    <w:p w14:paraId="34ADD704" w14:textId="77777777" w:rsidR="007F3A8C" w:rsidRPr="00215B2F" w:rsidRDefault="007F3A8C" w:rsidP="00FD5520">
      <w:pPr>
        <w:shd w:val="clear" w:color="auto" w:fill="FFFFFF" w:themeFill="background1"/>
        <w:spacing w:after="0" w:line="240" w:lineRule="auto"/>
        <w:jc w:val="both"/>
        <w:rPr>
          <w:rFonts w:ascii="Arial" w:eastAsia="Arial" w:hAnsi="Arial" w:cs="Arial"/>
          <w:sz w:val="20"/>
          <w:szCs w:val="20"/>
        </w:rPr>
      </w:pPr>
    </w:p>
    <w:p w14:paraId="2CDA59B7" w14:textId="17B2126F" w:rsidR="00D91782" w:rsidRPr="00215B2F" w:rsidRDefault="00D91782" w:rsidP="003D4DE0">
      <w:pPr>
        <w:pStyle w:val="tevilnatoka"/>
        <w:numPr>
          <w:ilvl w:val="0"/>
          <w:numId w:val="382"/>
        </w:numPr>
        <w:shd w:val="clear" w:color="auto" w:fill="FFFFFF" w:themeFill="background1"/>
        <w:rPr>
          <w:rFonts w:cs="Arial"/>
          <w:bCs/>
          <w:sz w:val="20"/>
          <w:szCs w:val="20"/>
        </w:rPr>
      </w:pPr>
      <w:r w:rsidRPr="00215B2F">
        <w:rPr>
          <w:rFonts w:eastAsia="Arial" w:cs="Arial"/>
          <w:sz w:val="20"/>
          <w:szCs w:val="20"/>
        </w:rPr>
        <w:t xml:space="preserve">v razred 1, če je izpolnjen kateri koli </w:t>
      </w:r>
      <w:r w:rsidR="005F1236" w:rsidRPr="00215B2F">
        <w:rPr>
          <w:rFonts w:eastAsia="Arial" w:cs="Arial"/>
          <w:sz w:val="20"/>
          <w:szCs w:val="20"/>
        </w:rPr>
        <w:t>o</w:t>
      </w:r>
      <w:r w:rsidRPr="00215B2F">
        <w:rPr>
          <w:rFonts w:eastAsia="Arial" w:cs="Arial"/>
          <w:sz w:val="20"/>
          <w:szCs w:val="20"/>
        </w:rPr>
        <w:t>d naslednjih pogojev:</w:t>
      </w:r>
    </w:p>
    <w:p w14:paraId="7DD1BB28" w14:textId="661B9F97" w:rsidR="00C316EC" w:rsidRPr="00215B2F" w:rsidRDefault="00D91782" w:rsidP="003D4DE0">
      <w:pPr>
        <w:pStyle w:val="Odstavekseznama"/>
        <w:numPr>
          <w:ilvl w:val="0"/>
          <w:numId w:val="318"/>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skupna vrednost knjiženih sredstev podružnice iz tretje države ali sredstev, ki iz te podružnice izvirajo, v Republiki Sloveniji, kot je </w:t>
      </w:r>
      <w:r w:rsidR="005F1236" w:rsidRPr="00215B2F">
        <w:rPr>
          <w:rFonts w:ascii="Arial" w:eastAsia="Arial" w:hAnsi="Arial" w:cs="Arial"/>
          <w:sz w:val="20"/>
          <w:szCs w:val="20"/>
        </w:rPr>
        <w:t>s</w:t>
      </w:r>
      <w:r w:rsidRPr="00215B2F">
        <w:rPr>
          <w:rFonts w:ascii="Arial" w:eastAsia="Arial" w:hAnsi="Arial" w:cs="Arial"/>
          <w:sz w:val="20"/>
          <w:szCs w:val="20"/>
        </w:rPr>
        <w:t>poroč</w:t>
      </w:r>
      <w:r w:rsidR="005F1236" w:rsidRPr="00215B2F">
        <w:rPr>
          <w:rFonts w:ascii="Arial" w:eastAsia="Arial" w:hAnsi="Arial" w:cs="Arial"/>
          <w:sz w:val="20"/>
          <w:szCs w:val="20"/>
        </w:rPr>
        <w:t>e</w:t>
      </w:r>
      <w:r w:rsidRPr="00215B2F">
        <w:rPr>
          <w:rFonts w:ascii="Arial" w:eastAsia="Arial" w:hAnsi="Arial" w:cs="Arial"/>
          <w:sz w:val="20"/>
          <w:szCs w:val="20"/>
        </w:rPr>
        <w:t xml:space="preserve">na za neposredno predhodno letno poročevalsko obdobje v skladu </w:t>
      </w:r>
      <w:r w:rsidR="005F1236" w:rsidRPr="00215B2F">
        <w:rPr>
          <w:rFonts w:ascii="Arial" w:eastAsia="Arial" w:hAnsi="Arial" w:cs="Arial"/>
          <w:sz w:val="20"/>
          <w:szCs w:val="20"/>
        </w:rPr>
        <w:t xml:space="preserve">s </w:t>
      </w:r>
      <w:r w:rsidR="00FA74E6" w:rsidRPr="00215B2F">
        <w:rPr>
          <w:rFonts w:ascii="Arial" w:eastAsia="Arial" w:hAnsi="Arial" w:cs="Arial"/>
          <w:sz w:val="20"/>
          <w:szCs w:val="20"/>
        </w:rPr>
        <w:t>323.</w:t>
      </w:r>
      <w:r w:rsidRPr="00215B2F">
        <w:rPr>
          <w:rFonts w:ascii="Arial" w:eastAsia="Arial" w:hAnsi="Arial" w:cs="Arial"/>
          <w:sz w:val="20"/>
          <w:szCs w:val="20"/>
        </w:rPr>
        <w:t xml:space="preserve"> in </w:t>
      </w:r>
      <w:r w:rsidR="00FA74E6" w:rsidRPr="00215B2F">
        <w:rPr>
          <w:rFonts w:ascii="Arial" w:eastAsia="Arial" w:hAnsi="Arial" w:cs="Arial"/>
          <w:sz w:val="20"/>
          <w:szCs w:val="20"/>
        </w:rPr>
        <w:t>324</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je </w:t>
      </w:r>
      <w:r w:rsidR="00E832FC" w:rsidRPr="00215B2F">
        <w:rPr>
          <w:rFonts w:ascii="Arial" w:eastAsia="Arial" w:hAnsi="Arial" w:cs="Arial"/>
          <w:sz w:val="20"/>
          <w:szCs w:val="20"/>
        </w:rPr>
        <w:t xml:space="preserve">enaka kot </w:t>
      </w:r>
      <w:r w:rsidRPr="00215B2F">
        <w:rPr>
          <w:rFonts w:ascii="Arial" w:eastAsia="Arial" w:hAnsi="Arial" w:cs="Arial"/>
          <w:sz w:val="20"/>
          <w:szCs w:val="20"/>
        </w:rPr>
        <w:t>5 milijard eurov</w:t>
      </w:r>
      <w:r w:rsidR="005F1236" w:rsidRPr="00215B2F">
        <w:rPr>
          <w:rFonts w:ascii="Arial" w:eastAsia="Arial" w:hAnsi="Arial" w:cs="Arial"/>
          <w:sz w:val="20"/>
          <w:szCs w:val="20"/>
        </w:rPr>
        <w:t xml:space="preserve"> ali višja</w:t>
      </w:r>
      <w:r w:rsidRPr="00215B2F">
        <w:rPr>
          <w:rFonts w:ascii="Arial" w:eastAsia="Arial" w:hAnsi="Arial" w:cs="Arial"/>
          <w:sz w:val="20"/>
          <w:szCs w:val="20"/>
        </w:rPr>
        <w:t>;</w:t>
      </w:r>
    </w:p>
    <w:p w14:paraId="44C60C93" w14:textId="1901CF31" w:rsidR="00C316EC" w:rsidRPr="00215B2F" w:rsidRDefault="00D91782" w:rsidP="003D4DE0">
      <w:pPr>
        <w:pStyle w:val="Odstavekseznama"/>
        <w:numPr>
          <w:ilvl w:val="0"/>
          <w:numId w:val="318"/>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dejavnosti, za katere ima podružnica iz tretje države dovoljenje, vključujejo sprejemanje vlog ali drugih vračljivih sredstev neprofesionalnih strank, če je znesek takih vlog in drugih vračljivih sredstev </w:t>
      </w:r>
      <w:r w:rsidR="006302F6" w:rsidRPr="00215B2F">
        <w:rPr>
          <w:rFonts w:ascii="Arial" w:eastAsia="Arial" w:hAnsi="Arial" w:cs="Arial"/>
          <w:sz w:val="20"/>
          <w:szCs w:val="20"/>
        </w:rPr>
        <w:t>pet</w:t>
      </w:r>
      <w:r w:rsidR="005F1236" w:rsidRPr="00215B2F">
        <w:rPr>
          <w:rFonts w:ascii="Arial" w:eastAsia="Arial" w:hAnsi="Arial" w:cs="Arial"/>
          <w:sz w:val="20"/>
          <w:szCs w:val="20"/>
        </w:rPr>
        <w:t xml:space="preserve"> odstotkov</w:t>
      </w:r>
      <w:r w:rsidRPr="00215B2F">
        <w:rPr>
          <w:rFonts w:ascii="Arial" w:eastAsia="Arial" w:hAnsi="Arial" w:cs="Arial"/>
          <w:sz w:val="20"/>
          <w:szCs w:val="20"/>
        </w:rPr>
        <w:t xml:space="preserve"> ali večji od </w:t>
      </w:r>
      <w:r w:rsidR="006302F6" w:rsidRPr="00215B2F">
        <w:rPr>
          <w:rFonts w:ascii="Arial" w:eastAsia="Arial" w:hAnsi="Arial" w:cs="Arial"/>
          <w:sz w:val="20"/>
          <w:szCs w:val="20"/>
        </w:rPr>
        <w:t xml:space="preserve">petih </w:t>
      </w:r>
      <w:r w:rsidR="005F1236" w:rsidRPr="00215B2F">
        <w:rPr>
          <w:rFonts w:ascii="Arial" w:eastAsia="Arial" w:hAnsi="Arial" w:cs="Arial"/>
          <w:sz w:val="20"/>
          <w:szCs w:val="20"/>
        </w:rPr>
        <w:t xml:space="preserve">odstotkov </w:t>
      </w:r>
      <w:r w:rsidRPr="00215B2F">
        <w:rPr>
          <w:rFonts w:ascii="Arial" w:eastAsia="Arial" w:hAnsi="Arial" w:cs="Arial"/>
          <w:sz w:val="20"/>
          <w:szCs w:val="20"/>
        </w:rPr>
        <w:t>skupnih obveznosti podružnice iz tretje države ali znesek takih vlog in drugih vračljivih sredstev presega 50 milijonov eurov;</w:t>
      </w:r>
    </w:p>
    <w:p w14:paraId="40C27B2C" w14:textId="75763B6D" w:rsidR="00D91782" w:rsidRPr="00215B2F" w:rsidRDefault="00D91782" w:rsidP="003D4DE0">
      <w:pPr>
        <w:pStyle w:val="Odstavekseznama"/>
        <w:numPr>
          <w:ilvl w:val="0"/>
          <w:numId w:val="318"/>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podružnica iz tretje države ni kvalificirana podružnica iz tretje države iz </w:t>
      </w:r>
      <w:r w:rsidR="00FA74E6" w:rsidRPr="00215B2F">
        <w:rPr>
          <w:rFonts w:ascii="Arial" w:eastAsia="Arial" w:hAnsi="Arial" w:cs="Arial"/>
          <w:sz w:val="20"/>
          <w:szCs w:val="20"/>
        </w:rPr>
        <w:t>309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005F1236" w:rsidRPr="00215B2F">
        <w:rPr>
          <w:rFonts w:ascii="Arial" w:eastAsia="Arial" w:hAnsi="Arial" w:cs="Arial"/>
          <w:sz w:val="20"/>
          <w:szCs w:val="20"/>
        </w:rPr>
        <w:t>;</w:t>
      </w:r>
    </w:p>
    <w:p w14:paraId="7FFC211F" w14:textId="572B25C6" w:rsidR="00D91782" w:rsidRPr="00215B2F" w:rsidRDefault="00D91782" w:rsidP="00D8730E">
      <w:pPr>
        <w:pStyle w:val="tevilnatoka"/>
        <w:rPr>
          <w:rFonts w:cs="Arial"/>
          <w:bCs/>
          <w:sz w:val="20"/>
          <w:szCs w:val="20"/>
        </w:rPr>
      </w:pPr>
      <w:r w:rsidRPr="00215B2F">
        <w:rPr>
          <w:rFonts w:eastAsia="Arial" w:cs="Arial"/>
          <w:sz w:val="20"/>
          <w:szCs w:val="20"/>
        </w:rPr>
        <w:t>v razred 2, če ni izpolnjen noben</w:t>
      </w:r>
      <w:r w:rsidR="005F1236" w:rsidRPr="00215B2F">
        <w:rPr>
          <w:rFonts w:eastAsia="Arial" w:cs="Arial"/>
          <w:sz w:val="20"/>
          <w:szCs w:val="20"/>
        </w:rPr>
        <w:t xml:space="preserve"> pogoj</w:t>
      </w:r>
      <w:r w:rsidRPr="00215B2F">
        <w:rPr>
          <w:rFonts w:eastAsia="Arial" w:cs="Arial"/>
          <w:sz w:val="20"/>
          <w:szCs w:val="20"/>
        </w:rPr>
        <w:t xml:space="preserve"> iz točke 1. </w:t>
      </w:r>
    </w:p>
    <w:p w14:paraId="068F8FD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C8CC141" w14:textId="265B30E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Če podružnica iz tretje države razreda 1 preneha izpolnjevati pogoje iz </w:t>
      </w:r>
      <w:r w:rsidR="005F0F87" w:rsidRPr="00215B2F">
        <w:rPr>
          <w:rFonts w:ascii="Arial" w:eastAsia="Arial" w:hAnsi="Arial" w:cs="Arial"/>
          <w:sz w:val="20"/>
          <w:szCs w:val="20"/>
        </w:rPr>
        <w:t xml:space="preserve">prejšnjega </w:t>
      </w:r>
      <w:r w:rsidRPr="00215B2F">
        <w:rPr>
          <w:rFonts w:ascii="Arial" w:eastAsia="Arial" w:hAnsi="Arial" w:cs="Arial"/>
          <w:sz w:val="20"/>
          <w:szCs w:val="20"/>
        </w:rPr>
        <w:t xml:space="preserve">odstavka, Banka Slovenije po uradni dolžnosti začne postopek za prerazvrstitev podružnice iz tretje države v razred 2. </w:t>
      </w:r>
    </w:p>
    <w:p w14:paraId="4EDEB84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1503137" w14:textId="7CDFCE1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Če podružnica iz tretje države iz razreda 2 začne izpolnjevati katerega od pogojev iz</w:t>
      </w:r>
      <w:r w:rsidR="005F0F87" w:rsidRPr="00215B2F">
        <w:rPr>
          <w:rFonts w:ascii="Arial" w:eastAsia="Arial" w:hAnsi="Arial" w:cs="Arial"/>
          <w:sz w:val="20"/>
          <w:szCs w:val="20"/>
        </w:rPr>
        <w:t xml:space="preserve"> prvega</w:t>
      </w:r>
      <w:r w:rsidRPr="00215B2F">
        <w:rPr>
          <w:rFonts w:ascii="Arial" w:eastAsia="Arial" w:hAnsi="Arial" w:cs="Arial"/>
          <w:sz w:val="20"/>
          <w:szCs w:val="20"/>
        </w:rPr>
        <w:t xml:space="preserve"> odstavka</w:t>
      </w:r>
      <w:r w:rsidR="0009512A" w:rsidRPr="00215B2F">
        <w:rPr>
          <w:rFonts w:ascii="Arial" w:eastAsia="Arial" w:hAnsi="Arial" w:cs="Arial"/>
          <w:sz w:val="20"/>
          <w:szCs w:val="20"/>
        </w:rPr>
        <w:t xml:space="preserve"> tega člena</w:t>
      </w:r>
      <w:r w:rsidRPr="00215B2F">
        <w:rPr>
          <w:rFonts w:ascii="Arial" w:eastAsia="Arial" w:hAnsi="Arial" w:cs="Arial"/>
          <w:sz w:val="20"/>
          <w:szCs w:val="20"/>
        </w:rPr>
        <w:t xml:space="preserve">, o tem nemudoma obvesti Banko Slovenije, ki po uradni dolžnosti začne postopek za </w:t>
      </w:r>
      <w:r w:rsidRPr="00215B2F">
        <w:rPr>
          <w:rFonts w:ascii="Arial" w:eastAsia="Arial" w:hAnsi="Arial" w:cs="Arial"/>
          <w:sz w:val="20"/>
          <w:szCs w:val="20"/>
        </w:rPr>
        <w:lastRenderedPageBreak/>
        <w:t xml:space="preserve">prerazvrstitev podružnice iz tretje države v razred 1. Banka Slovenije podružnico iz tretje države prerazvrsti najprej po preteku štirih mesecev od datuma, na katerega je </w:t>
      </w:r>
      <w:r w:rsidR="0089418F" w:rsidRPr="00215B2F">
        <w:rPr>
          <w:rFonts w:ascii="Arial" w:eastAsia="Arial" w:hAnsi="Arial" w:cs="Arial"/>
          <w:sz w:val="20"/>
          <w:szCs w:val="20"/>
        </w:rPr>
        <w:t xml:space="preserve">ta </w:t>
      </w:r>
      <w:r w:rsidRPr="00215B2F">
        <w:rPr>
          <w:rFonts w:ascii="Arial" w:eastAsia="Arial" w:hAnsi="Arial" w:cs="Arial"/>
          <w:sz w:val="20"/>
          <w:szCs w:val="20"/>
        </w:rPr>
        <w:t xml:space="preserve">začela izpolnjevati te pogoje. </w:t>
      </w:r>
    </w:p>
    <w:p w14:paraId="0C7CF86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1515C35" w14:textId="316BBFA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podružnico razvrsti v razred 1 ali 2 ob izdaji dovoljenja za podružnico</w:t>
      </w:r>
      <w:r w:rsidR="0089418F" w:rsidRPr="00215B2F">
        <w:rPr>
          <w:rFonts w:ascii="Arial" w:eastAsia="Arial" w:hAnsi="Arial" w:cs="Arial"/>
          <w:sz w:val="20"/>
          <w:szCs w:val="20"/>
        </w:rPr>
        <w:t xml:space="preserve"> iz</w:t>
      </w:r>
      <w:r w:rsidRPr="00215B2F">
        <w:rPr>
          <w:rFonts w:ascii="Arial" w:eastAsia="Arial" w:hAnsi="Arial" w:cs="Arial"/>
          <w:sz w:val="20"/>
          <w:szCs w:val="20"/>
        </w:rPr>
        <w:t xml:space="preserve"> tretje države oziroma naknadno prerazvrsti v primerih iz drugega ali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w:t>
      </w:r>
    </w:p>
    <w:p w14:paraId="194B353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545889F"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64" w:name="_Ref202966971"/>
      <w:r w:rsidRPr="00215B2F">
        <w:rPr>
          <w:rFonts w:ascii="Arial" w:eastAsia="Arial" w:hAnsi="Arial" w:cs="Arial"/>
          <w:b/>
          <w:bCs/>
          <w:sz w:val="20"/>
          <w:szCs w:val="20"/>
        </w:rPr>
        <w:t>člen</w:t>
      </w:r>
      <w:bookmarkEnd w:id="364"/>
    </w:p>
    <w:p w14:paraId="4E043A00" w14:textId="77777777" w:rsidR="00D91782" w:rsidRPr="00215B2F" w:rsidRDefault="00D91782" w:rsidP="00FD5520">
      <w:pPr>
        <w:pStyle w:val="Slog1"/>
        <w:shd w:val="clear" w:color="auto" w:fill="FFFFFF" w:themeFill="background1"/>
        <w:rPr>
          <w:sz w:val="20"/>
          <w:szCs w:val="20"/>
        </w:rPr>
      </w:pPr>
      <w:r w:rsidRPr="00215B2F">
        <w:rPr>
          <w:sz w:val="20"/>
          <w:szCs w:val="20"/>
        </w:rPr>
        <w:t>(kvalificirane podružnice iz tretjih držav)</w:t>
      </w:r>
    </w:p>
    <w:p w14:paraId="1331E91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CC70D8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Podružnica iz tretje države se za namene tega poglavja obravnava kot kvalificirana podružnica, če so izpolnjeni vsi naslednji pogoji: </w:t>
      </w:r>
    </w:p>
    <w:p w14:paraId="07429D44"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001CDF95" w14:textId="0DA3D24B" w:rsidR="00C316EC" w:rsidRPr="00215B2F" w:rsidRDefault="00D91782" w:rsidP="003D4DE0">
      <w:pPr>
        <w:pStyle w:val="Odstavekseznama"/>
        <w:numPr>
          <w:ilvl w:val="0"/>
          <w:numId w:val="319"/>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matična družba ima sedež v državi, ki uporablja bonitetne standarde in izvaja nadzor v skladu z bančnim regulativnim okvirom tretje države, ki so vsaj enakovredni temu zakonu oziroma Direktivi 2013/36/EU in Uredbi 575/2013</w:t>
      </w:r>
      <w:r w:rsidR="0061482B" w:rsidRPr="00215B2F">
        <w:rPr>
          <w:rFonts w:ascii="Arial" w:eastAsia="Arial" w:hAnsi="Arial" w:cs="Arial"/>
          <w:sz w:val="20"/>
          <w:szCs w:val="20"/>
        </w:rPr>
        <w:t>/EU</w:t>
      </w:r>
      <w:r w:rsidRPr="00215B2F">
        <w:rPr>
          <w:rFonts w:ascii="Arial" w:eastAsia="Arial" w:hAnsi="Arial" w:cs="Arial"/>
          <w:sz w:val="20"/>
          <w:szCs w:val="20"/>
        </w:rPr>
        <w:t xml:space="preserve">; </w:t>
      </w:r>
    </w:p>
    <w:p w14:paraId="4F9F14EB" w14:textId="77777777" w:rsidR="00C316EC" w:rsidRPr="00215B2F" w:rsidRDefault="00D91782" w:rsidP="003D4DE0">
      <w:pPr>
        <w:pStyle w:val="Odstavekseznama"/>
        <w:numPr>
          <w:ilvl w:val="0"/>
          <w:numId w:val="319"/>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za nadzorne organe matične družbe veljajo zahteve glede zaupnosti, ki so vsaj enakovredne zahtevam iz tega zakona oziroma zahtevam iz Direktive 2013/36/EU; </w:t>
      </w:r>
    </w:p>
    <w:p w14:paraId="7B1A39A5" w14:textId="43E644AE" w:rsidR="00D91782" w:rsidRPr="00215B2F" w:rsidRDefault="00D91782" w:rsidP="003D4DE0">
      <w:pPr>
        <w:pStyle w:val="Odstavekseznama"/>
        <w:numPr>
          <w:ilvl w:val="0"/>
          <w:numId w:val="319"/>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matična družba ima sedež v državi, ki ni uvrščena na seznam tretjih držav z visokim tveganjem, ki imajo v svojih ureditvah za preprečevanje pranja denarja in boj proti financiranju terorizma strateške pomanjkljivosti v skladu z zakonom, ki ureja preprečevanje pranja denarja in financiranja terorizma</w:t>
      </w:r>
      <w:r w:rsidR="002609B2" w:rsidRPr="00215B2F">
        <w:rPr>
          <w:rFonts w:ascii="Arial" w:eastAsia="Arial" w:hAnsi="Arial" w:cs="Arial"/>
          <w:sz w:val="20"/>
          <w:szCs w:val="20"/>
        </w:rPr>
        <w:t>,</w:t>
      </w:r>
      <w:r w:rsidRPr="00215B2F">
        <w:rPr>
          <w:rFonts w:ascii="Arial" w:eastAsia="Arial" w:hAnsi="Arial" w:cs="Arial"/>
          <w:sz w:val="20"/>
          <w:szCs w:val="20"/>
        </w:rPr>
        <w:t xml:space="preserve"> oziroma Direktivo 2015/849/EU.</w:t>
      </w:r>
    </w:p>
    <w:p w14:paraId="7CBE70CB"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38226361" w14:textId="60C7474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pri presoji </w:t>
      </w:r>
      <w:r w:rsidR="002609B2" w:rsidRPr="00215B2F">
        <w:rPr>
          <w:rFonts w:ascii="Arial" w:eastAsia="Arial" w:hAnsi="Arial" w:cs="Arial"/>
          <w:sz w:val="20"/>
          <w:szCs w:val="20"/>
        </w:rPr>
        <w:t xml:space="preserve">izpolnjevanja </w:t>
      </w:r>
      <w:r w:rsidRPr="00215B2F">
        <w:rPr>
          <w:rFonts w:ascii="Arial" w:eastAsia="Arial" w:hAnsi="Arial" w:cs="Arial"/>
          <w:sz w:val="20"/>
          <w:szCs w:val="20"/>
        </w:rPr>
        <w:t xml:space="preserve">pogojev iz prejšnjega odstavka upošteva javni register tretjih držav in organov tretjih držav, ki ga na podlagi četrtega odstavka 48.b člena </w:t>
      </w:r>
      <w:r w:rsidR="002609B2" w:rsidRPr="00215B2F">
        <w:rPr>
          <w:rFonts w:ascii="Arial" w:eastAsia="Arial" w:hAnsi="Arial" w:cs="Arial"/>
          <w:sz w:val="20"/>
          <w:szCs w:val="20"/>
        </w:rPr>
        <w:t>D</w:t>
      </w:r>
      <w:r w:rsidRPr="00215B2F">
        <w:rPr>
          <w:rFonts w:ascii="Arial" w:eastAsia="Arial" w:hAnsi="Arial" w:cs="Arial"/>
          <w:sz w:val="20"/>
          <w:szCs w:val="20"/>
        </w:rPr>
        <w:t xml:space="preserve">irektive 2013/36/EU objavi Evropski bančni organ. </w:t>
      </w:r>
    </w:p>
    <w:p w14:paraId="1285118F"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1A4B6492" w14:textId="5807872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zadevna tretja država ni evidentirana v javnem registru iz prejšnjega odstavka in ni uvrščena na seznam iz točke c)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Banka Slovenije od Komisije zahteva, da za namene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oceni bančni regulativni okvir in zahteve glede zaupnosti tretje države. Dokler Komisija ne sprejme odločitve, Banka Slovenije podružnico iz tretje države razvrsti v razred 1. </w:t>
      </w:r>
    </w:p>
    <w:p w14:paraId="595DF0D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3ECF346"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65" w:name="_Ref202966974"/>
      <w:r w:rsidRPr="00215B2F">
        <w:rPr>
          <w:rFonts w:ascii="Arial" w:eastAsia="Arial" w:hAnsi="Arial" w:cs="Arial"/>
          <w:b/>
          <w:bCs/>
          <w:sz w:val="20"/>
          <w:szCs w:val="20"/>
        </w:rPr>
        <w:t>člen</w:t>
      </w:r>
      <w:bookmarkEnd w:id="365"/>
    </w:p>
    <w:p w14:paraId="358CACB0" w14:textId="77777777" w:rsidR="00D91782" w:rsidRPr="00215B2F" w:rsidRDefault="00D91782" w:rsidP="00FD5520">
      <w:pPr>
        <w:pStyle w:val="Slog1"/>
        <w:shd w:val="clear" w:color="auto" w:fill="FFFFFF" w:themeFill="background1"/>
        <w:rPr>
          <w:sz w:val="20"/>
          <w:szCs w:val="20"/>
        </w:rPr>
      </w:pPr>
      <w:r w:rsidRPr="00215B2F">
        <w:rPr>
          <w:sz w:val="20"/>
          <w:szCs w:val="20"/>
        </w:rPr>
        <w:t>(upravni in drugi dogovori)</w:t>
      </w:r>
    </w:p>
    <w:p w14:paraId="70C9A06B" w14:textId="77777777" w:rsidR="00D91782" w:rsidRPr="00215B2F" w:rsidRDefault="00D91782" w:rsidP="00FD5520">
      <w:pPr>
        <w:pStyle w:val="Slog1"/>
        <w:shd w:val="clear" w:color="auto" w:fill="FFFFFF" w:themeFill="background1"/>
        <w:jc w:val="both"/>
        <w:rPr>
          <w:sz w:val="20"/>
          <w:szCs w:val="20"/>
        </w:rPr>
      </w:pPr>
    </w:p>
    <w:p w14:paraId="021C29D4" w14:textId="60BF238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si prizadeva, da preden začne podružnica iz tretje države poslovati v Republiki Sloveniji, s pristojnimi organi zadevne tretje države sklene upravni ali drug dogovor, ki temelji na modelu za upravne dogovore, ki ga pripravi Evropski bančni organ v skladu s </w:t>
      </w:r>
      <w:r w:rsidR="00827EFA" w:rsidRPr="00215B2F">
        <w:rPr>
          <w:rFonts w:ascii="Arial" w:eastAsia="Arial" w:hAnsi="Arial" w:cs="Arial"/>
          <w:sz w:val="20"/>
          <w:szCs w:val="20"/>
        </w:rPr>
        <w:t xml:space="preserve">petim odstavkom 33. </w:t>
      </w:r>
      <w:r w:rsidRPr="00215B2F">
        <w:rPr>
          <w:rFonts w:ascii="Arial" w:eastAsia="Arial" w:hAnsi="Arial" w:cs="Arial"/>
          <w:sz w:val="20"/>
          <w:szCs w:val="20"/>
        </w:rPr>
        <w:t>člen</w:t>
      </w:r>
      <w:r w:rsidR="00827EFA" w:rsidRPr="00215B2F">
        <w:rPr>
          <w:rFonts w:ascii="Arial" w:eastAsia="Arial" w:hAnsi="Arial" w:cs="Arial"/>
          <w:sz w:val="20"/>
          <w:szCs w:val="20"/>
        </w:rPr>
        <w:t>a</w:t>
      </w:r>
      <w:r w:rsidRPr="00215B2F">
        <w:rPr>
          <w:rFonts w:ascii="Arial" w:eastAsia="Arial" w:hAnsi="Arial" w:cs="Arial"/>
          <w:sz w:val="20"/>
          <w:szCs w:val="20"/>
        </w:rPr>
        <w:t xml:space="preserve"> Uredbe 1093/2010/EU. </w:t>
      </w:r>
    </w:p>
    <w:p w14:paraId="06F95418"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0D7D4E5C" w14:textId="33D8BAC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Evropskemu bančnemu organu brez odlašanja po</w:t>
      </w:r>
      <w:r w:rsidR="0040277D" w:rsidRPr="00215B2F">
        <w:rPr>
          <w:rFonts w:ascii="Arial" w:eastAsia="Arial" w:hAnsi="Arial" w:cs="Arial"/>
          <w:sz w:val="20"/>
          <w:szCs w:val="20"/>
        </w:rPr>
        <w:t>šl</w:t>
      </w:r>
      <w:r w:rsidRPr="00215B2F">
        <w:rPr>
          <w:rFonts w:ascii="Arial" w:eastAsia="Arial" w:hAnsi="Arial" w:cs="Arial"/>
          <w:sz w:val="20"/>
          <w:szCs w:val="20"/>
        </w:rPr>
        <w:t xml:space="preserve">je informacije o vseh upravnih in drugih dogovorih, sklenjenih s pristojnimi organi tretjih držav. </w:t>
      </w:r>
    </w:p>
    <w:p w14:paraId="1B33D69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EBB83E5" w14:textId="1C818B48" w:rsidR="00D91782" w:rsidRPr="00215B2F" w:rsidRDefault="000A76F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9</w:t>
      </w:r>
      <w:r w:rsidR="00D91782" w:rsidRPr="00215B2F">
        <w:rPr>
          <w:rFonts w:ascii="Arial" w:eastAsia="Arial" w:hAnsi="Arial" w:cs="Arial"/>
          <w:b/>
          <w:bCs/>
          <w:sz w:val="20"/>
          <w:szCs w:val="20"/>
        </w:rPr>
        <w:t>.2 ZAHTEVE GLEDE DOVOLJENJA IN REGULATIVNE ZAHTEVE</w:t>
      </w:r>
    </w:p>
    <w:p w14:paraId="6ABFAE66"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6926076" w14:textId="2AC42D6B" w:rsidR="00D91782" w:rsidRPr="00215B2F" w:rsidRDefault="000A76F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9</w:t>
      </w:r>
      <w:r w:rsidR="00D91782" w:rsidRPr="00215B2F">
        <w:rPr>
          <w:rFonts w:ascii="Arial" w:eastAsia="Arial" w:hAnsi="Arial" w:cs="Arial"/>
          <w:i/>
          <w:iCs/>
          <w:sz w:val="20"/>
          <w:szCs w:val="20"/>
        </w:rPr>
        <w:t>.2.1 Zahteve glede dovoljenja</w:t>
      </w:r>
    </w:p>
    <w:p w14:paraId="150EDA8E" w14:textId="77777777" w:rsidR="003113BE" w:rsidRPr="00215B2F" w:rsidRDefault="003113BE" w:rsidP="00FD5520">
      <w:pPr>
        <w:shd w:val="clear" w:color="auto" w:fill="FFFFFF" w:themeFill="background1"/>
        <w:spacing w:after="0" w:line="240" w:lineRule="auto"/>
        <w:jc w:val="both"/>
        <w:rPr>
          <w:rFonts w:ascii="Arial" w:eastAsia="Arial" w:hAnsi="Arial" w:cs="Arial"/>
          <w:sz w:val="20"/>
          <w:szCs w:val="20"/>
        </w:rPr>
      </w:pPr>
    </w:p>
    <w:p w14:paraId="280030A2"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66" w:name="_Ref202966978"/>
      <w:r w:rsidRPr="00215B2F">
        <w:rPr>
          <w:rFonts w:ascii="Arial" w:eastAsia="Arial" w:hAnsi="Arial" w:cs="Arial"/>
          <w:b/>
          <w:bCs/>
          <w:sz w:val="20"/>
          <w:szCs w:val="20"/>
        </w:rPr>
        <w:t>člen</w:t>
      </w:r>
      <w:bookmarkEnd w:id="366"/>
    </w:p>
    <w:p w14:paraId="5427FCEC" w14:textId="77777777" w:rsidR="00D91782" w:rsidRPr="00215B2F" w:rsidRDefault="00D91782" w:rsidP="00FD5520">
      <w:pPr>
        <w:pStyle w:val="Slog1"/>
        <w:shd w:val="clear" w:color="auto" w:fill="FFFFFF" w:themeFill="background1"/>
        <w:rPr>
          <w:sz w:val="20"/>
          <w:szCs w:val="20"/>
        </w:rPr>
      </w:pPr>
      <w:r w:rsidRPr="00215B2F">
        <w:rPr>
          <w:sz w:val="20"/>
          <w:szCs w:val="20"/>
        </w:rPr>
        <w:t>(dovoljenje za opravljanje storitev podružnic tretjih držav)</w:t>
      </w:r>
    </w:p>
    <w:p w14:paraId="1D1ED290" w14:textId="77777777" w:rsidR="00D91782" w:rsidRPr="00215B2F" w:rsidRDefault="00D91782" w:rsidP="00FD5520">
      <w:pPr>
        <w:pStyle w:val="Slog1"/>
        <w:shd w:val="clear" w:color="auto" w:fill="FFFFFF" w:themeFill="background1"/>
        <w:jc w:val="both"/>
        <w:rPr>
          <w:sz w:val="20"/>
          <w:szCs w:val="20"/>
        </w:rPr>
      </w:pPr>
    </w:p>
    <w:p w14:paraId="42809636" w14:textId="60793ED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Družba iz tretje države iz </w:t>
      </w:r>
      <w:r w:rsidR="00FA74E6" w:rsidRPr="00215B2F">
        <w:rPr>
          <w:rFonts w:ascii="Arial" w:eastAsia="Arial" w:hAnsi="Arial" w:cs="Arial"/>
          <w:sz w:val="20"/>
          <w:szCs w:val="20"/>
        </w:rPr>
        <w:t>168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ki želi na območju Republike Slovenije ustanoviti podružnico </w:t>
      </w:r>
      <w:r w:rsidR="002609B2" w:rsidRPr="00215B2F">
        <w:rPr>
          <w:rFonts w:ascii="Arial" w:eastAsia="Arial" w:hAnsi="Arial" w:cs="Arial"/>
          <w:sz w:val="20"/>
          <w:szCs w:val="20"/>
        </w:rPr>
        <w:t xml:space="preserve">iz </w:t>
      </w:r>
      <w:r w:rsidRPr="00215B2F">
        <w:rPr>
          <w:rFonts w:ascii="Arial" w:eastAsia="Arial" w:hAnsi="Arial" w:cs="Arial"/>
          <w:sz w:val="20"/>
          <w:szCs w:val="20"/>
        </w:rPr>
        <w:t>tretje države, mora pred ustanovitvijo pridobiti dovoljenje Banke Slovenije za podružnico iz tretje države.</w:t>
      </w:r>
    </w:p>
    <w:p w14:paraId="559ECF4F"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5A0F5C6C" w14:textId="4EA3C5F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Podružnica iz tretje države, ki je pridobila dovoljenje za podružnico </w:t>
      </w:r>
      <w:r w:rsidR="002609B2" w:rsidRPr="00215B2F">
        <w:rPr>
          <w:rFonts w:ascii="Arial" w:eastAsia="Arial" w:hAnsi="Arial" w:cs="Arial"/>
          <w:sz w:val="20"/>
          <w:szCs w:val="20"/>
        </w:rPr>
        <w:t xml:space="preserve">iz </w:t>
      </w:r>
      <w:r w:rsidRPr="00215B2F">
        <w:rPr>
          <w:rFonts w:ascii="Arial" w:eastAsia="Arial" w:hAnsi="Arial" w:cs="Arial"/>
          <w:sz w:val="20"/>
          <w:szCs w:val="20"/>
        </w:rPr>
        <w:t xml:space="preserve">tretje države, lahko na območju Republike Slovenije opravlja tiste bančne in finančne storitve, ki so navedene v dovoljenju za podružnico iz tretje države. </w:t>
      </w:r>
    </w:p>
    <w:p w14:paraId="288EFBC1"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1A598E07" w14:textId="30C904B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namerava podružnica iz tretje države na območju Republike Slovenije začeti opravljati tudi druge storitve, ki niso navedene v dovoljenju za podružnico iz tretje države, mora za te storitve predhodno </w:t>
      </w:r>
      <w:r w:rsidRPr="00215B2F">
        <w:rPr>
          <w:rFonts w:ascii="Arial" w:eastAsia="Arial" w:hAnsi="Arial" w:cs="Arial"/>
          <w:sz w:val="20"/>
          <w:szCs w:val="20"/>
        </w:rPr>
        <w:lastRenderedPageBreak/>
        <w:t xml:space="preserve">pridobiti dodatno dovoljenje Banke Slovenije za podružnico iz tretje države za opravljanje tudi teh storitev. Za dodatno dovoljenje se smiselno uporabljajo določbe tega podpoglavja. </w:t>
      </w:r>
    </w:p>
    <w:p w14:paraId="78AA6081"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3B453D62"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67" w:name="_Ref202966983"/>
      <w:r w:rsidRPr="00215B2F">
        <w:rPr>
          <w:rFonts w:ascii="Arial" w:eastAsia="Arial" w:hAnsi="Arial" w:cs="Arial"/>
          <w:b/>
          <w:bCs/>
          <w:sz w:val="20"/>
          <w:szCs w:val="20"/>
        </w:rPr>
        <w:t>člen</w:t>
      </w:r>
      <w:bookmarkEnd w:id="367"/>
    </w:p>
    <w:p w14:paraId="34956DD4" w14:textId="77777777" w:rsidR="00D91782" w:rsidRPr="00215B2F" w:rsidRDefault="00D91782" w:rsidP="00FD5520">
      <w:pPr>
        <w:pStyle w:val="Slog1"/>
        <w:shd w:val="clear" w:color="auto" w:fill="FFFFFF" w:themeFill="background1"/>
        <w:rPr>
          <w:sz w:val="20"/>
          <w:szCs w:val="20"/>
        </w:rPr>
      </w:pPr>
      <w:r w:rsidRPr="00215B2F">
        <w:rPr>
          <w:sz w:val="20"/>
          <w:szCs w:val="20"/>
        </w:rPr>
        <w:t>(zahteva za izdajo dovoljenja za podružnico iz tretje države)</w:t>
      </w:r>
    </w:p>
    <w:p w14:paraId="63A32738" w14:textId="77777777" w:rsidR="00D91782" w:rsidRPr="00215B2F" w:rsidRDefault="00D91782" w:rsidP="00FD5520">
      <w:pPr>
        <w:pStyle w:val="Slog1"/>
        <w:shd w:val="clear" w:color="auto" w:fill="FFFFFF" w:themeFill="background1"/>
        <w:jc w:val="both"/>
        <w:rPr>
          <w:sz w:val="20"/>
          <w:szCs w:val="20"/>
        </w:rPr>
      </w:pPr>
    </w:p>
    <w:p w14:paraId="05247AF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Zahteva za izdajo dovoljenja za podružnico iz tretje države se vloži pri Banki Slovenije. </w:t>
      </w:r>
    </w:p>
    <w:p w14:paraId="33304F87" w14:textId="77777777" w:rsidR="005724C2" w:rsidRPr="00215B2F" w:rsidRDefault="005724C2" w:rsidP="00FD5520">
      <w:pPr>
        <w:shd w:val="clear" w:color="auto" w:fill="FFFFFF" w:themeFill="background1"/>
        <w:spacing w:after="0" w:line="240" w:lineRule="auto"/>
        <w:jc w:val="both"/>
        <w:rPr>
          <w:rFonts w:ascii="Arial" w:eastAsia="Arial" w:hAnsi="Arial" w:cs="Arial"/>
          <w:sz w:val="20"/>
          <w:szCs w:val="20"/>
        </w:rPr>
      </w:pPr>
    </w:p>
    <w:p w14:paraId="638D4318" w14:textId="284D292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Zahtevi za izdajo dovoljenja za podružnico iz tretje države je treba priložiti:</w:t>
      </w:r>
    </w:p>
    <w:p w14:paraId="4F4F582D"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6E6E0FB1" w14:textId="77777777" w:rsidR="005724C2" w:rsidRPr="00215B2F" w:rsidRDefault="00D91782" w:rsidP="003D4DE0">
      <w:pPr>
        <w:pStyle w:val="tevilnatoka"/>
        <w:numPr>
          <w:ilvl w:val="0"/>
          <w:numId w:val="216"/>
        </w:numPr>
        <w:shd w:val="clear" w:color="auto" w:fill="FFFFFF" w:themeFill="background1"/>
        <w:tabs>
          <w:tab w:val="clear" w:pos="425"/>
        </w:tabs>
        <w:rPr>
          <w:rFonts w:cs="Arial"/>
          <w:bCs/>
          <w:sz w:val="20"/>
          <w:szCs w:val="20"/>
        </w:rPr>
      </w:pPr>
      <w:r w:rsidRPr="00215B2F">
        <w:rPr>
          <w:rFonts w:eastAsia="Arial" w:cs="Arial"/>
          <w:sz w:val="20"/>
          <w:szCs w:val="20"/>
        </w:rPr>
        <w:t xml:space="preserve">izpisek iz sodnega oziroma drugega ustreznega registra države sedeža za matično družbo, </w:t>
      </w:r>
    </w:p>
    <w:p w14:paraId="47C7DDEF" w14:textId="77777777" w:rsidR="005724C2" w:rsidRPr="00215B2F" w:rsidRDefault="00D91782" w:rsidP="00D8730E">
      <w:pPr>
        <w:pStyle w:val="tevilnatoka"/>
        <w:rPr>
          <w:rFonts w:cs="Arial"/>
          <w:bCs/>
          <w:sz w:val="20"/>
          <w:szCs w:val="20"/>
        </w:rPr>
      </w:pPr>
      <w:r w:rsidRPr="00215B2F">
        <w:rPr>
          <w:rFonts w:eastAsia="Arial" w:cs="Arial"/>
          <w:sz w:val="20"/>
          <w:szCs w:val="20"/>
        </w:rPr>
        <w:t xml:space="preserve">statut oziroma druga ustrezna pravila matične družbe, </w:t>
      </w:r>
    </w:p>
    <w:p w14:paraId="63F6B757" w14:textId="06A59B72" w:rsidR="005724C2" w:rsidRPr="00215B2F" w:rsidRDefault="00D91782" w:rsidP="00D8730E">
      <w:pPr>
        <w:pStyle w:val="tevilnatoka"/>
        <w:rPr>
          <w:rFonts w:cs="Arial"/>
          <w:bCs/>
          <w:sz w:val="20"/>
          <w:szCs w:val="20"/>
        </w:rPr>
      </w:pPr>
      <w:r w:rsidRPr="00215B2F">
        <w:rPr>
          <w:rFonts w:eastAsia="Arial" w:cs="Arial"/>
          <w:sz w:val="20"/>
          <w:szCs w:val="20"/>
        </w:rPr>
        <w:t>podatke o članih oziroma članicah poslovodnih in nadzornih organov matične družbe</w:t>
      </w:r>
      <w:r w:rsidR="00BF0ED4" w:rsidRPr="00215B2F">
        <w:rPr>
          <w:rFonts w:eastAsia="Arial" w:cs="Arial"/>
          <w:sz w:val="20"/>
          <w:szCs w:val="20"/>
        </w:rPr>
        <w:t xml:space="preserve"> iz 49. člena in 64. člena tega zakona</w:t>
      </w:r>
      <w:r w:rsidRPr="00215B2F">
        <w:rPr>
          <w:rFonts w:eastAsia="Arial" w:cs="Arial"/>
          <w:sz w:val="20"/>
          <w:szCs w:val="20"/>
        </w:rPr>
        <w:t>,</w:t>
      </w:r>
    </w:p>
    <w:p w14:paraId="5A8B0E4B" w14:textId="77777777" w:rsidR="005724C2" w:rsidRPr="00215B2F" w:rsidRDefault="00D91782" w:rsidP="00D8730E">
      <w:pPr>
        <w:pStyle w:val="tevilnatoka"/>
        <w:rPr>
          <w:rFonts w:cs="Arial"/>
          <w:bCs/>
          <w:sz w:val="20"/>
          <w:szCs w:val="20"/>
        </w:rPr>
      </w:pPr>
      <w:r w:rsidRPr="00215B2F">
        <w:rPr>
          <w:rFonts w:eastAsia="Arial" w:cs="Arial"/>
          <w:sz w:val="20"/>
          <w:szCs w:val="20"/>
        </w:rPr>
        <w:t>revidirana letna poročila matične družbe za zadnja tri leta poslovanja,</w:t>
      </w:r>
    </w:p>
    <w:p w14:paraId="0F878E69" w14:textId="2AC7168F" w:rsidR="005724C2" w:rsidRPr="00215B2F" w:rsidRDefault="00D91782" w:rsidP="00D8730E">
      <w:pPr>
        <w:pStyle w:val="tevilnatoka"/>
        <w:rPr>
          <w:rFonts w:cs="Arial"/>
          <w:bCs/>
          <w:sz w:val="20"/>
          <w:szCs w:val="20"/>
        </w:rPr>
      </w:pPr>
      <w:r w:rsidRPr="00215B2F">
        <w:rPr>
          <w:rFonts w:eastAsia="Arial" w:cs="Arial"/>
          <w:sz w:val="20"/>
          <w:szCs w:val="20"/>
        </w:rPr>
        <w:t>podatke o imetnikih kvalificiranih deležev, oziroma če ni takih imetnikov, podatke o 20 največjih delničarjih oziroma družbenikih banke tretje države ter ustrezno listino, ki verodostojno izkazuje imetnike teh delnic oziroma deležev,</w:t>
      </w:r>
    </w:p>
    <w:p w14:paraId="1C580A3B" w14:textId="77777777" w:rsidR="005724C2" w:rsidRPr="00215B2F" w:rsidRDefault="00D91782" w:rsidP="00D8730E">
      <w:pPr>
        <w:pStyle w:val="tevilnatoka"/>
        <w:rPr>
          <w:rFonts w:cs="Arial"/>
          <w:bCs/>
          <w:sz w:val="20"/>
          <w:szCs w:val="20"/>
        </w:rPr>
      </w:pPr>
      <w:r w:rsidRPr="00215B2F">
        <w:rPr>
          <w:rFonts w:eastAsia="Arial" w:cs="Arial"/>
          <w:sz w:val="20"/>
          <w:szCs w:val="20"/>
        </w:rPr>
        <w:t>izpisek iz sodnega oziroma drugega ustreznega registra države sedeža za pravne osebe, ki so imetnice kvalificiranih deležev v matični banki,</w:t>
      </w:r>
    </w:p>
    <w:p w14:paraId="29AD74CC" w14:textId="77777777" w:rsidR="005724C2" w:rsidRPr="00215B2F" w:rsidRDefault="00D91782" w:rsidP="00D8730E">
      <w:pPr>
        <w:pStyle w:val="tevilnatoka"/>
        <w:rPr>
          <w:rFonts w:cs="Arial"/>
          <w:bCs/>
          <w:sz w:val="20"/>
          <w:szCs w:val="20"/>
        </w:rPr>
      </w:pPr>
      <w:r w:rsidRPr="00215B2F">
        <w:rPr>
          <w:rFonts w:eastAsia="Arial" w:cs="Arial"/>
          <w:sz w:val="20"/>
          <w:szCs w:val="20"/>
        </w:rPr>
        <w:t>dovoljenje za opravljanje bančnih, finančnih ali dodatnih finančnih storitev, ki ga je matični družbi izdal pristojni organ države njenega sedeža,</w:t>
      </w:r>
    </w:p>
    <w:p w14:paraId="6A733152" w14:textId="77777777" w:rsidR="005724C2" w:rsidRPr="00215B2F" w:rsidRDefault="00D91782" w:rsidP="00D8730E">
      <w:pPr>
        <w:pStyle w:val="tevilnatoka"/>
        <w:rPr>
          <w:rFonts w:cs="Arial"/>
          <w:bCs/>
          <w:sz w:val="20"/>
          <w:szCs w:val="20"/>
        </w:rPr>
      </w:pPr>
      <w:r w:rsidRPr="00215B2F">
        <w:rPr>
          <w:rFonts w:eastAsia="Arial" w:cs="Arial"/>
          <w:sz w:val="20"/>
          <w:szCs w:val="20"/>
        </w:rPr>
        <w:t>dovoljenje pristojnega organa matične banke za ustanovitev podružnice oziroma izjavo tega organa, da dovoljenje po predpisih države te banke ni potrebno,</w:t>
      </w:r>
    </w:p>
    <w:p w14:paraId="39FC2894" w14:textId="77777777" w:rsidR="005724C2" w:rsidRPr="00215B2F" w:rsidRDefault="00D91782" w:rsidP="00D8730E">
      <w:pPr>
        <w:pStyle w:val="tevilnatoka"/>
        <w:rPr>
          <w:rFonts w:cs="Arial"/>
          <w:bCs/>
          <w:sz w:val="20"/>
          <w:szCs w:val="20"/>
        </w:rPr>
      </w:pPr>
      <w:r w:rsidRPr="00215B2F">
        <w:rPr>
          <w:rFonts w:eastAsia="Arial" w:cs="Arial"/>
          <w:sz w:val="20"/>
          <w:szCs w:val="20"/>
        </w:rPr>
        <w:t xml:space="preserve">poslovni načrt za prva tri leta, v katerem je opisano predvideno poslovanje, </w:t>
      </w:r>
    </w:p>
    <w:p w14:paraId="359E24D8" w14:textId="77777777" w:rsidR="005724C2" w:rsidRPr="00215B2F" w:rsidRDefault="00D91782" w:rsidP="00D8730E">
      <w:pPr>
        <w:pStyle w:val="tevilnatoka"/>
        <w:rPr>
          <w:rFonts w:cs="Arial"/>
          <w:bCs/>
          <w:sz w:val="20"/>
          <w:szCs w:val="20"/>
        </w:rPr>
      </w:pPr>
      <w:r w:rsidRPr="00215B2F">
        <w:rPr>
          <w:rFonts w:eastAsia="Arial" w:cs="Arial"/>
          <w:sz w:val="20"/>
          <w:szCs w:val="20"/>
        </w:rPr>
        <w:t xml:space="preserve">opis storitev, ki jih bo podružnica opravljala na območju Republike Slovenije, </w:t>
      </w:r>
    </w:p>
    <w:p w14:paraId="71535124" w14:textId="77777777" w:rsidR="005724C2" w:rsidRPr="00215B2F" w:rsidRDefault="00D91782" w:rsidP="00D8730E">
      <w:pPr>
        <w:pStyle w:val="tevilnatoka"/>
        <w:rPr>
          <w:rFonts w:cs="Arial"/>
          <w:bCs/>
          <w:sz w:val="20"/>
          <w:szCs w:val="20"/>
        </w:rPr>
      </w:pPr>
      <w:r w:rsidRPr="00215B2F">
        <w:rPr>
          <w:rFonts w:eastAsia="Arial" w:cs="Arial"/>
          <w:sz w:val="20"/>
          <w:szCs w:val="20"/>
        </w:rPr>
        <w:t>organizacijsko strukturo podružnice in matične družbe oziroma skupine, katere del je podružnica,</w:t>
      </w:r>
    </w:p>
    <w:p w14:paraId="52BACC79" w14:textId="32B92E43" w:rsidR="005724C2" w:rsidRPr="00215B2F" w:rsidRDefault="00D91782" w:rsidP="00D8730E">
      <w:pPr>
        <w:pStyle w:val="tevilnatoka"/>
        <w:rPr>
          <w:rFonts w:cs="Arial"/>
          <w:bCs/>
          <w:sz w:val="20"/>
          <w:szCs w:val="20"/>
        </w:rPr>
      </w:pPr>
      <w:r w:rsidRPr="00215B2F">
        <w:rPr>
          <w:rFonts w:eastAsia="Arial" w:cs="Arial"/>
          <w:sz w:val="20"/>
          <w:szCs w:val="20"/>
        </w:rPr>
        <w:t xml:space="preserve">opis upravljanja tveganj podružnice na območju Republike Slovenije v skladu z zahtevami iz </w:t>
      </w:r>
      <w:r w:rsidR="00D524A9" w:rsidRPr="00215B2F">
        <w:rPr>
          <w:rFonts w:eastAsia="Arial" w:cs="Arial"/>
          <w:sz w:val="20"/>
          <w:szCs w:val="20"/>
        </w:rPr>
        <w:t>318</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27E2232A" w14:textId="50C04A70" w:rsidR="005724C2" w:rsidRPr="00215B2F" w:rsidRDefault="00D91782" w:rsidP="00D8730E">
      <w:pPr>
        <w:pStyle w:val="tevilnatoka"/>
        <w:rPr>
          <w:rFonts w:cs="Arial"/>
          <w:bCs/>
          <w:sz w:val="20"/>
          <w:szCs w:val="20"/>
        </w:rPr>
      </w:pPr>
      <w:r w:rsidRPr="00215B2F">
        <w:rPr>
          <w:rFonts w:eastAsia="Arial" w:cs="Arial"/>
          <w:sz w:val="20"/>
          <w:szCs w:val="20"/>
        </w:rPr>
        <w:t xml:space="preserve">izjavo banke tretje države, da bo podružnica vodila vso dokumentacijo, ki se nanaša na njeno poslovanje, v slovenskem jeziku in jo hranila na sedežu podružnice ter </w:t>
      </w:r>
      <w:r w:rsidR="00E824DA" w:rsidRPr="00215B2F">
        <w:rPr>
          <w:rFonts w:eastAsia="Arial" w:cs="Arial"/>
          <w:sz w:val="20"/>
          <w:szCs w:val="20"/>
        </w:rPr>
        <w:t xml:space="preserve">da bo </w:t>
      </w:r>
      <w:r w:rsidRPr="00215B2F">
        <w:rPr>
          <w:rFonts w:eastAsia="Arial" w:cs="Arial"/>
          <w:sz w:val="20"/>
          <w:szCs w:val="20"/>
        </w:rPr>
        <w:t xml:space="preserve">vodila ločene računovodske izkaze v skladu s tem zakonom oziroma na njegovi podlagi izdanimi predpisi, </w:t>
      </w:r>
    </w:p>
    <w:p w14:paraId="46E3B2BF" w14:textId="77777777" w:rsidR="005724C2" w:rsidRPr="00215B2F" w:rsidRDefault="00D91782" w:rsidP="00D8730E">
      <w:pPr>
        <w:pStyle w:val="tevilnatoka"/>
        <w:rPr>
          <w:rFonts w:cs="Arial"/>
          <w:bCs/>
          <w:sz w:val="20"/>
          <w:szCs w:val="20"/>
        </w:rPr>
      </w:pPr>
      <w:r w:rsidRPr="00215B2F">
        <w:rPr>
          <w:rFonts w:eastAsia="Arial" w:cs="Arial"/>
          <w:sz w:val="20"/>
          <w:szCs w:val="20"/>
        </w:rPr>
        <w:t>podrobnejši opis sistema jamstva za vloge, ki velja v državi sedeža matične banke,</w:t>
      </w:r>
    </w:p>
    <w:p w14:paraId="0DD4A707" w14:textId="1C92CD89" w:rsidR="00D91782" w:rsidRPr="00215B2F" w:rsidRDefault="00D91782" w:rsidP="00D8730E">
      <w:pPr>
        <w:pStyle w:val="tevilnatoka"/>
        <w:rPr>
          <w:rFonts w:cs="Arial"/>
          <w:bCs/>
          <w:sz w:val="20"/>
          <w:szCs w:val="20"/>
        </w:rPr>
      </w:pPr>
      <w:r w:rsidRPr="00215B2F">
        <w:rPr>
          <w:rFonts w:eastAsia="Arial" w:cs="Arial"/>
          <w:sz w:val="20"/>
          <w:szCs w:val="20"/>
        </w:rPr>
        <w:t xml:space="preserve">drugo dokumentacijo, na podlagi katere je mogoče ugotoviti, ali je podružnica kadrovsko, tehnično in organizacijsko sposobna opravljati storitve, na katere se nanaša zahteva. </w:t>
      </w:r>
    </w:p>
    <w:p w14:paraId="207CFB83"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3218700A" w14:textId="7BF48B6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lahko s podzakonski</w:t>
      </w:r>
      <w:r w:rsidR="00E824DA" w:rsidRPr="00215B2F">
        <w:rPr>
          <w:rFonts w:ascii="Arial" w:eastAsia="Arial" w:hAnsi="Arial" w:cs="Arial"/>
          <w:sz w:val="20"/>
          <w:szCs w:val="20"/>
        </w:rPr>
        <w:t>m</w:t>
      </w:r>
      <w:r w:rsidRPr="00215B2F">
        <w:rPr>
          <w:rFonts w:ascii="Arial" w:eastAsia="Arial" w:hAnsi="Arial" w:cs="Arial"/>
          <w:sz w:val="20"/>
          <w:szCs w:val="20"/>
        </w:rPr>
        <w:t xml:space="preserve"> aktom podrobneje določi dokumentacijo in informacije, ki jih mora vložnik predložiti k zahtevi za izdajo dovoljenja za podružnico </w:t>
      </w:r>
      <w:r w:rsidR="002609B2" w:rsidRPr="00215B2F">
        <w:rPr>
          <w:rFonts w:ascii="Arial" w:eastAsia="Arial" w:hAnsi="Arial" w:cs="Arial"/>
          <w:sz w:val="20"/>
          <w:szCs w:val="20"/>
        </w:rPr>
        <w:t xml:space="preserve">iz </w:t>
      </w:r>
      <w:r w:rsidRPr="00215B2F">
        <w:rPr>
          <w:rFonts w:ascii="Arial" w:eastAsia="Arial" w:hAnsi="Arial" w:cs="Arial"/>
          <w:sz w:val="20"/>
          <w:szCs w:val="20"/>
        </w:rPr>
        <w:t xml:space="preserve">tretje države. </w:t>
      </w:r>
    </w:p>
    <w:p w14:paraId="6E8F07D2"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002BFB7A"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68" w:name="_Ref202966987"/>
      <w:r w:rsidRPr="00215B2F">
        <w:rPr>
          <w:rFonts w:ascii="Arial" w:eastAsia="Arial" w:hAnsi="Arial" w:cs="Arial"/>
          <w:b/>
          <w:bCs/>
          <w:sz w:val="20"/>
          <w:szCs w:val="20"/>
        </w:rPr>
        <w:t>člen</w:t>
      </w:r>
      <w:bookmarkEnd w:id="368"/>
    </w:p>
    <w:p w14:paraId="708B0E80" w14:textId="3CD8F079" w:rsidR="00D91782" w:rsidRPr="00215B2F" w:rsidRDefault="00D91782" w:rsidP="00FD5520">
      <w:pPr>
        <w:pStyle w:val="Slog1"/>
        <w:shd w:val="clear" w:color="auto" w:fill="FFFFFF" w:themeFill="background1"/>
        <w:rPr>
          <w:sz w:val="20"/>
          <w:szCs w:val="20"/>
        </w:rPr>
      </w:pPr>
      <w:r w:rsidRPr="00215B2F">
        <w:rPr>
          <w:sz w:val="20"/>
          <w:szCs w:val="20"/>
        </w:rPr>
        <w:t xml:space="preserve">(pogoji za izdajo dovoljenja za podružnico </w:t>
      </w:r>
      <w:r w:rsidR="002609B2" w:rsidRPr="00215B2F">
        <w:rPr>
          <w:sz w:val="20"/>
          <w:szCs w:val="20"/>
        </w:rPr>
        <w:t xml:space="preserve">iz </w:t>
      </w:r>
      <w:r w:rsidRPr="00215B2F">
        <w:rPr>
          <w:sz w:val="20"/>
          <w:szCs w:val="20"/>
        </w:rPr>
        <w:t>tretje države)</w:t>
      </w:r>
    </w:p>
    <w:p w14:paraId="21B845C1" w14:textId="77777777" w:rsidR="00D91782" w:rsidRPr="00215B2F" w:rsidRDefault="00D91782" w:rsidP="00FD5520">
      <w:pPr>
        <w:pStyle w:val="Slog1"/>
        <w:shd w:val="clear" w:color="auto" w:fill="FFFFFF" w:themeFill="background1"/>
        <w:jc w:val="both"/>
        <w:rPr>
          <w:sz w:val="20"/>
          <w:szCs w:val="20"/>
        </w:rPr>
      </w:pPr>
    </w:p>
    <w:p w14:paraId="3558BD54" w14:textId="698E2F0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izda dovoljenje za podružnico </w:t>
      </w:r>
      <w:r w:rsidR="002609B2" w:rsidRPr="00215B2F">
        <w:rPr>
          <w:rFonts w:ascii="Arial" w:eastAsia="Arial" w:hAnsi="Arial" w:cs="Arial"/>
          <w:sz w:val="20"/>
          <w:szCs w:val="20"/>
        </w:rPr>
        <w:t xml:space="preserve">iz </w:t>
      </w:r>
      <w:r w:rsidRPr="00215B2F">
        <w:rPr>
          <w:rFonts w:ascii="Arial" w:eastAsia="Arial" w:hAnsi="Arial" w:cs="Arial"/>
          <w:sz w:val="20"/>
          <w:szCs w:val="20"/>
        </w:rPr>
        <w:t xml:space="preserve">tretje države, če so izpolnjeni vsi naslednji pogoji: </w:t>
      </w:r>
    </w:p>
    <w:p w14:paraId="4DE263A2"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544FE225" w14:textId="7BC4730C" w:rsidR="00C316EC" w:rsidRPr="00215B2F" w:rsidRDefault="00D91782" w:rsidP="003D4DE0">
      <w:pPr>
        <w:pStyle w:val="Odstavekseznama"/>
        <w:numPr>
          <w:ilvl w:val="0"/>
          <w:numId w:val="320"/>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podružnica iz tretje države izpolnjuje minimalne regulativne zahteve iz pod</w:t>
      </w:r>
      <w:r w:rsidR="002538A4" w:rsidRPr="00215B2F">
        <w:rPr>
          <w:rFonts w:ascii="Arial" w:eastAsia="Arial" w:hAnsi="Arial" w:cs="Arial"/>
          <w:sz w:val="20"/>
          <w:szCs w:val="20"/>
        </w:rPr>
        <w:t>oddelka</w:t>
      </w:r>
      <w:r w:rsidRPr="00215B2F">
        <w:rPr>
          <w:rFonts w:ascii="Arial" w:eastAsia="Arial" w:hAnsi="Arial" w:cs="Arial"/>
          <w:sz w:val="20"/>
          <w:szCs w:val="20"/>
        </w:rPr>
        <w:t xml:space="preserve"> </w:t>
      </w:r>
      <w:r w:rsidR="00F66F17" w:rsidRPr="00215B2F">
        <w:rPr>
          <w:rFonts w:ascii="Arial" w:eastAsia="Arial" w:hAnsi="Arial" w:cs="Arial"/>
          <w:sz w:val="20"/>
          <w:szCs w:val="20"/>
        </w:rPr>
        <w:t>9</w:t>
      </w:r>
      <w:r w:rsidRPr="00215B2F">
        <w:rPr>
          <w:rFonts w:ascii="Arial" w:eastAsia="Arial" w:hAnsi="Arial" w:cs="Arial"/>
          <w:sz w:val="20"/>
          <w:szCs w:val="20"/>
        </w:rPr>
        <w:t>.2.2</w:t>
      </w:r>
      <w:r w:rsidR="00EE4C52" w:rsidRPr="00215B2F">
        <w:rPr>
          <w:rFonts w:ascii="Arial" w:eastAsia="Arial" w:hAnsi="Arial" w:cs="Arial"/>
          <w:sz w:val="20"/>
          <w:szCs w:val="20"/>
        </w:rPr>
        <w:t xml:space="preserve"> tega zakona</w:t>
      </w:r>
      <w:r w:rsidRPr="00215B2F">
        <w:rPr>
          <w:rFonts w:ascii="Arial" w:eastAsia="Arial" w:hAnsi="Arial" w:cs="Arial"/>
          <w:sz w:val="20"/>
          <w:szCs w:val="20"/>
        </w:rPr>
        <w:t xml:space="preserve">; </w:t>
      </w:r>
    </w:p>
    <w:p w14:paraId="2D071910" w14:textId="053090AB" w:rsidR="00C316EC" w:rsidRPr="00215B2F" w:rsidRDefault="00D91782" w:rsidP="003D4DE0">
      <w:pPr>
        <w:pStyle w:val="Odstavekseznama"/>
        <w:numPr>
          <w:ilvl w:val="0"/>
          <w:numId w:val="320"/>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dejavnosti, za katere matična družba prosi za dovoljenje v Republiki Sloveniji, so zajete v dovoljenju, ki ga ima taka matična družba v tretji državi, v kateri ima sedež in v kateri se nadzirajo; </w:t>
      </w:r>
    </w:p>
    <w:p w14:paraId="2341EC74" w14:textId="63238916" w:rsidR="00C316EC" w:rsidRPr="00215B2F" w:rsidRDefault="00D91782" w:rsidP="003D4DE0">
      <w:pPr>
        <w:pStyle w:val="Odstavekseznama"/>
        <w:numPr>
          <w:ilvl w:val="0"/>
          <w:numId w:val="320"/>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nadzorni organ matične družbe v tretji državi je bil uradno obveščen o vlogi za ustanovitev podružnice v Republiki Slovenije in </w:t>
      </w:r>
      <w:r w:rsidR="00E824DA" w:rsidRPr="00215B2F">
        <w:rPr>
          <w:rFonts w:ascii="Arial" w:eastAsia="Arial" w:hAnsi="Arial" w:cs="Arial"/>
          <w:sz w:val="20"/>
          <w:szCs w:val="20"/>
        </w:rPr>
        <w:t xml:space="preserve">o </w:t>
      </w:r>
      <w:r w:rsidRPr="00215B2F">
        <w:rPr>
          <w:rFonts w:ascii="Arial" w:eastAsia="Arial" w:hAnsi="Arial" w:cs="Arial"/>
          <w:sz w:val="20"/>
          <w:szCs w:val="20"/>
        </w:rPr>
        <w:t xml:space="preserve">zahtevi iz </w:t>
      </w:r>
      <w:r w:rsidR="00EE4C52"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člena</w:t>
      </w:r>
      <w:r w:rsidRPr="00215B2F">
        <w:rPr>
          <w:rFonts w:ascii="Arial" w:eastAsia="Arial" w:hAnsi="Arial" w:cs="Arial"/>
          <w:sz w:val="20"/>
          <w:szCs w:val="20"/>
        </w:rPr>
        <w:t xml:space="preserve">, ta zahteva in dokumenti pa so mu bili tudi predloženi; </w:t>
      </w:r>
    </w:p>
    <w:p w14:paraId="5B4D8F14" w14:textId="08F7C621" w:rsidR="0061405D" w:rsidRPr="00215B2F" w:rsidRDefault="0061405D" w:rsidP="0061405D">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č)   </w:t>
      </w:r>
      <w:r w:rsidR="00D91782" w:rsidRPr="00215B2F">
        <w:rPr>
          <w:rFonts w:ascii="Arial" w:eastAsia="Arial" w:hAnsi="Arial" w:cs="Arial"/>
          <w:sz w:val="20"/>
          <w:szCs w:val="20"/>
        </w:rPr>
        <w:t xml:space="preserve">Banka Slovenije ima za namene opravljanja svojih nadzorniških funkcij možnost dostopati do vseh </w:t>
      </w:r>
    </w:p>
    <w:p w14:paraId="65F3BCC0" w14:textId="77777777" w:rsidR="0061405D" w:rsidRPr="00215B2F" w:rsidRDefault="0061405D" w:rsidP="0061405D">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      </w:t>
      </w:r>
      <w:r w:rsidR="00D91782" w:rsidRPr="00215B2F">
        <w:rPr>
          <w:rFonts w:ascii="Arial" w:eastAsia="Arial" w:hAnsi="Arial" w:cs="Arial"/>
          <w:sz w:val="20"/>
          <w:szCs w:val="20"/>
        </w:rPr>
        <w:t xml:space="preserve">potrebnih informacij o matični družbi, ki jih imajo njeni nadzorni organi, in učinkovito usklajevati svoje </w:t>
      </w:r>
    </w:p>
    <w:p w14:paraId="417E23B8" w14:textId="77777777" w:rsidR="0061405D" w:rsidRPr="00215B2F" w:rsidRDefault="0061405D" w:rsidP="0061405D">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      </w:t>
      </w:r>
      <w:r w:rsidR="00D91782" w:rsidRPr="00215B2F">
        <w:rPr>
          <w:rFonts w:ascii="Arial" w:eastAsia="Arial" w:hAnsi="Arial" w:cs="Arial"/>
          <w:sz w:val="20"/>
          <w:szCs w:val="20"/>
        </w:rPr>
        <w:t xml:space="preserve">nadzorniške dejavnosti z dejavnostmi nadzornih organov tretje države, zlasti v obdobjih kriz ali </w:t>
      </w:r>
    </w:p>
    <w:p w14:paraId="13D04691" w14:textId="79E1FACA" w:rsidR="00C316EC" w:rsidRPr="00215B2F" w:rsidRDefault="0061405D" w:rsidP="0061405D">
      <w:p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      </w:t>
      </w:r>
      <w:r w:rsidR="00D91782" w:rsidRPr="00215B2F">
        <w:rPr>
          <w:rFonts w:ascii="Arial" w:eastAsia="Arial" w:hAnsi="Arial" w:cs="Arial"/>
          <w:sz w:val="20"/>
          <w:szCs w:val="20"/>
        </w:rPr>
        <w:t xml:space="preserve">finančnih težav, ki vplivajo na matično družbo, njeno skupino ali finančni sistem tretje države; </w:t>
      </w:r>
    </w:p>
    <w:p w14:paraId="53B0C2F7" w14:textId="332A98CF" w:rsidR="00D91782" w:rsidRPr="00215B2F" w:rsidRDefault="00D91782" w:rsidP="003D4DE0">
      <w:pPr>
        <w:pStyle w:val="Odstavekseznama"/>
        <w:numPr>
          <w:ilvl w:val="0"/>
          <w:numId w:val="320"/>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ni utemeljenih razlogov za sum, da bi se podružnica iz tretje države uporabljala za pranje denarja ali financiranje terorizma ali njuno omogočanje v smislu zakona, ki ureja preprečevanje pranja denarja in financiranje terorizma</w:t>
      </w:r>
      <w:r w:rsidR="00E824DA" w:rsidRPr="00215B2F">
        <w:rPr>
          <w:rFonts w:ascii="Arial" w:eastAsia="Arial" w:hAnsi="Arial" w:cs="Arial"/>
          <w:sz w:val="20"/>
          <w:szCs w:val="20"/>
        </w:rPr>
        <w:t>,</w:t>
      </w:r>
      <w:r w:rsidRPr="00215B2F">
        <w:rPr>
          <w:rFonts w:ascii="Arial" w:eastAsia="Arial" w:hAnsi="Arial" w:cs="Arial"/>
          <w:sz w:val="20"/>
          <w:szCs w:val="20"/>
        </w:rPr>
        <w:t xml:space="preserve"> oziroma </w:t>
      </w:r>
      <w:r w:rsidR="00E824DA" w:rsidRPr="00215B2F">
        <w:rPr>
          <w:rFonts w:ascii="Arial" w:eastAsia="Arial" w:hAnsi="Arial" w:cs="Arial"/>
          <w:sz w:val="20"/>
          <w:szCs w:val="20"/>
        </w:rPr>
        <w:t xml:space="preserve">1. </w:t>
      </w:r>
      <w:r w:rsidRPr="00215B2F">
        <w:rPr>
          <w:rFonts w:ascii="Arial" w:eastAsia="Arial" w:hAnsi="Arial" w:cs="Arial"/>
          <w:sz w:val="20"/>
          <w:szCs w:val="20"/>
        </w:rPr>
        <w:t>člena Direktive 2015/849/EU.</w:t>
      </w:r>
    </w:p>
    <w:p w14:paraId="520C3E57"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3F34711F" w14:textId="043508E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pri presoji merila iz točke e) prejšnjega odstavka:</w:t>
      </w:r>
    </w:p>
    <w:p w14:paraId="03D35DFE"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4A672C1F" w14:textId="11EE729F" w:rsidR="00EA58C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upošteva informacije, ki jih je pridobila kot pristojni nadzorni organ na podlagi zakona, ki ureja preprečevanje pranja denarja in financiranje terorizma;</w:t>
      </w:r>
    </w:p>
    <w:p w14:paraId="2E4D2539" w14:textId="4DFFD864"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se posvetuje z Uradom </w:t>
      </w:r>
      <w:r w:rsidR="00E824DA" w:rsidRPr="00215B2F">
        <w:rPr>
          <w:rFonts w:ascii="Arial" w:eastAsia="Arial" w:hAnsi="Arial" w:cs="Arial"/>
          <w:sz w:val="20"/>
          <w:szCs w:val="20"/>
        </w:rPr>
        <w:t xml:space="preserve">Republike Slovenije </w:t>
      </w:r>
      <w:r w:rsidRPr="00215B2F">
        <w:rPr>
          <w:rFonts w:ascii="Arial" w:eastAsia="Arial" w:hAnsi="Arial" w:cs="Arial"/>
          <w:sz w:val="20"/>
          <w:szCs w:val="20"/>
        </w:rPr>
        <w:t xml:space="preserve">za preprečevanje pranja denarja ter pred izdajo dovoljenja za podružnico iz tretje države pridobi njegovo pisno potrditev, da je pogoj izpolnjen. </w:t>
      </w:r>
    </w:p>
    <w:p w14:paraId="18D587CE"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6099D698" w14:textId="6B1D487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lahko v dovoljenju za podružnico </w:t>
      </w:r>
      <w:r w:rsidR="002609B2" w:rsidRPr="00215B2F">
        <w:rPr>
          <w:rFonts w:ascii="Arial" w:eastAsia="Arial" w:hAnsi="Arial" w:cs="Arial"/>
          <w:sz w:val="20"/>
          <w:szCs w:val="20"/>
        </w:rPr>
        <w:t xml:space="preserve">iz </w:t>
      </w:r>
      <w:r w:rsidRPr="00215B2F">
        <w:rPr>
          <w:rFonts w:ascii="Arial" w:eastAsia="Arial" w:hAnsi="Arial" w:cs="Arial"/>
          <w:sz w:val="20"/>
          <w:szCs w:val="20"/>
        </w:rPr>
        <w:t>tretje države, da se preprečijo kršitve tega zakona</w:t>
      </w:r>
      <w:r w:rsidR="00E824DA" w:rsidRPr="00215B2F">
        <w:rPr>
          <w:rFonts w:ascii="Arial" w:eastAsia="Arial" w:hAnsi="Arial" w:cs="Arial"/>
          <w:sz w:val="20"/>
          <w:szCs w:val="20"/>
        </w:rPr>
        <w:t>,</w:t>
      </w:r>
      <w:r w:rsidRPr="00215B2F">
        <w:rPr>
          <w:rFonts w:ascii="Arial" w:eastAsia="Arial" w:hAnsi="Arial" w:cs="Arial"/>
          <w:sz w:val="20"/>
          <w:szCs w:val="20"/>
        </w:rPr>
        <w:t xml:space="preserve"> določi pogoje ali omejitve za opravljanje storitev</w:t>
      </w:r>
      <w:r w:rsidR="00E824DA" w:rsidRPr="00215B2F">
        <w:rPr>
          <w:rFonts w:ascii="Arial" w:eastAsia="Arial" w:hAnsi="Arial" w:cs="Arial"/>
          <w:sz w:val="20"/>
          <w:szCs w:val="20"/>
        </w:rPr>
        <w:t>,</w:t>
      </w:r>
      <w:r w:rsidRPr="00215B2F">
        <w:rPr>
          <w:rFonts w:ascii="Arial" w:eastAsia="Arial" w:hAnsi="Arial" w:cs="Arial"/>
          <w:sz w:val="20"/>
          <w:szCs w:val="20"/>
        </w:rPr>
        <w:t xml:space="preserve"> za katere podružnici iz tretje države izdaja dovoljenje. </w:t>
      </w:r>
    </w:p>
    <w:p w14:paraId="4A5AE61E"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8CA6BB9" w14:textId="5D722E9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v dovoljenju za podružnico </w:t>
      </w:r>
      <w:r w:rsidR="002609B2" w:rsidRPr="00215B2F">
        <w:rPr>
          <w:rFonts w:ascii="Arial" w:eastAsia="Arial" w:hAnsi="Arial" w:cs="Arial"/>
          <w:sz w:val="20"/>
          <w:szCs w:val="20"/>
        </w:rPr>
        <w:t xml:space="preserve">iz </w:t>
      </w:r>
      <w:r w:rsidRPr="00215B2F">
        <w:rPr>
          <w:rFonts w:ascii="Arial" w:eastAsia="Arial" w:hAnsi="Arial" w:cs="Arial"/>
          <w:sz w:val="20"/>
          <w:szCs w:val="20"/>
        </w:rPr>
        <w:t xml:space="preserve">tretje države izrecno določi, da podružnica iz tretje države </w:t>
      </w:r>
      <w:r w:rsidR="00E824DA" w:rsidRPr="00215B2F">
        <w:rPr>
          <w:rFonts w:ascii="Arial" w:eastAsia="Arial" w:hAnsi="Arial" w:cs="Arial"/>
          <w:sz w:val="20"/>
          <w:szCs w:val="20"/>
        </w:rPr>
        <w:t xml:space="preserve">lahko </w:t>
      </w:r>
      <w:r w:rsidRPr="00215B2F">
        <w:rPr>
          <w:rFonts w:ascii="Arial" w:eastAsia="Arial" w:hAnsi="Arial" w:cs="Arial"/>
          <w:sz w:val="20"/>
          <w:szCs w:val="20"/>
        </w:rPr>
        <w:t>dovoljene dejavnosti opravlja samo v Republiki Sloveniji</w:t>
      </w:r>
      <w:r w:rsidR="00E824DA" w:rsidRPr="00215B2F">
        <w:rPr>
          <w:rFonts w:ascii="Arial" w:eastAsia="Arial" w:hAnsi="Arial" w:cs="Arial"/>
          <w:sz w:val="20"/>
          <w:szCs w:val="20"/>
        </w:rPr>
        <w:t>,</w:t>
      </w:r>
      <w:r w:rsidRPr="00215B2F">
        <w:rPr>
          <w:rFonts w:ascii="Arial" w:eastAsia="Arial" w:hAnsi="Arial" w:cs="Arial"/>
          <w:sz w:val="20"/>
          <w:szCs w:val="20"/>
        </w:rPr>
        <w:t xml:space="preserve"> in podružnici iz tretje države izrecno prepove ponujati ali opravljati storitve čezmejno v drugih državah članicah, razen v primeru finančnih transakcij znotraj skupine, opravljenih z drugimi podružnicami iz tretjih držav iste matične družbe</w:t>
      </w:r>
      <w:r w:rsidR="00E824DA" w:rsidRPr="00215B2F">
        <w:rPr>
          <w:rFonts w:ascii="Arial" w:eastAsia="Arial" w:hAnsi="Arial" w:cs="Arial"/>
          <w:sz w:val="20"/>
          <w:szCs w:val="20"/>
        </w:rPr>
        <w:t>,</w:t>
      </w:r>
      <w:r w:rsidRPr="00215B2F">
        <w:rPr>
          <w:rFonts w:ascii="Arial" w:eastAsia="Arial" w:hAnsi="Arial" w:cs="Arial"/>
          <w:sz w:val="20"/>
          <w:szCs w:val="20"/>
        </w:rPr>
        <w:t xml:space="preserve"> in v primeru transakcij, ki se opravijo na podlagi povpraševanja po storitvah na lastno pobudo v skladu s </w:t>
      </w:r>
      <w:r w:rsidR="00FA74E6" w:rsidRPr="00215B2F">
        <w:rPr>
          <w:rFonts w:ascii="Arial" w:eastAsia="Arial" w:hAnsi="Arial" w:cs="Arial"/>
          <w:sz w:val="20"/>
          <w:szCs w:val="20"/>
        </w:rPr>
        <w:t>168</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58935E4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8942A2D"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69" w:name="_Ref202966995"/>
      <w:r w:rsidRPr="00215B2F">
        <w:rPr>
          <w:rFonts w:ascii="Arial" w:eastAsia="Arial" w:hAnsi="Arial" w:cs="Arial"/>
          <w:b/>
          <w:bCs/>
          <w:sz w:val="20"/>
          <w:szCs w:val="20"/>
        </w:rPr>
        <w:t>člen</w:t>
      </w:r>
      <w:bookmarkEnd w:id="369"/>
    </w:p>
    <w:p w14:paraId="6B59204D" w14:textId="2F20EF4E" w:rsidR="00D91782" w:rsidRPr="00215B2F" w:rsidRDefault="00D91782" w:rsidP="00FD5520">
      <w:pPr>
        <w:pStyle w:val="Slog1"/>
        <w:shd w:val="clear" w:color="auto" w:fill="FFFFFF" w:themeFill="background1"/>
        <w:rPr>
          <w:sz w:val="20"/>
          <w:szCs w:val="20"/>
        </w:rPr>
      </w:pPr>
      <w:r w:rsidRPr="00215B2F">
        <w:rPr>
          <w:sz w:val="20"/>
          <w:szCs w:val="20"/>
        </w:rPr>
        <w:t xml:space="preserve">(zavrnitev zahteve za dovoljenje za podružnico </w:t>
      </w:r>
      <w:r w:rsidR="002609B2" w:rsidRPr="00215B2F">
        <w:rPr>
          <w:sz w:val="20"/>
          <w:szCs w:val="20"/>
        </w:rPr>
        <w:t xml:space="preserve">iz </w:t>
      </w:r>
      <w:r w:rsidRPr="00215B2F">
        <w:rPr>
          <w:sz w:val="20"/>
          <w:szCs w:val="20"/>
        </w:rPr>
        <w:t>tretje države)</w:t>
      </w:r>
    </w:p>
    <w:p w14:paraId="55392514" w14:textId="77777777" w:rsidR="00D91782" w:rsidRPr="00215B2F" w:rsidRDefault="00D91782" w:rsidP="00FD5520">
      <w:pPr>
        <w:pStyle w:val="Slog1"/>
        <w:shd w:val="clear" w:color="auto" w:fill="FFFFFF" w:themeFill="background1"/>
        <w:jc w:val="both"/>
        <w:rPr>
          <w:sz w:val="20"/>
          <w:szCs w:val="20"/>
        </w:rPr>
      </w:pPr>
    </w:p>
    <w:p w14:paraId="0C505AE4" w14:textId="52B8176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zavrne zahtevo za izdajo dovoljenja za podružnico </w:t>
      </w:r>
      <w:r w:rsidR="002609B2" w:rsidRPr="00215B2F">
        <w:rPr>
          <w:rFonts w:ascii="Arial" w:eastAsia="Arial" w:hAnsi="Arial" w:cs="Arial"/>
          <w:sz w:val="20"/>
          <w:szCs w:val="20"/>
        </w:rPr>
        <w:t xml:space="preserve">iz </w:t>
      </w:r>
      <w:r w:rsidRPr="00215B2F">
        <w:rPr>
          <w:rFonts w:ascii="Arial" w:eastAsia="Arial" w:hAnsi="Arial" w:cs="Arial"/>
          <w:sz w:val="20"/>
          <w:szCs w:val="20"/>
        </w:rPr>
        <w:t xml:space="preserve">tretje države, če je podan kateri koli </w:t>
      </w:r>
      <w:r w:rsidR="0040277D" w:rsidRPr="00215B2F">
        <w:rPr>
          <w:rFonts w:ascii="Arial" w:eastAsia="Arial" w:hAnsi="Arial" w:cs="Arial"/>
          <w:sz w:val="20"/>
          <w:szCs w:val="20"/>
        </w:rPr>
        <w:t>o</w:t>
      </w:r>
      <w:r w:rsidRPr="00215B2F">
        <w:rPr>
          <w:rFonts w:ascii="Arial" w:eastAsia="Arial" w:hAnsi="Arial" w:cs="Arial"/>
          <w:sz w:val="20"/>
          <w:szCs w:val="20"/>
        </w:rPr>
        <w:t>d navedenih razlogov:</w:t>
      </w:r>
    </w:p>
    <w:p w14:paraId="0B66B4C4"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30AFB980" w14:textId="6FED97C1" w:rsidR="00C316EC" w:rsidRPr="00215B2F" w:rsidRDefault="00D91782" w:rsidP="003D4DE0">
      <w:pPr>
        <w:pStyle w:val="Odstavekseznama"/>
        <w:numPr>
          <w:ilvl w:val="0"/>
          <w:numId w:val="32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podružnica iz tretje države ne izpolnjuje pogojev za izdajo dovoljenja iz </w:t>
      </w:r>
      <w:r w:rsidR="00EE4C52"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člena</w:t>
      </w:r>
      <w:r w:rsidRPr="00215B2F">
        <w:rPr>
          <w:rFonts w:ascii="Arial" w:eastAsia="Arial" w:hAnsi="Arial" w:cs="Arial"/>
          <w:sz w:val="20"/>
          <w:szCs w:val="20"/>
        </w:rPr>
        <w:t>,</w:t>
      </w:r>
    </w:p>
    <w:p w14:paraId="16565296" w14:textId="16720ED5" w:rsidR="00D91782" w:rsidRPr="00215B2F" w:rsidRDefault="00D91782" w:rsidP="003D4DE0">
      <w:pPr>
        <w:pStyle w:val="Odstavekseznama"/>
        <w:numPr>
          <w:ilvl w:val="0"/>
          <w:numId w:val="32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matična družba ali njena skupina ne izpolnjuje bonitetnih zahtev, ki se uporabljajo zanjo na podlagi prava tretje države, ali pa obstajajo utemeljeni razlogi za sum, da ne izpolnjuje teh zahtev ali da jih bo prekršila v naslednjih 12 mesecih. </w:t>
      </w:r>
    </w:p>
    <w:p w14:paraId="08AAF38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14E356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Podružnica iz tretje države mora o nastanku okoliščin iz točke b) prejšnjega odstavka takoj uradno obvestiti Banko Slovenije. </w:t>
      </w:r>
    </w:p>
    <w:p w14:paraId="5063675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08053EB"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70" w:name="_Ref202966998"/>
      <w:r w:rsidRPr="00215B2F">
        <w:rPr>
          <w:rFonts w:ascii="Arial" w:eastAsia="Arial" w:hAnsi="Arial" w:cs="Arial"/>
          <w:b/>
          <w:bCs/>
          <w:sz w:val="20"/>
          <w:szCs w:val="20"/>
        </w:rPr>
        <w:t>člen</w:t>
      </w:r>
      <w:bookmarkEnd w:id="370"/>
    </w:p>
    <w:p w14:paraId="379E8067" w14:textId="37F98DD7" w:rsidR="00D91782" w:rsidRPr="00215B2F" w:rsidRDefault="00D91782" w:rsidP="00FD5520">
      <w:pPr>
        <w:pStyle w:val="Slog1"/>
        <w:shd w:val="clear" w:color="auto" w:fill="FFFFFF" w:themeFill="background1"/>
        <w:rPr>
          <w:sz w:val="20"/>
          <w:szCs w:val="20"/>
        </w:rPr>
      </w:pPr>
      <w:r w:rsidRPr="00215B2F">
        <w:rPr>
          <w:sz w:val="20"/>
          <w:szCs w:val="20"/>
        </w:rPr>
        <w:t xml:space="preserve">(prenehanje za dovoljenja za podružnico </w:t>
      </w:r>
      <w:r w:rsidR="002609B2" w:rsidRPr="00215B2F">
        <w:rPr>
          <w:sz w:val="20"/>
          <w:szCs w:val="20"/>
        </w:rPr>
        <w:t xml:space="preserve">iz </w:t>
      </w:r>
      <w:r w:rsidRPr="00215B2F">
        <w:rPr>
          <w:sz w:val="20"/>
          <w:szCs w:val="20"/>
        </w:rPr>
        <w:t>tretje države)</w:t>
      </w:r>
    </w:p>
    <w:p w14:paraId="56B0B2A1" w14:textId="77777777" w:rsidR="00D91782" w:rsidRPr="00215B2F" w:rsidRDefault="00D91782" w:rsidP="00FD5520">
      <w:pPr>
        <w:pStyle w:val="Slog1"/>
        <w:shd w:val="clear" w:color="auto" w:fill="FFFFFF" w:themeFill="background1"/>
        <w:jc w:val="both"/>
        <w:rPr>
          <w:sz w:val="20"/>
          <w:szCs w:val="20"/>
        </w:rPr>
      </w:pPr>
    </w:p>
    <w:p w14:paraId="53C1A1B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Dovoljenje za podružnico iz tretje države preneha, če podružnica iz tretje države: </w:t>
      </w:r>
    </w:p>
    <w:p w14:paraId="7375F455"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4F2C57A9" w14:textId="77777777" w:rsidR="00EA58C4" w:rsidRPr="00215B2F" w:rsidRDefault="00D91782" w:rsidP="003D4DE0">
      <w:pPr>
        <w:pStyle w:val="tevilnatoka"/>
        <w:numPr>
          <w:ilvl w:val="0"/>
          <w:numId w:val="217"/>
        </w:numPr>
        <w:shd w:val="clear" w:color="auto" w:fill="FFFFFF" w:themeFill="background1"/>
        <w:tabs>
          <w:tab w:val="clear" w:pos="425"/>
        </w:tabs>
        <w:rPr>
          <w:rFonts w:cs="Arial"/>
          <w:bCs/>
          <w:sz w:val="20"/>
          <w:szCs w:val="20"/>
        </w:rPr>
      </w:pPr>
      <w:r w:rsidRPr="00215B2F">
        <w:rPr>
          <w:rFonts w:eastAsia="Arial" w:cs="Arial"/>
          <w:sz w:val="20"/>
          <w:szCs w:val="20"/>
        </w:rPr>
        <w:t xml:space="preserve">v obdobju 12 mesecev ne začne opravljati storitev, za katere je bilo dovoljenje izdano, </w:t>
      </w:r>
    </w:p>
    <w:p w14:paraId="1CE6519D" w14:textId="0D84EE00" w:rsidR="00EA58C4" w:rsidRPr="00215B2F" w:rsidRDefault="00D91782" w:rsidP="003D4DE0">
      <w:pPr>
        <w:pStyle w:val="tevilnatoka"/>
        <w:numPr>
          <w:ilvl w:val="0"/>
          <w:numId w:val="217"/>
        </w:numPr>
        <w:shd w:val="clear" w:color="auto" w:fill="FFFFFF" w:themeFill="background1"/>
        <w:tabs>
          <w:tab w:val="clear" w:pos="425"/>
        </w:tabs>
        <w:rPr>
          <w:rFonts w:cs="Arial"/>
          <w:bCs/>
          <w:sz w:val="20"/>
          <w:szCs w:val="20"/>
        </w:rPr>
      </w:pPr>
      <w:r w:rsidRPr="00215B2F">
        <w:rPr>
          <w:rFonts w:eastAsia="Arial" w:cs="Arial"/>
          <w:sz w:val="20"/>
          <w:szCs w:val="20"/>
        </w:rPr>
        <w:t xml:space="preserve">za več kot </w:t>
      </w:r>
      <w:r w:rsidR="00EE4C52" w:rsidRPr="00215B2F">
        <w:rPr>
          <w:rFonts w:eastAsia="Arial" w:cs="Arial"/>
          <w:sz w:val="20"/>
          <w:szCs w:val="20"/>
        </w:rPr>
        <w:t xml:space="preserve">šest </w:t>
      </w:r>
      <w:r w:rsidRPr="00215B2F">
        <w:rPr>
          <w:rFonts w:eastAsia="Arial" w:cs="Arial"/>
          <w:sz w:val="20"/>
          <w:szCs w:val="20"/>
        </w:rPr>
        <w:t>mesecev preneha opravljati storitve na območju Republike Slovenije ali</w:t>
      </w:r>
    </w:p>
    <w:p w14:paraId="2F241A25" w14:textId="1BB57F6E" w:rsidR="00D91782" w:rsidRPr="00215B2F" w:rsidRDefault="00D91782" w:rsidP="003D4DE0">
      <w:pPr>
        <w:pStyle w:val="tevilnatoka"/>
        <w:numPr>
          <w:ilvl w:val="0"/>
          <w:numId w:val="217"/>
        </w:numPr>
        <w:shd w:val="clear" w:color="auto" w:fill="FFFFFF" w:themeFill="background1"/>
        <w:tabs>
          <w:tab w:val="clear" w:pos="425"/>
        </w:tabs>
        <w:rPr>
          <w:rFonts w:cs="Arial"/>
          <w:bCs/>
          <w:sz w:val="20"/>
          <w:szCs w:val="20"/>
        </w:rPr>
      </w:pPr>
      <w:r w:rsidRPr="00215B2F">
        <w:rPr>
          <w:rFonts w:eastAsia="Arial" w:cs="Arial"/>
          <w:sz w:val="20"/>
          <w:szCs w:val="20"/>
        </w:rPr>
        <w:t xml:space="preserve">poda izjavo o prenehanju opravljanja storitev. </w:t>
      </w:r>
    </w:p>
    <w:p w14:paraId="26EF0C02"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170BD15D" w14:textId="4588AA0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Če nastopijo razlogi iz prejšnjega odstavka v zvezi z opravljanjem bančnih storitev podružnice iz tretje države, Banka Slovenije izda odločbo, da je dovoljenje za opravljanje bančnih storitev prenehalo na podlagi zakona:</w:t>
      </w:r>
    </w:p>
    <w:p w14:paraId="29A0D9BC"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68336E17" w14:textId="77777777" w:rsidR="00EA58C4" w:rsidRPr="00215B2F" w:rsidRDefault="00D91782" w:rsidP="003D4DE0">
      <w:pPr>
        <w:pStyle w:val="tevilnatoka"/>
        <w:numPr>
          <w:ilvl w:val="0"/>
          <w:numId w:val="218"/>
        </w:numPr>
        <w:shd w:val="clear" w:color="auto" w:fill="FFFFFF" w:themeFill="background1"/>
        <w:tabs>
          <w:tab w:val="clear" w:pos="425"/>
        </w:tabs>
        <w:rPr>
          <w:rFonts w:cs="Arial"/>
          <w:bCs/>
          <w:sz w:val="20"/>
          <w:szCs w:val="20"/>
        </w:rPr>
      </w:pPr>
      <w:r w:rsidRPr="00215B2F">
        <w:rPr>
          <w:rFonts w:eastAsia="Arial" w:cs="Arial"/>
          <w:sz w:val="20"/>
          <w:szCs w:val="20"/>
        </w:rPr>
        <w:t>v primeru iz 1. in 2. točke prejšnjega odstavka: z dnem izteka roka;</w:t>
      </w:r>
    </w:p>
    <w:p w14:paraId="2B0E0F0B" w14:textId="4FE03A8F" w:rsidR="00D91782" w:rsidRPr="00215B2F" w:rsidRDefault="00D91782" w:rsidP="003D4DE0">
      <w:pPr>
        <w:pStyle w:val="tevilnatoka"/>
        <w:numPr>
          <w:ilvl w:val="0"/>
          <w:numId w:val="218"/>
        </w:numPr>
        <w:shd w:val="clear" w:color="auto" w:fill="FFFFFF" w:themeFill="background1"/>
        <w:tabs>
          <w:tab w:val="clear" w:pos="425"/>
        </w:tabs>
        <w:rPr>
          <w:rFonts w:cs="Arial"/>
          <w:bCs/>
          <w:sz w:val="20"/>
          <w:szCs w:val="20"/>
        </w:rPr>
      </w:pPr>
      <w:r w:rsidRPr="00215B2F">
        <w:rPr>
          <w:rFonts w:eastAsia="Arial" w:cs="Arial"/>
          <w:sz w:val="20"/>
          <w:szCs w:val="20"/>
        </w:rPr>
        <w:t>v primeru iz 3. točke prejšnjega odstavka: z dnem, ko je podružnica iz tretje države prenehala sprejemati depozite.</w:t>
      </w:r>
    </w:p>
    <w:p w14:paraId="37A70A69"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5563EFFD" w14:textId="502DC5B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nastopijo razlogi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 zvezi z opravljanjem finančnih storitev, Banka Slovenije izda odločbo, s katero ugotovi, da je prenehalo dovoljenje za podružnico iz tretje države za opravljanje določenih storitev, pri katerih </w:t>
      </w:r>
      <w:r w:rsidR="00330C80" w:rsidRPr="00215B2F">
        <w:rPr>
          <w:rFonts w:ascii="Arial" w:eastAsia="Arial" w:hAnsi="Arial" w:cs="Arial"/>
          <w:sz w:val="20"/>
          <w:szCs w:val="20"/>
        </w:rPr>
        <w:t>obstajajo</w:t>
      </w:r>
      <w:r w:rsidRPr="00215B2F">
        <w:rPr>
          <w:rFonts w:ascii="Arial" w:eastAsia="Arial" w:hAnsi="Arial" w:cs="Arial"/>
          <w:sz w:val="20"/>
          <w:szCs w:val="20"/>
        </w:rPr>
        <w:t xml:space="preserve"> okoliščine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4077384A"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5FA9253" w14:textId="0EC541B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Podružnica iz tretje države ne sme več sklepati novih poslov v zvezi z opravljanjem bančnih ali finančnih storitev, za katere je dovoljenje prenehalo v skladu s tem členom:</w:t>
      </w:r>
    </w:p>
    <w:p w14:paraId="6917A244"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58AC163D" w14:textId="207A1F70" w:rsidR="00EA58C4" w:rsidRPr="00215B2F" w:rsidRDefault="00D91782" w:rsidP="003D4DE0">
      <w:pPr>
        <w:pStyle w:val="tevilnatoka"/>
        <w:numPr>
          <w:ilvl w:val="0"/>
          <w:numId w:val="219"/>
        </w:numPr>
        <w:shd w:val="clear" w:color="auto" w:fill="FFFFFF" w:themeFill="background1"/>
        <w:tabs>
          <w:tab w:val="clear" w:pos="425"/>
        </w:tabs>
        <w:rPr>
          <w:rFonts w:cs="Arial"/>
          <w:bCs/>
          <w:sz w:val="20"/>
          <w:szCs w:val="20"/>
        </w:rPr>
      </w:pPr>
      <w:r w:rsidRPr="00215B2F">
        <w:rPr>
          <w:rFonts w:eastAsia="Arial" w:cs="Arial"/>
          <w:sz w:val="20"/>
          <w:szCs w:val="20"/>
        </w:rPr>
        <w:t xml:space="preserve">v primeru iz 1. in 2. točke prvega </w:t>
      </w:r>
      <w:r w:rsidR="00746E88" w:rsidRPr="00215B2F">
        <w:rPr>
          <w:rFonts w:eastAsia="Arial" w:cs="Arial"/>
          <w:sz w:val="20"/>
          <w:szCs w:val="20"/>
        </w:rPr>
        <w:t>odstavka tega člena</w:t>
      </w:r>
      <w:r w:rsidRPr="00215B2F">
        <w:rPr>
          <w:rFonts w:eastAsia="Arial" w:cs="Arial"/>
          <w:sz w:val="20"/>
          <w:szCs w:val="20"/>
        </w:rPr>
        <w:t>: od dneva izteka roka, od katerega dovoljenje preneha veljati;</w:t>
      </w:r>
    </w:p>
    <w:p w14:paraId="47E64226" w14:textId="212426D8" w:rsidR="00D91782" w:rsidRPr="00215B2F" w:rsidRDefault="00D91782" w:rsidP="003D4DE0">
      <w:pPr>
        <w:pStyle w:val="tevilnatoka"/>
        <w:numPr>
          <w:ilvl w:val="0"/>
          <w:numId w:val="219"/>
        </w:numPr>
        <w:shd w:val="clear" w:color="auto" w:fill="FFFFFF" w:themeFill="background1"/>
        <w:tabs>
          <w:tab w:val="clear" w:pos="425"/>
        </w:tabs>
        <w:rPr>
          <w:rFonts w:cs="Arial"/>
          <w:bCs/>
          <w:sz w:val="20"/>
          <w:szCs w:val="20"/>
        </w:rPr>
      </w:pPr>
      <w:r w:rsidRPr="00215B2F">
        <w:rPr>
          <w:rFonts w:eastAsia="Arial" w:cs="Arial"/>
          <w:sz w:val="20"/>
          <w:szCs w:val="20"/>
        </w:rPr>
        <w:t xml:space="preserve">v primeru iz 3. točke prvega </w:t>
      </w:r>
      <w:r w:rsidR="00746E88" w:rsidRPr="00215B2F">
        <w:rPr>
          <w:rFonts w:eastAsia="Arial" w:cs="Arial"/>
          <w:sz w:val="20"/>
          <w:szCs w:val="20"/>
        </w:rPr>
        <w:t>odstavka tega člena</w:t>
      </w:r>
      <w:r w:rsidRPr="00215B2F">
        <w:rPr>
          <w:rFonts w:eastAsia="Arial" w:cs="Arial"/>
          <w:sz w:val="20"/>
          <w:szCs w:val="20"/>
        </w:rPr>
        <w:t>: od dneva, ki ga banka navede v izjavi o prenehanju opravljanja.</w:t>
      </w:r>
    </w:p>
    <w:p w14:paraId="6784914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3C56891" w14:textId="2E1C0B85" w:rsidR="00D91782" w:rsidRPr="00215B2F" w:rsidRDefault="000A76F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lastRenderedPageBreak/>
        <w:t>9</w:t>
      </w:r>
      <w:r w:rsidR="00D91782" w:rsidRPr="00215B2F">
        <w:rPr>
          <w:rFonts w:ascii="Arial" w:eastAsia="Arial" w:hAnsi="Arial" w:cs="Arial"/>
          <w:i/>
          <w:iCs/>
          <w:sz w:val="20"/>
          <w:szCs w:val="20"/>
        </w:rPr>
        <w:t>.2.2 Minimalne regulativne zahteve</w:t>
      </w:r>
    </w:p>
    <w:p w14:paraId="2749697B"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46604F40"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71" w:name="_Ref202967002"/>
      <w:r w:rsidRPr="00215B2F">
        <w:rPr>
          <w:rFonts w:ascii="Arial" w:eastAsia="Arial" w:hAnsi="Arial" w:cs="Arial"/>
          <w:b/>
          <w:bCs/>
          <w:sz w:val="20"/>
          <w:szCs w:val="20"/>
        </w:rPr>
        <w:t>člen</w:t>
      </w:r>
      <w:bookmarkEnd w:id="371"/>
    </w:p>
    <w:p w14:paraId="16415D42" w14:textId="77777777" w:rsidR="00D91782" w:rsidRPr="00215B2F" w:rsidRDefault="00D91782" w:rsidP="00FD5520">
      <w:pPr>
        <w:pStyle w:val="Slog1"/>
        <w:shd w:val="clear" w:color="auto" w:fill="FFFFFF" w:themeFill="background1"/>
        <w:rPr>
          <w:sz w:val="20"/>
          <w:szCs w:val="20"/>
        </w:rPr>
      </w:pPr>
      <w:r w:rsidRPr="00215B2F">
        <w:rPr>
          <w:sz w:val="20"/>
          <w:szCs w:val="20"/>
        </w:rPr>
        <w:t>(zahteva glede jamstvenega kapitala)</w:t>
      </w:r>
    </w:p>
    <w:p w14:paraId="64A37D5F" w14:textId="77777777" w:rsidR="00D91782" w:rsidRPr="00215B2F" w:rsidRDefault="00D91782" w:rsidP="00FD5520">
      <w:pPr>
        <w:pStyle w:val="Slog1"/>
        <w:shd w:val="clear" w:color="auto" w:fill="FFFFFF" w:themeFill="background1"/>
        <w:jc w:val="both"/>
        <w:rPr>
          <w:sz w:val="20"/>
          <w:szCs w:val="20"/>
        </w:rPr>
      </w:pPr>
    </w:p>
    <w:p w14:paraId="6F0DA1E4" w14:textId="04C9079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Podružnica iz tretje države ves čas ohranja minimalni jamstveni kapital, ki je vsaj: </w:t>
      </w:r>
    </w:p>
    <w:p w14:paraId="19ACA1BB"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2F7C1CB" w14:textId="697A20A5" w:rsidR="00C316EC" w:rsidRPr="00215B2F" w:rsidRDefault="00D91782" w:rsidP="003D4DE0">
      <w:pPr>
        <w:pStyle w:val="Odstavekseznama"/>
        <w:numPr>
          <w:ilvl w:val="0"/>
          <w:numId w:val="326"/>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za podružnice iz tretjih držav iz razreda 1 v višini 2,5 </w:t>
      </w:r>
      <w:r w:rsidR="00E824DA" w:rsidRPr="00215B2F">
        <w:rPr>
          <w:rFonts w:ascii="Arial" w:eastAsia="Arial" w:hAnsi="Arial" w:cs="Arial"/>
          <w:sz w:val="20"/>
          <w:szCs w:val="20"/>
        </w:rPr>
        <w:t xml:space="preserve">odstotka </w:t>
      </w:r>
      <w:r w:rsidRPr="00215B2F">
        <w:rPr>
          <w:rFonts w:ascii="Arial" w:eastAsia="Arial" w:hAnsi="Arial" w:cs="Arial"/>
          <w:sz w:val="20"/>
          <w:szCs w:val="20"/>
        </w:rPr>
        <w:t>povprečnih obveznosti podružnice za tri neposredn</w:t>
      </w:r>
      <w:r w:rsidR="00D77073" w:rsidRPr="00215B2F">
        <w:rPr>
          <w:rFonts w:ascii="Arial" w:eastAsia="Arial" w:hAnsi="Arial" w:cs="Arial"/>
          <w:sz w:val="20"/>
          <w:szCs w:val="20"/>
        </w:rPr>
        <w:t>a</w:t>
      </w:r>
      <w:r w:rsidRPr="00215B2F">
        <w:rPr>
          <w:rFonts w:ascii="Arial" w:eastAsia="Arial" w:hAnsi="Arial" w:cs="Arial"/>
          <w:sz w:val="20"/>
          <w:szCs w:val="20"/>
        </w:rPr>
        <w:t xml:space="preserve"> predhodna letna poročevalska obdobja oziroma za podružnice iz tretjih držav, ki so šele pridobile dovoljenje, v višini 2,5 </w:t>
      </w:r>
      <w:r w:rsidR="00E824DA" w:rsidRPr="00215B2F">
        <w:rPr>
          <w:rFonts w:ascii="Arial" w:eastAsia="Arial" w:hAnsi="Arial" w:cs="Arial"/>
          <w:sz w:val="20"/>
          <w:szCs w:val="20"/>
        </w:rPr>
        <w:t>odstotka</w:t>
      </w:r>
      <w:r w:rsidRPr="00215B2F">
        <w:rPr>
          <w:rFonts w:ascii="Arial" w:eastAsia="Arial" w:hAnsi="Arial" w:cs="Arial"/>
          <w:sz w:val="20"/>
          <w:szCs w:val="20"/>
        </w:rPr>
        <w:t xml:space="preserve"> obveznosti podružnice ob pridobitvi dovoljenja, kot so </w:t>
      </w:r>
      <w:r w:rsidR="00E824DA" w:rsidRPr="00215B2F">
        <w:rPr>
          <w:rFonts w:ascii="Arial" w:eastAsia="Arial" w:hAnsi="Arial" w:cs="Arial"/>
          <w:sz w:val="20"/>
          <w:szCs w:val="20"/>
        </w:rPr>
        <w:t>s</w:t>
      </w:r>
      <w:r w:rsidRPr="00215B2F">
        <w:rPr>
          <w:rFonts w:ascii="Arial" w:eastAsia="Arial" w:hAnsi="Arial" w:cs="Arial"/>
          <w:sz w:val="20"/>
          <w:szCs w:val="20"/>
        </w:rPr>
        <w:t>poroč</w:t>
      </w:r>
      <w:r w:rsidR="00E824DA" w:rsidRPr="00215B2F">
        <w:rPr>
          <w:rFonts w:ascii="Arial" w:eastAsia="Arial" w:hAnsi="Arial" w:cs="Arial"/>
          <w:sz w:val="20"/>
          <w:szCs w:val="20"/>
        </w:rPr>
        <w:t>e</w:t>
      </w:r>
      <w:r w:rsidRPr="00215B2F">
        <w:rPr>
          <w:rFonts w:ascii="Arial" w:eastAsia="Arial" w:hAnsi="Arial" w:cs="Arial"/>
          <w:sz w:val="20"/>
          <w:szCs w:val="20"/>
        </w:rPr>
        <w:t xml:space="preserve">ne v skladu </w:t>
      </w:r>
      <w:r w:rsidR="00D95D3D" w:rsidRPr="00215B2F">
        <w:rPr>
          <w:rFonts w:ascii="Arial" w:eastAsia="Arial" w:hAnsi="Arial" w:cs="Arial"/>
          <w:sz w:val="20"/>
          <w:szCs w:val="20"/>
        </w:rPr>
        <w:t xml:space="preserve">s </w:t>
      </w:r>
      <w:r w:rsidR="00D524A9" w:rsidRPr="00215B2F">
        <w:rPr>
          <w:rFonts w:ascii="Arial" w:eastAsia="Arial" w:hAnsi="Arial" w:cs="Arial"/>
          <w:sz w:val="20"/>
          <w:szCs w:val="20"/>
        </w:rPr>
        <w:t>318</w:t>
      </w:r>
      <w:r w:rsidRPr="00215B2F">
        <w:rPr>
          <w:rFonts w:ascii="Arial" w:eastAsia="Arial" w:hAnsi="Arial" w:cs="Arial"/>
          <w:sz w:val="20"/>
          <w:szCs w:val="20"/>
        </w:rPr>
        <w:t xml:space="preserve">. in </w:t>
      </w:r>
      <w:r w:rsidR="00D524A9" w:rsidRPr="00215B2F">
        <w:rPr>
          <w:rFonts w:ascii="Arial" w:eastAsia="Arial" w:hAnsi="Arial" w:cs="Arial"/>
          <w:sz w:val="20"/>
          <w:szCs w:val="20"/>
        </w:rPr>
        <w:t>319</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in v višini najmanj 10 milijonov eurov; </w:t>
      </w:r>
    </w:p>
    <w:p w14:paraId="5965AC35" w14:textId="17966D27" w:rsidR="00D91782" w:rsidRPr="00215B2F" w:rsidRDefault="00D91782" w:rsidP="003D4DE0">
      <w:pPr>
        <w:pStyle w:val="Odstavekseznama"/>
        <w:numPr>
          <w:ilvl w:val="0"/>
          <w:numId w:val="326"/>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za podružnice </w:t>
      </w:r>
      <w:r w:rsidR="0089418F" w:rsidRPr="00215B2F">
        <w:rPr>
          <w:rFonts w:ascii="Arial" w:eastAsia="Arial" w:hAnsi="Arial" w:cs="Arial"/>
          <w:sz w:val="20"/>
          <w:szCs w:val="20"/>
        </w:rPr>
        <w:t xml:space="preserve">iz </w:t>
      </w:r>
      <w:r w:rsidRPr="00215B2F">
        <w:rPr>
          <w:rFonts w:ascii="Arial" w:eastAsia="Arial" w:hAnsi="Arial" w:cs="Arial"/>
          <w:sz w:val="20"/>
          <w:szCs w:val="20"/>
        </w:rPr>
        <w:t xml:space="preserve">tretjih držav iz razreda 2 v višini 0,5 </w:t>
      </w:r>
      <w:r w:rsidR="00E824DA" w:rsidRPr="00215B2F">
        <w:rPr>
          <w:rFonts w:ascii="Arial" w:eastAsia="Arial" w:hAnsi="Arial" w:cs="Arial"/>
          <w:sz w:val="20"/>
          <w:szCs w:val="20"/>
        </w:rPr>
        <w:t>odstotka</w:t>
      </w:r>
      <w:r w:rsidRPr="00215B2F">
        <w:rPr>
          <w:rFonts w:ascii="Arial" w:eastAsia="Arial" w:hAnsi="Arial" w:cs="Arial"/>
          <w:sz w:val="20"/>
          <w:szCs w:val="20"/>
        </w:rPr>
        <w:t xml:space="preserve"> povprečnih obveznosti podružnice za tri neposredn</w:t>
      </w:r>
      <w:r w:rsidR="00D77073" w:rsidRPr="00215B2F">
        <w:rPr>
          <w:rFonts w:ascii="Arial" w:eastAsia="Arial" w:hAnsi="Arial" w:cs="Arial"/>
          <w:sz w:val="20"/>
          <w:szCs w:val="20"/>
        </w:rPr>
        <w:t>a</w:t>
      </w:r>
      <w:r w:rsidRPr="00215B2F">
        <w:rPr>
          <w:rFonts w:ascii="Arial" w:eastAsia="Arial" w:hAnsi="Arial" w:cs="Arial"/>
          <w:sz w:val="20"/>
          <w:szCs w:val="20"/>
        </w:rPr>
        <w:t xml:space="preserve"> predhodna letna poročevalska obdobja oziroma za podružnice iz tretjih držav, ki so šele pridobile dovoljenje v višini 0,5 </w:t>
      </w:r>
      <w:r w:rsidR="00E824DA" w:rsidRPr="00215B2F">
        <w:rPr>
          <w:rFonts w:ascii="Arial" w:eastAsia="Arial" w:hAnsi="Arial" w:cs="Arial"/>
          <w:sz w:val="20"/>
          <w:szCs w:val="20"/>
        </w:rPr>
        <w:t>odstotka</w:t>
      </w:r>
      <w:r w:rsidRPr="00215B2F">
        <w:rPr>
          <w:rFonts w:ascii="Arial" w:eastAsia="Arial" w:hAnsi="Arial" w:cs="Arial"/>
          <w:sz w:val="20"/>
          <w:szCs w:val="20"/>
        </w:rPr>
        <w:t xml:space="preserve"> obveznosti podružnice ob pridobitvi dovoljenja, kot so </w:t>
      </w:r>
      <w:r w:rsidR="00D95D3D" w:rsidRPr="00215B2F">
        <w:rPr>
          <w:rFonts w:ascii="Arial" w:eastAsia="Arial" w:hAnsi="Arial" w:cs="Arial"/>
          <w:sz w:val="20"/>
          <w:szCs w:val="20"/>
        </w:rPr>
        <w:t>s</w:t>
      </w:r>
      <w:r w:rsidRPr="00215B2F">
        <w:rPr>
          <w:rFonts w:ascii="Arial" w:eastAsia="Arial" w:hAnsi="Arial" w:cs="Arial"/>
          <w:sz w:val="20"/>
          <w:szCs w:val="20"/>
        </w:rPr>
        <w:t>poroč</w:t>
      </w:r>
      <w:r w:rsidR="00D95D3D" w:rsidRPr="00215B2F">
        <w:rPr>
          <w:rFonts w:ascii="Arial" w:eastAsia="Arial" w:hAnsi="Arial" w:cs="Arial"/>
          <w:sz w:val="20"/>
          <w:szCs w:val="20"/>
        </w:rPr>
        <w:t>e</w:t>
      </w:r>
      <w:r w:rsidRPr="00215B2F">
        <w:rPr>
          <w:rFonts w:ascii="Arial" w:eastAsia="Arial" w:hAnsi="Arial" w:cs="Arial"/>
          <w:sz w:val="20"/>
          <w:szCs w:val="20"/>
        </w:rPr>
        <w:t xml:space="preserve">ne v skladu </w:t>
      </w:r>
      <w:r w:rsidR="00D95D3D" w:rsidRPr="00215B2F">
        <w:rPr>
          <w:rFonts w:ascii="Arial" w:eastAsia="Arial" w:hAnsi="Arial" w:cs="Arial"/>
          <w:sz w:val="20"/>
          <w:szCs w:val="20"/>
        </w:rPr>
        <w:t xml:space="preserve">s </w:t>
      </w:r>
      <w:r w:rsidR="00D524A9" w:rsidRPr="00215B2F">
        <w:rPr>
          <w:rFonts w:ascii="Arial" w:eastAsia="Arial" w:hAnsi="Arial" w:cs="Arial"/>
          <w:sz w:val="20"/>
          <w:szCs w:val="20"/>
        </w:rPr>
        <w:t>318</w:t>
      </w:r>
      <w:r w:rsidRPr="00215B2F">
        <w:rPr>
          <w:rFonts w:ascii="Arial" w:eastAsia="Arial" w:hAnsi="Arial" w:cs="Arial"/>
          <w:sz w:val="20"/>
          <w:szCs w:val="20"/>
        </w:rPr>
        <w:t xml:space="preserve">. in </w:t>
      </w:r>
      <w:r w:rsidR="00D524A9" w:rsidRPr="00215B2F">
        <w:rPr>
          <w:rFonts w:ascii="Arial" w:eastAsia="Arial" w:hAnsi="Arial" w:cs="Arial"/>
          <w:sz w:val="20"/>
          <w:szCs w:val="20"/>
        </w:rPr>
        <w:t>319</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in v višini najmanj 5 milijonov eurov. </w:t>
      </w:r>
    </w:p>
    <w:p w14:paraId="2C8C55C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EC39C0C" w14:textId="3CD52C38" w:rsidR="00D91782" w:rsidRPr="00215B2F" w:rsidRDefault="00D95D3D"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w:t>
      </w:r>
      <w:r w:rsidR="00D91782" w:rsidRPr="00215B2F">
        <w:rPr>
          <w:rFonts w:ascii="Arial" w:eastAsia="Arial" w:hAnsi="Arial" w:cs="Arial"/>
          <w:sz w:val="20"/>
          <w:szCs w:val="20"/>
        </w:rPr>
        <w:t xml:space="preserve">Minimalni jamstveni kapital iz prejšnjega odstavka ne posega v morebitne druge veljavne kapitalske zahteve, ki jih za podružnice zahteva drug zakon. </w:t>
      </w:r>
    </w:p>
    <w:p w14:paraId="5146294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BAAC6D1" w14:textId="1C73ED7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D95D3D" w:rsidRPr="00215B2F">
        <w:rPr>
          <w:rFonts w:ascii="Arial" w:eastAsia="Arial" w:hAnsi="Arial" w:cs="Arial"/>
          <w:sz w:val="20"/>
          <w:szCs w:val="20"/>
        </w:rPr>
        <w:t>3</w:t>
      </w:r>
      <w:r w:rsidRPr="00215B2F">
        <w:rPr>
          <w:rFonts w:ascii="Arial" w:eastAsia="Arial" w:hAnsi="Arial" w:cs="Arial"/>
          <w:sz w:val="20"/>
          <w:szCs w:val="20"/>
        </w:rPr>
        <w:t>) Podružnice iz tretjih držav zahtevo glede minimalnega jamstvenega kapitala iz pr</w:t>
      </w:r>
      <w:r w:rsidR="00D95D3D" w:rsidRPr="00215B2F">
        <w:rPr>
          <w:rFonts w:ascii="Arial" w:eastAsia="Arial" w:hAnsi="Arial" w:cs="Arial"/>
          <w:sz w:val="20"/>
          <w:szCs w:val="20"/>
        </w:rPr>
        <w:t>v</w:t>
      </w:r>
      <w:r w:rsidRPr="00215B2F">
        <w:rPr>
          <w:rFonts w:ascii="Arial" w:eastAsia="Arial" w:hAnsi="Arial" w:cs="Arial"/>
          <w:sz w:val="20"/>
          <w:szCs w:val="20"/>
        </w:rPr>
        <w:t xml:space="preserve">ega odstavka </w:t>
      </w:r>
      <w:r w:rsidR="00D95D3D" w:rsidRPr="00215B2F">
        <w:rPr>
          <w:rFonts w:ascii="Arial" w:eastAsia="Arial" w:hAnsi="Arial" w:cs="Arial"/>
          <w:sz w:val="20"/>
          <w:szCs w:val="20"/>
        </w:rPr>
        <w:t xml:space="preserve">tega člena </w:t>
      </w:r>
      <w:r w:rsidRPr="00215B2F">
        <w:rPr>
          <w:rFonts w:ascii="Arial" w:eastAsia="Arial" w:hAnsi="Arial" w:cs="Arial"/>
          <w:sz w:val="20"/>
          <w:szCs w:val="20"/>
        </w:rPr>
        <w:t xml:space="preserve">izpolnijo s sredstvi v eni od naslednjih oblik: </w:t>
      </w:r>
    </w:p>
    <w:p w14:paraId="47AAD36D"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643AFC1" w14:textId="1FC2F458" w:rsidR="00C316EC" w:rsidRPr="00215B2F" w:rsidRDefault="00D91782" w:rsidP="003D4DE0">
      <w:pPr>
        <w:pStyle w:val="Odstavekseznama"/>
        <w:numPr>
          <w:ilvl w:val="0"/>
          <w:numId w:val="32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denar ali denarju podobni instrumenti, kakor so opredeljeni v </w:t>
      </w:r>
      <w:r w:rsidR="00AA2AD1" w:rsidRPr="00215B2F">
        <w:rPr>
          <w:rFonts w:ascii="Arial" w:eastAsia="Arial" w:hAnsi="Arial" w:cs="Arial"/>
          <w:sz w:val="20"/>
          <w:szCs w:val="20"/>
        </w:rPr>
        <w:t xml:space="preserve">60. točki prvega odstavka 4. </w:t>
      </w:r>
      <w:r w:rsidRPr="00215B2F">
        <w:rPr>
          <w:rFonts w:ascii="Arial" w:eastAsia="Arial" w:hAnsi="Arial" w:cs="Arial"/>
          <w:sz w:val="20"/>
          <w:szCs w:val="20"/>
        </w:rPr>
        <w:t>člen</w:t>
      </w:r>
      <w:r w:rsidR="00AA2AD1" w:rsidRPr="00215B2F">
        <w:rPr>
          <w:rFonts w:ascii="Arial" w:eastAsia="Arial" w:hAnsi="Arial" w:cs="Arial"/>
          <w:sz w:val="20"/>
          <w:szCs w:val="20"/>
        </w:rPr>
        <w:t>a</w:t>
      </w:r>
      <w:r w:rsidRPr="00215B2F">
        <w:rPr>
          <w:rFonts w:ascii="Arial" w:eastAsia="Arial" w:hAnsi="Arial" w:cs="Arial"/>
          <w:sz w:val="20"/>
          <w:szCs w:val="20"/>
        </w:rPr>
        <w:t xml:space="preserve"> Uredbe 575/2013/EU; </w:t>
      </w:r>
    </w:p>
    <w:p w14:paraId="597ACFD3" w14:textId="5CB0F3AC" w:rsidR="00C316EC" w:rsidRPr="00215B2F" w:rsidRDefault="00D91782" w:rsidP="003D4DE0">
      <w:pPr>
        <w:pStyle w:val="Odstavekseznama"/>
        <w:numPr>
          <w:ilvl w:val="0"/>
          <w:numId w:val="32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dolžniški vrednostni papirji, ki jih izdajo enote centralne ravni držav članic ali centralne banke držav članic, ali </w:t>
      </w:r>
    </w:p>
    <w:p w14:paraId="4AA497DD" w14:textId="74842975" w:rsidR="00D91782" w:rsidRPr="00215B2F" w:rsidRDefault="00D91782" w:rsidP="003D4DE0">
      <w:pPr>
        <w:pStyle w:val="Odstavekseznama"/>
        <w:numPr>
          <w:ilvl w:val="0"/>
          <w:numId w:val="32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kateri koli drug instrument, ki je podružnici </w:t>
      </w:r>
      <w:r w:rsidR="002609B2" w:rsidRPr="00215B2F">
        <w:rPr>
          <w:rFonts w:ascii="Arial" w:eastAsia="Arial" w:hAnsi="Arial" w:cs="Arial"/>
          <w:sz w:val="20"/>
          <w:szCs w:val="20"/>
        </w:rPr>
        <w:t xml:space="preserve">iz </w:t>
      </w:r>
      <w:r w:rsidRPr="00215B2F">
        <w:rPr>
          <w:rFonts w:ascii="Arial" w:eastAsia="Arial" w:hAnsi="Arial" w:cs="Arial"/>
          <w:sz w:val="20"/>
          <w:szCs w:val="20"/>
        </w:rPr>
        <w:t>tretje države na voljo za neomejeno in takojšnjo uporabo za kritje tveganj ali izgub</w:t>
      </w:r>
      <w:r w:rsidR="00D95D3D" w:rsidRPr="00215B2F">
        <w:rPr>
          <w:rFonts w:ascii="Arial" w:eastAsia="Arial" w:hAnsi="Arial" w:cs="Arial"/>
          <w:sz w:val="20"/>
          <w:szCs w:val="20"/>
        </w:rPr>
        <w:t>,</w:t>
      </w:r>
      <w:r w:rsidRPr="00215B2F">
        <w:rPr>
          <w:rFonts w:ascii="Arial" w:eastAsia="Arial" w:hAnsi="Arial" w:cs="Arial"/>
          <w:sz w:val="20"/>
          <w:szCs w:val="20"/>
        </w:rPr>
        <w:t xml:space="preserve"> takoj ko ta tveganja ali izgube nastanejo. </w:t>
      </w:r>
    </w:p>
    <w:p w14:paraId="2762CF6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4BA8AC4" w14:textId="7BA3357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D95D3D" w:rsidRPr="00215B2F">
        <w:rPr>
          <w:rFonts w:ascii="Arial" w:eastAsia="Arial" w:hAnsi="Arial" w:cs="Arial"/>
          <w:sz w:val="20"/>
          <w:szCs w:val="20"/>
        </w:rPr>
        <w:t>4</w:t>
      </w:r>
      <w:r w:rsidRPr="00215B2F">
        <w:rPr>
          <w:rFonts w:ascii="Arial" w:eastAsia="Arial" w:hAnsi="Arial" w:cs="Arial"/>
          <w:sz w:val="20"/>
          <w:szCs w:val="20"/>
        </w:rPr>
        <w:t xml:space="preserve">) Podružnice iz tretjih držav instrumente jamstvenega kapitala iz prejšnjega odstavka položijo na </w:t>
      </w:r>
      <w:r w:rsidR="00A90A3B" w:rsidRPr="00215B2F">
        <w:rPr>
          <w:rFonts w:ascii="Arial" w:eastAsia="Arial" w:hAnsi="Arial" w:cs="Arial"/>
          <w:sz w:val="20"/>
          <w:szCs w:val="20"/>
        </w:rPr>
        <w:t xml:space="preserve">posebni </w:t>
      </w:r>
      <w:r w:rsidRPr="00215B2F">
        <w:rPr>
          <w:rFonts w:ascii="Arial" w:eastAsia="Arial" w:hAnsi="Arial" w:cs="Arial"/>
          <w:sz w:val="20"/>
          <w:szCs w:val="20"/>
        </w:rPr>
        <w:t xml:space="preserve">račun v Republiki Sloveniji, pri banki, ki ni del skupine matične družbe, ali Banki Slovenije. Instrumenti jamstvenega kapitala, položeni na </w:t>
      </w:r>
      <w:r w:rsidR="00A90A3B" w:rsidRPr="00215B2F">
        <w:rPr>
          <w:rFonts w:ascii="Arial" w:eastAsia="Arial" w:hAnsi="Arial" w:cs="Arial"/>
          <w:sz w:val="20"/>
          <w:szCs w:val="20"/>
        </w:rPr>
        <w:t>posebni</w:t>
      </w:r>
      <w:r w:rsidRPr="00215B2F">
        <w:rPr>
          <w:rFonts w:ascii="Arial" w:eastAsia="Arial" w:hAnsi="Arial" w:cs="Arial"/>
          <w:sz w:val="20"/>
          <w:szCs w:val="20"/>
        </w:rPr>
        <w:t xml:space="preserve"> račun, so na voljo za namene </w:t>
      </w:r>
      <w:r w:rsidR="00393D9C" w:rsidRPr="00215B2F">
        <w:rPr>
          <w:rFonts w:ascii="Arial" w:eastAsia="Arial" w:hAnsi="Arial" w:cs="Arial"/>
          <w:sz w:val="20"/>
          <w:szCs w:val="20"/>
        </w:rPr>
        <w:t xml:space="preserve">reševanja </w:t>
      </w:r>
      <w:r w:rsidRPr="00215B2F">
        <w:rPr>
          <w:rFonts w:ascii="Arial" w:eastAsia="Arial" w:hAnsi="Arial" w:cs="Arial"/>
          <w:sz w:val="20"/>
          <w:szCs w:val="20"/>
        </w:rPr>
        <w:t xml:space="preserve">podružnice iz tretje države v skladu z </w:t>
      </w:r>
      <w:r w:rsidR="0082257C" w:rsidRPr="00215B2F">
        <w:rPr>
          <w:rFonts w:ascii="Arial" w:eastAsia="Arial" w:hAnsi="Arial" w:cs="Arial"/>
          <w:sz w:val="20"/>
          <w:szCs w:val="20"/>
        </w:rPr>
        <w:t>ZRPPB1</w:t>
      </w:r>
      <w:r w:rsidRPr="00215B2F">
        <w:rPr>
          <w:rFonts w:ascii="Arial" w:eastAsia="Arial" w:hAnsi="Arial" w:cs="Arial"/>
          <w:sz w:val="20"/>
          <w:szCs w:val="20"/>
        </w:rPr>
        <w:t xml:space="preserve"> in za namene prenehanja podružnice iz tretje države v skladu s tem ali drugim zakonom. </w:t>
      </w:r>
    </w:p>
    <w:p w14:paraId="536A427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E84B117"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72" w:name="_Ref202967005"/>
      <w:r w:rsidRPr="00215B2F">
        <w:rPr>
          <w:rFonts w:ascii="Arial" w:eastAsia="Arial" w:hAnsi="Arial" w:cs="Arial"/>
          <w:b/>
          <w:bCs/>
          <w:sz w:val="20"/>
          <w:szCs w:val="20"/>
        </w:rPr>
        <w:t>člen</w:t>
      </w:r>
      <w:bookmarkEnd w:id="372"/>
    </w:p>
    <w:p w14:paraId="62ABD84E" w14:textId="77777777" w:rsidR="00D91782" w:rsidRPr="00215B2F" w:rsidRDefault="00D91782" w:rsidP="00FD5520">
      <w:pPr>
        <w:pStyle w:val="Slog1"/>
        <w:shd w:val="clear" w:color="auto" w:fill="FFFFFF" w:themeFill="background1"/>
        <w:rPr>
          <w:sz w:val="20"/>
          <w:szCs w:val="20"/>
        </w:rPr>
      </w:pPr>
      <w:r w:rsidRPr="00215B2F">
        <w:rPr>
          <w:sz w:val="20"/>
          <w:szCs w:val="20"/>
        </w:rPr>
        <w:t>(likvidnostne zahteve)</w:t>
      </w:r>
    </w:p>
    <w:p w14:paraId="75961EA5" w14:textId="77777777" w:rsidR="00D91782" w:rsidRPr="00215B2F" w:rsidRDefault="00D91782" w:rsidP="00FD5520">
      <w:pPr>
        <w:pStyle w:val="Slog1"/>
        <w:shd w:val="clear" w:color="auto" w:fill="FFFFFF" w:themeFill="background1"/>
        <w:jc w:val="both"/>
        <w:rPr>
          <w:sz w:val="20"/>
          <w:szCs w:val="20"/>
        </w:rPr>
      </w:pPr>
    </w:p>
    <w:p w14:paraId="1B2298E1" w14:textId="0761E16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Podružnice iz tretjih držav ne glede na druge likvidnostne zahteve v skladu s tem ali drugim zakonom ves čas ohranjajo neobremenjena in likvidna sredstva v višini, ki zadošča za kritje likvidnostnih odlivov </w:t>
      </w:r>
      <w:r w:rsidR="00B54C1A" w:rsidRPr="00215B2F">
        <w:rPr>
          <w:rFonts w:ascii="Arial" w:eastAsia="Arial" w:hAnsi="Arial" w:cs="Arial"/>
          <w:sz w:val="20"/>
          <w:szCs w:val="20"/>
        </w:rPr>
        <w:t>v obdobju</w:t>
      </w:r>
      <w:r w:rsidRPr="00215B2F">
        <w:rPr>
          <w:rFonts w:ascii="Arial" w:eastAsia="Arial" w:hAnsi="Arial" w:cs="Arial"/>
          <w:sz w:val="20"/>
          <w:szCs w:val="20"/>
        </w:rPr>
        <w:t xml:space="preserve"> najmanj 30 dni.</w:t>
      </w:r>
    </w:p>
    <w:p w14:paraId="385AF816"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94FA9CF" w14:textId="2183B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Šteje se, da podružnice iz tretjih držav razreda 1 izpolnjujejo zahtevo glede likvidnostnega kritja iz prejšnjega odstavka, če izpolnjujejo likvidnostno zahtevo iz </w:t>
      </w:r>
      <w:r w:rsidR="008A21BD" w:rsidRPr="00215B2F">
        <w:rPr>
          <w:rFonts w:ascii="Arial" w:eastAsia="Arial" w:hAnsi="Arial" w:cs="Arial"/>
          <w:sz w:val="20"/>
          <w:szCs w:val="20"/>
        </w:rPr>
        <w:t xml:space="preserve">I. naslova 6 </w:t>
      </w:r>
      <w:r w:rsidRPr="00215B2F">
        <w:rPr>
          <w:rFonts w:ascii="Arial" w:eastAsia="Arial" w:hAnsi="Arial" w:cs="Arial"/>
          <w:sz w:val="20"/>
          <w:szCs w:val="20"/>
        </w:rPr>
        <w:t xml:space="preserve">dela Uredbe 575/2013/EU in </w:t>
      </w:r>
      <w:r w:rsidR="00CF1A9D" w:rsidRPr="00215B2F">
        <w:rPr>
          <w:rFonts w:ascii="Arial" w:eastAsia="Arial" w:hAnsi="Arial" w:cs="Arial"/>
          <w:sz w:val="20"/>
          <w:szCs w:val="20"/>
        </w:rPr>
        <w:t>Delegirane uredbe Komisije (EU) 2015/61 z dne 10. oktobra 2014 o dopolnitvi Uredbe (EU) št. 575/2013 Evropskega parlamenta in Sveta v zvezi z zahtevo glede likvidnostnega kritja za kreditne institucije</w:t>
      </w:r>
      <w:r w:rsidR="00CF1A9D" w:rsidRPr="00215B2F">
        <w:rPr>
          <w:rFonts w:ascii="Arial" w:eastAsia="Arial" w:hAnsi="Arial" w:cs="Arial"/>
          <w:kern w:val="0"/>
          <w:sz w:val="20"/>
          <w:szCs w:val="20"/>
          <w14:ligatures w14:val="none"/>
        </w:rPr>
        <w:t xml:space="preserve"> </w:t>
      </w:r>
      <w:r w:rsidR="00CF1A9D" w:rsidRPr="00215B2F">
        <w:rPr>
          <w:rFonts w:ascii="Arial" w:eastAsia="Arial" w:hAnsi="Arial" w:cs="Arial"/>
          <w:sz w:val="20"/>
          <w:szCs w:val="20"/>
        </w:rPr>
        <w:t>(UL L št. 11 z dne 17. 1. 2015, str. 1)</w:t>
      </w:r>
      <w:r w:rsidR="00F94DD5" w:rsidRPr="00215B2F">
        <w:rPr>
          <w:rFonts w:ascii="Arial" w:eastAsia="Arial" w:hAnsi="Arial" w:cs="Arial"/>
          <w:sz w:val="20"/>
          <w:szCs w:val="20"/>
        </w:rPr>
        <w:t>,</w:t>
      </w:r>
      <w:r w:rsidR="00CF1A9D" w:rsidRPr="00215B2F">
        <w:rPr>
          <w:rFonts w:ascii="Arial" w:eastAsia="Arial" w:hAnsi="Arial" w:cs="Arial"/>
          <w:sz w:val="20"/>
          <w:szCs w:val="20"/>
        </w:rPr>
        <w:t xml:space="preserve"> (v nadaljnjem besedilu: </w:t>
      </w:r>
      <w:r w:rsidRPr="00215B2F">
        <w:rPr>
          <w:rFonts w:ascii="Arial" w:eastAsia="Arial" w:hAnsi="Arial" w:cs="Arial"/>
          <w:sz w:val="20"/>
          <w:szCs w:val="20"/>
        </w:rPr>
        <w:t>Delegiran</w:t>
      </w:r>
      <w:r w:rsidR="00CF1A9D" w:rsidRPr="00215B2F">
        <w:rPr>
          <w:rFonts w:ascii="Arial" w:eastAsia="Arial" w:hAnsi="Arial" w:cs="Arial"/>
          <w:sz w:val="20"/>
          <w:szCs w:val="20"/>
        </w:rPr>
        <w:t>a</w:t>
      </w:r>
      <w:r w:rsidRPr="00215B2F">
        <w:rPr>
          <w:rFonts w:ascii="Arial" w:eastAsia="Arial" w:hAnsi="Arial" w:cs="Arial"/>
          <w:sz w:val="20"/>
          <w:szCs w:val="20"/>
        </w:rPr>
        <w:t xml:space="preserve"> uredb</w:t>
      </w:r>
      <w:r w:rsidR="00CF1A9D" w:rsidRPr="00215B2F">
        <w:rPr>
          <w:rFonts w:ascii="Arial" w:eastAsia="Arial" w:hAnsi="Arial" w:cs="Arial"/>
          <w:sz w:val="20"/>
          <w:szCs w:val="20"/>
        </w:rPr>
        <w:t>a</w:t>
      </w:r>
      <w:r w:rsidRPr="00215B2F">
        <w:rPr>
          <w:rFonts w:ascii="Arial" w:eastAsia="Arial" w:hAnsi="Arial" w:cs="Arial"/>
          <w:sz w:val="20"/>
          <w:szCs w:val="20"/>
        </w:rPr>
        <w:t xml:space="preserve"> 2015/61</w:t>
      </w:r>
      <w:r w:rsidR="007A1FDE" w:rsidRPr="00215B2F">
        <w:rPr>
          <w:rFonts w:ascii="Arial" w:eastAsia="Arial" w:hAnsi="Arial" w:cs="Arial"/>
          <w:sz w:val="20"/>
          <w:szCs w:val="20"/>
        </w:rPr>
        <w:t>/EU</w:t>
      </w:r>
      <w:r w:rsidR="00CF1A9D" w:rsidRPr="00215B2F">
        <w:rPr>
          <w:rFonts w:ascii="Arial" w:eastAsia="Arial" w:hAnsi="Arial" w:cs="Arial"/>
          <w:sz w:val="20"/>
          <w:szCs w:val="20"/>
        </w:rPr>
        <w:t>)</w:t>
      </w:r>
      <w:r w:rsidRPr="00215B2F">
        <w:rPr>
          <w:rFonts w:ascii="Arial" w:eastAsia="Arial" w:hAnsi="Arial" w:cs="Arial"/>
          <w:sz w:val="20"/>
          <w:szCs w:val="20"/>
        </w:rPr>
        <w:t>.</w:t>
      </w:r>
    </w:p>
    <w:p w14:paraId="76F9FCB2" w14:textId="77777777" w:rsidR="00CF1A9D" w:rsidRPr="00215B2F" w:rsidRDefault="00CF1A9D" w:rsidP="00FD5520">
      <w:pPr>
        <w:shd w:val="clear" w:color="auto" w:fill="FFFFFF" w:themeFill="background1"/>
        <w:spacing w:after="0" w:line="240" w:lineRule="auto"/>
        <w:jc w:val="both"/>
        <w:rPr>
          <w:rFonts w:ascii="Arial" w:eastAsia="Arial" w:hAnsi="Arial" w:cs="Arial"/>
          <w:sz w:val="20"/>
          <w:szCs w:val="20"/>
        </w:rPr>
      </w:pPr>
    </w:p>
    <w:p w14:paraId="20323B46" w14:textId="5F3D84E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Podružnice iz tretjih držav likvidna sredstva, ki jih imajo za namene izpolnjevanja zahtev iz tega člena, položijo na račun v Republiki Sloveniji, pri kreditni instituciji, ki ni del skupine matične družbe, ali pri Banki Slovenije. </w:t>
      </w:r>
    </w:p>
    <w:p w14:paraId="052E60A0"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4218B470" w14:textId="2CDCD9D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Če na računu ostanejo likvidna sredstva, potem ko so bila uporabljena za kritje likvidnostnih odlivov v skladu s prvim odstavkom tega člena, so ta preostala likvidna sredstva na voljo za uporabo za namene reševanj</w:t>
      </w:r>
      <w:r w:rsidR="00643273" w:rsidRPr="00215B2F">
        <w:rPr>
          <w:rFonts w:ascii="Arial" w:eastAsia="Arial" w:hAnsi="Arial" w:cs="Arial"/>
          <w:sz w:val="20"/>
          <w:szCs w:val="20"/>
        </w:rPr>
        <w:t>a</w:t>
      </w:r>
      <w:r w:rsidRPr="00215B2F">
        <w:rPr>
          <w:rFonts w:ascii="Arial" w:eastAsia="Arial" w:hAnsi="Arial" w:cs="Arial"/>
          <w:sz w:val="20"/>
          <w:szCs w:val="20"/>
        </w:rPr>
        <w:t xml:space="preserve"> podružnice iz tretje države v skladu z </w:t>
      </w:r>
      <w:r w:rsidR="0082257C" w:rsidRPr="00215B2F">
        <w:rPr>
          <w:rFonts w:ascii="Arial" w:eastAsia="Arial" w:hAnsi="Arial" w:cs="Arial"/>
          <w:sz w:val="20"/>
          <w:szCs w:val="20"/>
          <w:u w:val="words"/>
        </w:rPr>
        <w:t>ZRPPB-1</w:t>
      </w:r>
      <w:r w:rsidRPr="00215B2F">
        <w:rPr>
          <w:rFonts w:ascii="Arial" w:eastAsia="Arial" w:hAnsi="Arial" w:cs="Arial"/>
          <w:sz w:val="20"/>
          <w:szCs w:val="20"/>
        </w:rPr>
        <w:t xml:space="preserve"> </w:t>
      </w:r>
      <w:r w:rsidR="007A1FDE" w:rsidRPr="00215B2F">
        <w:rPr>
          <w:rFonts w:ascii="Arial" w:eastAsia="Arial" w:hAnsi="Arial" w:cs="Arial"/>
          <w:sz w:val="20"/>
          <w:szCs w:val="20"/>
        </w:rPr>
        <w:t xml:space="preserve">ter </w:t>
      </w:r>
      <w:r w:rsidRPr="00215B2F">
        <w:rPr>
          <w:rFonts w:ascii="Arial" w:eastAsia="Arial" w:hAnsi="Arial" w:cs="Arial"/>
          <w:sz w:val="20"/>
          <w:szCs w:val="20"/>
        </w:rPr>
        <w:t>za namene prenehanja podružnice iz tretje države v skladu s tem ali drugim zakonom.</w:t>
      </w:r>
    </w:p>
    <w:p w14:paraId="6239B64A"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48CEF585" w14:textId="7BC355C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lahko odloči, da za kvalificirano podružnico </w:t>
      </w:r>
      <w:r w:rsidR="002609B2" w:rsidRPr="00215B2F">
        <w:rPr>
          <w:rFonts w:ascii="Arial" w:eastAsia="Arial" w:hAnsi="Arial" w:cs="Arial"/>
          <w:sz w:val="20"/>
          <w:szCs w:val="20"/>
        </w:rPr>
        <w:t xml:space="preserve">iz </w:t>
      </w:r>
      <w:r w:rsidRPr="00215B2F">
        <w:rPr>
          <w:rFonts w:ascii="Arial" w:eastAsia="Arial" w:hAnsi="Arial" w:cs="Arial"/>
          <w:sz w:val="20"/>
          <w:szCs w:val="20"/>
        </w:rPr>
        <w:t xml:space="preserve">tretje države likvidnostna zahteva iz tega člena ne velja. </w:t>
      </w:r>
    </w:p>
    <w:p w14:paraId="46ADB81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17B72B1"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73" w:name="_Ref202967009"/>
      <w:r w:rsidRPr="00215B2F">
        <w:rPr>
          <w:rFonts w:ascii="Arial" w:eastAsia="Arial" w:hAnsi="Arial" w:cs="Arial"/>
          <w:b/>
          <w:bCs/>
          <w:sz w:val="20"/>
          <w:szCs w:val="20"/>
        </w:rPr>
        <w:lastRenderedPageBreak/>
        <w:t>člen</w:t>
      </w:r>
      <w:bookmarkEnd w:id="373"/>
    </w:p>
    <w:p w14:paraId="38B9FB27" w14:textId="77777777" w:rsidR="00D91782" w:rsidRPr="00215B2F" w:rsidRDefault="00D91782" w:rsidP="00FD5520">
      <w:pPr>
        <w:pStyle w:val="Slog1"/>
        <w:shd w:val="clear" w:color="auto" w:fill="FFFFFF" w:themeFill="background1"/>
        <w:rPr>
          <w:sz w:val="20"/>
          <w:szCs w:val="20"/>
        </w:rPr>
      </w:pPr>
      <w:r w:rsidRPr="00215B2F">
        <w:rPr>
          <w:sz w:val="20"/>
          <w:szCs w:val="20"/>
        </w:rPr>
        <w:t>(notranje upravljanje in upravljanje tveganj)</w:t>
      </w:r>
    </w:p>
    <w:p w14:paraId="51E4D039" w14:textId="77777777" w:rsidR="00D91782" w:rsidRPr="00215B2F" w:rsidRDefault="00D91782" w:rsidP="00FD5520">
      <w:pPr>
        <w:pStyle w:val="Slog1"/>
        <w:shd w:val="clear" w:color="auto" w:fill="FFFFFF" w:themeFill="background1"/>
        <w:jc w:val="both"/>
        <w:rPr>
          <w:sz w:val="20"/>
          <w:szCs w:val="20"/>
        </w:rPr>
      </w:pPr>
    </w:p>
    <w:p w14:paraId="5214F85E" w14:textId="0A0692F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Podružnica iz tretje države ima v Republiki Sloveniji vsaj dve osebi, ki dejansko vodita njeno poslovanje (</w:t>
      </w:r>
      <w:r w:rsidR="001B2A64" w:rsidRPr="00215B2F">
        <w:rPr>
          <w:rFonts w:ascii="Arial" w:eastAsia="Arial" w:hAnsi="Arial" w:cs="Arial"/>
          <w:sz w:val="20"/>
          <w:szCs w:val="20"/>
        </w:rPr>
        <w:t>v nadaljnjem besedilu:</w:t>
      </w:r>
      <w:r w:rsidRPr="00215B2F">
        <w:rPr>
          <w:rFonts w:ascii="Arial" w:eastAsia="Arial" w:hAnsi="Arial" w:cs="Arial"/>
          <w:sz w:val="20"/>
          <w:szCs w:val="20"/>
        </w:rPr>
        <w:t xml:space="preserve"> poslovodstvo podružnice). </w:t>
      </w:r>
    </w:p>
    <w:p w14:paraId="098909F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94F0338" w14:textId="02E29F1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Član poslovodstva podružnice mora pred začetkom vodenja poslov podružnice pridobiti dovoljenje Banke Slovenije za člana poslovodstva podružnice. Za izdajo dovoljenja za člana poslovodstva podružnice se smiselno uporabljajo določbe tega zakona </w:t>
      </w:r>
      <w:r w:rsidR="00F94DD5" w:rsidRPr="00215B2F">
        <w:rPr>
          <w:rFonts w:ascii="Arial" w:eastAsia="Arial" w:hAnsi="Arial" w:cs="Arial"/>
          <w:sz w:val="20"/>
          <w:szCs w:val="20"/>
        </w:rPr>
        <w:t xml:space="preserve">o dovoljenju </w:t>
      </w:r>
      <w:r w:rsidRPr="00215B2F">
        <w:rPr>
          <w:rFonts w:ascii="Arial" w:eastAsia="Arial" w:hAnsi="Arial" w:cs="Arial"/>
          <w:sz w:val="20"/>
          <w:szCs w:val="20"/>
        </w:rPr>
        <w:t xml:space="preserve">za </w:t>
      </w:r>
      <w:r w:rsidR="00882103" w:rsidRPr="00215B2F">
        <w:rPr>
          <w:rFonts w:ascii="Arial" w:hAnsi="Arial" w:cs="Arial"/>
          <w:sz w:val="20"/>
          <w:szCs w:val="20"/>
        </w:rPr>
        <w:t>člana uprave</w:t>
      </w:r>
      <w:r w:rsidRPr="00215B2F">
        <w:rPr>
          <w:rFonts w:ascii="Arial" w:eastAsia="Arial" w:hAnsi="Arial" w:cs="Arial"/>
          <w:sz w:val="20"/>
          <w:szCs w:val="20"/>
        </w:rPr>
        <w:t xml:space="preserve">. </w:t>
      </w:r>
    </w:p>
    <w:p w14:paraId="173B5CA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B5F30D0" w14:textId="07BE52C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Za podružnice iz tretjih držav razreda 1 se smiselno uporabljajo četrti odstavek </w:t>
      </w:r>
      <w:r w:rsidR="00D524A9" w:rsidRPr="00215B2F">
        <w:rPr>
          <w:rFonts w:ascii="Arial" w:eastAsia="Arial" w:hAnsi="Arial" w:cs="Arial"/>
          <w:sz w:val="20"/>
          <w:szCs w:val="20"/>
        </w:rPr>
        <w:t>58</w:t>
      </w:r>
      <w:r w:rsidRPr="00215B2F">
        <w:rPr>
          <w:rFonts w:ascii="Arial" w:eastAsia="Arial" w:hAnsi="Arial" w:cs="Arial"/>
          <w:sz w:val="20"/>
          <w:szCs w:val="20"/>
        </w:rPr>
        <w:t xml:space="preserve">. člena, </w:t>
      </w:r>
      <w:r w:rsidR="00D524A9" w:rsidRPr="00215B2F">
        <w:rPr>
          <w:rFonts w:ascii="Arial" w:eastAsia="Arial" w:hAnsi="Arial" w:cs="Arial"/>
          <w:sz w:val="20"/>
          <w:szCs w:val="20"/>
        </w:rPr>
        <w:t>61</w:t>
      </w:r>
      <w:r w:rsidRPr="00215B2F">
        <w:rPr>
          <w:rFonts w:ascii="Arial" w:eastAsia="Arial" w:hAnsi="Arial" w:cs="Arial"/>
          <w:sz w:val="20"/>
          <w:szCs w:val="20"/>
        </w:rPr>
        <w:t xml:space="preserve">. člen, </w:t>
      </w:r>
      <w:r w:rsidR="00D524A9" w:rsidRPr="00215B2F">
        <w:rPr>
          <w:rFonts w:ascii="Arial" w:eastAsia="Arial" w:hAnsi="Arial" w:cs="Arial"/>
          <w:sz w:val="20"/>
          <w:szCs w:val="20"/>
        </w:rPr>
        <w:t>177</w:t>
      </w:r>
      <w:r w:rsidRPr="00215B2F">
        <w:rPr>
          <w:rFonts w:ascii="Arial" w:eastAsia="Arial" w:hAnsi="Arial" w:cs="Arial"/>
          <w:sz w:val="20"/>
          <w:szCs w:val="20"/>
        </w:rPr>
        <w:t xml:space="preserve">. člen, </w:t>
      </w:r>
      <w:r w:rsidR="00D524A9" w:rsidRPr="00215B2F">
        <w:rPr>
          <w:rFonts w:ascii="Arial" w:eastAsia="Arial" w:hAnsi="Arial" w:cs="Arial"/>
          <w:sz w:val="20"/>
          <w:szCs w:val="20"/>
        </w:rPr>
        <w:t>187</w:t>
      </w:r>
      <w:r w:rsidRPr="00215B2F">
        <w:rPr>
          <w:rFonts w:ascii="Arial" w:eastAsia="Arial" w:hAnsi="Arial" w:cs="Arial"/>
          <w:sz w:val="20"/>
          <w:szCs w:val="20"/>
        </w:rPr>
        <w:t xml:space="preserve">. člen, </w:t>
      </w:r>
      <w:r w:rsidR="00D524A9" w:rsidRPr="00215B2F">
        <w:rPr>
          <w:rFonts w:ascii="Arial" w:eastAsia="Arial" w:hAnsi="Arial" w:cs="Arial"/>
          <w:sz w:val="20"/>
          <w:szCs w:val="20"/>
        </w:rPr>
        <w:t>220</w:t>
      </w:r>
      <w:r w:rsidRPr="00215B2F">
        <w:rPr>
          <w:rFonts w:ascii="Arial" w:eastAsia="Arial" w:hAnsi="Arial" w:cs="Arial"/>
          <w:sz w:val="20"/>
          <w:szCs w:val="20"/>
        </w:rPr>
        <w:t xml:space="preserve">. člen, </w:t>
      </w:r>
      <w:r w:rsidR="00D524A9" w:rsidRPr="00215B2F">
        <w:rPr>
          <w:rFonts w:ascii="Arial" w:eastAsia="Arial" w:hAnsi="Arial" w:cs="Arial"/>
          <w:sz w:val="20"/>
          <w:szCs w:val="20"/>
        </w:rPr>
        <w:t>221</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 xml:space="preserve"> ter določbe podzakonskega akta, izdanega na podlagi </w:t>
      </w:r>
      <w:r w:rsidR="00D524A9" w:rsidRPr="00215B2F">
        <w:rPr>
          <w:rFonts w:ascii="Arial" w:eastAsia="Arial" w:hAnsi="Arial" w:cs="Arial"/>
          <w:sz w:val="20"/>
          <w:szCs w:val="20"/>
        </w:rPr>
        <w:t>184</w:t>
      </w:r>
      <w:r w:rsidRPr="00215B2F">
        <w:rPr>
          <w:rFonts w:ascii="Arial" w:eastAsia="Arial" w:hAnsi="Arial" w:cs="Arial"/>
          <w:sz w:val="20"/>
          <w:szCs w:val="20"/>
        </w:rPr>
        <w:t xml:space="preserve">. člena </w:t>
      </w:r>
      <w:r w:rsidR="00D524A9" w:rsidRPr="00215B2F">
        <w:rPr>
          <w:rFonts w:ascii="Arial" w:eastAsia="Arial" w:hAnsi="Arial" w:cs="Arial"/>
          <w:sz w:val="20"/>
          <w:szCs w:val="20"/>
        </w:rPr>
        <w:t>tega zakona</w:t>
      </w:r>
      <w:r w:rsidRPr="00215B2F">
        <w:rPr>
          <w:rFonts w:ascii="Arial" w:eastAsia="Arial" w:hAnsi="Arial" w:cs="Arial"/>
          <w:sz w:val="20"/>
          <w:szCs w:val="20"/>
        </w:rPr>
        <w:t xml:space="preserve"> o ureditvi notranjega upravljanja glede politik in praks prejemkov. </w:t>
      </w:r>
    </w:p>
    <w:p w14:paraId="0AC0F2B4" w14:textId="77777777" w:rsidR="001667A1" w:rsidRPr="00215B2F" w:rsidRDefault="001667A1" w:rsidP="00FD5520">
      <w:pPr>
        <w:shd w:val="clear" w:color="auto" w:fill="FFFFFF" w:themeFill="background1"/>
        <w:spacing w:after="0" w:line="240" w:lineRule="auto"/>
        <w:jc w:val="both"/>
        <w:rPr>
          <w:rFonts w:ascii="Arial" w:eastAsia="Arial" w:hAnsi="Arial" w:cs="Arial"/>
          <w:sz w:val="20"/>
          <w:szCs w:val="20"/>
        </w:rPr>
      </w:pPr>
    </w:p>
    <w:p w14:paraId="6DE07ED7" w14:textId="22F777F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lahko od podružnice iz tretje države razreda 1 zahteva, da ustanovi lokalni upravljalni odbor, da se zagotovi ustrezno upravljanje podružnice. </w:t>
      </w:r>
    </w:p>
    <w:p w14:paraId="586EF1C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33EE3F8" w14:textId="1D57E28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Za podružnice iz tretjih držav razreda 2 se smiselno uporabljajo četrti odstavek </w:t>
      </w:r>
      <w:r w:rsidR="00D524A9" w:rsidRPr="00215B2F">
        <w:rPr>
          <w:rFonts w:ascii="Arial" w:eastAsia="Arial" w:hAnsi="Arial" w:cs="Arial"/>
          <w:sz w:val="20"/>
          <w:szCs w:val="20"/>
        </w:rPr>
        <w:t>58</w:t>
      </w:r>
      <w:r w:rsidRPr="00215B2F">
        <w:rPr>
          <w:rFonts w:ascii="Arial" w:eastAsia="Arial" w:hAnsi="Arial" w:cs="Arial"/>
          <w:sz w:val="20"/>
          <w:szCs w:val="20"/>
        </w:rPr>
        <w:t xml:space="preserve">. člena, </w:t>
      </w:r>
      <w:r w:rsidR="00D524A9" w:rsidRPr="00215B2F">
        <w:rPr>
          <w:rFonts w:ascii="Arial" w:eastAsia="Arial" w:hAnsi="Arial" w:cs="Arial"/>
          <w:sz w:val="20"/>
          <w:szCs w:val="20"/>
        </w:rPr>
        <w:t>61</w:t>
      </w:r>
      <w:r w:rsidRPr="00215B2F">
        <w:rPr>
          <w:rFonts w:ascii="Arial" w:eastAsia="Arial" w:hAnsi="Arial" w:cs="Arial"/>
          <w:sz w:val="20"/>
          <w:szCs w:val="20"/>
        </w:rPr>
        <w:t xml:space="preserve">. člen, </w:t>
      </w:r>
      <w:r w:rsidR="00D524A9" w:rsidRPr="00215B2F">
        <w:rPr>
          <w:rFonts w:ascii="Arial" w:eastAsia="Arial" w:hAnsi="Arial" w:cs="Arial"/>
          <w:sz w:val="20"/>
          <w:szCs w:val="20"/>
        </w:rPr>
        <w:t>177</w:t>
      </w:r>
      <w:r w:rsidRPr="00215B2F">
        <w:rPr>
          <w:rFonts w:ascii="Arial" w:eastAsia="Arial" w:hAnsi="Arial" w:cs="Arial"/>
          <w:sz w:val="20"/>
          <w:szCs w:val="20"/>
        </w:rPr>
        <w:t xml:space="preserve">. člen, </w:t>
      </w:r>
      <w:r w:rsidR="00D524A9" w:rsidRPr="00215B2F">
        <w:rPr>
          <w:rFonts w:ascii="Arial" w:eastAsia="Arial" w:hAnsi="Arial" w:cs="Arial"/>
          <w:sz w:val="20"/>
          <w:szCs w:val="20"/>
        </w:rPr>
        <w:t>220</w:t>
      </w:r>
      <w:r w:rsidRPr="00215B2F">
        <w:rPr>
          <w:rFonts w:ascii="Arial" w:eastAsia="Arial" w:hAnsi="Arial" w:cs="Arial"/>
          <w:sz w:val="20"/>
          <w:szCs w:val="20"/>
        </w:rPr>
        <w:t xml:space="preserve">. člen, </w:t>
      </w:r>
      <w:r w:rsidR="00D524A9" w:rsidRPr="00215B2F">
        <w:rPr>
          <w:rFonts w:ascii="Arial" w:eastAsia="Arial" w:hAnsi="Arial" w:cs="Arial"/>
          <w:sz w:val="20"/>
          <w:szCs w:val="20"/>
        </w:rPr>
        <w:t>221</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 xml:space="preserve"> ter določbe podzakonskega akta, izdanega na podlagi </w:t>
      </w:r>
      <w:r w:rsidR="00D524A9" w:rsidRPr="00215B2F">
        <w:rPr>
          <w:rFonts w:ascii="Arial" w:eastAsia="Arial" w:hAnsi="Arial" w:cs="Arial"/>
          <w:sz w:val="20"/>
          <w:szCs w:val="20"/>
        </w:rPr>
        <w:t>184</w:t>
      </w:r>
      <w:r w:rsidRPr="00215B2F">
        <w:rPr>
          <w:rFonts w:ascii="Arial" w:eastAsia="Arial" w:hAnsi="Arial" w:cs="Arial"/>
          <w:sz w:val="20"/>
          <w:szCs w:val="20"/>
        </w:rPr>
        <w:t xml:space="preserve">. člena </w:t>
      </w:r>
      <w:r w:rsidR="00D524A9" w:rsidRPr="00215B2F">
        <w:rPr>
          <w:rFonts w:ascii="Arial" w:eastAsia="Arial" w:hAnsi="Arial" w:cs="Arial"/>
          <w:sz w:val="20"/>
          <w:szCs w:val="20"/>
        </w:rPr>
        <w:t>tega zakona</w:t>
      </w:r>
      <w:r w:rsidRPr="00215B2F">
        <w:rPr>
          <w:rFonts w:ascii="Arial" w:eastAsia="Arial" w:hAnsi="Arial" w:cs="Arial"/>
          <w:sz w:val="20"/>
          <w:szCs w:val="20"/>
        </w:rPr>
        <w:t xml:space="preserve"> o ureditvi notranjega upravljanja glede politik in praks prejemkov. Podružnice iz tretjih držav razreda 2 imajo vzpostavljene funkcije notranje kontrole, k</w:t>
      </w:r>
      <w:r w:rsidR="006B0B0E" w:rsidRPr="00215B2F">
        <w:rPr>
          <w:rFonts w:ascii="Arial" w:eastAsia="Arial" w:hAnsi="Arial" w:cs="Arial"/>
          <w:sz w:val="20"/>
          <w:szCs w:val="20"/>
        </w:rPr>
        <w:t>akor</w:t>
      </w:r>
      <w:r w:rsidRPr="00215B2F">
        <w:rPr>
          <w:rFonts w:ascii="Arial" w:eastAsia="Arial" w:hAnsi="Arial" w:cs="Arial"/>
          <w:sz w:val="20"/>
          <w:szCs w:val="20"/>
        </w:rPr>
        <w:t xml:space="preserve"> je določeno v </w:t>
      </w:r>
      <w:r w:rsidR="00D524A9" w:rsidRPr="00215B2F">
        <w:rPr>
          <w:rFonts w:ascii="Arial" w:eastAsia="Arial" w:hAnsi="Arial" w:cs="Arial"/>
          <w:sz w:val="20"/>
          <w:szCs w:val="20"/>
        </w:rPr>
        <w:t>187</w:t>
      </w:r>
      <w:r w:rsidRPr="00215B2F">
        <w:rPr>
          <w:rFonts w:ascii="Arial" w:eastAsia="Arial" w:hAnsi="Arial" w:cs="Arial"/>
          <w:sz w:val="20"/>
          <w:szCs w:val="20"/>
        </w:rPr>
        <w:t xml:space="preserve">. </w:t>
      </w:r>
      <w:r w:rsidR="001F2C7A" w:rsidRPr="00215B2F">
        <w:rPr>
          <w:rFonts w:ascii="Arial" w:eastAsia="Arial" w:hAnsi="Arial" w:cs="Arial"/>
          <w:sz w:val="20"/>
          <w:szCs w:val="20"/>
        </w:rPr>
        <w:t>člen</w:t>
      </w:r>
      <w:r w:rsidR="00D524A9" w:rsidRPr="00215B2F">
        <w:rPr>
          <w:rFonts w:ascii="Arial" w:eastAsia="Arial" w:hAnsi="Arial" w:cs="Arial"/>
          <w:sz w:val="20"/>
          <w:szCs w:val="20"/>
        </w:rPr>
        <w:t>u</w:t>
      </w:r>
      <w:r w:rsidR="001F2C7A" w:rsidRPr="00215B2F">
        <w:rPr>
          <w:rFonts w:ascii="Arial" w:eastAsia="Arial" w:hAnsi="Arial" w:cs="Arial"/>
          <w:sz w:val="20"/>
          <w:szCs w:val="20"/>
        </w:rPr>
        <w:t xml:space="preserve"> tega zakona</w:t>
      </w:r>
      <w:r w:rsidRPr="00215B2F">
        <w:rPr>
          <w:rFonts w:ascii="Arial" w:eastAsia="Arial" w:hAnsi="Arial" w:cs="Arial"/>
          <w:sz w:val="20"/>
          <w:szCs w:val="20"/>
        </w:rPr>
        <w:t>, razen petega in šestega odstavka</w:t>
      </w:r>
      <w:r w:rsidR="00F66F17" w:rsidRPr="00215B2F">
        <w:rPr>
          <w:rFonts w:ascii="Arial" w:eastAsia="Arial" w:hAnsi="Arial" w:cs="Arial"/>
          <w:sz w:val="20"/>
          <w:szCs w:val="20"/>
        </w:rPr>
        <w:t xml:space="preserve"> 187. člena</w:t>
      </w:r>
      <w:r w:rsidR="00B54C1A" w:rsidRPr="00215B2F">
        <w:rPr>
          <w:rFonts w:ascii="Arial" w:eastAsia="Arial" w:hAnsi="Arial" w:cs="Arial"/>
          <w:sz w:val="20"/>
          <w:szCs w:val="20"/>
        </w:rPr>
        <w:t xml:space="preserve"> tega zakona</w:t>
      </w:r>
      <w:r w:rsidRPr="00215B2F">
        <w:rPr>
          <w:rFonts w:ascii="Arial" w:eastAsia="Arial" w:hAnsi="Arial" w:cs="Arial"/>
          <w:sz w:val="20"/>
          <w:szCs w:val="20"/>
        </w:rPr>
        <w:t>.</w:t>
      </w:r>
    </w:p>
    <w:p w14:paraId="0EBC782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F5A9947" w14:textId="6CAC6F8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Banka Slovenije lahko od podružnice iz tretje države razreda 2 glede na njeno velikost, notranjo organiziranost in naravo ter obseg in zapletenost njenih dejavnosti zahteva, da imenuje vodje funkcij notranje kontrole, k</w:t>
      </w:r>
      <w:r w:rsidR="006B0B0E" w:rsidRPr="00215B2F">
        <w:rPr>
          <w:rFonts w:ascii="Arial" w:eastAsia="Arial" w:hAnsi="Arial" w:cs="Arial"/>
          <w:sz w:val="20"/>
          <w:szCs w:val="20"/>
        </w:rPr>
        <w:t>akor</w:t>
      </w:r>
      <w:r w:rsidRPr="00215B2F">
        <w:rPr>
          <w:rFonts w:ascii="Arial" w:eastAsia="Arial" w:hAnsi="Arial" w:cs="Arial"/>
          <w:sz w:val="20"/>
          <w:szCs w:val="20"/>
        </w:rPr>
        <w:t xml:space="preserve"> je določeno v petem in šestem odstavku </w:t>
      </w:r>
      <w:r w:rsidR="009150E8" w:rsidRPr="00215B2F">
        <w:rPr>
          <w:rFonts w:ascii="Arial" w:eastAsia="Arial" w:hAnsi="Arial" w:cs="Arial"/>
          <w:sz w:val="20"/>
          <w:szCs w:val="20"/>
        </w:rPr>
        <w:t>187</w:t>
      </w:r>
      <w:r w:rsidRPr="00215B2F">
        <w:rPr>
          <w:rFonts w:ascii="Arial" w:eastAsia="Arial" w:hAnsi="Arial" w:cs="Arial"/>
          <w:sz w:val="20"/>
          <w:szCs w:val="20"/>
        </w:rPr>
        <w:t>. člena</w:t>
      </w:r>
      <w:r w:rsidR="009150E8" w:rsidRPr="00215B2F">
        <w:rPr>
          <w:rFonts w:ascii="Arial" w:eastAsia="Arial" w:hAnsi="Arial" w:cs="Arial"/>
          <w:sz w:val="20"/>
          <w:szCs w:val="20"/>
        </w:rPr>
        <w:t xml:space="preserve"> tega zakona</w:t>
      </w:r>
      <w:r w:rsidRPr="00215B2F">
        <w:rPr>
          <w:rFonts w:ascii="Arial" w:eastAsia="Arial" w:hAnsi="Arial" w:cs="Arial"/>
          <w:sz w:val="20"/>
          <w:szCs w:val="20"/>
        </w:rPr>
        <w:t xml:space="preserve">. </w:t>
      </w:r>
    </w:p>
    <w:p w14:paraId="318732CD" w14:textId="77777777" w:rsidR="009150E8" w:rsidRPr="00215B2F" w:rsidRDefault="009150E8" w:rsidP="00FD5520">
      <w:pPr>
        <w:shd w:val="clear" w:color="auto" w:fill="FFFFFF" w:themeFill="background1"/>
        <w:spacing w:after="0" w:line="240" w:lineRule="auto"/>
        <w:jc w:val="both"/>
        <w:rPr>
          <w:rFonts w:ascii="Arial" w:eastAsia="Arial" w:hAnsi="Arial" w:cs="Arial"/>
          <w:sz w:val="20"/>
          <w:szCs w:val="20"/>
        </w:rPr>
      </w:pPr>
    </w:p>
    <w:p w14:paraId="01B7379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Podružnice iz tretjih držav: </w:t>
      </w:r>
    </w:p>
    <w:p w14:paraId="2DD00C9D"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4AF2AD3E" w14:textId="498BE77F" w:rsidR="00EA58C4"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vzpostavijo sistem poročanja upravljalnemu organu matične družbe, ki zajema vsa pomembna tveganja ter politike upravljanja tveganj in njihove spremembe, ter imajo ustrezne sisteme informacijske in komunikacijske tehnologije in kontrole za zagotavljanje ustreznega upoštevanja politik in </w:t>
      </w:r>
    </w:p>
    <w:p w14:paraId="45CBB42B" w14:textId="140CD276"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spremljajo in upravljajo svoje ureditve o zunanjem izvajanju. </w:t>
      </w:r>
    </w:p>
    <w:p w14:paraId="32CBB3C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BBDCC0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(8) Podružnice iz tretjih držav, ki izvajajo vzajemne posle ali posle znotraj skupine, imajo ustrezne vire za prepoznavanje in ustrezno upravljanje kreditnega tveganja nasprotne stranke, kadar se pomembna tveganja, povezana s sredstvi, ki jih knjiži podružnica iz tretje države, prenesejo na nasprotno stranko. </w:t>
      </w:r>
    </w:p>
    <w:p w14:paraId="50895A53" w14:textId="77777777" w:rsidR="001667A1" w:rsidRPr="00215B2F" w:rsidRDefault="001667A1" w:rsidP="00FD5520">
      <w:pPr>
        <w:shd w:val="clear" w:color="auto" w:fill="FFFFFF" w:themeFill="background1"/>
        <w:spacing w:after="0" w:line="240" w:lineRule="auto"/>
        <w:jc w:val="both"/>
        <w:rPr>
          <w:rFonts w:ascii="Arial" w:eastAsia="Arial" w:hAnsi="Arial" w:cs="Arial"/>
          <w:sz w:val="20"/>
          <w:szCs w:val="20"/>
        </w:rPr>
      </w:pPr>
    </w:p>
    <w:p w14:paraId="4B496C2E" w14:textId="6241B33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(9) Kadar </w:t>
      </w:r>
      <w:r w:rsidR="00A22C02" w:rsidRPr="00215B2F">
        <w:rPr>
          <w:rFonts w:ascii="Arial" w:eastAsia="Arial" w:hAnsi="Arial" w:cs="Arial"/>
          <w:sz w:val="20"/>
          <w:szCs w:val="20"/>
        </w:rPr>
        <w:t xml:space="preserve">kritične funkcije </w:t>
      </w:r>
      <w:r w:rsidRPr="00215B2F">
        <w:rPr>
          <w:rFonts w:ascii="Arial" w:eastAsia="Arial" w:hAnsi="Arial" w:cs="Arial"/>
          <w:sz w:val="20"/>
          <w:szCs w:val="20"/>
        </w:rPr>
        <w:t xml:space="preserve">ali pomembne </w:t>
      </w:r>
      <w:r w:rsidR="00A22C02" w:rsidRPr="00215B2F">
        <w:rPr>
          <w:rFonts w:ascii="Arial" w:eastAsia="Arial" w:hAnsi="Arial" w:cs="Arial"/>
          <w:sz w:val="20"/>
          <w:szCs w:val="20"/>
        </w:rPr>
        <w:t>funkcije</w:t>
      </w:r>
      <w:r w:rsidRPr="00215B2F">
        <w:rPr>
          <w:rFonts w:ascii="Arial" w:eastAsia="Arial" w:hAnsi="Arial" w:cs="Arial"/>
          <w:sz w:val="20"/>
          <w:szCs w:val="20"/>
        </w:rPr>
        <w:t xml:space="preserve"> podružnice iz tretje države izvaja njena matična družba, se te </w:t>
      </w:r>
      <w:r w:rsidR="00A22C02" w:rsidRPr="00215B2F">
        <w:rPr>
          <w:rFonts w:ascii="Arial" w:eastAsia="Arial" w:hAnsi="Arial" w:cs="Arial"/>
          <w:sz w:val="20"/>
          <w:szCs w:val="20"/>
        </w:rPr>
        <w:t xml:space="preserve">funkcije </w:t>
      </w:r>
      <w:r w:rsidRPr="00215B2F">
        <w:rPr>
          <w:rFonts w:ascii="Arial" w:eastAsia="Arial" w:hAnsi="Arial" w:cs="Arial"/>
          <w:sz w:val="20"/>
          <w:szCs w:val="20"/>
        </w:rPr>
        <w:t xml:space="preserve">izvajajo v skladu z notranjo ureditvijo ali sporazumi znotraj skupine. </w:t>
      </w:r>
    </w:p>
    <w:p w14:paraId="5AC804A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82735D3" w14:textId="1A13423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(10) Banka Slovenije zahteva, da neodvisna tretja oseba redno in vsaj enkrat letno ocenjuje, ali podružnica iz tretje države izvaja in stalno izpolnjuje zahteve iz tega člena</w:t>
      </w:r>
      <w:r w:rsidR="0061251C" w:rsidRPr="00215B2F">
        <w:rPr>
          <w:rFonts w:ascii="Arial" w:eastAsia="Arial" w:hAnsi="Arial" w:cs="Arial"/>
          <w:sz w:val="20"/>
          <w:szCs w:val="20"/>
        </w:rPr>
        <w:t>,</w:t>
      </w:r>
      <w:r w:rsidRPr="00215B2F">
        <w:rPr>
          <w:rFonts w:ascii="Arial" w:eastAsia="Arial" w:hAnsi="Arial" w:cs="Arial"/>
          <w:sz w:val="20"/>
          <w:szCs w:val="20"/>
        </w:rPr>
        <w:t xml:space="preserve"> ter Banki Slovenije predloži poročilo z ugotovitvami in </w:t>
      </w:r>
      <w:r w:rsidR="0061251C" w:rsidRPr="00215B2F">
        <w:rPr>
          <w:rFonts w:ascii="Arial" w:eastAsia="Arial" w:hAnsi="Arial" w:cs="Arial"/>
          <w:sz w:val="20"/>
          <w:szCs w:val="20"/>
        </w:rPr>
        <w:t>sklep</w:t>
      </w:r>
      <w:r w:rsidRPr="00215B2F">
        <w:rPr>
          <w:rFonts w:ascii="Arial" w:eastAsia="Arial" w:hAnsi="Arial" w:cs="Arial"/>
          <w:sz w:val="20"/>
          <w:szCs w:val="20"/>
        </w:rPr>
        <w:t xml:space="preserve">i. </w:t>
      </w:r>
    </w:p>
    <w:p w14:paraId="0B515239" w14:textId="77777777" w:rsidR="005517F3" w:rsidRPr="00215B2F" w:rsidRDefault="005517F3" w:rsidP="00FD5520">
      <w:pPr>
        <w:shd w:val="clear" w:color="auto" w:fill="FFFFFF" w:themeFill="background1"/>
        <w:spacing w:after="0" w:line="240" w:lineRule="auto"/>
        <w:jc w:val="both"/>
        <w:rPr>
          <w:rFonts w:ascii="Arial" w:eastAsia="Arial" w:hAnsi="Arial" w:cs="Arial"/>
          <w:sz w:val="20"/>
          <w:szCs w:val="20"/>
        </w:rPr>
      </w:pPr>
    </w:p>
    <w:p w14:paraId="334893BB" w14:textId="2F9F165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(11) Banka Slovenije in drugi pristojni organi imajo popoln dostop do vseh informacij, ki jih potrebujejo za opravljanje svoje nadzorniške funkcije. Podružnica iz tretje države mora Banki Slovenije na zahtevo pos</w:t>
      </w:r>
      <w:r w:rsidR="0061251C" w:rsidRPr="00215B2F">
        <w:rPr>
          <w:rFonts w:ascii="Arial" w:eastAsia="Arial" w:hAnsi="Arial" w:cs="Arial"/>
          <w:sz w:val="20"/>
          <w:szCs w:val="20"/>
        </w:rPr>
        <w:t>l</w:t>
      </w:r>
      <w:r w:rsidRPr="00215B2F">
        <w:rPr>
          <w:rFonts w:ascii="Arial" w:eastAsia="Arial" w:hAnsi="Arial" w:cs="Arial"/>
          <w:sz w:val="20"/>
          <w:szCs w:val="20"/>
        </w:rPr>
        <w:t>ati vse zahtevane informacije. Za po</w:t>
      </w:r>
      <w:r w:rsidR="0061251C" w:rsidRPr="00215B2F">
        <w:rPr>
          <w:rFonts w:ascii="Arial" w:eastAsia="Arial" w:hAnsi="Arial" w:cs="Arial"/>
          <w:sz w:val="20"/>
          <w:szCs w:val="20"/>
        </w:rPr>
        <w:t>šilj</w:t>
      </w:r>
      <w:r w:rsidRPr="00215B2F">
        <w:rPr>
          <w:rFonts w:ascii="Arial" w:eastAsia="Arial" w:hAnsi="Arial" w:cs="Arial"/>
          <w:sz w:val="20"/>
          <w:szCs w:val="20"/>
        </w:rPr>
        <w:t xml:space="preserve">anje informacij Banki Slovenije se smiselno uporablja </w:t>
      </w:r>
      <w:r w:rsidR="00D524A9" w:rsidRPr="00215B2F">
        <w:rPr>
          <w:rFonts w:ascii="Arial" w:eastAsia="Arial" w:hAnsi="Arial" w:cs="Arial"/>
          <w:sz w:val="20"/>
          <w:szCs w:val="20"/>
        </w:rPr>
        <w:t>3</w:t>
      </w:r>
      <w:r w:rsidR="00755DA0" w:rsidRPr="00215B2F">
        <w:rPr>
          <w:rFonts w:ascii="Arial" w:eastAsia="Arial" w:hAnsi="Arial" w:cs="Arial"/>
          <w:sz w:val="20"/>
          <w:szCs w:val="20"/>
        </w:rPr>
        <w:t>3</w:t>
      </w:r>
      <w:r w:rsidR="00D524A9" w:rsidRPr="00215B2F">
        <w:rPr>
          <w:rFonts w:ascii="Arial" w:eastAsia="Arial" w:hAnsi="Arial" w:cs="Arial"/>
          <w:sz w:val="20"/>
          <w:szCs w:val="20"/>
        </w:rPr>
        <w:t>6</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 xml:space="preserve">. </w:t>
      </w:r>
    </w:p>
    <w:p w14:paraId="025829A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B41BDEA"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74" w:name="_Ref202967012"/>
      <w:r w:rsidRPr="00215B2F">
        <w:rPr>
          <w:rFonts w:ascii="Arial" w:eastAsia="Arial" w:hAnsi="Arial" w:cs="Arial"/>
          <w:b/>
          <w:bCs/>
          <w:sz w:val="20"/>
          <w:szCs w:val="20"/>
        </w:rPr>
        <w:t>člen</w:t>
      </w:r>
      <w:bookmarkEnd w:id="374"/>
    </w:p>
    <w:p w14:paraId="736D8595" w14:textId="77777777" w:rsidR="00D91782" w:rsidRPr="00215B2F" w:rsidRDefault="00D91782" w:rsidP="00FD5520">
      <w:pPr>
        <w:pStyle w:val="Slog1"/>
        <w:shd w:val="clear" w:color="auto" w:fill="FFFFFF" w:themeFill="background1"/>
        <w:rPr>
          <w:sz w:val="20"/>
          <w:szCs w:val="20"/>
        </w:rPr>
      </w:pPr>
      <w:r w:rsidRPr="00215B2F">
        <w:rPr>
          <w:sz w:val="20"/>
          <w:szCs w:val="20"/>
        </w:rPr>
        <w:t>(zahteve glede knjiženja)</w:t>
      </w:r>
    </w:p>
    <w:p w14:paraId="4BAA9A3E" w14:textId="77777777" w:rsidR="00D91782" w:rsidRPr="00215B2F" w:rsidRDefault="00D91782" w:rsidP="00FD5520">
      <w:pPr>
        <w:pStyle w:val="Slog1"/>
        <w:shd w:val="clear" w:color="auto" w:fill="FFFFFF" w:themeFill="background1"/>
        <w:jc w:val="both"/>
        <w:rPr>
          <w:sz w:val="20"/>
          <w:szCs w:val="20"/>
        </w:rPr>
      </w:pPr>
    </w:p>
    <w:p w14:paraId="6AEC12C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Podružnice iz tretjih držav vodijo register, ki jim omogoča spremljanje in vodenje celovite in natančne evidence vseh sredstev in obveznosti v Republiki Sloveniji, ki jih podružnica iz tretje države knjiži ali ki iz te podružnice izvirajo, ter samostojno upravljanje teh sredstev in obveznosti znotraj podružnice iz tretje države. Register vsebuje vse potrebne in zadostne informacije o tveganjih, ki jih ustvari podružnica iz tretje države, in o tem, kako se upravljajo. </w:t>
      </w:r>
    </w:p>
    <w:p w14:paraId="7D98C5A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8E3EA4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(2) Podružnice iz tretjih držav oblikujejo ter redno pregledujejo in posodabljajo politiko o ureditvah knjiženja za upravljanje registra iz prejšnjega odstavka. Politika vsebuje jasno utemeljitev ureditev knjiženja in določa, kako so te ureditve usklajene s poslovno strategijo podružnice iz tretje države. Politiko dokumentira in odobri organ upravljanja matične družbe. </w:t>
      </w:r>
    </w:p>
    <w:p w14:paraId="0AA0098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8994D91" w14:textId="28F92E8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Podružnice iz tretjih držav redno in vsaj enkrat letno zagotovijo, da neodvisna tretja oseba pripravi neodvisno pisno in obrazloženo mnenje o izvajanju in stalnem izpolnjevanju zahtev iz tega člena</w:t>
      </w:r>
      <w:r w:rsidR="00A65A48" w:rsidRPr="00215B2F">
        <w:rPr>
          <w:rFonts w:ascii="Arial" w:eastAsia="Arial" w:hAnsi="Arial" w:cs="Arial"/>
          <w:sz w:val="20"/>
          <w:szCs w:val="20"/>
        </w:rPr>
        <w:t>, ki se</w:t>
      </w:r>
      <w:r w:rsidRPr="00215B2F">
        <w:rPr>
          <w:rFonts w:ascii="Arial" w:eastAsia="Arial" w:hAnsi="Arial" w:cs="Arial"/>
          <w:sz w:val="20"/>
          <w:szCs w:val="20"/>
        </w:rPr>
        <w:t xml:space="preserve"> </w:t>
      </w:r>
      <w:r w:rsidR="00A65A48" w:rsidRPr="00215B2F">
        <w:rPr>
          <w:rFonts w:ascii="Arial" w:eastAsia="Arial" w:hAnsi="Arial" w:cs="Arial"/>
          <w:sz w:val="20"/>
          <w:szCs w:val="20"/>
        </w:rPr>
        <w:t xml:space="preserve">nato </w:t>
      </w:r>
      <w:r w:rsidRPr="00215B2F">
        <w:rPr>
          <w:rFonts w:ascii="Arial" w:eastAsia="Arial" w:hAnsi="Arial" w:cs="Arial"/>
          <w:sz w:val="20"/>
          <w:szCs w:val="20"/>
        </w:rPr>
        <w:t xml:space="preserve">z ugotovitvami in </w:t>
      </w:r>
      <w:r w:rsidR="00A65A48" w:rsidRPr="00215B2F">
        <w:rPr>
          <w:rFonts w:ascii="Arial" w:eastAsia="Arial" w:hAnsi="Arial" w:cs="Arial"/>
          <w:sz w:val="20"/>
          <w:szCs w:val="20"/>
        </w:rPr>
        <w:t>sklep</w:t>
      </w:r>
      <w:r w:rsidRPr="00215B2F">
        <w:rPr>
          <w:rFonts w:ascii="Arial" w:eastAsia="Arial" w:hAnsi="Arial" w:cs="Arial"/>
          <w:sz w:val="20"/>
          <w:szCs w:val="20"/>
        </w:rPr>
        <w:t xml:space="preserve">i </w:t>
      </w:r>
      <w:r w:rsidR="00A65A48" w:rsidRPr="00215B2F">
        <w:rPr>
          <w:rFonts w:ascii="Arial" w:eastAsia="Arial" w:hAnsi="Arial" w:cs="Arial"/>
          <w:sz w:val="20"/>
          <w:szCs w:val="20"/>
        </w:rPr>
        <w:t>pošlje</w:t>
      </w:r>
      <w:r w:rsidRPr="00215B2F">
        <w:rPr>
          <w:rFonts w:ascii="Arial" w:eastAsia="Arial" w:hAnsi="Arial" w:cs="Arial"/>
          <w:sz w:val="20"/>
          <w:szCs w:val="20"/>
        </w:rPr>
        <w:t xml:space="preserve"> Bank</w:t>
      </w:r>
      <w:r w:rsidR="00A65A48" w:rsidRPr="00215B2F">
        <w:rPr>
          <w:rFonts w:ascii="Arial" w:eastAsia="Arial" w:hAnsi="Arial" w:cs="Arial"/>
          <w:sz w:val="20"/>
          <w:szCs w:val="20"/>
        </w:rPr>
        <w:t>i</w:t>
      </w:r>
      <w:r w:rsidRPr="00215B2F">
        <w:rPr>
          <w:rFonts w:ascii="Arial" w:eastAsia="Arial" w:hAnsi="Arial" w:cs="Arial"/>
          <w:sz w:val="20"/>
          <w:szCs w:val="20"/>
        </w:rPr>
        <w:t xml:space="preserve"> Slovenije.</w:t>
      </w:r>
    </w:p>
    <w:p w14:paraId="6C4173E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607BEDB" w14:textId="6183769B" w:rsidR="00D91782" w:rsidRPr="00215B2F" w:rsidRDefault="000A76F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9</w:t>
      </w:r>
      <w:r w:rsidR="00D91782" w:rsidRPr="00215B2F">
        <w:rPr>
          <w:rFonts w:ascii="Arial" w:eastAsia="Arial" w:hAnsi="Arial" w:cs="Arial"/>
          <w:i/>
          <w:iCs/>
          <w:sz w:val="20"/>
          <w:szCs w:val="20"/>
        </w:rPr>
        <w:t>.2.3 Zahteva za ustanovitev podrejene družbe in sistemsko pomembne podružnice</w:t>
      </w:r>
    </w:p>
    <w:p w14:paraId="1231A6E9"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15DCF9D6"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75" w:name="_Ref202967016"/>
      <w:r w:rsidRPr="00215B2F">
        <w:rPr>
          <w:rFonts w:ascii="Arial" w:eastAsia="Arial" w:hAnsi="Arial" w:cs="Arial"/>
          <w:b/>
          <w:bCs/>
          <w:sz w:val="20"/>
          <w:szCs w:val="20"/>
        </w:rPr>
        <w:t>člen</w:t>
      </w:r>
      <w:bookmarkEnd w:id="375"/>
    </w:p>
    <w:p w14:paraId="35138635" w14:textId="77777777" w:rsidR="00D91782" w:rsidRPr="00215B2F" w:rsidRDefault="00D91782" w:rsidP="00FD5520">
      <w:pPr>
        <w:pStyle w:val="Slog1"/>
        <w:shd w:val="clear" w:color="auto" w:fill="FFFFFF" w:themeFill="background1"/>
        <w:rPr>
          <w:sz w:val="20"/>
          <w:szCs w:val="20"/>
        </w:rPr>
      </w:pPr>
      <w:r w:rsidRPr="00215B2F">
        <w:rPr>
          <w:sz w:val="20"/>
          <w:szCs w:val="20"/>
        </w:rPr>
        <w:t>(zahteva za ustanovitev podrejene družbe)</w:t>
      </w:r>
    </w:p>
    <w:p w14:paraId="49106550" w14:textId="77777777" w:rsidR="00D91782" w:rsidRPr="00215B2F" w:rsidRDefault="00D91782" w:rsidP="00FD5520">
      <w:pPr>
        <w:pStyle w:val="Slog1"/>
        <w:shd w:val="clear" w:color="auto" w:fill="FFFFFF" w:themeFill="background1"/>
        <w:jc w:val="both"/>
        <w:rPr>
          <w:sz w:val="20"/>
          <w:szCs w:val="20"/>
        </w:rPr>
      </w:pPr>
    </w:p>
    <w:p w14:paraId="150B818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od podružnice iz tretje države zahteva, da se preoblikuje v gospodarsko družbo s sedežem v Republiki Sloveniji in vloži vlogo za dovoljenje za opravljanje bančnih in finančnih ter dodatnih finančnih storitev, kadar: </w:t>
      </w:r>
    </w:p>
    <w:p w14:paraId="0C45B9C0"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589657D3" w14:textId="6A1DB989" w:rsidR="00C316EC" w:rsidRPr="00215B2F" w:rsidRDefault="00D91782" w:rsidP="003D4DE0">
      <w:pPr>
        <w:pStyle w:val="Odstavekseznama"/>
        <w:numPr>
          <w:ilvl w:val="0"/>
          <w:numId w:val="328"/>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je podružnica iz tretje države v preteklosti izvajala dejavnosti iz </w:t>
      </w:r>
      <w:r w:rsidR="00FA74E6" w:rsidRPr="00215B2F">
        <w:rPr>
          <w:rFonts w:ascii="Arial" w:eastAsia="Arial" w:hAnsi="Arial" w:cs="Arial"/>
          <w:sz w:val="20"/>
          <w:szCs w:val="20"/>
        </w:rPr>
        <w:t>168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ali jih trenutno izvaja, brez poseganja v izjeme iz četrtega odstavka </w:t>
      </w:r>
      <w:r w:rsidR="00D524A9" w:rsidRPr="00215B2F">
        <w:rPr>
          <w:rFonts w:ascii="Arial" w:eastAsia="Arial" w:hAnsi="Arial" w:cs="Arial"/>
          <w:sz w:val="20"/>
          <w:szCs w:val="20"/>
        </w:rPr>
        <w:t>313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s strankami ali nasprotnimi strankami v drugih državah članicah; </w:t>
      </w:r>
    </w:p>
    <w:p w14:paraId="13EEF86F" w14:textId="7C8E5A2C" w:rsidR="00C316EC" w:rsidRPr="00215B2F" w:rsidRDefault="00D91782" w:rsidP="003D4DE0">
      <w:pPr>
        <w:pStyle w:val="Odstavekseznama"/>
        <w:numPr>
          <w:ilvl w:val="0"/>
          <w:numId w:val="328"/>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podružnica iz tretje države izpolnjuje kazalnike sistemske pomembnosti iz drugega odstavka </w:t>
      </w:r>
      <w:r w:rsidR="00D524A9" w:rsidRPr="00215B2F">
        <w:rPr>
          <w:rFonts w:ascii="Arial" w:eastAsia="Arial" w:hAnsi="Arial" w:cs="Arial"/>
          <w:sz w:val="20"/>
          <w:szCs w:val="20"/>
        </w:rPr>
        <w:t>284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ali je ocenjena, kot da je sistemsko pomembna v skladu </w:t>
      </w:r>
      <w:r w:rsidR="00755DA0" w:rsidRPr="00215B2F">
        <w:rPr>
          <w:rFonts w:ascii="Arial" w:eastAsia="Arial" w:hAnsi="Arial" w:cs="Arial"/>
          <w:sz w:val="20"/>
          <w:szCs w:val="20"/>
        </w:rPr>
        <w:t>s 321.</w:t>
      </w:r>
      <w:r w:rsidRPr="00215B2F">
        <w:rPr>
          <w:rFonts w:ascii="Arial" w:eastAsia="Arial" w:hAnsi="Arial" w:cs="Arial"/>
          <w:sz w:val="20"/>
          <w:szCs w:val="20"/>
        </w:rPr>
        <w:t xml:space="preserve"> členom</w:t>
      </w:r>
      <w:r w:rsidR="008E3CFE" w:rsidRPr="00215B2F">
        <w:rPr>
          <w:rFonts w:ascii="Arial" w:eastAsia="Arial" w:hAnsi="Arial" w:cs="Arial"/>
          <w:sz w:val="20"/>
          <w:szCs w:val="20"/>
        </w:rPr>
        <w:t>,</w:t>
      </w:r>
      <w:r w:rsidRPr="00215B2F">
        <w:rPr>
          <w:rFonts w:ascii="Arial" w:eastAsia="Arial" w:hAnsi="Arial" w:cs="Arial"/>
          <w:sz w:val="20"/>
          <w:szCs w:val="20"/>
        </w:rPr>
        <w:t xml:space="preserve"> in pomeni pomembno tveganje za finančno stabilnost </w:t>
      </w:r>
      <w:r w:rsidR="00A65A48" w:rsidRPr="00215B2F">
        <w:rPr>
          <w:rFonts w:ascii="Arial" w:eastAsia="Arial" w:hAnsi="Arial" w:cs="Arial"/>
          <w:sz w:val="20"/>
          <w:szCs w:val="20"/>
        </w:rPr>
        <w:t>Evropske u</w:t>
      </w:r>
      <w:r w:rsidRPr="00215B2F">
        <w:rPr>
          <w:rFonts w:ascii="Arial" w:eastAsia="Arial" w:hAnsi="Arial" w:cs="Arial"/>
          <w:sz w:val="20"/>
          <w:szCs w:val="20"/>
        </w:rPr>
        <w:t xml:space="preserve">nije ali Republike Slovenije ali </w:t>
      </w:r>
    </w:p>
    <w:p w14:paraId="00A1B9E2" w14:textId="228F9114" w:rsidR="00D91782" w:rsidRPr="00215B2F" w:rsidRDefault="00D91782" w:rsidP="003D4DE0">
      <w:pPr>
        <w:pStyle w:val="Odstavekseznama"/>
        <w:numPr>
          <w:ilvl w:val="0"/>
          <w:numId w:val="328"/>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je skupni znesek sredstev vseh podružnic iz tretjih držav, ki pripadajo isti skupini iz tretje države, v </w:t>
      </w:r>
      <w:r w:rsidR="00A65A48" w:rsidRPr="00215B2F">
        <w:rPr>
          <w:rFonts w:ascii="Arial" w:eastAsia="Arial" w:hAnsi="Arial" w:cs="Arial"/>
          <w:sz w:val="20"/>
          <w:szCs w:val="20"/>
        </w:rPr>
        <w:t>Evropski u</w:t>
      </w:r>
      <w:r w:rsidRPr="00215B2F">
        <w:rPr>
          <w:rFonts w:ascii="Arial" w:eastAsia="Arial" w:hAnsi="Arial" w:cs="Arial"/>
          <w:sz w:val="20"/>
          <w:szCs w:val="20"/>
        </w:rPr>
        <w:t xml:space="preserve">niji </w:t>
      </w:r>
      <w:r w:rsidR="00A22C02" w:rsidRPr="00215B2F">
        <w:rPr>
          <w:rFonts w:ascii="Arial" w:eastAsia="Arial" w:hAnsi="Arial" w:cs="Arial"/>
          <w:sz w:val="20"/>
          <w:szCs w:val="20"/>
        </w:rPr>
        <w:t xml:space="preserve">enak </w:t>
      </w:r>
      <w:r w:rsidRPr="00215B2F">
        <w:rPr>
          <w:rFonts w:ascii="Arial" w:eastAsia="Arial" w:hAnsi="Arial" w:cs="Arial"/>
          <w:sz w:val="20"/>
          <w:szCs w:val="20"/>
        </w:rPr>
        <w:t xml:space="preserve">40 milijard eurov </w:t>
      </w:r>
      <w:r w:rsidR="00A65A48" w:rsidRPr="00215B2F">
        <w:rPr>
          <w:rFonts w:ascii="Arial" w:eastAsia="Arial" w:hAnsi="Arial" w:cs="Arial"/>
          <w:sz w:val="20"/>
          <w:szCs w:val="20"/>
        </w:rPr>
        <w:t xml:space="preserve">ali višji </w:t>
      </w:r>
      <w:r w:rsidRPr="00215B2F">
        <w:rPr>
          <w:rFonts w:ascii="Arial" w:eastAsia="Arial" w:hAnsi="Arial" w:cs="Arial"/>
          <w:sz w:val="20"/>
          <w:szCs w:val="20"/>
        </w:rPr>
        <w:t xml:space="preserve">ali če je znesek sredstev, ki jih ima podružnica iz tretje države v svoji knjigi v Republiki Sloveniji, </w:t>
      </w:r>
      <w:r w:rsidR="00A22C02" w:rsidRPr="00215B2F">
        <w:rPr>
          <w:rFonts w:ascii="Arial" w:eastAsia="Arial" w:hAnsi="Arial" w:cs="Arial"/>
          <w:sz w:val="20"/>
          <w:szCs w:val="20"/>
        </w:rPr>
        <w:t xml:space="preserve">enak </w:t>
      </w:r>
      <w:r w:rsidRPr="00215B2F">
        <w:rPr>
          <w:rFonts w:ascii="Arial" w:eastAsia="Arial" w:hAnsi="Arial" w:cs="Arial"/>
          <w:sz w:val="20"/>
          <w:szCs w:val="20"/>
        </w:rPr>
        <w:t>10 milijard eurov</w:t>
      </w:r>
      <w:r w:rsidR="00A65A48" w:rsidRPr="00215B2F">
        <w:rPr>
          <w:rFonts w:ascii="Arial" w:eastAsia="Arial" w:hAnsi="Arial" w:cs="Arial"/>
          <w:sz w:val="20"/>
          <w:szCs w:val="20"/>
        </w:rPr>
        <w:t xml:space="preserve"> ali višji</w:t>
      </w:r>
      <w:r w:rsidRPr="00215B2F">
        <w:rPr>
          <w:rFonts w:ascii="Arial" w:eastAsia="Arial" w:hAnsi="Arial" w:cs="Arial"/>
          <w:sz w:val="20"/>
          <w:szCs w:val="20"/>
        </w:rPr>
        <w:t xml:space="preserve">. </w:t>
      </w:r>
    </w:p>
    <w:p w14:paraId="5764B0E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CE432D0" w14:textId="32630A0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lahko preoblikovanje v podrejeno družbo zahteva tudi iz drugih razlogov, na podlagi katerih oceni, da ukrepi iz </w:t>
      </w:r>
      <w:r w:rsidR="00D524A9" w:rsidRPr="00215B2F">
        <w:rPr>
          <w:rFonts w:ascii="Arial" w:eastAsia="Arial" w:hAnsi="Arial" w:cs="Arial"/>
          <w:sz w:val="20"/>
          <w:szCs w:val="20"/>
        </w:rPr>
        <w:t>322</w:t>
      </w:r>
      <w:r w:rsidRPr="00215B2F">
        <w:rPr>
          <w:rFonts w:ascii="Arial" w:eastAsia="Arial" w:hAnsi="Arial" w:cs="Arial"/>
          <w:sz w:val="20"/>
          <w:szCs w:val="20"/>
        </w:rPr>
        <w:t xml:space="preserve">. in </w:t>
      </w:r>
      <w:r w:rsidR="00D524A9" w:rsidRPr="00215B2F">
        <w:rPr>
          <w:rFonts w:ascii="Arial" w:eastAsia="Arial" w:hAnsi="Arial" w:cs="Arial"/>
          <w:sz w:val="20"/>
          <w:szCs w:val="20"/>
        </w:rPr>
        <w:t>380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ne bi zadostovali za odpravo pomembnih pomislekov z vidika nadzora.</w:t>
      </w:r>
    </w:p>
    <w:p w14:paraId="697E3C2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AD5FE1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se o zahtevi za ustanovitev podrejene družbe predhodno posvetuje z Evropskim bančnim organom in pristojnimi organi držav članic, v katerih je zadevna skupina iz tretje države ustanovila druge podružnice iz tretjih držav ali podrejene institucije. </w:t>
      </w:r>
    </w:p>
    <w:p w14:paraId="6E82212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13EE316" w14:textId="77393EC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pri točkah b) in c)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in pri izvedbi ocene iz </w:t>
      </w:r>
      <w:r w:rsidR="00D524A9" w:rsidRPr="00215B2F">
        <w:rPr>
          <w:rFonts w:ascii="Arial" w:eastAsia="Arial" w:hAnsi="Arial" w:cs="Arial"/>
          <w:sz w:val="20"/>
          <w:szCs w:val="20"/>
        </w:rPr>
        <w:t>321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upošteva kazalnike za oceno sistemske pomembnosti podružnic iz tretjih držav, ki vključujejo zlasti: </w:t>
      </w:r>
    </w:p>
    <w:p w14:paraId="74F51DD4"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5884948" w14:textId="77777777" w:rsidR="00C316EC" w:rsidRPr="00215B2F" w:rsidRDefault="00D91782" w:rsidP="003D4DE0">
      <w:pPr>
        <w:pStyle w:val="Odstavekseznama"/>
        <w:numPr>
          <w:ilvl w:val="0"/>
          <w:numId w:val="324"/>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velikost podružnice iz tretje države; </w:t>
      </w:r>
    </w:p>
    <w:p w14:paraId="42A33A16" w14:textId="77777777" w:rsidR="00C316EC" w:rsidRPr="00215B2F" w:rsidRDefault="00D91782" w:rsidP="003D4DE0">
      <w:pPr>
        <w:pStyle w:val="Odstavekseznama"/>
        <w:numPr>
          <w:ilvl w:val="0"/>
          <w:numId w:val="324"/>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zapletenost strukture, organiziranosti in poslovnega modela podružnice iz tretje države; </w:t>
      </w:r>
    </w:p>
    <w:p w14:paraId="3B74D7FA" w14:textId="6A295AF0" w:rsidR="00C316EC" w:rsidRPr="00215B2F" w:rsidRDefault="00D91782" w:rsidP="003D4DE0">
      <w:pPr>
        <w:pStyle w:val="Odstavekseznama"/>
        <w:numPr>
          <w:ilvl w:val="0"/>
          <w:numId w:val="324"/>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stopnjo medsebojne povezanosti podružnice iz tretje države s finančnim sistemom </w:t>
      </w:r>
      <w:r w:rsidR="0040181F" w:rsidRPr="00215B2F">
        <w:rPr>
          <w:rFonts w:ascii="Arial" w:eastAsia="Arial" w:hAnsi="Arial" w:cs="Arial"/>
          <w:sz w:val="20"/>
          <w:szCs w:val="20"/>
        </w:rPr>
        <w:t>Evropske u</w:t>
      </w:r>
      <w:r w:rsidRPr="00215B2F">
        <w:rPr>
          <w:rFonts w:ascii="Arial" w:eastAsia="Arial" w:hAnsi="Arial" w:cs="Arial"/>
          <w:sz w:val="20"/>
          <w:szCs w:val="20"/>
        </w:rPr>
        <w:t xml:space="preserve">nije in Republike Slovenije; </w:t>
      </w:r>
    </w:p>
    <w:p w14:paraId="2114DD22" w14:textId="77777777" w:rsidR="0061405D" w:rsidRPr="00215B2F" w:rsidRDefault="0061405D" w:rsidP="0061405D">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č)    </w:t>
      </w:r>
      <w:r w:rsidR="00D91782" w:rsidRPr="00215B2F">
        <w:rPr>
          <w:rFonts w:ascii="Arial" w:eastAsia="Arial" w:hAnsi="Arial" w:cs="Arial"/>
          <w:sz w:val="20"/>
          <w:szCs w:val="20"/>
        </w:rPr>
        <w:t xml:space="preserve">zamenljivost dejavnosti, storitev ali poslov, ki se opravljajo, ali finančne infrastrukture, ki jo zagotavlja </w:t>
      </w:r>
    </w:p>
    <w:p w14:paraId="1DB9DC47" w14:textId="0D99295F" w:rsidR="00C316EC" w:rsidRPr="00215B2F" w:rsidRDefault="0061405D" w:rsidP="0061405D">
      <w:p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      </w:t>
      </w:r>
      <w:r w:rsidR="00D91782" w:rsidRPr="00215B2F">
        <w:rPr>
          <w:rFonts w:ascii="Arial" w:eastAsia="Arial" w:hAnsi="Arial" w:cs="Arial"/>
          <w:sz w:val="20"/>
          <w:szCs w:val="20"/>
        </w:rPr>
        <w:t xml:space="preserve">podružnica iz tretje države; </w:t>
      </w:r>
    </w:p>
    <w:p w14:paraId="05E2D877" w14:textId="4365ED75" w:rsidR="00C316EC" w:rsidRPr="00215B2F" w:rsidRDefault="00D91782" w:rsidP="003D4DE0">
      <w:pPr>
        <w:pStyle w:val="Odstavekseznama"/>
        <w:numPr>
          <w:ilvl w:val="0"/>
          <w:numId w:val="324"/>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tržni delež podružnice iz tretje države v </w:t>
      </w:r>
      <w:r w:rsidR="0040181F" w:rsidRPr="00215B2F">
        <w:rPr>
          <w:rFonts w:ascii="Arial" w:eastAsia="Arial" w:hAnsi="Arial" w:cs="Arial"/>
          <w:sz w:val="20"/>
          <w:szCs w:val="20"/>
        </w:rPr>
        <w:t>Evropski u</w:t>
      </w:r>
      <w:r w:rsidRPr="00215B2F">
        <w:rPr>
          <w:rFonts w:ascii="Arial" w:eastAsia="Arial" w:hAnsi="Arial" w:cs="Arial"/>
          <w:sz w:val="20"/>
          <w:szCs w:val="20"/>
        </w:rPr>
        <w:t xml:space="preserve">niji in Republiki Sloveniji z vidika skupnih bančnih sredstev ter v zvezi z dejavnostmi in storitvami, ki jih zagotavlja, ter posli, ki jih opravlja; </w:t>
      </w:r>
    </w:p>
    <w:p w14:paraId="78D12D93" w14:textId="23BB928E" w:rsidR="00C316EC" w:rsidRPr="00215B2F" w:rsidRDefault="00D91782" w:rsidP="003D4DE0">
      <w:pPr>
        <w:pStyle w:val="Odstavekseznama"/>
        <w:numPr>
          <w:ilvl w:val="0"/>
          <w:numId w:val="324"/>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verjetn</w:t>
      </w:r>
      <w:r w:rsidR="0040181F" w:rsidRPr="00215B2F">
        <w:rPr>
          <w:rFonts w:ascii="Arial" w:eastAsia="Arial" w:hAnsi="Arial" w:cs="Arial"/>
          <w:sz w:val="20"/>
          <w:szCs w:val="20"/>
        </w:rPr>
        <w:t>i</w:t>
      </w:r>
      <w:r w:rsidRPr="00215B2F">
        <w:rPr>
          <w:rFonts w:ascii="Arial" w:eastAsia="Arial" w:hAnsi="Arial" w:cs="Arial"/>
          <w:sz w:val="20"/>
          <w:szCs w:val="20"/>
        </w:rPr>
        <w:t xml:space="preserve"> vpliv prenehanja ali opustitve poslov ali poslovanja podružnice iz tretje države na likvidnost finančnega sistema Republike Slovenije ali na plačilne in klirinške sisteme ter sisteme poravnave v </w:t>
      </w:r>
      <w:r w:rsidR="0040181F" w:rsidRPr="00215B2F">
        <w:rPr>
          <w:rFonts w:ascii="Arial" w:eastAsia="Arial" w:hAnsi="Arial" w:cs="Arial"/>
          <w:sz w:val="20"/>
          <w:szCs w:val="20"/>
        </w:rPr>
        <w:t>Evropski u</w:t>
      </w:r>
      <w:r w:rsidRPr="00215B2F">
        <w:rPr>
          <w:rFonts w:ascii="Arial" w:eastAsia="Arial" w:hAnsi="Arial" w:cs="Arial"/>
          <w:sz w:val="20"/>
          <w:szCs w:val="20"/>
        </w:rPr>
        <w:t xml:space="preserve">niji in Republiki Sloveniji; </w:t>
      </w:r>
    </w:p>
    <w:p w14:paraId="0601A7C5" w14:textId="6DF214F2" w:rsidR="00C316EC" w:rsidRPr="00215B2F" w:rsidRDefault="00D91782" w:rsidP="003D4DE0">
      <w:pPr>
        <w:pStyle w:val="Odstavekseznama"/>
        <w:numPr>
          <w:ilvl w:val="0"/>
          <w:numId w:val="324"/>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vlogo in pomembnost podružnice iz tretje države za dejavnosti, storitve in posle skupine iz tretje države v </w:t>
      </w:r>
      <w:r w:rsidR="0040181F" w:rsidRPr="00215B2F">
        <w:rPr>
          <w:rFonts w:ascii="Arial" w:eastAsia="Arial" w:hAnsi="Arial" w:cs="Arial"/>
          <w:sz w:val="20"/>
          <w:szCs w:val="20"/>
        </w:rPr>
        <w:t>Evropski u</w:t>
      </w:r>
      <w:r w:rsidRPr="00215B2F">
        <w:rPr>
          <w:rFonts w:ascii="Arial" w:eastAsia="Arial" w:hAnsi="Arial" w:cs="Arial"/>
          <w:sz w:val="20"/>
          <w:szCs w:val="20"/>
        </w:rPr>
        <w:t xml:space="preserve">niji in Republiki Sloveniji; </w:t>
      </w:r>
    </w:p>
    <w:p w14:paraId="63C067E1" w14:textId="77777777" w:rsidR="00C316EC" w:rsidRPr="00215B2F" w:rsidRDefault="00D91782" w:rsidP="003D4DE0">
      <w:pPr>
        <w:pStyle w:val="Odstavekseznama"/>
        <w:numPr>
          <w:ilvl w:val="0"/>
          <w:numId w:val="324"/>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vlogo in pomembnost podružnice iz tretje države v okviru reševanja ali prenehanja na podlagi informacij organa za reševanje; </w:t>
      </w:r>
    </w:p>
    <w:p w14:paraId="7137CD71" w14:textId="74C07BE5" w:rsidR="00D91782" w:rsidRPr="00215B2F" w:rsidRDefault="00D91782" w:rsidP="003D4DE0">
      <w:pPr>
        <w:pStyle w:val="Odstavekseznama"/>
        <w:numPr>
          <w:ilvl w:val="0"/>
          <w:numId w:val="324"/>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obseg poslovanja skupine iz tretje države, ki se izvaja prek podružnic iz tretjih držav, glede na poslovanje te skupine, ki se izvaja prek podrejenih institucij z dovoljenjem v </w:t>
      </w:r>
      <w:r w:rsidR="0040181F" w:rsidRPr="00215B2F">
        <w:rPr>
          <w:rFonts w:ascii="Arial" w:eastAsia="Arial" w:hAnsi="Arial" w:cs="Arial"/>
          <w:sz w:val="20"/>
          <w:szCs w:val="20"/>
        </w:rPr>
        <w:t>Evropski u</w:t>
      </w:r>
      <w:r w:rsidRPr="00215B2F">
        <w:rPr>
          <w:rFonts w:ascii="Arial" w:eastAsia="Arial" w:hAnsi="Arial" w:cs="Arial"/>
          <w:sz w:val="20"/>
          <w:szCs w:val="20"/>
        </w:rPr>
        <w:t>niji in v državah članicah, v kateri</w:t>
      </w:r>
      <w:r w:rsidR="0040181F" w:rsidRPr="00215B2F">
        <w:rPr>
          <w:rFonts w:ascii="Arial" w:eastAsia="Arial" w:hAnsi="Arial" w:cs="Arial"/>
          <w:sz w:val="20"/>
          <w:szCs w:val="20"/>
        </w:rPr>
        <w:t>h</w:t>
      </w:r>
      <w:r w:rsidRPr="00215B2F">
        <w:rPr>
          <w:rFonts w:ascii="Arial" w:eastAsia="Arial" w:hAnsi="Arial" w:cs="Arial"/>
          <w:sz w:val="20"/>
          <w:szCs w:val="20"/>
        </w:rPr>
        <w:t xml:space="preserve"> so ustanovljene podružnice iz tretjih držav.</w:t>
      </w:r>
    </w:p>
    <w:p w14:paraId="04D14D9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C9A0566"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76" w:name="_Ref202967029"/>
      <w:r w:rsidRPr="00215B2F">
        <w:rPr>
          <w:rFonts w:ascii="Arial" w:eastAsia="Arial" w:hAnsi="Arial" w:cs="Arial"/>
          <w:b/>
          <w:bCs/>
          <w:sz w:val="20"/>
          <w:szCs w:val="20"/>
        </w:rPr>
        <w:t>člen</w:t>
      </w:r>
      <w:bookmarkEnd w:id="376"/>
    </w:p>
    <w:p w14:paraId="5970EEB9" w14:textId="77777777" w:rsidR="00D91782" w:rsidRPr="00215B2F" w:rsidRDefault="00D91782" w:rsidP="00FD5520">
      <w:pPr>
        <w:pStyle w:val="Slog1"/>
        <w:shd w:val="clear" w:color="auto" w:fill="FFFFFF" w:themeFill="background1"/>
        <w:rPr>
          <w:sz w:val="20"/>
          <w:szCs w:val="20"/>
        </w:rPr>
      </w:pPr>
      <w:r w:rsidRPr="00215B2F">
        <w:rPr>
          <w:sz w:val="20"/>
          <w:szCs w:val="20"/>
        </w:rPr>
        <w:lastRenderedPageBreak/>
        <w:t>(ocenjevanje sistemske pomembnosti podružnic iz tretjih držav)</w:t>
      </w:r>
    </w:p>
    <w:p w14:paraId="5C83236B" w14:textId="77777777" w:rsidR="00D91782" w:rsidRPr="00215B2F" w:rsidRDefault="00D91782" w:rsidP="00FD5520">
      <w:pPr>
        <w:pStyle w:val="Slog1"/>
        <w:shd w:val="clear" w:color="auto" w:fill="FFFFFF" w:themeFill="background1"/>
        <w:jc w:val="both"/>
        <w:rPr>
          <w:sz w:val="20"/>
          <w:szCs w:val="20"/>
        </w:rPr>
      </w:pPr>
    </w:p>
    <w:p w14:paraId="2DF2B583" w14:textId="4785E4C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Kadar je Banka Slovenije pristojna za nadzor podružnic</w:t>
      </w:r>
      <w:r w:rsidR="00A22C02" w:rsidRPr="00215B2F">
        <w:rPr>
          <w:rFonts w:ascii="Arial" w:eastAsia="Arial" w:hAnsi="Arial" w:cs="Arial"/>
          <w:sz w:val="20"/>
          <w:szCs w:val="20"/>
        </w:rPr>
        <w:t>e</w:t>
      </w:r>
      <w:r w:rsidRPr="00215B2F">
        <w:rPr>
          <w:rFonts w:ascii="Arial" w:eastAsia="Arial" w:hAnsi="Arial" w:cs="Arial"/>
          <w:sz w:val="20"/>
          <w:szCs w:val="20"/>
        </w:rPr>
        <w:t xml:space="preserve"> iz tretje države, ki pripada skupini iz tretje države, </w:t>
      </w:r>
      <w:r w:rsidR="00A22C02" w:rsidRPr="00215B2F">
        <w:rPr>
          <w:rFonts w:ascii="Arial" w:eastAsia="Arial" w:hAnsi="Arial" w:cs="Arial"/>
          <w:sz w:val="20"/>
          <w:szCs w:val="20"/>
        </w:rPr>
        <w:t xml:space="preserve">in imajo vse podružnice iz tretjih držav, ki pripadajo tej skupini, skupni znesek sredstev v Evropski uniji, </w:t>
      </w:r>
      <w:r w:rsidRPr="00215B2F">
        <w:rPr>
          <w:rFonts w:ascii="Arial" w:eastAsia="Arial" w:hAnsi="Arial" w:cs="Arial"/>
          <w:sz w:val="20"/>
          <w:szCs w:val="20"/>
        </w:rPr>
        <w:t xml:space="preserve">kot je </w:t>
      </w:r>
      <w:r w:rsidR="00D77073" w:rsidRPr="00215B2F">
        <w:rPr>
          <w:rFonts w:ascii="Arial" w:eastAsia="Arial" w:hAnsi="Arial" w:cs="Arial"/>
          <w:sz w:val="20"/>
          <w:szCs w:val="20"/>
        </w:rPr>
        <w:t>s</w:t>
      </w:r>
      <w:r w:rsidRPr="00215B2F">
        <w:rPr>
          <w:rFonts w:ascii="Arial" w:eastAsia="Arial" w:hAnsi="Arial" w:cs="Arial"/>
          <w:sz w:val="20"/>
          <w:szCs w:val="20"/>
        </w:rPr>
        <w:t>poroč</w:t>
      </w:r>
      <w:r w:rsidR="00D77073" w:rsidRPr="00215B2F">
        <w:rPr>
          <w:rFonts w:ascii="Arial" w:eastAsia="Arial" w:hAnsi="Arial" w:cs="Arial"/>
          <w:sz w:val="20"/>
          <w:szCs w:val="20"/>
        </w:rPr>
        <w:t>e</w:t>
      </w:r>
      <w:r w:rsidRPr="00215B2F">
        <w:rPr>
          <w:rFonts w:ascii="Arial" w:eastAsia="Arial" w:hAnsi="Arial" w:cs="Arial"/>
          <w:sz w:val="20"/>
          <w:szCs w:val="20"/>
        </w:rPr>
        <w:t xml:space="preserve">n v skladu </w:t>
      </w:r>
      <w:r w:rsidR="00D77073" w:rsidRPr="00215B2F">
        <w:rPr>
          <w:rFonts w:ascii="Arial" w:eastAsia="Arial" w:hAnsi="Arial" w:cs="Arial"/>
          <w:sz w:val="20"/>
          <w:szCs w:val="20"/>
        </w:rPr>
        <w:t xml:space="preserve">s </w:t>
      </w:r>
      <w:r w:rsidR="00D524A9" w:rsidRPr="00215B2F">
        <w:rPr>
          <w:rFonts w:ascii="Arial" w:eastAsia="Arial" w:hAnsi="Arial" w:cs="Arial"/>
          <w:sz w:val="20"/>
          <w:szCs w:val="20"/>
        </w:rPr>
        <w:t>323</w:t>
      </w:r>
      <w:r w:rsidRPr="00215B2F">
        <w:rPr>
          <w:rFonts w:ascii="Arial" w:eastAsia="Arial" w:hAnsi="Arial" w:cs="Arial"/>
          <w:sz w:val="20"/>
          <w:szCs w:val="20"/>
        </w:rPr>
        <w:t xml:space="preserve">. in </w:t>
      </w:r>
      <w:r w:rsidR="00D524A9" w:rsidRPr="00215B2F">
        <w:rPr>
          <w:rFonts w:ascii="Arial" w:eastAsia="Arial" w:hAnsi="Arial" w:cs="Arial"/>
          <w:sz w:val="20"/>
          <w:szCs w:val="20"/>
        </w:rPr>
        <w:t>324</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w:t>
      </w:r>
      <w:r w:rsidR="00A22C02" w:rsidRPr="00215B2F">
        <w:rPr>
          <w:rFonts w:ascii="Arial" w:eastAsia="Arial" w:hAnsi="Arial" w:cs="Arial"/>
          <w:sz w:val="20"/>
          <w:szCs w:val="20"/>
        </w:rPr>
        <w:t xml:space="preserve">enak </w:t>
      </w:r>
      <w:r w:rsidRPr="00215B2F">
        <w:rPr>
          <w:rFonts w:ascii="Arial" w:eastAsia="Arial" w:hAnsi="Arial" w:cs="Arial"/>
          <w:sz w:val="20"/>
          <w:szCs w:val="20"/>
        </w:rPr>
        <w:t xml:space="preserve">40 milijard eurov </w:t>
      </w:r>
      <w:r w:rsidR="00D77073" w:rsidRPr="00215B2F">
        <w:rPr>
          <w:rFonts w:ascii="Arial" w:eastAsia="Arial" w:hAnsi="Arial" w:cs="Arial"/>
          <w:sz w:val="20"/>
          <w:szCs w:val="20"/>
        </w:rPr>
        <w:t>ali višji</w:t>
      </w:r>
      <w:r w:rsidR="00A22C02" w:rsidRPr="00215B2F">
        <w:rPr>
          <w:rFonts w:ascii="Arial" w:eastAsia="Arial" w:hAnsi="Arial" w:cs="Arial"/>
          <w:sz w:val="20"/>
          <w:szCs w:val="20"/>
        </w:rPr>
        <w:t>, in sicer</w:t>
      </w:r>
      <w:r w:rsidRPr="00215B2F">
        <w:rPr>
          <w:rFonts w:ascii="Arial" w:eastAsia="Arial" w:hAnsi="Arial" w:cs="Arial"/>
          <w:sz w:val="20"/>
          <w:szCs w:val="20"/>
        </w:rPr>
        <w:t>:</w:t>
      </w:r>
    </w:p>
    <w:p w14:paraId="2B5A00E5"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2DD89703" w14:textId="2F8E7214" w:rsidR="00C316EC" w:rsidRPr="00215B2F" w:rsidRDefault="00D91782" w:rsidP="003D4DE0">
      <w:pPr>
        <w:pStyle w:val="Odstavekseznama"/>
        <w:numPr>
          <w:ilvl w:val="0"/>
          <w:numId w:val="330"/>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v povprečju za tri neposredn</w:t>
      </w:r>
      <w:r w:rsidR="00D77073" w:rsidRPr="00215B2F">
        <w:rPr>
          <w:rFonts w:ascii="Arial" w:eastAsia="Arial" w:hAnsi="Arial" w:cs="Arial"/>
          <w:sz w:val="20"/>
          <w:szCs w:val="20"/>
        </w:rPr>
        <w:t>a</w:t>
      </w:r>
      <w:r w:rsidRPr="00215B2F">
        <w:rPr>
          <w:rFonts w:ascii="Arial" w:eastAsia="Arial" w:hAnsi="Arial" w:cs="Arial"/>
          <w:sz w:val="20"/>
          <w:szCs w:val="20"/>
        </w:rPr>
        <w:t xml:space="preserve"> predhodna letna poročevalska obdobja ali</w:t>
      </w:r>
    </w:p>
    <w:p w14:paraId="4E8E1178" w14:textId="06BB3998" w:rsidR="00C316EC" w:rsidRPr="00215B2F" w:rsidRDefault="00D91782" w:rsidP="003D4DE0">
      <w:pPr>
        <w:pStyle w:val="Odstavekseznama"/>
        <w:numPr>
          <w:ilvl w:val="0"/>
          <w:numId w:val="330"/>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v absolutnem smislu za najmanj tri letna poročevalska obdobja v petih neposredn</w:t>
      </w:r>
      <w:r w:rsidR="00D77073" w:rsidRPr="00215B2F">
        <w:rPr>
          <w:rFonts w:ascii="Arial" w:eastAsia="Arial" w:hAnsi="Arial" w:cs="Arial"/>
          <w:sz w:val="20"/>
          <w:szCs w:val="20"/>
        </w:rPr>
        <w:t>ih</w:t>
      </w:r>
      <w:r w:rsidRPr="00215B2F">
        <w:rPr>
          <w:rFonts w:ascii="Arial" w:eastAsia="Arial" w:hAnsi="Arial" w:cs="Arial"/>
          <w:sz w:val="20"/>
          <w:szCs w:val="20"/>
        </w:rPr>
        <w:t xml:space="preserve"> predhodnih letnih poročevalskih obdobjih,</w:t>
      </w:r>
    </w:p>
    <w:p w14:paraId="449AA762" w14:textId="579D24E7" w:rsidR="00D91782" w:rsidRPr="00215B2F" w:rsidRDefault="00D91782" w:rsidP="00D8730E">
      <w:p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Banka Slovenije oceni, ali je podružnica iz tretje države, ki jo nadzoruje, sistemsko pomembna in ali pomeni znatno tveganje za finančno stabilnost </w:t>
      </w:r>
      <w:r w:rsidR="007C1F72" w:rsidRPr="00215B2F">
        <w:rPr>
          <w:rFonts w:ascii="Arial" w:eastAsia="Arial" w:hAnsi="Arial" w:cs="Arial"/>
          <w:sz w:val="20"/>
          <w:szCs w:val="20"/>
        </w:rPr>
        <w:t>Evropske u</w:t>
      </w:r>
      <w:r w:rsidRPr="00215B2F">
        <w:rPr>
          <w:rFonts w:ascii="Arial" w:eastAsia="Arial" w:hAnsi="Arial" w:cs="Arial"/>
          <w:sz w:val="20"/>
          <w:szCs w:val="20"/>
        </w:rPr>
        <w:t>nije ali Republike Slovenije.</w:t>
      </w:r>
    </w:p>
    <w:p w14:paraId="7C14242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BBCE0CA" w14:textId="5CBE5B4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Prag sredstev iz </w:t>
      </w:r>
      <w:r w:rsidR="00B704F0" w:rsidRPr="00215B2F">
        <w:rPr>
          <w:rFonts w:ascii="Arial" w:eastAsia="Arial" w:hAnsi="Arial" w:cs="Arial"/>
          <w:sz w:val="20"/>
          <w:szCs w:val="20"/>
        </w:rPr>
        <w:t xml:space="preserve">prejšnjega </w:t>
      </w:r>
      <w:r w:rsidR="00746E88" w:rsidRPr="00215B2F">
        <w:rPr>
          <w:rFonts w:ascii="Arial" w:eastAsia="Arial" w:hAnsi="Arial" w:cs="Arial"/>
          <w:sz w:val="20"/>
          <w:szCs w:val="20"/>
        </w:rPr>
        <w:t xml:space="preserve">odstavka </w:t>
      </w:r>
      <w:r w:rsidRPr="00215B2F">
        <w:rPr>
          <w:rFonts w:ascii="Arial" w:eastAsia="Arial" w:hAnsi="Arial" w:cs="Arial"/>
          <w:sz w:val="20"/>
          <w:szCs w:val="20"/>
        </w:rPr>
        <w:t>ne vključuje sredstev, ki jih imajo podružnice iz tretjih držav v zvezi s posli na trgu centralnih bank, sklenjenimi s centralnimi bankami ESCB.</w:t>
      </w:r>
    </w:p>
    <w:p w14:paraId="0808646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5006DAD" w14:textId="0DBF9B8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pri ocenjevanju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upošteva zlasti kazalnike sistemske pomembnosti iz četrtega odstavka </w:t>
      </w:r>
      <w:r w:rsidR="00B704F0" w:rsidRPr="00215B2F">
        <w:rPr>
          <w:rFonts w:ascii="Arial" w:eastAsia="Arial" w:hAnsi="Arial" w:cs="Arial"/>
          <w:sz w:val="20"/>
          <w:szCs w:val="20"/>
        </w:rPr>
        <w:t>prejšnjega</w:t>
      </w:r>
      <w:r w:rsidRPr="00215B2F">
        <w:rPr>
          <w:rFonts w:ascii="Arial" w:eastAsia="Arial" w:hAnsi="Arial" w:cs="Arial"/>
          <w:sz w:val="20"/>
          <w:szCs w:val="20"/>
        </w:rPr>
        <w:t xml:space="preserve"> člena in drugega odstavka </w:t>
      </w:r>
      <w:r w:rsidR="00D524A9" w:rsidRPr="00215B2F">
        <w:rPr>
          <w:rFonts w:ascii="Arial" w:eastAsia="Arial" w:hAnsi="Arial" w:cs="Arial"/>
          <w:sz w:val="20"/>
          <w:szCs w:val="20"/>
        </w:rPr>
        <w:t>284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3C7C70C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CFF1720" w14:textId="6485224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se pri ocenjevanju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posvetuje z Evropskim </w:t>
      </w:r>
      <w:r w:rsidR="00A22C02" w:rsidRPr="00215B2F">
        <w:rPr>
          <w:rFonts w:ascii="Arial" w:eastAsia="Arial" w:hAnsi="Arial" w:cs="Arial"/>
          <w:sz w:val="20"/>
          <w:szCs w:val="20"/>
        </w:rPr>
        <w:t>bančnim organom</w:t>
      </w:r>
      <w:r w:rsidR="000067FA" w:rsidRPr="00215B2F">
        <w:rPr>
          <w:rFonts w:ascii="Arial" w:eastAsia="Arial" w:hAnsi="Arial" w:cs="Arial"/>
          <w:sz w:val="20"/>
          <w:szCs w:val="20"/>
        </w:rPr>
        <w:t xml:space="preserve"> </w:t>
      </w:r>
      <w:r w:rsidRPr="00215B2F">
        <w:rPr>
          <w:rFonts w:ascii="Arial" w:eastAsia="Arial" w:hAnsi="Arial" w:cs="Arial"/>
          <w:sz w:val="20"/>
          <w:szCs w:val="20"/>
        </w:rPr>
        <w:t>in pristojnimi organi držav članic, v katerih je zadevna skupina iz tretje države ustanovila druge podružnice iz tretjih držav ali podrejene institucije, da bi ocenila tveganja za finančno stabilnost, ki jih zadevna podružnica iz tretje države pomeni za druge države članice.</w:t>
      </w:r>
    </w:p>
    <w:p w14:paraId="3126ED2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D640845" w14:textId="24C9D90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obrazloženo oceno sistemske pomembnosti podružnice iz tretje države za </w:t>
      </w:r>
      <w:r w:rsidR="00C461A6" w:rsidRPr="00215B2F">
        <w:rPr>
          <w:rFonts w:ascii="Arial" w:eastAsia="Arial" w:hAnsi="Arial" w:cs="Arial"/>
          <w:sz w:val="20"/>
          <w:szCs w:val="20"/>
        </w:rPr>
        <w:t>Evropsko u</w:t>
      </w:r>
      <w:r w:rsidRPr="00215B2F">
        <w:rPr>
          <w:rFonts w:ascii="Arial" w:eastAsia="Arial" w:hAnsi="Arial" w:cs="Arial"/>
          <w:sz w:val="20"/>
          <w:szCs w:val="20"/>
        </w:rPr>
        <w:t xml:space="preserve">nijo in Republiko Slovenijo, predloži Evropskemu </w:t>
      </w:r>
      <w:r w:rsidR="00A22C02" w:rsidRPr="00215B2F">
        <w:rPr>
          <w:rFonts w:ascii="Arial" w:eastAsia="Arial" w:hAnsi="Arial" w:cs="Arial"/>
          <w:sz w:val="20"/>
          <w:szCs w:val="20"/>
        </w:rPr>
        <w:t>bančnemu organu</w:t>
      </w:r>
      <w:r w:rsidR="000067FA" w:rsidRPr="00215B2F">
        <w:rPr>
          <w:rFonts w:ascii="Arial" w:eastAsia="Arial" w:hAnsi="Arial" w:cs="Arial"/>
          <w:sz w:val="20"/>
          <w:szCs w:val="20"/>
        </w:rPr>
        <w:t xml:space="preserve"> </w:t>
      </w:r>
      <w:r w:rsidRPr="00215B2F">
        <w:rPr>
          <w:rFonts w:ascii="Arial" w:eastAsia="Arial" w:hAnsi="Arial" w:cs="Arial"/>
          <w:sz w:val="20"/>
          <w:szCs w:val="20"/>
        </w:rPr>
        <w:t>in pristojnim organom držav članic, v katerih je zadevna skupina iz tretje države ustanovila druge podružnice iz tretjih držav ali podrejene institucije.</w:t>
      </w:r>
    </w:p>
    <w:p w14:paraId="419E0D8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779619C" w14:textId="16C4B07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Kadar se pristojni organi, s katerimi je bilo opravljeno posvetovanje, ne strinjajo z oceno sistemske pomembnosti podružnice iz tretje države, o tem v </w:t>
      </w:r>
      <w:r w:rsidR="007C1F72" w:rsidRPr="00215B2F">
        <w:rPr>
          <w:rFonts w:ascii="Arial" w:eastAsia="Arial" w:hAnsi="Arial" w:cs="Arial"/>
          <w:sz w:val="20"/>
          <w:szCs w:val="20"/>
        </w:rPr>
        <w:t xml:space="preserve">desetih </w:t>
      </w:r>
      <w:r w:rsidRPr="00215B2F">
        <w:rPr>
          <w:rFonts w:ascii="Arial" w:eastAsia="Arial" w:hAnsi="Arial" w:cs="Arial"/>
          <w:sz w:val="20"/>
          <w:szCs w:val="20"/>
        </w:rPr>
        <w:t>delovnih dneh od prejema ocene obvestijo Banko Slovenije. Banka Slovenije in pristojni organi si s pomočjo Evropskega bančnega organa po najboljših močeh prizadevajo, da bi najpozneje v treh mesecih od dne, ko je pristojni organ</w:t>
      </w:r>
      <w:r w:rsidR="007C1F72" w:rsidRPr="00215B2F">
        <w:rPr>
          <w:rFonts w:ascii="Arial" w:eastAsia="Arial" w:hAnsi="Arial" w:cs="Arial"/>
          <w:sz w:val="20"/>
          <w:szCs w:val="20"/>
        </w:rPr>
        <w:t>,</w:t>
      </w:r>
      <w:r w:rsidRPr="00215B2F">
        <w:rPr>
          <w:rFonts w:ascii="Arial" w:eastAsia="Arial" w:hAnsi="Arial" w:cs="Arial"/>
          <w:sz w:val="20"/>
          <w:szCs w:val="20"/>
        </w:rPr>
        <w:t xml:space="preserve"> ali kadar je to ustrezno, imenovani organ izrazil nasprotovanje, dosegli soglasje glede ocene</w:t>
      </w:r>
      <w:r w:rsidR="007C1F72" w:rsidRPr="00215B2F">
        <w:rPr>
          <w:rFonts w:ascii="Arial" w:eastAsia="Arial" w:hAnsi="Arial" w:cs="Arial"/>
          <w:sz w:val="20"/>
          <w:szCs w:val="20"/>
        </w:rPr>
        <w:t>,</w:t>
      </w:r>
      <w:r w:rsidRPr="00215B2F">
        <w:rPr>
          <w:rFonts w:ascii="Arial" w:eastAsia="Arial" w:hAnsi="Arial" w:cs="Arial"/>
          <w:sz w:val="20"/>
          <w:szCs w:val="20"/>
        </w:rPr>
        <w:t xml:space="preserve"> in kadar je to ustrezno, glede ciljno usmerjenih zahtev iz </w:t>
      </w:r>
      <w:r w:rsidR="0069096E" w:rsidRPr="00215B2F">
        <w:rPr>
          <w:rFonts w:ascii="Arial" w:eastAsia="Arial" w:hAnsi="Arial" w:cs="Arial"/>
          <w:sz w:val="20"/>
          <w:szCs w:val="20"/>
        </w:rPr>
        <w:t>322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Po izteku tega obdobja Banka Slovenije odloči o oceni sistemske pomembnosti podružnice iz tretje države in ciljno usmerjenih zahtevah iz </w:t>
      </w:r>
      <w:r w:rsidR="0069096E" w:rsidRPr="00215B2F">
        <w:rPr>
          <w:rFonts w:ascii="Arial" w:eastAsia="Arial" w:hAnsi="Arial" w:cs="Arial"/>
          <w:sz w:val="20"/>
          <w:szCs w:val="20"/>
        </w:rPr>
        <w:t>322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r w:rsidRPr="00215B2F">
        <w:rPr>
          <w:rFonts w:ascii="Arial" w:hAnsi="Arial" w:cs="Arial"/>
          <w:sz w:val="20"/>
          <w:szCs w:val="20"/>
          <w:shd w:val="clear" w:color="auto" w:fill="F5F5F5"/>
        </w:rPr>
        <w:t xml:space="preserve"> </w:t>
      </w:r>
    </w:p>
    <w:p w14:paraId="36A283A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3A15950" w14:textId="1524A8F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(7) Pristojni organ države članice podružnice iz tretje države, ki je del skupine iz tretje države, ki je ustanovila podružnico ali podrejeno institucijo tudi na območju Republike Slovenije, se pri ocenjevanju sistemske pomembnosti podružnice iz tretje države posvetuje z Banko Slovenije in ji v ta namen po</w:t>
      </w:r>
      <w:r w:rsidR="00457862" w:rsidRPr="00215B2F">
        <w:rPr>
          <w:rFonts w:ascii="Arial" w:eastAsia="Arial" w:hAnsi="Arial" w:cs="Arial"/>
          <w:sz w:val="20"/>
          <w:szCs w:val="20"/>
        </w:rPr>
        <w:t>šl</w:t>
      </w:r>
      <w:r w:rsidRPr="00215B2F">
        <w:rPr>
          <w:rFonts w:ascii="Arial" w:eastAsia="Arial" w:hAnsi="Arial" w:cs="Arial"/>
          <w:sz w:val="20"/>
          <w:szCs w:val="20"/>
        </w:rPr>
        <w:t xml:space="preserve">je obrazloženo oceno sistemske pomembnosti podružnice iz tretje države za </w:t>
      </w:r>
      <w:r w:rsidR="00457862" w:rsidRPr="00215B2F">
        <w:rPr>
          <w:rFonts w:ascii="Arial" w:eastAsia="Arial" w:hAnsi="Arial" w:cs="Arial"/>
          <w:sz w:val="20"/>
          <w:szCs w:val="20"/>
        </w:rPr>
        <w:t>Evropsko u</w:t>
      </w:r>
      <w:r w:rsidRPr="00215B2F">
        <w:rPr>
          <w:rFonts w:ascii="Arial" w:eastAsia="Arial" w:hAnsi="Arial" w:cs="Arial"/>
          <w:sz w:val="20"/>
          <w:szCs w:val="20"/>
        </w:rPr>
        <w:t xml:space="preserve">nijo in to državo članico. Če se Banka Slovenije ne strinja z oceno sistemske pomembnosti podružnice iz tretje države, o tem v </w:t>
      </w:r>
      <w:r w:rsidR="00457862" w:rsidRPr="00215B2F">
        <w:rPr>
          <w:rFonts w:ascii="Arial" w:eastAsia="Arial" w:hAnsi="Arial" w:cs="Arial"/>
          <w:sz w:val="20"/>
          <w:szCs w:val="20"/>
        </w:rPr>
        <w:t xml:space="preserve">desetih </w:t>
      </w:r>
      <w:r w:rsidRPr="00215B2F">
        <w:rPr>
          <w:rFonts w:ascii="Arial" w:eastAsia="Arial" w:hAnsi="Arial" w:cs="Arial"/>
          <w:sz w:val="20"/>
          <w:szCs w:val="20"/>
        </w:rPr>
        <w:t>delovnih dne</w:t>
      </w:r>
      <w:r w:rsidR="00457862" w:rsidRPr="00215B2F">
        <w:rPr>
          <w:rFonts w:ascii="Arial" w:eastAsia="Arial" w:hAnsi="Arial" w:cs="Arial"/>
          <w:sz w:val="20"/>
          <w:szCs w:val="20"/>
        </w:rPr>
        <w:t>h</w:t>
      </w:r>
      <w:r w:rsidRPr="00215B2F">
        <w:rPr>
          <w:rFonts w:ascii="Arial" w:eastAsia="Arial" w:hAnsi="Arial" w:cs="Arial"/>
          <w:sz w:val="20"/>
          <w:szCs w:val="20"/>
        </w:rPr>
        <w:t xml:space="preserve"> od prejema ocene obvesti pristojni organ države članice. Banka Slovenije in pristojni organi si s pomočjo Evropskega bančnega organa po najboljših močeh prizadevajo, da bi najpozneje v treh mesecih od dne, ko je Banka Slovenije izrazila nasprotovanje, dosegli soglasje glede ocene</w:t>
      </w:r>
      <w:r w:rsidR="00457862" w:rsidRPr="00215B2F">
        <w:rPr>
          <w:rFonts w:ascii="Arial" w:eastAsia="Arial" w:hAnsi="Arial" w:cs="Arial"/>
          <w:sz w:val="20"/>
          <w:szCs w:val="20"/>
        </w:rPr>
        <w:t>,</w:t>
      </w:r>
      <w:r w:rsidRPr="00215B2F">
        <w:rPr>
          <w:rFonts w:ascii="Arial" w:eastAsia="Arial" w:hAnsi="Arial" w:cs="Arial"/>
          <w:sz w:val="20"/>
          <w:szCs w:val="20"/>
        </w:rPr>
        <w:t xml:space="preserve"> in kadar je to ustrezno, glede ciljno usmerjenih zahtev iz </w:t>
      </w:r>
      <w:r w:rsidR="0069096E" w:rsidRPr="00215B2F">
        <w:rPr>
          <w:rFonts w:ascii="Arial" w:eastAsia="Arial" w:hAnsi="Arial" w:cs="Arial"/>
          <w:sz w:val="20"/>
          <w:szCs w:val="20"/>
        </w:rPr>
        <w:t>322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oziroma </w:t>
      </w:r>
      <w:r w:rsidR="00827EFA" w:rsidRPr="00215B2F">
        <w:rPr>
          <w:rFonts w:ascii="Arial" w:eastAsia="Arial" w:hAnsi="Arial" w:cs="Arial"/>
          <w:sz w:val="20"/>
          <w:szCs w:val="20"/>
        </w:rPr>
        <w:t xml:space="preserve">četrtega odstavka 48.j </w:t>
      </w:r>
      <w:r w:rsidRPr="00215B2F">
        <w:rPr>
          <w:rFonts w:ascii="Arial" w:eastAsia="Arial" w:hAnsi="Arial" w:cs="Arial"/>
          <w:sz w:val="20"/>
          <w:szCs w:val="20"/>
        </w:rPr>
        <w:t xml:space="preserve">člena Direktive 2013/36/EU. </w:t>
      </w:r>
    </w:p>
    <w:p w14:paraId="2FEC1C0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FFBAA03"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77" w:name="_Ref202967032"/>
      <w:r w:rsidRPr="00215B2F">
        <w:rPr>
          <w:rFonts w:ascii="Arial" w:eastAsia="Arial" w:hAnsi="Arial" w:cs="Arial"/>
          <w:b/>
          <w:bCs/>
          <w:sz w:val="20"/>
          <w:szCs w:val="20"/>
        </w:rPr>
        <w:t>člen</w:t>
      </w:r>
      <w:bookmarkEnd w:id="377"/>
    </w:p>
    <w:p w14:paraId="10492421" w14:textId="77777777" w:rsidR="00D91782" w:rsidRPr="00215B2F" w:rsidRDefault="00D91782" w:rsidP="00FD5520">
      <w:pPr>
        <w:pStyle w:val="Slog1"/>
        <w:shd w:val="clear" w:color="auto" w:fill="FFFFFF" w:themeFill="background1"/>
        <w:rPr>
          <w:sz w:val="20"/>
          <w:szCs w:val="20"/>
        </w:rPr>
      </w:pPr>
      <w:r w:rsidRPr="00215B2F">
        <w:rPr>
          <w:sz w:val="20"/>
          <w:szCs w:val="20"/>
        </w:rPr>
        <w:t>(zahteve za podružnice iz tretjih držav, ki so sistemsko pomembne)</w:t>
      </w:r>
    </w:p>
    <w:p w14:paraId="60FBBD0F" w14:textId="77777777" w:rsidR="00D91782" w:rsidRPr="00215B2F" w:rsidRDefault="00D91782" w:rsidP="00FD5520">
      <w:pPr>
        <w:pStyle w:val="Slog1"/>
        <w:shd w:val="clear" w:color="auto" w:fill="FFFFFF" w:themeFill="background1"/>
        <w:jc w:val="both"/>
        <w:rPr>
          <w:sz w:val="20"/>
          <w:szCs w:val="20"/>
        </w:rPr>
      </w:pPr>
    </w:p>
    <w:p w14:paraId="3490D5B2" w14:textId="6F7B23D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w:t>
      </w:r>
      <w:r w:rsidR="00AF225A" w:rsidRPr="00215B2F">
        <w:rPr>
          <w:rFonts w:ascii="Arial" w:eastAsia="Arial" w:hAnsi="Arial" w:cs="Arial"/>
          <w:sz w:val="20"/>
          <w:szCs w:val="20"/>
        </w:rPr>
        <w:t>je</w:t>
      </w:r>
      <w:r w:rsidRPr="00215B2F">
        <w:rPr>
          <w:rFonts w:ascii="Arial" w:eastAsia="Arial" w:hAnsi="Arial" w:cs="Arial"/>
          <w:sz w:val="20"/>
          <w:szCs w:val="20"/>
        </w:rPr>
        <w:t xml:space="preserve"> lahko, kadar je to primerno za obravnavo ugotovljenih tveganj, za sistemsko pomembne podružnice iz tretje države uvede ciljno usmerjene zahteve, in sicer:</w:t>
      </w:r>
    </w:p>
    <w:p w14:paraId="0BDFEC32"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9CF654D" w14:textId="5597C2E0" w:rsidR="00C316EC" w:rsidRPr="00215B2F" w:rsidRDefault="00D91782" w:rsidP="003D4DE0">
      <w:pPr>
        <w:pStyle w:val="Odstavekseznama"/>
        <w:numPr>
          <w:ilvl w:val="0"/>
          <w:numId w:val="331"/>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da zadevna podružnica iz tretje države svoja sredstva ali dejavnosti prestrukturira tako, da se preneha šteti, da je sistemsko pomembna v skladu </w:t>
      </w:r>
      <w:r w:rsidR="00AF225A" w:rsidRPr="00215B2F">
        <w:rPr>
          <w:rFonts w:ascii="Arial" w:eastAsia="Arial" w:hAnsi="Arial" w:cs="Arial"/>
          <w:sz w:val="20"/>
          <w:szCs w:val="20"/>
        </w:rPr>
        <w:t>s prejšnjim</w:t>
      </w:r>
      <w:r w:rsidRPr="00215B2F">
        <w:rPr>
          <w:rFonts w:ascii="Arial" w:eastAsia="Arial" w:hAnsi="Arial" w:cs="Arial"/>
          <w:sz w:val="20"/>
          <w:szCs w:val="20"/>
        </w:rPr>
        <w:t xml:space="preserve"> členom</w:t>
      </w:r>
      <w:r w:rsidR="00457862" w:rsidRPr="00215B2F">
        <w:rPr>
          <w:rFonts w:ascii="Arial" w:eastAsia="Arial" w:hAnsi="Arial" w:cs="Arial"/>
          <w:sz w:val="20"/>
          <w:szCs w:val="20"/>
        </w:rPr>
        <w:t>,</w:t>
      </w:r>
      <w:r w:rsidRPr="00215B2F">
        <w:rPr>
          <w:rFonts w:ascii="Arial" w:eastAsia="Arial" w:hAnsi="Arial" w:cs="Arial"/>
          <w:sz w:val="20"/>
          <w:szCs w:val="20"/>
        </w:rPr>
        <w:t xml:space="preserve"> ali da ne pomeni več nepotrebnega tveganja za finančno stabilnost </w:t>
      </w:r>
      <w:r w:rsidR="00457862" w:rsidRPr="00215B2F">
        <w:rPr>
          <w:rFonts w:ascii="Arial" w:eastAsia="Arial" w:hAnsi="Arial" w:cs="Arial"/>
          <w:sz w:val="20"/>
          <w:szCs w:val="20"/>
        </w:rPr>
        <w:t>Evropske u</w:t>
      </w:r>
      <w:r w:rsidRPr="00215B2F">
        <w:rPr>
          <w:rFonts w:ascii="Arial" w:eastAsia="Arial" w:hAnsi="Arial" w:cs="Arial"/>
          <w:sz w:val="20"/>
          <w:szCs w:val="20"/>
        </w:rPr>
        <w:t>nije ali Republike Slovenije, ali</w:t>
      </w:r>
    </w:p>
    <w:p w14:paraId="7360DCA8" w14:textId="0E6CAA56" w:rsidR="00D91782" w:rsidRPr="00215B2F" w:rsidRDefault="00D91782" w:rsidP="003D4DE0">
      <w:pPr>
        <w:pStyle w:val="Odstavekseznama"/>
        <w:numPr>
          <w:ilvl w:val="0"/>
          <w:numId w:val="331"/>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dodatne bonitetne zahteve.</w:t>
      </w:r>
    </w:p>
    <w:p w14:paraId="65FDFB8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BA897C1" w14:textId="1931999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(2) Če Banka Slovenije odloči, da zoper sistemsko pomembno podružnic</w:t>
      </w:r>
      <w:r w:rsidR="00457862" w:rsidRPr="00215B2F">
        <w:rPr>
          <w:rFonts w:ascii="Arial" w:eastAsia="Arial" w:hAnsi="Arial" w:cs="Arial"/>
          <w:sz w:val="20"/>
          <w:szCs w:val="20"/>
        </w:rPr>
        <w:t>o</w:t>
      </w:r>
      <w:r w:rsidRPr="00215B2F">
        <w:rPr>
          <w:rFonts w:ascii="Arial" w:eastAsia="Arial" w:hAnsi="Arial" w:cs="Arial"/>
          <w:sz w:val="20"/>
          <w:szCs w:val="20"/>
        </w:rPr>
        <w:t xml:space="preserve"> iz tretje države ne bo uveljavljala nobene od zahtev iz točke a) prejšnjega odstavka ali iz </w:t>
      </w:r>
      <w:r w:rsidR="0069096E" w:rsidRPr="00215B2F">
        <w:rPr>
          <w:rFonts w:ascii="Arial" w:eastAsia="Arial" w:hAnsi="Arial" w:cs="Arial"/>
          <w:sz w:val="20"/>
          <w:szCs w:val="20"/>
        </w:rPr>
        <w:t>320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predloži Evropskemu bančnemu organu in pristojnim organom držav članic, v katerih je zadevna skupina iz tretje države ustanovila druge podružnice iz tretjih držav ali podrejene institucije, utemeljeno uradno obvestilo o razlogih, zakaj teh zahtev ne bo uveljavljala.</w:t>
      </w:r>
    </w:p>
    <w:p w14:paraId="6DD2BC2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8ED36D6" w14:textId="28DEF77C" w:rsidR="00D91782" w:rsidRPr="00215B2F" w:rsidRDefault="000A76F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9</w:t>
      </w:r>
      <w:r w:rsidR="00D91782" w:rsidRPr="00215B2F">
        <w:rPr>
          <w:rFonts w:ascii="Arial" w:eastAsia="Arial" w:hAnsi="Arial" w:cs="Arial"/>
          <w:i/>
          <w:iCs/>
          <w:sz w:val="20"/>
          <w:szCs w:val="20"/>
        </w:rPr>
        <w:t>.2.3 Zahteve glede poročanja podružnic iz tretjih držav</w:t>
      </w:r>
    </w:p>
    <w:p w14:paraId="4F5D99D7"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4E3AEBC"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78" w:name="_Ref202967035"/>
      <w:r w:rsidRPr="00215B2F">
        <w:rPr>
          <w:rFonts w:ascii="Arial" w:eastAsia="Arial" w:hAnsi="Arial" w:cs="Arial"/>
          <w:b/>
          <w:bCs/>
          <w:sz w:val="20"/>
          <w:szCs w:val="20"/>
        </w:rPr>
        <w:t>člen</w:t>
      </w:r>
      <w:bookmarkEnd w:id="378"/>
    </w:p>
    <w:p w14:paraId="23FC4F83" w14:textId="77777777" w:rsidR="00D91782" w:rsidRPr="00215B2F" w:rsidRDefault="00D91782" w:rsidP="00FD5520">
      <w:pPr>
        <w:pStyle w:val="Slog1"/>
        <w:shd w:val="clear" w:color="auto" w:fill="FFFFFF" w:themeFill="background1"/>
        <w:rPr>
          <w:sz w:val="20"/>
          <w:szCs w:val="20"/>
        </w:rPr>
      </w:pPr>
      <w:r w:rsidRPr="00215B2F">
        <w:rPr>
          <w:sz w:val="20"/>
          <w:szCs w:val="20"/>
        </w:rPr>
        <w:t>(regulativne in finančne informacije o podružnicah iz tretjih držav in matični družbi)</w:t>
      </w:r>
    </w:p>
    <w:p w14:paraId="2183236B" w14:textId="77777777" w:rsidR="00D91782" w:rsidRPr="00215B2F" w:rsidRDefault="00D91782" w:rsidP="00FD5520">
      <w:pPr>
        <w:pStyle w:val="Slog1"/>
        <w:shd w:val="clear" w:color="auto" w:fill="FFFFFF" w:themeFill="background1"/>
        <w:jc w:val="both"/>
        <w:rPr>
          <w:sz w:val="20"/>
          <w:szCs w:val="20"/>
        </w:rPr>
      </w:pPr>
    </w:p>
    <w:p w14:paraId="3EF276A5" w14:textId="1EDF2DD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Podružnice iz tretjih držav Banki Slovenije redno poročajo o:</w:t>
      </w:r>
    </w:p>
    <w:p w14:paraId="6DDBDEC7"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6BE694F" w14:textId="72EEA370" w:rsidR="00D91782" w:rsidRPr="00215B2F" w:rsidRDefault="00D91782" w:rsidP="003D4DE0">
      <w:pPr>
        <w:pStyle w:val="Odstavekseznama"/>
        <w:numPr>
          <w:ilvl w:val="0"/>
          <w:numId w:val="33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sredstvih in obveznostih, ki jih imajo v svojih knjigah v skladu </w:t>
      </w:r>
      <w:r w:rsidR="00B64279" w:rsidRPr="00215B2F">
        <w:rPr>
          <w:rFonts w:ascii="Arial" w:eastAsia="Arial" w:hAnsi="Arial" w:cs="Arial"/>
          <w:sz w:val="20"/>
          <w:szCs w:val="20"/>
        </w:rPr>
        <w:t xml:space="preserve">s </w:t>
      </w:r>
      <w:r w:rsidR="0069096E" w:rsidRPr="00215B2F">
        <w:rPr>
          <w:rFonts w:ascii="Arial" w:eastAsia="Arial" w:hAnsi="Arial" w:cs="Arial"/>
          <w:sz w:val="20"/>
          <w:szCs w:val="20"/>
        </w:rPr>
        <w:t>319</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ter sredstvih in obveznostih, ki izvirajo iz podružnic iz tretjih držav, z razčlenitvijo, ki prikazuje:</w:t>
      </w:r>
    </w:p>
    <w:p w14:paraId="77F71D5F" w14:textId="77777777" w:rsidR="00483313"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največja evidentirana sredstva in obveznosti, razvrščene po sektorjih in vrstah nasprotne stranke, vključno zlasti z izpostavljenostmi finančnemu sektorju;</w:t>
      </w:r>
    </w:p>
    <w:p w14:paraId="52E836DF" w14:textId="77777777" w:rsidR="00483313"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znatno koncentracijo izpostavljenosti in virov financiranja v zvezi z določenimi vrstami nasprotnih strank;</w:t>
      </w:r>
    </w:p>
    <w:p w14:paraId="23F52D78" w14:textId="36F793A7"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pomembne notranje transakcije z matično družbo in člani skupine matične družbe;</w:t>
      </w:r>
    </w:p>
    <w:p w14:paraId="7E790C35" w14:textId="77777777" w:rsidR="00C316EC" w:rsidRPr="00215B2F" w:rsidRDefault="00D91782" w:rsidP="003D4DE0">
      <w:pPr>
        <w:pStyle w:val="Odstavekseznama"/>
        <w:numPr>
          <w:ilvl w:val="0"/>
          <w:numId w:val="33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skladnosti podružnic iz tretjih držav z zahtevami, ki veljajo zanje na podlagi tega zakona;</w:t>
      </w:r>
    </w:p>
    <w:p w14:paraId="027D73F0" w14:textId="2D751FCF" w:rsidR="00C316EC" w:rsidRPr="00215B2F" w:rsidRDefault="00D91782" w:rsidP="003D4DE0">
      <w:pPr>
        <w:pStyle w:val="Odstavekseznama"/>
        <w:numPr>
          <w:ilvl w:val="0"/>
          <w:numId w:val="33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o ureditvah v zvezi z jamstvi za vloge, ki so na voljo vlagateljem v podružnicah iz tretjih držav v skladu z zakonom, ki ureja sistem jamstva za vloge</w:t>
      </w:r>
      <w:r w:rsidR="00B64279" w:rsidRPr="00215B2F">
        <w:rPr>
          <w:rFonts w:ascii="Arial" w:eastAsia="Arial" w:hAnsi="Arial" w:cs="Arial"/>
          <w:sz w:val="20"/>
          <w:szCs w:val="20"/>
        </w:rPr>
        <w:t>,</w:t>
      </w:r>
      <w:r w:rsidRPr="00215B2F">
        <w:rPr>
          <w:rFonts w:ascii="Arial" w:eastAsia="Arial" w:hAnsi="Arial" w:cs="Arial"/>
          <w:sz w:val="20"/>
          <w:szCs w:val="20"/>
        </w:rPr>
        <w:t xml:space="preserve"> in </w:t>
      </w:r>
      <w:r w:rsidR="00B64279" w:rsidRPr="00215B2F">
        <w:rPr>
          <w:rFonts w:ascii="Arial" w:eastAsia="Arial" w:hAnsi="Arial" w:cs="Arial"/>
          <w:sz w:val="20"/>
          <w:szCs w:val="20"/>
        </w:rPr>
        <w:t xml:space="preserve">o </w:t>
      </w:r>
      <w:r w:rsidRPr="00215B2F">
        <w:rPr>
          <w:rFonts w:ascii="Arial" w:eastAsia="Arial" w:hAnsi="Arial" w:cs="Arial"/>
          <w:sz w:val="20"/>
          <w:szCs w:val="20"/>
        </w:rPr>
        <w:t>vsaki spremembi v zvezi s tem;</w:t>
      </w:r>
    </w:p>
    <w:p w14:paraId="47F22AAE" w14:textId="18EDDB18" w:rsidR="00D91782" w:rsidRPr="00215B2F" w:rsidRDefault="0061405D" w:rsidP="0061405D">
      <w:p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č)   </w:t>
      </w:r>
      <w:r w:rsidR="00D91782" w:rsidRPr="00215B2F">
        <w:rPr>
          <w:rFonts w:ascii="Arial" w:eastAsia="Arial" w:hAnsi="Arial" w:cs="Arial"/>
          <w:sz w:val="20"/>
          <w:szCs w:val="20"/>
        </w:rPr>
        <w:t xml:space="preserve">dodatnih regulativnih zahtevah, ki veljajo za podružnice iz tretjih držav v skladu s tem zakonom. </w:t>
      </w:r>
    </w:p>
    <w:p w14:paraId="305C434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5BE70A0" w14:textId="6C0B932A" w:rsidR="00CF1A9D" w:rsidRPr="00215B2F" w:rsidRDefault="00D91782" w:rsidP="00CF1A9D">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Za namene poročanja o sredstvih in obveznostih v svojih knjigah v skladu s točko a) </w:t>
      </w:r>
      <w:r w:rsidR="00AF225A" w:rsidRPr="00215B2F">
        <w:rPr>
          <w:rFonts w:ascii="Arial" w:eastAsia="Arial" w:hAnsi="Arial" w:cs="Arial"/>
          <w:sz w:val="20"/>
          <w:szCs w:val="20"/>
        </w:rPr>
        <w:t xml:space="preserve">prejšnjega </w:t>
      </w:r>
      <w:r w:rsidR="00746E88" w:rsidRPr="00215B2F">
        <w:rPr>
          <w:rFonts w:ascii="Arial" w:eastAsia="Arial" w:hAnsi="Arial" w:cs="Arial"/>
          <w:sz w:val="20"/>
          <w:szCs w:val="20"/>
        </w:rPr>
        <w:t>odstavka</w:t>
      </w:r>
      <w:r w:rsidRPr="00215B2F">
        <w:rPr>
          <w:rFonts w:ascii="Arial" w:eastAsia="Arial" w:hAnsi="Arial" w:cs="Arial"/>
          <w:sz w:val="20"/>
          <w:szCs w:val="20"/>
        </w:rPr>
        <w:t xml:space="preserve"> podružnice iz tretjih držav uporabljajo </w:t>
      </w:r>
      <w:r w:rsidR="000C53AF" w:rsidRPr="00215B2F">
        <w:rPr>
          <w:rFonts w:ascii="Arial" w:eastAsia="Arial" w:hAnsi="Arial" w:cs="Arial"/>
          <w:sz w:val="20"/>
          <w:szCs w:val="20"/>
        </w:rPr>
        <w:t>MSRP</w:t>
      </w:r>
      <w:r w:rsidR="00CF1A9D" w:rsidRPr="00215B2F">
        <w:rPr>
          <w:rFonts w:ascii="Arial" w:eastAsia="Arial" w:hAnsi="Arial" w:cs="Arial"/>
          <w:sz w:val="20"/>
          <w:szCs w:val="20"/>
        </w:rPr>
        <w:t>.</w:t>
      </w:r>
    </w:p>
    <w:p w14:paraId="06E8C59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AEFE59A" w14:textId="26452BD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Podružnice iz tretjih držav Banki Slovenije redno </w:t>
      </w:r>
      <w:r w:rsidR="005A5AC9" w:rsidRPr="00215B2F">
        <w:rPr>
          <w:rFonts w:ascii="Arial" w:eastAsia="Arial" w:hAnsi="Arial" w:cs="Arial"/>
          <w:sz w:val="20"/>
          <w:szCs w:val="20"/>
        </w:rPr>
        <w:t>s</w:t>
      </w:r>
      <w:r w:rsidRPr="00215B2F">
        <w:rPr>
          <w:rFonts w:ascii="Arial" w:eastAsia="Arial" w:hAnsi="Arial" w:cs="Arial"/>
          <w:sz w:val="20"/>
          <w:szCs w:val="20"/>
        </w:rPr>
        <w:t>poročajo naslednje informacije o svoji matični družbi:</w:t>
      </w:r>
    </w:p>
    <w:p w14:paraId="0E9E9EFB"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2C4E6F4F" w14:textId="3A4BBE80" w:rsidR="00C316EC" w:rsidRPr="00215B2F" w:rsidRDefault="00D91782" w:rsidP="003D4DE0">
      <w:pPr>
        <w:pStyle w:val="Odstavekseznama"/>
        <w:numPr>
          <w:ilvl w:val="0"/>
          <w:numId w:val="333"/>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zbirne informacije o sredstvih in obveznostih, ki jih imajo ali jih knjižijo podrejene družbe oziroma druge podružnice iz tretjih držav skupine te matične družbe v </w:t>
      </w:r>
      <w:r w:rsidR="00842223" w:rsidRPr="00215B2F">
        <w:rPr>
          <w:rFonts w:ascii="Arial" w:eastAsia="Arial" w:hAnsi="Arial" w:cs="Arial"/>
          <w:sz w:val="20"/>
          <w:szCs w:val="20"/>
        </w:rPr>
        <w:t>Evropski u</w:t>
      </w:r>
      <w:r w:rsidRPr="00215B2F">
        <w:rPr>
          <w:rFonts w:ascii="Arial" w:eastAsia="Arial" w:hAnsi="Arial" w:cs="Arial"/>
          <w:sz w:val="20"/>
          <w:szCs w:val="20"/>
        </w:rPr>
        <w:t>niji;</w:t>
      </w:r>
    </w:p>
    <w:p w14:paraId="03D48E8F" w14:textId="59FEA30D" w:rsidR="00C316EC" w:rsidRPr="00215B2F" w:rsidRDefault="00842223" w:rsidP="003D4DE0">
      <w:pPr>
        <w:pStyle w:val="Odstavekseznama"/>
        <w:numPr>
          <w:ilvl w:val="0"/>
          <w:numId w:val="333"/>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informacije o </w:t>
      </w:r>
      <w:r w:rsidR="00D91782" w:rsidRPr="00215B2F">
        <w:rPr>
          <w:rFonts w:ascii="Arial" w:eastAsia="Arial" w:hAnsi="Arial" w:cs="Arial"/>
          <w:sz w:val="20"/>
          <w:szCs w:val="20"/>
        </w:rPr>
        <w:t>skladnost</w:t>
      </w:r>
      <w:r w:rsidRPr="00215B2F">
        <w:rPr>
          <w:rFonts w:ascii="Arial" w:eastAsia="Arial" w:hAnsi="Arial" w:cs="Arial"/>
          <w:sz w:val="20"/>
          <w:szCs w:val="20"/>
        </w:rPr>
        <w:t>i</w:t>
      </w:r>
      <w:r w:rsidR="00D91782" w:rsidRPr="00215B2F">
        <w:rPr>
          <w:rFonts w:ascii="Arial" w:eastAsia="Arial" w:hAnsi="Arial" w:cs="Arial"/>
          <w:sz w:val="20"/>
          <w:szCs w:val="20"/>
        </w:rPr>
        <w:t xml:space="preserve"> matične družbe z veljavnimi bonitetnimi zahtevami na posamični in konsolidirani podlagi;</w:t>
      </w:r>
    </w:p>
    <w:p w14:paraId="5E7D2396" w14:textId="6E85660B" w:rsidR="00C316EC" w:rsidRPr="00215B2F" w:rsidRDefault="00D91782" w:rsidP="003D4DE0">
      <w:pPr>
        <w:pStyle w:val="Odstavekseznama"/>
        <w:numPr>
          <w:ilvl w:val="0"/>
          <w:numId w:val="333"/>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informacije o pomembnih nadzorniških pregledih in ocenah, kadar se ti izvajajo v zvezi z matično družbo</w:t>
      </w:r>
      <w:r w:rsidR="00842223" w:rsidRPr="00215B2F">
        <w:rPr>
          <w:rFonts w:ascii="Arial" w:eastAsia="Arial" w:hAnsi="Arial" w:cs="Arial"/>
          <w:sz w:val="20"/>
          <w:szCs w:val="20"/>
        </w:rPr>
        <w:t>,</w:t>
      </w:r>
      <w:r w:rsidRPr="00215B2F">
        <w:rPr>
          <w:rFonts w:ascii="Arial" w:eastAsia="Arial" w:hAnsi="Arial" w:cs="Arial"/>
          <w:sz w:val="20"/>
          <w:szCs w:val="20"/>
        </w:rPr>
        <w:t xml:space="preserve"> in nadzorniške odločitve;</w:t>
      </w:r>
    </w:p>
    <w:p w14:paraId="0E5AE06D" w14:textId="4952A43F" w:rsidR="0061405D" w:rsidRPr="00215B2F" w:rsidRDefault="0061405D" w:rsidP="0061405D">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č)    </w:t>
      </w:r>
      <w:r w:rsidR="00D91782" w:rsidRPr="00215B2F">
        <w:rPr>
          <w:rFonts w:ascii="Arial" w:eastAsia="Arial" w:hAnsi="Arial" w:cs="Arial"/>
          <w:sz w:val="20"/>
          <w:szCs w:val="20"/>
        </w:rPr>
        <w:t xml:space="preserve">načrte sanacije matične družbe in </w:t>
      </w:r>
      <w:r w:rsidR="00842223" w:rsidRPr="00215B2F">
        <w:rPr>
          <w:rFonts w:ascii="Arial" w:eastAsia="Arial" w:hAnsi="Arial" w:cs="Arial"/>
          <w:sz w:val="20"/>
          <w:szCs w:val="20"/>
        </w:rPr>
        <w:t xml:space="preserve">informacije o </w:t>
      </w:r>
      <w:r w:rsidR="00D91782" w:rsidRPr="00215B2F">
        <w:rPr>
          <w:rFonts w:ascii="Arial" w:eastAsia="Arial" w:hAnsi="Arial" w:cs="Arial"/>
          <w:sz w:val="20"/>
          <w:szCs w:val="20"/>
        </w:rPr>
        <w:t>posebn</w:t>
      </w:r>
      <w:r w:rsidR="00842223" w:rsidRPr="00215B2F">
        <w:rPr>
          <w:rFonts w:ascii="Arial" w:eastAsia="Arial" w:hAnsi="Arial" w:cs="Arial"/>
          <w:sz w:val="20"/>
          <w:szCs w:val="20"/>
        </w:rPr>
        <w:t>ih</w:t>
      </w:r>
      <w:r w:rsidR="00D91782" w:rsidRPr="00215B2F">
        <w:rPr>
          <w:rFonts w:ascii="Arial" w:eastAsia="Arial" w:hAnsi="Arial" w:cs="Arial"/>
          <w:sz w:val="20"/>
          <w:szCs w:val="20"/>
        </w:rPr>
        <w:t xml:space="preserve"> ukrep</w:t>
      </w:r>
      <w:r w:rsidR="00842223" w:rsidRPr="00215B2F">
        <w:rPr>
          <w:rFonts w:ascii="Arial" w:eastAsia="Arial" w:hAnsi="Arial" w:cs="Arial"/>
          <w:sz w:val="20"/>
          <w:szCs w:val="20"/>
        </w:rPr>
        <w:t>ih</w:t>
      </w:r>
      <w:r w:rsidR="00D91782" w:rsidRPr="00215B2F">
        <w:rPr>
          <w:rFonts w:ascii="Arial" w:eastAsia="Arial" w:hAnsi="Arial" w:cs="Arial"/>
          <w:sz w:val="20"/>
          <w:szCs w:val="20"/>
        </w:rPr>
        <w:t xml:space="preserve">, ki bi lahko bili sprejeti za </w:t>
      </w:r>
    </w:p>
    <w:p w14:paraId="77741C8B" w14:textId="71466A53" w:rsidR="0061405D" w:rsidRPr="00215B2F" w:rsidRDefault="0061405D" w:rsidP="0061405D">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       </w:t>
      </w:r>
      <w:r w:rsidR="00D91782" w:rsidRPr="00215B2F">
        <w:rPr>
          <w:rFonts w:ascii="Arial" w:eastAsia="Arial" w:hAnsi="Arial" w:cs="Arial"/>
          <w:sz w:val="20"/>
          <w:szCs w:val="20"/>
        </w:rPr>
        <w:t xml:space="preserve">podružnice iz tretjih držav v skladu z navedenimi načrti, ter </w:t>
      </w:r>
      <w:r w:rsidR="00842223" w:rsidRPr="00215B2F">
        <w:rPr>
          <w:rFonts w:ascii="Arial" w:eastAsia="Arial" w:hAnsi="Arial" w:cs="Arial"/>
          <w:sz w:val="20"/>
          <w:szCs w:val="20"/>
        </w:rPr>
        <w:t xml:space="preserve">o </w:t>
      </w:r>
      <w:r w:rsidR="00D91782" w:rsidRPr="00215B2F">
        <w:rPr>
          <w:rFonts w:ascii="Arial" w:eastAsia="Arial" w:hAnsi="Arial" w:cs="Arial"/>
          <w:sz w:val="20"/>
          <w:szCs w:val="20"/>
        </w:rPr>
        <w:t>vse</w:t>
      </w:r>
      <w:r w:rsidR="00842223" w:rsidRPr="00215B2F">
        <w:rPr>
          <w:rFonts w:ascii="Arial" w:eastAsia="Arial" w:hAnsi="Arial" w:cs="Arial"/>
          <w:sz w:val="20"/>
          <w:szCs w:val="20"/>
        </w:rPr>
        <w:t>h</w:t>
      </w:r>
      <w:r w:rsidR="00D91782" w:rsidRPr="00215B2F">
        <w:rPr>
          <w:rFonts w:ascii="Arial" w:eastAsia="Arial" w:hAnsi="Arial" w:cs="Arial"/>
          <w:sz w:val="20"/>
          <w:szCs w:val="20"/>
        </w:rPr>
        <w:t xml:space="preserve"> poznejš</w:t>
      </w:r>
      <w:r w:rsidR="00842223" w:rsidRPr="00215B2F">
        <w:rPr>
          <w:rFonts w:ascii="Arial" w:eastAsia="Arial" w:hAnsi="Arial" w:cs="Arial"/>
          <w:sz w:val="20"/>
          <w:szCs w:val="20"/>
        </w:rPr>
        <w:t>ih</w:t>
      </w:r>
      <w:r w:rsidR="00D91782" w:rsidRPr="00215B2F">
        <w:rPr>
          <w:rFonts w:ascii="Arial" w:eastAsia="Arial" w:hAnsi="Arial" w:cs="Arial"/>
          <w:sz w:val="20"/>
          <w:szCs w:val="20"/>
        </w:rPr>
        <w:t xml:space="preserve"> posodobitv</w:t>
      </w:r>
      <w:r w:rsidR="00842223" w:rsidRPr="00215B2F">
        <w:rPr>
          <w:rFonts w:ascii="Arial" w:eastAsia="Arial" w:hAnsi="Arial" w:cs="Arial"/>
          <w:sz w:val="20"/>
          <w:szCs w:val="20"/>
        </w:rPr>
        <w:t>ah</w:t>
      </w:r>
      <w:r w:rsidR="00D91782" w:rsidRPr="00215B2F">
        <w:rPr>
          <w:rFonts w:ascii="Arial" w:eastAsia="Arial" w:hAnsi="Arial" w:cs="Arial"/>
          <w:sz w:val="20"/>
          <w:szCs w:val="20"/>
        </w:rPr>
        <w:t xml:space="preserve"> in </w:t>
      </w:r>
      <w:r w:rsidRPr="00215B2F">
        <w:rPr>
          <w:rFonts w:ascii="Arial" w:eastAsia="Arial" w:hAnsi="Arial" w:cs="Arial"/>
          <w:sz w:val="20"/>
          <w:szCs w:val="20"/>
        </w:rPr>
        <w:t xml:space="preserve"> </w:t>
      </w:r>
    </w:p>
    <w:p w14:paraId="3282A5AF" w14:textId="754E16C6" w:rsidR="00C316EC" w:rsidRPr="00215B2F" w:rsidRDefault="0061405D" w:rsidP="0061405D">
      <w:p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       </w:t>
      </w:r>
      <w:r w:rsidR="00D91782" w:rsidRPr="00215B2F">
        <w:rPr>
          <w:rFonts w:ascii="Arial" w:eastAsia="Arial" w:hAnsi="Arial" w:cs="Arial"/>
          <w:sz w:val="20"/>
          <w:szCs w:val="20"/>
        </w:rPr>
        <w:t>sprememb</w:t>
      </w:r>
      <w:r w:rsidR="00842223" w:rsidRPr="00215B2F">
        <w:rPr>
          <w:rFonts w:ascii="Arial" w:eastAsia="Arial" w:hAnsi="Arial" w:cs="Arial"/>
          <w:sz w:val="20"/>
          <w:szCs w:val="20"/>
        </w:rPr>
        <w:t>ah</w:t>
      </w:r>
      <w:r w:rsidR="00D91782" w:rsidRPr="00215B2F">
        <w:rPr>
          <w:rFonts w:ascii="Arial" w:eastAsia="Arial" w:hAnsi="Arial" w:cs="Arial"/>
          <w:sz w:val="20"/>
          <w:szCs w:val="20"/>
        </w:rPr>
        <w:t xml:space="preserve"> teh načrtov;</w:t>
      </w:r>
    </w:p>
    <w:p w14:paraId="7F2D73FF" w14:textId="77777777" w:rsidR="00C316EC" w:rsidRPr="00215B2F" w:rsidRDefault="00D91782" w:rsidP="003D4DE0">
      <w:pPr>
        <w:pStyle w:val="Odstavekseznama"/>
        <w:numPr>
          <w:ilvl w:val="0"/>
          <w:numId w:val="333"/>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poslovno strategijo matične družbe v zvezi s podružnicami iz tretjih držav in vse naknadne spremembe te strategije;</w:t>
      </w:r>
    </w:p>
    <w:p w14:paraId="7B781846" w14:textId="0D443124" w:rsidR="00D91782" w:rsidRPr="00215B2F" w:rsidRDefault="00842223" w:rsidP="003D4DE0">
      <w:pPr>
        <w:pStyle w:val="Odstavekseznama"/>
        <w:numPr>
          <w:ilvl w:val="0"/>
          <w:numId w:val="333"/>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informacije o </w:t>
      </w:r>
      <w:r w:rsidR="00D91782" w:rsidRPr="00215B2F">
        <w:rPr>
          <w:rFonts w:ascii="Arial" w:eastAsia="Arial" w:hAnsi="Arial" w:cs="Arial"/>
          <w:sz w:val="20"/>
          <w:szCs w:val="20"/>
        </w:rPr>
        <w:t>storitv</w:t>
      </w:r>
      <w:r w:rsidRPr="00215B2F">
        <w:rPr>
          <w:rFonts w:ascii="Arial" w:eastAsia="Arial" w:hAnsi="Arial" w:cs="Arial"/>
          <w:sz w:val="20"/>
          <w:szCs w:val="20"/>
        </w:rPr>
        <w:t>ah</w:t>
      </w:r>
      <w:r w:rsidR="00D91782" w:rsidRPr="00215B2F">
        <w:rPr>
          <w:rFonts w:ascii="Arial" w:eastAsia="Arial" w:hAnsi="Arial" w:cs="Arial"/>
          <w:sz w:val="20"/>
          <w:szCs w:val="20"/>
        </w:rPr>
        <w:t xml:space="preserve">, ki jih matična družba opravlja za stranke, ki imajo sedež ali so v </w:t>
      </w:r>
      <w:r w:rsidRPr="00215B2F">
        <w:rPr>
          <w:rFonts w:ascii="Arial" w:eastAsia="Arial" w:hAnsi="Arial" w:cs="Arial"/>
          <w:sz w:val="20"/>
          <w:szCs w:val="20"/>
        </w:rPr>
        <w:t>Evropski u</w:t>
      </w:r>
      <w:r w:rsidR="00D91782" w:rsidRPr="00215B2F">
        <w:rPr>
          <w:rFonts w:ascii="Arial" w:eastAsia="Arial" w:hAnsi="Arial" w:cs="Arial"/>
          <w:sz w:val="20"/>
          <w:szCs w:val="20"/>
        </w:rPr>
        <w:t xml:space="preserve">niji, na podlagi povpraševanja po storitvah na lastno pobudo v skladu s točko a) drugega odstavka </w:t>
      </w:r>
      <w:r w:rsidR="00FA74E6" w:rsidRPr="00215B2F">
        <w:rPr>
          <w:rFonts w:ascii="Arial" w:eastAsia="Arial" w:hAnsi="Arial" w:cs="Arial"/>
          <w:sz w:val="20"/>
          <w:szCs w:val="20"/>
        </w:rPr>
        <w:t>168</w:t>
      </w:r>
      <w:r w:rsidR="00D91782"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00D91782" w:rsidRPr="00215B2F">
        <w:rPr>
          <w:rFonts w:ascii="Arial" w:eastAsia="Arial" w:hAnsi="Arial" w:cs="Arial"/>
          <w:sz w:val="20"/>
          <w:szCs w:val="20"/>
        </w:rPr>
        <w:t xml:space="preserve">. </w:t>
      </w:r>
    </w:p>
    <w:p w14:paraId="49481E0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EB4E242" w14:textId="0C1DFD2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Ne glede na obveznost rednega poročanja v skladu s tem členom lahko Banka Slovenije uvede dodatne zahteve glede poročanja za podružnice iz tretjih držav, če meni, da so dodatne informacije potrebne za celovit</w:t>
      </w:r>
      <w:r w:rsidR="00842223" w:rsidRPr="00215B2F">
        <w:rPr>
          <w:rFonts w:ascii="Arial" w:eastAsia="Arial" w:hAnsi="Arial" w:cs="Arial"/>
          <w:sz w:val="20"/>
          <w:szCs w:val="20"/>
        </w:rPr>
        <w:t>i</w:t>
      </w:r>
      <w:r w:rsidRPr="00215B2F">
        <w:rPr>
          <w:rFonts w:ascii="Arial" w:eastAsia="Arial" w:hAnsi="Arial" w:cs="Arial"/>
          <w:sz w:val="20"/>
          <w:szCs w:val="20"/>
        </w:rPr>
        <w:t xml:space="preserve"> pregled poslovanja, dejavnosti ali finančne trdnosti podružnic iz tretjih držav ali njihove matične družbe, za preverjanje skladnosti podružnic iz tretjih držav in njihove matične družbe z veljavnim pravom ter za zagotavljanje skladnosti podružnic iz tretjih držav z navedenim pravom.</w:t>
      </w:r>
    </w:p>
    <w:p w14:paraId="2C58F78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C1C280A"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79" w:name="_Ref202967046"/>
      <w:r w:rsidRPr="00215B2F">
        <w:rPr>
          <w:rFonts w:ascii="Arial" w:eastAsia="Arial" w:hAnsi="Arial" w:cs="Arial"/>
          <w:b/>
          <w:bCs/>
          <w:sz w:val="20"/>
          <w:szCs w:val="20"/>
        </w:rPr>
        <w:t>člen</w:t>
      </w:r>
      <w:bookmarkEnd w:id="379"/>
    </w:p>
    <w:p w14:paraId="196D1463" w14:textId="77777777" w:rsidR="00D91782" w:rsidRPr="00215B2F" w:rsidRDefault="00D91782" w:rsidP="00FD5520">
      <w:pPr>
        <w:pStyle w:val="Slog1"/>
        <w:shd w:val="clear" w:color="auto" w:fill="FFFFFF" w:themeFill="background1"/>
        <w:rPr>
          <w:sz w:val="20"/>
          <w:szCs w:val="20"/>
        </w:rPr>
      </w:pPr>
      <w:r w:rsidRPr="00215B2F">
        <w:rPr>
          <w:sz w:val="20"/>
          <w:szCs w:val="20"/>
        </w:rPr>
        <w:t>(pogostost poročanja)</w:t>
      </w:r>
    </w:p>
    <w:p w14:paraId="08B3D490" w14:textId="77777777" w:rsidR="00D91782" w:rsidRPr="00215B2F" w:rsidRDefault="00D91782" w:rsidP="00FD5520">
      <w:pPr>
        <w:pStyle w:val="Slog1"/>
        <w:shd w:val="clear" w:color="auto" w:fill="FFFFFF" w:themeFill="background1"/>
        <w:jc w:val="both"/>
        <w:rPr>
          <w:sz w:val="20"/>
          <w:szCs w:val="20"/>
        </w:rPr>
      </w:pPr>
    </w:p>
    <w:p w14:paraId="75EE4D6F" w14:textId="166E11E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Regulativne in finančne informacije iz </w:t>
      </w:r>
      <w:r w:rsidR="007E3553"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člena</w:t>
      </w:r>
      <w:r w:rsidRPr="00215B2F">
        <w:rPr>
          <w:rFonts w:ascii="Arial" w:eastAsia="Arial" w:hAnsi="Arial" w:cs="Arial"/>
          <w:sz w:val="20"/>
          <w:szCs w:val="20"/>
        </w:rPr>
        <w:t xml:space="preserve"> podružnice iz tretjih držav razreda 1 </w:t>
      </w:r>
      <w:r w:rsidR="00842223" w:rsidRPr="00215B2F">
        <w:rPr>
          <w:rFonts w:ascii="Arial" w:eastAsia="Arial" w:hAnsi="Arial" w:cs="Arial"/>
          <w:sz w:val="20"/>
          <w:szCs w:val="20"/>
        </w:rPr>
        <w:t>s</w:t>
      </w:r>
      <w:r w:rsidRPr="00215B2F">
        <w:rPr>
          <w:rFonts w:ascii="Arial" w:eastAsia="Arial" w:hAnsi="Arial" w:cs="Arial"/>
          <w:sz w:val="20"/>
          <w:szCs w:val="20"/>
        </w:rPr>
        <w:t xml:space="preserve">poročajo Banki Slovenije vsaj dvakrat letno, podružnice iz tretjih držav razreda 2 pa vsaj enkrat letno. </w:t>
      </w:r>
    </w:p>
    <w:p w14:paraId="521D933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3A54A12" w14:textId="711381D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(2) Banka Slovenije lahko opusti vse zahteve ali del zahtev za </w:t>
      </w:r>
      <w:r w:rsidR="00842223" w:rsidRPr="00215B2F">
        <w:rPr>
          <w:rFonts w:ascii="Arial" w:eastAsia="Arial" w:hAnsi="Arial" w:cs="Arial"/>
          <w:sz w:val="20"/>
          <w:szCs w:val="20"/>
        </w:rPr>
        <w:t>s</w:t>
      </w:r>
      <w:r w:rsidRPr="00215B2F">
        <w:rPr>
          <w:rFonts w:ascii="Arial" w:eastAsia="Arial" w:hAnsi="Arial" w:cs="Arial"/>
          <w:sz w:val="20"/>
          <w:szCs w:val="20"/>
        </w:rPr>
        <w:t xml:space="preserve">poročanje informacij o matični družbi iz tretjega odstavka </w:t>
      </w:r>
      <w:r w:rsidR="007E3553"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člena</w:t>
      </w:r>
      <w:r w:rsidRPr="00215B2F">
        <w:rPr>
          <w:rFonts w:ascii="Arial" w:eastAsia="Arial" w:hAnsi="Arial" w:cs="Arial"/>
          <w:sz w:val="20"/>
          <w:szCs w:val="20"/>
        </w:rPr>
        <w:t xml:space="preserve"> za kvalificirane podružnice iz tretjih držav, če lahko pridobi ustrezne informacije neposredno od nadzornih organov zadevne tretje države.</w:t>
      </w:r>
    </w:p>
    <w:p w14:paraId="07176B0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E3D6563"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2870F6BB" w14:textId="4D7D058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695FD3" w:rsidRPr="00215B2F">
        <w:rPr>
          <w:rFonts w:ascii="Arial" w:eastAsia="Arial" w:hAnsi="Arial" w:cs="Arial"/>
          <w:sz w:val="20"/>
          <w:szCs w:val="20"/>
        </w:rPr>
        <w:t>3</w:t>
      </w:r>
      <w:r w:rsidRPr="00215B2F">
        <w:rPr>
          <w:rFonts w:ascii="Arial" w:eastAsia="Arial" w:hAnsi="Arial" w:cs="Arial"/>
          <w:sz w:val="20"/>
          <w:szCs w:val="20"/>
        </w:rPr>
        <w:t xml:space="preserve">) Banka Slovenije lahko predpiše podrobnejša pravila glede pogostosti, načina in oblike poročanja podružnic iz tretjih držav v skladu s tem členom. Pri tem upošteva, da so zahteve glede poročanja iz </w:t>
      </w:r>
      <w:r w:rsidR="00BB4FE3"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člena</w:t>
      </w:r>
      <w:r w:rsidRPr="00215B2F">
        <w:rPr>
          <w:rFonts w:ascii="Arial" w:eastAsia="Arial" w:hAnsi="Arial" w:cs="Arial"/>
          <w:sz w:val="20"/>
          <w:szCs w:val="20"/>
        </w:rPr>
        <w:t xml:space="preserve"> sorazmerne z razvrstitvijo podružnic iz tretjih držav v razred 1 ali 2. </w:t>
      </w:r>
    </w:p>
    <w:p w14:paraId="10B636F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967125F" w14:textId="275DEAED" w:rsidR="00D91782" w:rsidRPr="00215B2F" w:rsidRDefault="000A76F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9</w:t>
      </w:r>
      <w:r w:rsidR="00D91782" w:rsidRPr="00215B2F">
        <w:rPr>
          <w:rFonts w:ascii="Arial" w:eastAsia="Arial" w:hAnsi="Arial" w:cs="Arial"/>
          <w:b/>
          <w:bCs/>
          <w:sz w:val="20"/>
          <w:szCs w:val="20"/>
        </w:rPr>
        <w:t xml:space="preserve">.3 NADZOR </w:t>
      </w:r>
      <w:r w:rsidR="00842223" w:rsidRPr="00215B2F">
        <w:rPr>
          <w:rFonts w:ascii="Arial" w:eastAsia="Arial" w:hAnsi="Arial" w:cs="Arial"/>
          <w:b/>
          <w:bCs/>
          <w:sz w:val="20"/>
          <w:szCs w:val="20"/>
        </w:rPr>
        <w:t xml:space="preserve">NAD </w:t>
      </w:r>
      <w:r w:rsidR="00D91782" w:rsidRPr="00215B2F">
        <w:rPr>
          <w:rFonts w:ascii="Arial" w:eastAsia="Arial" w:hAnsi="Arial" w:cs="Arial"/>
          <w:b/>
          <w:bCs/>
          <w:sz w:val="20"/>
          <w:szCs w:val="20"/>
        </w:rPr>
        <w:t>PODRUŽNIC</w:t>
      </w:r>
      <w:r w:rsidR="00842223" w:rsidRPr="00215B2F">
        <w:rPr>
          <w:rFonts w:ascii="Arial" w:eastAsia="Arial" w:hAnsi="Arial" w:cs="Arial"/>
          <w:b/>
          <w:bCs/>
          <w:sz w:val="20"/>
          <w:szCs w:val="20"/>
        </w:rPr>
        <w:t>AMI</w:t>
      </w:r>
      <w:r w:rsidR="00D91782" w:rsidRPr="00215B2F">
        <w:rPr>
          <w:rFonts w:ascii="Arial" w:eastAsia="Arial" w:hAnsi="Arial" w:cs="Arial"/>
          <w:b/>
          <w:bCs/>
          <w:sz w:val="20"/>
          <w:szCs w:val="20"/>
        </w:rPr>
        <w:t xml:space="preserve"> IZ TRETJIH DRŽAV</w:t>
      </w:r>
    </w:p>
    <w:p w14:paraId="42389749"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10109E05"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80" w:name="_Ref202967049"/>
      <w:r w:rsidRPr="00215B2F">
        <w:rPr>
          <w:rFonts w:ascii="Arial" w:eastAsia="Arial" w:hAnsi="Arial" w:cs="Arial"/>
          <w:b/>
          <w:bCs/>
          <w:sz w:val="20"/>
          <w:szCs w:val="20"/>
        </w:rPr>
        <w:t>člen</w:t>
      </w:r>
      <w:bookmarkEnd w:id="380"/>
    </w:p>
    <w:p w14:paraId="31AAC4D3" w14:textId="323CADE0" w:rsidR="00D91782" w:rsidRPr="00215B2F" w:rsidRDefault="00D91782" w:rsidP="00FD5520">
      <w:pPr>
        <w:pStyle w:val="Slog1"/>
        <w:shd w:val="clear" w:color="auto" w:fill="FFFFFF" w:themeFill="background1"/>
        <w:rPr>
          <w:sz w:val="20"/>
          <w:szCs w:val="20"/>
        </w:rPr>
      </w:pPr>
      <w:r w:rsidRPr="00215B2F">
        <w:rPr>
          <w:sz w:val="20"/>
          <w:szCs w:val="20"/>
        </w:rPr>
        <w:t xml:space="preserve">(nadzor </w:t>
      </w:r>
      <w:r w:rsidR="00842223" w:rsidRPr="00215B2F">
        <w:rPr>
          <w:sz w:val="20"/>
          <w:szCs w:val="20"/>
        </w:rPr>
        <w:t xml:space="preserve">nad </w:t>
      </w:r>
      <w:r w:rsidRPr="00215B2F">
        <w:rPr>
          <w:sz w:val="20"/>
          <w:szCs w:val="20"/>
        </w:rPr>
        <w:t>podružnic</w:t>
      </w:r>
      <w:r w:rsidR="00842223" w:rsidRPr="00215B2F">
        <w:rPr>
          <w:sz w:val="20"/>
          <w:szCs w:val="20"/>
        </w:rPr>
        <w:t>ami</w:t>
      </w:r>
      <w:r w:rsidRPr="00215B2F">
        <w:rPr>
          <w:sz w:val="20"/>
          <w:szCs w:val="20"/>
        </w:rPr>
        <w:t xml:space="preserve"> iz tretjih držav in načrt nadzorniških pregledov)</w:t>
      </w:r>
    </w:p>
    <w:p w14:paraId="7F4DA286" w14:textId="77777777" w:rsidR="00D91782" w:rsidRPr="00215B2F" w:rsidRDefault="00D91782" w:rsidP="00FD5520">
      <w:pPr>
        <w:pStyle w:val="Slog1"/>
        <w:shd w:val="clear" w:color="auto" w:fill="FFFFFF" w:themeFill="background1"/>
        <w:jc w:val="both"/>
        <w:rPr>
          <w:sz w:val="20"/>
          <w:szCs w:val="20"/>
        </w:rPr>
      </w:pPr>
    </w:p>
    <w:p w14:paraId="6060E0A5" w14:textId="1319B10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pri izvajanju nadzora nad podružnicami iz tretjih držav ravna v skladu s tem </w:t>
      </w:r>
      <w:r w:rsidR="002538A4" w:rsidRPr="00215B2F">
        <w:rPr>
          <w:rFonts w:ascii="Arial" w:eastAsia="Arial" w:hAnsi="Arial" w:cs="Arial"/>
          <w:sz w:val="20"/>
          <w:szCs w:val="20"/>
        </w:rPr>
        <w:t xml:space="preserve">oddelkom </w:t>
      </w:r>
      <w:r w:rsidRPr="00215B2F">
        <w:rPr>
          <w:rFonts w:ascii="Arial" w:eastAsia="Arial" w:hAnsi="Arial" w:cs="Arial"/>
          <w:sz w:val="20"/>
          <w:szCs w:val="20"/>
        </w:rPr>
        <w:t>in smiselno uporablja določbe drugih poglav</w:t>
      </w:r>
      <w:r w:rsidR="0013077E" w:rsidRPr="00215B2F">
        <w:rPr>
          <w:rFonts w:ascii="Arial" w:eastAsia="Arial" w:hAnsi="Arial" w:cs="Arial"/>
          <w:sz w:val="20"/>
          <w:szCs w:val="20"/>
        </w:rPr>
        <w:t>i</w:t>
      </w:r>
      <w:r w:rsidRPr="00215B2F">
        <w:rPr>
          <w:rFonts w:ascii="Arial" w:eastAsia="Arial" w:hAnsi="Arial" w:cs="Arial"/>
          <w:sz w:val="20"/>
          <w:szCs w:val="20"/>
        </w:rPr>
        <w:t>j tega zakona, ki se nanašajo na banke, če ni v tem poglavju drugače določeno.</w:t>
      </w:r>
    </w:p>
    <w:p w14:paraId="7F96FE6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EAB3EF6" w14:textId="42FAEF1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vključi podružnice iz tretjih držav v načrt nadzorniških pregledov iz </w:t>
      </w:r>
      <w:r w:rsidR="0013101D" w:rsidRPr="00215B2F">
        <w:rPr>
          <w:rFonts w:ascii="Arial" w:eastAsia="Arial" w:hAnsi="Arial" w:cs="Arial"/>
          <w:sz w:val="20"/>
          <w:szCs w:val="20"/>
        </w:rPr>
        <w:t>330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64C0BB4C"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0DE4360"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81" w:name="_Ref202967054"/>
      <w:r w:rsidRPr="00215B2F">
        <w:rPr>
          <w:rFonts w:ascii="Arial" w:eastAsia="Arial" w:hAnsi="Arial" w:cs="Arial"/>
          <w:b/>
          <w:bCs/>
          <w:sz w:val="20"/>
          <w:szCs w:val="20"/>
        </w:rPr>
        <w:t>člen</w:t>
      </w:r>
      <w:bookmarkEnd w:id="381"/>
    </w:p>
    <w:p w14:paraId="140DECB6" w14:textId="11A17F44" w:rsidR="00D91782" w:rsidRPr="00215B2F" w:rsidRDefault="00D91782" w:rsidP="00FD5520">
      <w:pPr>
        <w:pStyle w:val="Slog1"/>
        <w:shd w:val="clear" w:color="auto" w:fill="FFFFFF" w:themeFill="background1"/>
        <w:rPr>
          <w:sz w:val="20"/>
          <w:szCs w:val="20"/>
        </w:rPr>
      </w:pPr>
      <w:r w:rsidRPr="00215B2F">
        <w:rPr>
          <w:sz w:val="20"/>
          <w:szCs w:val="20"/>
        </w:rPr>
        <w:t>(</w:t>
      </w:r>
      <w:r w:rsidR="00A35BCD" w:rsidRPr="00215B2F">
        <w:rPr>
          <w:sz w:val="20"/>
          <w:szCs w:val="20"/>
        </w:rPr>
        <w:t xml:space="preserve">proces </w:t>
      </w:r>
      <w:r w:rsidRPr="00215B2F">
        <w:rPr>
          <w:sz w:val="20"/>
          <w:szCs w:val="20"/>
        </w:rPr>
        <w:t>nadzorniškega pregledovanja in ovrednotenja)</w:t>
      </w:r>
    </w:p>
    <w:p w14:paraId="753ECFF7" w14:textId="77777777" w:rsidR="00D91782" w:rsidRPr="00215B2F" w:rsidRDefault="00D91782" w:rsidP="00FD5520">
      <w:pPr>
        <w:pStyle w:val="Slog1"/>
        <w:shd w:val="clear" w:color="auto" w:fill="FFFFFF" w:themeFill="background1"/>
        <w:jc w:val="both"/>
        <w:rPr>
          <w:sz w:val="20"/>
          <w:szCs w:val="20"/>
        </w:rPr>
      </w:pPr>
    </w:p>
    <w:p w14:paraId="05BD2C5F" w14:textId="1292ED9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pregleda ureditve, strategije, p</w:t>
      </w:r>
      <w:r w:rsidR="00DC5EC8" w:rsidRPr="00215B2F">
        <w:rPr>
          <w:rFonts w:ascii="Arial" w:eastAsia="Arial" w:hAnsi="Arial" w:cs="Arial"/>
          <w:sz w:val="20"/>
          <w:szCs w:val="20"/>
        </w:rPr>
        <w:t>ostopk</w:t>
      </w:r>
      <w:r w:rsidRPr="00215B2F">
        <w:rPr>
          <w:rFonts w:ascii="Arial" w:eastAsia="Arial" w:hAnsi="Arial" w:cs="Arial"/>
          <w:sz w:val="20"/>
          <w:szCs w:val="20"/>
        </w:rPr>
        <w:t xml:space="preserve">e in mehanizme, ki jih izvajajo podružnice iz tretjih držav za izpolnjevanje določb tega zakona in na njegovi podlagi </w:t>
      </w:r>
      <w:r w:rsidR="00463303" w:rsidRPr="00215B2F">
        <w:rPr>
          <w:rFonts w:ascii="Arial" w:eastAsia="Arial" w:hAnsi="Arial" w:cs="Arial"/>
          <w:sz w:val="20"/>
          <w:szCs w:val="20"/>
        </w:rPr>
        <w:t xml:space="preserve">izdanih </w:t>
      </w:r>
      <w:r w:rsidRPr="00215B2F">
        <w:rPr>
          <w:rFonts w:ascii="Arial" w:eastAsia="Arial" w:hAnsi="Arial" w:cs="Arial"/>
          <w:sz w:val="20"/>
          <w:szCs w:val="20"/>
        </w:rPr>
        <w:t xml:space="preserve">predpisov ter neposredno </w:t>
      </w:r>
      <w:r w:rsidR="0082257C" w:rsidRPr="00215B2F">
        <w:rPr>
          <w:rFonts w:ascii="Arial" w:eastAsia="Arial" w:hAnsi="Arial" w:cs="Arial"/>
          <w:sz w:val="20"/>
          <w:szCs w:val="20"/>
        </w:rPr>
        <w:t>uporabljivih</w:t>
      </w:r>
      <w:r w:rsidRPr="00215B2F">
        <w:rPr>
          <w:rFonts w:ascii="Arial" w:eastAsia="Arial" w:hAnsi="Arial" w:cs="Arial"/>
          <w:sz w:val="20"/>
          <w:szCs w:val="20"/>
        </w:rPr>
        <w:t xml:space="preserve"> predpis</w:t>
      </w:r>
      <w:r w:rsidR="00DC5EC8" w:rsidRPr="00215B2F">
        <w:rPr>
          <w:rFonts w:ascii="Arial" w:eastAsia="Arial" w:hAnsi="Arial" w:cs="Arial"/>
          <w:sz w:val="20"/>
          <w:szCs w:val="20"/>
        </w:rPr>
        <w:t>ov</w:t>
      </w:r>
      <w:r w:rsidRPr="00215B2F">
        <w:rPr>
          <w:rFonts w:ascii="Arial" w:eastAsia="Arial" w:hAnsi="Arial" w:cs="Arial"/>
          <w:sz w:val="20"/>
          <w:szCs w:val="20"/>
        </w:rPr>
        <w:t xml:space="preserve"> Evropske unije.</w:t>
      </w:r>
    </w:p>
    <w:p w14:paraId="6ACBE747"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455BF2E2" w14:textId="215EBBF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na podlagi pregleda iz prejšnjega odstavka ovrednoti, ali ureditve, strategije, p</w:t>
      </w:r>
      <w:r w:rsidR="00DC5EC8" w:rsidRPr="00215B2F">
        <w:rPr>
          <w:rFonts w:ascii="Arial" w:eastAsia="Arial" w:hAnsi="Arial" w:cs="Arial"/>
          <w:sz w:val="20"/>
          <w:szCs w:val="20"/>
        </w:rPr>
        <w:t>ostopk</w:t>
      </w:r>
      <w:r w:rsidRPr="00215B2F">
        <w:rPr>
          <w:rFonts w:ascii="Arial" w:eastAsia="Arial" w:hAnsi="Arial" w:cs="Arial"/>
          <w:sz w:val="20"/>
          <w:szCs w:val="20"/>
        </w:rPr>
        <w:t>i in mehanizmi, ki jih izvajajo podružnice iz tretjih držav, ter jamstveni kapital in likvidnost teh podružnic zagotavljajo preudarno upravljanje in kritje njihovih pomembnih tveganj ter uspešno poslovanje podružnic iz tretjih držav.</w:t>
      </w:r>
    </w:p>
    <w:p w14:paraId="25872553"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3818EAE" w14:textId="098B568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izvede pregled in ovrednotenje iz prvega in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 skladu z merili za uporabo načela sorazmernosti</w:t>
      </w:r>
      <w:r w:rsidR="000540C5" w:rsidRPr="00215B2F">
        <w:rPr>
          <w:rFonts w:ascii="Arial" w:eastAsia="Arial" w:hAnsi="Arial" w:cs="Arial"/>
          <w:sz w:val="20"/>
          <w:szCs w:val="20"/>
        </w:rPr>
        <w:t>,</w:t>
      </w:r>
      <w:r w:rsidRPr="00215B2F">
        <w:rPr>
          <w:rFonts w:ascii="Arial" w:eastAsia="Arial" w:hAnsi="Arial" w:cs="Arial"/>
          <w:sz w:val="20"/>
          <w:szCs w:val="20"/>
        </w:rPr>
        <w:t xml:space="preserve"> objavljenimi v skladu s 3. točko prvega odstavka </w:t>
      </w:r>
      <w:r w:rsidR="0013101D" w:rsidRPr="00215B2F">
        <w:rPr>
          <w:rFonts w:ascii="Arial" w:eastAsia="Arial" w:hAnsi="Arial" w:cs="Arial"/>
          <w:sz w:val="20"/>
          <w:szCs w:val="20"/>
        </w:rPr>
        <w:t>382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Banka Slovenije pri določanju pogostosti in intenzivnosti pregleda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upošteva sorazmernost z razvrstitvijo podružnic iz tretjih držav v razred 1 in razred 2 ter druga ustrezna merila, kot so narava, obseg in zapletenost dejavnosti podružnic iz tretjih držav.</w:t>
      </w:r>
    </w:p>
    <w:p w14:paraId="6522F42E"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4C4BAD75" w14:textId="4A5E10A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Kadar Banka Slovenije na podlagi pregledovanja, zlasti ureditv</w:t>
      </w:r>
      <w:r w:rsidR="000540C5" w:rsidRPr="00215B2F">
        <w:rPr>
          <w:rFonts w:ascii="Arial" w:eastAsia="Arial" w:hAnsi="Arial" w:cs="Arial"/>
          <w:sz w:val="20"/>
          <w:szCs w:val="20"/>
        </w:rPr>
        <w:t>e</w:t>
      </w:r>
      <w:r w:rsidRPr="00215B2F">
        <w:rPr>
          <w:rFonts w:ascii="Arial" w:eastAsia="Arial" w:hAnsi="Arial" w:cs="Arial"/>
          <w:sz w:val="20"/>
          <w:szCs w:val="20"/>
        </w:rPr>
        <w:t xml:space="preserve"> upravljanja, poslovnega modela ali dejavnosti podružnice iz tretje države, ugotovi utemeljene razloge za sum, da gre ali je šlo v zvezi z zadevno podružnico </w:t>
      </w:r>
      <w:r w:rsidR="002609B2" w:rsidRPr="00215B2F">
        <w:rPr>
          <w:rFonts w:ascii="Arial" w:eastAsia="Arial" w:hAnsi="Arial" w:cs="Arial"/>
          <w:sz w:val="20"/>
          <w:szCs w:val="20"/>
        </w:rPr>
        <w:t xml:space="preserve">iz </w:t>
      </w:r>
      <w:r w:rsidRPr="00215B2F">
        <w:rPr>
          <w:rFonts w:ascii="Arial" w:eastAsia="Arial" w:hAnsi="Arial" w:cs="Arial"/>
          <w:sz w:val="20"/>
          <w:szCs w:val="20"/>
        </w:rPr>
        <w:t>tretje države za pranje denarja ali financiranje terorizma, kot sta opredeljena v zakonu, ki ureja preprečevanje pranja denarja in financiranje terorizma</w:t>
      </w:r>
      <w:r w:rsidR="000540C5" w:rsidRPr="00215B2F">
        <w:rPr>
          <w:rFonts w:ascii="Arial" w:eastAsia="Arial" w:hAnsi="Arial" w:cs="Arial"/>
          <w:sz w:val="20"/>
          <w:szCs w:val="20"/>
        </w:rPr>
        <w:t>,</w:t>
      </w:r>
      <w:r w:rsidRPr="00215B2F">
        <w:rPr>
          <w:rFonts w:ascii="Arial" w:eastAsia="Arial" w:hAnsi="Arial" w:cs="Arial"/>
          <w:sz w:val="20"/>
          <w:szCs w:val="20"/>
        </w:rPr>
        <w:t xml:space="preserve"> ali za poskus tega ali da obstaja povečano tveganje za to, o tem takoj uradno obvesti Evropski bančni organ. Banka Slovenije sprejme potrebne ukrepe v skladu s tem zakonom, ki lahko vključujejo odvzem dovoljenja podružnici </w:t>
      </w:r>
      <w:r w:rsidR="002609B2" w:rsidRPr="00215B2F">
        <w:rPr>
          <w:rFonts w:ascii="Arial" w:eastAsia="Arial" w:hAnsi="Arial" w:cs="Arial"/>
          <w:sz w:val="20"/>
          <w:szCs w:val="20"/>
        </w:rPr>
        <w:t xml:space="preserve">iz </w:t>
      </w:r>
      <w:r w:rsidRPr="00215B2F">
        <w:rPr>
          <w:rFonts w:ascii="Arial" w:eastAsia="Arial" w:hAnsi="Arial" w:cs="Arial"/>
          <w:sz w:val="20"/>
          <w:szCs w:val="20"/>
        </w:rPr>
        <w:t xml:space="preserve">tretje države na podlagi </w:t>
      </w:r>
      <w:r w:rsidR="0013101D" w:rsidRPr="00215B2F">
        <w:rPr>
          <w:rFonts w:ascii="Arial" w:eastAsia="Arial" w:hAnsi="Arial" w:cs="Arial"/>
          <w:sz w:val="20"/>
          <w:szCs w:val="20"/>
        </w:rPr>
        <w:t>381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0E7C79CA"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E4A5246" w14:textId="4DBAEEE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in Urad </w:t>
      </w:r>
      <w:r w:rsidR="00BB4AD0" w:rsidRPr="00215B2F">
        <w:rPr>
          <w:rFonts w:ascii="Arial" w:eastAsia="Arial" w:hAnsi="Arial" w:cs="Arial"/>
          <w:sz w:val="20"/>
          <w:szCs w:val="20"/>
        </w:rPr>
        <w:t xml:space="preserve">Republike Slovenije </w:t>
      </w:r>
      <w:r w:rsidRPr="00215B2F">
        <w:rPr>
          <w:rFonts w:ascii="Arial" w:eastAsia="Arial" w:hAnsi="Arial" w:cs="Arial"/>
          <w:sz w:val="20"/>
          <w:szCs w:val="20"/>
        </w:rPr>
        <w:t xml:space="preserve">za preprečevanje pranja denarja v okviru svojih pristojnosti tesno sodelujeta in si izmenjujeta informacije, pomembne za ta zakon, pod pogojem, da tako sodelovanje in izmenjava informacij ne posegata v poizvedovanje, preiskavo ali kazenski ali upravni postopek, ki poteka. Evropski bančni organ lahko Banki Slovenije v primeru nestrinjanja v zvezi z usklajevanjem nadzorniških dejavnosti pomaga na podlagi tega člena na lastno pobudo. V takem primeru Evropski bančni organ ukrepa v skladu </w:t>
      </w:r>
      <w:r w:rsidR="000540C5" w:rsidRPr="00215B2F">
        <w:rPr>
          <w:rFonts w:ascii="Arial" w:eastAsia="Arial" w:hAnsi="Arial" w:cs="Arial"/>
          <w:sz w:val="20"/>
          <w:szCs w:val="20"/>
        </w:rPr>
        <w:t xml:space="preserve">z 19. </w:t>
      </w:r>
      <w:r w:rsidRPr="00215B2F">
        <w:rPr>
          <w:rFonts w:ascii="Arial" w:eastAsia="Arial" w:hAnsi="Arial" w:cs="Arial"/>
          <w:sz w:val="20"/>
          <w:szCs w:val="20"/>
        </w:rPr>
        <w:t>členom Uredbe 1093/2010</w:t>
      </w:r>
      <w:r w:rsidR="000540C5" w:rsidRPr="00215B2F">
        <w:rPr>
          <w:rFonts w:ascii="Arial" w:eastAsia="Arial" w:hAnsi="Arial" w:cs="Arial"/>
          <w:sz w:val="20"/>
          <w:szCs w:val="20"/>
        </w:rPr>
        <w:t>/EU</w:t>
      </w:r>
      <w:r w:rsidRPr="00215B2F">
        <w:rPr>
          <w:rFonts w:ascii="Arial" w:eastAsia="Arial" w:hAnsi="Arial" w:cs="Arial"/>
          <w:sz w:val="20"/>
          <w:szCs w:val="20"/>
        </w:rPr>
        <w:t>.</w:t>
      </w:r>
    </w:p>
    <w:p w14:paraId="5443091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ABFAF83"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82" w:name="_Ref202967057"/>
      <w:r w:rsidRPr="00215B2F">
        <w:rPr>
          <w:rFonts w:ascii="Arial" w:eastAsia="Arial" w:hAnsi="Arial" w:cs="Arial"/>
          <w:b/>
          <w:bCs/>
          <w:sz w:val="20"/>
          <w:szCs w:val="20"/>
        </w:rPr>
        <w:t>člen</w:t>
      </w:r>
      <w:bookmarkEnd w:id="382"/>
    </w:p>
    <w:p w14:paraId="6C109874" w14:textId="77777777" w:rsidR="00D91782" w:rsidRPr="00215B2F" w:rsidRDefault="00D91782" w:rsidP="00FD5520">
      <w:pPr>
        <w:pStyle w:val="Slog1"/>
        <w:shd w:val="clear" w:color="auto" w:fill="FFFFFF" w:themeFill="background1"/>
        <w:rPr>
          <w:sz w:val="20"/>
          <w:szCs w:val="20"/>
        </w:rPr>
      </w:pPr>
      <w:r w:rsidRPr="00215B2F">
        <w:rPr>
          <w:sz w:val="20"/>
          <w:szCs w:val="20"/>
        </w:rPr>
        <w:t>(sodelovanje med pristojnimi organi in kolegij nadzornikov)</w:t>
      </w:r>
    </w:p>
    <w:p w14:paraId="53B57ED8" w14:textId="77777777" w:rsidR="00D91782" w:rsidRPr="00215B2F" w:rsidRDefault="00D91782" w:rsidP="00FD5520">
      <w:pPr>
        <w:pStyle w:val="Slog1"/>
        <w:shd w:val="clear" w:color="auto" w:fill="FFFFFF" w:themeFill="background1"/>
        <w:jc w:val="both"/>
        <w:rPr>
          <w:sz w:val="20"/>
          <w:szCs w:val="20"/>
        </w:rPr>
      </w:pPr>
    </w:p>
    <w:p w14:paraId="74D0031A" w14:textId="176C067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tesno sodeluje in si izmenjuje informacije s pristojnimi organi držav članic, ki nadzorujejo podružnice iz tretjih držav in podrejene institucije iste skupine iz tretje države. Banka </w:t>
      </w:r>
      <w:r w:rsidRPr="00215B2F">
        <w:rPr>
          <w:rFonts w:ascii="Arial" w:eastAsia="Arial" w:hAnsi="Arial" w:cs="Arial"/>
          <w:sz w:val="20"/>
          <w:szCs w:val="20"/>
        </w:rPr>
        <w:lastRenderedPageBreak/>
        <w:t xml:space="preserve">Slovenije s temi pristojnimi organi v skladu s </w:t>
      </w:r>
      <w:r w:rsidR="0013101D" w:rsidRPr="00215B2F">
        <w:rPr>
          <w:rFonts w:ascii="Arial" w:eastAsia="Arial" w:hAnsi="Arial" w:cs="Arial"/>
          <w:sz w:val="20"/>
          <w:szCs w:val="20"/>
        </w:rPr>
        <w:t>418</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oziroma 115</w:t>
      </w:r>
      <w:r w:rsidR="000540C5" w:rsidRPr="00215B2F">
        <w:rPr>
          <w:rFonts w:ascii="Arial" w:eastAsia="Arial" w:hAnsi="Arial" w:cs="Arial"/>
          <w:sz w:val="20"/>
          <w:szCs w:val="20"/>
        </w:rPr>
        <w:t>.</w:t>
      </w:r>
      <w:r w:rsidRPr="00215B2F">
        <w:rPr>
          <w:rFonts w:ascii="Arial" w:eastAsia="Arial" w:hAnsi="Arial" w:cs="Arial"/>
          <w:sz w:val="20"/>
          <w:szCs w:val="20"/>
        </w:rPr>
        <w:t xml:space="preserve"> </w:t>
      </w:r>
      <w:r w:rsidR="000540C5" w:rsidRPr="00215B2F">
        <w:rPr>
          <w:rFonts w:ascii="Arial" w:eastAsia="Arial" w:hAnsi="Arial" w:cs="Arial"/>
          <w:sz w:val="20"/>
          <w:szCs w:val="20"/>
        </w:rPr>
        <w:t xml:space="preserve">členom </w:t>
      </w:r>
      <w:r w:rsidRPr="00215B2F">
        <w:rPr>
          <w:rFonts w:ascii="Arial" w:eastAsia="Arial" w:hAnsi="Arial" w:cs="Arial"/>
          <w:sz w:val="20"/>
          <w:szCs w:val="20"/>
        </w:rPr>
        <w:t>Direktive 2013/36/EU sklene pisne dogovore o usklajevanju in sodelovanju.</w:t>
      </w:r>
    </w:p>
    <w:p w14:paraId="6B13E61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56F050D" w14:textId="4303988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Kadar Banka Slovenije nadzira podružnico iz tretje države razreda 1 in </w:t>
      </w:r>
      <w:r w:rsidR="00A52FBE" w:rsidRPr="00215B2F">
        <w:rPr>
          <w:rFonts w:ascii="Arial" w:eastAsia="Arial" w:hAnsi="Arial" w:cs="Arial"/>
          <w:sz w:val="20"/>
          <w:szCs w:val="20"/>
        </w:rPr>
        <w:t>z</w:t>
      </w:r>
      <w:r w:rsidRPr="00215B2F">
        <w:rPr>
          <w:rFonts w:ascii="Arial" w:eastAsia="Arial" w:hAnsi="Arial" w:cs="Arial"/>
          <w:sz w:val="20"/>
          <w:szCs w:val="20"/>
        </w:rPr>
        <w:t xml:space="preserve">a namene </w:t>
      </w:r>
      <w:r w:rsidR="00463303" w:rsidRPr="00215B2F">
        <w:rPr>
          <w:rFonts w:ascii="Arial" w:eastAsia="Arial" w:hAnsi="Arial" w:cs="Arial"/>
          <w:sz w:val="20"/>
          <w:szCs w:val="20"/>
        </w:rPr>
        <w:t xml:space="preserve">prejšnjega </w:t>
      </w:r>
      <w:r w:rsidR="00746E88" w:rsidRPr="00215B2F">
        <w:rPr>
          <w:rFonts w:ascii="Arial" w:eastAsia="Arial" w:hAnsi="Arial" w:cs="Arial"/>
          <w:sz w:val="20"/>
          <w:szCs w:val="20"/>
        </w:rPr>
        <w:t xml:space="preserve">odstavka </w:t>
      </w:r>
      <w:r w:rsidRPr="00215B2F">
        <w:rPr>
          <w:rFonts w:ascii="Arial" w:eastAsia="Arial" w:hAnsi="Arial" w:cs="Arial"/>
          <w:sz w:val="20"/>
          <w:szCs w:val="20"/>
        </w:rPr>
        <w:t xml:space="preserve">podružnice iz tretjih držav razreda 1 v skladu s </w:t>
      </w:r>
      <w:r w:rsidR="0013101D" w:rsidRPr="00215B2F">
        <w:rPr>
          <w:rFonts w:ascii="Arial" w:eastAsia="Arial" w:hAnsi="Arial" w:cs="Arial"/>
          <w:sz w:val="20"/>
          <w:szCs w:val="20"/>
        </w:rPr>
        <w:t>415</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celovito nadzira kolegij nadzornikov, je Banka Slovenije članica kolegija nadzornikov, ob upoštevanju naslednjega: </w:t>
      </w:r>
    </w:p>
    <w:p w14:paraId="3F21B7F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CC2A7C3" w14:textId="77777777" w:rsidR="00C316EC" w:rsidRPr="00215B2F" w:rsidRDefault="00D91782" w:rsidP="003D4DE0">
      <w:pPr>
        <w:pStyle w:val="Odstavekseznama"/>
        <w:numPr>
          <w:ilvl w:val="0"/>
          <w:numId w:val="334"/>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kadar je bil v zvezi s podrejenimi institucijami skupine tretje države že ustanovljen kolegij nadzornikov, so podružnice iz tretjih držav razreda 1, ki so del iste skupine, vključene v obseg pristojnosti tega kolegija nadzornikov;</w:t>
      </w:r>
    </w:p>
    <w:p w14:paraId="4D835436" w14:textId="26419279" w:rsidR="007143BD" w:rsidRPr="00215B2F" w:rsidRDefault="00D91782" w:rsidP="003D4DE0">
      <w:pPr>
        <w:pStyle w:val="Odstavekseznama"/>
        <w:numPr>
          <w:ilvl w:val="0"/>
          <w:numId w:val="334"/>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kadar ima skupina iz tretje države podružnice iz tretjih držav razreda 1 v več kot eni državi članici, vendar nima podrejenih institucij v </w:t>
      </w:r>
      <w:r w:rsidR="00C57D35" w:rsidRPr="00215B2F">
        <w:rPr>
          <w:rFonts w:ascii="Arial" w:eastAsia="Arial" w:hAnsi="Arial" w:cs="Arial"/>
          <w:sz w:val="20"/>
          <w:szCs w:val="20"/>
        </w:rPr>
        <w:t>Evropski u</w:t>
      </w:r>
      <w:r w:rsidRPr="00215B2F">
        <w:rPr>
          <w:rFonts w:ascii="Arial" w:eastAsia="Arial" w:hAnsi="Arial" w:cs="Arial"/>
          <w:sz w:val="20"/>
          <w:szCs w:val="20"/>
        </w:rPr>
        <w:t xml:space="preserve">niji, za katere velja </w:t>
      </w:r>
      <w:r w:rsidR="0013101D" w:rsidRPr="00215B2F">
        <w:rPr>
          <w:rFonts w:ascii="Arial" w:eastAsia="Arial" w:hAnsi="Arial" w:cs="Arial"/>
          <w:sz w:val="20"/>
          <w:szCs w:val="20"/>
        </w:rPr>
        <w:t>415</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 xml:space="preserve"> oziroma 116. člen Direktive 2013/36/EU, se v zvezi s temi podružnicami iz tretjih držav razreda 1 ustanovi kolegij nadzornikov;</w:t>
      </w:r>
    </w:p>
    <w:p w14:paraId="4B9F5359" w14:textId="3C9CF41D" w:rsidR="00D91782" w:rsidRPr="00215B2F" w:rsidRDefault="00D91782" w:rsidP="003D4DE0">
      <w:pPr>
        <w:pStyle w:val="Odstavekseznama"/>
        <w:numPr>
          <w:ilvl w:val="0"/>
          <w:numId w:val="334"/>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kadar ima skupina iz tretje države podružnice iz tretjih držav razreda 1 v več kot eni državi članici ali vsaj eno podružnico iz tretje države razreda 1 in eno ali več podrejenih institucij v </w:t>
      </w:r>
      <w:r w:rsidR="00C57D35" w:rsidRPr="00215B2F">
        <w:rPr>
          <w:rFonts w:ascii="Arial" w:eastAsia="Arial" w:hAnsi="Arial" w:cs="Arial"/>
          <w:sz w:val="20"/>
          <w:szCs w:val="20"/>
        </w:rPr>
        <w:t>Evropski u</w:t>
      </w:r>
      <w:r w:rsidRPr="00215B2F">
        <w:rPr>
          <w:rFonts w:ascii="Arial" w:eastAsia="Arial" w:hAnsi="Arial" w:cs="Arial"/>
          <w:sz w:val="20"/>
          <w:szCs w:val="20"/>
        </w:rPr>
        <w:t xml:space="preserve">niji, za katere ne velja </w:t>
      </w:r>
      <w:r w:rsidR="0013101D" w:rsidRPr="00215B2F">
        <w:rPr>
          <w:rFonts w:ascii="Arial" w:eastAsia="Arial" w:hAnsi="Arial" w:cs="Arial"/>
          <w:sz w:val="20"/>
          <w:szCs w:val="20"/>
        </w:rPr>
        <w:t>415</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 xml:space="preserve"> oziroma 116. člen Direktive 2013/36/EU, se v zvezi s temi podružnicami iz tretjih držav in podrejenimi institucijami ustanovi kolegij nadzornikov.</w:t>
      </w:r>
    </w:p>
    <w:p w14:paraId="64915E17" w14:textId="77777777" w:rsidR="005517F3" w:rsidRPr="00215B2F" w:rsidRDefault="005517F3" w:rsidP="00FD5520">
      <w:pPr>
        <w:shd w:val="clear" w:color="auto" w:fill="FFFFFF" w:themeFill="background1"/>
        <w:spacing w:after="0" w:line="240" w:lineRule="auto"/>
        <w:jc w:val="both"/>
        <w:rPr>
          <w:rFonts w:ascii="Arial" w:eastAsia="Arial" w:hAnsi="Arial" w:cs="Arial"/>
          <w:sz w:val="20"/>
          <w:szCs w:val="20"/>
        </w:rPr>
      </w:pPr>
    </w:p>
    <w:p w14:paraId="3A4D69C1" w14:textId="04F0C7C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je glavni pristojni organ, če je nadzorni organ največje podružnice iz tretje države v </w:t>
      </w:r>
      <w:r w:rsidR="00C57D35" w:rsidRPr="00215B2F">
        <w:rPr>
          <w:rFonts w:ascii="Arial" w:eastAsia="Arial" w:hAnsi="Arial" w:cs="Arial"/>
          <w:sz w:val="20"/>
          <w:szCs w:val="20"/>
        </w:rPr>
        <w:t>Evropski u</w:t>
      </w:r>
      <w:r w:rsidRPr="00215B2F">
        <w:rPr>
          <w:rFonts w:ascii="Arial" w:eastAsia="Arial" w:hAnsi="Arial" w:cs="Arial"/>
          <w:sz w:val="20"/>
          <w:szCs w:val="20"/>
        </w:rPr>
        <w:t>niji glede na skupno vrednost knjiženih sredstev</w:t>
      </w:r>
      <w:r w:rsidR="003B0900" w:rsidRPr="00215B2F">
        <w:rPr>
          <w:rFonts w:ascii="Arial" w:eastAsia="Arial" w:hAnsi="Arial" w:cs="Arial"/>
          <w:sz w:val="20"/>
          <w:szCs w:val="20"/>
        </w:rPr>
        <w:t>.</w:t>
      </w:r>
      <w:r w:rsidRPr="00215B2F">
        <w:rPr>
          <w:rFonts w:ascii="Arial" w:eastAsia="Arial" w:hAnsi="Arial" w:cs="Arial"/>
          <w:sz w:val="20"/>
          <w:szCs w:val="20"/>
        </w:rPr>
        <w:t xml:space="preserve"> Glavni pristojni organ v primeru iz točke b) ali c) </w:t>
      </w:r>
      <w:r w:rsidR="00BB4FE3" w:rsidRPr="00215B2F">
        <w:rPr>
          <w:rFonts w:ascii="Arial" w:eastAsia="Arial" w:hAnsi="Arial" w:cs="Arial"/>
          <w:sz w:val="20"/>
          <w:szCs w:val="20"/>
        </w:rPr>
        <w:t xml:space="preserve">prejšnjega </w:t>
      </w:r>
      <w:r w:rsidR="00746E88" w:rsidRPr="00215B2F">
        <w:rPr>
          <w:rFonts w:ascii="Arial" w:eastAsia="Arial" w:hAnsi="Arial" w:cs="Arial"/>
          <w:sz w:val="20"/>
          <w:szCs w:val="20"/>
        </w:rPr>
        <w:t xml:space="preserve">odstavka </w:t>
      </w:r>
      <w:r w:rsidRPr="00215B2F">
        <w:rPr>
          <w:rFonts w:ascii="Arial" w:eastAsia="Arial" w:hAnsi="Arial" w:cs="Arial"/>
          <w:sz w:val="20"/>
          <w:szCs w:val="20"/>
        </w:rPr>
        <w:t xml:space="preserve">opravlja enako vlogo kot konsolidacijski nadzornik v skladu s </w:t>
      </w:r>
      <w:r w:rsidR="0013101D" w:rsidRPr="00215B2F">
        <w:rPr>
          <w:rFonts w:ascii="Arial" w:eastAsia="Arial" w:hAnsi="Arial" w:cs="Arial"/>
          <w:sz w:val="20"/>
          <w:szCs w:val="20"/>
        </w:rPr>
        <w:t>415</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0013101D" w:rsidRPr="00215B2F">
        <w:rPr>
          <w:rFonts w:ascii="Arial" w:eastAsia="Arial" w:hAnsi="Arial" w:cs="Arial"/>
          <w:sz w:val="20"/>
          <w:szCs w:val="20"/>
        </w:rPr>
        <w:t>.</w:t>
      </w:r>
      <w:r w:rsidRPr="00215B2F">
        <w:rPr>
          <w:rFonts w:ascii="Arial" w:eastAsia="Arial" w:hAnsi="Arial" w:cs="Arial"/>
          <w:sz w:val="20"/>
          <w:szCs w:val="20"/>
        </w:rPr>
        <w:t xml:space="preserve"> </w:t>
      </w:r>
    </w:p>
    <w:p w14:paraId="46DEE49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FF40F4D" w14:textId="2EDD1E8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Poleg nalog iz </w:t>
      </w:r>
      <w:r w:rsidR="0013101D" w:rsidRPr="00215B2F">
        <w:rPr>
          <w:rFonts w:ascii="Arial" w:eastAsia="Arial" w:hAnsi="Arial" w:cs="Arial"/>
          <w:sz w:val="20"/>
          <w:szCs w:val="20"/>
        </w:rPr>
        <w:t>415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kolegij nadzornikov:</w:t>
      </w:r>
    </w:p>
    <w:p w14:paraId="3750928E"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22E2B543" w14:textId="4CC03114" w:rsidR="00C316EC" w:rsidRPr="00215B2F" w:rsidRDefault="00D91782" w:rsidP="003D4DE0">
      <w:pPr>
        <w:pStyle w:val="Odstavekseznama"/>
        <w:numPr>
          <w:ilvl w:val="0"/>
          <w:numId w:val="33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pripravi poročilo o strukturi in dejavnostih skupine iz tretje države v </w:t>
      </w:r>
      <w:r w:rsidR="003B0900" w:rsidRPr="00215B2F">
        <w:rPr>
          <w:rFonts w:ascii="Arial" w:eastAsia="Arial" w:hAnsi="Arial" w:cs="Arial"/>
          <w:sz w:val="20"/>
          <w:szCs w:val="20"/>
        </w:rPr>
        <w:t>Evropski u</w:t>
      </w:r>
      <w:r w:rsidRPr="00215B2F">
        <w:rPr>
          <w:rFonts w:ascii="Arial" w:eastAsia="Arial" w:hAnsi="Arial" w:cs="Arial"/>
          <w:sz w:val="20"/>
          <w:szCs w:val="20"/>
        </w:rPr>
        <w:t xml:space="preserve">niji </w:t>
      </w:r>
      <w:r w:rsidR="003B0900" w:rsidRPr="00215B2F">
        <w:rPr>
          <w:rFonts w:ascii="Arial" w:eastAsia="Arial" w:hAnsi="Arial" w:cs="Arial"/>
          <w:sz w:val="20"/>
          <w:szCs w:val="20"/>
        </w:rPr>
        <w:t xml:space="preserve">in </w:t>
      </w:r>
      <w:r w:rsidRPr="00215B2F">
        <w:rPr>
          <w:rFonts w:ascii="Arial" w:eastAsia="Arial" w:hAnsi="Arial" w:cs="Arial"/>
          <w:sz w:val="20"/>
          <w:szCs w:val="20"/>
        </w:rPr>
        <w:t>ga vsako leto posodobi;</w:t>
      </w:r>
    </w:p>
    <w:p w14:paraId="4FD4163F" w14:textId="5D8E76BB" w:rsidR="00C316EC" w:rsidRPr="00215B2F" w:rsidRDefault="00D91782" w:rsidP="003D4DE0">
      <w:pPr>
        <w:pStyle w:val="Odstavekseznama"/>
        <w:numPr>
          <w:ilvl w:val="0"/>
          <w:numId w:val="33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izmenjuje informacije o rezultatih postopka nadzorniškega pregledovanja in ovrednotenja iz </w:t>
      </w:r>
      <w:r w:rsidR="0013101D" w:rsidRPr="00215B2F">
        <w:rPr>
          <w:rFonts w:ascii="Arial" w:eastAsia="Arial" w:hAnsi="Arial" w:cs="Arial"/>
          <w:sz w:val="20"/>
          <w:szCs w:val="20"/>
        </w:rPr>
        <w:t>326</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31F2C98A" w14:textId="3804905C" w:rsidR="00D91782" w:rsidRPr="00215B2F" w:rsidRDefault="00D91782" w:rsidP="003D4DE0">
      <w:pPr>
        <w:pStyle w:val="Odstavekseznama"/>
        <w:numPr>
          <w:ilvl w:val="0"/>
          <w:numId w:val="33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si prizadeva za uskladitev uporabe nadzorniških ukrepov in pooblastil iz </w:t>
      </w:r>
      <w:r w:rsidR="0013101D" w:rsidRPr="00215B2F">
        <w:rPr>
          <w:rFonts w:ascii="Arial" w:eastAsia="Arial" w:hAnsi="Arial" w:cs="Arial"/>
          <w:sz w:val="20"/>
          <w:szCs w:val="20"/>
        </w:rPr>
        <w:t>380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4A2A7D5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E9B9E3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Kolegij nadzornikov po potrebi zagotovi ustrezno usklajevanje in sodelovanje z ustreznimi nadzornimi organi iz tretjih držav.</w:t>
      </w:r>
    </w:p>
    <w:p w14:paraId="33120A1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619C0F0" w14:textId="04279BB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Kadar Banka Slovenije ni glavni nadzorni organ, je pa članica kolegija nadzornikov, sodeluje pri opravljanju nalog kolegija nadzornikov, k</w:t>
      </w:r>
      <w:r w:rsidR="006B0B0E" w:rsidRPr="00215B2F">
        <w:rPr>
          <w:rFonts w:ascii="Arial" w:eastAsia="Arial" w:hAnsi="Arial" w:cs="Arial"/>
          <w:sz w:val="20"/>
          <w:szCs w:val="20"/>
        </w:rPr>
        <w:t>akor</w:t>
      </w:r>
      <w:r w:rsidRPr="00215B2F">
        <w:rPr>
          <w:rFonts w:ascii="Arial" w:eastAsia="Arial" w:hAnsi="Arial" w:cs="Arial"/>
          <w:sz w:val="20"/>
          <w:szCs w:val="20"/>
        </w:rPr>
        <w:t xml:space="preserve"> so navedene v tem členu. </w:t>
      </w:r>
    </w:p>
    <w:p w14:paraId="350B93F3"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1837A62D"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83" w:name="_Ref202967064"/>
      <w:r w:rsidRPr="00215B2F">
        <w:rPr>
          <w:rFonts w:ascii="Arial" w:eastAsia="Arial" w:hAnsi="Arial" w:cs="Arial"/>
          <w:b/>
          <w:bCs/>
          <w:sz w:val="20"/>
          <w:szCs w:val="20"/>
        </w:rPr>
        <w:t>člen</w:t>
      </w:r>
      <w:bookmarkEnd w:id="383"/>
    </w:p>
    <w:p w14:paraId="4619C0A5" w14:textId="77777777" w:rsidR="00D91782" w:rsidRPr="00215B2F" w:rsidRDefault="00D91782" w:rsidP="00FD5520">
      <w:pPr>
        <w:pStyle w:val="Slog1"/>
        <w:shd w:val="clear" w:color="auto" w:fill="FFFFFF" w:themeFill="background1"/>
        <w:rPr>
          <w:sz w:val="20"/>
          <w:szCs w:val="20"/>
        </w:rPr>
      </w:pPr>
      <w:r w:rsidRPr="00215B2F">
        <w:rPr>
          <w:sz w:val="20"/>
          <w:szCs w:val="20"/>
        </w:rPr>
        <w:t>(uradno obveščanje Evropskega bančnega organa)</w:t>
      </w:r>
    </w:p>
    <w:p w14:paraId="650055C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 </w:t>
      </w:r>
    </w:p>
    <w:p w14:paraId="58E88DD6" w14:textId="1C30EB7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Slovenije uradno obvesti Evropski bančni organ o:</w:t>
      </w:r>
    </w:p>
    <w:p w14:paraId="0FD5E7F9"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6019E830" w14:textId="77777777" w:rsidR="00C316EC" w:rsidRPr="00215B2F" w:rsidRDefault="00D91782" w:rsidP="003D4DE0">
      <w:pPr>
        <w:pStyle w:val="Odstavekseznama"/>
        <w:numPr>
          <w:ilvl w:val="0"/>
          <w:numId w:val="336"/>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vseh dovoljenjih, izdanih podružnicam iz tretjih držav, in vseh naknadnih spremembah teh dovoljenj;</w:t>
      </w:r>
    </w:p>
    <w:p w14:paraId="0B39FCF7" w14:textId="3B704D93" w:rsidR="00C316EC" w:rsidRPr="00215B2F" w:rsidRDefault="00D91782" w:rsidP="003D4DE0">
      <w:pPr>
        <w:pStyle w:val="Odstavekseznama"/>
        <w:numPr>
          <w:ilvl w:val="0"/>
          <w:numId w:val="336"/>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skupnih sredstvih in obveznostih, ki jih knjižijo podružnice iz tretjih držav, ki so pridobile dovoljenje za podružnico </w:t>
      </w:r>
      <w:r w:rsidR="002609B2" w:rsidRPr="00215B2F">
        <w:rPr>
          <w:rFonts w:ascii="Arial" w:eastAsia="Arial" w:hAnsi="Arial" w:cs="Arial"/>
          <w:sz w:val="20"/>
          <w:szCs w:val="20"/>
        </w:rPr>
        <w:t xml:space="preserve">iz </w:t>
      </w:r>
      <w:r w:rsidRPr="00215B2F">
        <w:rPr>
          <w:rFonts w:ascii="Arial" w:eastAsia="Arial" w:hAnsi="Arial" w:cs="Arial"/>
          <w:sz w:val="20"/>
          <w:szCs w:val="20"/>
        </w:rPr>
        <w:t xml:space="preserve">tretje države, kot se redno </w:t>
      </w:r>
      <w:r w:rsidR="003B0900" w:rsidRPr="00215B2F">
        <w:rPr>
          <w:rFonts w:ascii="Arial" w:eastAsia="Arial" w:hAnsi="Arial" w:cs="Arial"/>
          <w:sz w:val="20"/>
          <w:szCs w:val="20"/>
        </w:rPr>
        <w:t>s</w:t>
      </w:r>
      <w:r w:rsidRPr="00215B2F">
        <w:rPr>
          <w:rFonts w:ascii="Arial" w:eastAsia="Arial" w:hAnsi="Arial" w:cs="Arial"/>
          <w:sz w:val="20"/>
          <w:szCs w:val="20"/>
        </w:rPr>
        <w:t>poročajo;</w:t>
      </w:r>
    </w:p>
    <w:p w14:paraId="0744E405" w14:textId="4F3D0F99" w:rsidR="00D91782" w:rsidRPr="00215B2F" w:rsidRDefault="00D91782" w:rsidP="003D4DE0">
      <w:pPr>
        <w:pStyle w:val="Odstavekseznama"/>
        <w:numPr>
          <w:ilvl w:val="0"/>
          <w:numId w:val="336"/>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imenu skupine iz tretje države, ki ji pripada podružnica iz tretje države, ki je pridobila dovoljenje za podružnico </w:t>
      </w:r>
      <w:r w:rsidR="002609B2" w:rsidRPr="00215B2F">
        <w:rPr>
          <w:rFonts w:ascii="Arial" w:eastAsia="Arial" w:hAnsi="Arial" w:cs="Arial"/>
          <w:sz w:val="20"/>
          <w:szCs w:val="20"/>
        </w:rPr>
        <w:t xml:space="preserve">iz </w:t>
      </w:r>
      <w:r w:rsidRPr="00215B2F">
        <w:rPr>
          <w:rFonts w:ascii="Arial" w:eastAsia="Arial" w:hAnsi="Arial" w:cs="Arial"/>
          <w:sz w:val="20"/>
          <w:szCs w:val="20"/>
        </w:rPr>
        <w:t>tretje države.</w:t>
      </w:r>
    </w:p>
    <w:p w14:paraId="1D4C64D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6C55204" w14:textId="2222E088" w:rsidR="00D91782" w:rsidRPr="00215B2F" w:rsidRDefault="000A76F2" w:rsidP="00FD5520">
      <w:pPr>
        <w:shd w:val="clear" w:color="auto" w:fill="FFFFFF" w:themeFill="background1"/>
        <w:spacing w:after="0" w:line="240" w:lineRule="auto"/>
        <w:jc w:val="center"/>
        <w:rPr>
          <w:rFonts w:ascii="Arial" w:eastAsia="Arial" w:hAnsi="Arial" w:cs="Arial"/>
          <w:sz w:val="20"/>
          <w:szCs w:val="20"/>
        </w:rPr>
      </w:pPr>
      <w:r w:rsidRPr="00215B2F">
        <w:rPr>
          <w:rFonts w:ascii="Arial" w:eastAsia="Arial" w:hAnsi="Arial" w:cs="Arial"/>
          <w:sz w:val="20"/>
          <w:szCs w:val="20"/>
        </w:rPr>
        <w:t>10</w:t>
      </w:r>
      <w:r w:rsidR="00D91782" w:rsidRPr="00215B2F">
        <w:rPr>
          <w:rFonts w:ascii="Arial" w:eastAsia="Arial" w:hAnsi="Arial" w:cs="Arial"/>
          <w:sz w:val="20"/>
          <w:szCs w:val="20"/>
        </w:rPr>
        <w:t xml:space="preserve">. POGLAVJE: </w:t>
      </w:r>
      <w:r w:rsidR="00D91782" w:rsidRPr="00215B2F">
        <w:rPr>
          <w:rFonts w:ascii="Arial" w:eastAsia="Arial" w:hAnsi="Arial" w:cs="Arial"/>
          <w:sz w:val="20"/>
          <w:szCs w:val="20"/>
        </w:rPr>
        <w:br/>
        <w:t>UKREPI NADZORA</w:t>
      </w:r>
    </w:p>
    <w:p w14:paraId="2AE828FD"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27793AF8" w14:textId="7E8C9D74" w:rsidR="00D91782" w:rsidRPr="00215B2F" w:rsidRDefault="000A76F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10</w:t>
      </w:r>
      <w:r w:rsidR="00D91782" w:rsidRPr="00215B2F">
        <w:rPr>
          <w:rFonts w:ascii="Arial" w:eastAsia="Arial" w:hAnsi="Arial" w:cs="Arial"/>
          <w:b/>
          <w:bCs/>
          <w:sz w:val="20"/>
          <w:szCs w:val="20"/>
        </w:rPr>
        <w:t>.1 SPLOŠNE DOLOČBE</w:t>
      </w:r>
    </w:p>
    <w:p w14:paraId="70D7F363"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27A11F1E"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84" w:name="_Ref202967073"/>
      <w:r w:rsidRPr="00215B2F">
        <w:rPr>
          <w:rFonts w:ascii="Arial" w:eastAsia="Arial" w:hAnsi="Arial" w:cs="Arial"/>
          <w:b/>
          <w:bCs/>
          <w:sz w:val="20"/>
          <w:szCs w:val="20"/>
        </w:rPr>
        <w:t>člen</w:t>
      </w:r>
      <w:bookmarkEnd w:id="384"/>
    </w:p>
    <w:p w14:paraId="331BD3AA" w14:textId="77777777" w:rsidR="00D91782" w:rsidRPr="00215B2F" w:rsidRDefault="00D91782" w:rsidP="00FD5520">
      <w:pPr>
        <w:pStyle w:val="Slog1"/>
        <w:shd w:val="clear" w:color="auto" w:fill="FFFFFF" w:themeFill="background1"/>
        <w:rPr>
          <w:sz w:val="20"/>
          <w:szCs w:val="20"/>
        </w:rPr>
      </w:pPr>
      <w:r w:rsidRPr="00215B2F">
        <w:rPr>
          <w:sz w:val="20"/>
          <w:szCs w:val="20"/>
        </w:rPr>
        <w:t>(opravljanje nadzora)</w:t>
      </w:r>
    </w:p>
    <w:p w14:paraId="4D93F49A" w14:textId="77777777" w:rsidR="00D91782" w:rsidRPr="00215B2F" w:rsidRDefault="00D91782" w:rsidP="00FD5520">
      <w:pPr>
        <w:pStyle w:val="Slog1"/>
        <w:shd w:val="clear" w:color="auto" w:fill="FFFFFF" w:themeFill="background1"/>
        <w:jc w:val="both"/>
        <w:rPr>
          <w:sz w:val="20"/>
          <w:szCs w:val="20"/>
        </w:rPr>
      </w:pPr>
    </w:p>
    <w:p w14:paraId="401B9B9A" w14:textId="468A061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pri opravljanju nadzora v skladu s tem zakonom izvaja naloge in pristojnosti ter izreka ukrepe nadzora, določene v tem zakonu in Uredb</w:t>
      </w:r>
      <w:r w:rsidR="00C46738" w:rsidRPr="00215B2F">
        <w:rPr>
          <w:rFonts w:ascii="Arial" w:eastAsia="Arial" w:hAnsi="Arial" w:cs="Arial"/>
          <w:sz w:val="20"/>
          <w:szCs w:val="20"/>
        </w:rPr>
        <w:t>i</w:t>
      </w:r>
      <w:r w:rsidRPr="00215B2F">
        <w:rPr>
          <w:rFonts w:ascii="Arial" w:eastAsia="Arial" w:hAnsi="Arial" w:cs="Arial"/>
          <w:sz w:val="20"/>
          <w:szCs w:val="20"/>
        </w:rPr>
        <w:t xml:space="preserve"> 1024/2013/EU, razen če je za izvajanje </w:t>
      </w:r>
      <w:r w:rsidRPr="00215B2F">
        <w:rPr>
          <w:rFonts w:ascii="Arial" w:eastAsia="Arial" w:hAnsi="Arial" w:cs="Arial"/>
          <w:sz w:val="20"/>
          <w:szCs w:val="20"/>
        </w:rPr>
        <w:lastRenderedPageBreak/>
        <w:t>določenih nalog, pristojnosti in ukrepov nadzora, ki jih določa ta zakon, v skladu z Uredbo 1024/2013/EU pristojna Evropska centralna banka.</w:t>
      </w:r>
    </w:p>
    <w:p w14:paraId="5D0DDC39"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E2D2CBF" w14:textId="38101BF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opravlja nadzor v skladu s prejšnjim odstavkom s ciljem, da se:</w:t>
      </w:r>
    </w:p>
    <w:p w14:paraId="67621016"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EAB4CD5" w14:textId="242CDD95" w:rsidR="00EA58C4" w:rsidRPr="00215B2F" w:rsidRDefault="00D91782" w:rsidP="003D4DE0">
      <w:pPr>
        <w:pStyle w:val="tevilnatoka"/>
        <w:numPr>
          <w:ilvl w:val="0"/>
          <w:numId w:val="220"/>
        </w:numPr>
        <w:shd w:val="clear" w:color="auto" w:fill="FFFFFF" w:themeFill="background1"/>
        <w:tabs>
          <w:tab w:val="clear" w:pos="425"/>
        </w:tabs>
        <w:rPr>
          <w:rFonts w:cs="Arial"/>
          <w:bCs/>
          <w:sz w:val="20"/>
          <w:szCs w:val="20"/>
        </w:rPr>
      </w:pPr>
      <w:r w:rsidRPr="00215B2F">
        <w:rPr>
          <w:rFonts w:eastAsia="Arial" w:cs="Arial"/>
          <w:sz w:val="20"/>
          <w:szCs w:val="20"/>
        </w:rPr>
        <w:t xml:space="preserve">preprečijo ali odpravijo kršitve predpisov iz </w:t>
      </w:r>
      <w:r w:rsidR="00702635" w:rsidRPr="00215B2F">
        <w:rPr>
          <w:rFonts w:eastAsia="Arial" w:cs="Arial"/>
          <w:sz w:val="20"/>
          <w:szCs w:val="20"/>
        </w:rPr>
        <w:t>tretjega</w:t>
      </w:r>
      <w:r w:rsidRPr="00215B2F">
        <w:rPr>
          <w:rFonts w:eastAsia="Arial" w:cs="Arial"/>
          <w:sz w:val="20"/>
          <w:szCs w:val="20"/>
        </w:rPr>
        <w:t xml:space="preserve"> odstavka 9. </w:t>
      </w:r>
      <w:r w:rsidR="001F2C7A" w:rsidRPr="00215B2F">
        <w:rPr>
          <w:rFonts w:eastAsia="Arial" w:cs="Arial"/>
          <w:sz w:val="20"/>
          <w:szCs w:val="20"/>
        </w:rPr>
        <w:t>člena tega zakona</w:t>
      </w:r>
      <w:r w:rsidRPr="00215B2F">
        <w:rPr>
          <w:rFonts w:eastAsia="Arial" w:cs="Arial"/>
          <w:sz w:val="20"/>
          <w:szCs w:val="20"/>
        </w:rPr>
        <w:t xml:space="preserve"> ter preprečijo ali odpravijo nepravilnosti, ki ogrožajo ali bi lahko ogrozile varnost sredstev, ki so bila zaupana banki;</w:t>
      </w:r>
    </w:p>
    <w:p w14:paraId="65542716" w14:textId="1E96EA68" w:rsidR="00D91782" w:rsidRPr="00215B2F" w:rsidRDefault="00D91782" w:rsidP="003D4DE0">
      <w:pPr>
        <w:pStyle w:val="tevilnatoka"/>
        <w:numPr>
          <w:ilvl w:val="0"/>
          <w:numId w:val="220"/>
        </w:numPr>
        <w:shd w:val="clear" w:color="auto" w:fill="FFFFFF" w:themeFill="background1"/>
        <w:tabs>
          <w:tab w:val="clear" w:pos="425"/>
        </w:tabs>
        <w:rPr>
          <w:rFonts w:cs="Arial"/>
          <w:bCs/>
          <w:sz w:val="20"/>
          <w:szCs w:val="20"/>
        </w:rPr>
      </w:pPr>
      <w:r w:rsidRPr="00215B2F">
        <w:rPr>
          <w:rFonts w:eastAsia="Arial" w:cs="Arial"/>
          <w:sz w:val="20"/>
          <w:szCs w:val="20"/>
        </w:rPr>
        <w:t>zagotovi stabilnost finančnega sistema.</w:t>
      </w:r>
    </w:p>
    <w:p w14:paraId="5CE70D66" w14:textId="77777777" w:rsidR="00EA58C4" w:rsidRPr="00215B2F" w:rsidRDefault="00EA58C4" w:rsidP="00FD5520">
      <w:pPr>
        <w:shd w:val="clear" w:color="auto" w:fill="FFFFFF" w:themeFill="background1"/>
        <w:spacing w:after="0" w:line="240" w:lineRule="auto"/>
        <w:jc w:val="both"/>
        <w:rPr>
          <w:rFonts w:ascii="Arial" w:eastAsia="Arial" w:hAnsi="Arial" w:cs="Arial"/>
          <w:sz w:val="20"/>
          <w:szCs w:val="20"/>
        </w:rPr>
      </w:pPr>
    </w:p>
    <w:p w14:paraId="686C6822" w14:textId="2CAF51E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opravlja nadzor po tem zakonu:</w:t>
      </w:r>
    </w:p>
    <w:p w14:paraId="59E5F854" w14:textId="77777777" w:rsidR="00EA58C4" w:rsidRPr="00215B2F" w:rsidRDefault="00EA58C4" w:rsidP="00FD5520">
      <w:pPr>
        <w:shd w:val="clear" w:color="auto" w:fill="FFFFFF" w:themeFill="background1"/>
        <w:spacing w:after="0" w:line="240" w:lineRule="auto"/>
        <w:jc w:val="both"/>
        <w:rPr>
          <w:rFonts w:ascii="Arial" w:eastAsia="Arial" w:hAnsi="Arial" w:cs="Arial"/>
          <w:sz w:val="20"/>
          <w:szCs w:val="20"/>
        </w:rPr>
      </w:pPr>
    </w:p>
    <w:p w14:paraId="7D361E53" w14:textId="77777777" w:rsidR="00EA58C4" w:rsidRPr="00215B2F" w:rsidRDefault="00D91782" w:rsidP="003D4DE0">
      <w:pPr>
        <w:pStyle w:val="tevilnatoka"/>
        <w:numPr>
          <w:ilvl w:val="0"/>
          <w:numId w:val="221"/>
        </w:numPr>
        <w:shd w:val="clear" w:color="auto" w:fill="FFFFFF" w:themeFill="background1"/>
        <w:tabs>
          <w:tab w:val="clear" w:pos="425"/>
        </w:tabs>
        <w:rPr>
          <w:rFonts w:cs="Arial"/>
          <w:bCs/>
          <w:sz w:val="20"/>
          <w:szCs w:val="20"/>
        </w:rPr>
      </w:pPr>
      <w:r w:rsidRPr="00215B2F">
        <w:rPr>
          <w:rFonts w:eastAsia="Arial" w:cs="Arial"/>
          <w:sz w:val="20"/>
          <w:szCs w:val="20"/>
        </w:rPr>
        <w:t>z izdajanjem dovoljenj in soglasij;</w:t>
      </w:r>
    </w:p>
    <w:p w14:paraId="7DBD8DB1" w14:textId="226FEFA9" w:rsidR="00EA58C4" w:rsidRPr="00215B2F" w:rsidRDefault="00D91782" w:rsidP="003D4DE0">
      <w:pPr>
        <w:pStyle w:val="tevilnatoka"/>
        <w:numPr>
          <w:ilvl w:val="0"/>
          <w:numId w:val="221"/>
        </w:numPr>
        <w:shd w:val="clear" w:color="auto" w:fill="FFFFFF" w:themeFill="background1"/>
        <w:tabs>
          <w:tab w:val="clear" w:pos="425"/>
        </w:tabs>
        <w:rPr>
          <w:rFonts w:cs="Arial"/>
          <w:bCs/>
          <w:sz w:val="20"/>
          <w:szCs w:val="20"/>
        </w:rPr>
      </w:pPr>
      <w:r w:rsidRPr="00215B2F">
        <w:rPr>
          <w:rFonts w:eastAsia="Arial" w:cs="Arial"/>
          <w:sz w:val="20"/>
          <w:szCs w:val="20"/>
        </w:rPr>
        <w:t xml:space="preserve">s spremljanjem, zbiranjem in preverjanjem informacij </w:t>
      </w:r>
      <w:r w:rsidR="003B0900" w:rsidRPr="00215B2F">
        <w:rPr>
          <w:rFonts w:eastAsia="Arial" w:cs="Arial"/>
          <w:sz w:val="20"/>
          <w:szCs w:val="20"/>
        </w:rPr>
        <w:t xml:space="preserve">od </w:t>
      </w:r>
      <w:r w:rsidRPr="00215B2F">
        <w:rPr>
          <w:rFonts w:eastAsia="Arial" w:cs="Arial"/>
          <w:sz w:val="20"/>
          <w:szCs w:val="20"/>
        </w:rPr>
        <w:t xml:space="preserve">bank ter drugih oseb, ki </w:t>
      </w:r>
      <w:r w:rsidR="003B0900" w:rsidRPr="00215B2F">
        <w:rPr>
          <w:rFonts w:eastAsia="Arial" w:cs="Arial"/>
          <w:sz w:val="20"/>
          <w:szCs w:val="20"/>
        </w:rPr>
        <w:t xml:space="preserve">imajo </w:t>
      </w:r>
      <w:r w:rsidRPr="00215B2F">
        <w:rPr>
          <w:rFonts w:eastAsia="Arial" w:cs="Arial"/>
          <w:sz w:val="20"/>
          <w:szCs w:val="20"/>
        </w:rPr>
        <w:t>po določbah tega zakona oziroma drugih predpisov dolžn</w:t>
      </w:r>
      <w:r w:rsidR="003B0900" w:rsidRPr="00215B2F">
        <w:rPr>
          <w:rFonts w:eastAsia="Arial" w:cs="Arial"/>
          <w:sz w:val="20"/>
          <w:szCs w:val="20"/>
        </w:rPr>
        <w:t>ost</w:t>
      </w:r>
      <w:r w:rsidRPr="00215B2F">
        <w:rPr>
          <w:rFonts w:eastAsia="Arial" w:cs="Arial"/>
          <w:sz w:val="20"/>
          <w:szCs w:val="20"/>
        </w:rPr>
        <w:t xml:space="preserve"> poročati Banki Slovenije oziroma jo obveščati o posameznih dejstvih in okoliščinah;</w:t>
      </w:r>
    </w:p>
    <w:p w14:paraId="62290591" w14:textId="77777777" w:rsidR="00EA58C4" w:rsidRPr="00215B2F" w:rsidRDefault="00D91782" w:rsidP="003D4DE0">
      <w:pPr>
        <w:pStyle w:val="tevilnatoka"/>
        <w:numPr>
          <w:ilvl w:val="0"/>
          <w:numId w:val="221"/>
        </w:numPr>
        <w:shd w:val="clear" w:color="auto" w:fill="FFFFFF" w:themeFill="background1"/>
        <w:tabs>
          <w:tab w:val="clear" w:pos="425"/>
        </w:tabs>
        <w:rPr>
          <w:rFonts w:cs="Arial"/>
          <w:bCs/>
          <w:sz w:val="20"/>
          <w:szCs w:val="20"/>
        </w:rPr>
      </w:pPr>
      <w:r w:rsidRPr="00215B2F">
        <w:rPr>
          <w:rFonts w:eastAsia="Arial" w:cs="Arial"/>
          <w:sz w:val="20"/>
          <w:szCs w:val="20"/>
        </w:rPr>
        <w:t>z opravljanjem pregledov poslovanja bank in drugih oseb, za katere tako določa ta zakon;</w:t>
      </w:r>
    </w:p>
    <w:p w14:paraId="7FCDA359" w14:textId="5E2C3CE5" w:rsidR="00D91782" w:rsidRPr="00215B2F" w:rsidRDefault="00D91782" w:rsidP="003D4DE0">
      <w:pPr>
        <w:pStyle w:val="tevilnatoka"/>
        <w:numPr>
          <w:ilvl w:val="0"/>
          <w:numId w:val="221"/>
        </w:numPr>
        <w:shd w:val="clear" w:color="auto" w:fill="FFFFFF" w:themeFill="background1"/>
        <w:tabs>
          <w:tab w:val="clear" w:pos="425"/>
        </w:tabs>
        <w:rPr>
          <w:rFonts w:cs="Arial"/>
          <w:bCs/>
          <w:sz w:val="20"/>
          <w:szCs w:val="20"/>
        </w:rPr>
      </w:pPr>
      <w:r w:rsidRPr="00215B2F">
        <w:rPr>
          <w:rFonts w:eastAsia="Arial" w:cs="Arial"/>
          <w:sz w:val="20"/>
          <w:szCs w:val="20"/>
        </w:rPr>
        <w:t>z izrekanjem ukrepov nadzora.</w:t>
      </w:r>
    </w:p>
    <w:p w14:paraId="508BB733"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F007E1A" w14:textId="1CFE3D4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V zvezi z izrekanjem ukrepov pri opravljanju nadzora na podlagi tega zakona mora Banka Slovenije glede na informacije, s katerimi razpolaga v času odločanja in zlasti v primeru kriznih razmer, ustrezno upoštevati možn</w:t>
      </w:r>
      <w:r w:rsidR="00525CEF" w:rsidRPr="00215B2F">
        <w:rPr>
          <w:rFonts w:ascii="Arial" w:eastAsia="Arial" w:hAnsi="Arial" w:cs="Arial"/>
          <w:sz w:val="20"/>
          <w:szCs w:val="20"/>
        </w:rPr>
        <w:t>i</w:t>
      </w:r>
      <w:r w:rsidRPr="00215B2F">
        <w:rPr>
          <w:rFonts w:ascii="Arial" w:eastAsia="Arial" w:hAnsi="Arial" w:cs="Arial"/>
          <w:sz w:val="20"/>
          <w:szCs w:val="20"/>
        </w:rPr>
        <w:t xml:space="preserve"> vpliv svojih odločitev na stabilnost finančnega sistema držav članic.</w:t>
      </w:r>
    </w:p>
    <w:p w14:paraId="7906F421"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20F26D29" w14:textId="47A9FA4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Kadar je v skladu z Uredbo 1024/2013/EU v zvezi z opravljanjem nadzora nad banko za izvajanje vseh ali posameznih nalog iz prvega odstavka 4. člena </w:t>
      </w:r>
      <w:r w:rsidR="00091BC8" w:rsidRPr="00215B2F">
        <w:rPr>
          <w:rFonts w:ascii="Arial" w:eastAsia="Arial" w:hAnsi="Arial" w:cs="Arial"/>
          <w:sz w:val="20"/>
          <w:szCs w:val="20"/>
        </w:rPr>
        <w:t>navedene uredbe</w:t>
      </w:r>
      <w:r w:rsidRPr="00215B2F">
        <w:rPr>
          <w:rFonts w:ascii="Arial" w:eastAsia="Arial" w:hAnsi="Arial" w:cs="Arial"/>
          <w:sz w:val="20"/>
          <w:szCs w:val="20"/>
        </w:rPr>
        <w:t xml:space="preserve"> odgovorna Evropska centralna banka, ta izvaja naloge in pooblastila ter izreka tudi ukrepe nadzora, k</w:t>
      </w:r>
      <w:r w:rsidR="006B0B0E" w:rsidRPr="00215B2F">
        <w:rPr>
          <w:rFonts w:ascii="Arial" w:eastAsia="Arial" w:hAnsi="Arial" w:cs="Arial"/>
          <w:sz w:val="20"/>
          <w:szCs w:val="20"/>
        </w:rPr>
        <w:t>akor</w:t>
      </w:r>
      <w:r w:rsidRPr="00215B2F">
        <w:rPr>
          <w:rFonts w:ascii="Arial" w:eastAsia="Arial" w:hAnsi="Arial" w:cs="Arial"/>
          <w:sz w:val="20"/>
          <w:szCs w:val="20"/>
        </w:rPr>
        <w:t xml:space="preserve"> so določeni v tem zakonu za izvajanje nalog in pooblastil Banke Slovenije, razen če je za izvajanje določenih nalog Evropske centralne banke v Uredbi 1024/2013/EU ali Uredbi 468/2014/EU izrecno določeno drugače.</w:t>
      </w:r>
    </w:p>
    <w:p w14:paraId="42617A70"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F527CD6" w14:textId="482B5B7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Kadar subjekt nadzora vloži pri Banki Slovenije vlogo na podlagi tega zakona ali Uredbe 575/2013/EU, za reševanje katere je na podlagi Uredbe 1024/2013/EU pristojna Evropska centralna banka, Banka Slovenije to vlogo z obrazloženim sklepom zavrže, razen če se mora taka vloga v skladu z Uredbo 1024/2013/EU vložiti pri Banki Slovenije. Zoper sklep Banke Slovenije o zavrženju vloge iz prejšnjega stavka ni sodnega varstva.</w:t>
      </w:r>
    </w:p>
    <w:p w14:paraId="6A8BE76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438FCBD"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85" w:name="_Ref202967086"/>
      <w:r w:rsidRPr="00215B2F">
        <w:rPr>
          <w:rFonts w:ascii="Arial" w:eastAsia="Arial" w:hAnsi="Arial" w:cs="Arial"/>
          <w:b/>
          <w:bCs/>
          <w:sz w:val="20"/>
          <w:szCs w:val="20"/>
        </w:rPr>
        <w:t>člen</w:t>
      </w:r>
      <w:bookmarkEnd w:id="385"/>
    </w:p>
    <w:p w14:paraId="07C0CDB7" w14:textId="77777777" w:rsidR="00D91782" w:rsidRPr="00215B2F" w:rsidRDefault="00D91782" w:rsidP="00FD5520">
      <w:pPr>
        <w:pStyle w:val="Slog1"/>
        <w:shd w:val="clear" w:color="auto" w:fill="FFFFFF" w:themeFill="background1"/>
        <w:rPr>
          <w:sz w:val="20"/>
          <w:szCs w:val="20"/>
        </w:rPr>
      </w:pPr>
      <w:r w:rsidRPr="00215B2F">
        <w:rPr>
          <w:sz w:val="20"/>
          <w:szCs w:val="20"/>
        </w:rPr>
        <w:t>(načrt nadzorniških pregledov)</w:t>
      </w:r>
    </w:p>
    <w:p w14:paraId="0AA0AAA5" w14:textId="77777777" w:rsidR="00D91782" w:rsidRPr="00215B2F" w:rsidRDefault="00D91782" w:rsidP="00FD5520">
      <w:pPr>
        <w:pStyle w:val="Slog1"/>
        <w:shd w:val="clear" w:color="auto" w:fill="FFFFFF" w:themeFill="background1"/>
        <w:jc w:val="both"/>
        <w:rPr>
          <w:sz w:val="20"/>
          <w:szCs w:val="20"/>
        </w:rPr>
      </w:pPr>
    </w:p>
    <w:p w14:paraId="50BF222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v zvezi z izvajanjem nalog in pooblastil nadzora v skladu s tem zakonom in Uredbo 1024/2013/EU vsaj enkrat letno sprejme načrt nadzorniških pregledov.</w:t>
      </w:r>
    </w:p>
    <w:p w14:paraId="04D99006" w14:textId="77777777" w:rsidR="00D6744C" w:rsidRPr="00215B2F" w:rsidRDefault="00D6744C" w:rsidP="00FD5520">
      <w:pPr>
        <w:shd w:val="clear" w:color="auto" w:fill="FFFFFF" w:themeFill="background1"/>
        <w:spacing w:after="0" w:line="240" w:lineRule="auto"/>
        <w:jc w:val="both"/>
        <w:rPr>
          <w:rFonts w:ascii="Arial" w:eastAsia="Arial" w:hAnsi="Arial" w:cs="Arial"/>
          <w:sz w:val="20"/>
          <w:szCs w:val="20"/>
        </w:rPr>
      </w:pPr>
    </w:p>
    <w:p w14:paraId="4F8E246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v načrtu iz prejšnjega odstavka opredeli:</w:t>
      </w:r>
    </w:p>
    <w:p w14:paraId="794ADDC9"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3040B222" w14:textId="68ECD30E" w:rsidR="00EA58C4" w:rsidRPr="00215B2F" w:rsidRDefault="00D91782" w:rsidP="003D4DE0">
      <w:pPr>
        <w:pStyle w:val="tevilnatoka"/>
        <w:numPr>
          <w:ilvl w:val="0"/>
          <w:numId w:val="222"/>
        </w:numPr>
        <w:shd w:val="clear" w:color="auto" w:fill="FFFFFF" w:themeFill="background1"/>
        <w:tabs>
          <w:tab w:val="clear" w:pos="425"/>
        </w:tabs>
        <w:rPr>
          <w:rFonts w:cs="Arial"/>
          <w:bCs/>
          <w:sz w:val="20"/>
          <w:szCs w:val="20"/>
        </w:rPr>
      </w:pPr>
      <w:r w:rsidRPr="00215B2F">
        <w:rPr>
          <w:rFonts w:eastAsia="Arial" w:cs="Arial"/>
          <w:sz w:val="20"/>
          <w:szCs w:val="20"/>
        </w:rPr>
        <w:t xml:space="preserve">banke, za katere je na podlagi rezultatov pregledovanja in ovrednotenja poslovanja banke v skladu z </w:t>
      </w:r>
      <w:r w:rsidR="005B0CC7" w:rsidRPr="00215B2F">
        <w:rPr>
          <w:rFonts w:eastAsia="Arial" w:cs="Arial"/>
          <w:sz w:val="20"/>
          <w:szCs w:val="20"/>
        </w:rPr>
        <w:t>o</w:t>
      </w:r>
      <w:r w:rsidR="001F2C7A" w:rsidRPr="00215B2F">
        <w:rPr>
          <w:rFonts w:eastAsia="Arial" w:cs="Arial"/>
          <w:sz w:val="20"/>
          <w:szCs w:val="20"/>
        </w:rPr>
        <w:t>ddelkom</w:t>
      </w:r>
      <w:r w:rsidRPr="00215B2F">
        <w:rPr>
          <w:rFonts w:eastAsia="Arial" w:cs="Arial"/>
          <w:sz w:val="20"/>
          <w:szCs w:val="20"/>
        </w:rPr>
        <w:t xml:space="preserve"> 6.6 tega zakona, vključno z rezultati stresnih testov, izvedenih v skladu </w:t>
      </w:r>
      <w:r w:rsidR="00544C97" w:rsidRPr="00215B2F">
        <w:rPr>
          <w:rFonts w:eastAsia="Arial" w:cs="Arial"/>
          <w:sz w:val="20"/>
          <w:szCs w:val="20"/>
        </w:rPr>
        <w:t xml:space="preserve">z </w:t>
      </w:r>
      <w:r w:rsidR="0013101D" w:rsidRPr="00215B2F">
        <w:rPr>
          <w:rFonts w:eastAsia="Arial" w:cs="Arial"/>
          <w:sz w:val="20"/>
          <w:szCs w:val="20"/>
        </w:rPr>
        <w:t>223</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 ugotovila obstoj morebitnih pomembnih tveganj za njihovo finančno trdnost ali morebitnih kršitev določb tega zakona ali Uredbe 575/2013/EU;</w:t>
      </w:r>
    </w:p>
    <w:p w14:paraId="18624CCE" w14:textId="6069B7AB" w:rsidR="00D91782" w:rsidRPr="00215B2F" w:rsidRDefault="00D91782" w:rsidP="003D4DE0">
      <w:pPr>
        <w:pStyle w:val="tevilnatoka"/>
        <w:numPr>
          <w:ilvl w:val="0"/>
          <w:numId w:val="222"/>
        </w:numPr>
        <w:shd w:val="clear" w:color="auto" w:fill="FFFFFF" w:themeFill="background1"/>
        <w:tabs>
          <w:tab w:val="clear" w:pos="425"/>
        </w:tabs>
        <w:rPr>
          <w:rFonts w:cs="Arial"/>
          <w:bCs/>
          <w:sz w:val="20"/>
          <w:szCs w:val="20"/>
        </w:rPr>
      </w:pPr>
      <w:r w:rsidRPr="00215B2F">
        <w:rPr>
          <w:rFonts w:eastAsia="Arial" w:cs="Arial"/>
          <w:sz w:val="20"/>
          <w:szCs w:val="20"/>
        </w:rPr>
        <w:t xml:space="preserve">druge banke, v katerih je po </w:t>
      </w:r>
      <w:r w:rsidR="00296D40" w:rsidRPr="00215B2F">
        <w:rPr>
          <w:rFonts w:eastAsia="Arial" w:cs="Arial"/>
          <w:sz w:val="20"/>
          <w:szCs w:val="20"/>
        </w:rPr>
        <w:t xml:space="preserve">njeni </w:t>
      </w:r>
      <w:r w:rsidRPr="00215B2F">
        <w:rPr>
          <w:rFonts w:eastAsia="Arial" w:cs="Arial"/>
          <w:sz w:val="20"/>
          <w:szCs w:val="20"/>
        </w:rPr>
        <w:t>oceni upravičen okrepljen</w:t>
      </w:r>
      <w:r w:rsidR="00296D40" w:rsidRPr="00215B2F">
        <w:rPr>
          <w:rFonts w:eastAsia="Arial" w:cs="Arial"/>
          <w:sz w:val="20"/>
          <w:szCs w:val="20"/>
        </w:rPr>
        <w:t>i</w:t>
      </w:r>
      <w:r w:rsidRPr="00215B2F">
        <w:rPr>
          <w:rFonts w:eastAsia="Arial" w:cs="Arial"/>
          <w:sz w:val="20"/>
          <w:szCs w:val="20"/>
        </w:rPr>
        <w:t xml:space="preserve"> nadzor zaradi drugih okoliščin.</w:t>
      </w:r>
    </w:p>
    <w:p w14:paraId="0572ACAD"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E2929BF" w14:textId="107FCA2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z upoštevanjem rezultatov </w:t>
      </w:r>
      <w:r w:rsidR="00A35BCD" w:rsidRPr="00215B2F">
        <w:rPr>
          <w:rFonts w:ascii="Arial" w:eastAsia="Arial" w:hAnsi="Arial" w:cs="Arial"/>
          <w:sz w:val="20"/>
          <w:szCs w:val="20"/>
        </w:rPr>
        <w:t xml:space="preserve">procesa </w:t>
      </w:r>
      <w:r w:rsidRPr="00215B2F">
        <w:rPr>
          <w:rFonts w:ascii="Arial" w:eastAsia="Arial" w:hAnsi="Arial" w:cs="Arial"/>
          <w:sz w:val="20"/>
          <w:szCs w:val="20"/>
        </w:rPr>
        <w:t xml:space="preserve">nadzorniškega pregledovanja in ovrednotenja banke v skladu z </w:t>
      </w:r>
      <w:r w:rsidR="005B0CC7" w:rsidRPr="00215B2F">
        <w:rPr>
          <w:rFonts w:ascii="Arial" w:eastAsia="Arial" w:hAnsi="Arial" w:cs="Arial"/>
          <w:sz w:val="20"/>
          <w:szCs w:val="20"/>
        </w:rPr>
        <w:t>o</w:t>
      </w:r>
      <w:r w:rsidR="001F2C7A" w:rsidRPr="00215B2F">
        <w:rPr>
          <w:rFonts w:ascii="Arial" w:eastAsia="Arial" w:hAnsi="Arial" w:cs="Arial"/>
          <w:sz w:val="20"/>
          <w:szCs w:val="20"/>
        </w:rPr>
        <w:t>ddelkom</w:t>
      </w:r>
      <w:r w:rsidRPr="00215B2F">
        <w:rPr>
          <w:rFonts w:ascii="Arial" w:eastAsia="Arial" w:hAnsi="Arial" w:cs="Arial"/>
          <w:sz w:val="20"/>
          <w:szCs w:val="20"/>
        </w:rPr>
        <w:t xml:space="preserve"> 6.6 tega zakona v načrtu nadzorniških pregledov za banke iz prejšnjega odstavka opredeli:</w:t>
      </w:r>
    </w:p>
    <w:p w14:paraId="6EB6C4E2"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BA00224" w14:textId="39CFE1C3" w:rsidR="00EA58C4" w:rsidRPr="00215B2F" w:rsidRDefault="00D91782" w:rsidP="003D4DE0">
      <w:pPr>
        <w:pStyle w:val="tevilnatoka"/>
        <w:numPr>
          <w:ilvl w:val="0"/>
          <w:numId w:val="223"/>
        </w:numPr>
        <w:shd w:val="clear" w:color="auto" w:fill="FFFFFF" w:themeFill="background1"/>
        <w:tabs>
          <w:tab w:val="clear" w:pos="425"/>
        </w:tabs>
        <w:rPr>
          <w:rFonts w:cs="Arial"/>
          <w:bCs/>
          <w:sz w:val="20"/>
          <w:szCs w:val="20"/>
        </w:rPr>
      </w:pPr>
      <w:r w:rsidRPr="00215B2F">
        <w:rPr>
          <w:rFonts w:eastAsia="Arial" w:cs="Arial"/>
          <w:sz w:val="20"/>
          <w:szCs w:val="20"/>
        </w:rPr>
        <w:t>aktivnosti, ki jih bo izvajala v posamezni banki</w:t>
      </w:r>
      <w:r w:rsidR="00FD29B7" w:rsidRPr="00215B2F">
        <w:rPr>
          <w:rFonts w:eastAsia="Arial" w:cs="Arial"/>
          <w:sz w:val="20"/>
          <w:szCs w:val="20"/>
        </w:rPr>
        <w:t>,</w:t>
      </w:r>
      <w:r w:rsidRPr="00215B2F">
        <w:rPr>
          <w:rFonts w:eastAsia="Arial" w:cs="Arial"/>
          <w:sz w:val="20"/>
          <w:szCs w:val="20"/>
        </w:rPr>
        <w:t xml:space="preserve"> </w:t>
      </w:r>
      <w:r w:rsidR="00FD29B7" w:rsidRPr="00215B2F">
        <w:rPr>
          <w:rFonts w:eastAsia="Arial" w:cs="Arial"/>
          <w:sz w:val="20"/>
          <w:szCs w:val="20"/>
        </w:rPr>
        <w:t xml:space="preserve">in </w:t>
      </w:r>
      <w:r w:rsidRPr="00215B2F">
        <w:rPr>
          <w:rFonts w:eastAsia="Arial" w:cs="Arial"/>
          <w:sz w:val="20"/>
          <w:szCs w:val="20"/>
        </w:rPr>
        <w:t>pogoje za njihovo izvedbo;</w:t>
      </w:r>
    </w:p>
    <w:p w14:paraId="169306DA" w14:textId="0387E1F7" w:rsidR="00EA58C4" w:rsidRPr="00215B2F" w:rsidRDefault="00D91782" w:rsidP="003D4DE0">
      <w:pPr>
        <w:pStyle w:val="tevilnatoka"/>
        <w:numPr>
          <w:ilvl w:val="0"/>
          <w:numId w:val="223"/>
        </w:numPr>
        <w:shd w:val="clear" w:color="auto" w:fill="FFFFFF" w:themeFill="background1"/>
        <w:tabs>
          <w:tab w:val="clear" w:pos="425"/>
        </w:tabs>
        <w:rPr>
          <w:rFonts w:cs="Arial"/>
          <w:bCs/>
          <w:sz w:val="20"/>
          <w:szCs w:val="20"/>
        </w:rPr>
      </w:pPr>
      <w:r w:rsidRPr="00215B2F">
        <w:rPr>
          <w:rFonts w:eastAsia="Arial" w:cs="Arial"/>
          <w:sz w:val="20"/>
          <w:szCs w:val="20"/>
        </w:rPr>
        <w:t>banke, za katere se bo izvajal okrepljen</w:t>
      </w:r>
      <w:r w:rsidR="00FD29B7" w:rsidRPr="00215B2F">
        <w:rPr>
          <w:rFonts w:eastAsia="Arial" w:cs="Arial"/>
          <w:sz w:val="20"/>
          <w:szCs w:val="20"/>
        </w:rPr>
        <w:t>i</w:t>
      </w:r>
      <w:r w:rsidRPr="00215B2F">
        <w:rPr>
          <w:rFonts w:eastAsia="Arial" w:cs="Arial"/>
          <w:sz w:val="20"/>
          <w:szCs w:val="20"/>
        </w:rPr>
        <w:t xml:space="preserve"> nadzor na način iz četrtega </w:t>
      </w:r>
      <w:r w:rsidR="00746E88" w:rsidRPr="00215B2F">
        <w:rPr>
          <w:rFonts w:eastAsia="Arial" w:cs="Arial"/>
          <w:sz w:val="20"/>
          <w:szCs w:val="20"/>
        </w:rPr>
        <w:t>odstavka tega člena</w:t>
      </w:r>
      <w:r w:rsidRPr="00215B2F">
        <w:rPr>
          <w:rFonts w:eastAsia="Arial" w:cs="Arial"/>
          <w:sz w:val="20"/>
          <w:szCs w:val="20"/>
        </w:rPr>
        <w:t>;</w:t>
      </w:r>
    </w:p>
    <w:p w14:paraId="6BEA86CB" w14:textId="7910DA48" w:rsidR="00D91782" w:rsidRPr="00215B2F" w:rsidRDefault="00D91782" w:rsidP="003D4DE0">
      <w:pPr>
        <w:pStyle w:val="tevilnatoka"/>
        <w:numPr>
          <w:ilvl w:val="0"/>
          <w:numId w:val="223"/>
        </w:numPr>
        <w:shd w:val="clear" w:color="auto" w:fill="FFFFFF" w:themeFill="background1"/>
        <w:tabs>
          <w:tab w:val="clear" w:pos="425"/>
        </w:tabs>
        <w:rPr>
          <w:rFonts w:cs="Arial"/>
          <w:bCs/>
          <w:sz w:val="20"/>
          <w:szCs w:val="20"/>
        </w:rPr>
      </w:pPr>
      <w:r w:rsidRPr="00215B2F">
        <w:rPr>
          <w:rFonts w:eastAsia="Arial" w:cs="Arial"/>
          <w:sz w:val="20"/>
          <w:szCs w:val="20"/>
        </w:rPr>
        <w:t>načrt inšpekcijskih pregledov v prostorih banke, vključno z njenimi podružnicami in podrejenimi družbami, ustanovljenimi v drugih državah.</w:t>
      </w:r>
    </w:p>
    <w:p w14:paraId="1624A39F"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F41FC81" w14:textId="4708D5E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Kadar Banka Slovenije z upoštevanjem rezultatov </w:t>
      </w:r>
      <w:r w:rsidR="00A35BCD" w:rsidRPr="00215B2F">
        <w:rPr>
          <w:rFonts w:ascii="Arial" w:eastAsia="Arial" w:hAnsi="Arial" w:cs="Arial"/>
          <w:sz w:val="20"/>
          <w:szCs w:val="20"/>
        </w:rPr>
        <w:t xml:space="preserve">procesa </w:t>
      </w:r>
      <w:r w:rsidRPr="00215B2F">
        <w:rPr>
          <w:rFonts w:ascii="Arial" w:eastAsia="Arial" w:hAnsi="Arial" w:cs="Arial"/>
          <w:sz w:val="20"/>
          <w:szCs w:val="20"/>
        </w:rPr>
        <w:t xml:space="preserve">nadzorniškega pregledovanja in ovrednotenja banke v skladu z </w:t>
      </w:r>
      <w:r w:rsidR="005B0CC7" w:rsidRPr="00215B2F">
        <w:rPr>
          <w:rFonts w:ascii="Arial" w:eastAsia="Arial" w:hAnsi="Arial" w:cs="Arial"/>
          <w:sz w:val="20"/>
          <w:szCs w:val="20"/>
        </w:rPr>
        <w:t>o</w:t>
      </w:r>
      <w:r w:rsidR="001F2C7A" w:rsidRPr="00215B2F">
        <w:rPr>
          <w:rFonts w:ascii="Arial" w:eastAsia="Arial" w:hAnsi="Arial" w:cs="Arial"/>
          <w:sz w:val="20"/>
          <w:szCs w:val="20"/>
        </w:rPr>
        <w:t>ddelkom</w:t>
      </w:r>
      <w:r w:rsidRPr="00215B2F">
        <w:rPr>
          <w:rFonts w:ascii="Arial" w:eastAsia="Arial" w:hAnsi="Arial" w:cs="Arial"/>
          <w:sz w:val="20"/>
          <w:szCs w:val="20"/>
        </w:rPr>
        <w:t xml:space="preserve"> 6.6 tega zakona odloči, da se v banki izvaja okrepljen</w:t>
      </w:r>
      <w:r w:rsidR="00FD29B7" w:rsidRPr="00215B2F">
        <w:rPr>
          <w:rFonts w:ascii="Arial" w:eastAsia="Arial" w:hAnsi="Arial" w:cs="Arial"/>
          <w:sz w:val="20"/>
          <w:szCs w:val="20"/>
        </w:rPr>
        <w:t>i</w:t>
      </w:r>
      <w:r w:rsidRPr="00215B2F">
        <w:rPr>
          <w:rFonts w:ascii="Arial" w:eastAsia="Arial" w:hAnsi="Arial" w:cs="Arial"/>
          <w:sz w:val="20"/>
          <w:szCs w:val="20"/>
        </w:rPr>
        <w:t xml:space="preserve"> nadzor, v načrtu nadzorniških pregledov opredeli zlasti naslednje aktivnosti oziroma ukrepe:</w:t>
      </w:r>
    </w:p>
    <w:p w14:paraId="0EA8231F"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189C611A" w14:textId="77777777" w:rsidR="00EA58C4" w:rsidRPr="00215B2F" w:rsidRDefault="00D91782" w:rsidP="003D4DE0">
      <w:pPr>
        <w:pStyle w:val="tevilnatoka"/>
        <w:numPr>
          <w:ilvl w:val="0"/>
          <w:numId w:val="224"/>
        </w:numPr>
        <w:shd w:val="clear" w:color="auto" w:fill="FFFFFF" w:themeFill="background1"/>
        <w:tabs>
          <w:tab w:val="clear" w:pos="425"/>
        </w:tabs>
        <w:rPr>
          <w:rFonts w:cs="Arial"/>
          <w:bCs/>
          <w:sz w:val="20"/>
          <w:szCs w:val="20"/>
        </w:rPr>
      </w:pPr>
      <w:r w:rsidRPr="00215B2F">
        <w:rPr>
          <w:rFonts w:eastAsia="Arial" w:cs="Arial"/>
          <w:sz w:val="20"/>
          <w:szCs w:val="20"/>
        </w:rPr>
        <w:t>dodatno ali pogostejše izvajanje pregledov poslovanja banke;</w:t>
      </w:r>
    </w:p>
    <w:p w14:paraId="6466BF14" w14:textId="77777777" w:rsidR="00EA58C4" w:rsidRPr="00215B2F" w:rsidRDefault="00D91782" w:rsidP="003D4DE0">
      <w:pPr>
        <w:pStyle w:val="tevilnatoka"/>
        <w:numPr>
          <w:ilvl w:val="0"/>
          <w:numId w:val="224"/>
        </w:numPr>
        <w:shd w:val="clear" w:color="auto" w:fill="FFFFFF" w:themeFill="background1"/>
        <w:tabs>
          <w:tab w:val="clear" w:pos="425"/>
        </w:tabs>
        <w:rPr>
          <w:rFonts w:cs="Arial"/>
          <w:bCs/>
          <w:sz w:val="20"/>
          <w:szCs w:val="20"/>
        </w:rPr>
      </w:pPr>
      <w:r w:rsidRPr="00215B2F">
        <w:rPr>
          <w:rFonts w:eastAsia="Arial" w:cs="Arial"/>
          <w:sz w:val="20"/>
          <w:szCs w:val="20"/>
        </w:rPr>
        <w:t>odreditev stalne prisotnosti inšpektorjev ali drugih pooblaščenih oseb Banke Slovenije v banki;</w:t>
      </w:r>
    </w:p>
    <w:p w14:paraId="0FB68EBA" w14:textId="77777777" w:rsidR="00EA58C4" w:rsidRPr="00215B2F" w:rsidRDefault="00D91782" w:rsidP="003D4DE0">
      <w:pPr>
        <w:pStyle w:val="tevilnatoka"/>
        <w:numPr>
          <w:ilvl w:val="0"/>
          <w:numId w:val="224"/>
        </w:numPr>
        <w:shd w:val="clear" w:color="auto" w:fill="FFFFFF" w:themeFill="background1"/>
        <w:tabs>
          <w:tab w:val="clear" w:pos="425"/>
        </w:tabs>
        <w:rPr>
          <w:rFonts w:cs="Arial"/>
          <w:bCs/>
          <w:sz w:val="20"/>
          <w:szCs w:val="20"/>
        </w:rPr>
      </w:pPr>
      <w:r w:rsidRPr="00215B2F">
        <w:rPr>
          <w:rFonts w:eastAsia="Arial" w:cs="Arial"/>
          <w:sz w:val="20"/>
          <w:szCs w:val="20"/>
        </w:rPr>
        <w:t>dodatno ali pogostejše poročanje banke;</w:t>
      </w:r>
    </w:p>
    <w:p w14:paraId="0F09556B" w14:textId="77777777" w:rsidR="00EA58C4" w:rsidRPr="00215B2F" w:rsidRDefault="00D91782" w:rsidP="003D4DE0">
      <w:pPr>
        <w:pStyle w:val="tevilnatoka"/>
        <w:numPr>
          <w:ilvl w:val="0"/>
          <w:numId w:val="224"/>
        </w:numPr>
        <w:shd w:val="clear" w:color="auto" w:fill="FFFFFF" w:themeFill="background1"/>
        <w:tabs>
          <w:tab w:val="clear" w:pos="425"/>
        </w:tabs>
        <w:rPr>
          <w:rFonts w:cs="Arial"/>
          <w:bCs/>
          <w:sz w:val="20"/>
          <w:szCs w:val="20"/>
        </w:rPr>
      </w:pPr>
      <w:r w:rsidRPr="00215B2F">
        <w:rPr>
          <w:rFonts w:eastAsia="Arial" w:cs="Arial"/>
          <w:sz w:val="20"/>
          <w:szCs w:val="20"/>
        </w:rPr>
        <w:t>dodatne ali pogostejše preglede operativnih, strateških ali poslovnih načrtov banke;</w:t>
      </w:r>
    </w:p>
    <w:p w14:paraId="170E475A" w14:textId="020CD864" w:rsidR="00D91782" w:rsidRPr="00215B2F" w:rsidRDefault="00D91782" w:rsidP="003D4DE0">
      <w:pPr>
        <w:pStyle w:val="tevilnatoka"/>
        <w:numPr>
          <w:ilvl w:val="0"/>
          <w:numId w:val="224"/>
        </w:numPr>
        <w:shd w:val="clear" w:color="auto" w:fill="FFFFFF" w:themeFill="background1"/>
        <w:tabs>
          <w:tab w:val="clear" w:pos="425"/>
        </w:tabs>
        <w:rPr>
          <w:rFonts w:cs="Arial"/>
          <w:bCs/>
          <w:sz w:val="20"/>
          <w:szCs w:val="20"/>
        </w:rPr>
      </w:pPr>
      <w:r w:rsidRPr="00215B2F">
        <w:rPr>
          <w:rFonts w:eastAsia="Arial" w:cs="Arial"/>
          <w:sz w:val="20"/>
          <w:szCs w:val="20"/>
        </w:rPr>
        <w:t>tematske preglede za preverjanje izpostavljenosti banke specifičnim tveganjem, za kater</w:t>
      </w:r>
      <w:r w:rsidR="00FD29B7" w:rsidRPr="00215B2F">
        <w:rPr>
          <w:rFonts w:eastAsia="Arial" w:cs="Arial"/>
          <w:sz w:val="20"/>
          <w:szCs w:val="20"/>
        </w:rPr>
        <w:t>a</w:t>
      </w:r>
      <w:r w:rsidRPr="00215B2F">
        <w:rPr>
          <w:rFonts w:eastAsia="Arial" w:cs="Arial"/>
          <w:sz w:val="20"/>
          <w:szCs w:val="20"/>
        </w:rPr>
        <w:t xml:space="preserve"> je verjetno, da se bodo uresničila.</w:t>
      </w:r>
    </w:p>
    <w:p w14:paraId="3CC8529A"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9D3F3FB" w14:textId="4811929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Banka Slovenije lahko ne glede na načrte nadzorniških pregledov pristojnih organov matične države članice izvaja pristojnosti in naloge nadzora, vključno s pregledom poslovanja</w:t>
      </w:r>
      <w:r w:rsidR="00FD29B7" w:rsidRPr="00215B2F">
        <w:rPr>
          <w:rFonts w:ascii="Arial" w:eastAsia="Arial" w:hAnsi="Arial" w:cs="Arial"/>
          <w:sz w:val="20"/>
          <w:szCs w:val="20"/>
        </w:rPr>
        <w:t>,</w:t>
      </w:r>
      <w:r w:rsidRPr="00215B2F">
        <w:rPr>
          <w:rFonts w:ascii="Arial" w:eastAsia="Arial" w:hAnsi="Arial" w:cs="Arial"/>
          <w:sz w:val="20"/>
          <w:szCs w:val="20"/>
        </w:rPr>
        <w:t xml:space="preserve"> v podružnicah bank držav članic v Republiki Sloveniji.</w:t>
      </w:r>
    </w:p>
    <w:p w14:paraId="7343A51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52088EC"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86" w:name="_Ref202967101"/>
      <w:r w:rsidRPr="00215B2F">
        <w:rPr>
          <w:rFonts w:ascii="Arial" w:eastAsia="Arial" w:hAnsi="Arial" w:cs="Arial"/>
          <w:b/>
          <w:bCs/>
          <w:sz w:val="20"/>
          <w:szCs w:val="20"/>
        </w:rPr>
        <w:t>člen</w:t>
      </w:r>
      <w:bookmarkEnd w:id="386"/>
    </w:p>
    <w:p w14:paraId="1FA52E12" w14:textId="77777777" w:rsidR="00D91782" w:rsidRPr="00215B2F" w:rsidRDefault="00D91782" w:rsidP="00FD5520">
      <w:pPr>
        <w:pStyle w:val="Slog1"/>
        <w:shd w:val="clear" w:color="auto" w:fill="FFFFFF" w:themeFill="background1"/>
        <w:rPr>
          <w:sz w:val="20"/>
          <w:szCs w:val="20"/>
        </w:rPr>
      </w:pPr>
      <w:r w:rsidRPr="00215B2F">
        <w:rPr>
          <w:sz w:val="20"/>
          <w:szCs w:val="20"/>
        </w:rPr>
        <w:t>(ukrepi Banke Slovenije in nadzorniško pismo)</w:t>
      </w:r>
    </w:p>
    <w:p w14:paraId="1EE51F9D" w14:textId="77777777" w:rsidR="00D91782" w:rsidRPr="00215B2F" w:rsidRDefault="00D91782" w:rsidP="00FD5520">
      <w:pPr>
        <w:pStyle w:val="Slog1"/>
        <w:shd w:val="clear" w:color="auto" w:fill="FFFFFF" w:themeFill="background1"/>
        <w:jc w:val="both"/>
        <w:rPr>
          <w:sz w:val="20"/>
          <w:szCs w:val="20"/>
        </w:rPr>
      </w:pPr>
    </w:p>
    <w:p w14:paraId="56FA90E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lahko pod pogoji, določenimi v tem zakonu, osebam, nad katerimi izvaja pristojnosti in naloge nadzora v skladu s tem zakonom (subjekt nadzora), izreče ukrepe nadzora z odredbo ali odločbo.</w:t>
      </w:r>
    </w:p>
    <w:p w14:paraId="7B1FA382"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65965AC4" w14:textId="33EAC7C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pri določanju ukrepov nadzora upošteva vse okoliščine glede kršitve, da se z izrečenimi ukrepi nadzora zagotovi učinkovita odprava kršitev in prepreči nadaljnj</w:t>
      </w:r>
      <w:r w:rsidR="00F94D78" w:rsidRPr="00215B2F">
        <w:rPr>
          <w:rFonts w:ascii="Arial" w:eastAsia="Arial" w:hAnsi="Arial" w:cs="Arial"/>
          <w:sz w:val="20"/>
          <w:szCs w:val="20"/>
        </w:rPr>
        <w:t>e</w:t>
      </w:r>
      <w:r w:rsidRPr="00215B2F">
        <w:rPr>
          <w:rFonts w:ascii="Arial" w:eastAsia="Arial" w:hAnsi="Arial" w:cs="Arial"/>
          <w:sz w:val="20"/>
          <w:szCs w:val="20"/>
        </w:rPr>
        <w:t xml:space="preserve"> ravnanj</w:t>
      </w:r>
      <w:r w:rsidR="00F94D78" w:rsidRPr="00215B2F">
        <w:rPr>
          <w:rFonts w:ascii="Arial" w:eastAsia="Arial" w:hAnsi="Arial" w:cs="Arial"/>
          <w:sz w:val="20"/>
          <w:szCs w:val="20"/>
        </w:rPr>
        <w:t>e</w:t>
      </w:r>
      <w:r w:rsidRPr="00215B2F">
        <w:rPr>
          <w:rFonts w:ascii="Arial" w:eastAsia="Arial" w:hAnsi="Arial" w:cs="Arial"/>
          <w:sz w:val="20"/>
          <w:szCs w:val="20"/>
        </w:rPr>
        <w:t xml:space="preserve"> ali opustitve, ki pomenijo kršitev tega zakona ali Uredbe 575/2013/EU, zlasti pa:</w:t>
      </w:r>
    </w:p>
    <w:p w14:paraId="6C657730"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5C8AD896" w14:textId="77777777" w:rsidR="00EA58C4" w:rsidRPr="00215B2F" w:rsidRDefault="00D91782" w:rsidP="003D4DE0">
      <w:pPr>
        <w:pStyle w:val="tevilnatoka"/>
        <w:numPr>
          <w:ilvl w:val="0"/>
          <w:numId w:val="225"/>
        </w:numPr>
        <w:shd w:val="clear" w:color="auto" w:fill="FFFFFF" w:themeFill="background1"/>
        <w:tabs>
          <w:tab w:val="clear" w:pos="425"/>
        </w:tabs>
        <w:rPr>
          <w:rFonts w:cs="Arial"/>
          <w:bCs/>
          <w:sz w:val="20"/>
          <w:szCs w:val="20"/>
        </w:rPr>
      </w:pPr>
      <w:r w:rsidRPr="00215B2F">
        <w:rPr>
          <w:rFonts w:eastAsia="Arial" w:cs="Arial"/>
          <w:sz w:val="20"/>
          <w:szCs w:val="20"/>
        </w:rPr>
        <w:t>resnost in trajanje kršitve ter stopnjo odgovornosti kršitelja;</w:t>
      </w:r>
    </w:p>
    <w:p w14:paraId="0EEDF36B" w14:textId="77777777" w:rsidR="00EA58C4" w:rsidRPr="00215B2F" w:rsidRDefault="00D91782" w:rsidP="003D4DE0">
      <w:pPr>
        <w:pStyle w:val="tevilnatoka"/>
        <w:numPr>
          <w:ilvl w:val="0"/>
          <w:numId w:val="225"/>
        </w:numPr>
        <w:shd w:val="clear" w:color="auto" w:fill="FFFFFF" w:themeFill="background1"/>
        <w:tabs>
          <w:tab w:val="clear" w:pos="425"/>
        </w:tabs>
        <w:rPr>
          <w:rFonts w:cs="Arial"/>
          <w:bCs/>
          <w:sz w:val="20"/>
          <w:szCs w:val="20"/>
        </w:rPr>
      </w:pPr>
      <w:r w:rsidRPr="00215B2F">
        <w:rPr>
          <w:rFonts w:eastAsia="Arial" w:cs="Arial"/>
          <w:sz w:val="20"/>
          <w:szCs w:val="20"/>
        </w:rPr>
        <w:t>finančni položaj kršitelja in pridobljeni dobiček ali izgubo, ki je bila s kršitvijo preprečena, če ju je mogoče opredeliti;</w:t>
      </w:r>
    </w:p>
    <w:p w14:paraId="55B8BBE9" w14:textId="77777777" w:rsidR="00EA58C4" w:rsidRPr="00215B2F" w:rsidRDefault="00D91782" w:rsidP="003D4DE0">
      <w:pPr>
        <w:pStyle w:val="tevilnatoka"/>
        <w:numPr>
          <w:ilvl w:val="0"/>
          <w:numId w:val="225"/>
        </w:numPr>
        <w:shd w:val="clear" w:color="auto" w:fill="FFFFFF" w:themeFill="background1"/>
        <w:tabs>
          <w:tab w:val="clear" w:pos="425"/>
        </w:tabs>
        <w:rPr>
          <w:rFonts w:cs="Arial"/>
          <w:bCs/>
          <w:sz w:val="20"/>
          <w:szCs w:val="20"/>
        </w:rPr>
      </w:pPr>
      <w:r w:rsidRPr="00215B2F">
        <w:rPr>
          <w:rFonts w:eastAsia="Arial" w:cs="Arial"/>
          <w:sz w:val="20"/>
          <w:szCs w:val="20"/>
        </w:rPr>
        <w:t>izgube, ki so jih zaradi kršitve utrpele tretje osebe, če jih je mogoče opredeliti;</w:t>
      </w:r>
    </w:p>
    <w:p w14:paraId="70A833F3" w14:textId="77777777" w:rsidR="00EA58C4" w:rsidRPr="00215B2F" w:rsidRDefault="00D91782" w:rsidP="003D4DE0">
      <w:pPr>
        <w:pStyle w:val="tevilnatoka"/>
        <w:numPr>
          <w:ilvl w:val="0"/>
          <w:numId w:val="225"/>
        </w:numPr>
        <w:shd w:val="clear" w:color="auto" w:fill="FFFFFF" w:themeFill="background1"/>
        <w:tabs>
          <w:tab w:val="clear" w:pos="425"/>
        </w:tabs>
        <w:rPr>
          <w:rFonts w:cs="Arial"/>
          <w:bCs/>
          <w:sz w:val="20"/>
          <w:szCs w:val="20"/>
        </w:rPr>
      </w:pPr>
      <w:r w:rsidRPr="00215B2F">
        <w:rPr>
          <w:rFonts w:eastAsia="Arial" w:cs="Arial"/>
          <w:sz w:val="20"/>
          <w:szCs w:val="20"/>
        </w:rPr>
        <w:t>sodelovanje kršitelja v postopku ugotavljanja kršitve;</w:t>
      </w:r>
    </w:p>
    <w:p w14:paraId="4F51220B" w14:textId="77F0EC5A" w:rsidR="00D91782" w:rsidRPr="00215B2F" w:rsidRDefault="00D91782" w:rsidP="003D4DE0">
      <w:pPr>
        <w:pStyle w:val="tevilnatoka"/>
        <w:numPr>
          <w:ilvl w:val="0"/>
          <w:numId w:val="225"/>
        </w:numPr>
        <w:shd w:val="clear" w:color="auto" w:fill="FFFFFF" w:themeFill="background1"/>
        <w:tabs>
          <w:tab w:val="clear" w:pos="425"/>
        </w:tabs>
        <w:rPr>
          <w:rFonts w:cs="Arial"/>
          <w:bCs/>
          <w:sz w:val="20"/>
          <w:szCs w:val="20"/>
        </w:rPr>
      </w:pPr>
      <w:r w:rsidRPr="00215B2F">
        <w:rPr>
          <w:rFonts w:eastAsia="Arial" w:cs="Arial"/>
          <w:sz w:val="20"/>
          <w:szCs w:val="20"/>
        </w:rPr>
        <w:t>predhodne kršitve in morebitne sistemske posledice kršitve.</w:t>
      </w:r>
    </w:p>
    <w:p w14:paraId="24ABC9F8"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693D93C" w14:textId="3E9152D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Kadar Banka Slovenije pri opravljanju nadzora ugotovi pomembna dejstva in okoliščine, ki lahko pripomorejo k zagotavljanju skladnosti delovanja in poslovanja subjektov nadzora s tem zakonom, Uredbo 575/2013/EU ali drugimi predpisi, ali bi bila izdaja odredbe ali odločbe ob upoštevanju prejšnjega odstavka očitno nesorazmeren ukrep, lahko Banka Slovenije o ugotovitvah pri opravljanju nadzora subjekt nadzora pisno obvesti in subjektu nadzora </w:t>
      </w:r>
      <w:r w:rsidR="00A35BCD" w:rsidRPr="00215B2F">
        <w:rPr>
          <w:rFonts w:ascii="Arial" w:eastAsia="Arial" w:hAnsi="Arial" w:cs="Arial"/>
          <w:sz w:val="20"/>
          <w:szCs w:val="20"/>
        </w:rPr>
        <w:t xml:space="preserve">izrazi pričakovanje </w:t>
      </w:r>
      <w:r w:rsidRPr="00215B2F">
        <w:rPr>
          <w:rFonts w:ascii="Arial" w:eastAsia="Arial" w:hAnsi="Arial" w:cs="Arial"/>
          <w:sz w:val="20"/>
          <w:szCs w:val="20"/>
        </w:rPr>
        <w:t>sprejetj</w:t>
      </w:r>
      <w:r w:rsidR="00A35BCD" w:rsidRPr="00215B2F">
        <w:rPr>
          <w:rFonts w:ascii="Arial" w:eastAsia="Arial" w:hAnsi="Arial" w:cs="Arial"/>
          <w:sz w:val="20"/>
          <w:szCs w:val="20"/>
        </w:rPr>
        <w:t>a</w:t>
      </w:r>
      <w:r w:rsidRPr="00215B2F">
        <w:rPr>
          <w:rFonts w:ascii="Arial" w:eastAsia="Arial" w:hAnsi="Arial" w:cs="Arial"/>
          <w:sz w:val="20"/>
          <w:szCs w:val="20"/>
        </w:rPr>
        <w:t xml:space="preserve"> ustreznih sprememb in aktivnosti </w:t>
      </w:r>
      <w:r w:rsidR="00F906E9" w:rsidRPr="00215B2F">
        <w:rPr>
          <w:rFonts w:ascii="Arial" w:eastAsia="Arial" w:hAnsi="Arial" w:cs="Arial"/>
          <w:sz w:val="20"/>
          <w:szCs w:val="20"/>
        </w:rPr>
        <w:t xml:space="preserve">ali </w:t>
      </w:r>
      <w:r w:rsidR="00A35BCD" w:rsidRPr="00215B2F">
        <w:rPr>
          <w:rFonts w:ascii="Arial" w:eastAsia="Arial" w:hAnsi="Arial" w:cs="Arial"/>
          <w:sz w:val="20"/>
          <w:szCs w:val="20"/>
        </w:rPr>
        <w:t xml:space="preserve">mu jih priporoča </w:t>
      </w:r>
      <w:r w:rsidRPr="00215B2F">
        <w:rPr>
          <w:rFonts w:ascii="Arial" w:eastAsia="Arial" w:hAnsi="Arial" w:cs="Arial"/>
          <w:sz w:val="20"/>
          <w:szCs w:val="20"/>
        </w:rPr>
        <w:t>(v nadaljnjem besedilu: nadzorniško pismo).</w:t>
      </w:r>
    </w:p>
    <w:p w14:paraId="2101B97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A3444EC"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87" w:name="_Ref202967109"/>
      <w:r w:rsidRPr="00215B2F">
        <w:rPr>
          <w:rFonts w:ascii="Arial" w:eastAsia="Arial" w:hAnsi="Arial" w:cs="Arial"/>
          <w:b/>
          <w:bCs/>
          <w:sz w:val="20"/>
          <w:szCs w:val="20"/>
        </w:rPr>
        <w:t>člen</w:t>
      </w:r>
      <w:bookmarkEnd w:id="387"/>
    </w:p>
    <w:p w14:paraId="48F4593D" w14:textId="77777777" w:rsidR="00D91782" w:rsidRPr="00215B2F" w:rsidRDefault="00D91782" w:rsidP="00FD5520">
      <w:pPr>
        <w:pStyle w:val="Slog1"/>
        <w:shd w:val="clear" w:color="auto" w:fill="FFFFFF" w:themeFill="background1"/>
        <w:rPr>
          <w:sz w:val="20"/>
          <w:szCs w:val="20"/>
        </w:rPr>
      </w:pPr>
      <w:r w:rsidRPr="00215B2F">
        <w:rPr>
          <w:sz w:val="20"/>
          <w:szCs w:val="20"/>
        </w:rPr>
        <w:t>(pooblaščene osebe Banke Slovenije)</w:t>
      </w:r>
    </w:p>
    <w:p w14:paraId="61105146" w14:textId="77777777" w:rsidR="00D91782" w:rsidRPr="00215B2F" w:rsidRDefault="00D91782" w:rsidP="00FD5520">
      <w:pPr>
        <w:pStyle w:val="Slog1"/>
        <w:shd w:val="clear" w:color="auto" w:fill="FFFFFF" w:themeFill="background1"/>
        <w:jc w:val="both"/>
        <w:rPr>
          <w:sz w:val="20"/>
          <w:szCs w:val="20"/>
        </w:rPr>
      </w:pPr>
    </w:p>
    <w:p w14:paraId="4A0ADBA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Osebe, zaposlene pri Banki Slovenije, opravljajo posamezne naloge pri izvajanju nadzora Banke Slovenije na podlagi pogodbe o zaposlitvi in v skladu z internimi akti Banke Slovenije.</w:t>
      </w:r>
    </w:p>
    <w:p w14:paraId="427E5276"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D993464" w14:textId="497256F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Guverner Banke Slovenije lahko za opravljanje posameznih nalog pri izvajanju nadzora Banke Slovenije pooblasti pooblaščenega revizorja ali drugo strokovno usposobljeno osebo, ki ni zaposlena pri Banki Slovenije, če se za to osebo uveljavijo zahteve glede varovanja zaupnih informacij.</w:t>
      </w:r>
    </w:p>
    <w:p w14:paraId="2A66EBD7"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97BA5F0" w14:textId="4F6F14B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Če bi v postopku oddaje javnega naročila, v katerem bi bil izbran pooblaščeni revizor ali druga strokovno usposobljena oseba, lahko prišlo do razkritja zaupnih informacij, zaradi katerih bi bilo onemogočeno ali bistveno oteženo učinkovito izvajanje nadzora ali bi bila ogrožena stabilnost finančnega sistema Republike Slovenije, zaradi česar bi bili interesi države bistveno ogroženi, sklene Banka Slovenije z upoštevanjem točke</w:t>
      </w:r>
      <w:r w:rsidR="00123CD1" w:rsidRPr="00215B2F">
        <w:rPr>
          <w:rFonts w:ascii="Arial" w:eastAsia="Arial" w:hAnsi="Arial" w:cs="Arial"/>
          <w:sz w:val="20"/>
          <w:szCs w:val="20"/>
        </w:rPr>
        <w:t xml:space="preserve"> (a)</w:t>
      </w:r>
      <w:r w:rsidRPr="00215B2F">
        <w:rPr>
          <w:rFonts w:ascii="Arial" w:eastAsia="Arial" w:hAnsi="Arial" w:cs="Arial"/>
          <w:sz w:val="20"/>
          <w:szCs w:val="20"/>
        </w:rPr>
        <w:t xml:space="preserve"> prvega odstavka 346. člena PDEU pogodbo neposredno z izvajalcem storitev. Za oddajo naročila za sklenitev pogodbe iz prejšnjega stavka se uporabijo določbe zakona, ki ureja postopek javnega naročanja na področju obrambe in varnosti v delu, ki določa način opredelitve predmeta in sporočanje statističnih podatkov o oddanih naročilih v preteklem letu.</w:t>
      </w:r>
    </w:p>
    <w:p w14:paraId="44267E11"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3799B836" w14:textId="11B7683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mora v letnem poročilu razkriti zbirne informacije o pogodbah, ki jih je sklenila na podlagi tega člena, in o skupni vrednosti teh pogodb v posameznem letu.</w:t>
      </w:r>
    </w:p>
    <w:p w14:paraId="1F3CC929"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79FDDFB1"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88" w:name="_Ref202967114"/>
      <w:r w:rsidRPr="00215B2F">
        <w:rPr>
          <w:rFonts w:ascii="Arial" w:eastAsia="Arial" w:hAnsi="Arial" w:cs="Arial"/>
          <w:b/>
          <w:bCs/>
          <w:sz w:val="20"/>
          <w:szCs w:val="20"/>
        </w:rPr>
        <w:t>člen</w:t>
      </w:r>
      <w:bookmarkEnd w:id="388"/>
    </w:p>
    <w:p w14:paraId="69FE5226" w14:textId="77777777" w:rsidR="00D91782" w:rsidRPr="00215B2F" w:rsidRDefault="00D91782" w:rsidP="00FD5520">
      <w:pPr>
        <w:pStyle w:val="Slog1"/>
        <w:shd w:val="clear" w:color="auto" w:fill="FFFFFF" w:themeFill="background1"/>
        <w:rPr>
          <w:sz w:val="20"/>
          <w:szCs w:val="20"/>
        </w:rPr>
      </w:pPr>
      <w:r w:rsidRPr="00215B2F">
        <w:rPr>
          <w:sz w:val="20"/>
          <w:szCs w:val="20"/>
        </w:rPr>
        <w:lastRenderedPageBreak/>
        <w:t>(letno nadomestilo za nadzor Banke Slovenije nad poslovanjem bank)</w:t>
      </w:r>
    </w:p>
    <w:p w14:paraId="5CA25C9C" w14:textId="77777777" w:rsidR="00D91782" w:rsidRPr="00215B2F" w:rsidRDefault="00D91782" w:rsidP="00FD5520">
      <w:pPr>
        <w:pStyle w:val="Slog1"/>
        <w:shd w:val="clear" w:color="auto" w:fill="FFFFFF" w:themeFill="background1"/>
        <w:jc w:val="both"/>
        <w:rPr>
          <w:sz w:val="20"/>
          <w:szCs w:val="20"/>
        </w:rPr>
      </w:pPr>
    </w:p>
    <w:p w14:paraId="5BC7C09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Banke plačujejo Banki Slovenije nadomestilo za nadzor, ki ga opravlja Banka Slovenije na podlagi tega zakona in Uredbe 1024/2013/EU.</w:t>
      </w:r>
    </w:p>
    <w:p w14:paraId="23626B34"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9341442" w14:textId="29B1F40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določi nadomestil</w:t>
      </w:r>
      <w:r w:rsidR="0082257C" w:rsidRPr="00215B2F">
        <w:rPr>
          <w:rFonts w:ascii="Arial" w:eastAsia="Arial" w:hAnsi="Arial" w:cs="Arial"/>
          <w:sz w:val="20"/>
          <w:szCs w:val="20"/>
        </w:rPr>
        <w:t>o</w:t>
      </w:r>
      <w:r w:rsidRPr="00215B2F">
        <w:rPr>
          <w:rFonts w:ascii="Arial" w:eastAsia="Arial" w:hAnsi="Arial" w:cs="Arial"/>
          <w:sz w:val="20"/>
          <w:szCs w:val="20"/>
        </w:rPr>
        <w:t xml:space="preserve"> iz prejšnjega odstavka največ v taki višini, da vsota nadomestil, ki so jih dolžne plačati vse banke za posamezno leto, ne preseže dejanskih stroškov nadzora Banke Slovenije v tem letu, zmanjšanih za prihodke iz taks, ki se zaračunajo v zvezi s postopki za izdajo dovoljenj in postopki nadzora Banke Slovenije na podlagi tega zakona.</w:t>
      </w:r>
    </w:p>
    <w:p w14:paraId="7BF06EDA"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DF9F2AD" w14:textId="543E7A8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plača letno nadomestilo za nadzor, izračunano na podlagi dejanskih stroškov nadzora v preteklem letu, v enkratnem znesku. Banka Slovenije izda račun za plačilo nadomestila do 31. marca v tekočem letu za preteklo leto.</w:t>
      </w:r>
    </w:p>
    <w:p w14:paraId="16A5085C"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8DFDAB8" w14:textId="6AF6701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Če banka ne plača nadomestila za nadzor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 15 dneh po prejemu računa, Banka Slovenije banki z odločbo naloži plačilo.</w:t>
      </w:r>
    </w:p>
    <w:p w14:paraId="48871A34"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3ED6B90F" w14:textId="5667006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Odločba iz prejšnjega odstavka je izvršilni naslov.</w:t>
      </w:r>
    </w:p>
    <w:p w14:paraId="6B19C352"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39FD41A6" w14:textId="77777777" w:rsidR="00D4081A" w:rsidRPr="00215B2F" w:rsidRDefault="00D4081A" w:rsidP="00D4081A">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Ta člen se smiselno uporablja tudi za nadomestilo za nadzor nad bankami, ki ga Banka Slovenije izvaja na podlagi drugih zakonov. </w:t>
      </w:r>
    </w:p>
    <w:p w14:paraId="6DB1CB4A" w14:textId="77777777" w:rsidR="00D4081A" w:rsidRPr="00215B2F" w:rsidRDefault="00D4081A" w:rsidP="00FD5520">
      <w:pPr>
        <w:shd w:val="clear" w:color="auto" w:fill="FFFFFF" w:themeFill="background1"/>
        <w:spacing w:after="0" w:line="240" w:lineRule="auto"/>
        <w:jc w:val="both"/>
        <w:rPr>
          <w:rFonts w:ascii="Arial" w:eastAsia="Arial" w:hAnsi="Arial" w:cs="Arial"/>
          <w:sz w:val="20"/>
          <w:szCs w:val="20"/>
        </w:rPr>
      </w:pPr>
    </w:p>
    <w:p w14:paraId="4E8643CC" w14:textId="6823930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D4081A" w:rsidRPr="00215B2F">
        <w:rPr>
          <w:rFonts w:ascii="Arial" w:eastAsia="Arial" w:hAnsi="Arial" w:cs="Arial"/>
          <w:sz w:val="20"/>
          <w:szCs w:val="20"/>
        </w:rPr>
        <w:t>7</w:t>
      </w:r>
      <w:r w:rsidRPr="00215B2F">
        <w:rPr>
          <w:rFonts w:ascii="Arial" w:eastAsia="Arial" w:hAnsi="Arial" w:cs="Arial"/>
          <w:sz w:val="20"/>
          <w:szCs w:val="20"/>
        </w:rPr>
        <w:t xml:space="preserve">) Banka Slovenije s podzakonskim predpisom določi podrobnejša pravila za določanje nadomestila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788A1619"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FE3D0AA" w14:textId="737A15BA" w:rsidR="00D91782" w:rsidRPr="00215B2F" w:rsidRDefault="000A76F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10</w:t>
      </w:r>
      <w:r w:rsidR="00695FD3" w:rsidRPr="00215B2F">
        <w:rPr>
          <w:rFonts w:ascii="Arial" w:eastAsia="Arial" w:hAnsi="Arial" w:cs="Arial"/>
          <w:b/>
          <w:bCs/>
          <w:sz w:val="20"/>
          <w:szCs w:val="20"/>
        </w:rPr>
        <w:t>.2 POROČANJE IN PREGLED POSLOVANJA BANKE</w:t>
      </w:r>
    </w:p>
    <w:p w14:paraId="31C8BE49"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7D38B6A8"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89" w:name="_Ref202967121"/>
      <w:r w:rsidRPr="00215B2F">
        <w:rPr>
          <w:rFonts w:ascii="Arial" w:eastAsia="Arial" w:hAnsi="Arial" w:cs="Arial"/>
          <w:b/>
          <w:bCs/>
          <w:sz w:val="20"/>
          <w:szCs w:val="20"/>
        </w:rPr>
        <w:t>člen</w:t>
      </w:r>
      <w:bookmarkEnd w:id="389"/>
    </w:p>
    <w:p w14:paraId="199030B0" w14:textId="77777777" w:rsidR="00D91782" w:rsidRPr="00215B2F" w:rsidRDefault="00D91782" w:rsidP="00FD5520">
      <w:pPr>
        <w:pStyle w:val="Slog1"/>
        <w:shd w:val="clear" w:color="auto" w:fill="FFFFFF" w:themeFill="background1"/>
        <w:rPr>
          <w:sz w:val="20"/>
          <w:szCs w:val="20"/>
        </w:rPr>
      </w:pPr>
      <w:r w:rsidRPr="00215B2F">
        <w:rPr>
          <w:sz w:val="20"/>
          <w:szCs w:val="20"/>
        </w:rPr>
        <w:t>(sistem obveščanja o kršitvah)</w:t>
      </w:r>
    </w:p>
    <w:p w14:paraId="4BA897B8" w14:textId="77777777" w:rsidR="00D91782" w:rsidRPr="00215B2F" w:rsidRDefault="00D91782" w:rsidP="00FD5520">
      <w:pPr>
        <w:pStyle w:val="Slog1"/>
        <w:shd w:val="clear" w:color="auto" w:fill="FFFFFF" w:themeFill="background1"/>
        <w:jc w:val="both"/>
        <w:rPr>
          <w:sz w:val="20"/>
          <w:szCs w:val="20"/>
        </w:rPr>
      </w:pPr>
    </w:p>
    <w:p w14:paraId="1DD14822" w14:textId="37CCC26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vzpostavi sistem obveščanja o kršitvah, zlasti od zaposlenih v bankah, da po</w:t>
      </w:r>
      <w:r w:rsidR="004406E3" w:rsidRPr="00215B2F">
        <w:rPr>
          <w:rFonts w:ascii="Arial" w:eastAsia="Arial" w:hAnsi="Arial" w:cs="Arial"/>
          <w:sz w:val="20"/>
          <w:szCs w:val="20"/>
        </w:rPr>
        <w:t>šl</w:t>
      </w:r>
      <w:r w:rsidRPr="00215B2F">
        <w:rPr>
          <w:rFonts w:ascii="Arial" w:eastAsia="Arial" w:hAnsi="Arial" w:cs="Arial"/>
          <w:sz w:val="20"/>
          <w:szCs w:val="20"/>
        </w:rPr>
        <w:t xml:space="preserve">jejo Banki Slovenije prijave o okoliščinah v zvezi z banko, ki pomenijo možno ali dejansko kršitev zahtev ali omejitev, določenih s predpisi iz </w:t>
      </w:r>
      <w:r w:rsidR="00702635" w:rsidRPr="00215B2F">
        <w:rPr>
          <w:rFonts w:ascii="Arial" w:eastAsia="Arial" w:hAnsi="Arial" w:cs="Arial"/>
          <w:sz w:val="20"/>
          <w:szCs w:val="20"/>
        </w:rPr>
        <w:t>tretjega</w:t>
      </w:r>
      <w:r w:rsidRPr="00215B2F">
        <w:rPr>
          <w:rFonts w:ascii="Arial" w:eastAsia="Arial" w:hAnsi="Arial" w:cs="Arial"/>
          <w:sz w:val="20"/>
          <w:szCs w:val="20"/>
        </w:rPr>
        <w:t xml:space="preserve"> odstavka 9.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3717400E"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0C91579" w14:textId="6A721ED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mora v zvezi s sistemom obveščanja iz prejšnjega odstavka zagotoviti:</w:t>
      </w:r>
    </w:p>
    <w:p w14:paraId="1D146127"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3F2BB779" w14:textId="7A1EC208" w:rsidR="00EA58C4" w:rsidRPr="00215B2F" w:rsidRDefault="00A35BCD" w:rsidP="003D4DE0">
      <w:pPr>
        <w:pStyle w:val="tevilnatoka"/>
        <w:numPr>
          <w:ilvl w:val="0"/>
          <w:numId w:val="226"/>
        </w:numPr>
        <w:shd w:val="clear" w:color="auto" w:fill="FFFFFF" w:themeFill="background1"/>
        <w:tabs>
          <w:tab w:val="clear" w:pos="425"/>
        </w:tabs>
        <w:rPr>
          <w:rFonts w:cs="Arial"/>
          <w:bCs/>
          <w:sz w:val="20"/>
          <w:szCs w:val="20"/>
        </w:rPr>
      </w:pPr>
      <w:r w:rsidRPr="00215B2F">
        <w:rPr>
          <w:rFonts w:eastAsia="Arial" w:cs="Arial"/>
          <w:sz w:val="20"/>
          <w:szCs w:val="20"/>
        </w:rPr>
        <w:t xml:space="preserve">enostaven </w:t>
      </w:r>
      <w:r w:rsidR="00D91782" w:rsidRPr="00215B2F">
        <w:rPr>
          <w:rFonts w:eastAsia="Arial" w:cs="Arial"/>
          <w:sz w:val="20"/>
          <w:szCs w:val="20"/>
        </w:rPr>
        <w:t>in lahko dostopen način po</w:t>
      </w:r>
      <w:r w:rsidR="004406E3" w:rsidRPr="00215B2F">
        <w:rPr>
          <w:rFonts w:eastAsia="Arial" w:cs="Arial"/>
          <w:sz w:val="20"/>
          <w:szCs w:val="20"/>
        </w:rPr>
        <w:t>š</w:t>
      </w:r>
      <w:r w:rsidR="00544C97" w:rsidRPr="00215B2F">
        <w:rPr>
          <w:rFonts w:eastAsia="Arial" w:cs="Arial"/>
          <w:sz w:val="20"/>
          <w:szCs w:val="20"/>
        </w:rPr>
        <w:t>i</w:t>
      </w:r>
      <w:r w:rsidR="004406E3" w:rsidRPr="00215B2F">
        <w:rPr>
          <w:rFonts w:eastAsia="Arial" w:cs="Arial"/>
          <w:sz w:val="20"/>
          <w:szCs w:val="20"/>
        </w:rPr>
        <w:t>lj</w:t>
      </w:r>
      <w:r w:rsidR="00D91782" w:rsidRPr="00215B2F">
        <w:rPr>
          <w:rFonts w:eastAsia="Arial" w:cs="Arial"/>
          <w:sz w:val="20"/>
          <w:szCs w:val="20"/>
        </w:rPr>
        <w:t>anja prijav kršitev,</w:t>
      </w:r>
    </w:p>
    <w:p w14:paraId="484B3B3C" w14:textId="122847E9" w:rsidR="00D91782" w:rsidRPr="00215B2F" w:rsidRDefault="00D91782" w:rsidP="003D4DE0">
      <w:pPr>
        <w:pStyle w:val="tevilnatoka"/>
        <w:numPr>
          <w:ilvl w:val="0"/>
          <w:numId w:val="226"/>
        </w:numPr>
        <w:shd w:val="clear" w:color="auto" w:fill="FFFFFF" w:themeFill="background1"/>
        <w:tabs>
          <w:tab w:val="clear" w:pos="425"/>
        </w:tabs>
        <w:rPr>
          <w:rFonts w:cs="Arial"/>
          <w:bCs/>
          <w:sz w:val="20"/>
          <w:szCs w:val="20"/>
        </w:rPr>
      </w:pPr>
      <w:r w:rsidRPr="00215B2F">
        <w:rPr>
          <w:rFonts w:eastAsia="Arial" w:cs="Arial"/>
          <w:sz w:val="20"/>
          <w:szCs w:val="20"/>
        </w:rPr>
        <w:t>interne postopke za spreje</w:t>
      </w:r>
      <w:r w:rsidR="004406E3" w:rsidRPr="00215B2F">
        <w:rPr>
          <w:rFonts w:eastAsia="Arial" w:cs="Arial"/>
          <w:sz w:val="20"/>
          <w:szCs w:val="20"/>
        </w:rPr>
        <w:t>tje</w:t>
      </w:r>
      <w:r w:rsidRPr="00215B2F">
        <w:rPr>
          <w:rFonts w:eastAsia="Arial" w:cs="Arial"/>
          <w:sz w:val="20"/>
          <w:szCs w:val="20"/>
        </w:rPr>
        <w:t xml:space="preserve"> in obravnavo prijav, vključno s poročanjem o ugotovitvah v zvezi s prejetimi prijavami ter </w:t>
      </w:r>
      <w:r w:rsidR="004406E3" w:rsidRPr="00215B2F">
        <w:rPr>
          <w:rFonts w:eastAsia="Arial" w:cs="Arial"/>
          <w:sz w:val="20"/>
          <w:szCs w:val="20"/>
        </w:rPr>
        <w:t xml:space="preserve">o </w:t>
      </w:r>
      <w:r w:rsidRPr="00215B2F">
        <w:rPr>
          <w:rFonts w:eastAsia="Arial" w:cs="Arial"/>
          <w:sz w:val="20"/>
          <w:szCs w:val="20"/>
        </w:rPr>
        <w:t>izvedenih aktivnostih.</w:t>
      </w:r>
    </w:p>
    <w:p w14:paraId="04C3E699"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92C5540" w14:textId="484B1DD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mora zagotoviti:</w:t>
      </w:r>
    </w:p>
    <w:p w14:paraId="7323BC76"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1C948AB9" w14:textId="2E5B6108" w:rsidR="00EA58C4" w:rsidRPr="00215B2F" w:rsidRDefault="00D91782" w:rsidP="003D4DE0">
      <w:pPr>
        <w:pStyle w:val="tevilnatoka"/>
        <w:numPr>
          <w:ilvl w:val="0"/>
          <w:numId w:val="227"/>
        </w:numPr>
        <w:shd w:val="clear" w:color="auto" w:fill="FFFFFF" w:themeFill="background1"/>
        <w:tabs>
          <w:tab w:val="clear" w:pos="425"/>
        </w:tabs>
        <w:rPr>
          <w:rFonts w:cs="Arial"/>
          <w:bCs/>
          <w:sz w:val="20"/>
          <w:szCs w:val="20"/>
        </w:rPr>
      </w:pPr>
      <w:r w:rsidRPr="00215B2F">
        <w:rPr>
          <w:rFonts w:eastAsia="Arial" w:cs="Arial"/>
          <w:sz w:val="20"/>
          <w:szCs w:val="20"/>
        </w:rPr>
        <w:t xml:space="preserve">ustrezno varstvo osebnih podatkov oseb, ki so </w:t>
      </w:r>
      <w:r w:rsidR="004406E3" w:rsidRPr="00215B2F">
        <w:rPr>
          <w:rFonts w:eastAsia="Arial" w:cs="Arial"/>
          <w:sz w:val="20"/>
          <w:szCs w:val="20"/>
        </w:rPr>
        <w:t>vloži</w:t>
      </w:r>
      <w:r w:rsidRPr="00215B2F">
        <w:rPr>
          <w:rFonts w:eastAsia="Arial" w:cs="Arial"/>
          <w:sz w:val="20"/>
          <w:szCs w:val="20"/>
        </w:rPr>
        <w:t>le prijavo zoper banko, in oseb, ki so domnevno odgovorne za kršitev, v skladu z določbami zakona, ki ureja varstvo osebnih podatkov;</w:t>
      </w:r>
    </w:p>
    <w:p w14:paraId="1BFE0289" w14:textId="02A629E8" w:rsidR="00D91782" w:rsidRPr="00215B2F" w:rsidRDefault="00D91782" w:rsidP="003D4DE0">
      <w:pPr>
        <w:pStyle w:val="tevilnatoka"/>
        <w:numPr>
          <w:ilvl w:val="0"/>
          <w:numId w:val="227"/>
        </w:numPr>
        <w:shd w:val="clear" w:color="auto" w:fill="FFFFFF" w:themeFill="background1"/>
        <w:tabs>
          <w:tab w:val="clear" w:pos="425"/>
        </w:tabs>
        <w:rPr>
          <w:rFonts w:cs="Arial"/>
          <w:bCs/>
          <w:sz w:val="20"/>
          <w:szCs w:val="20"/>
        </w:rPr>
      </w:pPr>
      <w:r w:rsidRPr="00215B2F">
        <w:rPr>
          <w:rFonts w:eastAsia="Arial" w:cs="Arial"/>
          <w:sz w:val="20"/>
          <w:szCs w:val="20"/>
        </w:rPr>
        <w:t xml:space="preserve">da se vsi podatki o osebah, ki so </w:t>
      </w:r>
      <w:r w:rsidR="004406E3" w:rsidRPr="00215B2F">
        <w:rPr>
          <w:rFonts w:eastAsia="Arial" w:cs="Arial"/>
          <w:sz w:val="20"/>
          <w:szCs w:val="20"/>
        </w:rPr>
        <w:t>vloži</w:t>
      </w:r>
      <w:r w:rsidRPr="00215B2F">
        <w:rPr>
          <w:rFonts w:eastAsia="Arial" w:cs="Arial"/>
          <w:sz w:val="20"/>
          <w:szCs w:val="20"/>
        </w:rPr>
        <w:t>le prijavo zoper banko, obravnavajo kot zaupni.</w:t>
      </w:r>
    </w:p>
    <w:p w14:paraId="2ACE52CC"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AB40C52" w14:textId="5C71AB4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Podatkov iz prejšnjega odstavka ni dovoljeno razkriti brez soglasja osebe, ki je </w:t>
      </w:r>
      <w:r w:rsidR="004406E3" w:rsidRPr="00215B2F">
        <w:rPr>
          <w:rFonts w:ascii="Arial" w:eastAsia="Arial" w:hAnsi="Arial" w:cs="Arial"/>
          <w:sz w:val="20"/>
          <w:szCs w:val="20"/>
        </w:rPr>
        <w:t>vloži</w:t>
      </w:r>
      <w:r w:rsidRPr="00215B2F">
        <w:rPr>
          <w:rFonts w:ascii="Arial" w:eastAsia="Arial" w:hAnsi="Arial" w:cs="Arial"/>
          <w:sz w:val="20"/>
          <w:szCs w:val="20"/>
        </w:rPr>
        <w:t xml:space="preserve">la prijavo, razen kadar je razkritje identitete prijavitelja v skladu z zakonom nujno za izvedbo kazenskega postopka ali nadaljnjih sodnih postopkov. Banka Slovenije banki, na katero se prijava glasi, ne sme razkriti podatkov o osebi, ki je </w:t>
      </w:r>
      <w:r w:rsidR="004406E3" w:rsidRPr="00215B2F">
        <w:rPr>
          <w:rFonts w:ascii="Arial" w:eastAsia="Arial" w:hAnsi="Arial" w:cs="Arial"/>
          <w:sz w:val="20"/>
          <w:szCs w:val="20"/>
        </w:rPr>
        <w:t>vloži</w:t>
      </w:r>
      <w:r w:rsidRPr="00215B2F">
        <w:rPr>
          <w:rFonts w:ascii="Arial" w:eastAsia="Arial" w:hAnsi="Arial" w:cs="Arial"/>
          <w:sz w:val="20"/>
          <w:szCs w:val="20"/>
        </w:rPr>
        <w:t>la prijavo zoper banko, in si mora prizadevati, da se pri ugotavljanju in obravnavi kršitev, ki so predmet prijave, prepreči razkritje identitete te osebe.</w:t>
      </w:r>
    </w:p>
    <w:p w14:paraId="118AD46B"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68499BB9" w14:textId="338F491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Kadar je identiteta prijavitelja kljub ukrepom iz tretjega in četrtega odstavka</w:t>
      </w:r>
      <w:r w:rsidR="00D6744C" w:rsidRPr="00215B2F">
        <w:rPr>
          <w:rFonts w:ascii="Arial" w:eastAsia="Arial" w:hAnsi="Arial" w:cs="Arial"/>
          <w:sz w:val="20"/>
          <w:szCs w:val="20"/>
        </w:rPr>
        <w:t xml:space="preserve"> tega člena</w:t>
      </w:r>
      <w:r w:rsidRPr="00215B2F">
        <w:rPr>
          <w:rFonts w:ascii="Arial" w:eastAsia="Arial" w:hAnsi="Arial" w:cs="Arial"/>
          <w:sz w:val="20"/>
          <w:szCs w:val="20"/>
        </w:rPr>
        <w:t xml:space="preserve"> razkrita, mora banka zagotoviti ustrezne </w:t>
      </w:r>
      <w:r w:rsidR="004406E3" w:rsidRPr="00215B2F">
        <w:rPr>
          <w:rFonts w:ascii="Arial" w:eastAsia="Arial" w:hAnsi="Arial" w:cs="Arial"/>
          <w:sz w:val="20"/>
          <w:szCs w:val="20"/>
        </w:rPr>
        <w:t>razmere</w:t>
      </w:r>
      <w:r w:rsidRPr="00215B2F">
        <w:rPr>
          <w:rFonts w:ascii="Arial" w:eastAsia="Arial" w:hAnsi="Arial" w:cs="Arial"/>
          <w:sz w:val="20"/>
          <w:szCs w:val="20"/>
        </w:rPr>
        <w:t xml:space="preserve">, da se preprečijo povračilni ukrepi, diskriminacija ali druge oblike neprimerne obravnave zaposlenih v banki, ki so </w:t>
      </w:r>
      <w:r w:rsidR="004406E3" w:rsidRPr="00215B2F">
        <w:rPr>
          <w:rFonts w:ascii="Arial" w:eastAsia="Arial" w:hAnsi="Arial" w:cs="Arial"/>
          <w:sz w:val="20"/>
          <w:szCs w:val="20"/>
        </w:rPr>
        <w:t>vloži</w:t>
      </w:r>
      <w:r w:rsidRPr="00215B2F">
        <w:rPr>
          <w:rFonts w:ascii="Arial" w:eastAsia="Arial" w:hAnsi="Arial" w:cs="Arial"/>
          <w:sz w:val="20"/>
          <w:szCs w:val="20"/>
        </w:rPr>
        <w:t xml:space="preserve">li prijavo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oziroma da se odpravijo njihove posledice.</w:t>
      </w:r>
    </w:p>
    <w:p w14:paraId="6AE804C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20D7C06" w14:textId="77777777" w:rsidR="00D91782" w:rsidRPr="00215B2F" w:rsidRDefault="00D91782" w:rsidP="00D8730E">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90" w:name="_Ref202967126"/>
      <w:r w:rsidRPr="00215B2F">
        <w:rPr>
          <w:rFonts w:ascii="Arial" w:eastAsia="Arial" w:hAnsi="Arial" w:cs="Arial"/>
          <w:b/>
          <w:bCs/>
          <w:sz w:val="20"/>
          <w:szCs w:val="20"/>
        </w:rPr>
        <w:t>člen</w:t>
      </w:r>
      <w:bookmarkEnd w:id="390"/>
    </w:p>
    <w:p w14:paraId="6F8923A8" w14:textId="77777777" w:rsidR="00D91782" w:rsidRPr="00215B2F" w:rsidRDefault="00D91782" w:rsidP="00FD5520">
      <w:pPr>
        <w:pStyle w:val="Slog1"/>
        <w:shd w:val="clear" w:color="auto" w:fill="FFFFFF" w:themeFill="background1"/>
        <w:rPr>
          <w:sz w:val="20"/>
          <w:szCs w:val="20"/>
        </w:rPr>
      </w:pPr>
      <w:r w:rsidRPr="00215B2F">
        <w:rPr>
          <w:sz w:val="20"/>
          <w:szCs w:val="20"/>
        </w:rPr>
        <w:t>(zbiranje in obdelava informacij)</w:t>
      </w:r>
    </w:p>
    <w:p w14:paraId="7B29DD7D" w14:textId="77777777" w:rsidR="00D91782" w:rsidRPr="00215B2F" w:rsidRDefault="00D91782" w:rsidP="00FD5520">
      <w:pPr>
        <w:pStyle w:val="Slog1"/>
        <w:shd w:val="clear" w:color="auto" w:fill="FFFFFF" w:themeFill="background1"/>
        <w:jc w:val="both"/>
        <w:rPr>
          <w:sz w:val="20"/>
          <w:szCs w:val="20"/>
        </w:rPr>
      </w:pPr>
      <w:bookmarkStart w:id="391" w:name="_Hlk203489919"/>
    </w:p>
    <w:p w14:paraId="1022EF30" w14:textId="1AF4680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(1) Banka Slovenije je pristojna zbirati in obdelovati informacije o vseh dejstvih in okoliščinah, vključno z osebnimi podatki, ki jih je pridobila v zvezi z izvrševanjem </w:t>
      </w:r>
      <w:r w:rsidR="004406E3" w:rsidRPr="00215B2F">
        <w:rPr>
          <w:rFonts w:ascii="Arial" w:eastAsia="Arial" w:hAnsi="Arial" w:cs="Arial"/>
          <w:sz w:val="20"/>
          <w:szCs w:val="20"/>
        </w:rPr>
        <w:t>svoj</w:t>
      </w:r>
      <w:r w:rsidRPr="00215B2F">
        <w:rPr>
          <w:rFonts w:ascii="Arial" w:eastAsia="Arial" w:hAnsi="Arial" w:cs="Arial"/>
          <w:sz w:val="20"/>
          <w:szCs w:val="20"/>
        </w:rPr>
        <w:t>ih nalog in pristojnosti, določenih s tem ali drugim zakonom.</w:t>
      </w:r>
    </w:p>
    <w:p w14:paraId="312C4E8F"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273EB1C5" w14:textId="0CCD72F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Državni organi </w:t>
      </w:r>
      <w:r w:rsidR="004406E3" w:rsidRPr="00215B2F">
        <w:rPr>
          <w:rFonts w:ascii="Arial" w:eastAsia="Arial" w:hAnsi="Arial" w:cs="Arial"/>
          <w:sz w:val="20"/>
          <w:szCs w:val="20"/>
        </w:rPr>
        <w:t xml:space="preserve">in </w:t>
      </w:r>
      <w:r w:rsidRPr="00215B2F">
        <w:rPr>
          <w:rFonts w:ascii="Arial" w:eastAsia="Arial" w:hAnsi="Arial" w:cs="Arial"/>
          <w:sz w:val="20"/>
          <w:szCs w:val="20"/>
        </w:rPr>
        <w:t xml:space="preserve">nosilci javnih pooblastil </w:t>
      </w:r>
      <w:r w:rsidR="004406E3" w:rsidRPr="00215B2F">
        <w:rPr>
          <w:rFonts w:ascii="Arial" w:eastAsia="Arial" w:hAnsi="Arial" w:cs="Arial"/>
          <w:sz w:val="20"/>
          <w:szCs w:val="20"/>
        </w:rPr>
        <w:t xml:space="preserve">morajo Banki Slovenije </w:t>
      </w:r>
      <w:r w:rsidRPr="00215B2F">
        <w:rPr>
          <w:rFonts w:ascii="Arial" w:eastAsia="Arial" w:hAnsi="Arial" w:cs="Arial"/>
          <w:sz w:val="20"/>
          <w:szCs w:val="20"/>
        </w:rPr>
        <w:t xml:space="preserve">na </w:t>
      </w:r>
      <w:r w:rsidR="004406E3" w:rsidRPr="00215B2F">
        <w:rPr>
          <w:rFonts w:ascii="Arial" w:eastAsia="Arial" w:hAnsi="Arial" w:cs="Arial"/>
          <w:sz w:val="20"/>
          <w:szCs w:val="20"/>
        </w:rPr>
        <w:t xml:space="preserve">njeno </w:t>
      </w:r>
      <w:r w:rsidRPr="00215B2F">
        <w:rPr>
          <w:rFonts w:ascii="Arial" w:eastAsia="Arial" w:hAnsi="Arial" w:cs="Arial"/>
          <w:sz w:val="20"/>
          <w:szCs w:val="20"/>
        </w:rPr>
        <w:t>zahtevo pos</w:t>
      </w:r>
      <w:r w:rsidR="004406E3" w:rsidRPr="00215B2F">
        <w:rPr>
          <w:rFonts w:ascii="Arial" w:eastAsia="Arial" w:hAnsi="Arial" w:cs="Arial"/>
          <w:sz w:val="20"/>
          <w:szCs w:val="20"/>
        </w:rPr>
        <w:t>l</w:t>
      </w:r>
      <w:r w:rsidRPr="00215B2F">
        <w:rPr>
          <w:rFonts w:ascii="Arial" w:eastAsia="Arial" w:hAnsi="Arial" w:cs="Arial"/>
          <w:sz w:val="20"/>
          <w:szCs w:val="20"/>
        </w:rPr>
        <w:t xml:space="preserve">ati vse informacije, ki jih ta potrebuje za izvajanje </w:t>
      </w:r>
      <w:r w:rsidR="004406E3" w:rsidRPr="00215B2F">
        <w:rPr>
          <w:rFonts w:ascii="Arial" w:eastAsia="Arial" w:hAnsi="Arial" w:cs="Arial"/>
          <w:sz w:val="20"/>
          <w:szCs w:val="20"/>
        </w:rPr>
        <w:t>svoj</w:t>
      </w:r>
      <w:r w:rsidRPr="00215B2F">
        <w:rPr>
          <w:rFonts w:ascii="Arial" w:eastAsia="Arial" w:hAnsi="Arial" w:cs="Arial"/>
          <w:sz w:val="20"/>
          <w:szCs w:val="20"/>
        </w:rPr>
        <w:t>ih nalog in pristojnosti pri opravljanju nadzora na podlagi tega zakona.</w:t>
      </w:r>
    </w:p>
    <w:p w14:paraId="1F1441DF"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2B36A849" w14:textId="7014979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Za informacije iz prvega odstavka</w:t>
      </w:r>
      <w:r w:rsidR="00D6744C" w:rsidRPr="00215B2F">
        <w:rPr>
          <w:rFonts w:ascii="Arial" w:eastAsia="Arial" w:hAnsi="Arial" w:cs="Arial"/>
          <w:sz w:val="20"/>
          <w:szCs w:val="20"/>
        </w:rPr>
        <w:t xml:space="preserve"> tega člena</w:t>
      </w:r>
      <w:r w:rsidRPr="00215B2F">
        <w:rPr>
          <w:rFonts w:ascii="Arial" w:eastAsia="Arial" w:hAnsi="Arial" w:cs="Arial"/>
          <w:sz w:val="20"/>
          <w:szCs w:val="20"/>
        </w:rPr>
        <w:t xml:space="preserve"> se štejejo zlasti informacije o:</w:t>
      </w:r>
    </w:p>
    <w:p w14:paraId="0C8E1CA6" w14:textId="77777777" w:rsidR="00EA58C4" w:rsidRPr="00215B2F" w:rsidRDefault="00EA58C4" w:rsidP="00FD5520">
      <w:pPr>
        <w:shd w:val="clear" w:color="auto" w:fill="FFFFFF" w:themeFill="background1"/>
        <w:spacing w:after="0" w:line="240" w:lineRule="auto"/>
        <w:jc w:val="both"/>
        <w:rPr>
          <w:rFonts w:ascii="Arial" w:eastAsia="Arial" w:hAnsi="Arial" w:cs="Arial"/>
          <w:sz w:val="20"/>
          <w:szCs w:val="20"/>
        </w:rPr>
      </w:pPr>
    </w:p>
    <w:p w14:paraId="436E1BC0" w14:textId="77777777" w:rsidR="00EA58C4" w:rsidRPr="00215B2F" w:rsidRDefault="00D91782" w:rsidP="003D4DE0">
      <w:pPr>
        <w:pStyle w:val="tevilnatoka"/>
        <w:numPr>
          <w:ilvl w:val="0"/>
          <w:numId w:val="228"/>
        </w:numPr>
        <w:shd w:val="clear" w:color="auto" w:fill="FFFFFF" w:themeFill="background1"/>
        <w:tabs>
          <w:tab w:val="clear" w:pos="425"/>
        </w:tabs>
        <w:rPr>
          <w:rFonts w:cs="Arial"/>
          <w:bCs/>
          <w:sz w:val="20"/>
          <w:szCs w:val="20"/>
        </w:rPr>
      </w:pPr>
      <w:r w:rsidRPr="00215B2F">
        <w:rPr>
          <w:rFonts w:eastAsia="Arial" w:cs="Arial"/>
          <w:sz w:val="20"/>
          <w:szCs w:val="20"/>
        </w:rPr>
        <w:t>pogojih za izdajo dovoljenja za opravljanje bančnih storitev in drugih dovoljenj, ki jih je izdala Banka Slovenije na podlagi tega zakona;</w:t>
      </w:r>
    </w:p>
    <w:p w14:paraId="3AC48DBD" w14:textId="5FE4003A" w:rsidR="00EA58C4" w:rsidRPr="00215B2F" w:rsidRDefault="00D91782" w:rsidP="003D4DE0">
      <w:pPr>
        <w:pStyle w:val="tevilnatoka"/>
        <w:numPr>
          <w:ilvl w:val="0"/>
          <w:numId w:val="228"/>
        </w:numPr>
        <w:shd w:val="clear" w:color="auto" w:fill="FFFFFF" w:themeFill="background1"/>
        <w:tabs>
          <w:tab w:val="clear" w:pos="425"/>
        </w:tabs>
        <w:rPr>
          <w:rFonts w:cs="Arial"/>
          <w:bCs/>
          <w:sz w:val="20"/>
          <w:szCs w:val="20"/>
        </w:rPr>
      </w:pPr>
      <w:r w:rsidRPr="00215B2F">
        <w:rPr>
          <w:rFonts w:eastAsia="Arial" w:cs="Arial"/>
          <w:sz w:val="20"/>
          <w:szCs w:val="20"/>
        </w:rPr>
        <w:t xml:space="preserve">članih uprave in nadzornih svetov bank v zvezi s presojo pogojev za opravljanje funkcije člana uprave ali </w:t>
      </w:r>
      <w:r w:rsidR="00354135" w:rsidRPr="00215B2F">
        <w:rPr>
          <w:rFonts w:eastAsia="Arial" w:cs="Arial"/>
          <w:sz w:val="20"/>
          <w:szCs w:val="20"/>
        </w:rPr>
        <w:t>nadzornega sveta</w:t>
      </w:r>
      <w:r w:rsidRPr="00215B2F">
        <w:rPr>
          <w:rFonts w:eastAsia="Arial" w:cs="Arial"/>
          <w:sz w:val="20"/>
          <w:szCs w:val="20"/>
        </w:rPr>
        <w:t>;</w:t>
      </w:r>
    </w:p>
    <w:p w14:paraId="7F802106" w14:textId="77777777" w:rsidR="00EA58C4" w:rsidRPr="00215B2F" w:rsidRDefault="00D91782" w:rsidP="003D4DE0">
      <w:pPr>
        <w:pStyle w:val="tevilnatoka"/>
        <w:numPr>
          <w:ilvl w:val="0"/>
          <w:numId w:val="228"/>
        </w:numPr>
        <w:shd w:val="clear" w:color="auto" w:fill="FFFFFF" w:themeFill="background1"/>
        <w:tabs>
          <w:tab w:val="clear" w:pos="425"/>
        </w:tabs>
        <w:rPr>
          <w:rFonts w:cs="Arial"/>
          <w:bCs/>
          <w:sz w:val="20"/>
          <w:szCs w:val="20"/>
        </w:rPr>
      </w:pPr>
      <w:r w:rsidRPr="00215B2F">
        <w:rPr>
          <w:rFonts w:eastAsia="Arial" w:cs="Arial"/>
          <w:sz w:val="20"/>
          <w:szCs w:val="20"/>
        </w:rPr>
        <w:t>poslovanju banke v drugih državah članicah in poslovanju banke države članice v Republiki Sloveniji;</w:t>
      </w:r>
    </w:p>
    <w:p w14:paraId="4252F40D" w14:textId="77777777" w:rsidR="00EA58C4" w:rsidRPr="00215B2F" w:rsidRDefault="00D91782" w:rsidP="003D4DE0">
      <w:pPr>
        <w:pStyle w:val="tevilnatoka"/>
        <w:numPr>
          <w:ilvl w:val="0"/>
          <w:numId w:val="228"/>
        </w:numPr>
        <w:shd w:val="clear" w:color="auto" w:fill="FFFFFF" w:themeFill="background1"/>
        <w:tabs>
          <w:tab w:val="clear" w:pos="425"/>
        </w:tabs>
        <w:rPr>
          <w:rFonts w:cs="Arial"/>
          <w:bCs/>
          <w:sz w:val="20"/>
          <w:szCs w:val="20"/>
        </w:rPr>
      </w:pPr>
      <w:r w:rsidRPr="00215B2F">
        <w:rPr>
          <w:rFonts w:eastAsia="Arial" w:cs="Arial"/>
          <w:sz w:val="20"/>
          <w:szCs w:val="20"/>
        </w:rPr>
        <w:t>poslovanju bank v tretjih državah in poslovanju bank tretjih držav v Republiki Sloveniji;</w:t>
      </w:r>
    </w:p>
    <w:p w14:paraId="0A38C6F7" w14:textId="77777777" w:rsidR="00EA58C4" w:rsidRPr="00215B2F" w:rsidRDefault="00D91782" w:rsidP="003D4DE0">
      <w:pPr>
        <w:pStyle w:val="tevilnatoka"/>
        <w:numPr>
          <w:ilvl w:val="0"/>
          <w:numId w:val="228"/>
        </w:numPr>
        <w:shd w:val="clear" w:color="auto" w:fill="FFFFFF" w:themeFill="background1"/>
        <w:tabs>
          <w:tab w:val="clear" w:pos="425"/>
        </w:tabs>
        <w:rPr>
          <w:rFonts w:cs="Arial"/>
          <w:bCs/>
          <w:sz w:val="20"/>
          <w:szCs w:val="20"/>
        </w:rPr>
      </w:pPr>
      <w:r w:rsidRPr="00215B2F">
        <w:rPr>
          <w:rFonts w:eastAsia="Arial" w:cs="Arial"/>
          <w:sz w:val="20"/>
          <w:szCs w:val="20"/>
        </w:rPr>
        <w:t>finančnem položaju in poslovanju bank, imetnikov kvalificiranih deležev, nadrejenih in podrejenih družb ter drugih pravnih oseb, nad katerimi je Banka Slovenije pristojna opravljati nadzor;</w:t>
      </w:r>
    </w:p>
    <w:p w14:paraId="6BD61CAB" w14:textId="77777777" w:rsidR="00EA58C4" w:rsidRPr="00215B2F" w:rsidRDefault="00D91782" w:rsidP="003D4DE0">
      <w:pPr>
        <w:pStyle w:val="tevilnatoka"/>
        <w:numPr>
          <w:ilvl w:val="0"/>
          <w:numId w:val="228"/>
        </w:numPr>
        <w:shd w:val="clear" w:color="auto" w:fill="FFFFFF" w:themeFill="background1"/>
        <w:tabs>
          <w:tab w:val="clear" w:pos="425"/>
        </w:tabs>
        <w:rPr>
          <w:rFonts w:cs="Arial"/>
          <w:bCs/>
          <w:sz w:val="20"/>
          <w:szCs w:val="20"/>
        </w:rPr>
      </w:pPr>
      <w:r w:rsidRPr="00215B2F">
        <w:rPr>
          <w:rFonts w:eastAsia="Arial" w:cs="Arial"/>
          <w:sz w:val="20"/>
          <w:szCs w:val="20"/>
        </w:rPr>
        <w:t>okoliščinah v zvezi s presojo pogojev za izdajo dovoljenja imetniku kvalificiranega deleža;</w:t>
      </w:r>
    </w:p>
    <w:p w14:paraId="0D86D1DA" w14:textId="7234BA25" w:rsidR="00D91782" w:rsidRPr="00215B2F" w:rsidRDefault="00D91782" w:rsidP="003D4DE0">
      <w:pPr>
        <w:pStyle w:val="tevilnatoka"/>
        <w:numPr>
          <w:ilvl w:val="0"/>
          <w:numId w:val="228"/>
        </w:numPr>
        <w:shd w:val="clear" w:color="auto" w:fill="FFFFFF" w:themeFill="background1"/>
        <w:tabs>
          <w:tab w:val="clear" w:pos="425"/>
        </w:tabs>
        <w:rPr>
          <w:rFonts w:cs="Arial"/>
          <w:bCs/>
          <w:sz w:val="20"/>
          <w:szCs w:val="20"/>
        </w:rPr>
      </w:pPr>
      <w:r w:rsidRPr="00215B2F">
        <w:rPr>
          <w:rFonts w:eastAsia="Arial" w:cs="Arial"/>
          <w:sz w:val="20"/>
          <w:szCs w:val="20"/>
        </w:rPr>
        <w:t>okoliščinah v zvezi z dejavnostjo drugih oseb, kadar so razlogi za sum glede opravljanja dejavnosti sprejemanja depozitov od javnosti v nasprotju s tem zakonom.</w:t>
      </w:r>
    </w:p>
    <w:p w14:paraId="4A24C24B"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82D6287" w14:textId="40C00D0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Za informacije, ki jih Banka Slovenije pridobiva iz registrov in evidenc, ki jih vodijo sodišča ali drugi državni organi ali nosilci javnih pooblastil, je Banka Slovenije oproščena plačila sodnih in upravnih taks ali drugih stroškov, ki se zaračunavajo v zvezi s po</w:t>
      </w:r>
      <w:r w:rsidR="004F1EF9" w:rsidRPr="00215B2F">
        <w:rPr>
          <w:rFonts w:ascii="Arial" w:eastAsia="Arial" w:hAnsi="Arial" w:cs="Arial"/>
          <w:sz w:val="20"/>
          <w:szCs w:val="20"/>
        </w:rPr>
        <w:t>šilj</w:t>
      </w:r>
      <w:r w:rsidRPr="00215B2F">
        <w:rPr>
          <w:rFonts w:ascii="Arial" w:eastAsia="Arial" w:hAnsi="Arial" w:cs="Arial"/>
          <w:sz w:val="20"/>
          <w:szCs w:val="20"/>
        </w:rPr>
        <w:t>anjem teh podatkov.</w:t>
      </w:r>
    </w:p>
    <w:p w14:paraId="0ADDCE41"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50298FB6" w14:textId="22C182B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Pooblaščena oseba Banke Slovenije lahko za namen izvajanja pristojnosti na podlagi tega zakona prek elektronskega sistema pridobiva naslednje informacije o posameznikih iz centralnega registra prebivalstva:</w:t>
      </w:r>
    </w:p>
    <w:p w14:paraId="43BE1D92"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E240A15" w14:textId="0491AFD6" w:rsidR="00EA58C4" w:rsidRPr="00215B2F" w:rsidRDefault="00D91782" w:rsidP="00D8730E">
      <w:pPr>
        <w:pStyle w:val="Odstavekseznama"/>
        <w:numPr>
          <w:ilvl w:val="3"/>
          <w:numId w:val="1"/>
        </w:numPr>
        <w:shd w:val="clear" w:color="auto" w:fill="FFFFFF" w:themeFill="background1"/>
        <w:spacing w:after="0" w:line="240" w:lineRule="auto"/>
        <w:ind w:left="357" w:hanging="357"/>
        <w:jc w:val="both"/>
        <w:rPr>
          <w:rFonts w:ascii="Arial" w:hAnsi="Arial" w:cs="Arial"/>
          <w:sz w:val="20"/>
          <w:szCs w:val="20"/>
        </w:rPr>
      </w:pPr>
      <w:r w:rsidRPr="00215B2F">
        <w:rPr>
          <w:rFonts w:ascii="Arial" w:eastAsia="Arial" w:hAnsi="Arial" w:cs="Arial"/>
          <w:sz w:val="20"/>
          <w:szCs w:val="20"/>
        </w:rPr>
        <w:t xml:space="preserve">ime in priimek, </w:t>
      </w:r>
    </w:p>
    <w:p w14:paraId="35D3C2C1" w14:textId="128563B5" w:rsidR="00EA58C4" w:rsidRPr="00215B2F" w:rsidRDefault="00D91782" w:rsidP="00D8730E">
      <w:pPr>
        <w:pStyle w:val="Odstavekseznama"/>
        <w:numPr>
          <w:ilvl w:val="3"/>
          <w:numId w:val="1"/>
        </w:numPr>
        <w:shd w:val="clear" w:color="auto" w:fill="FFFFFF" w:themeFill="background1"/>
        <w:spacing w:after="0" w:line="240" w:lineRule="auto"/>
        <w:ind w:left="357" w:hanging="357"/>
        <w:jc w:val="both"/>
        <w:rPr>
          <w:rFonts w:ascii="Arial" w:hAnsi="Arial" w:cs="Arial"/>
          <w:sz w:val="20"/>
          <w:szCs w:val="20"/>
        </w:rPr>
      </w:pPr>
      <w:r w:rsidRPr="00215B2F">
        <w:rPr>
          <w:rFonts w:ascii="Arial" w:eastAsia="Arial" w:hAnsi="Arial" w:cs="Arial"/>
          <w:sz w:val="20"/>
          <w:szCs w:val="20"/>
        </w:rPr>
        <w:t xml:space="preserve">kraj rojstva, </w:t>
      </w:r>
    </w:p>
    <w:p w14:paraId="624B7825" w14:textId="2E2EA803" w:rsidR="00EA58C4" w:rsidRPr="00215B2F" w:rsidRDefault="00D91782" w:rsidP="00D8730E">
      <w:pPr>
        <w:pStyle w:val="Odstavekseznama"/>
        <w:numPr>
          <w:ilvl w:val="3"/>
          <w:numId w:val="1"/>
        </w:numPr>
        <w:shd w:val="clear" w:color="auto" w:fill="FFFFFF" w:themeFill="background1"/>
        <w:spacing w:after="0" w:line="240" w:lineRule="auto"/>
        <w:ind w:left="357" w:hanging="357"/>
        <w:jc w:val="both"/>
        <w:rPr>
          <w:rFonts w:ascii="Arial" w:hAnsi="Arial" w:cs="Arial"/>
          <w:sz w:val="20"/>
          <w:szCs w:val="20"/>
        </w:rPr>
      </w:pPr>
      <w:r w:rsidRPr="00215B2F">
        <w:rPr>
          <w:rFonts w:ascii="Arial" w:eastAsia="Arial" w:hAnsi="Arial" w:cs="Arial"/>
          <w:sz w:val="20"/>
          <w:szCs w:val="20"/>
        </w:rPr>
        <w:t>EMŠO,</w:t>
      </w:r>
    </w:p>
    <w:p w14:paraId="7A6AC096" w14:textId="1F01AE47" w:rsidR="00EA58C4" w:rsidRPr="00215B2F" w:rsidRDefault="00D91782" w:rsidP="002946BA">
      <w:pPr>
        <w:pStyle w:val="Odstavekseznama"/>
        <w:numPr>
          <w:ilvl w:val="3"/>
          <w:numId w:val="1"/>
        </w:numPr>
        <w:shd w:val="clear" w:color="auto" w:fill="FFFFFF" w:themeFill="background1"/>
        <w:spacing w:after="0" w:line="240" w:lineRule="auto"/>
        <w:ind w:left="357" w:hanging="357"/>
        <w:jc w:val="both"/>
        <w:rPr>
          <w:rFonts w:ascii="Arial" w:hAnsi="Arial" w:cs="Arial"/>
          <w:sz w:val="20"/>
          <w:szCs w:val="20"/>
        </w:rPr>
      </w:pPr>
      <w:r w:rsidRPr="00215B2F">
        <w:rPr>
          <w:rFonts w:ascii="Arial" w:eastAsia="Arial" w:hAnsi="Arial" w:cs="Arial"/>
          <w:sz w:val="20"/>
          <w:szCs w:val="20"/>
        </w:rPr>
        <w:t xml:space="preserve">državljanstvo, </w:t>
      </w:r>
    </w:p>
    <w:p w14:paraId="3A19ECD0" w14:textId="2CFA3C3B" w:rsidR="00EA58C4" w:rsidRPr="00215B2F" w:rsidRDefault="00D91782" w:rsidP="002946BA">
      <w:pPr>
        <w:pStyle w:val="Odstavekseznama"/>
        <w:numPr>
          <w:ilvl w:val="3"/>
          <w:numId w:val="1"/>
        </w:numPr>
        <w:shd w:val="clear" w:color="auto" w:fill="FFFFFF" w:themeFill="background1"/>
        <w:spacing w:after="0" w:line="240" w:lineRule="auto"/>
        <w:ind w:left="357" w:hanging="357"/>
        <w:jc w:val="both"/>
        <w:rPr>
          <w:rFonts w:ascii="Arial" w:hAnsi="Arial" w:cs="Arial"/>
          <w:sz w:val="20"/>
          <w:szCs w:val="20"/>
        </w:rPr>
      </w:pPr>
      <w:r w:rsidRPr="00215B2F">
        <w:rPr>
          <w:rFonts w:ascii="Arial" w:eastAsia="Arial" w:hAnsi="Arial" w:cs="Arial"/>
          <w:sz w:val="20"/>
          <w:szCs w:val="20"/>
        </w:rPr>
        <w:t xml:space="preserve">prebivališče, vrsta prebivališča in naslove za vročanje, </w:t>
      </w:r>
    </w:p>
    <w:p w14:paraId="4FAE7C10" w14:textId="31F189B8" w:rsidR="00D91782" w:rsidRPr="00215B2F" w:rsidRDefault="00D91782" w:rsidP="002946BA">
      <w:pPr>
        <w:pStyle w:val="Odstavekseznama"/>
        <w:numPr>
          <w:ilvl w:val="3"/>
          <w:numId w:val="1"/>
        </w:numPr>
        <w:shd w:val="clear" w:color="auto" w:fill="FFFFFF" w:themeFill="background1"/>
        <w:spacing w:after="0" w:line="240" w:lineRule="auto"/>
        <w:ind w:left="357" w:hanging="357"/>
        <w:jc w:val="both"/>
        <w:rPr>
          <w:rFonts w:ascii="Arial" w:hAnsi="Arial" w:cs="Arial"/>
          <w:sz w:val="20"/>
          <w:szCs w:val="20"/>
        </w:rPr>
      </w:pPr>
      <w:r w:rsidRPr="00215B2F">
        <w:rPr>
          <w:rFonts w:ascii="Arial" w:eastAsia="Arial" w:hAnsi="Arial" w:cs="Arial"/>
          <w:sz w:val="20"/>
          <w:szCs w:val="20"/>
        </w:rPr>
        <w:t>datum</w:t>
      </w:r>
      <w:r w:rsidR="004F1EF9" w:rsidRPr="00215B2F">
        <w:rPr>
          <w:rFonts w:ascii="Arial" w:eastAsia="Arial" w:hAnsi="Arial" w:cs="Arial"/>
          <w:sz w:val="20"/>
          <w:szCs w:val="20"/>
        </w:rPr>
        <w:t>i</w:t>
      </w:r>
      <w:r w:rsidRPr="00215B2F">
        <w:rPr>
          <w:rFonts w:ascii="Arial" w:eastAsia="Arial" w:hAnsi="Arial" w:cs="Arial"/>
          <w:sz w:val="20"/>
          <w:szCs w:val="20"/>
        </w:rPr>
        <w:t xml:space="preserve"> in podatk</w:t>
      </w:r>
      <w:r w:rsidR="004F1EF9" w:rsidRPr="00215B2F">
        <w:rPr>
          <w:rFonts w:ascii="Arial" w:eastAsia="Arial" w:hAnsi="Arial" w:cs="Arial"/>
          <w:sz w:val="20"/>
          <w:szCs w:val="20"/>
        </w:rPr>
        <w:t>i</w:t>
      </w:r>
      <w:r w:rsidRPr="00215B2F">
        <w:rPr>
          <w:rFonts w:ascii="Arial" w:eastAsia="Arial" w:hAnsi="Arial" w:cs="Arial"/>
          <w:sz w:val="20"/>
          <w:szCs w:val="20"/>
        </w:rPr>
        <w:t xml:space="preserve"> o dogodkih, spremembah in popravkih podatkov iz </w:t>
      </w:r>
      <w:r w:rsidR="009353DF" w:rsidRPr="00215B2F">
        <w:rPr>
          <w:rFonts w:ascii="Arial" w:eastAsia="Arial" w:hAnsi="Arial" w:cs="Arial"/>
          <w:sz w:val="20"/>
          <w:szCs w:val="20"/>
        </w:rPr>
        <w:t>tega odstavka</w:t>
      </w:r>
      <w:r w:rsidRPr="00215B2F">
        <w:rPr>
          <w:rFonts w:ascii="Arial" w:eastAsia="Arial" w:hAnsi="Arial" w:cs="Arial"/>
          <w:sz w:val="20"/>
          <w:szCs w:val="20"/>
        </w:rPr>
        <w:t xml:space="preserve">. </w:t>
      </w:r>
    </w:p>
    <w:p w14:paraId="73DA43E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 </w:t>
      </w:r>
    </w:p>
    <w:p w14:paraId="2ABF62E4" w14:textId="3902844B" w:rsidR="009D6E0C" w:rsidRPr="00215B2F" w:rsidRDefault="009D6E0C"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Banka Slovenije pri pridobivanju podatkov iz prejšnjega odstavka, pridobi samo tiste podatke, ki jih potrebuje v posamičnem primeru (načelo sorazmernosti). </w:t>
      </w:r>
    </w:p>
    <w:p w14:paraId="6BD458A1" w14:textId="77777777" w:rsidR="009D6E0C" w:rsidRPr="00215B2F" w:rsidRDefault="009D6E0C" w:rsidP="00FD5520">
      <w:pPr>
        <w:shd w:val="clear" w:color="auto" w:fill="FFFFFF" w:themeFill="background1"/>
        <w:spacing w:after="0" w:line="240" w:lineRule="auto"/>
        <w:jc w:val="both"/>
        <w:rPr>
          <w:rFonts w:ascii="Arial" w:eastAsia="Arial" w:hAnsi="Arial" w:cs="Arial"/>
          <w:sz w:val="20"/>
          <w:szCs w:val="20"/>
        </w:rPr>
      </w:pPr>
    </w:p>
    <w:p w14:paraId="176D04AA" w14:textId="48E98C5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9D6E0C" w:rsidRPr="00215B2F">
        <w:rPr>
          <w:rFonts w:ascii="Arial" w:eastAsia="Arial" w:hAnsi="Arial" w:cs="Arial"/>
          <w:sz w:val="20"/>
          <w:szCs w:val="20"/>
        </w:rPr>
        <w:t>7</w:t>
      </w:r>
      <w:r w:rsidRPr="00215B2F">
        <w:rPr>
          <w:rFonts w:ascii="Arial" w:eastAsia="Arial" w:hAnsi="Arial" w:cs="Arial"/>
          <w:sz w:val="20"/>
          <w:szCs w:val="20"/>
        </w:rPr>
        <w:t>) Kadar Banka Slovenije pri izvajanju pristojnosti na podlagi tega zakona presoja ugled posamezne osebe, pridobi informacije o delovanju te osebe tudi iz centralizirane zbirke, ki jo glede izrečenih administrativnih ukrepov vodi Evropski bančni organ, z upoštevanjem predpisov, ki urejajo izmenjavo informacij iz kazenske evidence med državami članicami.</w:t>
      </w:r>
    </w:p>
    <w:bookmarkEnd w:id="391"/>
    <w:p w14:paraId="4C58A35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F7EC8D8"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92" w:name="_Ref202967133"/>
      <w:r w:rsidRPr="00215B2F">
        <w:rPr>
          <w:rFonts w:ascii="Arial" w:eastAsia="Arial" w:hAnsi="Arial" w:cs="Arial"/>
          <w:b/>
          <w:bCs/>
          <w:sz w:val="20"/>
          <w:szCs w:val="20"/>
        </w:rPr>
        <w:t>člen</w:t>
      </w:r>
      <w:bookmarkEnd w:id="392"/>
    </w:p>
    <w:p w14:paraId="22AC0787" w14:textId="77777777" w:rsidR="00D91782" w:rsidRPr="00215B2F" w:rsidRDefault="00D91782" w:rsidP="00FD5520">
      <w:pPr>
        <w:pStyle w:val="Slog1"/>
        <w:shd w:val="clear" w:color="auto" w:fill="FFFFFF" w:themeFill="background1"/>
        <w:rPr>
          <w:sz w:val="20"/>
          <w:szCs w:val="20"/>
        </w:rPr>
      </w:pPr>
      <w:r w:rsidRPr="00215B2F">
        <w:rPr>
          <w:sz w:val="20"/>
          <w:szCs w:val="20"/>
        </w:rPr>
        <w:t>(poročila banke)</w:t>
      </w:r>
    </w:p>
    <w:p w14:paraId="3CA982E3" w14:textId="77777777" w:rsidR="00D91782" w:rsidRPr="00215B2F" w:rsidRDefault="00D91782" w:rsidP="00FD5520">
      <w:pPr>
        <w:pStyle w:val="Slog1"/>
        <w:shd w:val="clear" w:color="auto" w:fill="FFFFFF" w:themeFill="background1"/>
        <w:jc w:val="both"/>
        <w:rPr>
          <w:sz w:val="20"/>
          <w:szCs w:val="20"/>
        </w:rPr>
      </w:pPr>
    </w:p>
    <w:p w14:paraId="4E0F04D2" w14:textId="50DC73B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mora </w:t>
      </w:r>
      <w:r w:rsidR="004F1EF9" w:rsidRPr="00215B2F">
        <w:rPr>
          <w:rFonts w:ascii="Arial" w:eastAsia="Arial" w:hAnsi="Arial" w:cs="Arial"/>
          <w:sz w:val="20"/>
          <w:szCs w:val="20"/>
        </w:rPr>
        <w:t xml:space="preserve">Banki Slovenije </w:t>
      </w:r>
      <w:r w:rsidRPr="00215B2F">
        <w:rPr>
          <w:rFonts w:ascii="Arial" w:eastAsia="Arial" w:hAnsi="Arial" w:cs="Arial"/>
          <w:sz w:val="20"/>
          <w:szCs w:val="20"/>
        </w:rPr>
        <w:t xml:space="preserve">na </w:t>
      </w:r>
      <w:r w:rsidR="004F1EF9" w:rsidRPr="00215B2F">
        <w:rPr>
          <w:rFonts w:ascii="Arial" w:eastAsia="Arial" w:hAnsi="Arial" w:cs="Arial"/>
          <w:sz w:val="20"/>
          <w:szCs w:val="20"/>
        </w:rPr>
        <w:t xml:space="preserve">njeno </w:t>
      </w:r>
      <w:r w:rsidRPr="00215B2F">
        <w:rPr>
          <w:rFonts w:ascii="Arial" w:eastAsia="Arial" w:hAnsi="Arial" w:cs="Arial"/>
          <w:sz w:val="20"/>
          <w:szCs w:val="20"/>
        </w:rPr>
        <w:t>zahtevo pos</w:t>
      </w:r>
      <w:r w:rsidR="004F1EF9" w:rsidRPr="00215B2F">
        <w:rPr>
          <w:rFonts w:ascii="Arial" w:eastAsia="Arial" w:hAnsi="Arial" w:cs="Arial"/>
          <w:sz w:val="20"/>
          <w:szCs w:val="20"/>
        </w:rPr>
        <w:t>l</w:t>
      </w:r>
      <w:r w:rsidRPr="00215B2F">
        <w:rPr>
          <w:rFonts w:ascii="Arial" w:eastAsia="Arial" w:hAnsi="Arial" w:cs="Arial"/>
          <w:sz w:val="20"/>
          <w:szCs w:val="20"/>
        </w:rPr>
        <w:t>ati vso dokumentacijo, poročila in informacije v zvezi s poslovanjem banke, ki jih Banka Slovenije potrebuje za izvajanje nalog in pooblastil nadzora v skladu s tem zakonom ali za izvrševanje drugih pristojnosti in nalog Banke Slovenije v skladu z veljavnimi predpisi. Banka mora poročila in informacije iz prejšnjega stavka pos</w:t>
      </w:r>
      <w:r w:rsidR="004F1EF9" w:rsidRPr="00215B2F">
        <w:rPr>
          <w:rFonts w:ascii="Arial" w:eastAsia="Arial" w:hAnsi="Arial" w:cs="Arial"/>
          <w:sz w:val="20"/>
          <w:szCs w:val="20"/>
        </w:rPr>
        <w:t>l</w:t>
      </w:r>
      <w:r w:rsidRPr="00215B2F">
        <w:rPr>
          <w:rFonts w:ascii="Arial" w:eastAsia="Arial" w:hAnsi="Arial" w:cs="Arial"/>
          <w:sz w:val="20"/>
          <w:szCs w:val="20"/>
        </w:rPr>
        <w:t xml:space="preserve">ati v obliki in na način, ki </w:t>
      </w:r>
      <w:r w:rsidR="004F1EF9" w:rsidRPr="00215B2F">
        <w:rPr>
          <w:rFonts w:ascii="Arial" w:eastAsia="Arial" w:hAnsi="Arial" w:cs="Arial"/>
          <w:sz w:val="20"/>
          <w:szCs w:val="20"/>
        </w:rPr>
        <w:t xml:space="preserve">ju </w:t>
      </w:r>
      <w:r w:rsidRPr="00215B2F">
        <w:rPr>
          <w:rFonts w:ascii="Arial" w:eastAsia="Arial" w:hAnsi="Arial" w:cs="Arial"/>
          <w:sz w:val="20"/>
          <w:szCs w:val="20"/>
        </w:rPr>
        <w:t>določi Banka Slovenije.</w:t>
      </w:r>
    </w:p>
    <w:p w14:paraId="11F619BC"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3138DBA2" w14:textId="344F979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Poročila in informacije v zvezi s poslovanjem banke, ki so pomembn</w:t>
      </w:r>
      <w:r w:rsidR="004F1EF9" w:rsidRPr="00215B2F">
        <w:rPr>
          <w:rFonts w:ascii="Arial" w:eastAsia="Arial" w:hAnsi="Arial" w:cs="Arial"/>
          <w:sz w:val="20"/>
          <w:szCs w:val="20"/>
        </w:rPr>
        <w:t>i</w:t>
      </w:r>
      <w:r w:rsidRPr="00215B2F">
        <w:rPr>
          <w:rFonts w:ascii="Arial" w:eastAsia="Arial" w:hAnsi="Arial" w:cs="Arial"/>
          <w:sz w:val="20"/>
          <w:szCs w:val="20"/>
        </w:rPr>
        <w:t xml:space="preserve"> za nadzor nad banko, lahko Banka Slovenije zahteva tudi od članov uprave banke in oseb, zaposlenih pri banki.</w:t>
      </w:r>
    </w:p>
    <w:p w14:paraId="4347B68D"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6D4EAC8B" w14:textId="6C77FFA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(3) Banka Slovenije osebe iz prejšnjega odstavka pozove, da o zadevah iz prvega in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 roku, ki ne sme biti krajši od treh dni od dneva prejema poziva, izdelajo pisno poročilo, ali jih povabi, da o teh zadevah dajo ustno izjavo.</w:t>
      </w:r>
    </w:p>
    <w:p w14:paraId="7E3E306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2D3CC71"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93" w:name="_Ref202967139"/>
      <w:r w:rsidRPr="00215B2F">
        <w:rPr>
          <w:rFonts w:ascii="Arial" w:eastAsia="Arial" w:hAnsi="Arial" w:cs="Arial"/>
          <w:b/>
          <w:bCs/>
          <w:sz w:val="20"/>
          <w:szCs w:val="20"/>
        </w:rPr>
        <w:t>člen</w:t>
      </w:r>
      <w:bookmarkEnd w:id="393"/>
    </w:p>
    <w:p w14:paraId="56817F93" w14:textId="77777777" w:rsidR="00D91782" w:rsidRPr="00215B2F" w:rsidRDefault="00D91782" w:rsidP="00FD5520">
      <w:pPr>
        <w:pStyle w:val="Slog1"/>
        <w:shd w:val="clear" w:color="auto" w:fill="FFFFFF" w:themeFill="background1"/>
        <w:rPr>
          <w:sz w:val="20"/>
          <w:szCs w:val="20"/>
        </w:rPr>
      </w:pPr>
      <w:r w:rsidRPr="00215B2F">
        <w:rPr>
          <w:sz w:val="20"/>
          <w:szCs w:val="20"/>
        </w:rPr>
        <w:t>(pregled poslovanja)</w:t>
      </w:r>
    </w:p>
    <w:p w14:paraId="410807B1" w14:textId="77777777" w:rsidR="00D91782" w:rsidRPr="00215B2F" w:rsidRDefault="00D91782" w:rsidP="00FD5520">
      <w:pPr>
        <w:pStyle w:val="Slog1"/>
        <w:shd w:val="clear" w:color="auto" w:fill="FFFFFF" w:themeFill="background1"/>
        <w:jc w:val="both"/>
        <w:rPr>
          <w:sz w:val="20"/>
          <w:szCs w:val="20"/>
        </w:rPr>
      </w:pPr>
    </w:p>
    <w:p w14:paraId="6C1BE13F" w14:textId="7F10F01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omogoči pooblaščeni osebi Banke Slovenije, da v skladu z zahtevo iz </w:t>
      </w:r>
      <w:r w:rsidR="0013101D" w:rsidRPr="00215B2F">
        <w:rPr>
          <w:rFonts w:ascii="Arial" w:eastAsia="Arial" w:hAnsi="Arial" w:cs="Arial"/>
          <w:sz w:val="20"/>
          <w:szCs w:val="20"/>
        </w:rPr>
        <w:t>338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opravi pregled poslovanja banke na sedežu banke in v drugih prostorih, v katerih banka oziroma druga oseba po njenem pooblastilu opravlja dejavnosti in posle, v zvezi s katerimi Banka Slovenije opravlja nadzor.</w:t>
      </w:r>
    </w:p>
    <w:p w14:paraId="7C570BEC"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49D26D3" w14:textId="47D8E04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Pregled poslovanja vključuje zlasti pregled poslovnih knjig, administrativnih oziroma poslovnih evidenc in druge poslovne dokumentacije banke v skladu z zahtevo iz </w:t>
      </w:r>
      <w:r w:rsidR="0013101D" w:rsidRPr="00215B2F">
        <w:rPr>
          <w:rFonts w:ascii="Arial" w:eastAsia="Arial" w:hAnsi="Arial" w:cs="Arial"/>
          <w:sz w:val="20"/>
          <w:szCs w:val="20"/>
        </w:rPr>
        <w:t>338</w:t>
      </w:r>
      <w:r w:rsidRPr="00215B2F">
        <w:rPr>
          <w:rFonts w:ascii="Arial" w:eastAsia="Arial" w:hAnsi="Arial" w:cs="Arial"/>
          <w:sz w:val="20"/>
          <w:szCs w:val="20"/>
        </w:rPr>
        <w:t>.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615BAA4C"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11CD570" w14:textId="77777777" w:rsidR="00695FD3" w:rsidRPr="00215B2F" w:rsidRDefault="00695FD3"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94" w:name="_Ref202967145"/>
      <w:r w:rsidRPr="00215B2F">
        <w:rPr>
          <w:rFonts w:ascii="Arial" w:eastAsia="Arial" w:hAnsi="Arial" w:cs="Arial"/>
          <w:b/>
          <w:bCs/>
          <w:sz w:val="20"/>
          <w:szCs w:val="20"/>
        </w:rPr>
        <w:t>člen</w:t>
      </w:r>
      <w:bookmarkEnd w:id="394"/>
    </w:p>
    <w:p w14:paraId="0DC55848"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(zahteva za pregled poslovanja)</w:t>
      </w:r>
    </w:p>
    <w:p w14:paraId="31D74CBE"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66D88A29" w14:textId="5296BA0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po</w:t>
      </w:r>
      <w:r w:rsidR="004F1EF9" w:rsidRPr="00215B2F">
        <w:rPr>
          <w:rFonts w:ascii="Arial" w:eastAsia="Arial" w:hAnsi="Arial" w:cs="Arial"/>
          <w:sz w:val="20"/>
          <w:szCs w:val="20"/>
        </w:rPr>
        <w:t>šl</w:t>
      </w:r>
      <w:r w:rsidRPr="00215B2F">
        <w:rPr>
          <w:rFonts w:ascii="Arial" w:eastAsia="Arial" w:hAnsi="Arial" w:cs="Arial"/>
          <w:sz w:val="20"/>
          <w:szCs w:val="20"/>
        </w:rPr>
        <w:t>je banki zahtevo za pregled poslovanja najmanj osem dni pred začetkom pregleda poslovanja.</w:t>
      </w:r>
    </w:p>
    <w:p w14:paraId="708FC6CC"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C393617" w14:textId="0E8DCA1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Ne glede na prejšnji odstavek lahko Banka Slovenije zahtevo za pregled poslovanja predloži banki šele na dan začetka opravljanja pregleda poslovanja, če drugače ni mogoče doseči namena posameznega nadzora.</w:t>
      </w:r>
    </w:p>
    <w:p w14:paraId="23765B00"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59DCD91C" w14:textId="7BB65E9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Zahteva za pregled poslovanja mora </w:t>
      </w:r>
      <w:r w:rsidR="00A35BCD" w:rsidRPr="00215B2F">
        <w:rPr>
          <w:rFonts w:ascii="Arial" w:eastAsia="Arial" w:hAnsi="Arial" w:cs="Arial"/>
          <w:sz w:val="20"/>
          <w:szCs w:val="20"/>
        </w:rPr>
        <w:t xml:space="preserve">vključevati </w:t>
      </w:r>
      <w:r w:rsidRPr="00215B2F">
        <w:rPr>
          <w:rFonts w:ascii="Arial" w:eastAsia="Arial" w:hAnsi="Arial" w:cs="Arial"/>
          <w:sz w:val="20"/>
          <w:szCs w:val="20"/>
        </w:rPr>
        <w:t>navedbo poslovnih knjig, poslovne dokumentacije, evidenc in poslovnih dogodkov, ki so predmet pregleda, vključno z navedbo dokumentacije, ki jo mora banka v obliki računalniških izpiskov oziroma kopij izročiti za izvedbo pregleda, ter rok za predložitev</w:t>
      </w:r>
      <w:r w:rsidR="00833EC3" w:rsidRPr="00215B2F">
        <w:rPr>
          <w:rFonts w:ascii="Arial" w:eastAsia="Arial" w:hAnsi="Arial" w:cs="Arial"/>
          <w:sz w:val="20"/>
          <w:szCs w:val="20"/>
        </w:rPr>
        <w:t xml:space="preserve"> te dokumentacije</w:t>
      </w:r>
      <w:r w:rsidRPr="00215B2F">
        <w:rPr>
          <w:rFonts w:ascii="Arial" w:eastAsia="Arial" w:hAnsi="Arial" w:cs="Arial"/>
          <w:sz w:val="20"/>
          <w:szCs w:val="20"/>
        </w:rPr>
        <w:t>.</w:t>
      </w:r>
    </w:p>
    <w:p w14:paraId="473276E3"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881EF53" w14:textId="3EA04F0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Zahteva za pregled poslovanja mora </w:t>
      </w:r>
      <w:r w:rsidR="00A35BCD" w:rsidRPr="00215B2F">
        <w:rPr>
          <w:rFonts w:ascii="Arial" w:eastAsia="Arial" w:hAnsi="Arial" w:cs="Arial"/>
          <w:sz w:val="20"/>
          <w:szCs w:val="20"/>
        </w:rPr>
        <w:t xml:space="preserve">vključevati </w:t>
      </w:r>
      <w:r w:rsidRPr="00215B2F">
        <w:rPr>
          <w:rFonts w:ascii="Arial" w:eastAsia="Arial" w:hAnsi="Arial" w:cs="Arial"/>
          <w:sz w:val="20"/>
          <w:szCs w:val="20"/>
        </w:rPr>
        <w:t xml:space="preserve">tudi pravni pouk o pravnih posledicah, ki lahko nastopijo, če banka ne bo ravnala v skladu z zahtevo za pregled poslovanja ali Banki Slovenije ne bo omogočila opravljanja pregleda poslovanja na način, določen v </w:t>
      </w:r>
      <w:r w:rsidR="0013101D" w:rsidRPr="00215B2F">
        <w:rPr>
          <w:rFonts w:ascii="Arial" w:eastAsia="Arial" w:hAnsi="Arial" w:cs="Arial"/>
          <w:sz w:val="20"/>
          <w:szCs w:val="20"/>
        </w:rPr>
        <w:t>339</w:t>
      </w:r>
      <w:r w:rsidRPr="00215B2F">
        <w:rPr>
          <w:rFonts w:ascii="Arial" w:eastAsia="Arial" w:hAnsi="Arial" w:cs="Arial"/>
          <w:sz w:val="20"/>
          <w:szCs w:val="20"/>
        </w:rPr>
        <w:t xml:space="preserve">. do </w:t>
      </w:r>
      <w:r w:rsidR="0013101D" w:rsidRPr="00215B2F">
        <w:rPr>
          <w:rFonts w:ascii="Arial" w:eastAsia="Arial" w:hAnsi="Arial" w:cs="Arial"/>
          <w:sz w:val="20"/>
          <w:szCs w:val="20"/>
        </w:rPr>
        <w:t>342</w:t>
      </w:r>
      <w:r w:rsidRPr="00215B2F">
        <w:rPr>
          <w:rFonts w:ascii="Arial" w:eastAsia="Arial" w:hAnsi="Arial" w:cs="Arial"/>
          <w:sz w:val="20"/>
          <w:szCs w:val="20"/>
        </w:rPr>
        <w:t xml:space="preserve">. </w:t>
      </w:r>
      <w:r w:rsidR="001F2C7A" w:rsidRPr="00215B2F">
        <w:rPr>
          <w:rFonts w:ascii="Arial" w:eastAsia="Arial" w:hAnsi="Arial" w:cs="Arial"/>
          <w:sz w:val="20"/>
          <w:szCs w:val="20"/>
        </w:rPr>
        <w:t>členu tega zakona</w:t>
      </w:r>
      <w:r w:rsidRPr="00215B2F">
        <w:rPr>
          <w:rFonts w:ascii="Arial" w:eastAsia="Arial" w:hAnsi="Arial" w:cs="Arial"/>
          <w:sz w:val="20"/>
          <w:szCs w:val="20"/>
        </w:rPr>
        <w:t>.</w:t>
      </w:r>
    </w:p>
    <w:p w14:paraId="07DD40E7"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BC7090F" w14:textId="7C7EDBC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lahko med opravljanjem pregleda poslovanja dopolni zahtevo za pregled poslovanja. Za dopolnitev zahteve se smiselno </w:t>
      </w:r>
      <w:r w:rsidR="009353DF" w:rsidRPr="00215B2F">
        <w:rPr>
          <w:rFonts w:ascii="Arial" w:eastAsia="Arial" w:hAnsi="Arial" w:cs="Arial"/>
          <w:sz w:val="20"/>
          <w:szCs w:val="20"/>
        </w:rPr>
        <w:t xml:space="preserve">uporabljajo </w:t>
      </w:r>
      <w:r w:rsidRPr="00215B2F">
        <w:rPr>
          <w:rFonts w:ascii="Arial" w:eastAsia="Arial" w:hAnsi="Arial" w:cs="Arial"/>
          <w:sz w:val="20"/>
          <w:szCs w:val="20"/>
        </w:rPr>
        <w:t xml:space="preserve">prvi do četrti </w:t>
      </w:r>
      <w:r w:rsidR="00746E88" w:rsidRPr="00215B2F">
        <w:rPr>
          <w:rFonts w:ascii="Arial" w:eastAsia="Arial" w:hAnsi="Arial" w:cs="Arial"/>
          <w:sz w:val="20"/>
          <w:szCs w:val="20"/>
        </w:rPr>
        <w:t>odstavek tega člena</w:t>
      </w:r>
      <w:r w:rsidRPr="00215B2F">
        <w:rPr>
          <w:rFonts w:ascii="Arial" w:eastAsia="Arial" w:hAnsi="Arial" w:cs="Arial"/>
          <w:sz w:val="20"/>
          <w:szCs w:val="20"/>
        </w:rPr>
        <w:t>.</w:t>
      </w:r>
    </w:p>
    <w:p w14:paraId="1DB3705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7E9CF64"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95" w:name="_Ref202967156"/>
      <w:r w:rsidRPr="00215B2F">
        <w:rPr>
          <w:rFonts w:ascii="Arial" w:eastAsia="Arial" w:hAnsi="Arial" w:cs="Arial"/>
          <w:b/>
          <w:bCs/>
          <w:sz w:val="20"/>
          <w:szCs w:val="20"/>
        </w:rPr>
        <w:t>člen</w:t>
      </w:r>
      <w:bookmarkEnd w:id="395"/>
    </w:p>
    <w:p w14:paraId="562D63E9" w14:textId="77777777" w:rsidR="00D91782" w:rsidRPr="00215B2F" w:rsidRDefault="00D91782" w:rsidP="00FD5520">
      <w:pPr>
        <w:pStyle w:val="Slog1"/>
        <w:shd w:val="clear" w:color="auto" w:fill="FFFFFF" w:themeFill="background1"/>
        <w:rPr>
          <w:sz w:val="20"/>
          <w:szCs w:val="20"/>
        </w:rPr>
      </w:pPr>
      <w:r w:rsidRPr="00215B2F">
        <w:rPr>
          <w:sz w:val="20"/>
          <w:szCs w:val="20"/>
        </w:rPr>
        <w:t>(način opravljanja pregleda)</w:t>
      </w:r>
    </w:p>
    <w:p w14:paraId="265ECF0B" w14:textId="77777777" w:rsidR="00D91782" w:rsidRPr="00215B2F" w:rsidRDefault="00D91782" w:rsidP="00FD5520">
      <w:pPr>
        <w:pStyle w:val="Slog1"/>
        <w:shd w:val="clear" w:color="auto" w:fill="FFFFFF" w:themeFill="background1"/>
        <w:jc w:val="both"/>
        <w:rPr>
          <w:sz w:val="20"/>
          <w:szCs w:val="20"/>
        </w:rPr>
      </w:pPr>
    </w:p>
    <w:p w14:paraId="1E3993F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Pregled poslovanja banke opravi strokovni delavec Banke Slovenije ali druga pooblaščena oseba Banke Slovenije, ki jo za opravljanje pregleda poslovanja banke pooblasti guverner Banke Slovenije (v nadaljnjem besedilu: inšpektor Banke Slovenije).</w:t>
      </w:r>
    </w:p>
    <w:p w14:paraId="1A7507D6"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21EE42B3" w14:textId="682B6A3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Pregled poslovanja opravlja Banka Slovenije ob delavnikih med 8. in 18. uro. Kadar je zaradi obsega oziroma narave pregleda to potrebno, lahko Banka Slovenije opravi pregled poslovanja tudi po 18. uri oziroma </w:t>
      </w:r>
      <w:r w:rsidR="009353DF" w:rsidRPr="00215B2F">
        <w:rPr>
          <w:rFonts w:ascii="Arial" w:eastAsia="Arial" w:hAnsi="Arial" w:cs="Arial"/>
          <w:sz w:val="20"/>
          <w:szCs w:val="20"/>
        </w:rPr>
        <w:t xml:space="preserve">ob </w:t>
      </w:r>
      <w:r w:rsidRPr="00215B2F">
        <w:rPr>
          <w:rFonts w:ascii="Arial" w:eastAsia="Arial" w:hAnsi="Arial" w:cs="Arial"/>
          <w:sz w:val="20"/>
          <w:szCs w:val="20"/>
        </w:rPr>
        <w:t>dnevi</w:t>
      </w:r>
      <w:r w:rsidR="009353DF" w:rsidRPr="00215B2F">
        <w:rPr>
          <w:rFonts w:ascii="Arial" w:eastAsia="Arial" w:hAnsi="Arial" w:cs="Arial"/>
          <w:sz w:val="20"/>
          <w:szCs w:val="20"/>
        </w:rPr>
        <w:t>h</w:t>
      </w:r>
      <w:r w:rsidRPr="00215B2F">
        <w:rPr>
          <w:rFonts w:ascii="Arial" w:eastAsia="Arial" w:hAnsi="Arial" w:cs="Arial"/>
          <w:sz w:val="20"/>
          <w:szCs w:val="20"/>
        </w:rPr>
        <w:t>, ki niso delavniki.</w:t>
      </w:r>
    </w:p>
    <w:p w14:paraId="6CF837F1"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4C8189F2" w14:textId="05FCBFD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mora pregled poslovanja opravljati tako, da s tem ovira normalno poslovanje banke samo v taki meri, ko</w:t>
      </w:r>
      <w:r w:rsidR="00FA4B71" w:rsidRPr="00215B2F">
        <w:rPr>
          <w:rFonts w:ascii="Arial" w:eastAsia="Arial" w:hAnsi="Arial" w:cs="Arial"/>
          <w:sz w:val="20"/>
          <w:szCs w:val="20"/>
        </w:rPr>
        <w:t>likor</w:t>
      </w:r>
      <w:r w:rsidRPr="00215B2F">
        <w:rPr>
          <w:rFonts w:ascii="Arial" w:eastAsia="Arial" w:hAnsi="Arial" w:cs="Arial"/>
          <w:sz w:val="20"/>
          <w:szCs w:val="20"/>
        </w:rPr>
        <w:t xml:space="preserve"> je nujno za dosego namena nadzora.</w:t>
      </w:r>
    </w:p>
    <w:p w14:paraId="72024F6B"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2095D63E" w14:textId="4C5822B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Inšpektor Banke Slovenije o preliminarnih ugotovitvah pregleda poslovanja lahko pripravi poročilo, ki se pošlje banki. Poročilo ne prejudicira končnih ugotovitev in morebitnih ukrepov nadzora, ki jih Banka Slovenije na podlagi ugotovitev pregleda lahko izreče v skladu s tem zakonom. Banka lahko v zvezi s preliminarni</w:t>
      </w:r>
      <w:r w:rsidR="00FA4B71" w:rsidRPr="00215B2F">
        <w:rPr>
          <w:rFonts w:ascii="Arial" w:eastAsia="Arial" w:hAnsi="Arial" w:cs="Arial"/>
          <w:sz w:val="20"/>
          <w:szCs w:val="20"/>
        </w:rPr>
        <w:t>mi</w:t>
      </w:r>
      <w:r w:rsidRPr="00215B2F">
        <w:rPr>
          <w:rFonts w:ascii="Arial" w:eastAsia="Arial" w:hAnsi="Arial" w:cs="Arial"/>
          <w:sz w:val="20"/>
          <w:szCs w:val="20"/>
        </w:rPr>
        <w:t xml:space="preserve"> ugotovitvami v poročilu da dodatna pojasnila. Poročilo je informativne narave in namenjeno razjasnitvi posameznih okoliščin, ugotovljenih v pregledu.</w:t>
      </w:r>
    </w:p>
    <w:p w14:paraId="67952424"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2F48CD62" w14:textId="7CB2849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V zvezi s pregledom poslovanja se ne uporabljajo določbe ZUP o zapisniku.</w:t>
      </w:r>
    </w:p>
    <w:p w14:paraId="16FBFFA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C8C1F82"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96" w:name="_Ref202967164"/>
      <w:r w:rsidRPr="00215B2F">
        <w:rPr>
          <w:rFonts w:ascii="Arial" w:eastAsia="Arial" w:hAnsi="Arial" w:cs="Arial"/>
          <w:b/>
          <w:bCs/>
          <w:sz w:val="20"/>
          <w:szCs w:val="20"/>
        </w:rPr>
        <w:t>člen</w:t>
      </w:r>
      <w:bookmarkEnd w:id="396"/>
    </w:p>
    <w:p w14:paraId="001CF84F" w14:textId="77777777" w:rsidR="00D91782" w:rsidRPr="00215B2F" w:rsidRDefault="00D91782" w:rsidP="00FD5520">
      <w:pPr>
        <w:pStyle w:val="Slog1"/>
        <w:shd w:val="clear" w:color="auto" w:fill="FFFFFF" w:themeFill="background1"/>
        <w:rPr>
          <w:sz w:val="20"/>
          <w:szCs w:val="20"/>
        </w:rPr>
      </w:pPr>
      <w:r w:rsidRPr="00215B2F">
        <w:rPr>
          <w:sz w:val="20"/>
          <w:szCs w:val="20"/>
        </w:rPr>
        <w:lastRenderedPageBreak/>
        <w:t>(obseg pregleda)</w:t>
      </w:r>
    </w:p>
    <w:p w14:paraId="726EA34C" w14:textId="77777777" w:rsidR="00D91782" w:rsidRPr="00215B2F" w:rsidRDefault="00D91782" w:rsidP="00FD5520">
      <w:pPr>
        <w:pStyle w:val="Slog1"/>
        <w:shd w:val="clear" w:color="auto" w:fill="FFFFFF" w:themeFill="background1"/>
        <w:jc w:val="both"/>
        <w:rPr>
          <w:sz w:val="20"/>
          <w:szCs w:val="20"/>
        </w:rPr>
      </w:pPr>
    </w:p>
    <w:p w14:paraId="197B881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mora inšpektorju Banke Slovenije omogočiti pregled poslovnih knjig, poslovne dokumentacije ter administrativnih oziroma poslovnih evidenc v obsegu, potrebnem za izvajanje posameznega nadzora v skladu z zahtevo.</w:t>
      </w:r>
    </w:p>
    <w:p w14:paraId="178C4EAA"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33205E07" w14:textId="62349D8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mora inšpektorju Banke Slovenije izročiti računalniške izpiske oziroma kopije poslovnih knjig, poslovne dokumentacije ter administrativnih oziroma poslovnih evidenc.</w:t>
      </w:r>
    </w:p>
    <w:p w14:paraId="5F307CE7"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BC4088F" w14:textId="6C39E77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Člani uprave in zaposleni pri banki morajo inšpektorju Banke Slovenije pos</w:t>
      </w:r>
      <w:r w:rsidR="00522037" w:rsidRPr="00215B2F">
        <w:rPr>
          <w:rFonts w:ascii="Arial" w:eastAsia="Arial" w:hAnsi="Arial" w:cs="Arial"/>
          <w:sz w:val="20"/>
          <w:szCs w:val="20"/>
        </w:rPr>
        <w:t>l</w:t>
      </w:r>
      <w:r w:rsidRPr="00215B2F">
        <w:rPr>
          <w:rFonts w:ascii="Arial" w:eastAsia="Arial" w:hAnsi="Arial" w:cs="Arial"/>
          <w:sz w:val="20"/>
          <w:szCs w:val="20"/>
        </w:rPr>
        <w:t>ati poročila in informacije o vseh zadevah, pomembnih za pregled poslovanja</w:t>
      </w:r>
      <w:r w:rsidR="00522037" w:rsidRPr="00215B2F">
        <w:rPr>
          <w:rFonts w:ascii="Arial" w:eastAsia="Arial" w:hAnsi="Arial" w:cs="Arial"/>
          <w:sz w:val="20"/>
          <w:szCs w:val="20"/>
        </w:rPr>
        <w:t>,</w:t>
      </w:r>
      <w:r w:rsidRPr="00215B2F">
        <w:rPr>
          <w:rFonts w:ascii="Arial" w:eastAsia="Arial" w:hAnsi="Arial" w:cs="Arial"/>
          <w:sz w:val="20"/>
          <w:szCs w:val="20"/>
        </w:rPr>
        <w:t xml:space="preserve"> v skladu z zahtevo.</w:t>
      </w:r>
    </w:p>
    <w:p w14:paraId="2A8943D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EFD8778"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97" w:name="_Ref202967170"/>
      <w:r w:rsidRPr="00215B2F">
        <w:rPr>
          <w:rFonts w:ascii="Arial" w:eastAsia="Arial" w:hAnsi="Arial" w:cs="Arial"/>
          <w:b/>
          <w:bCs/>
          <w:sz w:val="20"/>
          <w:szCs w:val="20"/>
        </w:rPr>
        <w:t>člen</w:t>
      </w:r>
      <w:bookmarkEnd w:id="397"/>
    </w:p>
    <w:p w14:paraId="15D95AEE" w14:textId="77777777" w:rsidR="00D91782" w:rsidRPr="00215B2F" w:rsidRDefault="00D91782" w:rsidP="00FD5520">
      <w:pPr>
        <w:pStyle w:val="Slog1"/>
        <w:shd w:val="clear" w:color="auto" w:fill="FFFFFF" w:themeFill="background1"/>
        <w:rPr>
          <w:sz w:val="20"/>
          <w:szCs w:val="20"/>
        </w:rPr>
      </w:pPr>
      <w:r w:rsidRPr="00215B2F">
        <w:rPr>
          <w:sz w:val="20"/>
          <w:szCs w:val="20"/>
        </w:rPr>
        <w:t>(pogoji za opravljanje pregleda)</w:t>
      </w:r>
    </w:p>
    <w:p w14:paraId="4E821F72" w14:textId="77777777" w:rsidR="00D91782" w:rsidRPr="00215B2F" w:rsidRDefault="00D91782" w:rsidP="00FD5520">
      <w:pPr>
        <w:pStyle w:val="Slog1"/>
        <w:shd w:val="clear" w:color="auto" w:fill="FFFFFF" w:themeFill="background1"/>
        <w:jc w:val="both"/>
        <w:rPr>
          <w:sz w:val="20"/>
          <w:szCs w:val="20"/>
        </w:rPr>
      </w:pPr>
    </w:p>
    <w:p w14:paraId="70FD411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mora inšpektorjem Banke Slovenije zagotoviti ustrezne prostore, v katerih lahko nemoteno in brez prisotnosti drugih oseb opravijo pregled poslovanja.</w:t>
      </w:r>
    </w:p>
    <w:p w14:paraId="097DA4C8"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3EB6DFAE" w14:textId="2903952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mora zagotoviti, da so v času, v katerem inšpektorji Banke Slovenije opravljajo pregled poslovanja, v prostorih, kjer se opravlja pregled, prisotne pooblaščene osebe banke, ki lahko na zahtevo inšpektorja Banke Slovenije dajo ustrezna pojasnila v zvezi s poslovnimi knjigami, poslovno dokumentacijo, poslovnimi dogodki ter administrativnimi oziroma poslovnimi evidencami, ki so predmet pregleda.</w:t>
      </w:r>
    </w:p>
    <w:p w14:paraId="08AFE54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EFB0704"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98" w:name="_Ref202967175"/>
      <w:r w:rsidRPr="00215B2F">
        <w:rPr>
          <w:rFonts w:ascii="Arial" w:eastAsia="Arial" w:hAnsi="Arial" w:cs="Arial"/>
          <w:b/>
          <w:bCs/>
          <w:sz w:val="20"/>
          <w:szCs w:val="20"/>
        </w:rPr>
        <w:t>člen</w:t>
      </w:r>
      <w:bookmarkEnd w:id="398"/>
    </w:p>
    <w:p w14:paraId="10F0F6A9" w14:textId="77777777" w:rsidR="00D91782" w:rsidRPr="00215B2F" w:rsidRDefault="00D91782" w:rsidP="00FD5520">
      <w:pPr>
        <w:pStyle w:val="Slog1"/>
        <w:shd w:val="clear" w:color="auto" w:fill="FFFFFF" w:themeFill="background1"/>
        <w:rPr>
          <w:sz w:val="20"/>
          <w:szCs w:val="20"/>
        </w:rPr>
      </w:pPr>
      <w:r w:rsidRPr="00215B2F">
        <w:rPr>
          <w:sz w:val="20"/>
          <w:szCs w:val="20"/>
        </w:rPr>
        <w:t>(posebni pogoji za pregled računalniško vodenih poslovnih knjig in evidenc)</w:t>
      </w:r>
    </w:p>
    <w:p w14:paraId="07335F2E" w14:textId="77777777" w:rsidR="00D91782" w:rsidRPr="00215B2F" w:rsidRDefault="00D91782" w:rsidP="00FD5520">
      <w:pPr>
        <w:pStyle w:val="Slog1"/>
        <w:shd w:val="clear" w:color="auto" w:fill="FFFFFF" w:themeFill="background1"/>
        <w:jc w:val="both"/>
        <w:rPr>
          <w:sz w:val="20"/>
          <w:szCs w:val="20"/>
        </w:rPr>
      </w:pPr>
    </w:p>
    <w:p w14:paraId="58D71A8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ki računalniško obdeluje podatke oziroma računalniško vodi poslovne knjige in druge evidence, mora inšpektorju Banke Slovenije zagotoviti ustrezne pripomočke za pregled poslovnih knjig in evidenc ter preizkušanje ustreznosti računalniško obravnavanih podatkov.</w:t>
      </w:r>
    </w:p>
    <w:p w14:paraId="26EB3957"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4F20F346" w14:textId="2632BAC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mora inšpektorju Banke Slovenije izročiti dokumentacijo, iz katere je razviden popoln opis dela računovodskega sistema. Iz dokumentacije morajo biti razvidni podsistemi in datoteke računovodskega sistema. Dokumentacija mora zagotavljati vpogled v:</w:t>
      </w:r>
    </w:p>
    <w:p w14:paraId="222E7397"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42AB704" w14:textId="77777777" w:rsidR="00EA58C4" w:rsidRPr="00215B2F" w:rsidRDefault="00D91782" w:rsidP="003D4DE0">
      <w:pPr>
        <w:pStyle w:val="tevilnatoka"/>
        <w:numPr>
          <w:ilvl w:val="0"/>
          <w:numId w:val="229"/>
        </w:numPr>
        <w:shd w:val="clear" w:color="auto" w:fill="FFFFFF" w:themeFill="background1"/>
        <w:tabs>
          <w:tab w:val="clear" w:pos="425"/>
        </w:tabs>
        <w:rPr>
          <w:rFonts w:cs="Arial"/>
          <w:bCs/>
          <w:sz w:val="20"/>
          <w:szCs w:val="20"/>
        </w:rPr>
      </w:pPr>
      <w:r w:rsidRPr="00215B2F">
        <w:rPr>
          <w:rFonts w:eastAsia="Arial" w:cs="Arial"/>
          <w:sz w:val="20"/>
          <w:szCs w:val="20"/>
        </w:rPr>
        <w:t>računalniško rešitev;</w:t>
      </w:r>
    </w:p>
    <w:p w14:paraId="6CE14858" w14:textId="77777777" w:rsidR="00EA58C4" w:rsidRPr="00215B2F" w:rsidRDefault="00D91782" w:rsidP="003D4DE0">
      <w:pPr>
        <w:pStyle w:val="tevilnatoka"/>
        <w:numPr>
          <w:ilvl w:val="0"/>
          <w:numId w:val="229"/>
        </w:numPr>
        <w:shd w:val="clear" w:color="auto" w:fill="FFFFFF" w:themeFill="background1"/>
        <w:tabs>
          <w:tab w:val="clear" w:pos="425"/>
        </w:tabs>
        <w:rPr>
          <w:rFonts w:cs="Arial"/>
          <w:bCs/>
          <w:sz w:val="20"/>
          <w:szCs w:val="20"/>
        </w:rPr>
      </w:pPr>
      <w:r w:rsidRPr="00215B2F">
        <w:rPr>
          <w:rFonts w:eastAsia="Arial" w:cs="Arial"/>
          <w:sz w:val="20"/>
          <w:szCs w:val="20"/>
        </w:rPr>
        <w:t>postopke v okviru računalniške rešitve;</w:t>
      </w:r>
    </w:p>
    <w:p w14:paraId="046DDD7F" w14:textId="77777777" w:rsidR="00EA58C4" w:rsidRPr="00215B2F" w:rsidRDefault="00D91782" w:rsidP="003D4DE0">
      <w:pPr>
        <w:pStyle w:val="tevilnatoka"/>
        <w:numPr>
          <w:ilvl w:val="0"/>
          <w:numId w:val="229"/>
        </w:numPr>
        <w:shd w:val="clear" w:color="auto" w:fill="FFFFFF" w:themeFill="background1"/>
        <w:tabs>
          <w:tab w:val="clear" w:pos="425"/>
        </w:tabs>
        <w:rPr>
          <w:rFonts w:cs="Arial"/>
          <w:bCs/>
          <w:sz w:val="20"/>
          <w:szCs w:val="20"/>
        </w:rPr>
      </w:pPr>
      <w:r w:rsidRPr="00215B2F">
        <w:rPr>
          <w:rFonts w:eastAsia="Arial" w:cs="Arial"/>
          <w:sz w:val="20"/>
          <w:szCs w:val="20"/>
        </w:rPr>
        <w:t>kontrole, ki zagotavljajo pravilno in zanesljivo obdelavo podatkov;</w:t>
      </w:r>
    </w:p>
    <w:p w14:paraId="337F0649" w14:textId="557F019E" w:rsidR="00D91782" w:rsidRPr="00215B2F" w:rsidRDefault="00D91782" w:rsidP="003D4DE0">
      <w:pPr>
        <w:pStyle w:val="tevilnatoka"/>
        <w:numPr>
          <w:ilvl w:val="0"/>
          <w:numId w:val="229"/>
        </w:numPr>
        <w:shd w:val="clear" w:color="auto" w:fill="FFFFFF" w:themeFill="background1"/>
        <w:tabs>
          <w:tab w:val="clear" w:pos="425"/>
        </w:tabs>
        <w:rPr>
          <w:rFonts w:cs="Arial"/>
          <w:bCs/>
          <w:sz w:val="20"/>
          <w:szCs w:val="20"/>
        </w:rPr>
      </w:pPr>
      <w:r w:rsidRPr="00215B2F">
        <w:rPr>
          <w:rFonts w:eastAsia="Arial" w:cs="Arial"/>
          <w:sz w:val="20"/>
          <w:szCs w:val="20"/>
        </w:rPr>
        <w:t>kontrole, ki preprečujejo nepooblaščeno dodajanje, spreminjanje ali brisanje hranjenih računalniških zapisov.</w:t>
      </w:r>
    </w:p>
    <w:p w14:paraId="50D333EE"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2B20EE9F" w14:textId="107B408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Vsaka sprememba računalniške rešitve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mora biti dokumentirana v časovnem zaporedju nastanka spremembe skupaj z datumom spremembe. Iz dokumentacije mora biti razvidna tudi vsaka sprememba oblike datotek.</w:t>
      </w:r>
    </w:p>
    <w:p w14:paraId="296F03E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2F5B353"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399" w:name="_Ref203490201"/>
      <w:r w:rsidRPr="00215B2F">
        <w:rPr>
          <w:rFonts w:ascii="Arial" w:eastAsia="Arial" w:hAnsi="Arial" w:cs="Arial"/>
          <w:b/>
          <w:bCs/>
          <w:sz w:val="20"/>
          <w:szCs w:val="20"/>
        </w:rPr>
        <w:t>člen</w:t>
      </w:r>
      <w:bookmarkEnd w:id="399"/>
    </w:p>
    <w:p w14:paraId="15FEB7D7" w14:textId="77777777" w:rsidR="00D91782" w:rsidRPr="00215B2F" w:rsidRDefault="00D91782" w:rsidP="00FD5520">
      <w:pPr>
        <w:pStyle w:val="Slog1"/>
        <w:shd w:val="clear" w:color="auto" w:fill="FFFFFF" w:themeFill="background1"/>
        <w:rPr>
          <w:sz w:val="20"/>
          <w:szCs w:val="20"/>
        </w:rPr>
      </w:pPr>
      <w:r w:rsidRPr="00215B2F">
        <w:rPr>
          <w:sz w:val="20"/>
          <w:szCs w:val="20"/>
        </w:rPr>
        <w:t>(poročanje in pregled poslovanja drugih oseb)</w:t>
      </w:r>
    </w:p>
    <w:p w14:paraId="67DF7856" w14:textId="77777777" w:rsidR="00D91782" w:rsidRPr="00215B2F" w:rsidRDefault="00D91782" w:rsidP="00FD5520">
      <w:pPr>
        <w:pStyle w:val="Slog1"/>
        <w:shd w:val="clear" w:color="auto" w:fill="FFFFFF" w:themeFill="background1"/>
        <w:jc w:val="both"/>
        <w:rPr>
          <w:sz w:val="20"/>
          <w:szCs w:val="20"/>
        </w:rPr>
      </w:pPr>
    </w:p>
    <w:p w14:paraId="0318752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Če je to potrebno za dosego namena nadzora nad banko, lahko Banka Slovenije zahteva predložitev poslovne dokumentacije, ustrezna poročila in informacije tudi od naslednjih oseb:</w:t>
      </w:r>
    </w:p>
    <w:p w14:paraId="478165B0"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3114479" w14:textId="77777777" w:rsidR="00EA58C4" w:rsidRPr="00215B2F" w:rsidRDefault="00D91782" w:rsidP="003D4DE0">
      <w:pPr>
        <w:pStyle w:val="tevilnatoka"/>
        <w:numPr>
          <w:ilvl w:val="0"/>
          <w:numId w:val="230"/>
        </w:numPr>
        <w:shd w:val="clear" w:color="auto" w:fill="FFFFFF" w:themeFill="background1"/>
        <w:tabs>
          <w:tab w:val="clear" w:pos="425"/>
        </w:tabs>
        <w:rPr>
          <w:rFonts w:cs="Arial"/>
          <w:bCs/>
          <w:sz w:val="20"/>
          <w:szCs w:val="20"/>
        </w:rPr>
      </w:pPr>
      <w:r w:rsidRPr="00215B2F">
        <w:rPr>
          <w:rFonts w:eastAsia="Arial" w:cs="Arial"/>
          <w:sz w:val="20"/>
          <w:szCs w:val="20"/>
        </w:rPr>
        <w:t>oseb, ki so z banko v razmerju tesne povezanosti;</w:t>
      </w:r>
    </w:p>
    <w:p w14:paraId="2555B857" w14:textId="2705C71F" w:rsidR="00EA58C4" w:rsidRPr="00215B2F" w:rsidRDefault="00D91782" w:rsidP="003D4DE0">
      <w:pPr>
        <w:pStyle w:val="tevilnatoka"/>
        <w:numPr>
          <w:ilvl w:val="0"/>
          <w:numId w:val="230"/>
        </w:numPr>
        <w:shd w:val="clear" w:color="auto" w:fill="FFFFFF" w:themeFill="background1"/>
        <w:tabs>
          <w:tab w:val="clear" w:pos="425"/>
        </w:tabs>
        <w:rPr>
          <w:rFonts w:cs="Arial"/>
          <w:bCs/>
          <w:sz w:val="20"/>
          <w:szCs w:val="20"/>
        </w:rPr>
      </w:pPr>
      <w:r w:rsidRPr="00215B2F">
        <w:rPr>
          <w:rFonts w:eastAsia="Arial" w:cs="Arial"/>
          <w:sz w:val="20"/>
          <w:szCs w:val="20"/>
        </w:rPr>
        <w:t>oseb, na katere je banka prenesla del svojih poslovnih p</w:t>
      </w:r>
      <w:r w:rsidR="007A7455" w:rsidRPr="00215B2F">
        <w:rPr>
          <w:rFonts w:eastAsia="Arial" w:cs="Arial"/>
          <w:sz w:val="20"/>
          <w:szCs w:val="20"/>
        </w:rPr>
        <w:t>ostopk</w:t>
      </w:r>
      <w:r w:rsidRPr="00215B2F">
        <w:rPr>
          <w:rFonts w:eastAsia="Arial" w:cs="Arial"/>
          <w:sz w:val="20"/>
          <w:szCs w:val="20"/>
        </w:rPr>
        <w:t xml:space="preserve">ov ali so za banke prevzele zunanje izvajanje </w:t>
      </w:r>
      <w:r w:rsidR="00A35BCD" w:rsidRPr="00215B2F">
        <w:rPr>
          <w:rFonts w:eastAsia="Arial" w:cs="Arial"/>
          <w:sz w:val="20"/>
          <w:szCs w:val="20"/>
        </w:rPr>
        <w:t xml:space="preserve">funkcij </w:t>
      </w:r>
      <w:r w:rsidRPr="00215B2F">
        <w:rPr>
          <w:rFonts w:eastAsia="Arial" w:cs="Arial"/>
          <w:sz w:val="20"/>
          <w:szCs w:val="20"/>
        </w:rPr>
        <w:t>ali dejavnosti, vključno s tretjimi ponudniki storitev IKT iz poglavja V Uredbe 2022/2554/EU;</w:t>
      </w:r>
    </w:p>
    <w:p w14:paraId="2232E2FB" w14:textId="77777777" w:rsidR="00EA58C4" w:rsidRPr="00215B2F" w:rsidRDefault="00D91782" w:rsidP="003D4DE0">
      <w:pPr>
        <w:pStyle w:val="tevilnatoka"/>
        <w:numPr>
          <w:ilvl w:val="0"/>
          <w:numId w:val="230"/>
        </w:numPr>
        <w:shd w:val="clear" w:color="auto" w:fill="FFFFFF" w:themeFill="background1"/>
        <w:tabs>
          <w:tab w:val="clear" w:pos="425"/>
        </w:tabs>
        <w:rPr>
          <w:rFonts w:cs="Arial"/>
          <w:bCs/>
          <w:sz w:val="20"/>
          <w:szCs w:val="20"/>
        </w:rPr>
      </w:pPr>
      <w:r w:rsidRPr="00215B2F">
        <w:rPr>
          <w:rFonts w:eastAsia="Arial" w:cs="Arial"/>
          <w:sz w:val="20"/>
          <w:szCs w:val="20"/>
        </w:rPr>
        <w:t>imetnikov kvalificiranih deležev v banki;</w:t>
      </w:r>
    </w:p>
    <w:p w14:paraId="2D127EF2" w14:textId="77777777" w:rsidR="00EA58C4" w:rsidRPr="00215B2F" w:rsidRDefault="00D91782" w:rsidP="003D4DE0">
      <w:pPr>
        <w:pStyle w:val="tevilnatoka"/>
        <w:numPr>
          <w:ilvl w:val="0"/>
          <w:numId w:val="230"/>
        </w:numPr>
        <w:shd w:val="clear" w:color="auto" w:fill="FFFFFF" w:themeFill="background1"/>
        <w:tabs>
          <w:tab w:val="clear" w:pos="425"/>
        </w:tabs>
        <w:rPr>
          <w:rFonts w:cs="Arial"/>
          <w:bCs/>
          <w:sz w:val="20"/>
          <w:szCs w:val="20"/>
        </w:rPr>
      </w:pPr>
      <w:r w:rsidRPr="00215B2F">
        <w:rPr>
          <w:rFonts w:eastAsia="Arial" w:cs="Arial"/>
          <w:sz w:val="20"/>
          <w:szCs w:val="20"/>
        </w:rPr>
        <w:t>oseb, v katerih ima banka kvalificirano naložbo;</w:t>
      </w:r>
    </w:p>
    <w:p w14:paraId="734A7A38" w14:textId="77777777" w:rsidR="00EA58C4" w:rsidRPr="00215B2F" w:rsidRDefault="00D91782" w:rsidP="003D4DE0">
      <w:pPr>
        <w:pStyle w:val="tevilnatoka"/>
        <w:numPr>
          <w:ilvl w:val="0"/>
          <w:numId w:val="230"/>
        </w:numPr>
        <w:shd w:val="clear" w:color="auto" w:fill="FFFFFF" w:themeFill="background1"/>
        <w:tabs>
          <w:tab w:val="clear" w:pos="425"/>
        </w:tabs>
        <w:rPr>
          <w:rFonts w:cs="Arial"/>
          <w:bCs/>
          <w:sz w:val="20"/>
          <w:szCs w:val="20"/>
        </w:rPr>
      </w:pPr>
      <w:r w:rsidRPr="00215B2F">
        <w:rPr>
          <w:rFonts w:eastAsia="Arial" w:cs="Arial"/>
          <w:sz w:val="20"/>
          <w:szCs w:val="20"/>
        </w:rPr>
        <w:t>nadrejenega finančnega holdinga, mešanega finančnega holdinga ali mešanega poslovnega holdinga;</w:t>
      </w:r>
    </w:p>
    <w:p w14:paraId="5F7AEE98" w14:textId="6B9E427A" w:rsidR="00EA58C4" w:rsidRPr="00215B2F" w:rsidRDefault="00D91782" w:rsidP="003D4DE0">
      <w:pPr>
        <w:pStyle w:val="tevilnatoka"/>
        <w:numPr>
          <w:ilvl w:val="0"/>
          <w:numId w:val="230"/>
        </w:numPr>
        <w:shd w:val="clear" w:color="auto" w:fill="FFFFFF" w:themeFill="background1"/>
        <w:tabs>
          <w:tab w:val="clear" w:pos="425"/>
        </w:tabs>
        <w:rPr>
          <w:rFonts w:cs="Arial"/>
          <w:bCs/>
          <w:sz w:val="20"/>
          <w:szCs w:val="20"/>
        </w:rPr>
      </w:pPr>
      <w:r w:rsidRPr="00215B2F">
        <w:rPr>
          <w:rFonts w:eastAsia="Arial" w:cs="Arial"/>
          <w:sz w:val="20"/>
          <w:szCs w:val="20"/>
        </w:rPr>
        <w:t>drugih oseb, ki so vključene v konsolidiran</w:t>
      </w:r>
      <w:r w:rsidR="00522037" w:rsidRPr="00215B2F">
        <w:rPr>
          <w:rFonts w:eastAsia="Arial" w:cs="Arial"/>
          <w:sz w:val="20"/>
          <w:szCs w:val="20"/>
        </w:rPr>
        <w:t>i</w:t>
      </w:r>
      <w:r w:rsidRPr="00215B2F">
        <w:rPr>
          <w:rFonts w:eastAsia="Arial" w:cs="Arial"/>
          <w:sz w:val="20"/>
          <w:szCs w:val="20"/>
        </w:rPr>
        <w:t xml:space="preserve"> nadzor </w:t>
      </w:r>
      <w:r w:rsidR="00522037" w:rsidRPr="00215B2F">
        <w:rPr>
          <w:rFonts w:eastAsia="Arial" w:cs="Arial"/>
          <w:sz w:val="20"/>
          <w:szCs w:val="20"/>
        </w:rPr>
        <w:t xml:space="preserve">nad </w:t>
      </w:r>
      <w:r w:rsidRPr="00215B2F">
        <w:rPr>
          <w:rFonts w:eastAsia="Arial" w:cs="Arial"/>
          <w:sz w:val="20"/>
          <w:szCs w:val="20"/>
        </w:rPr>
        <w:t>bank</w:t>
      </w:r>
      <w:r w:rsidR="00522037" w:rsidRPr="00215B2F">
        <w:rPr>
          <w:rFonts w:eastAsia="Arial" w:cs="Arial"/>
          <w:sz w:val="20"/>
          <w:szCs w:val="20"/>
        </w:rPr>
        <w:t>o</w:t>
      </w:r>
      <w:r w:rsidRPr="00215B2F">
        <w:rPr>
          <w:rFonts w:eastAsia="Arial" w:cs="Arial"/>
          <w:sz w:val="20"/>
          <w:szCs w:val="20"/>
        </w:rPr>
        <w:t>;</w:t>
      </w:r>
    </w:p>
    <w:p w14:paraId="791454B3" w14:textId="193D4B35" w:rsidR="00D91782" w:rsidRPr="00215B2F" w:rsidRDefault="00D91782" w:rsidP="003D4DE0">
      <w:pPr>
        <w:pStyle w:val="tevilnatoka"/>
        <w:numPr>
          <w:ilvl w:val="0"/>
          <w:numId w:val="230"/>
        </w:numPr>
        <w:shd w:val="clear" w:color="auto" w:fill="FFFFFF" w:themeFill="background1"/>
        <w:tabs>
          <w:tab w:val="clear" w:pos="425"/>
        </w:tabs>
        <w:rPr>
          <w:rFonts w:cs="Arial"/>
          <w:bCs/>
          <w:sz w:val="20"/>
          <w:szCs w:val="20"/>
        </w:rPr>
      </w:pPr>
      <w:r w:rsidRPr="00215B2F">
        <w:rPr>
          <w:rFonts w:eastAsia="Arial" w:cs="Arial"/>
          <w:sz w:val="20"/>
          <w:szCs w:val="20"/>
        </w:rPr>
        <w:lastRenderedPageBreak/>
        <w:t>družbe, ki je podrejena nadrejenemu finančnemu holdingu, mešanemu finančnemu holdingu ali mešanemu poslovnemu holdingu.</w:t>
      </w:r>
    </w:p>
    <w:p w14:paraId="02968E3B"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C0243C0" w14:textId="1E0D62D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lahko zahteva poročila in informacije iz prejšnjega odstavka tudi od članov organov vodenja in od zaposlenih pri teh osebah.</w:t>
      </w:r>
    </w:p>
    <w:p w14:paraId="0A69F5F5"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DEDE5CF" w14:textId="03376B1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Kadar je to potrebno, da se preveri dokumentacija, poročila in informacije, prejete na podlagi prvega ali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lahko Banka Slovenije pri pravnih osebah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opravi pregled poslovanja. Za pregled poslovanja se v tem primeru smiselno uporabljajo določbe tega zakona o pregledu poslovanja banke.</w:t>
      </w:r>
    </w:p>
    <w:p w14:paraId="7BE943FD"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4A95ED7F" w14:textId="3FF587D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Če je za nadzor nad posamezno osebo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pristojen drug nadzorni organ, opravi Banka Slovenije pregled poslovanja te osebe v sodelovanju s tem organom v skladu z določbami tega zakona.</w:t>
      </w:r>
    </w:p>
    <w:p w14:paraId="38D309AA" w14:textId="77777777" w:rsidR="00707327" w:rsidRPr="00215B2F" w:rsidRDefault="00707327" w:rsidP="00FD5520">
      <w:pPr>
        <w:shd w:val="clear" w:color="auto" w:fill="FFFFFF" w:themeFill="background1"/>
        <w:spacing w:after="0" w:line="240" w:lineRule="auto"/>
        <w:jc w:val="both"/>
        <w:rPr>
          <w:rFonts w:ascii="Arial" w:eastAsia="Arial" w:hAnsi="Arial" w:cs="Arial"/>
          <w:sz w:val="20"/>
          <w:szCs w:val="20"/>
        </w:rPr>
      </w:pPr>
    </w:p>
    <w:p w14:paraId="74C4FCEC" w14:textId="31693CAE" w:rsidR="00D91782" w:rsidRPr="00215B2F" w:rsidRDefault="000A76F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10</w:t>
      </w:r>
      <w:r w:rsidR="00695FD3" w:rsidRPr="00215B2F">
        <w:rPr>
          <w:rFonts w:ascii="Arial" w:eastAsia="Arial" w:hAnsi="Arial" w:cs="Arial"/>
          <w:b/>
          <w:bCs/>
          <w:sz w:val="20"/>
          <w:szCs w:val="20"/>
        </w:rPr>
        <w:t>.3 UKREPI NADZORA ZOPER BANKO</w:t>
      </w:r>
    </w:p>
    <w:p w14:paraId="0C08E7A9" w14:textId="77777777" w:rsidR="00695FD3" w:rsidRPr="00215B2F" w:rsidRDefault="00695FD3" w:rsidP="00FD5520">
      <w:pPr>
        <w:shd w:val="clear" w:color="auto" w:fill="FFFFFF" w:themeFill="background1"/>
        <w:spacing w:after="0" w:line="240" w:lineRule="auto"/>
        <w:jc w:val="both"/>
        <w:rPr>
          <w:rFonts w:ascii="Arial" w:eastAsia="Arial" w:hAnsi="Arial" w:cs="Arial"/>
          <w:i/>
          <w:iCs/>
          <w:sz w:val="20"/>
          <w:szCs w:val="20"/>
        </w:rPr>
      </w:pPr>
    </w:p>
    <w:p w14:paraId="4427D721" w14:textId="2D49AA84" w:rsidR="00D91782" w:rsidRPr="00215B2F" w:rsidRDefault="000A76F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10</w:t>
      </w:r>
      <w:r w:rsidR="00D91782" w:rsidRPr="00215B2F">
        <w:rPr>
          <w:rFonts w:ascii="Arial" w:eastAsia="Arial" w:hAnsi="Arial" w:cs="Arial"/>
          <w:i/>
          <w:iCs/>
          <w:sz w:val="20"/>
          <w:szCs w:val="20"/>
        </w:rPr>
        <w:t>.3.1 Odredba za odpravo kršitev banke</w:t>
      </w:r>
    </w:p>
    <w:p w14:paraId="4774EE52" w14:textId="77777777"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p>
    <w:p w14:paraId="6BE797C1"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00" w:name="_Ref202967182"/>
      <w:r w:rsidRPr="00215B2F">
        <w:rPr>
          <w:rFonts w:ascii="Arial" w:eastAsia="Arial" w:hAnsi="Arial" w:cs="Arial"/>
          <w:b/>
          <w:bCs/>
          <w:sz w:val="20"/>
          <w:szCs w:val="20"/>
        </w:rPr>
        <w:t>člen</w:t>
      </w:r>
      <w:bookmarkEnd w:id="400"/>
    </w:p>
    <w:p w14:paraId="0A56B219" w14:textId="77777777" w:rsidR="00D91782" w:rsidRPr="00215B2F" w:rsidRDefault="00D91782" w:rsidP="00FD5520">
      <w:pPr>
        <w:pStyle w:val="Slog1"/>
        <w:shd w:val="clear" w:color="auto" w:fill="FFFFFF" w:themeFill="background1"/>
        <w:rPr>
          <w:sz w:val="20"/>
          <w:szCs w:val="20"/>
        </w:rPr>
      </w:pPr>
      <w:r w:rsidRPr="00215B2F">
        <w:rPr>
          <w:sz w:val="20"/>
          <w:szCs w:val="20"/>
        </w:rPr>
        <w:t>(odredba)</w:t>
      </w:r>
    </w:p>
    <w:p w14:paraId="3AFB0E8C" w14:textId="77777777" w:rsidR="00D91782" w:rsidRPr="00215B2F" w:rsidRDefault="00D91782" w:rsidP="00FD5520">
      <w:pPr>
        <w:pStyle w:val="Slog1"/>
        <w:shd w:val="clear" w:color="auto" w:fill="FFFFFF" w:themeFill="background1"/>
        <w:jc w:val="both"/>
        <w:rPr>
          <w:sz w:val="20"/>
          <w:szCs w:val="20"/>
        </w:rPr>
      </w:pPr>
    </w:p>
    <w:p w14:paraId="4C69E3CE" w14:textId="503F85E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Če Banka Slovenije pri izvajanju nadzora ugotovi, da bank</w:t>
      </w:r>
      <w:r w:rsidR="00A35BCD" w:rsidRPr="00215B2F">
        <w:rPr>
          <w:rFonts w:ascii="Arial" w:eastAsia="Arial" w:hAnsi="Arial" w:cs="Arial"/>
          <w:sz w:val="20"/>
          <w:szCs w:val="20"/>
        </w:rPr>
        <w:t>a</w:t>
      </w:r>
      <w:r w:rsidRPr="00215B2F">
        <w:rPr>
          <w:rFonts w:ascii="Arial" w:eastAsia="Arial" w:hAnsi="Arial" w:cs="Arial"/>
          <w:sz w:val="20"/>
          <w:szCs w:val="20"/>
        </w:rPr>
        <w:t xml:space="preserve"> </w:t>
      </w:r>
      <w:r w:rsidR="00A35BCD" w:rsidRPr="00215B2F">
        <w:rPr>
          <w:rFonts w:ascii="Arial" w:eastAsia="Arial" w:hAnsi="Arial" w:cs="Arial"/>
          <w:sz w:val="20"/>
          <w:szCs w:val="20"/>
        </w:rPr>
        <w:t xml:space="preserve">krši </w:t>
      </w:r>
      <w:r w:rsidRPr="00215B2F">
        <w:rPr>
          <w:rFonts w:ascii="Arial" w:eastAsia="Arial" w:hAnsi="Arial" w:cs="Arial"/>
          <w:sz w:val="20"/>
          <w:szCs w:val="20"/>
        </w:rPr>
        <w:t>ali bo v naslednjih 12 mesecih verjetno krši</w:t>
      </w:r>
      <w:r w:rsidR="00A35BCD" w:rsidRPr="00215B2F">
        <w:rPr>
          <w:rFonts w:ascii="Arial" w:eastAsia="Arial" w:hAnsi="Arial" w:cs="Arial"/>
          <w:sz w:val="20"/>
          <w:szCs w:val="20"/>
        </w:rPr>
        <w:t>la</w:t>
      </w:r>
      <w:r w:rsidRPr="00215B2F">
        <w:rPr>
          <w:rFonts w:ascii="Arial" w:eastAsia="Arial" w:hAnsi="Arial" w:cs="Arial"/>
          <w:sz w:val="20"/>
          <w:szCs w:val="20"/>
        </w:rPr>
        <w:t xml:space="preserve"> predpis</w:t>
      </w:r>
      <w:r w:rsidR="00A35BCD" w:rsidRPr="00215B2F">
        <w:rPr>
          <w:rFonts w:ascii="Arial" w:eastAsia="Arial" w:hAnsi="Arial" w:cs="Arial"/>
          <w:sz w:val="20"/>
          <w:szCs w:val="20"/>
        </w:rPr>
        <w:t>e</w:t>
      </w:r>
      <w:r w:rsidRPr="00215B2F">
        <w:rPr>
          <w:rFonts w:ascii="Arial" w:eastAsia="Arial" w:hAnsi="Arial" w:cs="Arial"/>
          <w:sz w:val="20"/>
          <w:szCs w:val="20"/>
        </w:rPr>
        <w:t xml:space="preserve"> iz </w:t>
      </w:r>
      <w:r w:rsidR="00702635" w:rsidRPr="00215B2F">
        <w:rPr>
          <w:rFonts w:ascii="Arial" w:eastAsia="Arial" w:hAnsi="Arial" w:cs="Arial"/>
          <w:sz w:val="20"/>
          <w:szCs w:val="20"/>
        </w:rPr>
        <w:t>tretjega</w:t>
      </w:r>
      <w:r w:rsidRPr="00215B2F">
        <w:rPr>
          <w:rFonts w:ascii="Arial" w:eastAsia="Arial" w:hAnsi="Arial" w:cs="Arial"/>
          <w:sz w:val="20"/>
          <w:szCs w:val="20"/>
        </w:rPr>
        <w:t xml:space="preserve"> odstavka 9.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banko pisno obvesti o ugotovitvah in odredi, da preneha </w:t>
      </w:r>
      <w:r w:rsidR="00954058" w:rsidRPr="00215B2F">
        <w:rPr>
          <w:rFonts w:ascii="Arial" w:eastAsia="Arial" w:hAnsi="Arial" w:cs="Arial"/>
          <w:sz w:val="20"/>
          <w:szCs w:val="20"/>
        </w:rPr>
        <w:t xml:space="preserve">s </w:t>
      </w:r>
      <w:r w:rsidR="00BD5952" w:rsidRPr="00215B2F">
        <w:rPr>
          <w:rFonts w:ascii="Arial" w:eastAsia="Arial" w:hAnsi="Arial" w:cs="Arial"/>
          <w:sz w:val="20"/>
          <w:szCs w:val="20"/>
        </w:rPr>
        <w:t>tak</w:t>
      </w:r>
      <w:r w:rsidR="00954058" w:rsidRPr="00215B2F">
        <w:rPr>
          <w:rFonts w:ascii="Arial" w:eastAsia="Arial" w:hAnsi="Arial" w:cs="Arial"/>
          <w:sz w:val="20"/>
          <w:szCs w:val="20"/>
        </w:rPr>
        <w:t>im</w:t>
      </w:r>
      <w:r w:rsidR="00BD5952" w:rsidRPr="00215B2F">
        <w:rPr>
          <w:rFonts w:ascii="Arial" w:eastAsia="Arial" w:hAnsi="Arial" w:cs="Arial"/>
          <w:sz w:val="20"/>
          <w:szCs w:val="20"/>
        </w:rPr>
        <w:t xml:space="preserve"> </w:t>
      </w:r>
      <w:r w:rsidRPr="00215B2F">
        <w:rPr>
          <w:rFonts w:ascii="Arial" w:eastAsia="Arial" w:hAnsi="Arial" w:cs="Arial"/>
          <w:sz w:val="20"/>
          <w:szCs w:val="20"/>
        </w:rPr>
        <w:t>ravnanj</w:t>
      </w:r>
      <w:r w:rsidR="00BD5952" w:rsidRPr="00215B2F">
        <w:rPr>
          <w:rFonts w:ascii="Arial" w:eastAsia="Arial" w:hAnsi="Arial" w:cs="Arial"/>
          <w:sz w:val="20"/>
          <w:szCs w:val="20"/>
        </w:rPr>
        <w:t>e</w:t>
      </w:r>
      <w:r w:rsidR="00954058" w:rsidRPr="00215B2F">
        <w:rPr>
          <w:rFonts w:ascii="Arial" w:eastAsia="Arial" w:hAnsi="Arial" w:cs="Arial"/>
          <w:sz w:val="20"/>
          <w:szCs w:val="20"/>
        </w:rPr>
        <w:t>m</w:t>
      </w:r>
      <w:r w:rsidRPr="00215B2F">
        <w:rPr>
          <w:rFonts w:ascii="Arial" w:eastAsia="Arial" w:hAnsi="Arial" w:cs="Arial"/>
          <w:sz w:val="20"/>
          <w:szCs w:val="20"/>
        </w:rPr>
        <w:t xml:space="preserve"> in odpravi kršitve ter v določenem roku Banki Slovenije predloži pisno poročilo, v katerem opiše ukrepe za odpravo kršitev ter predloži ustrezna dokazila.</w:t>
      </w:r>
    </w:p>
    <w:p w14:paraId="10C9C7B6"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555329A" w14:textId="3A71D84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Če Banka Slovenije pri izvajanju nadzora ugotovi, da bank</w:t>
      </w:r>
      <w:r w:rsidR="00A35BCD" w:rsidRPr="00215B2F">
        <w:rPr>
          <w:rFonts w:ascii="Arial" w:eastAsia="Arial" w:hAnsi="Arial" w:cs="Arial"/>
          <w:sz w:val="20"/>
          <w:szCs w:val="20"/>
        </w:rPr>
        <w:t>a krši</w:t>
      </w:r>
      <w:r w:rsidRPr="00215B2F">
        <w:rPr>
          <w:rFonts w:ascii="Arial" w:eastAsia="Arial" w:hAnsi="Arial" w:cs="Arial"/>
          <w:sz w:val="20"/>
          <w:szCs w:val="20"/>
        </w:rPr>
        <w:t xml:space="preserve"> ali bo v naslednjih 12 mesecih verjetno krši</w:t>
      </w:r>
      <w:r w:rsidR="00A35BCD" w:rsidRPr="00215B2F">
        <w:rPr>
          <w:rFonts w:ascii="Arial" w:eastAsia="Arial" w:hAnsi="Arial" w:cs="Arial"/>
          <w:sz w:val="20"/>
          <w:szCs w:val="20"/>
        </w:rPr>
        <w:t>la</w:t>
      </w:r>
      <w:r w:rsidRPr="00215B2F">
        <w:rPr>
          <w:rFonts w:ascii="Arial" w:eastAsia="Arial" w:hAnsi="Arial" w:cs="Arial"/>
          <w:sz w:val="20"/>
          <w:szCs w:val="20"/>
        </w:rPr>
        <w:t xml:space="preserve"> predpis</w:t>
      </w:r>
      <w:r w:rsidR="00A35BCD" w:rsidRPr="00215B2F">
        <w:rPr>
          <w:rFonts w:ascii="Arial" w:eastAsia="Arial" w:hAnsi="Arial" w:cs="Arial"/>
          <w:sz w:val="20"/>
          <w:szCs w:val="20"/>
        </w:rPr>
        <w:t>e</w:t>
      </w:r>
      <w:r w:rsidRPr="00215B2F">
        <w:rPr>
          <w:rFonts w:ascii="Arial" w:eastAsia="Arial" w:hAnsi="Arial" w:cs="Arial"/>
          <w:sz w:val="20"/>
          <w:szCs w:val="20"/>
        </w:rPr>
        <w:t xml:space="preserve"> iz </w:t>
      </w:r>
      <w:r w:rsidR="00702635" w:rsidRPr="00215B2F">
        <w:rPr>
          <w:rFonts w:ascii="Arial" w:eastAsia="Arial" w:hAnsi="Arial" w:cs="Arial"/>
          <w:sz w:val="20"/>
          <w:szCs w:val="20"/>
        </w:rPr>
        <w:t>tretjega</w:t>
      </w:r>
      <w:r w:rsidRPr="00215B2F">
        <w:rPr>
          <w:rFonts w:ascii="Arial" w:eastAsia="Arial" w:hAnsi="Arial" w:cs="Arial"/>
          <w:sz w:val="20"/>
          <w:szCs w:val="20"/>
        </w:rPr>
        <w:t xml:space="preserve"> odstavka 9.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r w:rsidR="00A35BCD" w:rsidRPr="00215B2F">
        <w:rPr>
          <w:rFonts w:ascii="Arial" w:eastAsia="Arial" w:hAnsi="Arial" w:cs="Arial"/>
          <w:sz w:val="20"/>
          <w:szCs w:val="20"/>
        </w:rPr>
        <w:t xml:space="preserve">in te kršitve </w:t>
      </w:r>
      <w:r w:rsidRPr="00215B2F">
        <w:rPr>
          <w:rFonts w:ascii="Arial" w:eastAsia="Arial" w:hAnsi="Arial" w:cs="Arial"/>
          <w:sz w:val="20"/>
          <w:szCs w:val="20"/>
        </w:rPr>
        <w:t xml:space="preserve">imajo ali bi lahko imele pomembne učinke na varno in skrbno upravljanje banke, Banka Slovenije banki poleg zahtev iz prejšnjega odstavka odredi, da izvede določene ukrepe iz </w:t>
      </w:r>
      <w:r w:rsidR="005A78EE" w:rsidRPr="00215B2F">
        <w:rPr>
          <w:rFonts w:ascii="Arial" w:eastAsia="Arial" w:hAnsi="Arial" w:cs="Arial"/>
          <w:sz w:val="20"/>
          <w:szCs w:val="20"/>
        </w:rPr>
        <w:t>345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da se odpravijo kršitve oziroma prepreči nastanek kršitev (v nadaljnjem besedilu: dodatni ukrepi).</w:t>
      </w:r>
    </w:p>
    <w:p w14:paraId="6DF1CAE6"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082EC7B" w14:textId="3C3247B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Šteje se, da </w:t>
      </w:r>
      <w:r w:rsidR="00182D04" w:rsidRPr="00215B2F">
        <w:rPr>
          <w:rFonts w:ascii="Arial" w:eastAsia="Arial" w:hAnsi="Arial" w:cs="Arial"/>
          <w:sz w:val="20"/>
          <w:szCs w:val="20"/>
        </w:rPr>
        <w:t>obstajaj</w:t>
      </w:r>
      <w:r w:rsidRPr="00215B2F">
        <w:rPr>
          <w:rFonts w:ascii="Arial" w:eastAsia="Arial" w:hAnsi="Arial" w:cs="Arial"/>
          <w:sz w:val="20"/>
          <w:szCs w:val="20"/>
        </w:rPr>
        <w:t xml:space="preserve">o </w:t>
      </w:r>
      <w:r w:rsidR="00182D04" w:rsidRPr="00215B2F">
        <w:rPr>
          <w:rFonts w:ascii="Arial" w:eastAsia="Arial" w:hAnsi="Arial" w:cs="Arial"/>
          <w:sz w:val="20"/>
          <w:szCs w:val="20"/>
        </w:rPr>
        <w:t xml:space="preserve">oziroma so mogoči </w:t>
      </w:r>
      <w:r w:rsidRPr="00215B2F">
        <w:rPr>
          <w:rFonts w:ascii="Arial" w:eastAsia="Arial" w:hAnsi="Arial" w:cs="Arial"/>
          <w:sz w:val="20"/>
          <w:szCs w:val="20"/>
        </w:rPr>
        <w:t>pomembni učinki na varno in skrbno upravljanje banke, če kršitev ima ali bi lahko imela pomembne posledice za finančni položaj banke oziroma za obravnavo tveganj, ki jim je banka pri svojem poslovanju izpostavljena, če banka ne zagotavlja ali v naslednjih 12 mesecih verjetno ne bo zagotavljala ustrezne ureditve notranjega upravljanja, zlasti pa:</w:t>
      </w:r>
    </w:p>
    <w:p w14:paraId="4FDA6D59"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621A5895" w14:textId="3DFB1283" w:rsidR="004629DC" w:rsidRPr="00215B2F" w:rsidRDefault="00D91782" w:rsidP="003D4DE0">
      <w:pPr>
        <w:pStyle w:val="tevilnatoka"/>
        <w:numPr>
          <w:ilvl w:val="0"/>
          <w:numId w:val="231"/>
        </w:numPr>
        <w:shd w:val="clear" w:color="auto" w:fill="FFFFFF" w:themeFill="background1"/>
        <w:tabs>
          <w:tab w:val="clear" w:pos="425"/>
        </w:tabs>
        <w:rPr>
          <w:rFonts w:cs="Arial"/>
          <w:bCs/>
          <w:sz w:val="20"/>
          <w:szCs w:val="20"/>
        </w:rPr>
      </w:pPr>
      <w:r w:rsidRPr="00215B2F">
        <w:rPr>
          <w:rFonts w:eastAsia="Arial" w:cs="Arial"/>
          <w:sz w:val="20"/>
          <w:szCs w:val="20"/>
        </w:rPr>
        <w:t xml:space="preserve">ustreznih kvantitativnih ali kvalitativnih elementov </w:t>
      </w:r>
      <w:r w:rsidR="00954058" w:rsidRPr="00215B2F">
        <w:rPr>
          <w:rFonts w:eastAsia="Arial" w:cs="Arial"/>
          <w:sz w:val="20"/>
          <w:szCs w:val="20"/>
        </w:rPr>
        <w:t xml:space="preserve">procesa </w:t>
      </w:r>
      <w:r w:rsidRPr="00215B2F">
        <w:rPr>
          <w:rFonts w:eastAsia="Arial" w:cs="Arial"/>
          <w:sz w:val="20"/>
          <w:szCs w:val="20"/>
        </w:rPr>
        <w:t>ocenjevanja ustreznega notranjega kapitala,</w:t>
      </w:r>
    </w:p>
    <w:p w14:paraId="0C84D1A6" w14:textId="77777777" w:rsidR="004629DC" w:rsidRPr="00215B2F" w:rsidRDefault="00D91782" w:rsidP="003D4DE0">
      <w:pPr>
        <w:pStyle w:val="tevilnatoka"/>
        <w:numPr>
          <w:ilvl w:val="0"/>
          <w:numId w:val="231"/>
        </w:numPr>
        <w:shd w:val="clear" w:color="auto" w:fill="FFFFFF" w:themeFill="background1"/>
        <w:tabs>
          <w:tab w:val="clear" w:pos="425"/>
        </w:tabs>
        <w:rPr>
          <w:rFonts w:cs="Arial"/>
          <w:bCs/>
          <w:sz w:val="20"/>
          <w:szCs w:val="20"/>
        </w:rPr>
      </w:pPr>
      <w:r w:rsidRPr="00215B2F">
        <w:rPr>
          <w:rFonts w:eastAsia="Arial" w:cs="Arial"/>
          <w:sz w:val="20"/>
          <w:szCs w:val="20"/>
        </w:rPr>
        <w:t>izpolnjevanja zahtev glede velikih izpostavljenosti iz 393. člena Uredbe 575/2013/EU,</w:t>
      </w:r>
    </w:p>
    <w:p w14:paraId="57AFB0CA" w14:textId="0A5C285B" w:rsidR="00D91782" w:rsidRPr="00215B2F" w:rsidRDefault="00D91782" w:rsidP="003D4DE0">
      <w:pPr>
        <w:pStyle w:val="tevilnatoka"/>
        <w:numPr>
          <w:ilvl w:val="0"/>
          <w:numId w:val="231"/>
        </w:numPr>
        <w:shd w:val="clear" w:color="auto" w:fill="FFFFFF" w:themeFill="background1"/>
        <w:tabs>
          <w:tab w:val="clear" w:pos="425"/>
        </w:tabs>
        <w:rPr>
          <w:rFonts w:cs="Arial"/>
          <w:bCs/>
          <w:sz w:val="20"/>
          <w:szCs w:val="20"/>
        </w:rPr>
      </w:pPr>
      <w:r w:rsidRPr="00215B2F">
        <w:rPr>
          <w:rFonts w:eastAsia="Arial" w:cs="Arial"/>
          <w:sz w:val="20"/>
          <w:szCs w:val="20"/>
        </w:rPr>
        <w:t>izpolnjevanja zahtev glede kapitalske ustreznosti in ustrezne likvidnosti v skladu s tem zakonom in Uredbo 575/2013/EU.</w:t>
      </w:r>
    </w:p>
    <w:p w14:paraId="0A1E21B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100CF70"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01" w:name="_Ref202967189"/>
      <w:r w:rsidRPr="00215B2F">
        <w:rPr>
          <w:rFonts w:ascii="Arial" w:eastAsia="Arial" w:hAnsi="Arial" w:cs="Arial"/>
          <w:b/>
          <w:bCs/>
          <w:sz w:val="20"/>
          <w:szCs w:val="20"/>
        </w:rPr>
        <w:t>člen</w:t>
      </w:r>
      <w:bookmarkEnd w:id="401"/>
    </w:p>
    <w:p w14:paraId="6B4471CB" w14:textId="77777777" w:rsidR="00D91782" w:rsidRPr="00215B2F" w:rsidRDefault="00D91782" w:rsidP="00FD5520">
      <w:pPr>
        <w:pStyle w:val="Slog1"/>
        <w:shd w:val="clear" w:color="auto" w:fill="FFFFFF" w:themeFill="background1"/>
        <w:rPr>
          <w:sz w:val="20"/>
          <w:szCs w:val="20"/>
        </w:rPr>
      </w:pPr>
      <w:r w:rsidRPr="00215B2F">
        <w:rPr>
          <w:sz w:val="20"/>
          <w:szCs w:val="20"/>
        </w:rPr>
        <w:t>(dodatni ukrepi)</w:t>
      </w:r>
    </w:p>
    <w:p w14:paraId="3BCE7760" w14:textId="77777777" w:rsidR="00D91782" w:rsidRPr="00215B2F" w:rsidRDefault="00D91782" w:rsidP="00FD5520">
      <w:pPr>
        <w:pStyle w:val="Slog1"/>
        <w:shd w:val="clear" w:color="auto" w:fill="FFFFFF" w:themeFill="background1"/>
        <w:jc w:val="both"/>
        <w:rPr>
          <w:sz w:val="20"/>
          <w:szCs w:val="20"/>
        </w:rPr>
      </w:pPr>
    </w:p>
    <w:p w14:paraId="7AC676D0" w14:textId="6401F15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402" w:name="_Hlk203731641"/>
      <w:r w:rsidRPr="00215B2F">
        <w:rPr>
          <w:rFonts w:ascii="Arial" w:eastAsia="Arial" w:hAnsi="Arial" w:cs="Arial"/>
          <w:sz w:val="20"/>
          <w:szCs w:val="20"/>
        </w:rPr>
        <w:t xml:space="preserve">(1) Banka Slovenije lahko z odredbo zahteva, da banka ali upravljalni organ izvede dodatne aktivnosti ali postopke za odpravljanje ugotovljenih kršitev v banki, če je mogoče pričakovati, da se bo s temi ukrepi zagotovilo učinkovitejše odpravljanje ugotovljenih kršitev, vzpostavilo poslovanje banke v skladu s tem zakonom in Uredbo 575/2013/EU ali preprečil nastanek kršitev predpisov iz </w:t>
      </w:r>
      <w:r w:rsidR="00702635" w:rsidRPr="00215B2F">
        <w:rPr>
          <w:rFonts w:ascii="Arial" w:eastAsia="Arial" w:hAnsi="Arial" w:cs="Arial"/>
          <w:sz w:val="20"/>
          <w:szCs w:val="20"/>
        </w:rPr>
        <w:t>tretjega</w:t>
      </w:r>
      <w:r w:rsidRPr="00215B2F">
        <w:rPr>
          <w:rFonts w:ascii="Arial" w:eastAsia="Arial" w:hAnsi="Arial" w:cs="Arial"/>
          <w:sz w:val="20"/>
          <w:szCs w:val="20"/>
        </w:rPr>
        <w:t xml:space="preserve"> odstavka 9. </w:t>
      </w:r>
      <w:r w:rsidR="001F2C7A" w:rsidRPr="00215B2F">
        <w:rPr>
          <w:rFonts w:ascii="Arial" w:eastAsia="Arial" w:hAnsi="Arial" w:cs="Arial"/>
          <w:sz w:val="20"/>
          <w:szCs w:val="20"/>
        </w:rPr>
        <w:t>člena tega zakona</w:t>
      </w:r>
      <w:r w:rsidRPr="00215B2F">
        <w:rPr>
          <w:rFonts w:ascii="Arial" w:eastAsia="Arial" w:hAnsi="Arial" w:cs="Arial"/>
          <w:sz w:val="20"/>
          <w:szCs w:val="20"/>
        </w:rPr>
        <w:t>, ki imajo ali bi lahko imele pomembne učinke na varno in skrbno upravljanje banke.</w:t>
      </w:r>
    </w:p>
    <w:p w14:paraId="75E209C5"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bookmarkStart w:id="403" w:name="_Hlk203731777"/>
    </w:p>
    <w:p w14:paraId="2AC8FAB5" w14:textId="610AC98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lahko odredi zlasti naslednje dodatne ukrepe:</w:t>
      </w:r>
    </w:p>
    <w:p w14:paraId="5E43907C"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225DA282" w14:textId="22A2E5D8" w:rsidR="004629DC" w:rsidRPr="00215B2F" w:rsidRDefault="00D91782" w:rsidP="003D4DE0">
      <w:pPr>
        <w:pStyle w:val="tevilnatoka"/>
        <w:numPr>
          <w:ilvl w:val="0"/>
          <w:numId w:val="232"/>
        </w:numPr>
        <w:shd w:val="clear" w:color="auto" w:fill="FFFFFF" w:themeFill="background1"/>
        <w:tabs>
          <w:tab w:val="clear" w:pos="425"/>
        </w:tabs>
        <w:rPr>
          <w:rFonts w:cs="Arial"/>
          <w:bCs/>
          <w:sz w:val="20"/>
          <w:szCs w:val="20"/>
        </w:rPr>
      </w:pPr>
      <w:r w:rsidRPr="00215B2F">
        <w:rPr>
          <w:rFonts w:eastAsia="Arial" w:cs="Arial"/>
          <w:sz w:val="20"/>
          <w:szCs w:val="20"/>
        </w:rPr>
        <w:t>naloži banki, da zagotovi dodatn</w:t>
      </w:r>
      <w:r w:rsidR="00185DDD" w:rsidRPr="00215B2F">
        <w:rPr>
          <w:rFonts w:eastAsia="Arial" w:cs="Arial"/>
          <w:sz w:val="20"/>
          <w:szCs w:val="20"/>
        </w:rPr>
        <w:t>i</w:t>
      </w:r>
      <w:r w:rsidRPr="00215B2F">
        <w:rPr>
          <w:rFonts w:eastAsia="Arial" w:cs="Arial"/>
          <w:sz w:val="20"/>
          <w:szCs w:val="20"/>
        </w:rPr>
        <w:t xml:space="preserve"> potrebn</w:t>
      </w:r>
      <w:r w:rsidR="00185DDD" w:rsidRPr="00215B2F">
        <w:rPr>
          <w:rFonts w:eastAsia="Arial" w:cs="Arial"/>
          <w:sz w:val="20"/>
          <w:szCs w:val="20"/>
        </w:rPr>
        <w:t>i</w:t>
      </w:r>
      <w:r w:rsidRPr="00215B2F">
        <w:rPr>
          <w:rFonts w:eastAsia="Arial" w:cs="Arial"/>
          <w:sz w:val="20"/>
          <w:szCs w:val="20"/>
        </w:rPr>
        <w:t xml:space="preserve"> kapital, ki presega zahteve iz Uredbe 575/2013/EU, in sicer pod pogoji iz </w:t>
      </w:r>
      <w:r w:rsidR="0013101D" w:rsidRPr="00215B2F">
        <w:rPr>
          <w:rFonts w:eastAsia="Arial" w:cs="Arial"/>
          <w:sz w:val="20"/>
          <w:szCs w:val="20"/>
        </w:rPr>
        <w:t>238</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104BC05D" w14:textId="7D6B944B" w:rsidR="004629DC" w:rsidRPr="00215B2F" w:rsidRDefault="00D91782" w:rsidP="003D4DE0">
      <w:pPr>
        <w:pStyle w:val="tevilnatoka"/>
        <w:numPr>
          <w:ilvl w:val="0"/>
          <w:numId w:val="232"/>
        </w:numPr>
        <w:shd w:val="clear" w:color="auto" w:fill="FFFFFF" w:themeFill="background1"/>
        <w:tabs>
          <w:tab w:val="clear" w:pos="425"/>
        </w:tabs>
        <w:rPr>
          <w:rFonts w:cs="Arial"/>
          <w:bCs/>
          <w:sz w:val="20"/>
          <w:szCs w:val="20"/>
        </w:rPr>
      </w:pPr>
      <w:r w:rsidRPr="00215B2F">
        <w:rPr>
          <w:rFonts w:eastAsia="Arial" w:cs="Arial"/>
          <w:sz w:val="20"/>
          <w:szCs w:val="20"/>
        </w:rPr>
        <w:t>naloži banki, da izvede ukrepe za izboljšanje ureditv</w:t>
      </w:r>
      <w:r w:rsidR="00185DDD" w:rsidRPr="00215B2F">
        <w:rPr>
          <w:rFonts w:eastAsia="Arial" w:cs="Arial"/>
          <w:sz w:val="20"/>
          <w:szCs w:val="20"/>
        </w:rPr>
        <w:t>e</w:t>
      </w:r>
      <w:r w:rsidRPr="00215B2F">
        <w:rPr>
          <w:rFonts w:eastAsia="Arial" w:cs="Arial"/>
          <w:sz w:val="20"/>
          <w:szCs w:val="20"/>
        </w:rPr>
        <w:t xml:space="preserve"> glede ocenjevanja in zagotavljanja ustreznega notranjega kapitala banke ter glede ureditve notranjega upravljanja banke;</w:t>
      </w:r>
    </w:p>
    <w:p w14:paraId="01EB127F" w14:textId="23250DD0" w:rsidR="004629DC" w:rsidRPr="00215B2F" w:rsidRDefault="00D91782" w:rsidP="003D4DE0">
      <w:pPr>
        <w:pStyle w:val="tevilnatoka"/>
        <w:numPr>
          <w:ilvl w:val="0"/>
          <w:numId w:val="232"/>
        </w:numPr>
        <w:shd w:val="clear" w:color="auto" w:fill="FFFFFF" w:themeFill="background1"/>
        <w:tabs>
          <w:tab w:val="clear" w:pos="425"/>
        </w:tabs>
        <w:rPr>
          <w:rFonts w:cs="Arial"/>
          <w:bCs/>
          <w:sz w:val="20"/>
          <w:szCs w:val="20"/>
        </w:rPr>
      </w:pPr>
      <w:r w:rsidRPr="00215B2F">
        <w:rPr>
          <w:rFonts w:eastAsia="Arial" w:cs="Arial"/>
          <w:sz w:val="20"/>
          <w:szCs w:val="20"/>
        </w:rPr>
        <w:lastRenderedPageBreak/>
        <w:t>naloži banki, da predloži podrobn</w:t>
      </w:r>
      <w:r w:rsidR="00185DDD" w:rsidRPr="00215B2F">
        <w:rPr>
          <w:rFonts w:eastAsia="Arial" w:cs="Arial"/>
          <w:sz w:val="20"/>
          <w:szCs w:val="20"/>
        </w:rPr>
        <w:t>i</w:t>
      </w:r>
      <w:r w:rsidRPr="00215B2F">
        <w:rPr>
          <w:rFonts w:eastAsia="Arial" w:cs="Arial"/>
          <w:sz w:val="20"/>
          <w:szCs w:val="20"/>
        </w:rPr>
        <w:t xml:space="preserve"> načrt ukrepov za odpravo kršitev tega zakona ali Uredbe 575/2013/EU ter določi rok za njihovo izvedbo, vključno z izboljšavami načrta ukrepov v zvezi z obsegom in rokom;</w:t>
      </w:r>
    </w:p>
    <w:p w14:paraId="3535596D" w14:textId="77777777" w:rsidR="004629DC" w:rsidRPr="00215B2F" w:rsidRDefault="00D91782" w:rsidP="003D4DE0">
      <w:pPr>
        <w:pStyle w:val="tevilnatoka"/>
        <w:numPr>
          <w:ilvl w:val="0"/>
          <w:numId w:val="232"/>
        </w:numPr>
        <w:shd w:val="clear" w:color="auto" w:fill="FFFFFF" w:themeFill="background1"/>
        <w:tabs>
          <w:tab w:val="clear" w:pos="425"/>
        </w:tabs>
        <w:rPr>
          <w:rFonts w:cs="Arial"/>
          <w:bCs/>
          <w:sz w:val="20"/>
          <w:szCs w:val="20"/>
        </w:rPr>
      </w:pPr>
      <w:r w:rsidRPr="00215B2F">
        <w:rPr>
          <w:rFonts w:eastAsia="Arial" w:cs="Arial"/>
          <w:sz w:val="20"/>
          <w:szCs w:val="20"/>
        </w:rPr>
        <w:t>zahteva od banke, da uporabi posebne politike oblikovanja oslabitev in rezervacij ali obravnave sredstev z vidika izračuna kapitalskih zahtev;</w:t>
      </w:r>
    </w:p>
    <w:p w14:paraId="7464FA8B" w14:textId="2500CC4E" w:rsidR="004629DC" w:rsidRPr="00215B2F" w:rsidRDefault="00D91782" w:rsidP="003D4DE0">
      <w:pPr>
        <w:pStyle w:val="tevilnatoka"/>
        <w:numPr>
          <w:ilvl w:val="0"/>
          <w:numId w:val="232"/>
        </w:numPr>
        <w:shd w:val="clear" w:color="auto" w:fill="FFFFFF" w:themeFill="background1"/>
        <w:tabs>
          <w:tab w:val="clear" w:pos="425"/>
        </w:tabs>
        <w:rPr>
          <w:rFonts w:cs="Arial"/>
          <w:bCs/>
          <w:sz w:val="20"/>
          <w:szCs w:val="20"/>
        </w:rPr>
      </w:pPr>
      <w:r w:rsidRPr="00215B2F">
        <w:rPr>
          <w:rFonts w:eastAsia="Arial" w:cs="Arial"/>
          <w:sz w:val="20"/>
          <w:szCs w:val="20"/>
        </w:rPr>
        <w:t>zahteva</w:t>
      </w:r>
      <w:r w:rsidR="00185DDD" w:rsidRPr="00215B2F">
        <w:rPr>
          <w:rFonts w:eastAsia="Arial" w:cs="Arial"/>
          <w:sz w:val="20"/>
          <w:szCs w:val="20"/>
        </w:rPr>
        <w:t xml:space="preserve"> od banke</w:t>
      </w:r>
      <w:r w:rsidRPr="00215B2F">
        <w:rPr>
          <w:rFonts w:eastAsia="Arial" w:cs="Arial"/>
          <w:sz w:val="20"/>
          <w:szCs w:val="20"/>
        </w:rPr>
        <w:t xml:space="preserve">, da zmanjša kratkoročna, srednjeročna in dolgoročna tveganja, ki izhajajo iz ESG dejavnikov, vključno s tistimi, ki izhajajo iz procesa prilagajanja in trendov prehoda v zvezi z ustreznimi pravnimi in regulativnimi cilji </w:t>
      </w:r>
      <w:r w:rsidR="00185DDD" w:rsidRPr="00215B2F">
        <w:rPr>
          <w:rFonts w:eastAsia="Arial" w:cs="Arial"/>
          <w:sz w:val="20"/>
          <w:szCs w:val="20"/>
        </w:rPr>
        <w:t>Evropske u</w:t>
      </w:r>
      <w:r w:rsidRPr="00215B2F">
        <w:rPr>
          <w:rFonts w:eastAsia="Arial" w:cs="Arial"/>
          <w:sz w:val="20"/>
          <w:szCs w:val="20"/>
        </w:rPr>
        <w:t>nije, Republike Slovenije in drugih držav članic ali tretjih držav</w:t>
      </w:r>
      <w:r w:rsidR="00185DDD" w:rsidRPr="00215B2F">
        <w:rPr>
          <w:rFonts w:eastAsia="Arial" w:cs="Arial"/>
          <w:sz w:val="20"/>
          <w:szCs w:val="20"/>
        </w:rPr>
        <w:t>,</w:t>
      </w:r>
      <w:r w:rsidRPr="00215B2F">
        <w:rPr>
          <w:rFonts w:eastAsia="Arial" w:cs="Arial"/>
          <w:sz w:val="20"/>
          <w:szCs w:val="20"/>
        </w:rPr>
        <w:t xml:space="preserve"> </w:t>
      </w:r>
      <w:r w:rsidR="00185DDD" w:rsidRPr="00215B2F">
        <w:rPr>
          <w:rFonts w:eastAsia="Arial" w:cs="Arial"/>
          <w:sz w:val="20"/>
          <w:szCs w:val="20"/>
        </w:rPr>
        <w:t xml:space="preserve">ter </w:t>
      </w:r>
      <w:r w:rsidRPr="00215B2F">
        <w:rPr>
          <w:rFonts w:eastAsia="Arial" w:cs="Arial"/>
          <w:sz w:val="20"/>
          <w:szCs w:val="20"/>
        </w:rPr>
        <w:t xml:space="preserve">v ta namen prilagodi svoje poslovne strategije, upravljanje in upravljanje tveganj, vključno z okrepitvijo ciljev, ukrepov in dejavnosti, vključenih v njene načrte iz petega in šestega odstavka </w:t>
      </w:r>
      <w:r w:rsidR="0013101D" w:rsidRPr="00215B2F">
        <w:rPr>
          <w:rFonts w:eastAsia="Arial" w:cs="Arial"/>
          <w:sz w:val="20"/>
          <w:szCs w:val="20"/>
        </w:rPr>
        <w:t>197</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79C6CE89" w14:textId="2AAA9278" w:rsidR="004629DC" w:rsidRPr="00215B2F" w:rsidRDefault="00D91782" w:rsidP="003D4DE0">
      <w:pPr>
        <w:pStyle w:val="tevilnatoka"/>
        <w:numPr>
          <w:ilvl w:val="0"/>
          <w:numId w:val="232"/>
        </w:numPr>
        <w:shd w:val="clear" w:color="auto" w:fill="FFFFFF" w:themeFill="background1"/>
        <w:tabs>
          <w:tab w:val="clear" w:pos="425"/>
        </w:tabs>
        <w:rPr>
          <w:rFonts w:cs="Arial"/>
          <w:bCs/>
          <w:sz w:val="20"/>
          <w:szCs w:val="20"/>
        </w:rPr>
      </w:pPr>
      <w:r w:rsidRPr="00215B2F">
        <w:rPr>
          <w:rFonts w:eastAsia="Arial" w:cs="Arial"/>
          <w:sz w:val="20"/>
          <w:szCs w:val="20"/>
        </w:rPr>
        <w:t>zahteva</w:t>
      </w:r>
      <w:r w:rsidR="00185DDD" w:rsidRPr="00215B2F">
        <w:rPr>
          <w:rFonts w:eastAsia="Arial" w:cs="Arial"/>
          <w:sz w:val="20"/>
          <w:szCs w:val="20"/>
        </w:rPr>
        <w:t xml:space="preserve"> od banke</w:t>
      </w:r>
      <w:r w:rsidRPr="00215B2F">
        <w:rPr>
          <w:rFonts w:eastAsia="Arial" w:cs="Arial"/>
          <w:sz w:val="20"/>
          <w:szCs w:val="20"/>
        </w:rPr>
        <w:t xml:space="preserve">, da izvede stresno testiranje in analizo scenarijev, da oceni tveganja, ki izhajajo iz izpostavljenosti kriptosredstvom in opravljanja storitev v zvezi s kriptosredstvi; </w:t>
      </w:r>
    </w:p>
    <w:p w14:paraId="7D161953" w14:textId="3EDEBA0F" w:rsidR="004629DC" w:rsidRPr="00215B2F" w:rsidRDefault="00D91782" w:rsidP="003D4DE0">
      <w:pPr>
        <w:pStyle w:val="tevilnatoka"/>
        <w:numPr>
          <w:ilvl w:val="0"/>
          <w:numId w:val="232"/>
        </w:numPr>
        <w:shd w:val="clear" w:color="auto" w:fill="FFFFFF" w:themeFill="background1"/>
        <w:tabs>
          <w:tab w:val="clear" w:pos="425"/>
        </w:tabs>
        <w:rPr>
          <w:rFonts w:cs="Arial"/>
          <w:bCs/>
          <w:sz w:val="20"/>
          <w:szCs w:val="20"/>
        </w:rPr>
      </w:pPr>
      <w:r w:rsidRPr="00215B2F">
        <w:rPr>
          <w:rFonts w:eastAsia="Arial" w:cs="Arial"/>
          <w:sz w:val="20"/>
          <w:szCs w:val="20"/>
        </w:rPr>
        <w:t xml:space="preserve">zahteva </w:t>
      </w:r>
      <w:r w:rsidR="00185DDD" w:rsidRPr="00215B2F">
        <w:rPr>
          <w:rFonts w:eastAsia="Arial" w:cs="Arial"/>
          <w:sz w:val="20"/>
          <w:szCs w:val="20"/>
        </w:rPr>
        <w:t xml:space="preserve">od banke, </w:t>
      </w:r>
      <w:r w:rsidRPr="00215B2F">
        <w:rPr>
          <w:rFonts w:eastAsia="Arial" w:cs="Arial"/>
          <w:sz w:val="20"/>
          <w:szCs w:val="20"/>
        </w:rPr>
        <w:t xml:space="preserve">da kadar Banka Slovenije oceni, da obstaja </w:t>
      </w:r>
      <w:r w:rsidR="00185DDD" w:rsidRPr="00215B2F">
        <w:rPr>
          <w:rFonts w:eastAsia="Arial" w:cs="Arial"/>
          <w:sz w:val="20"/>
          <w:szCs w:val="20"/>
        </w:rPr>
        <w:t>čez</w:t>
      </w:r>
      <w:r w:rsidRPr="00215B2F">
        <w:rPr>
          <w:rFonts w:eastAsia="Arial" w:cs="Arial"/>
          <w:sz w:val="20"/>
          <w:szCs w:val="20"/>
        </w:rPr>
        <w:t xml:space="preserve">merno tveganje koncentracije, ki izhaja iz izpostavljenosti do centralne nasprotne stranke, zmanjša izpostavljenost do te centralne nasprotne stranke ali </w:t>
      </w:r>
      <w:r w:rsidR="00F455AB" w:rsidRPr="00215B2F">
        <w:rPr>
          <w:rFonts w:eastAsia="Arial" w:cs="Arial"/>
          <w:sz w:val="20"/>
          <w:szCs w:val="20"/>
        </w:rPr>
        <w:t>z</w:t>
      </w:r>
      <w:r w:rsidRPr="00215B2F">
        <w:rPr>
          <w:rFonts w:eastAsia="Arial" w:cs="Arial"/>
          <w:sz w:val="20"/>
          <w:szCs w:val="20"/>
        </w:rPr>
        <w:t>nov</w:t>
      </w:r>
      <w:r w:rsidR="00F455AB" w:rsidRPr="00215B2F">
        <w:rPr>
          <w:rFonts w:eastAsia="Arial" w:cs="Arial"/>
          <w:sz w:val="20"/>
          <w:szCs w:val="20"/>
        </w:rPr>
        <w:t>a</w:t>
      </w:r>
      <w:r w:rsidRPr="00215B2F">
        <w:rPr>
          <w:rFonts w:eastAsia="Arial" w:cs="Arial"/>
          <w:sz w:val="20"/>
          <w:szCs w:val="20"/>
        </w:rPr>
        <w:t xml:space="preserve"> uskladi izpostavljenosti na svojih klirinških računih v skladu s </w:t>
      </w:r>
      <w:r w:rsidR="00185DDD" w:rsidRPr="00215B2F">
        <w:rPr>
          <w:rFonts w:eastAsia="Arial" w:cs="Arial"/>
          <w:sz w:val="20"/>
          <w:szCs w:val="20"/>
        </w:rPr>
        <w:t xml:space="preserve">7.a </w:t>
      </w:r>
      <w:r w:rsidRPr="00215B2F">
        <w:rPr>
          <w:rFonts w:eastAsia="Arial" w:cs="Arial"/>
          <w:sz w:val="20"/>
          <w:szCs w:val="20"/>
        </w:rPr>
        <w:t>členom Uredbe 648/2012/EU</w:t>
      </w:r>
      <w:r w:rsidR="006D3D1F" w:rsidRPr="00215B2F">
        <w:rPr>
          <w:rFonts w:eastAsia="Arial" w:cs="Arial"/>
          <w:sz w:val="20"/>
          <w:szCs w:val="20"/>
        </w:rPr>
        <w:t>;</w:t>
      </w:r>
      <w:r w:rsidRPr="00215B2F">
        <w:rPr>
          <w:rFonts w:eastAsia="Arial" w:cs="Arial"/>
          <w:sz w:val="20"/>
          <w:szCs w:val="20"/>
        </w:rPr>
        <w:t xml:space="preserve"> </w:t>
      </w:r>
    </w:p>
    <w:p w14:paraId="1DD6BAFD" w14:textId="479B5659" w:rsidR="00D91782" w:rsidRPr="00215B2F" w:rsidRDefault="00D91782" w:rsidP="003D4DE0">
      <w:pPr>
        <w:pStyle w:val="tevilnatoka"/>
        <w:numPr>
          <w:ilvl w:val="0"/>
          <w:numId w:val="232"/>
        </w:numPr>
        <w:shd w:val="clear" w:color="auto" w:fill="FFFFFF" w:themeFill="background1"/>
        <w:tabs>
          <w:tab w:val="clear" w:pos="425"/>
        </w:tabs>
        <w:rPr>
          <w:rFonts w:cs="Arial"/>
          <w:bCs/>
          <w:sz w:val="20"/>
          <w:szCs w:val="20"/>
        </w:rPr>
      </w:pPr>
      <w:r w:rsidRPr="00215B2F">
        <w:rPr>
          <w:rFonts w:eastAsia="Arial" w:cs="Arial"/>
          <w:sz w:val="20"/>
          <w:szCs w:val="20"/>
        </w:rPr>
        <w:t xml:space="preserve">naloži ukrepe za zmanjšanje tveganj, ki jih prevzema banka v zvezi </w:t>
      </w:r>
      <w:r w:rsidR="00185DDD" w:rsidRPr="00215B2F">
        <w:rPr>
          <w:rFonts w:eastAsia="Arial" w:cs="Arial"/>
          <w:sz w:val="20"/>
          <w:szCs w:val="20"/>
        </w:rPr>
        <w:t xml:space="preserve">z </w:t>
      </w:r>
      <w:r w:rsidR="00954058" w:rsidRPr="00215B2F">
        <w:rPr>
          <w:rFonts w:eastAsia="Arial" w:cs="Arial"/>
          <w:sz w:val="20"/>
          <w:szCs w:val="20"/>
        </w:rPr>
        <w:t xml:space="preserve">določenimi </w:t>
      </w:r>
      <w:r w:rsidRPr="00215B2F">
        <w:rPr>
          <w:rFonts w:eastAsia="Arial" w:cs="Arial"/>
          <w:sz w:val="20"/>
          <w:szCs w:val="20"/>
        </w:rPr>
        <w:t>posli, produkti ali sistemi, vključno s:</w:t>
      </w:r>
    </w:p>
    <w:p w14:paraId="046162A5" w14:textId="77777777"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prepovedjo ali omejitvijo širjenja mreže poslovalnic banke ali zahtevo za zmanjšanje poslovne mreže banke,</w:t>
      </w:r>
    </w:p>
    <w:p w14:paraId="3C4368CA" w14:textId="36054CD5"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prepovedjo ali omejitvijo aktivnosti banke, ki pomeni pomembno tveganje za finančni položaj banke;</w:t>
      </w:r>
    </w:p>
    <w:p w14:paraId="0117ED85" w14:textId="1BCAD674" w:rsidR="00D91782" w:rsidRPr="00215B2F" w:rsidRDefault="00D91782" w:rsidP="002946BA">
      <w:pPr>
        <w:pStyle w:val="tevilnatoka"/>
        <w:rPr>
          <w:rFonts w:cs="Arial"/>
          <w:bCs/>
          <w:sz w:val="20"/>
          <w:szCs w:val="20"/>
        </w:rPr>
      </w:pPr>
      <w:r w:rsidRPr="00215B2F">
        <w:rPr>
          <w:rFonts w:eastAsia="Arial" w:cs="Arial"/>
          <w:sz w:val="20"/>
          <w:szCs w:val="20"/>
        </w:rPr>
        <w:t>prepove ali omeji banki sklepanje posameznih poslov ali poslov določene vrste ter zahteva postopno zmanjševanje obsega sklenjenih poslov, vključno z dejavnostmi zunanjega izvajanja, ob upoštevanju možnosti za predčasno prenehanje v skladu s pogodbeno ureditvijo, vključno s prepovedjo ali omejitvijo sklepanja poslov banke:</w:t>
      </w:r>
    </w:p>
    <w:p w14:paraId="0EC6129A" w14:textId="77777777"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z osebami, ki pomenijo povečano tveganje za banko zaradi neprimerne kreditne bonitete ali zaradi drugih okoliščin,</w:t>
      </w:r>
    </w:p>
    <w:p w14:paraId="26EFEC72" w14:textId="75746EA8"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s posameznimi delničarji, člani uprave, nadzornega sveta, družbami, ki so z banko v razmerju tesne povezanosti, z investicijskimi skladi, ki jih upravlja družba za upravljanje, ki je z banko v razmerju tesne povezanosti, ali z drugimi družbami in osebami, ki pomenijo za banko povečano tveganje;</w:t>
      </w:r>
    </w:p>
    <w:p w14:paraId="4B6C7901" w14:textId="3A8FB74E" w:rsidR="00566332" w:rsidRPr="00215B2F" w:rsidRDefault="00D91782" w:rsidP="002946BA">
      <w:pPr>
        <w:pStyle w:val="tevilnatoka"/>
        <w:rPr>
          <w:rFonts w:cs="Arial"/>
          <w:bCs/>
          <w:sz w:val="20"/>
          <w:szCs w:val="20"/>
        </w:rPr>
      </w:pPr>
      <w:r w:rsidRPr="00215B2F">
        <w:rPr>
          <w:rFonts w:eastAsia="Arial" w:cs="Arial"/>
          <w:kern w:val="2"/>
          <w:sz w:val="20"/>
          <w:szCs w:val="20"/>
          <w:lang w:eastAsia="en-US"/>
          <w14:ligatures w14:val="standardContextual"/>
        </w:rPr>
        <w:t>omeji poslovanje, tudi</w:t>
      </w:r>
      <w:r w:rsidRPr="00215B2F">
        <w:rPr>
          <w:rFonts w:eastAsia="Arial" w:cs="Arial"/>
          <w:sz w:val="20"/>
          <w:szCs w:val="20"/>
        </w:rPr>
        <w:t xml:space="preserve"> v zvezi s sprejemanjem depozitov ali dejavnostmi</w:t>
      </w:r>
      <w:r w:rsidR="00185DDD" w:rsidRPr="00215B2F">
        <w:rPr>
          <w:rFonts w:eastAsia="Arial" w:cs="Arial"/>
          <w:sz w:val="20"/>
          <w:szCs w:val="20"/>
        </w:rPr>
        <w:t>,</w:t>
      </w:r>
      <w:r w:rsidRPr="00215B2F">
        <w:rPr>
          <w:rFonts w:eastAsia="Arial" w:cs="Arial"/>
          <w:sz w:val="20"/>
          <w:szCs w:val="20"/>
        </w:rPr>
        <w:t xml:space="preserve"> ali zahteva odsvojitev dejavnosti, ki pomenijo preveliko tveganje za trdnost banke;</w:t>
      </w:r>
    </w:p>
    <w:p w14:paraId="2C97A23D" w14:textId="77777777" w:rsidR="00566332" w:rsidRPr="00215B2F" w:rsidRDefault="00D91782" w:rsidP="002946BA">
      <w:pPr>
        <w:pStyle w:val="tevilnatoka"/>
        <w:rPr>
          <w:rFonts w:cs="Arial"/>
          <w:bCs/>
          <w:sz w:val="20"/>
          <w:szCs w:val="20"/>
        </w:rPr>
      </w:pPr>
      <w:r w:rsidRPr="00215B2F">
        <w:rPr>
          <w:rFonts w:eastAsia="Arial" w:cs="Arial"/>
          <w:sz w:val="20"/>
          <w:szCs w:val="20"/>
        </w:rPr>
        <w:t>prepove ali omeji banki izplačila dobička ali plačila obresti delničarjem ali imetnikom instrumentov dodatnega temeljnega kapitala, razen če bi prepoved povzročila nastanek dogodka neplačila banke;</w:t>
      </w:r>
    </w:p>
    <w:p w14:paraId="37E0C359" w14:textId="40259FED" w:rsidR="00566332" w:rsidRPr="00215B2F" w:rsidRDefault="00D91782" w:rsidP="002946BA">
      <w:pPr>
        <w:pStyle w:val="tevilnatoka"/>
        <w:rPr>
          <w:rFonts w:cs="Arial"/>
          <w:bCs/>
          <w:sz w:val="20"/>
          <w:szCs w:val="20"/>
        </w:rPr>
      </w:pPr>
      <w:r w:rsidRPr="00215B2F">
        <w:rPr>
          <w:rFonts w:eastAsia="Arial" w:cs="Arial"/>
          <w:sz w:val="20"/>
          <w:szCs w:val="20"/>
        </w:rPr>
        <w:t>naloži banki, da uporabi čisti in preneseni dobiček za izboljšanje</w:t>
      </w:r>
      <w:r w:rsidR="00232827" w:rsidRPr="00215B2F">
        <w:rPr>
          <w:rFonts w:eastAsia="Arial" w:cs="Arial"/>
          <w:sz w:val="20"/>
          <w:szCs w:val="20"/>
        </w:rPr>
        <w:t xml:space="preserve"> svoje</w:t>
      </w:r>
      <w:r w:rsidRPr="00215B2F">
        <w:rPr>
          <w:rFonts w:eastAsia="Arial" w:cs="Arial"/>
          <w:sz w:val="20"/>
          <w:szCs w:val="20"/>
        </w:rPr>
        <w:t xml:space="preserve"> kapitalske ustreznosti;</w:t>
      </w:r>
    </w:p>
    <w:p w14:paraId="4A8C2FF4" w14:textId="77777777" w:rsidR="00566332" w:rsidRPr="00215B2F" w:rsidRDefault="00D91782" w:rsidP="002946BA">
      <w:pPr>
        <w:pStyle w:val="tevilnatoka"/>
        <w:rPr>
          <w:rFonts w:cs="Arial"/>
          <w:bCs/>
          <w:sz w:val="20"/>
          <w:szCs w:val="20"/>
        </w:rPr>
      </w:pPr>
      <w:r w:rsidRPr="00215B2F">
        <w:rPr>
          <w:rFonts w:eastAsia="Arial" w:cs="Arial"/>
          <w:sz w:val="20"/>
          <w:szCs w:val="20"/>
        </w:rPr>
        <w:t>prepove ali omeji uporabo računovodskih meril, zaradi katerih banka ne izkazuje pravilnega finančnega položaja ali rezultata, in določi ustrezna merila;</w:t>
      </w:r>
    </w:p>
    <w:p w14:paraId="486DFD9D" w14:textId="77777777" w:rsidR="00566332" w:rsidRPr="00215B2F" w:rsidRDefault="00D91782" w:rsidP="002946BA">
      <w:pPr>
        <w:pStyle w:val="tevilnatoka"/>
        <w:rPr>
          <w:rFonts w:cs="Arial"/>
          <w:bCs/>
          <w:sz w:val="20"/>
          <w:szCs w:val="20"/>
        </w:rPr>
      </w:pPr>
      <w:r w:rsidRPr="00215B2F">
        <w:rPr>
          <w:rFonts w:eastAsia="Arial" w:cs="Arial"/>
          <w:sz w:val="20"/>
          <w:szCs w:val="20"/>
        </w:rPr>
        <w:t>omeji variabilne prejemke zaposlenih s primernim odstotkom skupnih neto prihodkov poslovnega leta, če bi izplačilo tega dela prejemkov ogrozilo izpolnjevanje obveznosti ali ciljev glede kapitalske ustreznosti banke;</w:t>
      </w:r>
    </w:p>
    <w:p w14:paraId="0E4A6721" w14:textId="77777777" w:rsidR="00566332" w:rsidRPr="00215B2F" w:rsidRDefault="00D91782" w:rsidP="002946BA">
      <w:pPr>
        <w:pStyle w:val="tevilnatoka"/>
        <w:rPr>
          <w:rFonts w:cs="Arial"/>
          <w:bCs/>
          <w:sz w:val="20"/>
          <w:szCs w:val="20"/>
        </w:rPr>
      </w:pPr>
      <w:r w:rsidRPr="00215B2F">
        <w:rPr>
          <w:rFonts w:eastAsia="Arial" w:cs="Arial"/>
          <w:sz w:val="20"/>
          <w:szCs w:val="20"/>
        </w:rPr>
        <w:t>določi dodatne zahteve glede zagotavljanja likvidnosti, vključno z omejitvami glede usklajenosti dospelosti terjatev in obveznosti banke;</w:t>
      </w:r>
    </w:p>
    <w:p w14:paraId="0731E7F3" w14:textId="77777777" w:rsidR="00566332" w:rsidRPr="00215B2F" w:rsidRDefault="00D91782" w:rsidP="002946BA">
      <w:pPr>
        <w:pStyle w:val="tevilnatoka"/>
        <w:rPr>
          <w:rFonts w:cs="Arial"/>
          <w:bCs/>
          <w:sz w:val="20"/>
          <w:szCs w:val="20"/>
        </w:rPr>
      </w:pPr>
      <w:r w:rsidRPr="00215B2F">
        <w:rPr>
          <w:rFonts w:eastAsia="Arial" w:cs="Arial"/>
          <w:sz w:val="20"/>
          <w:szCs w:val="20"/>
        </w:rPr>
        <w:t>zahteva dodatno ali pogostejše poročanje banke, vključno v zvezi s kapitalom, likvidnostjo in finančnim vzvodom;</w:t>
      </w:r>
    </w:p>
    <w:p w14:paraId="76EFDE91" w14:textId="77777777" w:rsidR="00566332" w:rsidRPr="00215B2F" w:rsidRDefault="00D91782" w:rsidP="002946BA">
      <w:pPr>
        <w:pStyle w:val="tevilnatoka"/>
        <w:rPr>
          <w:rFonts w:cs="Arial"/>
          <w:bCs/>
          <w:sz w:val="20"/>
          <w:szCs w:val="20"/>
        </w:rPr>
      </w:pPr>
      <w:r w:rsidRPr="00215B2F">
        <w:rPr>
          <w:rFonts w:eastAsia="Arial" w:cs="Arial"/>
          <w:sz w:val="20"/>
          <w:szCs w:val="20"/>
        </w:rPr>
        <w:t>zahteva, da nadzorni svet imenuje ustrezne komisije za posamezne sklope strokovnih nalog iz pristojnosti nadzornega sveta;</w:t>
      </w:r>
    </w:p>
    <w:p w14:paraId="0EAA92AF" w14:textId="77777777" w:rsidR="00566332" w:rsidRPr="00215B2F" w:rsidRDefault="00D91782" w:rsidP="002946BA">
      <w:pPr>
        <w:pStyle w:val="tevilnatoka"/>
        <w:rPr>
          <w:rFonts w:cs="Arial"/>
          <w:bCs/>
          <w:sz w:val="20"/>
          <w:szCs w:val="20"/>
        </w:rPr>
      </w:pPr>
      <w:r w:rsidRPr="00215B2F">
        <w:rPr>
          <w:rFonts w:eastAsia="Arial" w:cs="Arial"/>
          <w:sz w:val="20"/>
          <w:szCs w:val="20"/>
        </w:rPr>
        <w:t>zahteva dodatna razkritja banke;</w:t>
      </w:r>
    </w:p>
    <w:p w14:paraId="11F2933F" w14:textId="1AC82B8C" w:rsidR="00566332" w:rsidRPr="00215B2F" w:rsidRDefault="00D91782" w:rsidP="002946BA">
      <w:pPr>
        <w:pStyle w:val="tevilnatoka"/>
        <w:rPr>
          <w:rFonts w:cs="Arial"/>
          <w:bCs/>
          <w:sz w:val="20"/>
          <w:szCs w:val="20"/>
        </w:rPr>
      </w:pPr>
      <w:r w:rsidRPr="00215B2F">
        <w:rPr>
          <w:rFonts w:eastAsia="Arial" w:cs="Arial"/>
          <w:sz w:val="20"/>
          <w:szCs w:val="20"/>
        </w:rPr>
        <w:t xml:space="preserve">zahteva od </w:t>
      </w:r>
      <w:r w:rsidR="00354135" w:rsidRPr="00215B2F">
        <w:rPr>
          <w:rFonts w:eastAsia="Arial" w:cs="Arial"/>
          <w:sz w:val="20"/>
          <w:szCs w:val="20"/>
        </w:rPr>
        <w:t>nadzornega sveta</w:t>
      </w:r>
      <w:r w:rsidRPr="00215B2F">
        <w:rPr>
          <w:rFonts w:eastAsia="Arial" w:cs="Arial"/>
          <w:sz w:val="20"/>
          <w:szCs w:val="20"/>
        </w:rPr>
        <w:t>, da odpokliče člana ali člane uprave, ki so neposredno odgovorni za ugotovljene kršitve v banki, in imenuje novega člana ali nove člane uprave;</w:t>
      </w:r>
    </w:p>
    <w:p w14:paraId="4E821DB2" w14:textId="7E751386" w:rsidR="00566332" w:rsidRPr="00215B2F" w:rsidRDefault="00D91782" w:rsidP="002946BA">
      <w:pPr>
        <w:pStyle w:val="tevilnatoka"/>
        <w:rPr>
          <w:rFonts w:cs="Arial"/>
          <w:bCs/>
          <w:sz w:val="20"/>
          <w:szCs w:val="20"/>
        </w:rPr>
      </w:pPr>
      <w:r w:rsidRPr="00215B2F">
        <w:rPr>
          <w:rFonts w:eastAsia="Arial" w:cs="Arial"/>
          <w:sz w:val="20"/>
          <w:szCs w:val="20"/>
        </w:rPr>
        <w:t>zahteva</w:t>
      </w:r>
      <w:r w:rsidR="00232827" w:rsidRPr="00215B2F">
        <w:rPr>
          <w:rFonts w:eastAsia="Arial" w:cs="Arial"/>
          <w:sz w:val="20"/>
          <w:szCs w:val="20"/>
        </w:rPr>
        <w:t xml:space="preserve"> od banke</w:t>
      </w:r>
      <w:r w:rsidRPr="00215B2F">
        <w:rPr>
          <w:rFonts w:eastAsia="Arial" w:cs="Arial"/>
          <w:sz w:val="20"/>
          <w:szCs w:val="20"/>
        </w:rPr>
        <w:t>, da sprejme dodatne ukrepe</w:t>
      </w:r>
      <w:r w:rsidR="00232827" w:rsidRPr="00215B2F">
        <w:rPr>
          <w:rFonts w:eastAsia="Arial" w:cs="Arial"/>
          <w:sz w:val="20"/>
          <w:szCs w:val="20"/>
        </w:rPr>
        <w:t>,</w:t>
      </w:r>
      <w:r w:rsidRPr="00215B2F">
        <w:rPr>
          <w:rFonts w:eastAsia="Arial" w:cs="Arial"/>
          <w:sz w:val="20"/>
          <w:szCs w:val="20"/>
        </w:rPr>
        <w:t xml:space="preserve"> potrebne za zagotavljanje primernosti članov uprave ali članov nadzornega sveta, vključno s kolektivno primernostjo upravljalnega organa kot celote; </w:t>
      </w:r>
    </w:p>
    <w:p w14:paraId="38562B34" w14:textId="6C7AEB78" w:rsidR="00566332" w:rsidRPr="00215B2F" w:rsidRDefault="00D91782" w:rsidP="002946BA">
      <w:pPr>
        <w:pStyle w:val="tevilnatoka"/>
        <w:rPr>
          <w:rFonts w:cs="Arial"/>
          <w:bCs/>
          <w:sz w:val="20"/>
          <w:szCs w:val="20"/>
        </w:rPr>
      </w:pPr>
      <w:r w:rsidRPr="00215B2F">
        <w:rPr>
          <w:rFonts w:eastAsia="Arial" w:cs="Arial"/>
          <w:sz w:val="20"/>
          <w:szCs w:val="20"/>
        </w:rPr>
        <w:t>zahteva</w:t>
      </w:r>
      <w:r w:rsidR="00232827" w:rsidRPr="00215B2F">
        <w:rPr>
          <w:rFonts w:eastAsia="Arial" w:cs="Arial"/>
          <w:sz w:val="20"/>
          <w:szCs w:val="20"/>
        </w:rPr>
        <w:t xml:space="preserve"> od banke</w:t>
      </w:r>
      <w:r w:rsidRPr="00215B2F">
        <w:rPr>
          <w:rFonts w:eastAsia="Arial" w:cs="Arial"/>
          <w:sz w:val="20"/>
          <w:szCs w:val="20"/>
        </w:rPr>
        <w:t>, da sprejme dodatne ukrepe</w:t>
      </w:r>
      <w:r w:rsidR="00232827" w:rsidRPr="00215B2F">
        <w:rPr>
          <w:rFonts w:eastAsia="Arial" w:cs="Arial"/>
          <w:sz w:val="20"/>
          <w:szCs w:val="20"/>
        </w:rPr>
        <w:t>,</w:t>
      </w:r>
      <w:r w:rsidRPr="00215B2F">
        <w:rPr>
          <w:rFonts w:eastAsia="Arial" w:cs="Arial"/>
          <w:sz w:val="20"/>
          <w:szCs w:val="20"/>
        </w:rPr>
        <w:t xml:space="preserve"> potrebne za zagotavljanje primernosti nosilcev ključnih funkcij, vključno z začasno prepovedjo opravljanja funkcije;</w:t>
      </w:r>
    </w:p>
    <w:p w14:paraId="296792FA" w14:textId="42A85B19" w:rsidR="00566332" w:rsidRPr="00215B2F" w:rsidRDefault="00D91782" w:rsidP="002946BA">
      <w:pPr>
        <w:pStyle w:val="tevilnatoka"/>
        <w:rPr>
          <w:rFonts w:cs="Arial"/>
          <w:bCs/>
          <w:sz w:val="20"/>
          <w:szCs w:val="20"/>
        </w:rPr>
      </w:pPr>
      <w:r w:rsidRPr="00215B2F">
        <w:rPr>
          <w:rFonts w:eastAsia="Arial" w:cs="Arial"/>
          <w:sz w:val="20"/>
          <w:szCs w:val="20"/>
        </w:rPr>
        <w:t>zahteva</w:t>
      </w:r>
      <w:r w:rsidR="00232827" w:rsidRPr="00215B2F">
        <w:rPr>
          <w:rFonts w:eastAsia="Arial" w:cs="Arial"/>
          <w:sz w:val="20"/>
          <w:szCs w:val="20"/>
        </w:rPr>
        <w:t xml:space="preserve"> od banke</w:t>
      </w:r>
      <w:r w:rsidRPr="00215B2F">
        <w:rPr>
          <w:rFonts w:eastAsia="Arial" w:cs="Arial"/>
          <w:sz w:val="20"/>
          <w:szCs w:val="20"/>
        </w:rPr>
        <w:t>, da razreši pomembnega nosilca ključne funkcije;</w:t>
      </w:r>
    </w:p>
    <w:p w14:paraId="6C8CCCE3" w14:textId="6512EB8A" w:rsidR="00D91782" w:rsidRPr="00215B2F" w:rsidRDefault="00D91782" w:rsidP="002946BA">
      <w:pPr>
        <w:pStyle w:val="tevilnatoka"/>
        <w:rPr>
          <w:rFonts w:cs="Arial"/>
          <w:bCs/>
          <w:sz w:val="20"/>
          <w:szCs w:val="20"/>
        </w:rPr>
      </w:pPr>
      <w:r w:rsidRPr="00215B2F">
        <w:rPr>
          <w:rFonts w:eastAsia="Arial" w:cs="Arial"/>
          <w:sz w:val="20"/>
          <w:szCs w:val="20"/>
        </w:rPr>
        <w:t>zahteva od imetnikov kvalificiranega deleža, da odpokličejo člana ali člane nadzornega sveta, ki so dopustili ugotovljene kršitve v banki, čeprav so zanje vedeli ali bi morali vedeti</w:t>
      </w:r>
      <w:r w:rsidR="00232827" w:rsidRPr="00215B2F">
        <w:rPr>
          <w:rFonts w:eastAsia="Arial" w:cs="Arial"/>
          <w:sz w:val="20"/>
          <w:szCs w:val="20"/>
        </w:rPr>
        <w:t>,</w:t>
      </w:r>
      <w:r w:rsidRPr="00215B2F">
        <w:rPr>
          <w:rFonts w:eastAsia="Arial" w:cs="Arial"/>
          <w:sz w:val="20"/>
          <w:szCs w:val="20"/>
        </w:rPr>
        <w:t xml:space="preserve"> in imenuje novega člana ali nove člane nadzornega sveta.</w:t>
      </w:r>
    </w:p>
    <w:bookmarkEnd w:id="403"/>
    <w:p w14:paraId="01C0FE1E"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09D1653" w14:textId="2AEC7F0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Dodatni ukrep iz 1</w:t>
      </w:r>
      <w:r w:rsidR="00833EC3" w:rsidRPr="00215B2F">
        <w:rPr>
          <w:rFonts w:ascii="Arial" w:eastAsia="Arial" w:hAnsi="Arial" w:cs="Arial"/>
          <w:sz w:val="20"/>
          <w:szCs w:val="20"/>
        </w:rPr>
        <w:t>6</w:t>
      </w:r>
      <w:r w:rsidRPr="00215B2F">
        <w:rPr>
          <w:rFonts w:ascii="Arial" w:eastAsia="Arial" w:hAnsi="Arial" w:cs="Arial"/>
          <w:sz w:val="20"/>
          <w:szCs w:val="20"/>
        </w:rPr>
        <w:t>. točke prejšnjega odstavka glede dodatnega ali pogostejšega poročanja banke se lahko naloži le</w:t>
      </w:r>
      <w:r w:rsidR="00256D7F" w:rsidRPr="00215B2F">
        <w:rPr>
          <w:rFonts w:ascii="Arial" w:eastAsia="Arial" w:hAnsi="Arial" w:cs="Arial"/>
          <w:sz w:val="20"/>
          <w:szCs w:val="20"/>
        </w:rPr>
        <w:t>, če</w:t>
      </w:r>
      <w:r w:rsidRPr="00215B2F">
        <w:rPr>
          <w:rFonts w:ascii="Arial" w:eastAsia="Arial" w:hAnsi="Arial" w:cs="Arial"/>
          <w:sz w:val="20"/>
          <w:szCs w:val="20"/>
        </w:rPr>
        <w:t>:</w:t>
      </w:r>
    </w:p>
    <w:p w14:paraId="748155CC"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0AC60255" w14:textId="77777777" w:rsidR="0056633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bookmarkStart w:id="404" w:name="_Hlk214871596"/>
      <w:r w:rsidRPr="00215B2F">
        <w:rPr>
          <w:rFonts w:ascii="Arial" w:eastAsia="Arial" w:hAnsi="Arial" w:cs="Arial"/>
          <w:sz w:val="20"/>
          <w:szCs w:val="20"/>
        </w:rPr>
        <w:t>je ukrep primeren in sorazmeren glede na namen, zaradi katerega se zahteva</w:t>
      </w:r>
      <w:bookmarkEnd w:id="404"/>
      <w:r w:rsidRPr="00215B2F">
        <w:rPr>
          <w:rFonts w:ascii="Arial" w:eastAsia="Arial" w:hAnsi="Arial" w:cs="Arial"/>
          <w:sz w:val="20"/>
          <w:szCs w:val="20"/>
        </w:rPr>
        <w:t xml:space="preserve"> dodatno ali pogostejše poročanje;</w:t>
      </w:r>
    </w:p>
    <w:p w14:paraId="7A5F1958" w14:textId="459E30EC" w:rsidR="0056633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zahtevani podatki niso </w:t>
      </w:r>
      <w:r w:rsidR="00232827" w:rsidRPr="00215B2F">
        <w:rPr>
          <w:rFonts w:ascii="Arial" w:eastAsia="Arial" w:hAnsi="Arial" w:cs="Arial"/>
          <w:sz w:val="20"/>
          <w:szCs w:val="20"/>
        </w:rPr>
        <w:t xml:space="preserve">enaki </w:t>
      </w:r>
      <w:r w:rsidRPr="00215B2F">
        <w:rPr>
          <w:rFonts w:ascii="Arial" w:eastAsia="Arial" w:hAnsi="Arial" w:cs="Arial"/>
          <w:sz w:val="20"/>
          <w:szCs w:val="20"/>
        </w:rPr>
        <w:t xml:space="preserve">ali bistveno </w:t>
      </w:r>
      <w:r w:rsidR="00232827" w:rsidRPr="00215B2F">
        <w:rPr>
          <w:rFonts w:ascii="Arial" w:eastAsia="Arial" w:hAnsi="Arial" w:cs="Arial"/>
          <w:sz w:val="20"/>
          <w:szCs w:val="20"/>
        </w:rPr>
        <w:t>enak</w:t>
      </w:r>
      <w:r w:rsidRPr="00215B2F">
        <w:rPr>
          <w:rFonts w:ascii="Arial" w:eastAsia="Arial" w:hAnsi="Arial" w:cs="Arial"/>
          <w:sz w:val="20"/>
          <w:szCs w:val="20"/>
        </w:rPr>
        <w:t>i, kot so že bili sporočeni Banki Slovenije, hkrati pa Banka Slovenije teh podatkov ne more pripraviti sama</w:t>
      </w:r>
      <w:r w:rsidR="00232827" w:rsidRPr="00215B2F">
        <w:rPr>
          <w:rFonts w:ascii="Arial" w:eastAsia="Arial" w:hAnsi="Arial" w:cs="Arial"/>
          <w:sz w:val="20"/>
          <w:szCs w:val="20"/>
        </w:rPr>
        <w:t>,</w:t>
      </w:r>
      <w:r w:rsidRPr="00215B2F">
        <w:rPr>
          <w:rFonts w:ascii="Arial" w:eastAsia="Arial" w:hAnsi="Arial" w:cs="Arial"/>
          <w:sz w:val="20"/>
          <w:szCs w:val="20"/>
        </w:rPr>
        <w:t xml:space="preserve"> in</w:t>
      </w:r>
    </w:p>
    <w:p w14:paraId="62DB84B8" w14:textId="5C03018B"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zahtevani podatki niso bili predloženi v drugačni obliki ali razčlenjenosti, kar bi Banki Slovenije omogočilo pripravo informacije v enaki kakovosti in zanesljivosti, kot če bi jih prejela od banke.</w:t>
      </w:r>
    </w:p>
    <w:p w14:paraId="73D760B5"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A7F687A" w14:textId="4DD1DD0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določi dodatne zahteve glede zagotavljanja ustreznega likvidnostnega položaja banke na podlagi 1</w:t>
      </w:r>
      <w:r w:rsidR="00833EC3" w:rsidRPr="00215B2F">
        <w:rPr>
          <w:rFonts w:ascii="Arial" w:eastAsia="Arial" w:hAnsi="Arial" w:cs="Arial"/>
          <w:sz w:val="20"/>
          <w:szCs w:val="20"/>
        </w:rPr>
        <w:t>5</w:t>
      </w:r>
      <w:r w:rsidRPr="00215B2F">
        <w:rPr>
          <w:rFonts w:ascii="Arial" w:eastAsia="Arial" w:hAnsi="Arial" w:cs="Arial"/>
          <w:sz w:val="20"/>
          <w:szCs w:val="20"/>
        </w:rPr>
        <w:t xml:space="preserve">. točke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tako, da se zagotovi pokritje likvidnostnih tveganj, ki jim je banka izpostavljena ali bi jim lahko bila izpostavljena pri svojem poslovanju, in pri tem upošteva:</w:t>
      </w:r>
    </w:p>
    <w:p w14:paraId="65699726"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3528F1AA" w14:textId="77777777" w:rsidR="00566332" w:rsidRPr="00215B2F" w:rsidRDefault="00D91782" w:rsidP="003D4DE0">
      <w:pPr>
        <w:pStyle w:val="tevilnatoka"/>
        <w:numPr>
          <w:ilvl w:val="0"/>
          <w:numId w:val="233"/>
        </w:numPr>
        <w:shd w:val="clear" w:color="auto" w:fill="FFFFFF" w:themeFill="background1"/>
        <w:tabs>
          <w:tab w:val="clear" w:pos="425"/>
        </w:tabs>
        <w:rPr>
          <w:rFonts w:cs="Arial"/>
          <w:bCs/>
          <w:sz w:val="20"/>
          <w:szCs w:val="20"/>
        </w:rPr>
      </w:pPr>
      <w:r w:rsidRPr="00215B2F">
        <w:rPr>
          <w:rFonts w:eastAsia="Arial" w:cs="Arial"/>
          <w:sz w:val="20"/>
          <w:szCs w:val="20"/>
        </w:rPr>
        <w:t>poslovni model banke;</w:t>
      </w:r>
    </w:p>
    <w:p w14:paraId="615BA316" w14:textId="77777777" w:rsidR="00566332" w:rsidRPr="00215B2F" w:rsidRDefault="00D91782" w:rsidP="003D4DE0">
      <w:pPr>
        <w:pStyle w:val="tevilnatoka"/>
        <w:numPr>
          <w:ilvl w:val="0"/>
          <w:numId w:val="233"/>
        </w:numPr>
        <w:shd w:val="clear" w:color="auto" w:fill="FFFFFF" w:themeFill="background1"/>
        <w:tabs>
          <w:tab w:val="clear" w:pos="425"/>
        </w:tabs>
        <w:rPr>
          <w:rFonts w:cs="Arial"/>
          <w:bCs/>
          <w:sz w:val="20"/>
          <w:szCs w:val="20"/>
        </w:rPr>
      </w:pPr>
      <w:r w:rsidRPr="00215B2F">
        <w:rPr>
          <w:rFonts w:eastAsia="Arial" w:cs="Arial"/>
          <w:sz w:val="20"/>
          <w:szCs w:val="20"/>
        </w:rPr>
        <w:t>ureditev upravljanja likvidnostnega tveganja;</w:t>
      </w:r>
    </w:p>
    <w:p w14:paraId="19706C1C" w14:textId="60C7B6DB" w:rsidR="00D91782" w:rsidRPr="00215B2F" w:rsidRDefault="00D91782" w:rsidP="003D4DE0">
      <w:pPr>
        <w:pStyle w:val="tevilnatoka"/>
        <w:numPr>
          <w:ilvl w:val="0"/>
          <w:numId w:val="233"/>
        </w:numPr>
        <w:shd w:val="clear" w:color="auto" w:fill="FFFFFF" w:themeFill="background1"/>
        <w:tabs>
          <w:tab w:val="clear" w:pos="425"/>
        </w:tabs>
        <w:rPr>
          <w:rFonts w:cs="Arial"/>
          <w:bCs/>
          <w:sz w:val="20"/>
          <w:szCs w:val="20"/>
        </w:rPr>
      </w:pPr>
      <w:r w:rsidRPr="00215B2F">
        <w:rPr>
          <w:rFonts w:eastAsia="Arial" w:cs="Arial"/>
          <w:sz w:val="20"/>
          <w:szCs w:val="20"/>
        </w:rPr>
        <w:t xml:space="preserve">ugotovitve pregledovanja in ovrednotenja v skladu z </w:t>
      </w:r>
      <w:r w:rsidR="005B0CC7" w:rsidRPr="00215B2F">
        <w:rPr>
          <w:rFonts w:eastAsia="Arial" w:cs="Arial"/>
          <w:sz w:val="20"/>
          <w:szCs w:val="20"/>
        </w:rPr>
        <w:t>o</w:t>
      </w:r>
      <w:r w:rsidR="001F2C7A" w:rsidRPr="00215B2F">
        <w:rPr>
          <w:rFonts w:eastAsia="Arial" w:cs="Arial"/>
          <w:sz w:val="20"/>
          <w:szCs w:val="20"/>
        </w:rPr>
        <w:t>ddelkom</w:t>
      </w:r>
      <w:r w:rsidRPr="00215B2F">
        <w:rPr>
          <w:rFonts w:eastAsia="Arial" w:cs="Arial"/>
          <w:sz w:val="20"/>
          <w:szCs w:val="20"/>
        </w:rPr>
        <w:t xml:space="preserve"> 6.6 tega zakona.</w:t>
      </w:r>
    </w:p>
    <w:p w14:paraId="67682CE4"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8F024F3" w14:textId="64212A7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Banka Slovenije lahko ob upoštevanju neskladja med dejanskim likvidnostnim položajem banke ter zahtevami glede likvidnosti in stabilnih virov financiranja poleg zahteve iz prejšnjega odstavka banki izreče tudi druge ukrepe nadzora.</w:t>
      </w:r>
    </w:p>
    <w:bookmarkEnd w:id="402"/>
    <w:p w14:paraId="7FC6294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02AB965"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05" w:name="_Ref202967204"/>
      <w:r w:rsidRPr="00215B2F">
        <w:rPr>
          <w:rFonts w:ascii="Arial" w:eastAsia="Arial" w:hAnsi="Arial" w:cs="Arial"/>
          <w:b/>
          <w:bCs/>
          <w:sz w:val="20"/>
          <w:szCs w:val="20"/>
        </w:rPr>
        <w:t>člen</w:t>
      </w:r>
      <w:bookmarkEnd w:id="405"/>
    </w:p>
    <w:p w14:paraId="45517567" w14:textId="77777777" w:rsidR="00D91782" w:rsidRPr="00215B2F" w:rsidRDefault="00D91782" w:rsidP="00FD5520">
      <w:pPr>
        <w:pStyle w:val="Slog1"/>
        <w:shd w:val="clear" w:color="auto" w:fill="FFFFFF" w:themeFill="background1"/>
        <w:rPr>
          <w:sz w:val="20"/>
          <w:szCs w:val="20"/>
        </w:rPr>
      </w:pPr>
      <w:r w:rsidRPr="00215B2F">
        <w:rPr>
          <w:sz w:val="20"/>
          <w:szCs w:val="20"/>
        </w:rPr>
        <w:t>(poročilo o odpravi kršitev)</w:t>
      </w:r>
    </w:p>
    <w:p w14:paraId="6111CD54" w14:textId="77777777" w:rsidR="00D91782" w:rsidRPr="00215B2F" w:rsidRDefault="00D91782" w:rsidP="00FD5520">
      <w:pPr>
        <w:pStyle w:val="Slog1"/>
        <w:shd w:val="clear" w:color="auto" w:fill="FFFFFF" w:themeFill="background1"/>
        <w:jc w:val="both"/>
        <w:rPr>
          <w:sz w:val="20"/>
          <w:szCs w:val="20"/>
        </w:rPr>
      </w:pPr>
    </w:p>
    <w:p w14:paraId="02FEF25A" w14:textId="15B5E36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mora izvesti dodatne ukrepe in odpraviti ugotovljene kršitve v roku, določenem z odredbo, ter Banki Slovenije dostaviti poročilo o izvedenih aktivnosti</w:t>
      </w:r>
      <w:r w:rsidR="005A4ECF" w:rsidRPr="00215B2F">
        <w:rPr>
          <w:rFonts w:ascii="Arial" w:eastAsia="Arial" w:hAnsi="Arial" w:cs="Arial"/>
          <w:sz w:val="20"/>
          <w:szCs w:val="20"/>
        </w:rPr>
        <w:t>h</w:t>
      </w:r>
      <w:r w:rsidRPr="00215B2F">
        <w:rPr>
          <w:rFonts w:ascii="Arial" w:eastAsia="Arial" w:hAnsi="Arial" w:cs="Arial"/>
          <w:sz w:val="20"/>
          <w:szCs w:val="20"/>
        </w:rPr>
        <w:t xml:space="preserve"> (v nadaljnjem besedilu: poročilo o odpravi kršitev).</w:t>
      </w:r>
    </w:p>
    <w:p w14:paraId="2714CDA0"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9A40A37" w14:textId="760E8BC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Poročilu o odpravi kršitev je treba priložiti listine in druge dokaze, iz katerih izhaja, da so bile kršitve odpravljene.</w:t>
      </w:r>
    </w:p>
    <w:p w14:paraId="4F90836B"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5289734" w14:textId="05D1755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lahko v odredbi od banke zahteva, da poročilu o odpravi kršitev priloži mnenje pooblaščenega revizorja, da so ugotovljene kršitve odpravljene.</w:t>
      </w:r>
    </w:p>
    <w:p w14:paraId="313D91B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20B7FA2"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06" w:name="_Ref202967209"/>
      <w:r w:rsidRPr="00215B2F">
        <w:rPr>
          <w:rFonts w:ascii="Arial" w:eastAsia="Arial" w:hAnsi="Arial" w:cs="Arial"/>
          <w:b/>
          <w:bCs/>
          <w:sz w:val="20"/>
          <w:szCs w:val="20"/>
        </w:rPr>
        <w:t>člen</w:t>
      </w:r>
      <w:bookmarkEnd w:id="406"/>
    </w:p>
    <w:p w14:paraId="6F597B12" w14:textId="77777777" w:rsidR="00D91782" w:rsidRPr="00215B2F" w:rsidRDefault="00D91782" w:rsidP="00FD5520">
      <w:pPr>
        <w:pStyle w:val="Slog1"/>
        <w:shd w:val="clear" w:color="auto" w:fill="FFFFFF" w:themeFill="background1"/>
        <w:rPr>
          <w:sz w:val="20"/>
          <w:szCs w:val="20"/>
        </w:rPr>
      </w:pPr>
      <w:r w:rsidRPr="00215B2F">
        <w:rPr>
          <w:sz w:val="20"/>
          <w:szCs w:val="20"/>
        </w:rPr>
        <w:t>(ugotovitvena odločba o odpravljenih kršitvah)</w:t>
      </w:r>
    </w:p>
    <w:p w14:paraId="56D35321" w14:textId="77777777" w:rsidR="00D91782" w:rsidRPr="00215B2F" w:rsidRDefault="00D91782" w:rsidP="00FD5520">
      <w:pPr>
        <w:pStyle w:val="Slog1"/>
        <w:shd w:val="clear" w:color="auto" w:fill="FFFFFF" w:themeFill="background1"/>
        <w:jc w:val="both"/>
        <w:rPr>
          <w:sz w:val="20"/>
          <w:szCs w:val="20"/>
        </w:rPr>
      </w:pPr>
    </w:p>
    <w:p w14:paraId="042900EB" w14:textId="43CBE1F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iz poročila o odpravi kršitev iz prvega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ter priloženih dokazov izhaja, da je banka izvedla ukrepe in odpravila kršitve</w:t>
      </w:r>
      <w:r w:rsidR="00D41ACF" w:rsidRPr="00215B2F">
        <w:rPr>
          <w:rFonts w:ascii="Arial" w:eastAsia="Arial" w:hAnsi="Arial" w:cs="Arial"/>
          <w:sz w:val="20"/>
          <w:szCs w:val="20"/>
        </w:rPr>
        <w:t>,</w:t>
      </w:r>
      <w:r w:rsidRPr="00215B2F">
        <w:rPr>
          <w:rFonts w:ascii="Arial" w:eastAsia="Arial" w:hAnsi="Arial" w:cs="Arial"/>
          <w:sz w:val="20"/>
          <w:szCs w:val="20"/>
        </w:rPr>
        <w:t xml:space="preserve"> ugotovljene z odredbo, Banka Slovenije v treh mesecih po prejemu celovitega poročila banke o odpravi kršitev </w:t>
      </w:r>
      <w:r w:rsidR="00D41ACF" w:rsidRPr="00215B2F">
        <w:rPr>
          <w:rFonts w:ascii="Arial" w:eastAsia="Arial" w:hAnsi="Arial" w:cs="Arial"/>
          <w:sz w:val="20"/>
          <w:szCs w:val="20"/>
        </w:rPr>
        <w:t xml:space="preserve">izda </w:t>
      </w:r>
      <w:r w:rsidRPr="00215B2F">
        <w:rPr>
          <w:rFonts w:ascii="Arial" w:eastAsia="Arial" w:hAnsi="Arial" w:cs="Arial"/>
          <w:sz w:val="20"/>
          <w:szCs w:val="20"/>
        </w:rPr>
        <w:t>odločbo, s katero ugotovi, da so bile kršitve odpravljene (v nadaljnjem besedilu: ugotovitvena odločba o odpravljenih kršitvah).</w:t>
      </w:r>
    </w:p>
    <w:p w14:paraId="223C7E99"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3414E860" w14:textId="55C6407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lahko pred izdajo ugotovitvene odločbe o odpravljenih kršitvah zahteva dopolnitev poročila ali opravi pregled poslovanja banke v obsegu, potrebnem za ugotovitev, ali je banka izvedla navedene ukrepe in odpravila ugotovljene kršitve.</w:t>
      </w:r>
    </w:p>
    <w:p w14:paraId="7B3411C5"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21237CC6" w14:textId="6E5E8A0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Banka Slovenije pri izvajanju nadzora ugotovi, da je banka kršila predpise iz </w:t>
      </w:r>
      <w:r w:rsidR="00702635" w:rsidRPr="00215B2F">
        <w:rPr>
          <w:rFonts w:ascii="Arial" w:eastAsia="Arial" w:hAnsi="Arial" w:cs="Arial"/>
          <w:sz w:val="20"/>
          <w:szCs w:val="20"/>
        </w:rPr>
        <w:t>tretjega</w:t>
      </w:r>
      <w:r w:rsidRPr="00215B2F">
        <w:rPr>
          <w:rFonts w:ascii="Arial" w:eastAsia="Arial" w:hAnsi="Arial" w:cs="Arial"/>
          <w:sz w:val="20"/>
          <w:szCs w:val="20"/>
        </w:rPr>
        <w:t xml:space="preserve"> odstavka 9.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vendar je banka kršitve odpravila pred izdajo odredbe iz prvega odstavka </w:t>
      </w:r>
      <w:r w:rsidR="00FE757E" w:rsidRPr="00215B2F">
        <w:rPr>
          <w:rFonts w:ascii="Arial" w:eastAsia="Arial" w:hAnsi="Arial" w:cs="Arial"/>
          <w:sz w:val="20"/>
          <w:szCs w:val="20"/>
        </w:rPr>
        <w:t>344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lahko Banka Slovenije z upoštevanjem pogojev iz četrtega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izda ugotovitveno odločbo, s katero ugotovi, da je banka kršila predpise iz </w:t>
      </w:r>
      <w:r w:rsidR="00702635" w:rsidRPr="00215B2F">
        <w:rPr>
          <w:rFonts w:ascii="Arial" w:eastAsia="Arial" w:hAnsi="Arial" w:cs="Arial"/>
          <w:sz w:val="20"/>
          <w:szCs w:val="20"/>
        </w:rPr>
        <w:t>tretjega</w:t>
      </w:r>
      <w:r w:rsidRPr="00215B2F">
        <w:rPr>
          <w:rFonts w:ascii="Arial" w:eastAsia="Arial" w:hAnsi="Arial" w:cs="Arial"/>
          <w:sz w:val="20"/>
          <w:szCs w:val="20"/>
        </w:rPr>
        <w:t xml:space="preserve"> odstavka 9.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da je kršitev odpravila.</w:t>
      </w:r>
    </w:p>
    <w:p w14:paraId="26060F75"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69767FDC" w14:textId="78743C0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izda ugotovitveno odločbo iz prejšnjega odstavka, če bi glede na naravo in pomen kršitev za varno in skrbno upravljanje banke izdaja take odločbe in objava informacij na podlagi </w:t>
      </w:r>
      <w:r w:rsidR="00FE757E" w:rsidRPr="00215B2F">
        <w:rPr>
          <w:rFonts w:ascii="Arial" w:eastAsia="Arial" w:hAnsi="Arial" w:cs="Arial"/>
          <w:sz w:val="20"/>
          <w:szCs w:val="20"/>
        </w:rPr>
        <w:t>385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pomembno prispevala k izboljšanju praks upravljanja bank </w:t>
      </w:r>
      <w:r w:rsidR="00D41ACF" w:rsidRPr="00215B2F">
        <w:rPr>
          <w:rFonts w:ascii="Arial" w:eastAsia="Arial" w:hAnsi="Arial" w:cs="Arial"/>
          <w:sz w:val="20"/>
          <w:szCs w:val="20"/>
        </w:rPr>
        <w:t xml:space="preserve">ter </w:t>
      </w:r>
      <w:r w:rsidRPr="00215B2F">
        <w:rPr>
          <w:rFonts w:ascii="Arial" w:eastAsia="Arial" w:hAnsi="Arial" w:cs="Arial"/>
          <w:sz w:val="20"/>
          <w:szCs w:val="20"/>
        </w:rPr>
        <w:t>k preprečevanju ravnanj</w:t>
      </w:r>
      <w:r w:rsidR="00F94D78" w:rsidRPr="00215B2F">
        <w:rPr>
          <w:rFonts w:ascii="Arial" w:eastAsia="Arial" w:hAnsi="Arial" w:cs="Arial"/>
          <w:sz w:val="20"/>
          <w:szCs w:val="20"/>
        </w:rPr>
        <w:t>a</w:t>
      </w:r>
      <w:r w:rsidRPr="00215B2F">
        <w:rPr>
          <w:rFonts w:ascii="Arial" w:eastAsia="Arial" w:hAnsi="Arial" w:cs="Arial"/>
          <w:sz w:val="20"/>
          <w:szCs w:val="20"/>
        </w:rPr>
        <w:t xml:space="preserve">, ki pomeni kršitev predpisov iz </w:t>
      </w:r>
      <w:r w:rsidR="00702635" w:rsidRPr="00215B2F">
        <w:rPr>
          <w:rFonts w:ascii="Arial" w:eastAsia="Arial" w:hAnsi="Arial" w:cs="Arial"/>
          <w:sz w:val="20"/>
          <w:szCs w:val="20"/>
        </w:rPr>
        <w:t>tretjega</w:t>
      </w:r>
      <w:r w:rsidRPr="00215B2F">
        <w:rPr>
          <w:rFonts w:ascii="Arial" w:eastAsia="Arial" w:hAnsi="Arial" w:cs="Arial"/>
          <w:sz w:val="20"/>
          <w:szCs w:val="20"/>
        </w:rPr>
        <w:t xml:space="preserve"> odstavka 9.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6314B7CE"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2140327" w14:textId="3FC1F72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(5) Banka Slovenije pred izdajo ugotovitvene odločbe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banko pisno obvesti o ugotovitvah v zvezi s kršitvami predpisov iz </w:t>
      </w:r>
      <w:r w:rsidR="00702635" w:rsidRPr="00215B2F">
        <w:rPr>
          <w:rFonts w:ascii="Arial" w:eastAsia="Arial" w:hAnsi="Arial" w:cs="Arial"/>
          <w:sz w:val="20"/>
          <w:szCs w:val="20"/>
        </w:rPr>
        <w:t>tretjega</w:t>
      </w:r>
      <w:r w:rsidRPr="00215B2F">
        <w:rPr>
          <w:rFonts w:ascii="Arial" w:eastAsia="Arial" w:hAnsi="Arial" w:cs="Arial"/>
          <w:sz w:val="20"/>
          <w:szCs w:val="20"/>
        </w:rPr>
        <w:t xml:space="preserve"> odstavka 9.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r w:rsidR="00D41ACF" w:rsidRPr="00215B2F">
        <w:rPr>
          <w:rFonts w:ascii="Arial" w:eastAsia="Arial" w:hAnsi="Arial" w:cs="Arial"/>
          <w:sz w:val="20"/>
          <w:szCs w:val="20"/>
        </w:rPr>
        <w:t xml:space="preserve">in </w:t>
      </w:r>
      <w:r w:rsidRPr="00215B2F">
        <w:rPr>
          <w:rFonts w:ascii="Arial" w:eastAsia="Arial" w:hAnsi="Arial" w:cs="Arial"/>
          <w:sz w:val="20"/>
          <w:szCs w:val="20"/>
        </w:rPr>
        <w:t xml:space="preserve">o nameri, da bo izdala ugotovitveno odločbo o odpravljenih kršitvah, ter pozove banko, da se izjavi o dejstvih in okoliščinah, ki so </w:t>
      </w:r>
      <w:r w:rsidR="00554FDB" w:rsidRPr="00215B2F">
        <w:rPr>
          <w:rFonts w:ascii="Arial" w:eastAsia="Arial" w:hAnsi="Arial" w:cs="Arial"/>
          <w:sz w:val="20"/>
          <w:szCs w:val="20"/>
        </w:rPr>
        <w:t xml:space="preserve">pomembni </w:t>
      </w:r>
      <w:r w:rsidRPr="00215B2F">
        <w:rPr>
          <w:rFonts w:ascii="Arial" w:eastAsia="Arial" w:hAnsi="Arial" w:cs="Arial"/>
          <w:sz w:val="20"/>
          <w:szCs w:val="20"/>
        </w:rPr>
        <w:t>za odločitev o izdaji ugotovitvene odločbe o odpravi kršitev.</w:t>
      </w:r>
    </w:p>
    <w:p w14:paraId="54C995A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4801BFD" w14:textId="1918CA55" w:rsidR="00D91782" w:rsidRPr="00215B2F" w:rsidRDefault="000A76F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10</w:t>
      </w:r>
      <w:r w:rsidR="00D91782" w:rsidRPr="00215B2F">
        <w:rPr>
          <w:rFonts w:ascii="Arial" w:eastAsia="Arial" w:hAnsi="Arial" w:cs="Arial"/>
          <w:i/>
          <w:iCs/>
          <w:sz w:val="20"/>
          <w:szCs w:val="20"/>
        </w:rPr>
        <w:t>.3.2 Ukrepi zgodnjega posredovanja</w:t>
      </w:r>
    </w:p>
    <w:p w14:paraId="51BE9958" w14:textId="77777777"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p>
    <w:p w14:paraId="180D960B"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07" w:name="_Ref202967216"/>
      <w:r w:rsidRPr="00215B2F">
        <w:rPr>
          <w:rFonts w:ascii="Arial" w:eastAsia="Arial" w:hAnsi="Arial" w:cs="Arial"/>
          <w:b/>
          <w:bCs/>
          <w:sz w:val="20"/>
          <w:szCs w:val="20"/>
        </w:rPr>
        <w:t>člen</w:t>
      </w:r>
      <w:bookmarkEnd w:id="407"/>
    </w:p>
    <w:p w14:paraId="6807AB31" w14:textId="77777777" w:rsidR="00D91782" w:rsidRPr="00215B2F" w:rsidRDefault="00D91782" w:rsidP="00FD5520">
      <w:pPr>
        <w:pStyle w:val="Slog1"/>
        <w:shd w:val="clear" w:color="auto" w:fill="FFFFFF" w:themeFill="background1"/>
        <w:rPr>
          <w:sz w:val="20"/>
          <w:szCs w:val="20"/>
        </w:rPr>
      </w:pPr>
      <w:r w:rsidRPr="00215B2F">
        <w:rPr>
          <w:sz w:val="20"/>
          <w:szCs w:val="20"/>
        </w:rPr>
        <w:t>(ukrepi zgodnjega posredovanja)</w:t>
      </w:r>
    </w:p>
    <w:p w14:paraId="093F65EC" w14:textId="77777777" w:rsidR="00D91782" w:rsidRPr="00215B2F" w:rsidRDefault="00D91782" w:rsidP="00FD5520">
      <w:pPr>
        <w:pStyle w:val="Slog1"/>
        <w:shd w:val="clear" w:color="auto" w:fill="FFFFFF" w:themeFill="background1"/>
        <w:jc w:val="both"/>
        <w:rPr>
          <w:sz w:val="20"/>
          <w:szCs w:val="20"/>
        </w:rPr>
      </w:pPr>
    </w:p>
    <w:p w14:paraId="6035D085" w14:textId="6BA5D9D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Če bank</w:t>
      </w:r>
      <w:r w:rsidR="00954058" w:rsidRPr="00215B2F">
        <w:rPr>
          <w:rFonts w:ascii="Arial" w:eastAsia="Arial" w:hAnsi="Arial" w:cs="Arial"/>
          <w:sz w:val="20"/>
          <w:szCs w:val="20"/>
        </w:rPr>
        <w:t>a</w:t>
      </w:r>
      <w:r w:rsidRPr="00215B2F">
        <w:rPr>
          <w:rFonts w:ascii="Arial" w:eastAsia="Arial" w:hAnsi="Arial" w:cs="Arial"/>
          <w:sz w:val="20"/>
          <w:szCs w:val="20"/>
        </w:rPr>
        <w:t xml:space="preserve"> krši </w:t>
      </w:r>
      <w:r w:rsidR="00954058" w:rsidRPr="00215B2F">
        <w:rPr>
          <w:rFonts w:ascii="Arial" w:eastAsia="Arial" w:hAnsi="Arial" w:cs="Arial"/>
          <w:sz w:val="20"/>
          <w:szCs w:val="20"/>
        </w:rPr>
        <w:t xml:space="preserve">ali bo verjetno kršila </w:t>
      </w:r>
      <w:r w:rsidRPr="00215B2F">
        <w:rPr>
          <w:rFonts w:ascii="Arial" w:eastAsia="Arial" w:hAnsi="Arial" w:cs="Arial"/>
          <w:sz w:val="20"/>
          <w:szCs w:val="20"/>
        </w:rPr>
        <w:t>predpis</w:t>
      </w:r>
      <w:r w:rsidR="00954058" w:rsidRPr="00215B2F">
        <w:rPr>
          <w:rFonts w:ascii="Arial" w:eastAsia="Arial" w:hAnsi="Arial" w:cs="Arial"/>
          <w:sz w:val="20"/>
          <w:szCs w:val="20"/>
        </w:rPr>
        <w:t>e</w:t>
      </w:r>
      <w:r w:rsidRPr="00215B2F">
        <w:rPr>
          <w:rFonts w:ascii="Arial" w:eastAsia="Arial" w:hAnsi="Arial" w:cs="Arial"/>
          <w:sz w:val="20"/>
          <w:szCs w:val="20"/>
        </w:rPr>
        <w:t xml:space="preserve"> iz </w:t>
      </w:r>
      <w:r w:rsidR="00702635" w:rsidRPr="00215B2F">
        <w:rPr>
          <w:rFonts w:ascii="Arial" w:eastAsia="Arial" w:hAnsi="Arial" w:cs="Arial"/>
          <w:sz w:val="20"/>
          <w:szCs w:val="20"/>
        </w:rPr>
        <w:t>tretjega</w:t>
      </w:r>
      <w:r w:rsidRPr="00215B2F">
        <w:rPr>
          <w:rFonts w:ascii="Arial" w:eastAsia="Arial" w:hAnsi="Arial" w:cs="Arial"/>
          <w:sz w:val="20"/>
          <w:szCs w:val="20"/>
        </w:rPr>
        <w:t xml:space="preserve"> odstavka 9. </w:t>
      </w:r>
      <w:r w:rsidR="001F2C7A" w:rsidRPr="00215B2F">
        <w:rPr>
          <w:rFonts w:ascii="Arial" w:eastAsia="Arial" w:hAnsi="Arial" w:cs="Arial"/>
          <w:sz w:val="20"/>
          <w:szCs w:val="20"/>
        </w:rPr>
        <w:t>člena tega zakona</w:t>
      </w:r>
      <w:r w:rsidRPr="00215B2F">
        <w:rPr>
          <w:rFonts w:ascii="Arial" w:eastAsia="Arial" w:hAnsi="Arial" w:cs="Arial"/>
          <w:sz w:val="20"/>
          <w:szCs w:val="20"/>
        </w:rPr>
        <w:t>, lahko Banka Slovenije v primeru hitrega slabšanja finančnega položaja banke, zlasti v primeru hitrega slabšanja likvidnosti, naraščanja stopnje zadolženosti, obsega nedonosnih posojil ali koncentracije izpostavljenosti, z odredbo zahteva, da banka ali upravljalni organ izvede tudi naslednje dodatne ukrepe (v nadaljnjem besedilu: ukrepi zgodnjega posredovanja):</w:t>
      </w:r>
    </w:p>
    <w:p w14:paraId="112E3F29"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1CD4D1C" w14:textId="06EA2859" w:rsidR="00566332" w:rsidRPr="00215B2F" w:rsidRDefault="00D91782" w:rsidP="003D4DE0">
      <w:pPr>
        <w:pStyle w:val="tevilnatoka"/>
        <w:numPr>
          <w:ilvl w:val="0"/>
          <w:numId w:val="234"/>
        </w:numPr>
        <w:shd w:val="clear" w:color="auto" w:fill="FFFFFF" w:themeFill="background1"/>
        <w:tabs>
          <w:tab w:val="clear" w:pos="425"/>
        </w:tabs>
        <w:rPr>
          <w:rFonts w:cs="Arial"/>
          <w:bCs/>
          <w:sz w:val="20"/>
          <w:szCs w:val="20"/>
        </w:rPr>
      </w:pPr>
      <w:r w:rsidRPr="00215B2F">
        <w:rPr>
          <w:rFonts w:eastAsia="Arial" w:cs="Arial"/>
          <w:sz w:val="20"/>
          <w:szCs w:val="20"/>
        </w:rPr>
        <w:t>zahteva od upravljalnega organa banke, da se izvedejo aktivnosti v okviru ene ali več shem ali ukrepov, opredeljenih v načrtu sanacije;</w:t>
      </w:r>
    </w:p>
    <w:p w14:paraId="1D146FA4" w14:textId="77777777" w:rsidR="00566332" w:rsidRPr="00215B2F" w:rsidRDefault="00D91782" w:rsidP="003D4DE0">
      <w:pPr>
        <w:pStyle w:val="tevilnatoka"/>
        <w:numPr>
          <w:ilvl w:val="0"/>
          <w:numId w:val="234"/>
        </w:numPr>
        <w:shd w:val="clear" w:color="auto" w:fill="FFFFFF" w:themeFill="background1"/>
        <w:tabs>
          <w:tab w:val="clear" w:pos="425"/>
        </w:tabs>
        <w:rPr>
          <w:rFonts w:cs="Arial"/>
          <w:bCs/>
          <w:sz w:val="20"/>
          <w:szCs w:val="20"/>
        </w:rPr>
      </w:pPr>
      <w:r w:rsidRPr="00215B2F">
        <w:rPr>
          <w:rFonts w:eastAsia="Arial" w:cs="Arial"/>
          <w:sz w:val="20"/>
          <w:szCs w:val="20"/>
        </w:rPr>
        <w:t>zahteva od upravljalnega organa banke, da se ustrezno posodobi načrt sanacije, če se okoliščine, ki so privedle do zgodnjega posredovanja, razlikujejo od predpostavk, določenih v prvotnem načrtu sanacije, in da se v določenem roku izvedejo aktivnosti za uporabo shem ali ukrepov, ki so opredeljeni v posodobljenem načrtu;</w:t>
      </w:r>
    </w:p>
    <w:p w14:paraId="7C276A47" w14:textId="5E0F6774" w:rsidR="00566332" w:rsidRPr="00215B2F" w:rsidRDefault="00D91782" w:rsidP="003D4DE0">
      <w:pPr>
        <w:pStyle w:val="tevilnatoka"/>
        <w:numPr>
          <w:ilvl w:val="0"/>
          <w:numId w:val="234"/>
        </w:numPr>
        <w:shd w:val="clear" w:color="auto" w:fill="FFFFFF" w:themeFill="background1"/>
        <w:tabs>
          <w:tab w:val="clear" w:pos="425"/>
        </w:tabs>
        <w:rPr>
          <w:rFonts w:cs="Arial"/>
          <w:bCs/>
          <w:sz w:val="20"/>
          <w:szCs w:val="20"/>
        </w:rPr>
      </w:pPr>
      <w:r w:rsidRPr="00215B2F">
        <w:rPr>
          <w:rFonts w:eastAsia="Arial" w:cs="Arial"/>
          <w:sz w:val="20"/>
          <w:szCs w:val="20"/>
        </w:rPr>
        <w:t>zahteva od upravljalnega organa banke, da predloži podrobn</w:t>
      </w:r>
      <w:r w:rsidR="00852B38" w:rsidRPr="00215B2F">
        <w:rPr>
          <w:rFonts w:eastAsia="Arial" w:cs="Arial"/>
          <w:sz w:val="20"/>
          <w:szCs w:val="20"/>
        </w:rPr>
        <w:t>i</w:t>
      </w:r>
      <w:r w:rsidRPr="00215B2F">
        <w:rPr>
          <w:rFonts w:eastAsia="Arial" w:cs="Arial"/>
          <w:sz w:val="20"/>
          <w:szCs w:val="20"/>
        </w:rPr>
        <w:t xml:space="preserve"> načrt ukrepov, s katerimi se preprečijo ali odpravijo težave banke, vključno z opredelitvijo roka za njihovo izvedbo;</w:t>
      </w:r>
    </w:p>
    <w:p w14:paraId="440B631A" w14:textId="77777777" w:rsidR="00566332" w:rsidRPr="00215B2F" w:rsidRDefault="00D91782" w:rsidP="003D4DE0">
      <w:pPr>
        <w:pStyle w:val="tevilnatoka"/>
        <w:numPr>
          <w:ilvl w:val="0"/>
          <w:numId w:val="234"/>
        </w:numPr>
        <w:shd w:val="clear" w:color="auto" w:fill="FFFFFF" w:themeFill="background1"/>
        <w:tabs>
          <w:tab w:val="clear" w:pos="425"/>
        </w:tabs>
        <w:rPr>
          <w:rFonts w:cs="Arial"/>
          <w:bCs/>
          <w:sz w:val="20"/>
          <w:szCs w:val="20"/>
        </w:rPr>
      </w:pPr>
      <w:r w:rsidRPr="00215B2F">
        <w:rPr>
          <w:rFonts w:eastAsia="Arial" w:cs="Arial"/>
          <w:sz w:val="20"/>
          <w:szCs w:val="20"/>
        </w:rPr>
        <w:t>zahteva od upravljalnega organa banke, da v določenem roku skliče skupščino banke in ji predlaga sprejetje določenih ukrepov za namen sanacije banke, vključno z ukrepi za povečanje osnovnega kapitala banke ter ukrepi za zmanjšanje osnovnega kapitala zaradi pokrivanja izgube ali prenosa v kapitalske rezerve;</w:t>
      </w:r>
    </w:p>
    <w:p w14:paraId="1043A002" w14:textId="380FE9B8" w:rsidR="00566332" w:rsidRPr="00215B2F" w:rsidRDefault="00D91782" w:rsidP="003D4DE0">
      <w:pPr>
        <w:pStyle w:val="tevilnatoka"/>
        <w:numPr>
          <w:ilvl w:val="0"/>
          <w:numId w:val="234"/>
        </w:numPr>
        <w:shd w:val="clear" w:color="auto" w:fill="FFFFFF" w:themeFill="background1"/>
        <w:tabs>
          <w:tab w:val="clear" w:pos="425"/>
        </w:tabs>
        <w:rPr>
          <w:rFonts w:cs="Arial"/>
          <w:bCs/>
          <w:sz w:val="20"/>
          <w:szCs w:val="20"/>
        </w:rPr>
      </w:pPr>
      <w:r w:rsidRPr="00215B2F">
        <w:rPr>
          <w:rFonts w:eastAsia="Arial" w:cs="Arial"/>
          <w:sz w:val="20"/>
          <w:szCs w:val="20"/>
        </w:rPr>
        <w:t xml:space="preserve">zahteva razrešitev ali zamenjavo posameznega </w:t>
      </w:r>
      <w:r w:rsidR="00852B38" w:rsidRPr="00215B2F">
        <w:rPr>
          <w:rFonts w:eastAsia="Arial" w:cs="Arial"/>
          <w:sz w:val="20"/>
          <w:szCs w:val="20"/>
        </w:rPr>
        <w:t xml:space="preserve">člana </w:t>
      </w:r>
      <w:r w:rsidRPr="00215B2F">
        <w:rPr>
          <w:rFonts w:eastAsia="Arial" w:cs="Arial"/>
          <w:sz w:val="20"/>
          <w:szCs w:val="20"/>
        </w:rPr>
        <w:t>ali več članov upravljalnega organa ali višjega vodstva banke;</w:t>
      </w:r>
    </w:p>
    <w:p w14:paraId="26AAFAD1" w14:textId="77777777" w:rsidR="00566332" w:rsidRPr="00215B2F" w:rsidRDefault="00D91782" w:rsidP="003D4DE0">
      <w:pPr>
        <w:pStyle w:val="tevilnatoka"/>
        <w:numPr>
          <w:ilvl w:val="0"/>
          <w:numId w:val="234"/>
        </w:numPr>
        <w:shd w:val="clear" w:color="auto" w:fill="FFFFFF" w:themeFill="background1"/>
        <w:tabs>
          <w:tab w:val="clear" w:pos="425"/>
        </w:tabs>
        <w:rPr>
          <w:rFonts w:cs="Arial"/>
          <w:bCs/>
          <w:sz w:val="20"/>
          <w:szCs w:val="20"/>
        </w:rPr>
      </w:pPr>
      <w:r w:rsidRPr="00215B2F">
        <w:rPr>
          <w:rFonts w:eastAsia="Arial" w:cs="Arial"/>
          <w:sz w:val="20"/>
          <w:szCs w:val="20"/>
        </w:rPr>
        <w:t>zahteva od upravljalnega organa banke pripravo načrta pogajanj za prestrukturiranje dolga z nekaterimi ali vsemi upniki banke v skladu z načrtom sanacije;</w:t>
      </w:r>
    </w:p>
    <w:p w14:paraId="7ABF2C45" w14:textId="77777777" w:rsidR="00566332" w:rsidRPr="00215B2F" w:rsidRDefault="00D91782" w:rsidP="003D4DE0">
      <w:pPr>
        <w:pStyle w:val="tevilnatoka"/>
        <w:numPr>
          <w:ilvl w:val="0"/>
          <w:numId w:val="234"/>
        </w:numPr>
        <w:shd w:val="clear" w:color="auto" w:fill="FFFFFF" w:themeFill="background1"/>
        <w:tabs>
          <w:tab w:val="clear" w:pos="425"/>
        </w:tabs>
        <w:rPr>
          <w:rFonts w:cs="Arial"/>
          <w:bCs/>
          <w:sz w:val="20"/>
          <w:szCs w:val="20"/>
        </w:rPr>
      </w:pPr>
      <w:r w:rsidRPr="00215B2F">
        <w:rPr>
          <w:rFonts w:eastAsia="Arial" w:cs="Arial"/>
          <w:sz w:val="20"/>
          <w:szCs w:val="20"/>
        </w:rPr>
        <w:t>zahteva, da se spremeni poslovna strategija banke;</w:t>
      </w:r>
    </w:p>
    <w:p w14:paraId="726302D8" w14:textId="1000B751" w:rsidR="00566332" w:rsidRPr="00215B2F" w:rsidRDefault="00D91782" w:rsidP="003D4DE0">
      <w:pPr>
        <w:pStyle w:val="tevilnatoka"/>
        <w:numPr>
          <w:ilvl w:val="0"/>
          <w:numId w:val="234"/>
        </w:numPr>
        <w:shd w:val="clear" w:color="auto" w:fill="FFFFFF" w:themeFill="background1"/>
        <w:tabs>
          <w:tab w:val="clear" w:pos="425"/>
        </w:tabs>
        <w:rPr>
          <w:rFonts w:cs="Arial"/>
          <w:bCs/>
          <w:sz w:val="20"/>
          <w:szCs w:val="20"/>
        </w:rPr>
      </w:pPr>
      <w:r w:rsidRPr="00215B2F">
        <w:rPr>
          <w:rFonts w:eastAsia="Arial" w:cs="Arial"/>
          <w:sz w:val="20"/>
          <w:szCs w:val="20"/>
        </w:rPr>
        <w:t>zahteva, da se izvedejo spremembe pravnih ureditev in operativnih p</w:t>
      </w:r>
      <w:r w:rsidR="007A7455" w:rsidRPr="00215B2F">
        <w:rPr>
          <w:rFonts w:eastAsia="Arial" w:cs="Arial"/>
          <w:sz w:val="20"/>
          <w:szCs w:val="20"/>
        </w:rPr>
        <w:t>ostopk</w:t>
      </w:r>
      <w:r w:rsidRPr="00215B2F">
        <w:rPr>
          <w:rFonts w:eastAsia="Arial" w:cs="Arial"/>
          <w:sz w:val="20"/>
          <w:szCs w:val="20"/>
        </w:rPr>
        <w:t>ov v banki;</w:t>
      </w:r>
    </w:p>
    <w:p w14:paraId="5B7DD359" w14:textId="54A3D511" w:rsidR="00D91782" w:rsidRPr="00215B2F" w:rsidRDefault="00D91782" w:rsidP="003D4DE0">
      <w:pPr>
        <w:pStyle w:val="tevilnatoka"/>
        <w:numPr>
          <w:ilvl w:val="0"/>
          <w:numId w:val="234"/>
        </w:numPr>
        <w:shd w:val="clear" w:color="auto" w:fill="FFFFFF" w:themeFill="background1"/>
        <w:tabs>
          <w:tab w:val="clear" w:pos="425"/>
        </w:tabs>
        <w:rPr>
          <w:rFonts w:cs="Arial"/>
          <w:bCs/>
          <w:sz w:val="20"/>
          <w:szCs w:val="20"/>
        </w:rPr>
      </w:pPr>
      <w:r w:rsidRPr="00215B2F">
        <w:rPr>
          <w:rFonts w:eastAsia="Arial" w:cs="Arial"/>
          <w:sz w:val="20"/>
          <w:szCs w:val="20"/>
        </w:rPr>
        <w:t xml:space="preserve">zahteva, da banka zagotovi </w:t>
      </w:r>
      <w:r w:rsidR="00954058" w:rsidRPr="00215B2F">
        <w:rPr>
          <w:rFonts w:eastAsia="Arial" w:cs="Arial"/>
          <w:sz w:val="20"/>
          <w:szCs w:val="20"/>
        </w:rPr>
        <w:t>izpolnjevanje pogojev</w:t>
      </w:r>
      <w:r w:rsidR="00852B38" w:rsidRPr="00215B2F">
        <w:rPr>
          <w:rFonts w:eastAsia="Arial" w:cs="Arial"/>
          <w:sz w:val="20"/>
          <w:szCs w:val="20"/>
        </w:rPr>
        <w:t xml:space="preserve"> </w:t>
      </w:r>
      <w:r w:rsidRPr="00215B2F">
        <w:rPr>
          <w:rFonts w:eastAsia="Arial" w:cs="Arial"/>
          <w:sz w:val="20"/>
          <w:szCs w:val="20"/>
        </w:rPr>
        <w:t>in informacije, ki jih potrebuje organ, pristojen za reševanje, za posodobitev načrta reševanja ali načrtovanje ukrepov reševanja banke, vključno z izvedbo vrednotenja sredstev in obveznosti banke za namene reševanja.</w:t>
      </w:r>
    </w:p>
    <w:p w14:paraId="1DB8FD19"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521D94F" w14:textId="1A49D68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pri oceni obstoja okoliščin hitrega slabšanja finančnega položaja banke za uporabo ukrepov iz prejšnjega odstavka upošteva različne kazalnike in opredeli pragove poslabšanja teh kazalnikov, ki utemeljujejo uporabo teh ukrepov. Banka Slovenije lahko v zvezi z oceno iz prejšnjega stavka upošteva tudi minimalno kapitalsko zahtevo za banko, ki se ji prišteje 1,5 odstotne točke. Ko Banka Slovenije ugotovi, da so v zvezi z banko izpolnjeni pogoji za uporabo ukrepov iz prejšnjega odstavka, o tem nemudoma obvesti organ, pristojen za reševanje.</w:t>
      </w:r>
    </w:p>
    <w:p w14:paraId="3B1B1D8F"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E9A70EE" w14:textId="342DE20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lahko poleg ukrepov zgodnjega posredovanja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izreče tudi druge dodatne ukrepe iz </w:t>
      </w:r>
      <w:r w:rsidR="005A78EE" w:rsidRPr="00215B2F">
        <w:rPr>
          <w:rFonts w:ascii="Arial" w:eastAsia="Arial" w:hAnsi="Arial" w:cs="Arial"/>
          <w:sz w:val="20"/>
          <w:szCs w:val="20"/>
        </w:rPr>
        <w:t>345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40B9E9DE"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5EB5460" w14:textId="5AC5EA6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Če se v primeru uporabe ukrepov zgodnjega posredovanja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bistvene obveznosti iz pogodbe, ki jo je banka sklenila z nasprotno pogodbeno stranko, vključno z obveznostmi plačila in izročitve ter z zagotavljanjem zavarovanja s premoženjem, po začetku postopka reševanja še naprej izpolnjujejo v okviru sklenjene pogodbe, se zgolj uporaba teh ukrepov sama po sebi ne šteje za:</w:t>
      </w:r>
    </w:p>
    <w:p w14:paraId="5B99E6A8"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339B5E3D" w14:textId="30213A00" w:rsidR="00566332" w:rsidRPr="00215B2F" w:rsidRDefault="00D91782" w:rsidP="003D4DE0">
      <w:pPr>
        <w:pStyle w:val="tevilnatoka"/>
        <w:numPr>
          <w:ilvl w:val="0"/>
          <w:numId w:val="235"/>
        </w:numPr>
        <w:shd w:val="clear" w:color="auto" w:fill="FFFFFF" w:themeFill="background1"/>
        <w:tabs>
          <w:tab w:val="clear" w:pos="425"/>
        </w:tabs>
        <w:rPr>
          <w:rFonts w:cs="Arial"/>
          <w:bCs/>
          <w:sz w:val="20"/>
          <w:szCs w:val="20"/>
        </w:rPr>
      </w:pPr>
      <w:r w:rsidRPr="00215B2F">
        <w:rPr>
          <w:rFonts w:eastAsia="Arial" w:cs="Arial"/>
          <w:sz w:val="20"/>
          <w:szCs w:val="20"/>
        </w:rPr>
        <w:t xml:space="preserve">dogodek neizpolnitve ali drug podoben dogodek, ki je dogovorjen med strankami in na podlagi katerega ima prejemnik zavarovanja pravico </w:t>
      </w:r>
      <w:r w:rsidR="00852B38" w:rsidRPr="00215B2F">
        <w:rPr>
          <w:rFonts w:eastAsia="Arial" w:cs="Arial"/>
          <w:sz w:val="20"/>
          <w:szCs w:val="20"/>
        </w:rPr>
        <w:t xml:space="preserve">uresničiti </w:t>
      </w:r>
      <w:r w:rsidRPr="00215B2F">
        <w:rPr>
          <w:rFonts w:eastAsia="Arial" w:cs="Arial"/>
          <w:sz w:val="20"/>
          <w:szCs w:val="20"/>
        </w:rPr>
        <w:t>finančno zavarovanje ali uveljaviti pravico predčasnega pobota v skladu z zakonom, ki ureja finančna zavarovanja;</w:t>
      </w:r>
    </w:p>
    <w:p w14:paraId="054C5F69" w14:textId="7DC2C20D" w:rsidR="00D91782" w:rsidRPr="00215B2F" w:rsidRDefault="00D91782" w:rsidP="003D4DE0">
      <w:pPr>
        <w:pStyle w:val="tevilnatoka"/>
        <w:numPr>
          <w:ilvl w:val="0"/>
          <w:numId w:val="235"/>
        </w:numPr>
        <w:shd w:val="clear" w:color="auto" w:fill="FFFFFF" w:themeFill="background1"/>
        <w:tabs>
          <w:tab w:val="clear" w:pos="425"/>
        </w:tabs>
        <w:rPr>
          <w:rFonts w:cs="Arial"/>
          <w:bCs/>
          <w:sz w:val="20"/>
          <w:szCs w:val="20"/>
        </w:rPr>
      </w:pPr>
      <w:r w:rsidRPr="00215B2F">
        <w:rPr>
          <w:rFonts w:eastAsia="Arial" w:cs="Arial"/>
          <w:sz w:val="20"/>
          <w:szCs w:val="20"/>
        </w:rPr>
        <w:t>postopek zaradi insolventnosti oziroma drug ukrep, ki izključuje ali omejuje izvršitev nalogov člana plačilnega sistema v skladu z zakonom, ki ureja plačilne storitve in sisteme.</w:t>
      </w:r>
    </w:p>
    <w:p w14:paraId="5977888C" w14:textId="77777777" w:rsidR="00802480" w:rsidRPr="00215B2F" w:rsidRDefault="00802480" w:rsidP="00FD5520">
      <w:pPr>
        <w:shd w:val="clear" w:color="auto" w:fill="FFFFFF" w:themeFill="background1"/>
        <w:spacing w:after="0" w:line="240" w:lineRule="auto"/>
        <w:jc w:val="both"/>
        <w:rPr>
          <w:rFonts w:ascii="Arial" w:eastAsia="Arial" w:hAnsi="Arial" w:cs="Arial"/>
          <w:sz w:val="20"/>
          <w:szCs w:val="20"/>
        </w:rPr>
      </w:pPr>
    </w:p>
    <w:p w14:paraId="5DF4E9C7" w14:textId="78C5DB3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Prejšnji odstavek se uporablja tudi za pogodbe, ki so jih sklenili:</w:t>
      </w:r>
    </w:p>
    <w:p w14:paraId="6B7F57F8"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675FAF45" w14:textId="2C31C8AA" w:rsidR="00566332" w:rsidRPr="00215B2F" w:rsidRDefault="00D91782" w:rsidP="003D4DE0">
      <w:pPr>
        <w:pStyle w:val="tevilnatoka"/>
        <w:numPr>
          <w:ilvl w:val="0"/>
          <w:numId w:val="236"/>
        </w:numPr>
        <w:shd w:val="clear" w:color="auto" w:fill="FFFFFF" w:themeFill="background1"/>
        <w:tabs>
          <w:tab w:val="clear" w:pos="425"/>
        </w:tabs>
        <w:rPr>
          <w:rFonts w:cs="Arial"/>
          <w:bCs/>
          <w:sz w:val="20"/>
          <w:szCs w:val="20"/>
        </w:rPr>
      </w:pPr>
      <w:r w:rsidRPr="00215B2F">
        <w:rPr>
          <w:rFonts w:eastAsia="Arial" w:cs="Arial"/>
          <w:sz w:val="20"/>
          <w:szCs w:val="20"/>
        </w:rPr>
        <w:t>podrejena družba v zvezi z obveznostmi, za katere jamči ali za katere se drugače zaveže banka ali njena nadrejena družba ali kateri koli subjekt v skupini ali</w:t>
      </w:r>
    </w:p>
    <w:p w14:paraId="3D729F9E" w14:textId="3C06AE76" w:rsidR="00D91782" w:rsidRPr="00215B2F" w:rsidRDefault="00D91782" w:rsidP="003D4DE0">
      <w:pPr>
        <w:pStyle w:val="tevilnatoka"/>
        <w:numPr>
          <w:ilvl w:val="0"/>
          <w:numId w:val="236"/>
        </w:numPr>
        <w:shd w:val="clear" w:color="auto" w:fill="FFFFFF" w:themeFill="background1"/>
        <w:tabs>
          <w:tab w:val="clear" w:pos="425"/>
        </w:tabs>
        <w:rPr>
          <w:rFonts w:cs="Arial"/>
          <w:bCs/>
          <w:sz w:val="20"/>
          <w:szCs w:val="20"/>
        </w:rPr>
      </w:pPr>
      <w:r w:rsidRPr="00215B2F">
        <w:rPr>
          <w:rFonts w:eastAsia="Arial" w:cs="Arial"/>
          <w:sz w:val="20"/>
          <w:szCs w:val="20"/>
        </w:rPr>
        <w:t>kateri koli subjekt v skupini, kadar pogodba vključuje klavzule o navzkrižni kršitvi.</w:t>
      </w:r>
    </w:p>
    <w:p w14:paraId="407F0AD1"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16238C7" w14:textId="453F8BA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Če se v primeru uporabe ukrepov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bistvene obveznosti iz pogodbe, ki jo je subjekt reševanja sklenil z nasprotno stranko, vključno z obveznostmi plačila in izročitve ter zagotavljanjem zavarovanja s premoženjem, še naprej izpolnjujejo v okviru sklenjene pogodbe, zgolj uporaba teh ukrepov sama po sebi ne omogoča, da bi kdor koli:</w:t>
      </w:r>
    </w:p>
    <w:p w14:paraId="76E32D38"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602915F7" w14:textId="443A5585" w:rsidR="00D91782" w:rsidRPr="00215B2F" w:rsidRDefault="00D91782" w:rsidP="003D4DE0">
      <w:pPr>
        <w:pStyle w:val="tevilnatoka"/>
        <w:numPr>
          <w:ilvl w:val="0"/>
          <w:numId w:val="237"/>
        </w:numPr>
        <w:shd w:val="clear" w:color="auto" w:fill="FFFFFF" w:themeFill="background1"/>
        <w:tabs>
          <w:tab w:val="clear" w:pos="425"/>
        </w:tabs>
        <w:rPr>
          <w:rFonts w:cs="Arial"/>
          <w:bCs/>
          <w:sz w:val="20"/>
          <w:szCs w:val="20"/>
        </w:rPr>
      </w:pPr>
      <w:r w:rsidRPr="00215B2F">
        <w:rPr>
          <w:rFonts w:eastAsia="Arial" w:cs="Arial"/>
          <w:sz w:val="20"/>
          <w:szCs w:val="20"/>
        </w:rPr>
        <w:t>izvajal pravice do odpovedi, mirovanja, spremembe, izravnave ali pobota, tudi za obveznosti v zvezi s pogodbo, ki jo je sklenila:</w:t>
      </w:r>
    </w:p>
    <w:p w14:paraId="2BE90E73" w14:textId="77777777"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podrejena družba, kadar za obveznosti jamči ali za katere se drugače zaveže subjekt v skupini,</w:t>
      </w:r>
    </w:p>
    <w:p w14:paraId="62ED376A" w14:textId="00B49C9E"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kateri koli subjekt v skupini, kadar pogodba vključuje klavzule o navzkrižni kršitvi;</w:t>
      </w:r>
    </w:p>
    <w:p w14:paraId="5EAE6ECA" w14:textId="77777777" w:rsidR="00566332" w:rsidRPr="00215B2F" w:rsidRDefault="00D91782" w:rsidP="002946BA">
      <w:pPr>
        <w:pStyle w:val="tevilnatoka"/>
        <w:rPr>
          <w:rFonts w:cs="Arial"/>
          <w:bCs/>
          <w:sz w:val="20"/>
          <w:szCs w:val="20"/>
        </w:rPr>
      </w:pPr>
      <w:r w:rsidRPr="00215B2F">
        <w:rPr>
          <w:rFonts w:eastAsia="Arial" w:cs="Arial"/>
          <w:sz w:val="20"/>
          <w:szCs w:val="20"/>
        </w:rPr>
        <w:t>pridobil lastništvo, izvajal nadzor ali uveljavljal jamstvo v zvezi s premoženjem subjekta reševanja ali katerega koli subjekta v skupini v zvezi s pogodbo, ki vključuje klavzule o navzkrižni kršitvi;</w:t>
      </w:r>
    </w:p>
    <w:p w14:paraId="148EE67B" w14:textId="27721578" w:rsidR="00D91782" w:rsidRPr="00215B2F" w:rsidRDefault="00D91782" w:rsidP="002946BA">
      <w:pPr>
        <w:pStyle w:val="tevilnatoka"/>
        <w:rPr>
          <w:rFonts w:cs="Arial"/>
          <w:bCs/>
          <w:sz w:val="20"/>
          <w:szCs w:val="20"/>
        </w:rPr>
      </w:pPr>
      <w:r w:rsidRPr="00215B2F">
        <w:rPr>
          <w:rFonts w:eastAsia="Arial" w:cs="Arial"/>
          <w:sz w:val="20"/>
          <w:szCs w:val="20"/>
        </w:rPr>
        <w:t>vplival na pogodbene pravice subjekta reševanja ali katerega koli drugega subjekta v skupini v zvezi s pogodbo, ki vključuje klavzule o navzkrižni kršitvi.</w:t>
      </w:r>
    </w:p>
    <w:p w14:paraId="3845DCE9"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492CCB95" w14:textId="1EB5F90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Določbe četrtega do šestega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ne vplivajo na pravico posameznika, da uresniči upravičenje iz prejšnjega odstavka, če razlog za uresničenje teh upravičenj ni izključno uporaba ukrepov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ampak </w:t>
      </w:r>
      <w:r w:rsidR="00852B38" w:rsidRPr="00215B2F">
        <w:rPr>
          <w:rFonts w:ascii="Arial" w:eastAsia="Arial" w:hAnsi="Arial" w:cs="Arial"/>
          <w:sz w:val="20"/>
          <w:szCs w:val="20"/>
        </w:rPr>
        <w:t xml:space="preserve">so </w:t>
      </w:r>
      <w:r w:rsidRPr="00215B2F">
        <w:rPr>
          <w:rFonts w:ascii="Arial" w:eastAsia="Arial" w:hAnsi="Arial" w:cs="Arial"/>
          <w:sz w:val="20"/>
          <w:szCs w:val="20"/>
        </w:rPr>
        <w:t>tudi druge okoliščine.</w:t>
      </w:r>
    </w:p>
    <w:p w14:paraId="568AF73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C3B860D"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08" w:name="_Ref202967223"/>
      <w:r w:rsidRPr="00215B2F">
        <w:rPr>
          <w:rFonts w:ascii="Arial" w:eastAsia="Arial" w:hAnsi="Arial" w:cs="Arial"/>
          <w:b/>
          <w:bCs/>
          <w:sz w:val="20"/>
          <w:szCs w:val="20"/>
        </w:rPr>
        <w:t>člen</w:t>
      </w:r>
      <w:bookmarkEnd w:id="408"/>
    </w:p>
    <w:p w14:paraId="44448839" w14:textId="77777777" w:rsidR="00D91782" w:rsidRPr="00215B2F" w:rsidRDefault="00D91782" w:rsidP="00FD5520">
      <w:pPr>
        <w:pStyle w:val="Slog1"/>
        <w:shd w:val="clear" w:color="auto" w:fill="FFFFFF" w:themeFill="background1"/>
        <w:rPr>
          <w:sz w:val="20"/>
          <w:szCs w:val="20"/>
        </w:rPr>
      </w:pPr>
      <w:r w:rsidRPr="00215B2F">
        <w:rPr>
          <w:sz w:val="20"/>
          <w:szCs w:val="20"/>
        </w:rPr>
        <w:t>(sklic skupščine banke)</w:t>
      </w:r>
    </w:p>
    <w:p w14:paraId="142ACEB9" w14:textId="77777777" w:rsidR="00D91782" w:rsidRPr="00215B2F" w:rsidRDefault="00D91782" w:rsidP="00FD5520">
      <w:pPr>
        <w:pStyle w:val="Slog1"/>
        <w:shd w:val="clear" w:color="auto" w:fill="FFFFFF" w:themeFill="background1"/>
        <w:jc w:val="both"/>
        <w:rPr>
          <w:sz w:val="20"/>
          <w:szCs w:val="20"/>
        </w:rPr>
      </w:pPr>
    </w:p>
    <w:p w14:paraId="49495BC9" w14:textId="51F9842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Banka Slovenije z odredbo na podlagi 4. točke prvega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upravi banke naloži, da v določenem roku skliče skupščino banke in predlaga sprejetje določenih ukrepov z namenom sanacije, se sklic skupščine banke, ne glede na </w:t>
      </w:r>
      <w:r w:rsidR="0082257C" w:rsidRPr="00215B2F">
        <w:rPr>
          <w:rFonts w:ascii="Arial" w:eastAsia="Arial" w:hAnsi="Arial" w:cs="Arial"/>
          <w:sz w:val="20"/>
          <w:szCs w:val="20"/>
        </w:rPr>
        <w:t xml:space="preserve">prvi odstavek </w:t>
      </w:r>
      <w:r w:rsidRPr="00215B2F">
        <w:rPr>
          <w:rFonts w:ascii="Arial" w:eastAsia="Arial" w:hAnsi="Arial" w:cs="Arial"/>
          <w:sz w:val="20"/>
          <w:szCs w:val="20"/>
        </w:rPr>
        <w:t xml:space="preserve">297. člen ZGD-1, objavi najmanj 15 dni pred skupščino. V objavi sklica skupščine mora uprava navesti, da se skupščina sklicuje na podlagi tega zakona in v skladu z zahtevami iz 4. točke prvega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w:t>
      </w:r>
    </w:p>
    <w:p w14:paraId="4DDDA07A"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E52F9ED" w14:textId="254E74A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Uprava banke mora najmanj osem dni pred nameravanim dnem objave sklica skupščine, ki bo odločala o predlogu na podlagi zahteve iz prejšnjega odstavka, predlog sklepov skupščine predložiti Banki Slovenije, ki lahko do objave sklica skupščine od uprave banke zahteva popravek predloga sklepov skupščine.</w:t>
      </w:r>
    </w:p>
    <w:p w14:paraId="0D62E095"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04AACA5" w14:textId="69FB592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uprava banke ne skliče skupščine banke, ki bi odločala o predlogu sklepov v skladu z zahtevo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lahko Banka Slovenije sama skliče skupščino banke ter ji predlaga povečanje osnovnega kapitala banke.</w:t>
      </w:r>
    </w:p>
    <w:p w14:paraId="3BA84D08"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BCE34F1" w14:textId="734F136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mora Banki Slovenije povrniti stroške, ki so nastali v zvezi s sklicem skupščine.</w:t>
      </w:r>
    </w:p>
    <w:p w14:paraId="30D1FD4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2EDA2A0"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09" w:name="_Ref202967230"/>
      <w:r w:rsidRPr="00215B2F">
        <w:rPr>
          <w:rFonts w:ascii="Arial" w:eastAsia="Arial" w:hAnsi="Arial" w:cs="Arial"/>
          <w:b/>
          <w:bCs/>
          <w:sz w:val="20"/>
          <w:szCs w:val="20"/>
        </w:rPr>
        <w:t>člen</w:t>
      </w:r>
      <w:bookmarkEnd w:id="409"/>
    </w:p>
    <w:p w14:paraId="021CAA1A" w14:textId="77777777" w:rsidR="00D91782" w:rsidRPr="00215B2F" w:rsidRDefault="00D91782" w:rsidP="00FD5520">
      <w:pPr>
        <w:pStyle w:val="Slog1"/>
        <w:shd w:val="clear" w:color="auto" w:fill="FFFFFF" w:themeFill="background1"/>
        <w:rPr>
          <w:sz w:val="20"/>
          <w:szCs w:val="20"/>
        </w:rPr>
      </w:pPr>
      <w:r w:rsidRPr="00215B2F">
        <w:rPr>
          <w:sz w:val="20"/>
          <w:szCs w:val="20"/>
        </w:rPr>
        <w:t>(odločanje skupščine o predlogu sklepov v skladu z zahtevo)</w:t>
      </w:r>
    </w:p>
    <w:p w14:paraId="20B65155" w14:textId="77777777" w:rsidR="00D91782" w:rsidRPr="00215B2F" w:rsidRDefault="00D91782" w:rsidP="00FD5520">
      <w:pPr>
        <w:pStyle w:val="Slog1"/>
        <w:shd w:val="clear" w:color="auto" w:fill="FFFFFF" w:themeFill="background1"/>
        <w:jc w:val="both"/>
        <w:rPr>
          <w:sz w:val="20"/>
          <w:szCs w:val="20"/>
        </w:rPr>
      </w:pPr>
    </w:p>
    <w:p w14:paraId="0D5AF1F7" w14:textId="7EBA053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Ne glede na 300. člen ZGD-1 delničarji banke ne morejo dajati predlogov sklepov k točkam dnevnega reda, ki so vezane na predloge sklepov skupščine, določene v skladu z zahtevo iz 4. točke prvega odstavka </w:t>
      </w:r>
      <w:r w:rsidR="00FE757E" w:rsidRPr="00215B2F">
        <w:rPr>
          <w:rFonts w:ascii="Arial" w:eastAsia="Arial" w:hAnsi="Arial" w:cs="Arial"/>
          <w:sz w:val="20"/>
          <w:szCs w:val="20"/>
        </w:rPr>
        <w:t>348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7F3D7219"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501512A" w14:textId="4166FCE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Kadar drug zakon ali statut banke za sprejetje </w:t>
      </w:r>
      <w:r w:rsidR="00536D08" w:rsidRPr="00215B2F">
        <w:rPr>
          <w:rFonts w:ascii="Arial" w:eastAsia="Arial" w:hAnsi="Arial" w:cs="Arial"/>
          <w:sz w:val="20"/>
          <w:szCs w:val="20"/>
        </w:rPr>
        <w:t>posamez</w:t>
      </w:r>
      <w:r w:rsidRPr="00215B2F">
        <w:rPr>
          <w:rFonts w:ascii="Arial" w:eastAsia="Arial" w:hAnsi="Arial" w:cs="Arial"/>
          <w:sz w:val="20"/>
          <w:szCs w:val="20"/>
        </w:rPr>
        <w:t xml:space="preserve">ne odločitve na skupščini določa ločeno glasovanje z izrednim sklepom, se ne glede na določbe zakona ali statuta v primeru odločanja o predlogih sklepov, določenih v skladu z zahtevo iz 4. točke prvega odstavka </w:t>
      </w:r>
      <w:r w:rsidR="00FE757E" w:rsidRPr="00215B2F">
        <w:rPr>
          <w:rFonts w:ascii="Arial" w:eastAsia="Arial" w:hAnsi="Arial" w:cs="Arial"/>
          <w:sz w:val="20"/>
          <w:szCs w:val="20"/>
        </w:rPr>
        <w:t>348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glasovanje izvede na skupnem zasedanju skupščine.</w:t>
      </w:r>
    </w:p>
    <w:p w14:paraId="65BC0136"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4E93C08D" w14:textId="2700EF6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Kadar skupščina banke odloča o predlogih ukrepov v skladu z zahtevo iz 4. točke prvega odstavka </w:t>
      </w:r>
      <w:r w:rsidR="00FE757E" w:rsidRPr="00215B2F">
        <w:rPr>
          <w:rFonts w:ascii="Arial" w:eastAsia="Arial" w:hAnsi="Arial" w:cs="Arial"/>
          <w:sz w:val="20"/>
          <w:szCs w:val="20"/>
        </w:rPr>
        <w:t>348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ki vključujejo ukrepe za povečanje osnovnega kapitala banke ali spremembe statuta, ki so nujne za izvedbo ukrepov sanacije, je tak sklep veljavno sprejet, če je potrjen z navadno večino pri odločanju zastopanega kapitala, pod pogojem, da je na skupščini zastopana najmanj polovica vpisanega kapitala z glasovalno pravico, v nasprotnem primeru pa z dvema tretjinama pri odločanju </w:t>
      </w:r>
      <w:r w:rsidRPr="00215B2F">
        <w:rPr>
          <w:rFonts w:ascii="Arial" w:eastAsia="Arial" w:hAnsi="Arial" w:cs="Arial"/>
          <w:sz w:val="20"/>
          <w:szCs w:val="20"/>
        </w:rPr>
        <w:lastRenderedPageBreak/>
        <w:t>zastopanega kapitala z glasovalno pravico. Za odločanje skupščine iz prejšnjega stavka se ne uporabljajo določbe ZGD-1 ali statuta, ki določajo višje zahteve za veljavnost takega sklepa.</w:t>
      </w:r>
    </w:p>
    <w:p w14:paraId="0D5128EF"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54ECAA6" w14:textId="69EC1E5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V primeru, ko uprava banke v zvezi z zahtevo iz 4. točke prvega odstavka </w:t>
      </w:r>
      <w:r w:rsidR="00FE757E" w:rsidRPr="00215B2F">
        <w:rPr>
          <w:rFonts w:ascii="Arial" w:eastAsia="Arial" w:hAnsi="Arial" w:cs="Arial"/>
          <w:sz w:val="20"/>
          <w:szCs w:val="20"/>
        </w:rPr>
        <w:t>348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predlaga skupščini poenostavljeno zmanjšanje osnovnega kapitala zaradi prenosa zneskov v kapitalske rezerve, se tako zmanjšanje osnovnega kapitala banke lahko izvede ne glede na pogoje iz drugega odstavka 379. člena ZGD-1.</w:t>
      </w:r>
    </w:p>
    <w:p w14:paraId="0CAE6D08"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AC10B97" w14:textId="60B0574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Če uprava banke na podlagi zahteve iz 4. točke prvega odstavka </w:t>
      </w:r>
      <w:r w:rsidR="00FE757E" w:rsidRPr="00215B2F">
        <w:rPr>
          <w:rFonts w:ascii="Arial" w:eastAsia="Arial" w:hAnsi="Arial" w:cs="Arial"/>
          <w:sz w:val="20"/>
          <w:szCs w:val="20"/>
        </w:rPr>
        <w:t>348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z namenom povečanja kapitala banke predlaga izdajo instrumenta, ki vključuje izključno opcijo banke do zamenjave imetnikovega instrumenta za delnice banke, je tak sklep na skupščini banke veljavno sprejet, če je sprejet z navadno večino pri odločanju zastopanega kapitala, če je zastopana najmanj polovica vpisanega kapitala z glasovalno pravico, v nasprotnem primeru pa z dvema tretjinama pri odločanju zastopanega kapitala z glasovalno pravico.</w:t>
      </w:r>
    </w:p>
    <w:p w14:paraId="32DBA865"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2AE645B2" w14:textId="0D5C8EB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Pooblastilo upravi za izdajo instrumentov iz prejšnjega odstavka na podlagi skupščinskega sklepa velja največ eno leto.</w:t>
      </w:r>
    </w:p>
    <w:p w14:paraId="169FD935"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5F0C8D16" w14:textId="13F2A73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Če uprava banke na podlagi zahteve iz 4. točke prvega odstavka </w:t>
      </w:r>
      <w:r w:rsidR="00FE757E" w:rsidRPr="00215B2F">
        <w:rPr>
          <w:rFonts w:ascii="Arial" w:eastAsia="Arial" w:hAnsi="Arial" w:cs="Arial"/>
          <w:sz w:val="20"/>
          <w:szCs w:val="20"/>
        </w:rPr>
        <w:t>348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skupščini predlaga povečanje osnovnega kapitala banke tako, da se nove delnice banke ponudijo izključno obstoječim delničarjem banke in znanim upnikom banke iz naslova kvalificiranih obveznosti banke, se taka ponudba ne šteje kot ponudba vrednostnih papirjev javnosti in se za tako ponudbo ne uporabljajo določbe Uredbe 2017/1129/EU glede obvezne objave prospekta.</w:t>
      </w:r>
    </w:p>
    <w:p w14:paraId="7F8D738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0953F5B"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10" w:name="_Ref202967240"/>
      <w:r w:rsidRPr="00215B2F">
        <w:rPr>
          <w:rFonts w:ascii="Arial" w:eastAsia="Arial" w:hAnsi="Arial" w:cs="Arial"/>
          <w:b/>
          <w:bCs/>
          <w:sz w:val="20"/>
          <w:szCs w:val="20"/>
        </w:rPr>
        <w:t>člen</w:t>
      </w:r>
      <w:bookmarkEnd w:id="410"/>
    </w:p>
    <w:p w14:paraId="79E1B589" w14:textId="77777777" w:rsidR="00D91782" w:rsidRPr="00215B2F" w:rsidRDefault="00D91782" w:rsidP="00FD5520">
      <w:pPr>
        <w:pStyle w:val="Slog1"/>
        <w:shd w:val="clear" w:color="auto" w:fill="FFFFFF" w:themeFill="background1"/>
        <w:rPr>
          <w:sz w:val="20"/>
          <w:szCs w:val="20"/>
        </w:rPr>
      </w:pPr>
      <w:r w:rsidRPr="00215B2F">
        <w:rPr>
          <w:sz w:val="20"/>
          <w:szCs w:val="20"/>
        </w:rPr>
        <w:t>(povečanje osnovnega kapitala banke s stvarnimi vložki)</w:t>
      </w:r>
    </w:p>
    <w:p w14:paraId="62FE5316" w14:textId="77777777" w:rsidR="00D91782" w:rsidRPr="00215B2F" w:rsidRDefault="00D91782" w:rsidP="00FD5520">
      <w:pPr>
        <w:pStyle w:val="Slog1"/>
        <w:shd w:val="clear" w:color="auto" w:fill="FFFFFF" w:themeFill="background1"/>
        <w:jc w:val="both"/>
        <w:rPr>
          <w:sz w:val="20"/>
          <w:szCs w:val="20"/>
        </w:rPr>
      </w:pPr>
    </w:p>
    <w:p w14:paraId="51C658D2" w14:textId="4F52AA7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Uprava banke lahko v zvezi z ukrepi za povečanje osnovnega kapitala banke v skladu z zahtevo iz 4. točke prvega odstavka </w:t>
      </w:r>
      <w:r w:rsidR="00FE757E" w:rsidRPr="00215B2F">
        <w:rPr>
          <w:rFonts w:ascii="Arial" w:eastAsia="Arial" w:hAnsi="Arial" w:cs="Arial"/>
          <w:sz w:val="20"/>
          <w:szCs w:val="20"/>
        </w:rPr>
        <w:t>348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predlaga skupščini povečanje osnovnega kapitala z novimi stvarnimi vložki.</w:t>
      </w:r>
    </w:p>
    <w:p w14:paraId="0825E39E"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414A445C" w14:textId="44944B9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V primeru iz prejšnjega odstavka se ne uporabljajo določbe drugega in tretjega odstavka 334. člena ZGD-1. Banka Slovenije lahko od uprave banke zahteva, da pred sklicem skupščine povečanje osnovnega kapitala s stvarnimi vložki pregleda pooblaščeni revizor, če obstaja dvom o vrednosti stvarnega vložka v času njegovega prispevanja.</w:t>
      </w:r>
    </w:p>
    <w:p w14:paraId="01D43224"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592D4F9E" w14:textId="4A7B937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Predlog sklepa skupščine za povečanje osnovnega kapitala banke s stvarnimi vložki mora vključevati:</w:t>
      </w:r>
    </w:p>
    <w:p w14:paraId="21516425"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55D374F8" w14:textId="77777777" w:rsidR="00566332" w:rsidRPr="00215B2F" w:rsidRDefault="00D91782" w:rsidP="003D4DE0">
      <w:pPr>
        <w:pStyle w:val="tevilnatoka"/>
        <w:numPr>
          <w:ilvl w:val="0"/>
          <w:numId w:val="238"/>
        </w:numPr>
        <w:shd w:val="clear" w:color="auto" w:fill="FFFFFF" w:themeFill="background1"/>
        <w:tabs>
          <w:tab w:val="clear" w:pos="425"/>
        </w:tabs>
        <w:rPr>
          <w:rFonts w:cs="Arial"/>
          <w:bCs/>
          <w:sz w:val="20"/>
          <w:szCs w:val="20"/>
        </w:rPr>
      </w:pPr>
      <w:r w:rsidRPr="00215B2F">
        <w:rPr>
          <w:rFonts w:eastAsia="Arial" w:cs="Arial"/>
          <w:sz w:val="20"/>
          <w:szCs w:val="20"/>
        </w:rPr>
        <w:t>opis predmeta stvarnega vložka in osebo, od katere bo stvarni vložek pridobljen;</w:t>
      </w:r>
    </w:p>
    <w:p w14:paraId="4EBBBE89" w14:textId="77777777" w:rsidR="00566332" w:rsidRPr="00215B2F" w:rsidRDefault="00D91782" w:rsidP="003D4DE0">
      <w:pPr>
        <w:pStyle w:val="tevilnatoka"/>
        <w:numPr>
          <w:ilvl w:val="0"/>
          <w:numId w:val="238"/>
        </w:numPr>
        <w:shd w:val="clear" w:color="auto" w:fill="FFFFFF" w:themeFill="background1"/>
        <w:tabs>
          <w:tab w:val="clear" w:pos="425"/>
        </w:tabs>
        <w:rPr>
          <w:rFonts w:cs="Arial"/>
          <w:bCs/>
          <w:sz w:val="20"/>
          <w:szCs w:val="20"/>
        </w:rPr>
      </w:pPr>
      <w:r w:rsidRPr="00215B2F">
        <w:rPr>
          <w:rFonts w:eastAsia="Arial" w:cs="Arial"/>
          <w:sz w:val="20"/>
          <w:szCs w:val="20"/>
        </w:rPr>
        <w:t>število delnic ali nominalno vrednost delnic, ki bodo izdane na podlagi vplačila stvarnega vložka;</w:t>
      </w:r>
    </w:p>
    <w:p w14:paraId="400D533A" w14:textId="5955E194" w:rsidR="00D91782" w:rsidRPr="00215B2F" w:rsidRDefault="00D91782" w:rsidP="003D4DE0">
      <w:pPr>
        <w:pStyle w:val="tevilnatoka"/>
        <w:numPr>
          <w:ilvl w:val="0"/>
          <w:numId w:val="238"/>
        </w:numPr>
        <w:shd w:val="clear" w:color="auto" w:fill="FFFFFF" w:themeFill="background1"/>
        <w:tabs>
          <w:tab w:val="clear" w:pos="425"/>
        </w:tabs>
        <w:rPr>
          <w:rFonts w:cs="Arial"/>
          <w:bCs/>
          <w:sz w:val="20"/>
          <w:szCs w:val="20"/>
        </w:rPr>
      </w:pPr>
      <w:r w:rsidRPr="00215B2F">
        <w:rPr>
          <w:rFonts w:eastAsia="Arial" w:cs="Arial"/>
          <w:sz w:val="20"/>
          <w:szCs w:val="20"/>
        </w:rPr>
        <w:t>izjavo imetnika predmeta stvarnega vložka, da bo predmet stvarnega vložka po potrditvi sklepa o povečanju osnovnega kapitala banke prenesel na banko.</w:t>
      </w:r>
    </w:p>
    <w:p w14:paraId="6C5BF3F5"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5A3EB1C2" w14:textId="2A6B2AF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Če je predmet stvarnega vložka terjatev, mora predlog iz prejšnjega odstavka vsebovati izjavo upnika o vpisu in vplačilu novih delnic s prenosom terjatve na banko pod odložnim pogojem, če bo predlagani sklep o povečanju osnovnega kapitala banke s stvarnimi vložki veljavno potrjen na skupščini banke.</w:t>
      </w:r>
    </w:p>
    <w:p w14:paraId="55EE1A13"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32364994" w14:textId="5F0699B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Če je predmet stvarnega vložka terjatev, ki je zavarovana s stvarno ali obligacijsko pravico, morajo biti k izjavi priložene listine, ki zagotavljajo učinke takega zavarovanja tudi v razmerju do banke, razen če ti učinki nastanejo za banko že na podlagi zakona.</w:t>
      </w:r>
    </w:p>
    <w:p w14:paraId="42FA4507"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67B16E08" w14:textId="3F949A8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Če so predmet stvarnega vložka vrednostni papirji ali drugo premoženje, na katerem je z vpisom v register ustanovljena zastavna pravica ali druga stvarna pravica v korist tretjega, morajo biti k izjavi priložene ustrezne listine, ki banki brezpogojno in nemudoma dovoljujejo izbris teh pravic v ustreznem registru.</w:t>
      </w:r>
    </w:p>
    <w:p w14:paraId="1CD71CB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3769E30"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11" w:name="_Ref202967245"/>
      <w:r w:rsidRPr="00215B2F">
        <w:rPr>
          <w:rFonts w:ascii="Arial" w:eastAsia="Arial" w:hAnsi="Arial" w:cs="Arial"/>
          <w:b/>
          <w:bCs/>
          <w:sz w:val="20"/>
          <w:szCs w:val="20"/>
        </w:rPr>
        <w:t>člen</w:t>
      </w:r>
      <w:bookmarkEnd w:id="411"/>
    </w:p>
    <w:p w14:paraId="106337B2" w14:textId="77777777" w:rsidR="00D91782" w:rsidRPr="00215B2F" w:rsidRDefault="00D91782" w:rsidP="00FD5520">
      <w:pPr>
        <w:pStyle w:val="Slog1"/>
        <w:shd w:val="clear" w:color="auto" w:fill="FFFFFF" w:themeFill="background1"/>
        <w:rPr>
          <w:sz w:val="20"/>
          <w:szCs w:val="20"/>
        </w:rPr>
      </w:pPr>
      <w:r w:rsidRPr="00215B2F">
        <w:rPr>
          <w:sz w:val="20"/>
          <w:szCs w:val="20"/>
        </w:rPr>
        <w:t>(posebna revizija, ničnost in izpodbojnost)</w:t>
      </w:r>
    </w:p>
    <w:p w14:paraId="495C52BF" w14:textId="77777777" w:rsidR="00D91782" w:rsidRPr="00215B2F" w:rsidRDefault="00D91782" w:rsidP="00FD5520">
      <w:pPr>
        <w:pStyle w:val="Slog1"/>
        <w:shd w:val="clear" w:color="auto" w:fill="FFFFFF" w:themeFill="background1"/>
        <w:jc w:val="both"/>
        <w:rPr>
          <w:sz w:val="20"/>
          <w:szCs w:val="20"/>
        </w:rPr>
      </w:pPr>
    </w:p>
    <w:p w14:paraId="75DF543B" w14:textId="316344A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(1) Sodišče v skladu s 318. členom ZGD-1 imenuje posebnega revizorja zaradi preveritve postopkov povečanja osnovnega kapitala banke, ki so bili izvedeni na podlagi zahteve v skladu s 4. točko prvega odstavka </w:t>
      </w:r>
      <w:r w:rsidR="00FE757E" w:rsidRPr="00215B2F">
        <w:rPr>
          <w:rFonts w:ascii="Arial" w:eastAsia="Arial" w:hAnsi="Arial" w:cs="Arial"/>
          <w:sz w:val="20"/>
          <w:szCs w:val="20"/>
        </w:rPr>
        <w:t>348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če delničarji, ki predlagajo sodišču imenovanje posebnega revizorja, založijo predujem za kritje stroškov posebne revizije. V tem primeru se ne uporablja šesti odstavek 318. člena ZGD-1.</w:t>
      </w:r>
    </w:p>
    <w:p w14:paraId="447109DF"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3AF5C63" w14:textId="78C7B93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V zvezi s skupščinskim sklepom, ki je bil sprejet na skupščini z upoštevanjem </w:t>
      </w:r>
      <w:r w:rsidR="00FE757E" w:rsidRPr="00215B2F">
        <w:rPr>
          <w:rFonts w:ascii="Arial" w:eastAsia="Arial" w:hAnsi="Arial" w:cs="Arial"/>
          <w:sz w:val="20"/>
          <w:szCs w:val="20"/>
        </w:rPr>
        <w:t>349</w:t>
      </w:r>
      <w:r w:rsidRPr="00215B2F">
        <w:rPr>
          <w:rFonts w:ascii="Arial" w:eastAsia="Arial" w:hAnsi="Arial" w:cs="Arial"/>
          <w:sz w:val="20"/>
          <w:szCs w:val="20"/>
        </w:rPr>
        <w:t xml:space="preserve">. do </w:t>
      </w:r>
      <w:r w:rsidR="00FE757E" w:rsidRPr="00215B2F">
        <w:rPr>
          <w:rFonts w:ascii="Arial" w:eastAsia="Arial" w:hAnsi="Arial" w:cs="Arial"/>
          <w:sz w:val="20"/>
          <w:szCs w:val="20"/>
        </w:rPr>
        <w:t>351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ni mogoče uveljavljati ničnosti na podlagi prve in tretje alineje 390. člena ZGD-1.</w:t>
      </w:r>
    </w:p>
    <w:p w14:paraId="7917091B"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49780CAB" w14:textId="1B43D10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Skupščinskega sklepa iz prejšnjega odstavka, ki je bil sprejet z večino glasov iz </w:t>
      </w:r>
      <w:r w:rsidR="00FE757E" w:rsidRPr="00215B2F">
        <w:rPr>
          <w:rFonts w:ascii="Arial" w:eastAsia="Arial" w:hAnsi="Arial" w:cs="Arial"/>
          <w:sz w:val="20"/>
          <w:szCs w:val="20"/>
        </w:rPr>
        <w:t>350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ni mogoče izpodbijati iz razloga, </w:t>
      </w:r>
      <w:r w:rsidR="003E7EDE" w:rsidRPr="00215B2F">
        <w:rPr>
          <w:rFonts w:ascii="Arial" w:eastAsia="Arial" w:hAnsi="Arial" w:cs="Arial"/>
          <w:sz w:val="20"/>
          <w:szCs w:val="20"/>
        </w:rPr>
        <w:t xml:space="preserve">da </w:t>
      </w:r>
      <w:r w:rsidRPr="00215B2F">
        <w:rPr>
          <w:rFonts w:ascii="Arial" w:eastAsia="Arial" w:hAnsi="Arial" w:cs="Arial"/>
          <w:sz w:val="20"/>
          <w:szCs w:val="20"/>
        </w:rPr>
        <w:t>sklep ni bil sprejet z večino, kakor je določena v statutu banke.</w:t>
      </w:r>
      <w:r w:rsidR="00FE757E" w:rsidRPr="00215B2F">
        <w:rPr>
          <w:rFonts w:ascii="Arial" w:eastAsia="Arial" w:hAnsi="Arial" w:cs="Arial"/>
          <w:sz w:val="20"/>
          <w:szCs w:val="20"/>
        </w:rPr>
        <w:t xml:space="preserve"> </w:t>
      </w:r>
    </w:p>
    <w:p w14:paraId="00614B73"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D8AD9A2" w14:textId="4F60E61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Skupščinskega sklepa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o povečanju osnovnega kapitala banke ni mogoče izpodbijati iz razlogov iz drugega odstavka 400. člena ZGD-1.</w:t>
      </w:r>
    </w:p>
    <w:p w14:paraId="358336F8"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2CBE9B3" w14:textId="793B531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Uveljavljanje izpodbojnosti sklepa skupščine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ne zadrži njegove uveljavitve. Če sodišče v postopku izpodbijanja ugotovi, da so podani izpodbojni razlogi in bi moral biti sklep razveljavljen, sklepa ne razveljavi, ampak zgolj ugotovi obstoj izpodbojnih razlogov. Delničarji, ki so uveljavljali izpodbojnost sklepa</w:t>
      </w:r>
      <w:r w:rsidR="003E7EDE" w:rsidRPr="00215B2F">
        <w:rPr>
          <w:rFonts w:ascii="Arial" w:eastAsia="Arial" w:hAnsi="Arial" w:cs="Arial"/>
          <w:sz w:val="20"/>
          <w:szCs w:val="20"/>
        </w:rPr>
        <w:t>,</w:t>
      </w:r>
      <w:r w:rsidRPr="00215B2F">
        <w:rPr>
          <w:rFonts w:ascii="Arial" w:eastAsia="Arial" w:hAnsi="Arial" w:cs="Arial"/>
          <w:sz w:val="20"/>
          <w:szCs w:val="20"/>
        </w:rPr>
        <w:t xml:space="preserve"> lahko na podlagi odločitve sodišča o obstoju izpodbojnih razlogov uveljavljajo morebitne odškodninske zahtevke v pravdi.</w:t>
      </w:r>
    </w:p>
    <w:p w14:paraId="13D16DAB"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468F37D"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12" w:name="_Ref202967251"/>
      <w:r w:rsidRPr="00215B2F">
        <w:rPr>
          <w:rFonts w:ascii="Arial" w:eastAsia="Arial" w:hAnsi="Arial" w:cs="Arial"/>
          <w:b/>
          <w:bCs/>
          <w:sz w:val="20"/>
          <w:szCs w:val="20"/>
        </w:rPr>
        <w:t>člen</w:t>
      </w:r>
      <w:bookmarkEnd w:id="412"/>
    </w:p>
    <w:p w14:paraId="475853F2" w14:textId="77777777" w:rsidR="00D91782" w:rsidRPr="00215B2F" w:rsidRDefault="00D91782" w:rsidP="00FD5520">
      <w:pPr>
        <w:pStyle w:val="Slog1"/>
        <w:shd w:val="clear" w:color="auto" w:fill="FFFFFF" w:themeFill="background1"/>
        <w:rPr>
          <w:sz w:val="20"/>
          <w:szCs w:val="20"/>
        </w:rPr>
      </w:pPr>
      <w:r w:rsidRPr="00215B2F">
        <w:rPr>
          <w:sz w:val="20"/>
          <w:szCs w:val="20"/>
        </w:rPr>
        <w:t>(razrešitev članov upravljalnega organa in višjega vodstva banke)</w:t>
      </w:r>
    </w:p>
    <w:p w14:paraId="2299353F" w14:textId="77777777" w:rsidR="00D91782" w:rsidRPr="00215B2F" w:rsidRDefault="00D91782" w:rsidP="00FD5520">
      <w:pPr>
        <w:pStyle w:val="Slog1"/>
        <w:shd w:val="clear" w:color="auto" w:fill="FFFFFF" w:themeFill="background1"/>
        <w:jc w:val="both"/>
        <w:rPr>
          <w:sz w:val="20"/>
          <w:szCs w:val="20"/>
        </w:rPr>
      </w:pPr>
    </w:p>
    <w:p w14:paraId="6A9C6C8E" w14:textId="45756DF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lahko z odredbo na podlagi 5. točke prvega odstavka </w:t>
      </w:r>
      <w:r w:rsidR="00FE757E" w:rsidRPr="00215B2F">
        <w:rPr>
          <w:rFonts w:ascii="Arial" w:eastAsia="Arial" w:hAnsi="Arial" w:cs="Arial"/>
          <w:sz w:val="20"/>
          <w:szCs w:val="20"/>
        </w:rPr>
        <w:t>348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zahteva razrešitev ali zamenjavo posameznega </w:t>
      </w:r>
      <w:r w:rsidR="001C53AE" w:rsidRPr="00215B2F">
        <w:rPr>
          <w:rFonts w:ascii="Arial" w:eastAsia="Arial" w:hAnsi="Arial" w:cs="Arial"/>
          <w:sz w:val="20"/>
          <w:szCs w:val="20"/>
        </w:rPr>
        <w:t xml:space="preserve">člana </w:t>
      </w:r>
      <w:r w:rsidRPr="00215B2F">
        <w:rPr>
          <w:rFonts w:ascii="Arial" w:eastAsia="Arial" w:hAnsi="Arial" w:cs="Arial"/>
          <w:sz w:val="20"/>
          <w:szCs w:val="20"/>
        </w:rPr>
        <w:t xml:space="preserve">ali več članov upravljalnega organa ali višjega vodstva banke, če te osebe z upoštevanjem meril iz </w:t>
      </w:r>
      <w:r w:rsidR="00FE757E" w:rsidRPr="00215B2F">
        <w:rPr>
          <w:rFonts w:ascii="Arial" w:eastAsia="Arial" w:hAnsi="Arial" w:cs="Arial"/>
          <w:sz w:val="20"/>
          <w:szCs w:val="20"/>
        </w:rPr>
        <w:t>54</w:t>
      </w:r>
      <w:r w:rsidRPr="00215B2F">
        <w:rPr>
          <w:rFonts w:ascii="Arial" w:eastAsia="Arial" w:hAnsi="Arial" w:cs="Arial"/>
          <w:sz w:val="20"/>
          <w:szCs w:val="20"/>
        </w:rPr>
        <w:t xml:space="preserve">. oziroma </w:t>
      </w:r>
      <w:r w:rsidR="00FE757E" w:rsidRPr="00215B2F">
        <w:rPr>
          <w:rFonts w:ascii="Arial" w:eastAsia="Arial" w:hAnsi="Arial" w:cs="Arial"/>
          <w:sz w:val="20"/>
          <w:szCs w:val="20"/>
        </w:rPr>
        <w:t>69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niso primerne za opravljanje nalog v zvezi z odpravo kršitev v banki.</w:t>
      </w:r>
    </w:p>
    <w:p w14:paraId="726941D7"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DFD660C" w14:textId="3C49B31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lahko ne glede na prejšnji odstavek z odredbo zahteva razrešitev vseh ali posameznih članov upravljalnega organa banke ali višjega vodstva v banki tudi, če:</w:t>
      </w:r>
    </w:p>
    <w:p w14:paraId="52665EA5"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E0B0C51" w14:textId="0CEBF349" w:rsidR="00566332" w:rsidRPr="00215B2F" w:rsidRDefault="00D91782" w:rsidP="003D4DE0">
      <w:pPr>
        <w:pStyle w:val="tevilnatoka"/>
        <w:numPr>
          <w:ilvl w:val="0"/>
          <w:numId w:val="239"/>
        </w:numPr>
        <w:shd w:val="clear" w:color="auto" w:fill="FFFFFF" w:themeFill="background1"/>
        <w:tabs>
          <w:tab w:val="clear" w:pos="425"/>
        </w:tabs>
        <w:rPr>
          <w:rFonts w:cs="Arial"/>
          <w:bCs/>
          <w:sz w:val="20"/>
          <w:szCs w:val="20"/>
        </w:rPr>
      </w:pPr>
      <w:r w:rsidRPr="00215B2F">
        <w:rPr>
          <w:rFonts w:eastAsia="Arial" w:cs="Arial"/>
          <w:sz w:val="20"/>
          <w:szCs w:val="20"/>
        </w:rPr>
        <w:t xml:space="preserve">so v banki </w:t>
      </w:r>
      <w:r w:rsidR="001C53AE" w:rsidRPr="00215B2F">
        <w:rPr>
          <w:rFonts w:eastAsia="Arial" w:cs="Arial"/>
          <w:sz w:val="20"/>
          <w:szCs w:val="20"/>
        </w:rPr>
        <w:t>ugotovlje</w:t>
      </w:r>
      <w:r w:rsidRPr="00215B2F">
        <w:rPr>
          <w:rFonts w:eastAsia="Arial" w:cs="Arial"/>
          <w:sz w:val="20"/>
          <w:szCs w:val="20"/>
        </w:rPr>
        <w:t xml:space="preserve">ne okoliščine, ki kažejo na znatno poslabšanje finančnega položaja banke ali na hude kršitve predpisov iz </w:t>
      </w:r>
      <w:r w:rsidR="008A0163" w:rsidRPr="00215B2F">
        <w:rPr>
          <w:rFonts w:eastAsia="Arial" w:cs="Arial"/>
          <w:sz w:val="20"/>
          <w:szCs w:val="20"/>
        </w:rPr>
        <w:t xml:space="preserve">tretjega </w:t>
      </w:r>
      <w:r w:rsidRPr="00215B2F">
        <w:rPr>
          <w:rFonts w:eastAsia="Arial" w:cs="Arial"/>
          <w:sz w:val="20"/>
          <w:szCs w:val="20"/>
        </w:rPr>
        <w:t xml:space="preserve">odstavka 9. </w:t>
      </w:r>
      <w:r w:rsidR="001F2C7A" w:rsidRPr="00215B2F">
        <w:rPr>
          <w:rFonts w:eastAsia="Arial" w:cs="Arial"/>
          <w:sz w:val="20"/>
          <w:szCs w:val="20"/>
        </w:rPr>
        <w:t>člena tega zakona</w:t>
      </w:r>
      <w:r w:rsidRPr="00215B2F">
        <w:rPr>
          <w:rFonts w:eastAsia="Arial" w:cs="Arial"/>
          <w:sz w:val="20"/>
          <w:szCs w:val="20"/>
        </w:rPr>
        <w:t xml:space="preserve"> ali internih ureditev v banki;</w:t>
      </w:r>
    </w:p>
    <w:p w14:paraId="3EB0F1E2" w14:textId="37D390CD" w:rsidR="00D91782" w:rsidRPr="00215B2F" w:rsidRDefault="00D91782" w:rsidP="003D4DE0">
      <w:pPr>
        <w:pStyle w:val="tevilnatoka"/>
        <w:numPr>
          <w:ilvl w:val="0"/>
          <w:numId w:val="239"/>
        </w:numPr>
        <w:shd w:val="clear" w:color="auto" w:fill="FFFFFF" w:themeFill="background1"/>
        <w:tabs>
          <w:tab w:val="clear" w:pos="425"/>
        </w:tabs>
        <w:rPr>
          <w:rFonts w:cs="Arial"/>
          <w:bCs/>
          <w:sz w:val="20"/>
          <w:szCs w:val="20"/>
        </w:rPr>
      </w:pPr>
      <w:r w:rsidRPr="00215B2F">
        <w:rPr>
          <w:rFonts w:eastAsia="Arial" w:cs="Arial"/>
          <w:sz w:val="20"/>
          <w:szCs w:val="20"/>
        </w:rPr>
        <w:t xml:space="preserve">ukrepi zgodnjega posredovanja iz </w:t>
      </w:r>
      <w:r w:rsidR="00FE757E" w:rsidRPr="00215B2F">
        <w:rPr>
          <w:rFonts w:eastAsia="Arial" w:cs="Arial"/>
          <w:sz w:val="20"/>
          <w:szCs w:val="20"/>
        </w:rPr>
        <w:t>348</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ne zadoščajo za izboljšanje finančnega položaja banke ali da se ustrezno odpravijo kršitve.</w:t>
      </w:r>
    </w:p>
    <w:p w14:paraId="08FA3A99"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253C3E0D" w14:textId="45D6CEC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mora v zvezi z ukrepom iz prvega ali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glede razrešitve ali zamenjave članov upravljalnega organa ali višjega vodstva pred novim imenovanjem posameznega člana upravljalnega organa ali višjega vodstva o predlogu za imenovanje obvestiti Banko Slovenije, ki lahko v petih delovnih dneh po prejemu obvestila ugovarja predlogu, če ob upoštevanju razlogov za zahtevo po razrešitvi ali zamenjavi članov upravljalnega organa ali višjega vodstva in položaja banke oceni, da posamezni član upravljalnega organa ali višjega vodstva oziroma upravljalni organ ali višje vodstvo kot celota ne ustreza zahtevam glede funkcije in nalog, ki naj bi jih opravljal</w:t>
      </w:r>
      <w:r w:rsidR="0047521A" w:rsidRPr="00215B2F">
        <w:rPr>
          <w:rFonts w:ascii="Arial" w:eastAsia="Arial" w:hAnsi="Arial" w:cs="Arial"/>
          <w:sz w:val="20"/>
          <w:szCs w:val="20"/>
        </w:rPr>
        <w:t>o</w:t>
      </w:r>
      <w:r w:rsidRPr="00215B2F">
        <w:rPr>
          <w:rFonts w:ascii="Arial" w:eastAsia="Arial" w:hAnsi="Arial" w:cs="Arial"/>
          <w:sz w:val="20"/>
          <w:szCs w:val="20"/>
        </w:rPr>
        <w:t>.</w:t>
      </w:r>
    </w:p>
    <w:p w14:paraId="1E873E8C"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3252F20" w14:textId="67EC7AD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V zvezi z ukrepom iz prvega ali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so novi člani upravljalnega organa ali višjega vodstva lahko imenovani le, če Banka Slovenije v roku iz prejšnjega odstavka ne ugovarja imenovanju.</w:t>
      </w:r>
    </w:p>
    <w:p w14:paraId="17D61569"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48D8D29" w14:textId="01C1EAC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lahko hkrati z ukrepom iz prvega in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izreče tudi druge ukrepe nadzora iz </w:t>
      </w:r>
      <w:r w:rsidR="00FE757E" w:rsidRPr="00215B2F">
        <w:rPr>
          <w:rFonts w:ascii="Arial" w:eastAsia="Arial" w:hAnsi="Arial" w:cs="Arial"/>
          <w:sz w:val="20"/>
          <w:szCs w:val="20"/>
        </w:rPr>
        <w:t>344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dodatne ukrepe iz </w:t>
      </w:r>
      <w:r w:rsidR="005A78EE" w:rsidRPr="00215B2F">
        <w:rPr>
          <w:rFonts w:ascii="Arial" w:eastAsia="Arial" w:hAnsi="Arial" w:cs="Arial"/>
          <w:sz w:val="20"/>
          <w:szCs w:val="20"/>
        </w:rPr>
        <w:t>345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druge ukrepe zgodnjega posredovanja iz </w:t>
      </w:r>
      <w:r w:rsidR="00FE757E" w:rsidRPr="00215B2F">
        <w:rPr>
          <w:rFonts w:ascii="Arial" w:eastAsia="Arial" w:hAnsi="Arial" w:cs="Arial"/>
          <w:sz w:val="20"/>
          <w:szCs w:val="20"/>
        </w:rPr>
        <w:t>348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156D09A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3182882"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13" w:name="_Ref202967257"/>
      <w:r w:rsidRPr="00215B2F">
        <w:rPr>
          <w:rFonts w:ascii="Arial" w:eastAsia="Arial" w:hAnsi="Arial" w:cs="Arial"/>
          <w:b/>
          <w:bCs/>
          <w:sz w:val="20"/>
          <w:szCs w:val="20"/>
        </w:rPr>
        <w:t>člen</w:t>
      </w:r>
      <w:bookmarkEnd w:id="413"/>
    </w:p>
    <w:p w14:paraId="68798592" w14:textId="77777777" w:rsidR="00D91782" w:rsidRPr="00215B2F" w:rsidRDefault="00D91782" w:rsidP="00FD5520">
      <w:pPr>
        <w:pStyle w:val="Slog1"/>
        <w:shd w:val="clear" w:color="auto" w:fill="FFFFFF" w:themeFill="background1"/>
        <w:rPr>
          <w:sz w:val="20"/>
          <w:szCs w:val="20"/>
        </w:rPr>
      </w:pPr>
      <w:r w:rsidRPr="00215B2F">
        <w:rPr>
          <w:sz w:val="20"/>
          <w:szCs w:val="20"/>
        </w:rPr>
        <w:t>(imenovanje posebnega pooblaščenca)</w:t>
      </w:r>
    </w:p>
    <w:p w14:paraId="19060F41" w14:textId="77777777" w:rsidR="00D91782" w:rsidRPr="00215B2F" w:rsidRDefault="00D91782" w:rsidP="00FD5520">
      <w:pPr>
        <w:pStyle w:val="Slog1"/>
        <w:shd w:val="clear" w:color="auto" w:fill="FFFFFF" w:themeFill="background1"/>
        <w:jc w:val="both"/>
        <w:rPr>
          <w:sz w:val="20"/>
          <w:szCs w:val="20"/>
        </w:rPr>
      </w:pPr>
    </w:p>
    <w:p w14:paraId="1883E298" w14:textId="5EB17AE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lahko z odredbo imenuje enega ali več posebnih pooblaščencev v banki, če so podani razlogi iz prvega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in razrešitev posameznega ali vseh članov </w:t>
      </w:r>
      <w:r w:rsidRPr="00215B2F">
        <w:rPr>
          <w:rFonts w:ascii="Arial" w:eastAsia="Arial" w:hAnsi="Arial" w:cs="Arial"/>
          <w:sz w:val="20"/>
          <w:szCs w:val="20"/>
        </w:rPr>
        <w:lastRenderedPageBreak/>
        <w:t xml:space="preserve">upravljalnega organa ali višjega vodstva na podlagi </w:t>
      </w:r>
      <w:r w:rsidR="00746E88" w:rsidRPr="00215B2F">
        <w:rPr>
          <w:rFonts w:ascii="Arial" w:eastAsia="Arial" w:hAnsi="Arial" w:cs="Arial"/>
          <w:sz w:val="20"/>
          <w:szCs w:val="20"/>
        </w:rPr>
        <w:t>prejšnjega člena</w:t>
      </w:r>
      <w:r w:rsidRPr="00215B2F">
        <w:rPr>
          <w:rFonts w:ascii="Arial" w:eastAsia="Arial" w:hAnsi="Arial" w:cs="Arial"/>
          <w:sz w:val="20"/>
          <w:szCs w:val="20"/>
        </w:rPr>
        <w:t xml:space="preserve"> ne zadošča za izboljšanje finančnega položaja banke ali da se ustrezno odpravijo kršitve.</w:t>
      </w:r>
    </w:p>
    <w:p w14:paraId="668CA60C"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16989A9E" w14:textId="123DC3C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lahko posebnega pooblaščenca pooblasti za:</w:t>
      </w:r>
    </w:p>
    <w:p w14:paraId="53825D9E"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6A29085C" w14:textId="177C2324" w:rsidR="00566332" w:rsidRPr="00215B2F" w:rsidRDefault="00D91782" w:rsidP="003D4DE0">
      <w:pPr>
        <w:pStyle w:val="tevilnatoka"/>
        <w:numPr>
          <w:ilvl w:val="0"/>
          <w:numId w:val="240"/>
        </w:numPr>
        <w:shd w:val="clear" w:color="auto" w:fill="FFFFFF" w:themeFill="background1"/>
        <w:tabs>
          <w:tab w:val="clear" w:pos="425"/>
        </w:tabs>
        <w:rPr>
          <w:rFonts w:cs="Arial"/>
          <w:bCs/>
          <w:sz w:val="20"/>
          <w:szCs w:val="20"/>
        </w:rPr>
      </w:pPr>
      <w:r w:rsidRPr="00215B2F">
        <w:rPr>
          <w:rFonts w:eastAsia="Arial" w:cs="Arial"/>
          <w:sz w:val="20"/>
          <w:szCs w:val="20"/>
        </w:rPr>
        <w:t xml:space="preserve">izvajanje funkcije </w:t>
      </w:r>
      <w:r w:rsidR="00882103" w:rsidRPr="00215B2F">
        <w:rPr>
          <w:rFonts w:cs="Arial"/>
          <w:sz w:val="20"/>
          <w:szCs w:val="20"/>
        </w:rPr>
        <w:t>člana uprave</w:t>
      </w:r>
      <w:r w:rsidRPr="00215B2F">
        <w:rPr>
          <w:rFonts w:eastAsia="Arial" w:cs="Arial"/>
          <w:sz w:val="20"/>
          <w:szCs w:val="20"/>
        </w:rPr>
        <w:t xml:space="preserve"> ali</w:t>
      </w:r>
    </w:p>
    <w:p w14:paraId="2BF163FF" w14:textId="7259629D" w:rsidR="00D91782" w:rsidRPr="00215B2F" w:rsidRDefault="00D91782" w:rsidP="003D4DE0">
      <w:pPr>
        <w:pStyle w:val="tevilnatoka"/>
        <w:numPr>
          <w:ilvl w:val="0"/>
          <w:numId w:val="240"/>
        </w:numPr>
        <w:shd w:val="clear" w:color="auto" w:fill="FFFFFF" w:themeFill="background1"/>
        <w:tabs>
          <w:tab w:val="clear" w:pos="425"/>
        </w:tabs>
        <w:rPr>
          <w:rFonts w:cs="Arial"/>
          <w:bCs/>
          <w:sz w:val="20"/>
          <w:szCs w:val="20"/>
        </w:rPr>
      </w:pPr>
      <w:r w:rsidRPr="00215B2F">
        <w:rPr>
          <w:rFonts w:eastAsia="Arial" w:cs="Arial"/>
          <w:sz w:val="20"/>
          <w:szCs w:val="20"/>
        </w:rPr>
        <w:t>za izvajanje posameznih nalog v banki brez pooblastil za zastopanje banke.</w:t>
      </w:r>
    </w:p>
    <w:p w14:paraId="32E83B75"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6695F318" w14:textId="5719E3A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w:t>
      </w:r>
      <w:r w:rsidR="00C01007" w:rsidRPr="00215B2F">
        <w:rPr>
          <w:rFonts w:ascii="Arial" w:eastAsia="Arial" w:hAnsi="Arial" w:cs="Arial"/>
          <w:sz w:val="20"/>
          <w:szCs w:val="20"/>
        </w:rPr>
        <w:t xml:space="preserve">za </w:t>
      </w:r>
      <w:r w:rsidRPr="00215B2F">
        <w:rPr>
          <w:rFonts w:ascii="Arial" w:eastAsia="Arial" w:hAnsi="Arial" w:cs="Arial"/>
          <w:sz w:val="20"/>
          <w:szCs w:val="20"/>
        </w:rPr>
        <w:t xml:space="preserve">posebnega pooblaščenca imenuje osebo, ki je strokovno usposobljena za izvajanje funkcije in nalog iz prejšnjega odstavka. Če je posebni pooblaščenec imenovan za izvajanje funkcije </w:t>
      </w:r>
      <w:r w:rsidR="00882103" w:rsidRPr="00215B2F">
        <w:rPr>
          <w:rFonts w:ascii="Arial" w:hAnsi="Arial" w:cs="Arial"/>
          <w:sz w:val="20"/>
          <w:szCs w:val="20"/>
        </w:rPr>
        <w:t>člana uprave</w:t>
      </w:r>
      <w:r w:rsidRPr="00215B2F">
        <w:rPr>
          <w:rFonts w:ascii="Arial" w:eastAsia="Arial" w:hAnsi="Arial" w:cs="Arial"/>
          <w:sz w:val="20"/>
          <w:szCs w:val="20"/>
        </w:rPr>
        <w:t xml:space="preserve">, mora izpolnjevati pogoje iz </w:t>
      </w:r>
      <w:r w:rsidR="00FE757E" w:rsidRPr="00215B2F">
        <w:rPr>
          <w:rFonts w:ascii="Arial" w:eastAsia="Arial" w:hAnsi="Arial" w:cs="Arial"/>
          <w:sz w:val="20"/>
          <w:szCs w:val="20"/>
        </w:rPr>
        <w:t>47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r w:rsidR="00FE757E" w:rsidRPr="00215B2F">
        <w:rPr>
          <w:rFonts w:ascii="Arial" w:eastAsia="Arial" w:hAnsi="Arial" w:cs="Arial"/>
          <w:sz w:val="20"/>
          <w:szCs w:val="20"/>
        </w:rPr>
        <w:t xml:space="preserve"> </w:t>
      </w:r>
    </w:p>
    <w:p w14:paraId="70F0A08C"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219BC82C" w14:textId="19A6742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Če Banka Slovenije imenuje posebnega pooblaščenca za izvajanje funkcije </w:t>
      </w:r>
      <w:r w:rsidR="00882103" w:rsidRPr="00215B2F">
        <w:rPr>
          <w:rFonts w:ascii="Arial" w:hAnsi="Arial" w:cs="Arial"/>
          <w:sz w:val="20"/>
          <w:szCs w:val="20"/>
        </w:rPr>
        <w:t>člana uprave</w:t>
      </w:r>
      <w:r w:rsidRPr="00215B2F">
        <w:rPr>
          <w:rFonts w:ascii="Arial" w:eastAsia="Arial" w:hAnsi="Arial" w:cs="Arial"/>
          <w:sz w:val="20"/>
          <w:szCs w:val="20"/>
        </w:rPr>
        <w:t xml:space="preserve">, lahko odloči, da posebni pooblaščenec opravlja funkcijo člana uprave namesto razrešenega člana uprave ali skupaj z obstoječimi člani uprave. Banka Slovenije v imenu banke predlaga vpis imenovanja in razrešitve posebnega pooblaščenca s pooblastili za opravljanje funkcije </w:t>
      </w:r>
      <w:r w:rsidR="00882103" w:rsidRPr="00215B2F">
        <w:rPr>
          <w:rFonts w:ascii="Arial" w:hAnsi="Arial" w:cs="Arial"/>
          <w:sz w:val="20"/>
          <w:szCs w:val="20"/>
        </w:rPr>
        <w:t>člana uprave</w:t>
      </w:r>
      <w:r w:rsidRPr="00215B2F">
        <w:rPr>
          <w:rFonts w:ascii="Arial" w:eastAsia="Arial" w:hAnsi="Arial" w:cs="Arial"/>
          <w:sz w:val="20"/>
          <w:szCs w:val="20"/>
        </w:rPr>
        <w:t xml:space="preserve"> v sodni register.</w:t>
      </w:r>
    </w:p>
    <w:p w14:paraId="777B8710"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705AFB66" w14:textId="2D2ECD0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Banka Slovenije lahko ob imenovanju posebnega pooblaščenca odloči, da se mora uprava banka pred sprejetjem posameznih odločitev ali ukrepov obvezno posvetovati s posebnim pooblaščencem ali pridobiti njegovo soglasje.</w:t>
      </w:r>
    </w:p>
    <w:p w14:paraId="617DABA5"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6D6B79D4" w14:textId="1891592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V odredbi o imenovanju posebnega pooblaščenca Banka Slovenije določi vlogo, pristojnosti in pooblastila posebnega pooblaščenca, vključno z morebitnimi omejitvami iz prejšnjega odstavka. Banka Slovenije lahko ob imenovanju posebnega pooblaščenca odloči tudi, da se mora posebni pooblaščenec pred sprejetjem posameznih odločitev ali ukrepov obvezno posvetovati z Banko Slovenije. Naloge posebnega pooblaščenca lahko vključujejo zlasti preverjanje finančnega položaja banke, vodenje poslov ali dela poslov banke, da bi se ohranil ali </w:t>
      </w:r>
      <w:r w:rsidR="00F455AB" w:rsidRPr="00215B2F">
        <w:rPr>
          <w:rFonts w:ascii="Arial" w:eastAsia="Arial" w:hAnsi="Arial" w:cs="Arial"/>
          <w:sz w:val="20"/>
          <w:szCs w:val="20"/>
        </w:rPr>
        <w:t>z</w:t>
      </w:r>
      <w:r w:rsidRPr="00215B2F">
        <w:rPr>
          <w:rFonts w:ascii="Arial" w:eastAsia="Arial" w:hAnsi="Arial" w:cs="Arial"/>
          <w:sz w:val="20"/>
          <w:szCs w:val="20"/>
        </w:rPr>
        <w:t>nov</w:t>
      </w:r>
      <w:r w:rsidR="00F455AB" w:rsidRPr="00215B2F">
        <w:rPr>
          <w:rFonts w:ascii="Arial" w:eastAsia="Arial" w:hAnsi="Arial" w:cs="Arial"/>
          <w:sz w:val="20"/>
          <w:szCs w:val="20"/>
        </w:rPr>
        <w:t>a</w:t>
      </w:r>
      <w:r w:rsidRPr="00215B2F">
        <w:rPr>
          <w:rFonts w:ascii="Arial" w:eastAsia="Arial" w:hAnsi="Arial" w:cs="Arial"/>
          <w:sz w:val="20"/>
          <w:szCs w:val="20"/>
        </w:rPr>
        <w:t xml:space="preserve"> vzpostavil finančni položaj institucije, ter sprejemanje ukrepov za ponovno vzpostavitev zanesljivega in skrbnega upravljanja banke. Če je posebni pooblaščenec pooblaščen za sklic skupščine banke, mora pred objavo sklica skupščine in določitvijo dnevnega reda skupščine obvezno pridobiti soglasje Banke Slovenije.</w:t>
      </w:r>
    </w:p>
    <w:p w14:paraId="4AB1355A"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4F2DAAEF" w14:textId="6A5D896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(7) Banka Slovenije lahko kadar</w:t>
      </w:r>
      <w:r w:rsidR="00C01007" w:rsidRPr="00215B2F">
        <w:rPr>
          <w:rFonts w:ascii="Arial" w:eastAsia="Arial" w:hAnsi="Arial" w:cs="Arial"/>
          <w:sz w:val="20"/>
          <w:szCs w:val="20"/>
        </w:rPr>
        <w:t xml:space="preserve"> </w:t>
      </w:r>
      <w:r w:rsidRPr="00215B2F">
        <w:rPr>
          <w:rFonts w:ascii="Arial" w:eastAsia="Arial" w:hAnsi="Arial" w:cs="Arial"/>
          <w:sz w:val="20"/>
          <w:szCs w:val="20"/>
        </w:rPr>
        <w:t>koli z odredbo odloči o spremembi vloge, pooblastil in pristojnosti posebnega pooblaščenca.</w:t>
      </w:r>
    </w:p>
    <w:p w14:paraId="27F138BC"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2603627A" w14:textId="2AB81E0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(8) Banka Slovenije lahko hkrati z ukrepom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izreče tudi ukrepe nadzora iz </w:t>
      </w:r>
      <w:r w:rsidR="00FE757E" w:rsidRPr="00215B2F">
        <w:rPr>
          <w:rFonts w:ascii="Arial" w:eastAsia="Arial" w:hAnsi="Arial" w:cs="Arial"/>
          <w:sz w:val="20"/>
          <w:szCs w:val="20"/>
        </w:rPr>
        <w:t>344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dodatne ukrepe iz </w:t>
      </w:r>
      <w:r w:rsidR="005A78EE" w:rsidRPr="00215B2F">
        <w:rPr>
          <w:rFonts w:ascii="Arial" w:eastAsia="Arial" w:hAnsi="Arial" w:cs="Arial"/>
          <w:sz w:val="20"/>
          <w:szCs w:val="20"/>
        </w:rPr>
        <w:t>345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druge ukrepe zgodnjega posredovanja iz </w:t>
      </w:r>
      <w:r w:rsidR="00FE757E" w:rsidRPr="00215B2F">
        <w:rPr>
          <w:rFonts w:ascii="Arial" w:eastAsia="Arial" w:hAnsi="Arial" w:cs="Arial"/>
          <w:sz w:val="20"/>
          <w:szCs w:val="20"/>
        </w:rPr>
        <w:t>348</w:t>
      </w:r>
      <w:r w:rsidRPr="00215B2F">
        <w:rPr>
          <w:rFonts w:ascii="Arial" w:eastAsia="Arial" w:hAnsi="Arial" w:cs="Arial"/>
          <w:sz w:val="20"/>
          <w:szCs w:val="20"/>
        </w:rPr>
        <w:t xml:space="preserve">. </w:t>
      </w:r>
      <w:r w:rsidR="009956D4" w:rsidRPr="00215B2F">
        <w:rPr>
          <w:rFonts w:ascii="Arial" w:eastAsia="Arial" w:hAnsi="Arial" w:cs="Arial"/>
          <w:sz w:val="20"/>
          <w:szCs w:val="20"/>
        </w:rPr>
        <w:t xml:space="preserve">člena tega zakona </w:t>
      </w:r>
      <w:r w:rsidRPr="00215B2F">
        <w:rPr>
          <w:rFonts w:ascii="Arial" w:eastAsia="Arial" w:hAnsi="Arial" w:cs="Arial"/>
          <w:sz w:val="20"/>
          <w:szCs w:val="20"/>
        </w:rPr>
        <w:t xml:space="preserve">in </w:t>
      </w:r>
      <w:r w:rsidR="009956D4" w:rsidRPr="00215B2F">
        <w:rPr>
          <w:rFonts w:ascii="Arial" w:eastAsia="Arial" w:hAnsi="Arial" w:cs="Arial"/>
          <w:sz w:val="20"/>
          <w:szCs w:val="20"/>
        </w:rPr>
        <w:t>iz prejšnjega člena</w:t>
      </w:r>
      <w:r w:rsidRPr="00215B2F">
        <w:rPr>
          <w:rFonts w:ascii="Arial" w:eastAsia="Arial" w:hAnsi="Arial" w:cs="Arial"/>
          <w:sz w:val="20"/>
          <w:szCs w:val="20"/>
        </w:rPr>
        <w:t>.</w:t>
      </w:r>
    </w:p>
    <w:p w14:paraId="0CF00259"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6AE59904" w14:textId="48C0102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(9) Banka Slovenije informacije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predloži na evropsko enotno točko dostopa, vzpostavljeno na podlagi Uredbe 2023/2859/EU, v formatu, ki omogoča izvlečenje podatkov, kakor je opredeljen v 3. točki 2. člena Uredbe 2023/2859/EU, in z metapodatki, ki vključujejo: </w:t>
      </w:r>
    </w:p>
    <w:p w14:paraId="7387F05C" w14:textId="77777777" w:rsidR="00566332" w:rsidRPr="00215B2F" w:rsidRDefault="00566332" w:rsidP="00FD5520">
      <w:pPr>
        <w:shd w:val="clear" w:color="auto" w:fill="FFFFFF" w:themeFill="background1"/>
        <w:spacing w:after="0" w:line="240" w:lineRule="auto"/>
        <w:jc w:val="both"/>
        <w:rPr>
          <w:rFonts w:ascii="Arial" w:eastAsia="Arial" w:hAnsi="Arial" w:cs="Arial"/>
          <w:sz w:val="20"/>
          <w:szCs w:val="20"/>
        </w:rPr>
      </w:pPr>
    </w:p>
    <w:p w14:paraId="4124E816" w14:textId="77777777" w:rsidR="0056633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vsa imena fizične osebe ali institucije, na katero se informacije nanašajo; </w:t>
      </w:r>
    </w:p>
    <w:p w14:paraId="2744E6FE" w14:textId="1B15BEB4" w:rsidR="0056633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kadar je na voljo, identifikator pravnih subjektov institucije, k</w:t>
      </w:r>
      <w:r w:rsidR="006B0B0E" w:rsidRPr="00215B2F">
        <w:rPr>
          <w:rFonts w:ascii="Arial" w:eastAsia="Arial" w:hAnsi="Arial" w:cs="Arial"/>
          <w:sz w:val="20"/>
          <w:szCs w:val="20"/>
        </w:rPr>
        <w:t>akor</w:t>
      </w:r>
      <w:r w:rsidRPr="00215B2F">
        <w:rPr>
          <w:rFonts w:ascii="Arial" w:eastAsia="Arial" w:hAnsi="Arial" w:cs="Arial"/>
          <w:sz w:val="20"/>
          <w:szCs w:val="20"/>
        </w:rPr>
        <w:t xml:space="preserve"> je določen na podlagi točke (b) četrtega odstavka 7. člena Uredbe 2023/2859/EU; </w:t>
      </w:r>
    </w:p>
    <w:p w14:paraId="59C56386" w14:textId="74641CF9" w:rsidR="0056633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vrsto informacij glede na razvrstitev na podlagi točke (c) četrtega odstavka 7. člena Uredbe 2023/</w:t>
      </w:r>
      <w:r w:rsidR="009956D4" w:rsidRPr="00215B2F">
        <w:rPr>
          <w:rFonts w:ascii="Arial" w:eastAsia="Arial" w:hAnsi="Arial" w:cs="Arial"/>
          <w:sz w:val="20"/>
          <w:szCs w:val="20"/>
        </w:rPr>
        <w:t>2859/</w:t>
      </w:r>
      <w:r w:rsidRPr="00215B2F">
        <w:rPr>
          <w:rFonts w:ascii="Arial" w:eastAsia="Arial" w:hAnsi="Arial" w:cs="Arial"/>
          <w:sz w:val="20"/>
          <w:szCs w:val="20"/>
        </w:rPr>
        <w:t xml:space="preserve">EU; </w:t>
      </w:r>
    </w:p>
    <w:p w14:paraId="0FD34501" w14:textId="167320FE"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oznako, iz katere je razvidno, ali te informacije vsebujejo osebne podatke.</w:t>
      </w:r>
    </w:p>
    <w:p w14:paraId="370B000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C0D872E"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14" w:name="_Ref202967263"/>
      <w:r w:rsidRPr="00215B2F">
        <w:rPr>
          <w:rFonts w:ascii="Arial" w:eastAsia="Arial" w:hAnsi="Arial" w:cs="Arial"/>
          <w:b/>
          <w:bCs/>
          <w:sz w:val="20"/>
          <w:szCs w:val="20"/>
        </w:rPr>
        <w:t>člen</w:t>
      </w:r>
      <w:bookmarkEnd w:id="414"/>
    </w:p>
    <w:p w14:paraId="396D732F" w14:textId="77777777" w:rsidR="00D91782" w:rsidRPr="00215B2F" w:rsidRDefault="00D91782" w:rsidP="00FD5520">
      <w:pPr>
        <w:pStyle w:val="Slog1"/>
        <w:shd w:val="clear" w:color="auto" w:fill="FFFFFF" w:themeFill="background1"/>
        <w:rPr>
          <w:sz w:val="20"/>
          <w:szCs w:val="20"/>
        </w:rPr>
      </w:pPr>
      <w:r w:rsidRPr="00215B2F">
        <w:rPr>
          <w:sz w:val="20"/>
          <w:szCs w:val="20"/>
        </w:rPr>
        <w:t>(trajanje funkcije in razrešitev posebnega pooblaščenca)</w:t>
      </w:r>
    </w:p>
    <w:p w14:paraId="36E89EBA" w14:textId="77777777" w:rsidR="00D91782" w:rsidRPr="00215B2F" w:rsidRDefault="00D91782" w:rsidP="00FD5520">
      <w:pPr>
        <w:pStyle w:val="Slog1"/>
        <w:shd w:val="clear" w:color="auto" w:fill="FFFFFF" w:themeFill="background1"/>
        <w:jc w:val="both"/>
        <w:rPr>
          <w:sz w:val="20"/>
          <w:szCs w:val="20"/>
        </w:rPr>
      </w:pPr>
    </w:p>
    <w:p w14:paraId="151E1872" w14:textId="2F15FE5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Posebni pooblaščenec je lahko imenovan </w:t>
      </w:r>
      <w:r w:rsidR="00804710" w:rsidRPr="00215B2F">
        <w:rPr>
          <w:rFonts w:ascii="Arial" w:eastAsia="Arial" w:hAnsi="Arial" w:cs="Arial"/>
          <w:sz w:val="20"/>
          <w:szCs w:val="20"/>
        </w:rPr>
        <w:t xml:space="preserve">za </w:t>
      </w:r>
      <w:r w:rsidRPr="00215B2F">
        <w:rPr>
          <w:rFonts w:ascii="Arial" w:eastAsia="Arial" w:hAnsi="Arial" w:cs="Arial"/>
          <w:sz w:val="20"/>
          <w:szCs w:val="20"/>
        </w:rPr>
        <w:t>največ en</w:t>
      </w:r>
      <w:r w:rsidR="00804710" w:rsidRPr="00215B2F">
        <w:rPr>
          <w:rFonts w:ascii="Arial" w:eastAsia="Arial" w:hAnsi="Arial" w:cs="Arial"/>
          <w:sz w:val="20"/>
          <w:szCs w:val="20"/>
        </w:rPr>
        <w:t>o</w:t>
      </w:r>
      <w:r w:rsidRPr="00215B2F">
        <w:rPr>
          <w:rFonts w:ascii="Arial" w:eastAsia="Arial" w:hAnsi="Arial" w:cs="Arial"/>
          <w:sz w:val="20"/>
          <w:szCs w:val="20"/>
        </w:rPr>
        <w:t xml:space="preserve"> let</w:t>
      </w:r>
      <w:r w:rsidR="00804710" w:rsidRPr="00215B2F">
        <w:rPr>
          <w:rFonts w:ascii="Arial" w:eastAsia="Arial" w:hAnsi="Arial" w:cs="Arial"/>
          <w:sz w:val="20"/>
          <w:szCs w:val="20"/>
        </w:rPr>
        <w:t>o</w:t>
      </w:r>
      <w:r w:rsidRPr="00215B2F">
        <w:rPr>
          <w:rFonts w:ascii="Arial" w:eastAsia="Arial" w:hAnsi="Arial" w:cs="Arial"/>
          <w:sz w:val="20"/>
          <w:szCs w:val="20"/>
        </w:rPr>
        <w:t xml:space="preserve">. Mandat posebnega pooblaščenca se lahko izjemoma podaljša, če so v banki še podani razlogi iz prvega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Razlogi za podaljšanje pooblastil posebnega pooblaščenca se objavijo v okviru objave informacij v skladu s </w:t>
      </w:r>
      <w:r w:rsidR="00FE757E" w:rsidRPr="00215B2F">
        <w:rPr>
          <w:rFonts w:ascii="Arial" w:eastAsia="Arial" w:hAnsi="Arial" w:cs="Arial"/>
          <w:sz w:val="20"/>
          <w:szCs w:val="20"/>
        </w:rPr>
        <w:t>385</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56116182"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3E9C7CD8" w14:textId="3A24437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lahko kadar</w:t>
      </w:r>
      <w:r w:rsidR="00804710" w:rsidRPr="00215B2F">
        <w:rPr>
          <w:rFonts w:ascii="Arial" w:eastAsia="Arial" w:hAnsi="Arial" w:cs="Arial"/>
          <w:sz w:val="20"/>
          <w:szCs w:val="20"/>
        </w:rPr>
        <w:t xml:space="preserve"> </w:t>
      </w:r>
      <w:r w:rsidRPr="00215B2F">
        <w:rPr>
          <w:rFonts w:ascii="Arial" w:eastAsia="Arial" w:hAnsi="Arial" w:cs="Arial"/>
          <w:sz w:val="20"/>
          <w:szCs w:val="20"/>
        </w:rPr>
        <w:t xml:space="preserve">koli razreši posebnega pooblaščenca, če ugotovi, da so prenehali razlogi iz prvega </w:t>
      </w:r>
      <w:r w:rsidR="00746E88" w:rsidRPr="00215B2F">
        <w:rPr>
          <w:rFonts w:ascii="Arial" w:eastAsia="Arial" w:hAnsi="Arial" w:cs="Arial"/>
          <w:sz w:val="20"/>
          <w:szCs w:val="20"/>
        </w:rPr>
        <w:t>odstavka prejšnjega člena</w:t>
      </w:r>
      <w:r w:rsidR="00804710" w:rsidRPr="00215B2F">
        <w:rPr>
          <w:rFonts w:ascii="Arial" w:eastAsia="Arial" w:hAnsi="Arial" w:cs="Arial"/>
          <w:sz w:val="20"/>
          <w:szCs w:val="20"/>
        </w:rPr>
        <w:t>,</w:t>
      </w:r>
      <w:r w:rsidRPr="00215B2F">
        <w:rPr>
          <w:rFonts w:ascii="Arial" w:eastAsia="Arial" w:hAnsi="Arial" w:cs="Arial"/>
          <w:sz w:val="20"/>
          <w:szCs w:val="20"/>
        </w:rPr>
        <w:t xml:space="preserve"> ali če so podani drugi razlogi za njegovo razrešitev. Posebni pooblaščenec je lahko razrešen izključno na podlagi odločitve Banke Slovenije.</w:t>
      </w:r>
    </w:p>
    <w:p w14:paraId="630B57F7" w14:textId="77777777" w:rsidR="00695FD3" w:rsidRPr="00215B2F" w:rsidRDefault="00695FD3" w:rsidP="00FD5520">
      <w:pPr>
        <w:shd w:val="clear" w:color="auto" w:fill="FFFFFF" w:themeFill="background1"/>
        <w:spacing w:after="0" w:line="240" w:lineRule="auto"/>
        <w:jc w:val="center"/>
        <w:rPr>
          <w:rFonts w:ascii="Arial" w:eastAsia="Arial" w:hAnsi="Arial" w:cs="Arial"/>
          <w:sz w:val="20"/>
          <w:szCs w:val="20"/>
        </w:rPr>
      </w:pPr>
    </w:p>
    <w:p w14:paraId="1C46BF1A" w14:textId="77777777" w:rsidR="00695FD3" w:rsidRPr="00215B2F" w:rsidRDefault="00695FD3"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15" w:name="_Ref202967269"/>
      <w:r w:rsidRPr="00215B2F">
        <w:rPr>
          <w:rFonts w:ascii="Arial" w:eastAsia="Arial" w:hAnsi="Arial" w:cs="Arial"/>
          <w:b/>
          <w:bCs/>
          <w:sz w:val="20"/>
          <w:szCs w:val="20"/>
        </w:rPr>
        <w:t>člen</w:t>
      </w:r>
      <w:bookmarkEnd w:id="415"/>
    </w:p>
    <w:p w14:paraId="651FBDCB"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(izvajanje nalog in pooblastil posebnega pooblaščenca)</w:t>
      </w:r>
    </w:p>
    <w:p w14:paraId="413ADB42"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0DC0F51B" w14:textId="79CA950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Posebni pooblaščenec mora pri opravljanju svojih nalog ravnati v skladu s pooblastili in omejitvami, določenimi v skladu s šestim odstavkom </w:t>
      </w:r>
      <w:r w:rsidR="00BC4E51" w:rsidRPr="00215B2F">
        <w:rPr>
          <w:rFonts w:ascii="Arial" w:eastAsia="Arial" w:hAnsi="Arial" w:cs="Arial"/>
          <w:sz w:val="20"/>
          <w:szCs w:val="20"/>
        </w:rPr>
        <w:t>354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pri svojem delovanju v banki upoštevati navodila Banke Slovenije ter veljavne predpise, dobro poslovno prakso in najvišje strokovne </w:t>
      </w:r>
      <w:r w:rsidR="002B2FA8" w:rsidRPr="00215B2F">
        <w:rPr>
          <w:rFonts w:ascii="Arial" w:eastAsia="Arial" w:hAnsi="Arial" w:cs="Arial"/>
          <w:sz w:val="20"/>
          <w:szCs w:val="20"/>
        </w:rPr>
        <w:t xml:space="preserve">in </w:t>
      </w:r>
      <w:r w:rsidRPr="00215B2F">
        <w:rPr>
          <w:rFonts w:ascii="Arial" w:eastAsia="Arial" w:hAnsi="Arial" w:cs="Arial"/>
          <w:sz w:val="20"/>
          <w:szCs w:val="20"/>
        </w:rPr>
        <w:t>etične standarde.</w:t>
      </w:r>
    </w:p>
    <w:p w14:paraId="779FB439" w14:textId="77777777" w:rsidR="00695FD3" w:rsidRPr="00215B2F" w:rsidRDefault="00695FD3" w:rsidP="00FD5520">
      <w:pPr>
        <w:shd w:val="clear" w:color="auto" w:fill="FFFFFF" w:themeFill="background1"/>
        <w:spacing w:after="0" w:line="240" w:lineRule="auto"/>
        <w:jc w:val="both"/>
        <w:rPr>
          <w:rFonts w:ascii="Arial" w:eastAsia="Arial" w:hAnsi="Arial" w:cs="Arial"/>
          <w:sz w:val="20"/>
          <w:szCs w:val="20"/>
        </w:rPr>
      </w:pPr>
    </w:p>
    <w:p w14:paraId="3E87D6EA" w14:textId="611C252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mora posebnemu pooblaščencu zagotoviti stalni in neomejen</w:t>
      </w:r>
      <w:r w:rsidR="002B2FA8" w:rsidRPr="00215B2F">
        <w:rPr>
          <w:rFonts w:ascii="Arial" w:eastAsia="Arial" w:hAnsi="Arial" w:cs="Arial"/>
          <w:sz w:val="20"/>
          <w:szCs w:val="20"/>
        </w:rPr>
        <w:t>i</w:t>
      </w:r>
      <w:r w:rsidRPr="00215B2F">
        <w:rPr>
          <w:rFonts w:ascii="Arial" w:eastAsia="Arial" w:hAnsi="Arial" w:cs="Arial"/>
          <w:sz w:val="20"/>
          <w:szCs w:val="20"/>
        </w:rPr>
        <w:t xml:space="preserve"> dostop v prostore banke ter ustrezne prostore, v katerih lahko nemoteno opravlja svoja pooblastila v skladu z odredbo.</w:t>
      </w:r>
    </w:p>
    <w:p w14:paraId="79D6B692" w14:textId="77777777" w:rsidR="00687B90" w:rsidRPr="00215B2F" w:rsidRDefault="00687B90" w:rsidP="00FD5520">
      <w:pPr>
        <w:shd w:val="clear" w:color="auto" w:fill="FFFFFF" w:themeFill="background1"/>
        <w:spacing w:after="0" w:line="240" w:lineRule="auto"/>
        <w:jc w:val="both"/>
        <w:rPr>
          <w:rFonts w:ascii="Arial" w:eastAsia="Arial" w:hAnsi="Arial" w:cs="Arial"/>
          <w:sz w:val="20"/>
          <w:szCs w:val="20"/>
        </w:rPr>
      </w:pPr>
    </w:p>
    <w:p w14:paraId="7C4C9B22" w14:textId="65F16C5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mora posebnemu pooblaščencu omogočiti pregled vseh poslovnih knjig, spisov in druge dokumentacije ter izročiti računalniške izpiske oziroma kopije evidenc oziroma drugih poslovnih knjig in dokumentacije.</w:t>
      </w:r>
    </w:p>
    <w:p w14:paraId="1D00B4ED" w14:textId="77777777" w:rsidR="00687B90" w:rsidRPr="00215B2F" w:rsidRDefault="00687B90" w:rsidP="00FD5520">
      <w:pPr>
        <w:shd w:val="clear" w:color="auto" w:fill="FFFFFF" w:themeFill="background1"/>
        <w:spacing w:after="0" w:line="240" w:lineRule="auto"/>
        <w:jc w:val="both"/>
        <w:rPr>
          <w:rFonts w:ascii="Arial" w:eastAsia="Arial" w:hAnsi="Arial" w:cs="Arial"/>
          <w:sz w:val="20"/>
          <w:szCs w:val="20"/>
        </w:rPr>
      </w:pPr>
    </w:p>
    <w:p w14:paraId="21E8562C" w14:textId="5A1D69A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Člani upravljalnega organa in zaposleni pri banki morajo posebnemu pooblaščencu na njegovo zahtevo pos</w:t>
      </w:r>
      <w:r w:rsidR="002B2FA8" w:rsidRPr="00215B2F">
        <w:rPr>
          <w:rFonts w:ascii="Arial" w:eastAsia="Arial" w:hAnsi="Arial" w:cs="Arial"/>
          <w:sz w:val="20"/>
          <w:szCs w:val="20"/>
        </w:rPr>
        <w:t>l</w:t>
      </w:r>
      <w:r w:rsidRPr="00215B2F">
        <w:rPr>
          <w:rFonts w:ascii="Arial" w:eastAsia="Arial" w:hAnsi="Arial" w:cs="Arial"/>
          <w:sz w:val="20"/>
          <w:szCs w:val="20"/>
        </w:rPr>
        <w:t xml:space="preserve">ati poročila in informacije o vseh zadevah, pomembnih za opravljanje nalog posebnega pooblaščenca v skladu z odredbo o imenovanju. V primeru imenovanja pooblaščenca s pooblastili </w:t>
      </w:r>
      <w:r w:rsidR="00882103" w:rsidRPr="00215B2F">
        <w:rPr>
          <w:rFonts w:ascii="Arial" w:hAnsi="Arial" w:cs="Arial"/>
          <w:sz w:val="20"/>
          <w:szCs w:val="20"/>
        </w:rPr>
        <w:t>člana uprave</w:t>
      </w:r>
      <w:r w:rsidRPr="00215B2F">
        <w:rPr>
          <w:rFonts w:ascii="Arial" w:eastAsia="Arial" w:hAnsi="Arial" w:cs="Arial"/>
          <w:sz w:val="20"/>
          <w:szCs w:val="20"/>
        </w:rPr>
        <w:t xml:space="preserve"> morajo člani uprave posebnemu pooblaščencu nemudoma predati posle, za katere je pooblaščen v skladu z odredbo.</w:t>
      </w:r>
    </w:p>
    <w:p w14:paraId="3C084337" w14:textId="77777777" w:rsidR="00687B90" w:rsidRPr="00215B2F" w:rsidRDefault="00687B90" w:rsidP="00FD5520">
      <w:pPr>
        <w:shd w:val="clear" w:color="auto" w:fill="FFFFFF" w:themeFill="background1"/>
        <w:spacing w:after="0" w:line="240" w:lineRule="auto"/>
        <w:jc w:val="both"/>
        <w:rPr>
          <w:rFonts w:ascii="Arial" w:eastAsia="Arial" w:hAnsi="Arial" w:cs="Arial"/>
          <w:sz w:val="20"/>
          <w:szCs w:val="20"/>
        </w:rPr>
      </w:pPr>
    </w:p>
    <w:p w14:paraId="693EA256" w14:textId="065312E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Posebni pooblaščenec mora Banki Slovenije nemudoma sporočiti vse bistvene informacije, ki vplivajo ali bi lahko vplivale na presojo finančnega položaja banke ali kršitev predpisov ali internih ureditev v banki.</w:t>
      </w:r>
    </w:p>
    <w:p w14:paraId="4BC2AC26" w14:textId="77777777" w:rsidR="00687B90" w:rsidRPr="00215B2F" w:rsidRDefault="00687B90" w:rsidP="00FD5520">
      <w:pPr>
        <w:shd w:val="clear" w:color="auto" w:fill="FFFFFF" w:themeFill="background1"/>
        <w:spacing w:after="0" w:line="240" w:lineRule="auto"/>
        <w:jc w:val="both"/>
        <w:rPr>
          <w:rFonts w:ascii="Arial" w:eastAsia="Arial" w:hAnsi="Arial" w:cs="Arial"/>
          <w:sz w:val="20"/>
          <w:szCs w:val="20"/>
        </w:rPr>
      </w:pPr>
    </w:p>
    <w:p w14:paraId="22E69A9B" w14:textId="296475A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Banka Slovenije lahko od posebnega pooblaščenca zahteva, da ji redno poroča o izvajanju svojih nalog </w:t>
      </w:r>
      <w:r w:rsidR="00896130" w:rsidRPr="00215B2F">
        <w:rPr>
          <w:rFonts w:ascii="Arial" w:eastAsia="Arial" w:hAnsi="Arial" w:cs="Arial"/>
          <w:sz w:val="20"/>
          <w:szCs w:val="20"/>
        </w:rPr>
        <w:t xml:space="preserve">in </w:t>
      </w:r>
      <w:r w:rsidRPr="00215B2F">
        <w:rPr>
          <w:rFonts w:ascii="Arial" w:eastAsia="Arial" w:hAnsi="Arial" w:cs="Arial"/>
          <w:sz w:val="20"/>
          <w:szCs w:val="20"/>
        </w:rPr>
        <w:t>da ji v določenem roku, v vsakem primeru pa ob koncu mandata predloži poročilo v zvezi s finančnim položajem banke ter v zvezi z ukrepi, ki so bili v banki izvedeni v času njegovega imenovanja.</w:t>
      </w:r>
    </w:p>
    <w:p w14:paraId="03C5EC3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B041E39"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16" w:name="_Ref202967273"/>
      <w:r w:rsidRPr="00215B2F">
        <w:rPr>
          <w:rFonts w:ascii="Arial" w:eastAsia="Arial" w:hAnsi="Arial" w:cs="Arial"/>
          <w:b/>
          <w:bCs/>
          <w:sz w:val="20"/>
          <w:szCs w:val="20"/>
        </w:rPr>
        <w:t>člen</w:t>
      </w:r>
      <w:bookmarkEnd w:id="416"/>
    </w:p>
    <w:p w14:paraId="0206A430" w14:textId="77777777" w:rsidR="00D91782" w:rsidRPr="00215B2F" w:rsidRDefault="00D91782" w:rsidP="00FD5520">
      <w:pPr>
        <w:pStyle w:val="Slog1"/>
        <w:shd w:val="clear" w:color="auto" w:fill="FFFFFF" w:themeFill="background1"/>
        <w:rPr>
          <w:sz w:val="20"/>
          <w:szCs w:val="20"/>
        </w:rPr>
      </w:pPr>
      <w:r w:rsidRPr="00215B2F">
        <w:rPr>
          <w:sz w:val="20"/>
          <w:szCs w:val="20"/>
        </w:rPr>
        <w:t>(usklajevanje pooblastil za zgodnje posredovanje in imenovanje začasnega upravitelja za skupine)</w:t>
      </w:r>
    </w:p>
    <w:p w14:paraId="53D5880C" w14:textId="77777777" w:rsidR="00D91782" w:rsidRPr="00215B2F" w:rsidRDefault="00D91782" w:rsidP="00FD5520">
      <w:pPr>
        <w:pStyle w:val="Slog1"/>
        <w:shd w:val="clear" w:color="auto" w:fill="FFFFFF" w:themeFill="background1"/>
        <w:jc w:val="both"/>
        <w:rPr>
          <w:sz w:val="20"/>
          <w:szCs w:val="20"/>
        </w:rPr>
      </w:pPr>
    </w:p>
    <w:p w14:paraId="41D1208F" w14:textId="6DBE69E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Banka Slovenije kot konsolidacijski nadzornik nad EU nadrejeno družbo ugotovi, da v zvezi z EU nadrejeno družbo </w:t>
      </w:r>
      <w:r w:rsidR="00330C80" w:rsidRPr="00215B2F">
        <w:rPr>
          <w:rFonts w:ascii="Arial" w:eastAsia="Arial" w:hAnsi="Arial" w:cs="Arial"/>
          <w:sz w:val="20"/>
          <w:szCs w:val="20"/>
        </w:rPr>
        <w:t xml:space="preserve">obstajajo </w:t>
      </w:r>
      <w:r w:rsidRPr="00215B2F">
        <w:rPr>
          <w:rFonts w:ascii="Arial" w:eastAsia="Arial" w:hAnsi="Arial" w:cs="Arial"/>
          <w:sz w:val="20"/>
          <w:szCs w:val="20"/>
        </w:rPr>
        <w:t xml:space="preserve">okoliščine za ukrepe zgodnjega posredovanja iz </w:t>
      </w:r>
      <w:r w:rsidR="00FE757E" w:rsidRPr="00215B2F">
        <w:rPr>
          <w:rFonts w:ascii="Arial" w:eastAsia="Arial" w:hAnsi="Arial" w:cs="Arial"/>
          <w:sz w:val="20"/>
          <w:szCs w:val="20"/>
        </w:rPr>
        <w:t>348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ali okoliščine za imenovanje posebnega pooblaščenca v skladu </w:t>
      </w:r>
      <w:r w:rsidR="00330C80" w:rsidRPr="00215B2F">
        <w:rPr>
          <w:rFonts w:ascii="Arial" w:eastAsia="Arial" w:hAnsi="Arial" w:cs="Arial"/>
          <w:sz w:val="20"/>
          <w:szCs w:val="20"/>
        </w:rPr>
        <w:t xml:space="preserve">s </w:t>
      </w:r>
      <w:r w:rsidR="00BC4E51" w:rsidRPr="00215B2F">
        <w:rPr>
          <w:rFonts w:ascii="Arial" w:eastAsia="Arial" w:hAnsi="Arial" w:cs="Arial"/>
          <w:sz w:val="20"/>
          <w:szCs w:val="20"/>
        </w:rPr>
        <w:t>354</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o tem nemudoma obvesti sodelujoče pristojne organe v kolegiju </w:t>
      </w:r>
      <w:r w:rsidR="00330C80" w:rsidRPr="00215B2F">
        <w:rPr>
          <w:rFonts w:ascii="Arial" w:eastAsia="Arial" w:hAnsi="Arial" w:cs="Arial"/>
          <w:sz w:val="20"/>
          <w:szCs w:val="20"/>
        </w:rPr>
        <w:t xml:space="preserve">in </w:t>
      </w:r>
      <w:r w:rsidRPr="00215B2F">
        <w:rPr>
          <w:rFonts w:ascii="Arial" w:eastAsia="Arial" w:hAnsi="Arial" w:cs="Arial"/>
          <w:sz w:val="20"/>
          <w:szCs w:val="20"/>
        </w:rPr>
        <w:t xml:space="preserve">Evropski bančni organ </w:t>
      </w:r>
      <w:r w:rsidR="00330C80" w:rsidRPr="00215B2F">
        <w:rPr>
          <w:rFonts w:ascii="Arial" w:eastAsia="Arial" w:hAnsi="Arial" w:cs="Arial"/>
          <w:sz w:val="20"/>
          <w:szCs w:val="20"/>
        </w:rPr>
        <w:t xml:space="preserve">ter </w:t>
      </w:r>
      <w:r w:rsidRPr="00215B2F">
        <w:rPr>
          <w:rFonts w:ascii="Arial" w:eastAsia="Arial" w:hAnsi="Arial" w:cs="Arial"/>
          <w:sz w:val="20"/>
          <w:szCs w:val="20"/>
        </w:rPr>
        <w:t>se pred uporabo teh ukrepov posvetuje s pristojnimi organi v kolegiju.</w:t>
      </w:r>
    </w:p>
    <w:p w14:paraId="4FB54C7D" w14:textId="77777777" w:rsidR="00687B90" w:rsidRPr="00215B2F" w:rsidRDefault="00687B90" w:rsidP="00FD5520">
      <w:pPr>
        <w:shd w:val="clear" w:color="auto" w:fill="FFFFFF" w:themeFill="background1"/>
        <w:spacing w:after="0" w:line="240" w:lineRule="auto"/>
        <w:jc w:val="both"/>
        <w:rPr>
          <w:rFonts w:ascii="Arial" w:eastAsia="Arial" w:hAnsi="Arial" w:cs="Arial"/>
          <w:sz w:val="20"/>
          <w:szCs w:val="20"/>
        </w:rPr>
      </w:pPr>
    </w:p>
    <w:p w14:paraId="0EDAE385" w14:textId="3CDB9A2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kot konsolidacijski nadzornik na podlagi posvetovanja s sodelujočimi pristojnimi organi odloči, ali bo v zvezi z zadevno EU nadrejeno družbo izrekla katerega od ukrepov iz prejšnjega odstavka, pri tem pa upošteva vpliv teh ukrepov na subjekte v skupini v drugih državah članicah. Banka Slovenije odločitev o uporabi ukrepov sporoči drugim sodelujočim pristojnim organom v kolegiju in Evropskemu bančnemu organu.</w:t>
      </w:r>
    </w:p>
    <w:p w14:paraId="56B36FF9" w14:textId="77777777" w:rsidR="00687B90" w:rsidRPr="00215B2F" w:rsidRDefault="00687B90" w:rsidP="00FD5520">
      <w:pPr>
        <w:shd w:val="clear" w:color="auto" w:fill="FFFFFF" w:themeFill="background1"/>
        <w:spacing w:after="0" w:line="240" w:lineRule="auto"/>
        <w:jc w:val="both"/>
        <w:rPr>
          <w:rFonts w:ascii="Arial" w:eastAsia="Arial" w:hAnsi="Arial" w:cs="Arial"/>
          <w:sz w:val="20"/>
          <w:szCs w:val="20"/>
        </w:rPr>
      </w:pPr>
    </w:p>
    <w:p w14:paraId="7E57296C" w14:textId="7ECDC3C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Banka Slovenije, pri izvajanju nadzora ugotovi, da pri banki, ki je podrejena EU nadrejeni družbi, nad katero izvaja nadzor drug konsolidacijski nadzornik, </w:t>
      </w:r>
      <w:r w:rsidR="00330C80" w:rsidRPr="00215B2F">
        <w:rPr>
          <w:rFonts w:ascii="Arial" w:eastAsia="Arial" w:hAnsi="Arial" w:cs="Arial"/>
          <w:sz w:val="20"/>
          <w:szCs w:val="20"/>
        </w:rPr>
        <w:t>obstajajo</w:t>
      </w:r>
      <w:r w:rsidRPr="00215B2F">
        <w:rPr>
          <w:rFonts w:ascii="Arial" w:eastAsia="Arial" w:hAnsi="Arial" w:cs="Arial"/>
          <w:sz w:val="20"/>
          <w:szCs w:val="20"/>
        </w:rPr>
        <w:t xml:space="preserve"> okoliščine za ukrepe zgodnjega posredovanja iz </w:t>
      </w:r>
      <w:r w:rsidR="00FE757E" w:rsidRPr="00215B2F">
        <w:rPr>
          <w:rFonts w:ascii="Arial" w:eastAsia="Arial" w:hAnsi="Arial" w:cs="Arial"/>
          <w:sz w:val="20"/>
          <w:szCs w:val="20"/>
        </w:rPr>
        <w:t>348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ali okoliščine za imenovanje posebnega pooblaščenca v skladu </w:t>
      </w:r>
      <w:r w:rsidR="00DA751A" w:rsidRPr="00215B2F">
        <w:rPr>
          <w:rFonts w:ascii="Arial" w:eastAsia="Arial" w:hAnsi="Arial" w:cs="Arial"/>
          <w:sz w:val="20"/>
          <w:szCs w:val="20"/>
        </w:rPr>
        <w:t xml:space="preserve">s </w:t>
      </w:r>
      <w:r w:rsidR="00BC4E51" w:rsidRPr="00215B2F">
        <w:rPr>
          <w:rFonts w:ascii="Arial" w:eastAsia="Arial" w:hAnsi="Arial" w:cs="Arial"/>
          <w:sz w:val="20"/>
          <w:szCs w:val="20"/>
        </w:rPr>
        <w:t>354</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o tem obvesti Evropski bančni organ in konsolidacijskega nadzornika ter se pred uporabo navedenih ukrepov posvetuje s konsolidacijskim nadzornikom.</w:t>
      </w:r>
    </w:p>
    <w:p w14:paraId="543CC838" w14:textId="77777777" w:rsidR="00687B90" w:rsidRPr="00215B2F" w:rsidRDefault="00687B90" w:rsidP="00FD5520">
      <w:pPr>
        <w:shd w:val="clear" w:color="auto" w:fill="FFFFFF" w:themeFill="background1"/>
        <w:spacing w:after="0" w:line="240" w:lineRule="auto"/>
        <w:jc w:val="both"/>
        <w:rPr>
          <w:rFonts w:ascii="Arial" w:eastAsia="Arial" w:hAnsi="Arial" w:cs="Arial"/>
          <w:sz w:val="20"/>
          <w:szCs w:val="20"/>
        </w:rPr>
      </w:pPr>
    </w:p>
    <w:p w14:paraId="70DD18B4" w14:textId="20FB639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v primeru iz prejšnjega odstavka odloči o uporabi ukrepov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 banki in pri tem upošteva oceno konsolidacijskega nadzornika, ki je p</w:t>
      </w:r>
      <w:r w:rsidR="00330C80" w:rsidRPr="00215B2F">
        <w:rPr>
          <w:rFonts w:ascii="Arial" w:eastAsia="Arial" w:hAnsi="Arial" w:cs="Arial"/>
          <w:sz w:val="20"/>
          <w:szCs w:val="20"/>
        </w:rPr>
        <w:t>redlože</w:t>
      </w:r>
      <w:r w:rsidRPr="00215B2F">
        <w:rPr>
          <w:rFonts w:ascii="Arial" w:eastAsia="Arial" w:hAnsi="Arial" w:cs="Arial"/>
          <w:sz w:val="20"/>
          <w:szCs w:val="20"/>
        </w:rPr>
        <w:t>na naj</w:t>
      </w:r>
      <w:r w:rsidR="00DA751A" w:rsidRPr="00215B2F">
        <w:rPr>
          <w:rFonts w:ascii="Arial" w:eastAsia="Arial" w:hAnsi="Arial" w:cs="Arial"/>
          <w:sz w:val="20"/>
          <w:szCs w:val="20"/>
        </w:rPr>
        <w:t>poz</w:t>
      </w:r>
      <w:r w:rsidRPr="00215B2F">
        <w:rPr>
          <w:rFonts w:ascii="Arial" w:eastAsia="Arial" w:hAnsi="Arial" w:cs="Arial"/>
          <w:sz w:val="20"/>
          <w:szCs w:val="20"/>
        </w:rPr>
        <w:t xml:space="preserve">neje v treh dneh od </w:t>
      </w:r>
      <w:r w:rsidR="00DA751A" w:rsidRPr="00215B2F">
        <w:rPr>
          <w:rFonts w:ascii="Arial" w:eastAsia="Arial" w:hAnsi="Arial" w:cs="Arial"/>
          <w:sz w:val="20"/>
          <w:szCs w:val="20"/>
        </w:rPr>
        <w:t xml:space="preserve">pošiljanja </w:t>
      </w:r>
      <w:r w:rsidRPr="00215B2F">
        <w:rPr>
          <w:rFonts w:ascii="Arial" w:eastAsia="Arial" w:hAnsi="Arial" w:cs="Arial"/>
          <w:sz w:val="20"/>
          <w:szCs w:val="20"/>
        </w:rPr>
        <w:t>obvestila iz prejšnjega odstavka. Banka Slovenije pri odločitvi upošteva tudi morebitn</w:t>
      </w:r>
      <w:r w:rsidR="00DA751A" w:rsidRPr="00215B2F">
        <w:rPr>
          <w:rFonts w:ascii="Arial" w:eastAsia="Arial" w:hAnsi="Arial" w:cs="Arial"/>
          <w:sz w:val="20"/>
          <w:szCs w:val="20"/>
        </w:rPr>
        <w:t>i</w:t>
      </w:r>
      <w:r w:rsidRPr="00215B2F">
        <w:rPr>
          <w:rFonts w:ascii="Arial" w:eastAsia="Arial" w:hAnsi="Arial" w:cs="Arial"/>
          <w:sz w:val="20"/>
          <w:szCs w:val="20"/>
        </w:rPr>
        <w:t xml:space="preserve"> vpliv odločitve na finančno stabilnost v drugih državah članicah. Banka Slovenije obrazloženo odločitev o uporabi ukrepov sporoči banki ter konsolidacijskemu nadzorniku in drugim sodelujočim pristojnim organom v kolegiju ter Evropskemu bančnemu organu.</w:t>
      </w:r>
    </w:p>
    <w:p w14:paraId="024C9100" w14:textId="77777777" w:rsidR="00687B90" w:rsidRPr="00215B2F" w:rsidRDefault="00687B90" w:rsidP="00FD5520">
      <w:pPr>
        <w:shd w:val="clear" w:color="auto" w:fill="FFFFFF" w:themeFill="background1"/>
        <w:spacing w:after="0" w:line="240" w:lineRule="auto"/>
        <w:jc w:val="both"/>
        <w:rPr>
          <w:rFonts w:ascii="Arial" w:eastAsia="Arial" w:hAnsi="Arial" w:cs="Arial"/>
          <w:sz w:val="20"/>
          <w:szCs w:val="20"/>
        </w:rPr>
      </w:pPr>
    </w:p>
    <w:p w14:paraId="6D09B6FC" w14:textId="05247EF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(5) Če Banka Slovenije kot konsolidacijski nadzornik EU nadrejene družbe v zvezi s posamezno podrejeno institucijo prejme obvestilo sodelujočega pristojnega organa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na podlagi obvestila oceni verjetni vpliv uvedbe ukrepov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 podrejeni družbi na skupino kot celoto ali na druge subjekte v skupini. Banka Slovenije kot konsolidacijski nadzornik to oceno v treh dneh sporoči sodelujočemu pristojnemu organu, ki je pos</w:t>
      </w:r>
      <w:r w:rsidR="00DA751A" w:rsidRPr="00215B2F">
        <w:rPr>
          <w:rFonts w:ascii="Arial" w:eastAsia="Arial" w:hAnsi="Arial" w:cs="Arial"/>
          <w:sz w:val="20"/>
          <w:szCs w:val="20"/>
        </w:rPr>
        <w:t>l</w:t>
      </w:r>
      <w:r w:rsidRPr="00215B2F">
        <w:rPr>
          <w:rFonts w:ascii="Arial" w:eastAsia="Arial" w:hAnsi="Arial" w:cs="Arial"/>
          <w:sz w:val="20"/>
          <w:szCs w:val="20"/>
        </w:rPr>
        <w:t xml:space="preserve">al obvestilo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5DC8D6F9" w14:textId="77777777" w:rsidR="00687B90" w:rsidRPr="00215B2F" w:rsidRDefault="00687B90" w:rsidP="00FD5520">
      <w:pPr>
        <w:shd w:val="clear" w:color="auto" w:fill="FFFFFF" w:themeFill="background1"/>
        <w:spacing w:after="0" w:line="240" w:lineRule="auto"/>
        <w:jc w:val="both"/>
        <w:rPr>
          <w:rFonts w:ascii="Arial" w:eastAsia="Arial" w:hAnsi="Arial" w:cs="Arial"/>
          <w:sz w:val="20"/>
          <w:szCs w:val="20"/>
        </w:rPr>
      </w:pPr>
    </w:p>
    <w:p w14:paraId="28BDDCA8" w14:textId="6428802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Če okoliščine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w:t>
      </w:r>
      <w:r w:rsidR="00330C80" w:rsidRPr="00215B2F">
        <w:rPr>
          <w:rFonts w:ascii="Arial" w:eastAsia="Arial" w:hAnsi="Arial" w:cs="Arial"/>
          <w:sz w:val="20"/>
          <w:szCs w:val="20"/>
        </w:rPr>
        <w:t xml:space="preserve">obstajajo </w:t>
      </w:r>
      <w:r w:rsidRPr="00215B2F">
        <w:rPr>
          <w:rFonts w:ascii="Arial" w:eastAsia="Arial" w:hAnsi="Arial" w:cs="Arial"/>
          <w:sz w:val="20"/>
          <w:szCs w:val="20"/>
        </w:rPr>
        <w:t xml:space="preserve">pri več podrejenih institucijah v skupini, si Banka Slovenije skupaj z drugimi sodelujočimi pristojnimi organi prizadeva, da se v petih dneh od </w:t>
      </w:r>
      <w:r w:rsidR="00DB4205" w:rsidRPr="00215B2F">
        <w:rPr>
          <w:rFonts w:ascii="Arial" w:eastAsia="Arial" w:hAnsi="Arial" w:cs="Arial"/>
          <w:sz w:val="20"/>
          <w:szCs w:val="20"/>
        </w:rPr>
        <w:t xml:space="preserve">prejetja </w:t>
      </w:r>
      <w:r w:rsidRPr="00215B2F">
        <w:rPr>
          <w:rFonts w:ascii="Arial" w:eastAsia="Arial" w:hAnsi="Arial" w:cs="Arial"/>
          <w:sz w:val="20"/>
          <w:szCs w:val="20"/>
        </w:rPr>
        <w:t xml:space="preserve">obvestila </w:t>
      </w:r>
      <w:r w:rsidR="00DB4205" w:rsidRPr="00215B2F">
        <w:rPr>
          <w:rFonts w:ascii="Arial" w:eastAsia="Arial" w:hAnsi="Arial" w:cs="Arial"/>
          <w:sz w:val="20"/>
          <w:szCs w:val="20"/>
        </w:rPr>
        <w:t xml:space="preserve">iz prejšnjega odstavka </w:t>
      </w:r>
      <w:r w:rsidRPr="00215B2F">
        <w:rPr>
          <w:rFonts w:ascii="Arial" w:eastAsia="Arial" w:hAnsi="Arial" w:cs="Arial"/>
          <w:sz w:val="20"/>
          <w:szCs w:val="20"/>
        </w:rPr>
        <w:t>sprejme skupna odločitev glede:</w:t>
      </w:r>
    </w:p>
    <w:p w14:paraId="59CDBAB8" w14:textId="77777777" w:rsidR="00FD58B1" w:rsidRPr="00215B2F" w:rsidRDefault="00FD58B1" w:rsidP="00FD5520">
      <w:pPr>
        <w:shd w:val="clear" w:color="auto" w:fill="FFFFFF" w:themeFill="background1"/>
        <w:spacing w:after="0" w:line="240" w:lineRule="auto"/>
        <w:jc w:val="both"/>
        <w:rPr>
          <w:rFonts w:ascii="Arial" w:eastAsia="Arial" w:hAnsi="Arial" w:cs="Arial"/>
          <w:sz w:val="20"/>
          <w:szCs w:val="20"/>
        </w:rPr>
      </w:pPr>
    </w:p>
    <w:p w14:paraId="07ECA059" w14:textId="77777777" w:rsidR="00566332" w:rsidRPr="00215B2F" w:rsidRDefault="00D91782" w:rsidP="003D4DE0">
      <w:pPr>
        <w:pStyle w:val="tevilnatoka"/>
        <w:numPr>
          <w:ilvl w:val="0"/>
          <w:numId w:val="241"/>
        </w:numPr>
        <w:shd w:val="clear" w:color="auto" w:fill="FFFFFF" w:themeFill="background1"/>
        <w:tabs>
          <w:tab w:val="clear" w:pos="425"/>
        </w:tabs>
        <w:rPr>
          <w:rFonts w:cs="Arial"/>
          <w:bCs/>
          <w:sz w:val="20"/>
          <w:szCs w:val="20"/>
        </w:rPr>
      </w:pPr>
      <w:r w:rsidRPr="00215B2F">
        <w:rPr>
          <w:rFonts w:eastAsia="Arial" w:cs="Arial"/>
          <w:sz w:val="20"/>
          <w:szCs w:val="20"/>
        </w:rPr>
        <w:t>imenovanja istega posebnega pooblaščenca za vse zadevne institucije ali</w:t>
      </w:r>
    </w:p>
    <w:p w14:paraId="66244BED" w14:textId="37D35C1A" w:rsidR="00D91782" w:rsidRPr="00215B2F" w:rsidRDefault="00D91782" w:rsidP="003D4DE0">
      <w:pPr>
        <w:pStyle w:val="tevilnatoka"/>
        <w:numPr>
          <w:ilvl w:val="0"/>
          <w:numId w:val="241"/>
        </w:numPr>
        <w:shd w:val="clear" w:color="auto" w:fill="FFFFFF" w:themeFill="background1"/>
        <w:tabs>
          <w:tab w:val="clear" w:pos="425"/>
        </w:tabs>
        <w:rPr>
          <w:rFonts w:cs="Arial"/>
          <w:bCs/>
          <w:sz w:val="20"/>
          <w:szCs w:val="20"/>
        </w:rPr>
      </w:pPr>
      <w:r w:rsidRPr="00215B2F">
        <w:rPr>
          <w:rFonts w:eastAsia="Arial" w:cs="Arial"/>
          <w:sz w:val="20"/>
          <w:szCs w:val="20"/>
        </w:rPr>
        <w:t xml:space="preserve">usklajevanja ukrepov </w:t>
      </w:r>
      <w:r w:rsidR="00DB4205" w:rsidRPr="00215B2F">
        <w:rPr>
          <w:rFonts w:eastAsia="Arial" w:cs="Arial"/>
          <w:sz w:val="20"/>
          <w:szCs w:val="20"/>
        </w:rPr>
        <w:t xml:space="preserve">iz </w:t>
      </w:r>
      <w:r w:rsidRPr="00215B2F">
        <w:rPr>
          <w:rFonts w:eastAsia="Arial" w:cs="Arial"/>
          <w:sz w:val="20"/>
          <w:szCs w:val="20"/>
        </w:rPr>
        <w:t xml:space="preserve">prvega </w:t>
      </w:r>
      <w:r w:rsidR="00746E88" w:rsidRPr="00215B2F">
        <w:rPr>
          <w:rFonts w:eastAsia="Arial" w:cs="Arial"/>
          <w:sz w:val="20"/>
          <w:szCs w:val="20"/>
        </w:rPr>
        <w:t>odstavka tega člena</w:t>
      </w:r>
      <w:r w:rsidRPr="00215B2F">
        <w:rPr>
          <w:rFonts w:eastAsia="Arial" w:cs="Arial"/>
          <w:sz w:val="20"/>
          <w:szCs w:val="20"/>
        </w:rPr>
        <w:t xml:space="preserve"> za več kot eno institucijo, da se olajša izvajanje ukrepov za ponovno vzpostavitev finančnega položaja posamezne institucije.</w:t>
      </w:r>
    </w:p>
    <w:p w14:paraId="77345569" w14:textId="77777777" w:rsidR="00687B90" w:rsidRPr="00215B2F" w:rsidRDefault="00687B90" w:rsidP="00FD5520">
      <w:pPr>
        <w:shd w:val="clear" w:color="auto" w:fill="FFFFFF" w:themeFill="background1"/>
        <w:spacing w:after="0" w:line="240" w:lineRule="auto"/>
        <w:jc w:val="both"/>
        <w:rPr>
          <w:rFonts w:ascii="Arial" w:eastAsia="Arial" w:hAnsi="Arial" w:cs="Arial"/>
          <w:sz w:val="20"/>
          <w:szCs w:val="20"/>
        </w:rPr>
      </w:pPr>
    </w:p>
    <w:p w14:paraId="1981C075" w14:textId="5726666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(7) Banka Slovenije kot konsolidacijski nadzornik obrazloženo odločitev iz prejšnjega odstavka predloži EU nadrejeni družbi.</w:t>
      </w:r>
    </w:p>
    <w:p w14:paraId="6B9BE829" w14:textId="77777777" w:rsidR="00687B90" w:rsidRPr="00215B2F" w:rsidRDefault="00687B90" w:rsidP="00FD5520">
      <w:pPr>
        <w:shd w:val="clear" w:color="auto" w:fill="FFFFFF" w:themeFill="background1"/>
        <w:spacing w:after="0" w:line="240" w:lineRule="auto"/>
        <w:jc w:val="both"/>
        <w:rPr>
          <w:rFonts w:ascii="Arial" w:eastAsia="Arial" w:hAnsi="Arial" w:cs="Arial"/>
          <w:sz w:val="20"/>
          <w:szCs w:val="20"/>
        </w:rPr>
      </w:pPr>
    </w:p>
    <w:p w14:paraId="21C0F790" w14:textId="59ADD26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(8) Če skupna odločitev iz šestega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ni sprejeta v petih dneh, lahko Banka Slovenije sama sprejme odločitev o uporabi ukrepov v zvezi z EU nadrejeno družbo oziroma banko, nad katero izvaja nadzor v skladu s tem zakonom in Uredbo 1024/2013/EU</w:t>
      </w:r>
      <w:r w:rsidR="00DB4205" w:rsidRPr="00215B2F">
        <w:rPr>
          <w:rFonts w:ascii="Arial" w:eastAsia="Arial" w:hAnsi="Arial" w:cs="Arial"/>
          <w:sz w:val="20"/>
          <w:szCs w:val="20"/>
        </w:rPr>
        <w:t>, ter</w:t>
      </w:r>
      <w:r w:rsidRPr="00215B2F">
        <w:rPr>
          <w:rFonts w:ascii="Arial" w:eastAsia="Arial" w:hAnsi="Arial" w:cs="Arial"/>
          <w:sz w:val="20"/>
          <w:szCs w:val="20"/>
        </w:rPr>
        <w:t xml:space="preserve"> pri tem upošteva mnenja in pomisleke, ki so jih drugi pristojni organi izrazili v petdnevnem obdobju posvetovanja, ter morebitn</w:t>
      </w:r>
      <w:r w:rsidR="00DB4205" w:rsidRPr="00215B2F">
        <w:rPr>
          <w:rFonts w:ascii="Arial" w:eastAsia="Arial" w:hAnsi="Arial" w:cs="Arial"/>
          <w:sz w:val="20"/>
          <w:szCs w:val="20"/>
        </w:rPr>
        <w:t>i</w:t>
      </w:r>
      <w:r w:rsidRPr="00215B2F">
        <w:rPr>
          <w:rFonts w:ascii="Arial" w:eastAsia="Arial" w:hAnsi="Arial" w:cs="Arial"/>
          <w:sz w:val="20"/>
          <w:szCs w:val="20"/>
        </w:rPr>
        <w:t xml:space="preserve"> vpliv odločitve na finančno stabilnost v zadevnih državah članicah. Obrazloženo odločitev Banka Slovenije po</w:t>
      </w:r>
      <w:r w:rsidR="00DB4205" w:rsidRPr="00215B2F">
        <w:rPr>
          <w:rFonts w:ascii="Arial" w:eastAsia="Arial" w:hAnsi="Arial" w:cs="Arial"/>
          <w:sz w:val="20"/>
          <w:szCs w:val="20"/>
        </w:rPr>
        <w:t>šl</w:t>
      </w:r>
      <w:r w:rsidRPr="00215B2F">
        <w:rPr>
          <w:rFonts w:ascii="Arial" w:eastAsia="Arial" w:hAnsi="Arial" w:cs="Arial"/>
          <w:sz w:val="20"/>
          <w:szCs w:val="20"/>
        </w:rPr>
        <w:t>je EU nadrejeni družbi oziroma banki.</w:t>
      </w:r>
    </w:p>
    <w:p w14:paraId="2890D676" w14:textId="77777777" w:rsidR="00687B90" w:rsidRPr="00215B2F" w:rsidRDefault="00687B90" w:rsidP="00FD5520">
      <w:pPr>
        <w:shd w:val="clear" w:color="auto" w:fill="FFFFFF" w:themeFill="background1"/>
        <w:spacing w:after="0" w:line="240" w:lineRule="auto"/>
        <w:jc w:val="both"/>
        <w:rPr>
          <w:rFonts w:ascii="Arial" w:eastAsia="Arial" w:hAnsi="Arial" w:cs="Arial"/>
          <w:sz w:val="20"/>
          <w:szCs w:val="20"/>
        </w:rPr>
      </w:pPr>
    </w:p>
    <w:p w14:paraId="02E6057D" w14:textId="47AB9CB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(9) Banka Slovenije ali drug pristojni organ, ki je vključen v nadzor na konsolidirani podlagi, lahko pod pogoji, določenimi v desetem odstavku tega člena, predloži Evropskemu bančnemu organu zahtevo v skladu s tretjim odstavkom 19. člena Uredbe 1093/2010/EU glede odločitve, ki vključuje enega ali več ukrepov:</w:t>
      </w:r>
    </w:p>
    <w:p w14:paraId="03D8A601" w14:textId="77777777" w:rsidR="00687B90" w:rsidRPr="00215B2F" w:rsidRDefault="00687B90" w:rsidP="00FD5520">
      <w:pPr>
        <w:shd w:val="clear" w:color="auto" w:fill="FFFFFF" w:themeFill="background1"/>
        <w:spacing w:after="0" w:line="240" w:lineRule="auto"/>
        <w:jc w:val="both"/>
        <w:rPr>
          <w:rFonts w:ascii="Arial" w:eastAsia="Arial" w:hAnsi="Arial" w:cs="Arial"/>
          <w:sz w:val="20"/>
          <w:szCs w:val="20"/>
        </w:rPr>
      </w:pPr>
    </w:p>
    <w:p w14:paraId="4D6D4C66" w14:textId="3A1A457A" w:rsidR="00D91782" w:rsidRPr="00215B2F" w:rsidRDefault="00D91782" w:rsidP="003D4DE0">
      <w:pPr>
        <w:pStyle w:val="tevilnatoka"/>
        <w:numPr>
          <w:ilvl w:val="0"/>
          <w:numId w:val="242"/>
        </w:numPr>
        <w:shd w:val="clear" w:color="auto" w:fill="FFFFFF" w:themeFill="background1"/>
        <w:tabs>
          <w:tab w:val="clear" w:pos="425"/>
        </w:tabs>
        <w:rPr>
          <w:rFonts w:cs="Arial"/>
          <w:bCs/>
          <w:sz w:val="20"/>
          <w:szCs w:val="20"/>
        </w:rPr>
      </w:pPr>
      <w:r w:rsidRPr="00215B2F">
        <w:rPr>
          <w:rFonts w:eastAsia="Arial" w:cs="Arial"/>
          <w:sz w:val="20"/>
          <w:szCs w:val="20"/>
        </w:rPr>
        <w:t xml:space="preserve">iz 1. in 2. točke prvega odstavka </w:t>
      </w:r>
      <w:r w:rsidR="00FE757E" w:rsidRPr="00215B2F">
        <w:rPr>
          <w:rFonts w:eastAsia="Arial" w:cs="Arial"/>
          <w:sz w:val="20"/>
          <w:szCs w:val="20"/>
        </w:rPr>
        <w:t>348</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v zvezi s:</w:t>
      </w:r>
    </w:p>
    <w:p w14:paraId="1A3601AC" w14:textId="77777777"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kapitalskimi in likvidnostnimi ukrepi, ki so potrebni za zagotavljanje ali obnovitev sposobnosti za uspešno delovanje in finančnega položaja institucije,</w:t>
      </w:r>
    </w:p>
    <w:p w14:paraId="1CD427F5" w14:textId="77777777"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ureditvami in ukrepi za ohranitev ali obnovitev kapitala,</w:t>
      </w:r>
    </w:p>
    <w:p w14:paraId="68FDCA3E" w14:textId="7C6D60AD"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ureditvami in ukrepi za zagotovitev, da ima institucija ustrezn</w:t>
      </w:r>
      <w:r w:rsidR="003123FC" w:rsidRPr="00215B2F">
        <w:rPr>
          <w:rFonts w:ascii="Arial" w:eastAsia="Arial" w:hAnsi="Arial" w:cs="Arial"/>
          <w:sz w:val="20"/>
          <w:szCs w:val="20"/>
        </w:rPr>
        <w:t>i</w:t>
      </w:r>
      <w:r w:rsidRPr="00215B2F">
        <w:rPr>
          <w:rFonts w:ascii="Arial" w:eastAsia="Arial" w:hAnsi="Arial" w:cs="Arial"/>
          <w:sz w:val="20"/>
          <w:szCs w:val="20"/>
        </w:rPr>
        <w:t xml:space="preserve"> dostop do virov financiranja za nepredvidljive dogodke, vključno z možnimi viri likvidnosti, oceno razpoložljivega zavarovanja in oceno možnosti prenosa likvidnosti med subjekti v skupini in poslovnimi področji za zagotovitev, da lahko institucija še naprej opravlja svoje dejavnosti in izpolnjuje svoje obveznosti, ko te zapadejo,</w:t>
      </w:r>
    </w:p>
    <w:p w14:paraId="127A26F4" w14:textId="409681C9"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pripravljalnimi ukrepi, ki jih je institucija sprejela ali jih namerava sprejeti za namen izvajanja načrta sanacije, vključno z ukrepi, potrebnimi za zagotovitev pravočasne dokapitalizacije institucije;</w:t>
      </w:r>
    </w:p>
    <w:p w14:paraId="73350BAB" w14:textId="1CE83B8E" w:rsidR="00D91782" w:rsidRPr="00215B2F" w:rsidRDefault="00D91782" w:rsidP="002946BA">
      <w:pPr>
        <w:pStyle w:val="tevilnatoka"/>
        <w:rPr>
          <w:rFonts w:cs="Arial"/>
          <w:bCs/>
          <w:sz w:val="20"/>
          <w:szCs w:val="20"/>
        </w:rPr>
      </w:pPr>
      <w:r w:rsidRPr="00215B2F">
        <w:rPr>
          <w:rFonts w:eastAsia="Arial" w:cs="Arial"/>
          <w:sz w:val="20"/>
          <w:szCs w:val="20"/>
        </w:rPr>
        <w:t xml:space="preserve">iz 6. in 8. točke prvega odstavka </w:t>
      </w:r>
      <w:r w:rsidR="00FE757E" w:rsidRPr="00215B2F">
        <w:rPr>
          <w:rFonts w:eastAsia="Arial" w:cs="Arial"/>
          <w:sz w:val="20"/>
          <w:szCs w:val="20"/>
        </w:rPr>
        <w:t>348</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2C1C4359"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550DA5B1" w14:textId="7AC67FA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(10) Banka Slovenije ali drug pristojni organ, ki je vključen v nadzor na konsolidirani podlagi, vloži zahtevo iz prejšnjega odstavka, če:</w:t>
      </w:r>
    </w:p>
    <w:p w14:paraId="2D9CFDEF"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78D8784A" w14:textId="0B22D3F2" w:rsidR="00566332" w:rsidRPr="00215B2F" w:rsidRDefault="00D91782" w:rsidP="003D4DE0">
      <w:pPr>
        <w:pStyle w:val="tevilnatoka"/>
        <w:numPr>
          <w:ilvl w:val="0"/>
          <w:numId w:val="243"/>
        </w:numPr>
        <w:shd w:val="clear" w:color="auto" w:fill="FFFFFF" w:themeFill="background1"/>
        <w:tabs>
          <w:tab w:val="clear" w:pos="425"/>
        </w:tabs>
        <w:rPr>
          <w:rFonts w:cs="Arial"/>
          <w:bCs/>
          <w:sz w:val="20"/>
          <w:szCs w:val="20"/>
        </w:rPr>
      </w:pPr>
      <w:r w:rsidRPr="00215B2F">
        <w:rPr>
          <w:rFonts w:eastAsia="Arial" w:cs="Arial"/>
          <w:sz w:val="20"/>
          <w:szCs w:val="20"/>
        </w:rPr>
        <w:t>se ne strinja z odločitvijo pristojnega organa ali konsolidacijskega organa, ki je sprejeta v skladu z drugim ali četrtim odstavkom tega člena, in če vloži zahtevo pred iztekom tridnevnega roka za posvetovanje ali</w:t>
      </w:r>
    </w:p>
    <w:p w14:paraId="477514BF" w14:textId="12EF13D4" w:rsidR="00D91782" w:rsidRPr="00215B2F" w:rsidRDefault="00D91782" w:rsidP="003D4DE0">
      <w:pPr>
        <w:pStyle w:val="tevilnatoka"/>
        <w:numPr>
          <w:ilvl w:val="0"/>
          <w:numId w:val="243"/>
        </w:numPr>
        <w:shd w:val="clear" w:color="auto" w:fill="FFFFFF" w:themeFill="background1"/>
        <w:tabs>
          <w:tab w:val="clear" w:pos="425"/>
        </w:tabs>
        <w:rPr>
          <w:rFonts w:cs="Arial"/>
          <w:bCs/>
          <w:sz w:val="20"/>
          <w:szCs w:val="20"/>
        </w:rPr>
      </w:pPr>
      <w:r w:rsidRPr="00215B2F">
        <w:rPr>
          <w:rFonts w:eastAsia="Arial" w:cs="Arial"/>
          <w:sz w:val="20"/>
          <w:szCs w:val="20"/>
        </w:rPr>
        <w:t>če ni bila sprejeta skupna odločitev v skladu s šestim odstavkom tega člena in če vloži zahtevo pred iztekom petdnevnega roka za posvetovanje.</w:t>
      </w:r>
    </w:p>
    <w:p w14:paraId="3EEF605C"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71A9D174" w14:textId="5229B19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(11) Če je vložena zahteva iz devetega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Banka Slovenije prekine postopek odločanja na podlagi drugega, četrtega ali osmega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do odločitve Evropskega bančnega organa. Če </w:t>
      </w:r>
      <w:r w:rsidR="003123FC" w:rsidRPr="00215B2F">
        <w:rPr>
          <w:rFonts w:ascii="Arial" w:eastAsia="Arial" w:hAnsi="Arial" w:cs="Arial"/>
          <w:sz w:val="20"/>
          <w:szCs w:val="20"/>
        </w:rPr>
        <w:t xml:space="preserve">ta </w:t>
      </w:r>
      <w:r w:rsidRPr="00215B2F">
        <w:rPr>
          <w:rFonts w:ascii="Arial" w:eastAsia="Arial" w:hAnsi="Arial" w:cs="Arial"/>
          <w:sz w:val="20"/>
          <w:szCs w:val="20"/>
        </w:rPr>
        <w:t>na podlagi tretjega odstavka 19. člena Uredbe 1093/2010/EU sprejme svojo odločitev o zadevi v treh dneh, Banka Slovenije pri odločanju njegovo odločitev upošteva. Če Evropski bančni organ ne sprejme odločitve v treh dneh, Banka Slovenije odloči v skladu z drugim, četrtim ali osmim odstavkom tega člena.</w:t>
      </w:r>
    </w:p>
    <w:p w14:paraId="1AD548D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3579FE5" w14:textId="248E12E5" w:rsidR="00D91782" w:rsidRPr="00215B2F" w:rsidRDefault="00684002" w:rsidP="00FD5520">
      <w:pPr>
        <w:shd w:val="clear" w:color="auto" w:fill="FFFFFF" w:themeFill="background1"/>
        <w:spacing w:after="0" w:line="240" w:lineRule="auto"/>
        <w:jc w:val="center"/>
        <w:rPr>
          <w:rFonts w:ascii="Arial" w:eastAsia="Arial" w:hAnsi="Arial" w:cs="Arial"/>
          <w:i/>
          <w:sz w:val="20"/>
          <w:szCs w:val="20"/>
        </w:rPr>
      </w:pPr>
      <w:r w:rsidRPr="00215B2F">
        <w:rPr>
          <w:rFonts w:ascii="Arial" w:eastAsia="Arial" w:hAnsi="Arial" w:cs="Arial"/>
          <w:i/>
          <w:sz w:val="20"/>
          <w:szCs w:val="20"/>
        </w:rPr>
        <w:lastRenderedPageBreak/>
        <w:t>10</w:t>
      </w:r>
      <w:r w:rsidR="00D91782" w:rsidRPr="00215B2F">
        <w:rPr>
          <w:rFonts w:ascii="Arial" w:eastAsia="Arial" w:hAnsi="Arial" w:cs="Arial"/>
          <w:i/>
          <w:sz w:val="20"/>
          <w:szCs w:val="20"/>
        </w:rPr>
        <w:t>.3.</w:t>
      </w:r>
      <w:r w:rsidRPr="00215B2F">
        <w:rPr>
          <w:rFonts w:ascii="Arial" w:eastAsia="Arial" w:hAnsi="Arial" w:cs="Arial"/>
          <w:i/>
          <w:sz w:val="20"/>
          <w:szCs w:val="20"/>
        </w:rPr>
        <w:t>3</w:t>
      </w:r>
      <w:r w:rsidR="00D91782" w:rsidRPr="00215B2F">
        <w:rPr>
          <w:rFonts w:ascii="Arial" w:eastAsia="Arial" w:hAnsi="Arial" w:cs="Arial"/>
          <w:i/>
          <w:sz w:val="20"/>
          <w:szCs w:val="20"/>
        </w:rPr>
        <w:t xml:space="preserve"> Ukrepi v primeru odločitve, da banka propada ali bo verjetno propadla</w:t>
      </w:r>
    </w:p>
    <w:p w14:paraId="539DD47B"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8ED46AD"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17" w:name="_Ref202967295"/>
      <w:r w:rsidRPr="00215B2F">
        <w:rPr>
          <w:rFonts w:ascii="Arial" w:eastAsia="Arial" w:hAnsi="Arial" w:cs="Arial"/>
          <w:b/>
          <w:bCs/>
          <w:sz w:val="20"/>
          <w:szCs w:val="20"/>
        </w:rPr>
        <w:t>člen</w:t>
      </w:r>
      <w:bookmarkEnd w:id="417"/>
    </w:p>
    <w:p w14:paraId="062A4C9E" w14:textId="77777777" w:rsidR="00D91782" w:rsidRPr="00215B2F" w:rsidRDefault="00D91782" w:rsidP="00FD5520">
      <w:pPr>
        <w:pStyle w:val="Slog1"/>
        <w:shd w:val="clear" w:color="auto" w:fill="FFFFFF" w:themeFill="background1"/>
        <w:rPr>
          <w:sz w:val="20"/>
          <w:szCs w:val="20"/>
        </w:rPr>
      </w:pPr>
      <w:r w:rsidRPr="00215B2F">
        <w:rPr>
          <w:sz w:val="20"/>
          <w:szCs w:val="20"/>
        </w:rPr>
        <w:t>(ukrepi v primeru odločitve, da banka propada ali bo verjetno propadla)</w:t>
      </w:r>
    </w:p>
    <w:p w14:paraId="1FC9FA7B" w14:textId="77777777" w:rsidR="00D91782" w:rsidRPr="00215B2F" w:rsidRDefault="00D91782" w:rsidP="00FD5520">
      <w:pPr>
        <w:pStyle w:val="Slog1"/>
        <w:shd w:val="clear" w:color="auto" w:fill="FFFFFF" w:themeFill="background1"/>
        <w:jc w:val="both"/>
        <w:rPr>
          <w:sz w:val="20"/>
          <w:szCs w:val="20"/>
        </w:rPr>
      </w:pPr>
    </w:p>
    <w:p w14:paraId="229AF330" w14:textId="614ED29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Če Banka Slovenije pri izvajanju nadzora ugotovi, da banka v skladu z </w:t>
      </w:r>
      <w:r w:rsidR="0082257C" w:rsidRPr="00215B2F">
        <w:rPr>
          <w:rFonts w:ascii="Arial" w:eastAsia="Arial" w:hAnsi="Arial" w:cs="Arial"/>
          <w:sz w:val="20"/>
          <w:szCs w:val="20"/>
        </w:rPr>
        <w:t>ZRPPB-1</w:t>
      </w:r>
      <w:r w:rsidRPr="00215B2F">
        <w:rPr>
          <w:rFonts w:ascii="Arial" w:eastAsia="Arial" w:hAnsi="Arial" w:cs="Arial"/>
          <w:sz w:val="20"/>
          <w:szCs w:val="20"/>
        </w:rPr>
        <w:t xml:space="preserve"> propada ali bo verjetno propadla, lahko z odredbo zahteva, da banka ali upravljalni organ izvede dodatne ukrepe, vključno z dodatnimi ukrepi iz </w:t>
      </w:r>
      <w:r w:rsidR="005A78EE" w:rsidRPr="00215B2F">
        <w:rPr>
          <w:rFonts w:ascii="Arial" w:eastAsia="Arial" w:hAnsi="Arial" w:cs="Arial"/>
          <w:sz w:val="20"/>
          <w:szCs w:val="20"/>
        </w:rPr>
        <w:t>345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ukrepi zgodnjega posredovanja, </w:t>
      </w:r>
      <w:r w:rsidR="0082257C" w:rsidRPr="00215B2F">
        <w:rPr>
          <w:rFonts w:ascii="Arial" w:eastAsia="Arial" w:hAnsi="Arial" w:cs="Arial"/>
          <w:sz w:val="20"/>
          <w:szCs w:val="20"/>
        </w:rPr>
        <w:t>v skladu s prejšnjim podod</w:t>
      </w:r>
      <w:r w:rsidR="008D7747" w:rsidRPr="00215B2F">
        <w:rPr>
          <w:rFonts w:ascii="Arial" w:eastAsia="Arial" w:hAnsi="Arial" w:cs="Arial"/>
          <w:sz w:val="20"/>
          <w:szCs w:val="20"/>
        </w:rPr>
        <w:t>d</w:t>
      </w:r>
      <w:r w:rsidR="0082257C" w:rsidRPr="00215B2F">
        <w:rPr>
          <w:rFonts w:ascii="Arial" w:eastAsia="Arial" w:hAnsi="Arial" w:cs="Arial"/>
          <w:sz w:val="20"/>
          <w:szCs w:val="20"/>
        </w:rPr>
        <w:t>elkom</w:t>
      </w:r>
      <w:r w:rsidRPr="00215B2F">
        <w:rPr>
          <w:rFonts w:ascii="Arial" w:eastAsia="Arial" w:hAnsi="Arial" w:cs="Arial"/>
          <w:sz w:val="20"/>
          <w:szCs w:val="20"/>
        </w:rPr>
        <w:t xml:space="preserve">. </w:t>
      </w:r>
    </w:p>
    <w:p w14:paraId="2D703C4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5C4257D"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18" w:name="_Ref203490665"/>
      <w:r w:rsidRPr="00215B2F">
        <w:rPr>
          <w:rFonts w:ascii="Arial" w:eastAsia="Arial" w:hAnsi="Arial" w:cs="Arial"/>
          <w:b/>
          <w:bCs/>
          <w:sz w:val="20"/>
          <w:szCs w:val="20"/>
        </w:rPr>
        <w:t>člen</w:t>
      </w:r>
      <w:bookmarkEnd w:id="418"/>
    </w:p>
    <w:p w14:paraId="5487335F" w14:textId="77777777" w:rsidR="00D91782" w:rsidRPr="00215B2F" w:rsidRDefault="00D91782" w:rsidP="00FD5520">
      <w:pPr>
        <w:pStyle w:val="Slog1"/>
        <w:shd w:val="clear" w:color="auto" w:fill="FFFFFF" w:themeFill="background1"/>
        <w:rPr>
          <w:sz w:val="20"/>
          <w:szCs w:val="20"/>
        </w:rPr>
      </w:pPr>
      <w:r w:rsidRPr="00215B2F">
        <w:rPr>
          <w:sz w:val="20"/>
          <w:szCs w:val="20"/>
        </w:rPr>
        <w:t>(omejitve poslovanja)</w:t>
      </w:r>
    </w:p>
    <w:p w14:paraId="61CAB52D" w14:textId="77777777" w:rsidR="00D91782" w:rsidRPr="00215B2F" w:rsidRDefault="00D91782" w:rsidP="00FD5520">
      <w:pPr>
        <w:pStyle w:val="Slog1"/>
        <w:shd w:val="clear" w:color="auto" w:fill="FFFFFF" w:themeFill="background1"/>
        <w:jc w:val="both"/>
        <w:rPr>
          <w:sz w:val="20"/>
          <w:szCs w:val="20"/>
        </w:rPr>
      </w:pPr>
    </w:p>
    <w:p w14:paraId="38956E3E" w14:textId="0D57201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Banka Slovenije pri izvajanju nadzora ugotovi, da banka v skladu z </w:t>
      </w:r>
      <w:r w:rsidR="0082257C" w:rsidRPr="00215B2F">
        <w:rPr>
          <w:rFonts w:ascii="Arial" w:eastAsia="Arial" w:hAnsi="Arial" w:cs="Arial"/>
          <w:sz w:val="20"/>
          <w:szCs w:val="20"/>
        </w:rPr>
        <w:t>ZRPPB-1</w:t>
      </w:r>
      <w:r w:rsidRPr="00215B2F">
        <w:rPr>
          <w:rFonts w:ascii="Arial" w:eastAsia="Arial" w:hAnsi="Arial" w:cs="Arial"/>
          <w:sz w:val="20"/>
          <w:szCs w:val="20"/>
        </w:rPr>
        <w:t xml:space="preserve"> propada ali bo verjetno propadla, lahko z odredbo določi začasne omejitve poslovanja. </w:t>
      </w:r>
    </w:p>
    <w:p w14:paraId="6FBC0D8B"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57B313C5" w14:textId="4684CD1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Če se omejitev poslovanja iz prejšnjega odstavka nanaša na zapadle obveznosti banke, ki se upoštevajo kot zajamčene vloge pri banki, mora Banka Slovenije v petih delovnih dneh po zadržanju: </w:t>
      </w:r>
    </w:p>
    <w:p w14:paraId="0057E1F9"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430A5A7A" w14:textId="77777777" w:rsidR="00566332" w:rsidRPr="00215B2F" w:rsidRDefault="00D91782" w:rsidP="003D4DE0">
      <w:pPr>
        <w:pStyle w:val="tevilnatoka"/>
        <w:numPr>
          <w:ilvl w:val="0"/>
          <w:numId w:val="244"/>
        </w:numPr>
        <w:shd w:val="clear" w:color="auto" w:fill="FFFFFF" w:themeFill="background1"/>
        <w:tabs>
          <w:tab w:val="clear" w:pos="425"/>
        </w:tabs>
        <w:rPr>
          <w:rFonts w:cs="Arial"/>
          <w:bCs/>
          <w:sz w:val="20"/>
          <w:szCs w:val="20"/>
        </w:rPr>
      </w:pPr>
      <w:r w:rsidRPr="00215B2F">
        <w:rPr>
          <w:rFonts w:eastAsia="Arial" w:cs="Arial"/>
          <w:sz w:val="20"/>
          <w:szCs w:val="20"/>
        </w:rPr>
        <w:t xml:space="preserve">odločiti o nerazpoložljivosti vlog v skladu z zakonom, ki ureja sistem jamstva za vloge, ali </w:t>
      </w:r>
    </w:p>
    <w:p w14:paraId="00198285" w14:textId="0E3B849D" w:rsidR="00D91782" w:rsidRPr="00215B2F" w:rsidRDefault="00D91782" w:rsidP="003D4DE0">
      <w:pPr>
        <w:pStyle w:val="tevilnatoka"/>
        <w:numPr>
          <w:ilvl w:val="0"/>
          <w:numId w:val="244"/>
        </w:numPr>
        <w:shd w:val="clear" w:color="auto" w:fill="FFFFFF" w:themeFill="background1"/>
        <w:tabs>
          <w:tab w:val="clear" w:pos="425"/>
        </w:tabs>
        <w:rPr>
          <w:rFonts w:cs="Arial"/>
          <w:bCs/>
          <w:sz w:val="20"/>
          <w:szCs w:val="20"/>
        </w:rPr>
      </w:pPr>
      <w:r w:rsidRPr="00215B2F">
        <w:rPr>
          <w:rFonts w:eastAsia="Arial" w:cs="Arial"/>
          <w:sz w:val="20"/>
          <w:szCs w:val="20"/>
        </w:rPr>
        <w:t xml:space="preserve">preklicati zadržanje izplačila za te obveznosti in zagotoviti </w:t>
      </w:r>
      <w:r w:rsidR="00954058" w:rsidRPr="00215B2F">
        <w:rPr>
          <w:rFonts w:eastAsia="Arial" w:cs="Arial"/>
          <w:sz w:val="20"/>
          <w:szCs w:val="20"/>
        </w:rPr>
        <w:t>pogoje</w:t>
      </w:r>
      <w:r w:rsidR="008D463B" w:rsidRPr="00215B2F">
        <w:rPr>
          <w:rFonts w:eastAsia="Arial" w:cs="Arial"/>
          <w:sz w:val="20"/>
          <w:szCs w:val="20"/>
        </w:rPr>
        <w:t xml:space="preserve"> </w:t>
      </w:r>
      <w:r w:rsidRPr="00215B2F">
        <w:rPr>
          <w:rFonts w:eastAsia="Arial" w:cs="Arial"/>
          <w:sz w:val="20"/>
          <w:szCs w:val="20"/>
        </w:rPr>
        <w:t>za izpolnitev obveznosti banke do vlagatelja z izplačilom ali pobotom zapadlih obveznosti banke, ki se upoštevajo kot zajamčene vloge pri banki.</w:t>
      </w:r>
    </w:p>
    <w:p w14:paraId="6DB0D59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F957051" w14:textId="7746DCA5" w:rsidR="00E95F30" w:rsidRPr="00215B2F" w:rsidRDefault="00E95F30"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Za začasno omejitev poslovanja se smiselno uporabljajo četrti do sedmi odstavek 348. člena tega zakona.</w:t>
      </w:r>
    </w:p>
    <w:p w14:paraId="643D5EF1" w14:textId="77777777" w:rsidR="00E95F30" w:rsidRPr="00215B2F" w:rsidRDefault="00E95F30" w:rsidP="00FD5520">
      <w:pPr>
        <w:shd w:val="clear" w:color="auto" w:fill="FFFFFF" w:themeFill="background1"/>
        <w:spacing w:after="0" w:line="240" w:lineRule="auto"/>
        <w:jc w:val="both"/>
        <w:rPr>
          <w:rFonts w:ascii="Arial" w:eastAsia="Arial" w:hAnsi="Arial" w:cs="Arial"/>
          <w:sz w:val="20"/>
          <w:szCs w:val="20"/>
        </w:rPr>
      </w:pPr>
    </w:p>
    <w:p w14:paraId="33FE3728" w14:textId="706FEFB4" w:rsidR="00D91782" w:rsidRPr="00215B2F" w:rsidRDefault="00684002"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10</w:t>
      </w:r>
      <w:r w:rsidR="00D91782" w:rsidRPr="00215B2F">
        <w:rPr>
          <w:rFonts w:ascii="Arial" w:eastAsia="Arial" w:hAnsi="Arial" w:cs="Arial"/>
          <w:i/>
          <w:iCs/>
          <w:sz w:val="20"/>
          <w:szCs w:val="20"/>
        </w:rPr>
        <w:t>.3.</w:t>
      </w:r>
      <w:r w:rsidRPr="00215B2F">
        <w:rPr>
          <w:rFonts w:ascii="Arial" w:eastAsia="Arial" w:hAnsi="Arial" w:cs="Arial"/>
          <w:i/>
          <w:iCs/>
          <w:sz w:val="20"/>
          <w:szCs w:val="20"/>
        </w:rPr>
        <w:t>4</w:t>
      </w:r>
      <w:r w:rsidR="00D91782" w:rsidRPr="00215B2F">
        <w:rPr>
          <w:rFonts w:ascii="Arial" w:eastAsia="Arial" w:hAnsi="Arial" w:cs="Arial"/>
          <w:i/>
          <w:iCs/>
          <w:sz w:val="20"/>
          <w:szCs w:val="20"/>
        </w:rPr>
        <w:t xml:space="preserve"> Odvzem dovoljenja za opravljanje storitev banke in kreditne družbe</w:t>
      </w:r>
    </w:p>
    <w:p w14:paraId="3A96B70C" w14:textId="77777777"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p>
    <w:p w14:paraId="42F92612"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19" w:name="_Ref202967374"/>
      <w:r w:rsidRPr="00215B2F">
        <w:rPr>
          <w:rFonts w:ascii="Arial" w:eastAsia="Arial" w:hAnsi="Arial" w:cs="Arial"/>
          <w:b/>
          <w:bCs/>
          <w:sz w:val="20"/>
          <w:szCs w:val="20"/>
        </w:rPr>
        <w:t>člen</w:t>
      </w:r>
      <w:bookmarkEnd w:id="419"/>
    </w:p>
    <w:p w14:paraId="1CE027D0" w14:textId="77777777" w:rsidR="00D91782" w:rsidRPr="00215B2F" w:rsidRDefault="00D91782" w:rsidP="00FD5520">
      <w:pPr>
        <w:pStyle w:val="Slog1"/>
        <w:shd w:val="clear" w:color="auto" w:fill="FFFFFF" w:themeFill="background1"/>
        <w:rPr>
          <w:sz w:val="20"/>
          <w:szCs w:val="20"/>
        </w:rPr>
      </w:pPr>
      <w:r w:rsidRPr="00215B2F">
        <w:rPr>
          <w:sz w:val="20"/>
          <w:szCs w:val="20"/>
        </w:rPr>
        <w:t>(odvzem dovoljenja za opravljanje bančnih storitev)</w:t>
      </w:r>
    </w:p>
    <w:p w14:paraId="5E6416ED" w14:textId="77777777" w:rsidR="00D91782" w:rsidRPr="00215B2F" w:rsidRDefault="00D91782" w:rsidP="00FD5520">
      <w:pPr>
        <w:pStyle w:val="Slog1"/>
        <w:shd w:val="clear" w:color="auto" w:fill="FFFFFF" w:themeFill="background1"/>
        <w:jc w:val="both"/>
        <w:rPr>
          <w:sz w:val="20"/>
          <w:szCs w:val="20"/>
        </w:rPr>
      </w:pPr>
    </w:p>
    <w:p w14:paraId="40D05D10" w14:textId="6275CF8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420" w:name="_Hlk203490708"/>
      <w:r w:rsidRPr="00215B2F">
        <w:rPr>
          <w:rFonts w:ascii="Arial" w:eastAsia="Arial" w:hAnsi="Arial" w:cs="Arial"/>
          <w:sz w:val="20"/>
          <w:szCs w:val="20"/>
        </w:rPr>
        <w:t xml:space="preserve">(1) Dovoljenje za opravljanje bančnih storitev se lahko odvzame,  </w:t>
      </w:r>
      <w:r w:rsidR="00D84A2A" w:rsidRPr="00215B2F">
        <w:rPr>
          <w:rFonts w:ascii="Arial" w:eastAsia="Arial" w:hAnsi="Arial" w:cs="Arial"/>
          <w:sz w:val="20"/>
          <w:szCs w:val="20"/>
        </w:rPr>
        <w:t>v primerih</w:t>
      </w:r>
      <w:r w:rsidRPr="00215B2F">
        <w:rPr>
          <w:rFonts w:ascii="Arial" w:eastAsia="Arial" w:hAnsi="Arial" w:cs="Arial"/>
          <w:sz w:val="20"/>
          <w:szCs w:val="20"/>
        </w:rPr>
        <w:t xml:space="preserve">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in </w:t>
      </w:r>
      <w:r w:rsidR="00CE6589" w:rsidRPr="00215B2F">
        <w:rPr>
          <w:rFonts w:ascii="Arial" w:eastAsia="Arial" w:hAnsi="Arial" w:cs="Arial"/>
          <w:sz w:val="20"/>
          <w:szCs w:val="20"/>
        </w:rPr>
        <w:t xml:space="preserve">če </w:t>
      </w:r>
      <w:r w:rsidRPr="00215B2F">
        <w:rPr>
          <w:rFonts w:ascii="Arial" w:eastAsia="Arial" w:hAnsi="Arial" w:cs="Arial"/>
          <w:sz w:val="20"/>
          <w:szCs w:val="20"/>
        </w:rPr>
        <w:t>hkrati n</w:t>
      </w:r>
      <w:r w:rsidR="00330C80" w:rsidRPr="00215B2F">
        <w:rPr>
          <w:rFonts w:ascii="Arial" w:eastAsia="Arial" w:hAnsi="Arial" w:cs="Arial"/>
          <w:sz w:val="20"/>
          <w:szCs w:val="20"/>
        </w:rPr>
        <w:t>e obstajajo</w:t>
      </w:r>
      <w:r w:rsidRPr="00215B2F">
        <w:rPr>
          <w:rFonts w:ascii="Arial" w:eastAsia="Arial" w:hAnsi="Arial" w:cs="Arial"/>
          <w:sz w:val="20"/>
          <w:szCs w:val="20"/>
        </w:rPr>
        <w:t xml:space="preserve"> okoliščine, iz katerih bi izhajalo, da bodo ti razlogi v ustreznem roku verjetno odpravljeni.</w:t>
      </w:r>
    </w:p>
    <w:p w14:paraId="2A3B83C1"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148EF5EC" w14:textId="1CF626C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Dovoljenje za opravljanje bančnih storitev se lahko odvzame, če:</w:t>
      </w:r>
    </w:p>
    <w:p w14:paraId="16792004" w14:textId="77777777" w:rsidR="00FD58B1" w:rsidRPr="00215B2F" w:rsidRDefault="00FD58B1" w:rsidP="00FD5520">
      <w:pPr>
        <w:shd w:val="clear" w:color="auto" w:fill="FFFFFF" w:themeFill="background1"/>
        <w:spacing w:after="0" w:line="240" w:lineRule="auto"/>
        <w:jc w:val="both"/>
        <w:rPr>
          <w:rFonts w:ascii="Arial" w:eastAsia="Arial" w:hAnsi="Arial" w:cs="Arial"/>
          <w:sz w:val="20"/>
          <w:szCs w:val="20"/>
        </w:rPr>
      </w:pPr>
    </w:p>
    <w:p w14:paraId="2F8ACD22" w14:textId="77777777" w:rsidR="00566332" w:rsidRPr="00215B2F" w:rsidRDefault="00D91782" w:rsidP="003D4DE0">
      <w:pPr>
        <w:pStyle w:val="tevilnatoka"/>
        <w:numPr>
          <w:ilvl w:val="0"/>
          <w:numId w:val="245"/>
        </w:numPr>
        <w:shd w:val="clear" w:color="auto" w:fill="FFFFFF" w:themeFill="background1"/>
        <w:tabs>
          <w:tab w:val="clear" w:pos="425"/>
        </w:tabs>
        <w:rPr>
          <w:rFonts w:cs="Arial"/>
          <w:bCs/>
          <w:sz w:val="20"/>
          <w:szCs w:val="20"/>
        </w:rPr>
      </w:pPr>
      <w:r w:rsidRPr="00215B2F">
        <w:rPr>
          <w:rFonts w:eastAsia="Arial" w:cs="Arial"/>
          <w:sz w:val="20"/>
          <w:szCs w:val="20"/>
        </w:rPr>
        <w:t>je banka pridobila dovoljenje z navajanjem neresničnih podatkov;</w:t>
      </w:r>
    </w:p>
    <w:p w14:paraId="7B38209A" w14:textId="77777777" w:rsidR="00566332" w:rsidRPr="00215B2F" w:rsidRDefault="00D91782" w:rsidP="003D4DE0">
      <w:pPr>
        <w:pStyle w:val="tevilnatoka"/>
        <w:numPr>
          <w:ilvl w:val="0"/>
          <w:numId w:val="245"/>
        </w:numPr>
        <w:shd w:val="clear" w:color="auto" w:fill="FFFFFF" w:themeFill="background1"/>
        <w:tabs>
          <w:tab w:val="clear" w:pos="425"/>
        </w:tabs>
        <w:rPr>
          <w:rFonts w:cs="Arial"/>
          <w:bCs/>
          <w:sz w:val="20"/>
          <w:szCs w:val="20"/>
        </w:rPr>
      </w:pPr>
      <w:r w:rsidRPr="00215B2F">
        <w:rPr>
          <w:rFonts w:eastAsia="Arial" w:cs="Arial"/>
          <w:sz w:val="20"/>
          <w:szCs w:val="20"/>
        </w:rPr>
        <w:t>banka ne izpolnjuje pogojev, ki se zahtevajo za pridobitev dovoljenja za opravljanje bančnih storitev v skladu s tem zakonom;</w:t>
      </w:r>
    </w:p>
    <w:p w14:paraId="405E418E" w14:textId="1646226F" w:rsidR="00566332" w:rsidRPr="00215B2F" w:rsidRDefault="00D91782" w:rsidP="003D4DE0">
      <w:pPr>
        <w:pStyle w:val="tevilnatoka"/>
        <w:numPr>
          <w:ilvl w:val="0"/>
          <w:numId w:val="245"/>
        </w:numPr>
        <w:shd w:val="clear" w:color="auto" w:fill="FFFFFF" w:themeFill="background1"/>
        <w:tabs>
          <w:tab w:val="clear" w:pos="425"/>
        </w:tabs>
        <w:rPr>
          <w:rFonts w:cs="Arial"/>
          <w:bCs/>
          <w:sz w:val="20"/>
          <w:szCs w:val="20"/>
        </w:rPr>
      </w:pPr>
      <w:r w:rsidRPr="00215B2F">
        <w:rPr>
          <w:rFonts w:eastAsia="Arial" w:cs="Arial"/>
          <w:sz w:val="20"/>
          <w:szCs w:val="20"/>
        </w:rPr>
        <w:t>banka ne izpolnjuje več zahtev iz 3., 4. ali 6. dela Uredbe 575/2013/EU, razen zahtev iz 92</w:t>
      </w:r>
      <w:r w:rsidR="00B97DD3" w:rsidRPr="00215B2F">
        <w:rPr>
          <w:rFonts w:eastAsia="Arial" w:cs="Arial"/>
          <w:sz w:val="20"/>
          <w:szCs w:val="20"/>
        </w:rPr>
        <w:t>.</w:t>
      </w:r>
      <w:r w:rsidRPr="00215B2F">
        <w:rPr>
          <w:rFonts w:eastAsia="Arial" w:cs="Arial"/>
          <w:sz w:val="20"/>
          <w:szCs w:val="20"/>
        </w:rPr>
        <w:t>a in 92</w:t>
      </w:r>
      <w:r w:rsidR="00B97DD3" w:rsidRPr="00215B2F">
        <w:rPr>
          <w:rFonts w:eastAsia="Arial" w:cs="Arial"/>
          <w:sz w:val="20"/>
          <w:szCs w:val="20"/>
        </w:rPr>
        <w:t>.</w:t>
      </w:r>
      <w:r w:rsidRPr="00215B2F">
        <w:rPr>
          <w:rFonts w:eastAsia="Arial" w:cs="Arial"/>
          <w:sz w:val="20"/>
          <w:szCs w:val="20"/>
        </w:rPr>
        <w:t xml:space="preserve">b člena </w:t>
      </w:r>
      <w:r w:rsidR="00091BC8" w:rsidRPr="00215B2F">
        <w:rPr>
          <w:rFonts w:eastAsia="Arial" w:cs="Arial"/>
          <w:sz w:val="20"/>
          <w:szCs w:val="20"/>
        </w:rPr>
        <w:t>navedene uredbe</w:t>
      </w:r>
      <w:r w:rsidRPr="00215B2F">
        <w:rPr>
          <w:rFonts w:eastAsia="Arial" w:cs="Arial"/>
          <w:sz w:val="20"/>
          <w:szCs w:val="20"/>
        </w:rPr>
        <w:t xml:space="preserve">, ali dodatne kapitalske zahteve iz </w:t>
      </w:r>
      <w:r w:rsidR="0013101D" w:rsidRPr="00215B2F">
        <w:rPr>
          <w:rFonts w:eastAsia="Arial" w:cs="Arial"/>
          <w:sz w:val="20"/>
          <w:szCs w:val="20"/>
        </w:rPr>
        <w:t>238</w:t>
      </w:r>
      <w:r w:rsidRPr="00215B2F">
        <w:rPr>
          <w:rFonts w:eastAsia="Arial" w:cs="Arial"/>
          <w:sz w:val="20"/>
          <w:szCs w:val="20"/>
        </w:rPr>
        <w:t xml:space="preserve">. člena ali 1. točke drugega odstavka </w:t>
      </w:r>
      <w:r w:rsidR="005A78EE" w:rsidRPr="00215B2F">
        <w:rPr>
          <w:rFonts w:eastAsia="Arial" w:cs="Arial"/>
          <w:sz w:val="20"/>
          <w:szCs w:val="20"/>
        </w:rPr>
        <w:t>345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ali dodatne likvidnosti banke na podlagi dodatnih ukrepov iz </w:t>
      </w:r>
      <w:r w:rsidR="005A78EE" w:rsidRPr="00215B2F">
        <w:rPr>
          <w:rFonts w:eastAsia="Arial" w:cs="Arial"/>
          <w:sz w:val="20"/>
          <w:szCs w:val="20"/>
        </w:rPr>
        <w:t>345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hkrati pa ugotovljenih kršitev ni mogoče odpraviti z drugimi ukrepi nadzora;</w:t>
      </w:r>
    </w:p>
    <w:p w14:paraId="48E900B8" w14:textId="7D8F0F73" w:rsidR="00566332" w:rsidRPr="00215B2F" w:rsidRDefault="00D91782" w:rsidP="003D4DE0">
      <w:pPr>
        <w:pStyle w:val="tevilnatoka"/>
        <w:numPr>
          <w:ilvl w:val="0"/>
          <w:numId w:val="245"/>
        </w:numPr>
        <w:shd w:val="clear" w:color="auto" w:fill="FFFFFF" w:themeFill="background1"/>
        <w:tabs>
          <w:tab w:val="clear" w:pos="425"/>
        </w:tabs>
        <w:rPr>
          <w:rFonts w:cs="Arial"/>
          <w:bCs/>
          <w:sz w:val="20"/>
          <w:szCs w:val="20"/>
        </w:rPr>
      </w:pPr>
      <w:r w:rsidRPr="00215B2F">
        <w:rPr>
          <w:rFonts w:eastAsia="Arial" w:cs="Arial"/>
          <w:sz w:val="20"/>
          <w:szCs w:val="20"/>
        </w:rPr>
        <w:t>banka ne ravna v skladu z odredbo in ne odpravi kršitev ali ne izv</w:t>
      </w:r>
      <w:r w:rsidR="00B97DD3" w:rsidRPr="00215B2F">
        <w:rPr>
          <w:rFonts w:eastAsia="Arial" w:cs="Arial"/>
          <w:sz w:val="20"/>
          <w:szCs w:val="20"/>
        </w:rPr>
        <w:t>ede</w:t>
      </w:r>
      <w:r w:rsidRPr="00215B2F">
        <w:rPr>
          <w:rFonts w:eastAsia="Arial" w:cs="Arial"/>
          <w:sz w:val="20"/>
          <w:szCs w:val="20"/>
        </w:rPr>
        <w:t xml:space="preserve"> ukrepov, ki jih zahteva Banka Slovenije, in ugotovljenih kršitev ni mogoče odpraviti z drugimi ukrepi nadzora;</w:t>
      </w:r>
    </w:p>
    <w:p w14:paraId="5291EF0D" w14:textId="5835AF68" w:rsidR="00566332" w:rsidRPr="00215B2F" w:rsidRDefault="00D91782" w:rsidP="003D4DE0">
      <w:pPr>
        <w:pStyle w:val="tevilnatoka"/>
        <w:numPr>
          <w:ilvl w:val="0"/>
          <w:numId w:val="245"/>
        </w:numPr>
        <w:shd w:val="clear" w:color="auto" w:fill="FFFFFF" w:themeFill="background1"/>
        <w:tabs>
          <w:tab w:val="clear" w:pos="425"/>
        </w:tabs>
        <w:rPr>
          <w:rFonts w:cs="Arial"/>
          <w:bCs/>
          <w:sz w:val="20"/>
          <w:szCs w:val="20"/>
        </w:rPr>
      </w:pPr>
      <w:r w:rsidRPr="00215B2F">
        <w:rPr>
          <w:rFonts w:eastAsia="Arial" w:cs="Arial"/>
          <w:sz w:val="20"/>
          <w:szCs w:val="20"/>
        </w:rPr>
        <w:t xml:space="preserve">ni več mogoče pričakovati, da bo banka izpolnila svoje obveznosti do upnikov, in ne zagotavlja več ustreznega jamstva za sredstva, ki so </w:t>
      </w:r>
      <w:r w:rsidR="00B97DD3" w:rsidRPr="00215B2F">
        <w:rPr>
          <w:rFonts w:eastAsia="Arial" w:cs="Arial"/>
          <w:sz w:val="20"/>
          <w:szCs w:val="20"/>
        </w:rPr>
        <w:t xml:space="preserve">ji </w:t>
      </w:r>
      <w:r w:rsidRPr="00215B2F">
        <w:rPr>
          <w:rFonts w:eastAsia="Arial" w:cs="Arial"/>
          <w:sz w:val="20"/>
          <w:szCs w:val="20"/>
        </w:rPr>
        <w:t>jih zaupali vlagatelji, zlasti če ne izpolnjuje obveznosti v zvezi z zagotavljanjem sredstev za izplačilo zajamčenih vlog;</w:t>
      </w:r>
    </w:p>
    <w:p w14:paraId="2B09DD9A" w14:textId="1E971282" w:rsidR="00566332" w:rsidRPr="00215B2F" w:rsidRDefault="00D91782" w:rsidP="003D4DE0">
      <w:pPr>
        <w:pStyle w:val="tevilnatoka"/>
        <w:numPr>
          <w:ilvl w:val="0"/>
          <w:numId w:val="245"/>
        </w:numPr>
        <w:shd w:val="clear" w:color="auto" w:fill="FFFFFF" w:themeFill="background1"/>
        <w:tabs>
          <w:tab w:val="clear" w:pos="425"/>
        </w:tabs>
        <w:rPr>
          <w:rFonts w:cs="Arial"/>
          <w:bCs/>
          <w:sz w:val="20"/>
          <w:szCs w:val="20"/>
        </w:rPr>
      </w:pPr>
      <w:r w:rsidRPr="00215B2F">
        <w:rPr>
          <w:rFonts w:eastAsia="Arial" w:cs="Arial"/>
          <w:sz w:val="20"/>
          <w:szCs w:val="20"/>
        </w:rPr>
        <w:t>so podani razlogi za odvzem dovoljenja za pridobitev kvalificiranega deleža osebi, ki je neposredno oziroma posredno nadrejena oseba banke;</w:t>
      </w:r>
    </w:p>
    <w:p w14:paraId="3AF98C24" w14:textId="416BEBB1" w:rsidR="00566332" w:rsidRPr="00215B2F" w:rsidRDefault="00330C80" w:rsidP="003D4DE0">
      <w:pPr>
        <w:pStyle w:val="tevilnatoka"/>
        <w:numPr>
          <w:ilvl w:val="0"/>
          <w:numId w:val="245"/>
        </w:numPr>
        <w:shd w:val="clear" w:color="auto" w:fill="FFFFFF" w:themeFill="background1"/>
        <w:tabs>
          <w:tab w:val="clear" w:pos="425"/>
        </w:tabs>
        <w:rPr>
          <w:rFonts w:cs="Arial"/>
          <w:bCs/>
          <w:sz w:val="20"/>
          <w:szCs w:val="20"/>
        </w:rPr>
      </w:pPr>
      <w:r w:rsidRPr="00215B2F">
        <w:rPr>
          <w:rFonts w:eastAsia="Arial" w:cs="Arial"/>
          <w:sz w:val="20"/>
          <w:szCs w:val="20"/>
        </w:rPr>
        <w:t>obstajajo</w:t>
      </w:r>
      <w:r w:rsidR="00D91782" w:rsidRPr="00215B2F">
        <w:rPr>
          <w:rFonts w:eastAsia="Arial" w:cs="Arial"/>
          <w:sz w:val="20"/>
          <w:szCs w:val="20"/>
        </w:rPr>
        <w:t xml:space="preserve"> okoliščine, zaradi katerih je oteženo učinkovito izvajanje nadzora nad banko, in z drugimi ukrepi nadzora ni mogoče odpraviti kršitve</w:t>
      </w:r>
      <w:r w:rsidR="00B97DD3" w:rsidRPr="00215B2F">
        <w:rPr>
          <w:rFonts w:eastAsia="Arial" w:cs="Arial"/>
          <w:sz w:val="20"/>
          <w:szCs w:val="20"/>
        </w:rPr>
        <w:t>;</w:t>
      </w:r>
    </w:p>
    <w:p w14:paraId="2BE00771" w14:textId="5B32B949" w:rsidR="00D91782" w:rsidRPr="00215B2F" w:rsidRDefault="00D91782" w:rsidP="003D4DE0">
      <w:pPr>
        <w:pStyle w:val="tevilnatoka"/>
        <w:numPr>
          <w:ilvl w:val="0"/>
          <w:numId w:val="245"/>
        </w:numPr>
        <w:shd w:val="clear" w:color="auto" w:fill="FFFFFF" w:themeFill="background1"/>
        <w:tabs>
          <w:tab w:val="clear" w:pos="425"/>
        </w:tabs>
        <w:rPr>
          <w:rFonts w:cs="Arial"/>
          <w:bCs/>
          <w:sz w:val="20"/>
          <w:szCs w:val="20"/>
        </w:rPr>
      </w:pPr>
      <w:r w:rsidRPr="00215B2F">
        <w:rPr>
          <w:rFonts w:eastAsia="Arial" w:cs="Arial"/>
          <w:sz w:val="20"/>
          <w:szCs w:val="20"/>
        </w:rPr>
        <w:t>so izpolnjeni vsi naslednji pogoji:</w:t>
      </w:r>
    </w:p>
    <w:p w14:paraId="117AAC38" w14:textId="3C82F482" w:rsidR="00C316EC" w:rsidRPr="00215B2F" w:rsidRDefault="00D91782" w:rsidP="009400AE">
      <w:pPr>
        <w:pStyle w:val="Odstavekseznama"/>
        <w:numPr>
          <w:ilvl w:val="0"/>
          <w:numId w:val="40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banka v skladu s 1. točko prvega odstavka 68. člena ZRPPB-1 oziroma </w:t>
      </w:r>
      <w:r w:rsidR="00F7123D" w:rsidRPr="00215B2F">
        <w:rPr>
          <w:rFonts w:ascii="Arial" w:eastAsia="Arial" w:hAnsi="Arial" w:cs="Arial"/>
          <w:sz w:val="20"/>
          <w:szCs w:val="20"/>
        </w:rPr>
        <w:t xml:space="preserve">točko (a) prvega odstavka 32. </w:t>
      </w:r>
      <w:r w:rsidRPr="00215B2F">
        <w:rPr>
          <w:rFonts w:ascii="Arial" w:eastAsia="Arial" w:hAnsi="Arial" w:cs="Arial"/>
          <w:sz w:val="20"/>
          <w:szCs w:val="20"/>
        </w:rPr>
        <w:t xml:space="preserve">člena Direktive 2014/59/EU ali v skladu s </w:t>
      </w:r>
      <w:r w:rsidR="00F7123D" w:rsidRPr="00215B2F">
        <w:rPr>
          <w:rFonts w:ascii="Arial" w:eastAsia="Arial" w:hAnsi="Arial" w:cs="Arial"/>
          <w:sz w:val="20"/>
          <w:szCs w:val="20"/>
        </w:rPr>
        <w:t xml:space="preserve">točko (a) prvega odstavka 18. </w:t>
      </w:r>
      <w:r w:rsidRPr="00215B2F">
        <w:rPr>
          <w:rFonts w:ascii="Arial" w:eastAsia="Arial" w:hAnsi="Arial" w:cs="Arial"/>
          <w:sz w:val="20"/>
          <w:szCs w:val="20"/>
        </w:rPr>
        <w:t>člen</w:t>
      </w:r>
      <w:r w:rsidR="00F7123D" w:rsidRPr="00215B2F">
        <w:rPr>
          <w:rFonts w:ascii="Arial" w:eastAsia="Arial" w:hAnsi="Arial" w:cs="Arial"/>
          <w:sz w:val="20"/>
          <w:szCs w:val="20"/>
        </w:rPr>
        <w:t>a</w:t>
      </w:r>
      <w:r w:rsidRPr="00215B2F">
        <w:rPr>
          <w:rFonts w:ascii="Arial" w:eastAsia="Arial" w:hAnsi="Arial" w:cs="Arial"/>
          <w:sz w:val="20"/>
          <w:szCs w:val="20"/>
        </w:rPr>
        <w:t xml:space="preserve"> Uredbe 806/2014/EU propada ali bo verjetno propadla;</w:t>
      </w:r>
    </w:p>
    <w:p w14:paraId="7EE5B7B0" w14:textId="672EAC6B" w:rsidR="00C316EC" w:rsidRPr="00215B2F" w:rsidRDefault="00D91782" w:rsidP="009400AE">
      <w:pPr>
        <w:pStyle w:val="Odstavekseznama"/>
        <w:numPr>
          <w:ilvl w:val="0"/>
          <w:numId w:val="40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lastRenderedPageBreak/>
        <w:t xml:space="preserve">v zvezi z banko je izpolnjen pogoj iz 2. točke prvega odstavka 68. člena ZRPPB-1 oziroma člena </w:t>
      </w:r>
      <w:r w:rsidR="00F7123D" w:rsidRPr="00215B2F">
        <w:rPr>
          <w:rFonts w:ascii="Arial" w:eastAsia="Arial" w:hAnsi="Arial" w:cs="Arial"/>
          <w:sz w:val="20"/>
          <w:szCs w:val="20"/>
        </w:rPr>
        <w:t xml:space="preserve">točke (b) prvega odstavka </w:t>
      </w:r>
      <w:r w:rsidRPr="00215B2F">
        <w:rPr>
          <w:rFonts w:ascii="Arial" w:eastAsia="Arial" w:hAnsi="Arial" w:cs="Arial"/>
          <w:sz w:val="20"/>
          <w:szCs w:val="20"/>
        </w:rPr>
        <w:t>32</w:t>
      </w:r>
      <w:r w:rsidR="00F7123D" w:rsidRPr="00215B2F">
        <w:rPr>
          <w:rFonts w:ascii="Arial" w:eastAsia="Arial" w:hAnsi="Arial" w:cs="Arial"/>
          <w:sz w:val="20"/>
          <w:szCs w:val="20"/>
        </w:rPr>
        <w:t>. člena</w:t>
      </w:r>
      <w:r w:rsidRPr="00215B2F">
        <w:rPr>
          <w:rFonts w:ascii="Arial" w:eastAsia="Arial" w:hAnsi="Arial" w:cs="Arial"/>
          <w:sz w:val="20"/>
          <w:szCs w:val="20"/>
        </w:rPr>
        <w:t xml:space="preserve"> Direktive 2014/59/EU ali iz </w:t>
      </w:r>
      <w:r w:rsidR="00F7123D" w:rsidRPr="00215B2F">
        <w:rPr>
          <w:rFonts w:ascii="Arial" w:eastAsia="Arial" w:hAnsi="Arial" w:cs="Arial"/>
          <w:sz w:val="20"/>
          <w:szCs w:val="20"/>
        </w:rPr>
        <w:t xml:space="preserve">točke (b) 18. </w:t>
      </w:r>
      <w:r w:rsidRPr="00215B2F">
        <w:rPr>
          <w:rFonts w:ascii="Arial" w:eastAsia="Arial" w:hAnsi="Arial" w:cs="Arial"/>
          <w:sz w:val="20"/>
          <w:szCs w:val="20"/>
        </w:rPr>
        <w:t xml:space="preserve">člena Uredbe 806/2014/EU; </w:t>
      </w:r>
    </w:p>
    <w:p w14:paraId="01EE5F7C" w14:textId="059D51AF" w:rsidR="00D91782" w:rsidRPr="00215B2F" w:rsidRDefault="00D91782" w:rsidP="009400AE">
      <w:pPr>
        <w:pStyle w:val="Odstavekseznama"/>
        <w:numPr>
          <w:ilvl w:val="0"/>
          <w:numId w:val="40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v zvezi z banko ni izpolnjen pogoj iz 3. točke prvega odstavka 68. člena ZRPPB-1 oziroma</w:t>
      </w:r>
      <w:r w:rsidR="00F7123D" w:rsidRPr="00215B2F">
        <w:rPr>
          <w:rFonts w:ascii="Arial" w:eastAsia="Arial" w:hAnsi="Arial" w:cs="Arial"/>
          <w:sz w:val="20"/>
          <w:szCs w:val="20"/>
        </w:rPr>
        <w:t xml:space="preserve"> točke (c) prvega odstavka 32.</w:t>
      </w:r>
      <w:r w:rsidRPr="00215B2F">
        <w:rPr>
          <w:rFonts w:ascii="Arial" w:eastAsia="Arial" w:hAnsi="Arial" w:cs="Arial"/>
          <w:sz w:val="20"/>
          <w:szCs w:val="20"/>
        </w:rPr>
        <w:t xml:space="preserve"> člena Direktive 2014/59/EU ali iz </w:t>
      </w:r>
      <w:r w:rsidR="00F7123D" w:rsidRPr="00215B2F">
        <w:rPr>
          <w:rFonts w:ascii="Arial" w:eastAsia="Arial" w:hAnsi="Arial" w:cs="Arial"/>
          <w:sz w:val="20"/>
          <w:szCs w:val="20"/>
        </w:rPr>
        <w:t xml:space="preserve">točke (c) prvega odstavka 18. </w:t>
      </w:r>
      <w:r w:rsidRPr="00215B2F">
        <w:rPr>
          <w:rFonts w:ascii="Arial" w:eastAsia="Arial" w:hAnsi="Arial" w:cs="Arial"/>
          <w:sz w:val="20"/>
          <w:szCs w:val="20"/>
        </w:rPr>
        <w:t>člena Uredbe 806/2014/EU.</w:t>
      </w:r>
    </w:p>
    <w:p w14:paraId="1346C4BC"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30D1D69D" w14:textId="4A11431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Dovoljenje za opravljanje bančnih storitev se banki lahko odvzame tudi, če njena nadrejena banka, nadrejeni finančni holding ali nadrejeni mešani finančni holding:</w:t>
      </w:r>
    </w:p>
    <w:p w14:paraId="36C54C6A" w14:textId="77777777" w:rsidR="00654D99" w:rsidRPr="00215B2F" w:rsidRDefault="00654D99" w:rsidP="00FD5520">
      <w:pPr>
        <w:shd w:val="clear" w:color="auto" w:fill="FFFFFF" w:themeFill="background1"/>
        <w:spacing w:after="0" w:line="240" w:lineRule="auto"/>
        <w:ind w:firstLine="708"/>
        <w:jc w:val="both"/>
        <w:rPr>
          <w:rFonts w:ascii="Arial" w:eastAsia="Arial" w:hAnsi="Arial" w:cs="Arial"/>
          <w:sz w:val="20"/>
          <w:szCs w:val="20"/>
        </w:rPr>
      </w:pPr>
    </w:p>
    <w:p w14:paraId="0383AE6D" w14:textId="77777777" w:rsidR="0056633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ne sprejme ukrepov, ki bi bili lahko potrebni za zagotovitev skladnosti z bonitetnimi zahtevami iz 3., 4., 6. ali 7. dela Uredbe 575/2013/EU;</w:t>
      </w:r>
    </w:p>
    <w:p w14:paraId="06D27FAE" w14:textId="30D78E5F" w:rsidR="0056633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ne ravna v skladu z odločbo iz </w:t>
      </w:r>
      <w:r w:rsidR="00BC4E51" w:rsidRPr="00215B2F">
        <w:rPr>
          <w:rFonts w:ascii="Arial" w:eastAsia="Arial" w:hAnsi="Arial" w:cs="Arial"/>
          <w:sz w:val="20"/>
          <w:szCs w:val="20"/>
        </w:rPr>
        <w:t>240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s katero ji oziroma mu je bila naložena dodatna kapitalska zahteva, ali v skladu z odredbo na podlagi 1. točke drugega odstavka </w:t>
      </w:r>
      <w:r w:rsidR="005A78EE" w:rsidRPr="00215B2F">
        <w:rPr>
          <w:rFonts w:ascii="Arial" w:eastAsia="Arial" w:hAnsi="Arial" w:cs="Arial"/>
          <w:sz w:val="20"/>
          <w:szCs w:val="20"/>
        </w:rPr>
        <w:t>345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ali</w:t>
      </w:r>
    </w:p>
    <w:p w14:paraId="2449BB87" w14:textId="02B18145"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ne ravna v skladu z odredbo na podlagi četrtega odstavka </w:t>
      </w:r>
      <w:r w:rsidR="005A78EE" w:rsidRPr="00215B2F">
        <w:rPr>
          <w:rFonts w:ascii="Arial" w:eastAsia="Arial" w:hAnsi="Arial" w:cs="Arial"/>
          <w:sz w:val="20"/>
          <w:szCs w:val="20"/>
        </w:rPr>
        <w:t>345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s katero ji oziroma mu je bila naložena dodatna zahteva glede zagotavljanja ustreznega likvidnostnega položaja.</w:t>
      </w:r>
    </w:p>
    <w:p w14:paraId="323777A6"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3BABE024" w14:textId="587D9A8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Za namen iz 7. točke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se šteje, da je izvajanje učinkovitega nadzora oteženo zlasti, če je banka poslovno ali lastniško povezana z drugimi družbami ali posamezniki </w:t>
      </w:r>
      <w:r w:rsidR="00BC1E91" w:rsidRPr="00215B2F">
        <w:rPr>
          <w:rFonts w:ascii="Arial" w:eastAsia="Arial" w:hAnsi="Arial" w:cs="Arial"/>
          <w:sz w:val="20"/>
          <w:szCs w:val="20"/>
        </w:rPr>
        <w:t>tako</w:t>
      </w:r>
      <w:r w:rsidRPr="00215B2F">
        <w:rPr>
          <w:rFonts w:ascii="Arial" w:eastAsia="Arial" w:hAnsi="Arial" w:cs="Arial"/>
          <w:sz w:val="20"/>
          <w:szCs w:val="20"/>
        </w:rPr>
        <w:t>, da zaradi medsebojnih povezav med temi osebami ni mogoče celovito oceniti tveganj, ki nastanejo za banko.</w:t>
      </w:r>
    </w:p>
    <w:p w14:paraId="465A52D4"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4BC2A476" w14:textId="6C6EDF8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Če banka ne izpolnjuje tehničnih, kadrovskih, organizacijskih oziroma drugih pogojev za opravljanje posameznih vrst poslov pri opravljanju bančnih storitev, se lahko namesto odvzema dovoljenja za opravljanje bančnih storitev banki prepove</w:t>
      </w:r>
      <w:r w:rsidR="004F3824" w:rsidRPr="00215B2F">
        <w:rPr>
          <w:rFonts w:ascii="Arial" w:eastAsia="Arial" w:hAnsi="Arial" w:cs="Arial"/>
          <w:sz w:val="20"/>
          <w:szCs w:val="20"/>
        </w:rPr>
        <w:t>jo</w:t>
      </w:r>
      <w:r w:rsidRPr="00215B2F">
        <w:rPr>
          <w:rFonts w:ascii="Arial" w:eastAsia="Arial" w:hAnsi="Arial" w:cs="Arial"/>
          <w:sz w:val="20"/>
          <w:szCs w:val="20"/>
        </w:rPr>
        <w:t xml:space="preserve"> opravljati t</w:t>
      </w:r>
      <w:r w:rsidR="004F3824" w:rsidRPr="00215B2F">
        <w:rPr>
          <w:rFonts w:ascii="Arial" w:eastAsia="Arial" w:hAnsi="Arial" w:cs="Arial"/>
          <w:sz w:val="20"/>
          <w:szCs w:val="20"/>
        </w:rPr>
        <w:t>i</w:t>
      </w:r>
      <w:r w:rsidRPr="00215B2F">
        <w:rPr>
          <w:rFonts w:ascii="Arial" w:eastAsia="Arial" w:hAnsi="Arial" w:cs="Arial"/>
          <w:sz w:val="20"/>
          <w:szCs w:val="20"/>
        </w:rPr>
        <w:t xml:space="preserve"> posl</w:t>
      </w:r>
      <w:r w:rsidR="004F3824" w:rsidRPr="00215B2F">
        <w:rPr>
          <w:rFonts w:ascii="Arial" w:eastAsia="Arial" w:hAnsi="Arial" w:cs="Arial"/>
          <w:sz w:val="20"/>
          <w:szCs w:val="20"/>
        </w:rPr>
        <w:t>i</w:t>
      </w:r>
      <w:r w:rsidRPr="00215B2F">
        <w:rPr>
          <w:rFonts w:ascii="Arial" w:eastAsia="Arial" w:hAnsi="Arial" w:cs="Arial"/>
          <w:sz w:val="20"/>
          <w:szCs w:val="20"/>
        </w:rPr>
        <w:t>.</w:t>
      </w:r>
    </w:p>
    <w:p w14:paraId="67711A93"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052C257A" w14:textId="4011C25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Banka Slovenije nemudoma obvesti organ, pristojen za reševanje, če ugotovi, da so v banki podani ali bodo v šestih mesecih verjetno podani razlogi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0105C345"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09A66E4C" w14:textId="67DD74C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Ne glede na prvi </w:t>
      </w:r>
      <w:r w:rsidR="00746E88" w:rsidRPr="00215B2F">
        <w:rPr>
          <w:rFonts w:ascii="Arial" w:eastAsia="Arial" w:hAnsi="Arial" w:cs="Arial"/>
          <w:sz w:val="20"/>
          <w:szCs w:val="20"/>
        </w:rPr>
        <w:t>odstavek tega člena</w:t>
      </w:r>
      <w:r w:rsidRPr="00215B2F">
        <w:rPr>
          <w:rFonts w:ascii="Arial" w:eastAsia="Arial" w:hAnsi="Arial" w:cs="Arial"/>
          <w:sz w:val="20"/>
          <w:szCs w:val="20"/>
        </w:rPr>
        <w:t xml:space="preserve"> se dovoljenje za opravljanje bančnih storitev ne odvzame, če organ, pristojen za reševanje, v določenem roku odloči, da se v banki izvedejo ukrepi za reševanje, s katerimi se bodo odpravile okoliščine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bookmarkEnd w:id="420"/>
    <w:p w14:paraId="50E21D32"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0D86DADD"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21" w:name="_Ref202967386"/>
      <w:r w:rsidRPr="00215B2F">
        <w:rPr>
          <w:rFonts w:ascii="Arial" w:eastAsia="Arial" w:hAnsi="Arial" w:cs="Arial"/>
          <w:b/>
          <w:bCs/>
          <w:sz w:val="20"/>
          <w:szCs w:val="20"/>
        </w:rPr>
        <w:t>člen</w:t>
      </w:r>
      <w:bookmarkEnd w:id="421"/>
    </w:p>
    <w:p w14:paraId="1B0A08A1" w14:textId="77777777" w:rsidR="00D91782" w:rsidRPr="00215B2F" w:rsidRDefault="00D91782" w:rsidP="00FD5520">
      <w:pPr>
        <w:pStyle w:val="Slog1"/>
        <w:shd w:val="clear" w:color="auto" w:fill="FFFFFF" w:themeFill="background1"/>
        <w:rPr>
          <w:sz w:val="20"/>
          <w:szCs w:val="20"/>
        </w:rPr>
      </w:pPr>
      <w:r w:rsidRPr="00215B2F">
        <w:rPr>
          <w:sz w:val="20"/>
          <w:szCs w:val="20"/>
        </w:rPr>
        <w:t>(odvzem dovoljenja za opravljanje finančnih storitev in dodatnih finančnih storitev)</w:t>
      </w:r>
    </w:p>
    <w:p w14:paraId="6AF9B7FE" w14:textId="77777777" w:rsidR="00D91782" w:rsidRPr="00215B2F" w:rsidRDefault="00D91782" w:rsidP="00FD5520">
      <w:pPr>
        <w:pStyle w:val="Slog1"/>
        <w:shd w:val="clear" w:color="auto" w:fill="FFFFFF" w:themeFill="background1"/>
        <w:jc w:val="both"/>
        <w:rPr>
          <w:sz w:val="20"/>
          <w:szCs w:val="20"/>
        </w:rPr>
      </w:pPr>
    </w:p>
    <w:p w14:paraId="09146B4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lahko odvzame banki dovoljenje za opravljanje finančnih ali dodatnih finančnih storitev, če:</w:t>
      </w:r>
    </w:p>
    <w:p w14:paraId="10728742"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10C5B567" w14:textId="77777777" w:rsidR="00566332" w:rsidRPr="00215B2F" w:rsidRDefault="00D91782" w:rsidP="003D4DE0">
      <w:pPr>
        <w:pStyle w:val="tevilnatoka"/>
        <w:numPr>
          <w:ilvl w:val="0"/>
          <w:numId w:val="246"/>
        </w:numPr>
        <w:shd w:val="clear" w:color="auto" w:fill="FFFFFF" w:themeFill="background1"/>
        <w:tabs>
          <w:tab w:val="clear" w:pos="425"/>
        </w:tabs>
        <w:rPr>
          <w:rFonts w:cs="Arial"/>
          <w:bCs/>
          <w:sz w:val="20"/>
          <w:szCs w:val="20"/>
        </w:rPr>
      </w:pPr>
      <w:r w:rsidRPr="00215B2F">
        <w:rPr>
          <w:rFonts w:eastAsia="Arial" w:cs="Arial"/>
          <w:sz w:val="20"/>
          <w:szCs w:val="20"/>
        </w:rPr>
        <w:t>je banka pridobila dovoljenje z navajanjem neresničnih podatkov;</w:t>
      </w:r>
    </w:p>
    <w:p w14:paraId="7AF45F25" w14:textId="77777777" w:rsidR="00566332" w:rsidRPr="00215B2F" w:rsidRDefault="00D91782" w:rsidP="003D4DE0">
      <w:pPr>
        <w:pStyle w:val="tevilnatoka"/>
        <w:numPr>
          <w:ilvl w:val="0"/>
          <w:numId w:val="246"/>
        </w:numPr>
        <w:shd w:val="clear" w:color="auto" w:fill="FFFFFF" w:themeFill="background1"/>
        <w:tabs>
          <w:tab w:val="clear" w:pos="425"/>
        </w:tabs>
        <w:rPr>
          <w:rFonts w:cs="Arial"/>
          <w:bCs/>
          <w:sz w:val="20"/>
          <w:szCs w:val="20"/>
        </w:rPr>
      </w:pPr>
      <w:r w:rsidRPr="00215B2F">
        <w:rPr>
          <w:rFonts w:eastAsia="Arial" w:cs="Arial"/>
          <w:sz w:val="20"/>
          <w:szCs w:val="20"/>
        </w:rPr>
        <w:t>banka ne izpolnjuje pogojev, ki se zahtevajo za pridobitev dovoljenja za opravljanje storitev v skladu s tem zakonom;</w:t>
      </w:r>
    </w:p>
    <w:p w14:paraId="2ABB92FC" w14:textId="77777777" w:rsidR="00566332" w:rsidRPr="00215B2F" w:rsidRDefault="00D91782" w:rsidP="003D4DE0">
      <w:pPr>
        <w:pStyle w:val="tevilnatoka"/>
        <w:numPr>
          <w:ilvl w:val="0"/>
          <w:numId w:val="246"/>
        </w:numPr>
        <w:shd w:val="clear" w:color="auto" w:fill="FFFFFF" w:themeFill="background1"/>
        <w:tabs>
          <w:tab w:val="clear" w:pos="425"/>
        </w:tabs>
        <w:rPr>
          <w:rFonts w:cs="Arial"/>
          <w:bCs/>
          <w:sz w:val="20"/>
          <w:szCs w:val="20"/>
        </w:rPr>
      </w:pPr>
      <w:r w:rsidRPr="00215B2F">
        <w:rPr>
          <w:rFonts w:eastAsia="Arial" w:cs="Arial"/>
          <w:sz w:val="20"/>
          <w:szCs w:val="20"/>
        </w:rPr>
        <w:t>če banka ne ravna v skladu z zahtevo Banke Slovenije ali Evropske centralne banke in ne odpravi kršitev ali ne izvede ukrepov, da se kršitve odpravijo, ali če ne prepreči nastanek kršitev, kadar kršitve izhajajo iz dejavnosti banke pri opravljanju teh storitev;</w:t>
      </w:r>
    </w:p>
    <w:p w14:paraId="4B9AD2D5" w14:textId="27BE3D42" w:rsidR="00D91782" w:rsidRPr="00215B2F" w:rsidRDefault="00D91782" w:rsidP="003D4DE0">
      <w:pPr>
        <w:pStyle w:val="tevilnatoka"/>
        <w:numPr>
          <w:ilvl w:val="0"/>
          <w:numId w:val="246"/>
        </w:numPr>
        <w:shd w:val="clear" w:color="auto" w:fill="FFFFFF" w:themeFill="background1"/>
        <w:tabs>
          <w:tab w:val="clear" w:pos="425"/>
        </w:tabs>
        <w:rPr>
          <w:rFonts w:cs="Arial"/>
          <w:bCs/>
          <w:sz w:val="20"/>
          <w:szCs w:val="20"/>
        </w:rPr>
      </w:pPr>
      <w:r w:rsidRPr="00215B2F">
        <w:rPr>
          <w:rFonts w:eastAsia="Arial" w:cs="Arial"/>
          <w:sz w:val="20"/>
          <w:szCs w:val="20"/>
        </w:rPr>
        <w:t xml:space="preserve">če zaradi dejavnosti banke pri opravljanju teh storitev </w:t>
      </w:r>
      <w:r w:rsidR="00330C80" w:rsidRPr="00215B2F">
        <w:rPr>
          <w:rFonts w:eastAsia="Arial" w:cs="Arial"/>
          <w:sz w:val="20"/>
          <w:szCs w:val="20"/>
        </w:rPr>
        <w:t xml:space="preserve">obstajajo </w:t>
      </w:r>
      <w:r w:rsidRPr="00215B2F">
        <w:rPr>
          <w:rFonts w:eastAsia="Arial" w:cs="Arial"/>
          <w:sz w:val="20"/>
          <w:szCs w:val="20"/>
        </w:rPr>
        <w:t>okoliščine, zaradi katerih ni mogoče celovito oceniti tveganj, ki nastanejo za banko, in z drugimi ukrepi nadzora ni mogoče odpraviti kršitev.</w:t>
      </w:r>
    </w:p>
    <w:p w14:paraId="488E3763"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0D97228E" w14:textId="42B8D9F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Če banka ne izpolnjuje tehničnih, kadrovskih, organizacijskih oziroma drugih pogojev za opravljanje posameznih vrst poslov pri opravljanju finančnih ali dodatnih finančnih storitev, lahko Banka Slovenije namesto odvzema dovoljenja za opravljanje finančnih ali dodatnih finančnih storitev z odločbo banki prepove opravljati posamezne posle.</w:t>
      </w:r>
    </w:p>
    <w:p w14:paraId="175C15B1"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7A1547A5" w14:textId="5D67D18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je v zvezi z ugotavljanjem razlogov iz prvega in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vezana na ugotovitve Evropske centralne banke, kadar ta v skladu z Uredbo 1024/2013/EU pri opravljanju nadzora nad banko izvaja naloge iz prvega odstavka 4. člena </w:t>
      </w:r>
      <w:r w:rsidR="00091BC8" w:rsidRPr="00215B2F">
        <w:rPr>
          <w:rFonts w:ascii="Arial" w:eastAsia="Arial" w:hAnsi="Arial" w:cs="Arial"/>
          <w:sz w:val="20"/>
          <w:szCs w:val="20"/>
        </w:rPr>
        <w:t>navedene uredbe</w:t>
      </w:r>
      <w:r w:rsidRPr="00215B2F">
        <w:rPr>
          <w:rFonts w:ascii="Arial" w:eastAsia="Arial" w:hAnsi="Arial" w:cs="Arial"/>
          <w:sz w:val="20"/>
          <w:szCs w:val="20"/>
        </w:rPr>
        <w:t>.</w:t>
      </w:r>
    </w:p>
    <w:p w14:paraId="384EFCD2"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1D6A8FA3" w14:textId="6AB8382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(4) Za postopek v zvezi s prepovedjo opravljanja posameznih poslov pri opravljanju finančnih ali dodatnih finančnih storitev se smiselno uporabljajo določbe tega zakona o postopku za odvzem dovoljenja.</w:t>
      </w:r>
    </w:p>
    <w:p w14:paraId="4FC24404"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1C151C16" w14:textId="578CCDD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S smiselno uporabo tega člena lahko Banka Slovenije banki izreče tudi pogojni odvzem dovoljenja za opravljanje finančnih ali dodatnih finančnih storitev.</w:t>
      </w:r>
    </w:p>
    <w:p w14:paraId="70E3307C"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6C8039A"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22" w:name="_Ref202967421"/>
      <w:r w:rsidRPr="00215B2F">
        <w:rPr>
          <w:rFonts w:ascii="Arial" w:eastAsia="Arial" w:hAnsi="Arial" w:cs="Arial"/>
          <w:b/>
          <w:bCs/>
          <w:sz w:val="20"/>
          <w:szCs w:val="20"/>
        </w:rPr>
        <w:t>člen</w:t>
      </w:r>
      <w:bookmarkEnd w:id="422"/>
    </w:p>
    <w:p w14:paraId="5576B266" w14:textId="77777777" w:rsidR="00D91782" w:rsidRPr="00215B2F" w:rsidRDefault="00D91782" w:rsidP="00FD5520">
      <w:pPr>
        <w:pStyle w:val="Slog1"/>
        <w:shd w:val="clear" w:color="auto" w:fill="FFFFFF" w:themeFill="background1"/>
        <w:rPr>
          <w:sz w:val="20"/>
          <w:szCs w:val="20"/>
        </w:rPr>
      </w:pPr>
      <w:r w:rsidRPr="00215B2F">
        <w:rPr>
          <w:sz w:val="20"/>
          <w:szCs w:val="20"/>
        </w:rPr>
        <w:t>(odvzem dovoljenja za opravljanje investicijskih storitev in poslov iz 3. in 6. točke prvega odstavka 11. člena ZTFI-1)</w:t>
      </w:r>
    </w:p>
    <w:p w14:paraId="45A6DB48" w14:textId="77777777" w:rsidR="00D91782" w:rsidRPr="00215B2F" w:rsidRDefault="00D91782" w:rsidP="00FD5520">
      <w:pPr>
        <w:pStyle w:val="Slog1"/>
        <w:shd w:val="clear" w:color="auto" w:fill="FFFFFF" w:themeFill="background1"/>
        <w:jc w:val="both"/>
        <w:rPr>
          <w:sz w:val="20"/>
          <w:szCs w:val="20"/>
        </w:rPr>
      </w:pPr>
    </w:p>
    <w:p w14:paraId="2D37260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lahko odvzame kreditni družbi dovoljenje za opravljanje investicijskih storitev in poslov iz 3. in 6. točke prvega odstavka 11. člena ZTFI-1, če: </w:t>
      </w:r>
    </w:p>
    <w:p w14:paraId="0F9EBB86"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39D9907D" w14:textId="77777777" w:rsidR="00566332" w:rsidRPr="00215B2F" w:rsidRDefault="00D91782" w:rsidP="003D4DE0">
      <w:pPr>
        <w:pStyle w:val="tevilnatoka"/>
        <w:numPr>
          <w:ilvl w:val="0"/>
          <w:numId w:val="247"/>
        </w:numPr>
        <w:shd w:val="clear" w:color="auto" w:fill="FFFFFF" w:themeFill="background1"/>
        <w:tabs>
          <w:tab w:val="clear" w:pos="425"/>
        </w:tabs>
        <w:rPr>
          <w:rFonts w:cs="Arial"/>
          <w:bCs/>
          <w:sz w:val="20"/>
          <w:szCs w:val="20"/>
        </w:rPr>
      </w:pPr>
      <w:r w:rsidRPr="00215B2F">
        <w:rPr>
          <w:rFonts w:eastAsia="Arial" w:cs="Arial"/>
          <w:sz w:val="20"/>
          <w:szCs w:val="20"/>
        </w:rPr>
        <w:t xml:space="preserve">je kreditna družba pridobila dovoljenje z navajanjem neresničnih podatkov; </w:t>
      </w:r>
    </w:p>
    <w:p w14:paraId="5746A286" w14:textId="77777777" w:rsidR="00566332" w:rsidRPr="00215B2F" w:rsidRDefault="00D91782" w:rsidP="003D4DE0">
      <w:pPr>
        <w:pStyle w:val="tevilnatoka"/>
        <w:numPr>
          <w:ilvl w:val="0"/>
          <w:numId w:val="247"/>
        </w:numPr>
        <w:shd w:val="clear" w:color="auto" w:fill="FFFFFF" w:themeFill="background1"/>
        <w:tabs>
          <w:tab w:val="clear" w:pos="425"/>
        </w:tabs>
        <w:rPr>
          <w:rFonts w:cs="Arial"/>
          <w:bCs/>
          <w:sz w:val="20"/>
          <w:szCs w:val="20"/>
        </w:rPr>
      </w:pPr>
      <w:r w:rsidRPr="00215B2F">
        <w:rPr>
          <w:rFonts w:eastAsia="Arial" w:cs="Arial"/>
          <w:sz w:val="20"/>
          <w:szCs w:val="20"/>
        </w:rPr>
        <w:t xml:space="preserve">kreditna družba ne izpolnjuje pogojev, ki se zahtevajo za pridobitev dovoljenja za opravljanje storitev v skladu s tem zakonom; </w:t>
      </w:r>
    </w:p>
    <w:p w14:paraId="59037EEB" w14:textId="4840DDF9" w:rsidR="00566332" w:rsidRPr="00215B2F" w:rsidRDefault="00D91782" w:rsidP="003D4DE0">
      <w:pPr>
        <w:pStyle w:val="tevilnatoka"/>
        <w:numPr>
          <w:ilvl w:val="0"/>
          <w:numId w:val="247"/>
        </w:numPr>
        <w:shd w:val="clear" w:color="auto" w:fill="FFFFFF" w:themeFill="background1"/>
        <w:tabs>
          <w:tab w:val="clear" w:pos="425"/>
        </w:tabs>
        <w:rPr>
          <w:rFonts w:cs="Arial"/>
          <w:bCs/>
          <w:sz w:val="20"/>
          <w:szCs w:val="20"/>
        </w:rPr>
      </w:pPr>
      <w:r w:rsidRPr="00215B2F">
        <w:rPr>
          <w:rFonts w:eastAsia="Arial" w:cs="Arial"/>
          <w:sz w:val="20"/>
          <w:szCs w:val="20"/>
        </w:rPr>
        <w:t xml:space="preserve">kreditna družba ne ravna v skladu z zahtevo Banke Slovenije ali Evropske centralne banke in ne odpravi kršitev ali ne izvede ukrepov, da se kršitve odpravijo, ali če ne prepreči nastanka kršitev, kadar kršitve izhajajo iz dejavnosti kreditne družbe pri opravljanju teh storitev; </w:t>
      </w:r>
    </w:p>
    <w:p w14:paraId="7CE4FF84" w14:textId="78DB0DD4" w:rsidR="00566332" w:rsidRPr="00215B2F" w:rsidRDefault="00D91782" w:rsidP="003D4DE0">
      <w:pPr>
        <w:pStyle w:val="tevilnatoka"/>
        <w:numPr>
          <w:ilvl w:val="0"/>
          <w:numId w:val="247"/>
        </w:numPr>
        <w:shd w:val="clear" w:color="auto" w:fill="FFFFFF" w:themeFill="background1"/>
        <w:tabs>
          <w:tab w:val="clear" w:pos="425"/>
        </w:tabs>
        <w:rPr>
          <w:rFonts w:cs="Arial"/>
          <w:bCs/>
          <w:sz w:val="20"/>
          <w:szCs w:val="20"/>
        </w:rPr>
      </w:pPr>
      <w:r w:rsidRPr="00215B2F">
        <w:rPr>
          <w:rFonts w:eastAsia="Arial" w:cs="Arial"/>
          <w:sz w:val="20"/>
          <w:szCs w:val="20"/>
        </w:rPr>
        <w:t xml:space="preserve">zaradi dejavnosti kreditne družbe pri opravljanju teh storitev </w:t>
      </w:r>
      <w:r w:rsidR="00330C80" w:rsidRPr="00215B2F">
        <w:rPr>
          <w:rFonts w:eastAsia="Arial" w:cs="Arial"/>
          <w:sz w:val="20"/>
          <w:szCs w:val="20"/>
        </w:rPr>
        <w:t xml:space="preserve">obstajajo </w:t>
      </w:r>
      <w:r w:rsidRPr="00215B2F">
        <w:rPr>
          <w:rFonts w:eastAsia="Arial" w:cs="Arial"/>
          <w:sz w:val="20"/>
          <w:szCs w:val="20"/>
        </w:rPr>
        <w:t xml:space="preserve">okoliščine, zaradi katerih ni mogoče celovito oceniti tveganj, ki nastanejo za kreditno družbo, in z drugimi ukrepi nadzora ni mogoče odpraviti kršitev; </w:t>
      </w:r>
    </w:p>
    <w:p w14:paraId="3E203844" w14:textId="44DBC8B8" w:rsidR="00D91782" w:rsidRPr="00215B2F" w:rsidRDefault="00D91782" w:rsidP="003D4DE0">
      <w:pPr>
        <w:pStyle w:val="tevilnatoka"/>
        <w:numPr>
          <w:ilvl w:val="0"/>
          <w:numId w:val="247"/>
        </w:numPr>
        <w:shd w:val="clear" w:color="auto" w:fill="FFFFFF" w:themeFill="background1"/>
        <w:tabs>
          <w:tab w:val="clear" w:pos="425"/>
        </w:tabs>
        <w:rPr>
          <w:rFonts w:cs="Arial"/>
          <w:bCs/>
          <w:sz w:val="20"/>
          <w:szCs w:val="20"/>
        </w:rPr>
      </w:pPr>
      <w:r w:rsidRPr="00215B2F">
        <w:rPr>
          <w:rFonts w:eastAsia="Arial" w:cs="Arial"/>
          <w:sz w:val="20"/>
          <w:szCs w:val="20"/>
        </w:rPr>
        <w:t xml:space="preserve">uporablja dovoljenje izključno za opravljanje dejavnosti iz točke (b) 1. točke prvega odstavka 4. člena Uredbe 575/2013/EU, njena povprečna bilančna vsota pa je pet zaporednih let manjša od pragov iz navedenega člena. </w:t>
      </w:r>
    </w:p>
    <w:p w14:paraId="556D3D85"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751B586D" w14:textId="5C376D6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Če kreditna družba ne izpolnjuje tehničnih, kadrovskih, organizacijskih oziroma drugih pogojev za opravljanje posameznih vrst poslov pri opravljanju investicijskih storitev in poslov iz 3. in 6. točke prvega odstavka 11. člena ZTFI-1, lahko Banka Slovenije namesto odvzema dovoljenja za opravljanje investicijskih storitev in poslov iz 3. in 6. točke prvega odstavka 11. člena ZTFI-1, z odločbo kreditni družbi prepove opravljati posamezne posle. </w:t>
      </w:r>
    </w:p>
    <w:p w14:paraId="471A6F94"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351C31A1" w14:textId="3767BC8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je v zvezi z ugotavljanjem razlogov iz prvega in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vezana na ugotovitve Evropske centralne banke, kadar ta v skladu z Uredbo 1024/2013/EU pri opravljanju nadzora nad kreditno družbo izvaja naloge iz prvega odstavka 4. člena navedene uredbe. </w:t>
      </w:r>
    </w:p>
    <w:p w14:paraId="17307098"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15A8B3D9" w14:textId="06AE70B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Za postopek v zvezi s prepovedjo opravljanja posameznih poslov pri opravljanju investicijskih storitev in poslov iz 3. in 6. točke prvega odstavka 11. člena ZTFI-1 se smiselno uporabljajo določbe tega zakona o postopku za odvzem dovoljenja.</w:t>
      </w:r>
    </w:p>
    <w:p w14:paraId="040854D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EAA8641"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23" w:name="_Ref202967429"/>
      <w:r w:rsidRPr="00215B2F">
        <w:rPr>
          <w:rFonts w:ascii="Arial" w:eastAsia="Arial" w:hAnsi="Arial" w:cs="Arial"/>
          <w:b/>
          <w:bCs/>
          <w:sz w:val="20"/>
          <w:szCs w:val="20"/>
        </w:rPr>
        <w:t>člen</w:t>
      </w:r>
      <w:bookmarkEnd w:id="423"/>
    </w:p>
    <w:p w14:paraId="70771A56" w14:textId="77777777" w:rsidR="00D91782" w:rsidRPr="00215B2F" w:rsidRDefault="00D91782" w:rsidP="00FD5520">
      <w:pPr>
        <w:pStyle w:val="Slog1"/>
        <w:shd w:val="clear" w:color="auto" w:fill="FFFFFF" w:themeFill="background1"/>
        <w:rPr>
          <w:sz w:val="20"/>
          <w:szCs w:val="20"/>
        </w:rPr>
      </w:pPr>
      <w:r w:rsidRPr="00215B2F">
        <w:rPr>
          <w:sz w:val="20"/>
          <w:szCs w:val="20"/>
        </w:rPr>
        <w:t>(pogojni odvzem dovoljenja)</w:t>
      </w:r>
    </w:p>
    <w:p w14:paraId="243A3A2C" w14:textId="77777777" w:rsidR="00D91782" w:rsidRPr="00215B2F" w:rsidRDefault="00D91782" w:rsidP="00FD5520">
      <w:pPr>
        <w:pStyle w:val="Slog1"/>
        <w:shd w:val="clear" w:color="auto" w:fill="FFFFFF" w:themeFill="background1"/>
        <w:jc w:val="both"/>
        <w:rPr>
          <w:sz w:val="20"/>
          <w:szCs w:val="20"/>
        </w:rPr>
      </w:pPr>
    </w:p>
    <w:p w14:paraId="68D6773C" w14:textId="0EF7783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Z odločbo o odvzemu dovoljenja lahko Banka Slovenije hkrati izreče, da se dovoljenj</w:t>
      </w:r>
      <w:r w:rsidR="000B1742" w:rsidRPr="00215B2F">
        <w:rPr>
          <w:rFonts w:ascii="Arial" w:eastAsia="Arial" w:hAnsi="Arial" w:cs="Arial"/>
          <w:sz w:val="20"/>
          <w:szCs w:val="20"/>
        </w:rPr>
        <w:t>e</w:t>
      </w:r>
      <w:r w:rsidRPr="00215B2F">
        <w:rPr>
          <w:rFonts w:ascii="Arial" w:eastAsia="Arial" w:hAnsi="Arial" w:cs="Arial"/>
          <w:sz w:val="20"/>
          <w:szCs w:val="20"/>
        </w:rPr>
        <w:t xml:space="preserve"> ne bo </w:t>
      </w:r>
      <w:r w:rsidR="000B1742" w:rsidRPr="00215B2F">
        <w:rPr>
          <w:rFonts w:ascii="Arial" w:eastAsia="Arial" w:hAnsi="Arial" w:cs="Arial"/>
          <w:sz w:val="20"/>
          <w:szCs w:val="20"/>
        </w:rPr>
        <w:t>odvzelo</w:t>
      </w:r>
      <w:r w:rsidRPr="00215B2F">
        <w:rPr>
          <w:rFonts w:ascii="Arial" w:eastAsia="Arial" w:hAnsi="Arial" w:cs="Arial"/>
          <w:sz w:val="20"/>
          <w:szCs w:val="20"/>
        </w:rPr>
        <w:t>, če banka v preizkusni dobi, ki ne sme biti krajša od šestih mesecev in ne daljša od dveh let od dneva izdaje odločbe, ne bo storila nove kršitve, zaradi katere je mogoče odvzeti dovoljenje.</w:t>
      </w:r>
    </w:p>
    <w:p w14:paraId="2AD34F35"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06A91D0E" w14:textId="1484A8B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Kadar Banka Slovenije v skladu s prejšnjim odstavkom banki izreče pogojni odvzem dovoljenja, lahko določi, da</w:t>
      </w:r>
      <w:r w:rsidR="00A30342" w:rsidRPr="00215B2F">
        <w:rPr>
          <w:rFonts w:ascii="Arial" w:eastAsia="Arial" w:hAnsi="Arial" w:cs="Arial"/>
          <w:sz w:val="20"/>
          <w:szCs w:val="20"/>
        </w:rPr>
        <w:t xml:space="preserve"> se</w:t>
      </w:r>
      <w:r w:rsidRPr="00215B2F">
        <w:rPr>
          <w:rFonts w:ascii="Arial" w:eastAsia="Arial" w:hAnsi="Arial" w:cs="Arial"/>
          <w:sz w:val="20"/>
          <w:szCs w:val="20"/>
        </w:rPr>
        <w:t xml:space="preserve"> bo </w:t>
      </w:r>
      <w:r w:rsidR="00396A4A" w:rsidRPr="00215B2F">
        <w:rPr>
          <w:rFonts w:ascii="Arial" w:eastAsia="Arial" w:hAnsi="Arial" w:cs="Arial"/>
          <w:sz w:val="20"/>
          <w:szCs w:val="20"/>
        </w:rPr>
        <w:t xml:space="preserve">dovoljenje, </w:t>
      </w:r>
      <w:r w:rsidRPr="00215B2F">
        <w:rPr>
          <w:rFonts w:ascii="Arial" w:eastAsia="Arial" w:hAnsi="Arial" w:cs="Arial"/>
          <w:sz w:val="20"/>
          <w:szCs w:val="20"/>
        </w:rPr>
        <w:t>poleg primerov iz prejšnjega odstavka</w:t>
      </w:r>
      <w:r w:rsidR="00396A4A" w:rsidRPr="00215B2F">
        <w:rPr>
          <w:rFonts w:ascii="Arial" w:eastAsia="Arial" w:hAnsi="Arial" w:cs="Arial"/>
          <w:sz w:val="20"/>
          <w:szCs w:val="20"/>
        </w:rPr>
        <w:t>,</w:t>
      </w:r>
      <w:r w:rsidRPr="00215B2F">
        <w:rPr>
          <w:rFonts w:ascii="Arial" w:eastAsia="Arial" w:hAnsi="Arial" w:cs="Arial"/>
          <w:sz w:val="20"/>
          <w:szCs w:val="20"/>
        </w:rPr>
        <w:t xml:space="preserve"> </w:t>
      </w:r>
      <w:r w:rsidR="00396A4A" w:rsidRPr="00215B2F">
        <w:rPr>
          <w:rFonts w:ascii="Arial" w:eastAsia="Arial" w:hAnsi="Arial" w:cs="Arial"/>
          <w:sz w:val="20"/>
          <w:szCs w:val="20"/>
        </w:rPr>
        <w:t>odvzelo</w:t>
      </w:r>
      <w:r w:rsidRPr="00215B2F">
        <w:rPr>
          <w:rFonts w:ascii="Arial" w:eastAsia="Arial" w:hAnsi="Arial" w:cs="Arial"/>
          <w:sz w:val="20"/>
          <w:szCs w:val="20"/>
        </w:rPr>
        <w:t xml:space="preserve"> tudi, če banka v določenem roku ne odpravi kršitev, zaradi katerih ji je bil izrečen pogojni odvzem dovoljenja. Rok za izpolnitev teh obveznosti določi Banka Slovenije v mejah preizkusne dobe.</w:t>
      </w:r>
    </w:p>
    <w:p w14:paraId="62A444C2"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20CC56EA" w14:textId="56E5FC2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prekliče pogojni odvzem dovoljenja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in dovoljenje odvzame, če banka v preizkusni dobi stori novo kršitev, zaradi katere je mogoče odvzeti dovoljenje, ali če ne izpolni dodatnih pogojev iz prejšnjega odstavka.</w:t>
      </w:r>
    </w:p>
    <w:p w14:paraId="5A2F04A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8D27CF8" w14:textId="404A04C5" w:rsidR="00D91782" w:rsidRPr="00215B2F" w:rsidRDefault="0068400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10</w:t>
      </w:r>
      <w:r w:rsidR="00D91782" w:rsidRPr="00215B2F">
        <w:rPr>
          <w:rFonts w:ascii="Arial" w:eastAsia="Arial" w:hAnsi="Arial" w:cs="Arial"/>
          <w:b/>
          <w:bCs/>
          <w:sz w:val="20"/>
          <w:szCs w:val="20"/>
        </w:rPr>
        <w:t>.4 UKREPI NADZORA ZOPER KVALIFICIRANE IMETNIKE</w:t>
      </w:r>
    </w:p>
    <w:p w14:paraId="1E110B11"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p>
    <w:p w14:paraId="0EE23DE8"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24" w:name="_Ref202967436"/>
      <w:r w:rsidRPr="00215B2F">
        <w:rPr>
          <w:rFonts w:ascii="Arial" w:eastAsia="Arial" w:hAnsi="Arial" w:cs="Arial"/>
          <w:b/>
          <w:bCs/>
          <w:sz w:val="20"/>
          <w:szCs w:val="20"/>
        </w:rPr>
        <w:t>člen</w:t>
      </w:r>
      <w:bookmarkEnd w:id="424"/>
    </w:p>
    <w:p w14:paraId="4091E617" w14:textId="655C2DEB"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lastRenderedPageBreak/>
        <w:t>(prenehanje veljavnosti odločitve o nenasprotovanju zaradi spremenjenih okoliščin)</w:t>
      </w:r>
    </w:p>
    <w:p w14:paraId="3834CAD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C563C59" w14:textId="1C5A813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Odločitev o nenasprotovanju preneha veljati, če:</w:t>
      </w:r>
    </w:p>
    <w:p w14:paraId="71B3DFCC"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0CE24519" w14:textId="72A5D68D" w:rsidR="00566332" w:rsidRPr="00215B2F" w:rsidRDefault="00D91782" w:rsidP="003D4DE0">
      <w:pPr>
        <w:pStyle w:val="tevilnatoka"/>
        <w:numPr>
          <w:ilvl w:val="0"/>
          <w:numId w:val="248"/>
        </w:numPr>
        <w:shd w:val="clear" w:color="auto" w:fill="FFFFFF" w:themeFill="background1"/>
        <w:tabs>
          <w:tab w:val="clear" w:pos="425"/>
        </w:tabs>
        <w:rPr>
          <w:rFonts w:cs="Arial"/>
          <w:bCs/>
          <w:sz w:val="20"/>
          <w:szCs w:val="20"/>
        </w:rPr>
      </w:pPr>
      <w:r w:rsidRPr="00215B2F">
        <w:rPr>
          <w:rFonts w:eastAsia="Arial" w:cs="Arial"/>
          <w:sz w:val="20"/>
          <w:szCs w:val="20"/>
        </w:rPr>
        <w:t>kvalificirani imetnik, ki ima položaj nadrejene družbe, nadrejenega finančnega holdinga, nadrejenega mešanega finančnega holdinga ali nadrejenega mešanega poslovnega holdinga, krši svoje obveznosti, določene s tem zakonom, in teh kršitev kljub odredbi pristojnega organa oziroma nadzornega organa druge države članice, pristojnega za nadzor na konsolidirani podlagi, ne odpravi ali</w:t>
      </w:r>
    </w:p>
    <w:p w14:paraId="44C65502" w14:textId="7FCB4C5C" w:rsidR="00D91782" w:rsidRPr="00215B2F" w:rsidRDefault="00D91782" w:rsidP="003D4DE0">
      <w:pPr>
        <w:pStyle w:val="tevilnatoka"/>
        <w:numPr>
          <w:ilvl w:val="0"/>
          <w:numId w:val="248"/>
        </w:numPr>
        <w:shd w:val="clear" w:color="auto" w:fill="FFFFFF" w:themeFill="background1"/>
        <w:tabs>
          <w:tab w:val="clear" w:pos="425"/>
        </w:tabs>
        <w:rPr>
          <w:rFonts w:cs="Arial"/>
          <w:bCs/>
          <w:sz w:val="20"/>
          <w:szCs w:val="20"/>
        </w:rPr>
      </w:pPr>
      <w:r w:rsidRPr="00215B2F">
        <w:rPr>
          <w:rFonts w:eastAsia="Arial" w:cs="Arial"/>
          <w:sz w:val="20"/>
          <w:szCs w:val="20"/>
        </w:rPr>
        <w:t xml:space="preserve">Banka Slovenije ugotovi druge okoliščine v zvezi s kvalificiranim imetnikom, na podlagi katerih se lahko v skladu z določbami tega zakona izda odločba o nasprotovanju </w:t>
      </w:r>
      <w:r w:rsidR="0082257C" w:rsidRPr="00215B2F">
        <w:rPr>
          <w:rFonts w:eastAsia="Arial" w:cs="Arial"/>
          <w:sz w:val="20"/>
          <w:szCs w:val="20"/>
        </w:rPr>
        <w:t xml:space="preserve">pridobitvi </w:t>
      </w:r>
      <w:r w:rsidRPr="00215B2F">
        <w:rPr>
          <w:rFonts w:eastAsia="Arial" w:cs="Arial"/>
          <w:sz w:val="20"/>
          <w:szCs w:val="20"/>
        </w:rPr>
        <w:t>kvalificiranega deleža.</w:t>
      </w:r>
    </w:p>
    <w:p w14:paraId="0959CFCA"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07B818F4" w14:textId="1C0C59C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Pravne posledice, določene v </w:t>
      </w:r>
      <w:r w:rsidR="00BC4E51" w:rsidRPr="00215B2F">
        <w:rPr>
          <w:rFonts w:ascii="Arial" w:eastAsia="Arial" w:hAnsi="Arial" w:cs="Arial"/>
          <w:sz w:val="20"/>
          <w:szCs w:val="20"/>
        </w:rPr>
        <w:t>94</w:t>
      </w:r>
      <w:r w:rsidRPr="00215B2F">
        <w:rPr>
          <w:rFonts w:ascii="Arial" w:eastAsia="Arial" w:hAnsi="Arial" w:cs="Arial"/>
          <w:sz w:val="20"/>
          <w:szCs w:val="20"/>
        </w:rPr>
        <w:t xml:space="preserve">. </w:t>
      </w:r>
      <w:r w:rsidR="001F2C7A" w:rsidRPr="00215B2F">
        <w:rPr>
          <w:rFonts w:ascii="Arial" w:eastAsia="Arial" w:hAnsi="Arial" w:cs="Arial"/>
          <w:sz w:val="20"/>
          <w:szCs w:val="20"/>
        </w:rPr>
        <w:t>členu tega zakona</w:t>
      </w:r>
      <w:r w:rsidRPr="00215B2F">
        <w:rPr>
          <w:rFonts w:ascii="Arial" w:eastAsia="Arial" w:hAnsi="Arial" w:cs="Arial"/>
          <w:sz w:val="20"/>
          <w:szCs w:val="20"/>
        </w:rPr>
        <w:t>, nastopijo z dokončnostjo odločbe o odvzemu dovoljenja za pridobitev kvalificiranega deleža.</w:t>
      </w:r>
    </w:p>
    <w:p w14:paraId="3CA1F95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CE7815B"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25" w:name="_Ref202967443"/>
      <w:r w:rsidRPr="00215B2F">
        <w:rPr>
          <w:rFonts w:ascii="Arial" w:eastAsia="Arial" w:hAnsi="Arial" w:cs="Arial"/>
          <w:b/>
          <w:bCs/>
          <w:sz w:val="20"/>
          <w:szCs w:val="20"/>
        </w:rPr>
        <w:t>člen</w:t>
      </w:r>
      <w:bookmarkEnd w:id="425"/>
    </w:p>
    <w:p w14:paraId="4D0100AF" w14:textId="0DF1ACE8" w:rsidR="00D91782" w:rsidRPr="00215B2F" w:rsidRDefault="00D91782" w:rsidP="00FD5520">
      <w:pPr>
        <w:pStyle w:val="Slog1"/>
        <w:shd w:val="clear" w:color="auto" w:fill="FFFFFF" w:themeFill="background1"/>
        <w:rPr>
          <w:sz w:val="20"/>
          <w:szCs w:val="20"/>
        </w:rPr>
      </w:pPr>
      <w:r w:rsidRPr="00215B2F">
        <w:rPr>
          <w:sz w:val="20"/>
          <w:szCs w:val="20"/>
        </w:rPr>
        <w:t>(odredba o odsvojitvi deleža)</w:t>
      </w:r>
    </w:p>
    <w:p w14:paraId="3A84148A" w14:textId="77777777" w:rsidR="00D91782" w:rsidRPr="00215B2F" w:rsidRDefault="00D91782" w:rsidP="00FD5520">
      <w:pPr>
        <w:pStyle w:val="Slog1"/>
        <w:shd w:val="clear" w:color="auto" w:fill="FFFFFF" w:themeFill="background1"/>
        <w:jc w:val="both"/>
        <w:rPr>
          <w:sz w:val="20"/>
          <w:szCs w:val="20"/>
        </w:rPr>
      </w:pPr>
    </w:p>
    <w:p w14:paraId="7814B93D" w14:textId="5F24C90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426" w:name="_Hlk203644974"/>
      <w:r w:rsidRPr="00215B2F">
        <w:rPr>
          <w:rFonts w:ascii="Arial" w:eastAsia="Arial" w:hAnsi="Arial" w:cs="Arial"/>
          <w:sz w:val="20"/>
          <w:szCs w:val="20"/>
        </w:rPr>
        <w:t>(1) Banka Slovenije imetniku kvalificiranega deleža, ki nima veljavne odločitve o nenasprotovanju pridobitvi kvalificiranega deleža za ustrezn</w:t>
      </w:r>
      <w:r w:rsidR="00601BE2" w:rsidRPr="00215B2F">
        <w:rPr>
          <w:rFonts w:ascii="Arial" w:eastAsia="Arial" w:hAnsi="Arial" w:cs="Arial"/>
          <w:sz w:val="20"/>
          <w:szCs w:val="20"/>
        </w:rPr>
        <w:t>i</w:t>
      </w:r>
      <w:r w:rsidRPr="00215B2F">
        <w:rPr>
          <w:rFonts w:ascii="Arial" w:eastAsia="Arial" w:hAnsi="Arial" w:cs="Arial"/>
          <w:sz w:val="20"/>
          <w:szCs w:val="20"/>
        </w:rPr>
        <w:t xml:space="preserve"> razpon iz prvega odstavka </w:t>
      </w:r>
      <w:r w:rsidR="00A615A0" w:rsidRPr="00215B2F">
        <w:rPr>
          <w:rFonts w:ascii="Arial" w:eastAsia="Arial" w:hAnsi="Arial" w:cs="Arial"/>
          <w:sz w:val="20"/>
          <w:szCs w:val="20"/>
        </w:rPr>
        <w:t>91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00601BE2" w:rsidRPr="00215B2F">
        <w:rPr>
          <w:rFonts w:ascii="Arial" w:eastAsia="Arial" w:hAnsi="Arial" w:cs="Arial"/>
          <w:sz w:val="20"/>
          <w:szCs w:val="20"/>
        </w:rPr>
        <w:t>,</w:t>
      </w:r>
      <w:r w:rsidRPr="00215B2F">
        <w:rPr>
          <w:rFonts w:ascii="Arial" w:eastAsia="Arial" w:hAnsi="Arial" w:cs="Arial"/>
          <w:sz w:val="20"/>
          <w:szCs w:val="20"/>
        </w:rPr>
        <w:t xml:space="preserve"> z odredbo naloži, da delež, ki ga ima v nasprotju s tem zakonom, odsvoji (v nadaljnjem besedilu: odredba o odsvojitvi deleža).</w:t>
      </w:r>
    </w:p>
    <w:p w14:paraId="5D0DA61F"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4E134176" w14:textId="1A6406E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V odredbi o odsvojitvi deleža mora Banka Slovenije določiti rok za odsvojitev deleža, ki ne sme biti </w:t>
      </w:r>
      <w:r w:rsidR="005147D3" w:rsidRPr="00215B2F">
        <w:rPr>
          <w:rFonts w:ascii="Arial" w:eastAsia="Arial" w:hAnsi="Arial" w:cs="Arial"/>
          <w:sz w:val="20"/>
          <w:szCs w:val="20"/>
        </w:rPr>
        <w:t xml:space="preserve">ne </w:t>
      </w:r>
      <w:r w:rsidRPr="00215B2F">
        <w:rPr>
          <w:rFonts w:ascii="Arial" w:eastAsia="Arial" w:hAnsi="Arial" w:cs="Arial"/>
          <w:sz w:val="20"/>
          <w:szCs w:val="20"/>
        </w:rPr>
        <w:t>krajši od treh in ne daljši od šestih mesecev.</w:t>
      </w:r>
    </w:p>
    <w:p w14:paraId="709A506F"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53C31FB6" w14:textId="7B19F86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Prvi in drugi </w:t>
      </w:r>
      <w:r w:rsidR="00746E88" w:rsidRPr="00215B2F">
        <w:rPr>
          <w:rFonts w:ascii="Arial" w:eastAsia="Arial" w:hAnsi="Arial" w:cs="Arial"/>
          <w:sz w:val="20"/>
          <w:szCs w:val="20"/>
        </w:rPr>
        <w:t>odstavek tega člena</w:t>
      </w:r>
      <w:r w:rsidRPr="00215B2F">
        <w:rPr>
          <w:rFonts w:ascii="Arial" w:eastAsia="Arial" w:hAnsi="Arial" w:cs="Arial"/>
          <w:sz w:val="20"/>
          <w:szCs w:val="20"/>
        </w:rPr>
        <w:t xml:space="preserve"> se smiselno uporabljata tudi:</w:t>
      </w:r>
    </w:p>
    <w:p w14:paraId="17B44DF9" w14:textId="77777777" w:rsidR="00FD58B1" w:rsidRPr="00215B2F" w:rsidRDefault="00FD58B1" w:rsidP="00FD5520">
      <w:pPr>
        <w:shd w:val="clear" w:color="auto" w:fill="FFFFFF" w:themeFill="background1"/>
        <w:spacing w:after="0" w:line="240" w:lineRule="auto"/>
        <w:jc w:val="both"/>
        <w:rPr>
          <w:rFonts w:ascii="Arial" w:eastAsia="Arial" w:hAnsi="Arial" w:cs="Arial"/>
          <w:sz w:val="20"/>
          <w:szCs w:val="20"/>
        </w:rPr>
      </w:pPr>
    </w:p>
    <w:p w14:paraId="0AE035D0" w14:textId="2140B0F1" w:rsidR="00566332" w:rsidRPr="00215B2F" w:rsidRDefault="00D91782" w:rsidP="003D4DE0">
      <w:pPr>
        <w:pStyle w:val="tevilnatoka"/>
        <w:numPr>
          <w:ilvl w:val="0"/>
          <w:numId w:val="249"/>
        </w:numPr>
        <w:shd w:val="clear" w:color="auto" w:fill="FFFFFF" w:themeFill="background1"/>
        <w:tabs>
          <w:tab w:val="clear" w:pos="425"/>
        </w:tabs>
        <w:rPr>
          <w:rFonts w:cs="Arial"/>
          <w:bCs/>
          <w:sz w:val="20"/>
          <w:szCs w:val="20"/>
        </w:rPr>
      </w:pPr>
      <w:r w:rsidRPr="00215B2F">
        <w:rPr>
          <w:rFonts w:eastAsia="Arial" w:cs="Arial"/>
          <w:sz w:val="20"/>
          <w:szCs w:val="20"/>
        </w:rPr>
        <w:t xml:space="preserve">če imetnik kvalificiranega deleža, s katerim je dosegel ali presegel kvalificirani delež oziroma razpon iz prvega odstavka </w:t>
      </w:r>
      <w:r w:rsidR="00A615A0" w:rsidRPr="00215B2F">
        <w:rPr>
          <w:rFonts w:eastAsia="Arial" w:cs="Arial"/>
          <w:sz w:val="20"/>
          <w:szCs w:val="20"/>
        </w:rPr>
        <w:t>91</w:t>
      </w:r>
      <w:r w:rsidRPr="00215B2F">
        <w:rPr>
          <w:rFonts w:eastAsia="Arial" w:cs="Arial"/>
          <w:sz w:val="20"/>
          <w:szCs w:val="20"/>
        </w:rPr>
        <w:t>. člena</w:t>
      </w:r>
      <w:r w:rsidR="005A6EA0" w:rsidRPr="00215B2F">
        <w:rPr>
          <w:rFonts w:eastAsia="Arial" w:cs="Arial"/>
          <w:sz w:val="20"/>
          <w:szCs w:val="20"/>
        </w:rPr>
        <w:t xml:space="preserve"> tega zakona</w:t>
      </w:r>
      <w:r w:rsidR="00601BE2" w:rsidRPr="00215B2F">
        <w:rPr>
          <w:rFonts w:eastAsia="Arial" w:cs="Arial"/>
          <w:sz w:val="20"/>
          <w:szCs w:val="20"/>
        </w:rPr>
        <w:t>,</w:t>
      </w:r>
      <w:r w:rsidRPr="00215B2F">
        <w:rPr>
          <w:rFonts w:eastAsia="Arial" w:cs="Arial"/>
          <w:sz w:val="20"/>
          <w:szCs w:val="20"/>
        </w:rPr>
        <w:t xml:space="preserve"> za katerega je pridobil odločitev o nasprotovanju</w:t>
      </w:r>
      <w:r w:rsidR="00601BE2" w:rsidRPr="00215B2F">
        <w:rPr>
          <w:rFonts w:eastAsia="Arial" w:cs="Arial"/>
          <w:sz w:val="20"/>
          <w:szCs w:val="20"/>
        </w:rPr>
        <w:t>,</w:t>
      </w:r>
      <w:r w:rsidRPr="00215B2F">
        <w:rPr>
          <w:rFonts w:eastAsia="Arial" w:cs="Arial"/>
          <w:sz w:val="20"/>
          <w:szCs w:val="20"/>
        </w:rPr>
        <w:t xml:space="preserve"> vloži zahtevo za oceno primernosti in je ta zahteva zavrnjena, zavržena ali umaknjena</w:t>
      </w:r>
      <w:r w:rsidR="00601BE2" w:rsidRPr="00215B2F">
        <w:rPr>
          <w:rFonts w:eastAsia="Arial" w:cs="Arial"/>
          <w:sz w:val="20"/>
          <w:szCs w:val="20"/>
        </w:rPr>
        <w:t>;</w:t>
      </w:r>
    </w:p>
    <w:p w14:paraId="61EDB1BB" w14:textId="187C31FD" w:rsidR="00D91782" w:rsidRPr="00215B2F" w:rsidRDefault="00D91782" w:rsidP="003D4DE0">
      <w:pPr>
        <w:pStyle w:val="tevilnatoka"/>
        <w:numPr>
          <w:ilvl w:val="0"/>
          <w:numId w:val="249"/>
        </w:numPr>
        <w:shd w:val="clear" w:color="auto" w:fill="FFFFFF" w:themeFill="background1"/>
        <w:tabs>
          <w:tab w:val="clear" w:pos="425"/>
        </w:tabs>
        <w:rPr>
          <w:rFonts w:cs="Arial"/>
          <w:bCs/>
          <w:sz w:val="20"/>
          <w:szCs w:val="20"/>
        </w:rPr>
      </w:pPr>
      <w:r w:rsidRPr="00215B2F">
        <w:rPr>
          <w:rFonts w:eastAsia="Arial" w:cs="Arial"/>
          <w:sz w:val="20"/>
          <w:szCs w:val="20"/>
        </w:rPr>
        <w:t>če Banka Slovenije ugotovi, da je odločitev o nenasprotovanju prenehala veljati zaradi spremenjenih okoliščin.</w:t>
      </w:r>
    </w:p>
    <w:p w14:paraId="2A54969C"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76C84FFC" w14:textId="6F966B3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Za odredbo </w:t>
      </w:r>
      <w:bookmarkStart w:id="427" w:name="_Hlk214874869"/>
      <w:r w:rsidRPr="00215B2F">
        <w:rPr>
          <w:rFonts w:ascii="Arial" w:eastAsia="Arial" w:hAnsi="Arial" w:cs="Arial"/>
          <w:sz w:val="20"/>
          <w:szCs w:val="20"/>
        </w:rPr>
        <w:t>o odsvojitvi deleža se uporabljajo določbe tega zakona o odredbi</w:t>
      </w:r>
      <w:bookmarkEnd w:id="427"/>
      <w:r w:rsidRPr="00215B2F">
        <w:rPr>
          <w:rFonts w:ascii="Arial" w:eastAsia="Arial" w:hAnsi="Arial" w:cs="Arial"/>
          <w:sz w:val="20"/>
          <w:szCs w:val="20"/>
        </w:rPr>
        <w:t>.</w:t>
      </w:r>
    </w:p>
    <w:bookmarkEnd w:id="426"/>
    <w:p w14:paraId="468D506B"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0F4E75FA" w14:textId="77777777" w:rsidR="00654D99" w:rsidRPr="00215B2F" w:rsidRDefault="00654D99"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28" w:name="_Ref202967450"/>
      <w:r w:rsidRPr="00215B2F">
        <w:rPr>
          <w:rFonts w:ascii="Arial" w:eastAsia="Arial" w:hAnsi="Arial" w:cs="Arial"/>
          <w:b/>
          <w:bCs/>
          <w:sz w:val="20"/>
          <w:szCs w:val="20"/>
        </w:rPr>
        <w:t>člen</w:t>
      </w:r>
      <w:bookmarkEnd w:id="428"/>
    </w:p>
    <w:p w14:paraId="1D0E4AF3"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(poročilo o odsvojitvi delnic in ugotovitvena odločba o odpravljenih kršitvah)</w:t>
      </w:r>
    </w:p>
    <w:p w14:paraId="23D2C5A6"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485E0AD8" w14:textId="6FC178F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Imetnik kvalificiranega deleža, ki mu je bila izdana odredba o odsvojitvi deleža, mora do izteka roka, določenega v odredbi o odsvojitvi deleža, Banki Slovenije predložiti poročilo o odsvojitvi deleža, ki mora </w:t>
      </w:r>
      <w:r w:rsidR="00D84A2A" w:rsidRPr="00215B2F">
        <w:rPr>
          <w:rFonts w:ascii="Arial" w:eastAsia="Arial" w:hAnsi="Arial" w:cs="Arial"/>
          <w:sz w:val="20"/>
          <w:szCs w:val="20"/>
        </w:rPr>
        <w:t>vključevati</w:t>
      </w:r>
      <w:r w:rsidRPr="00215B2F">
        <w:rPr>
          <w:rFonts w:ascii="Arial" w:eastAsia="Arial" w:hAnsi="Arial" w:cs="Arial"/>
          <w:sz w:val="20"/>
          <w:szCs w:val="20"/>
        </w:rPr>
        <w:t>:</w:t>
      </w:r>
    </w:p>
    <w:p w14:paraId="708060CB"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297FC8D6" w14:textId="77777777" w:rsidR="00566332" w:rsidRPr="00215B2F" w:rsidRDefault="00D91782" w:rsidP="003D4DE0">
      <w:pPr>
        <w:pStyle w:val="tevilnatoka"/>
        <w:numPr>
          <w:ilvl w:val="0"/>
          <w:numId w:val="250"/>
        </w:numPr>
        <w:shd w:val="clear" w:color="auto" w:fill="FFFFFF" w:themeFill="background1"/>
        <w:tabs>
          <w:tab w:val="clear" w:pos="425"/>
        </w:tabs>
        <w:rPr>
          <w:rFonts w:cs="Arial"/>
          <w:bCs/>
          <w:sz w:val="20"/>
          <w:szCs w:val="20"/>
        </w:rPr>
      </w:pPr>
      <w:r w:rsidRPr="00215B2F">
        <w:rPr>
          <w:rFonts w:eastAsia="Arial" w:cs="Arial"/>
          <w:sz w:val="20"/>
          <w:szCs w:val="20"/>
        </w:rPr>
        <w:t>dokaze o odsvojitvi in</w:t>
      </w:r>
    </w:p>
    <w:p w14:paraId="6428103A" w14:textId="65908A7D" w:rsidR="00D91782" w:rsidRPr="00215B2F" w:rsidRDefault="00D91782" w:rsidP="003D4DE0">
      <w:pPr>
        <w:pStyle w:val="tevilnatoka"/>
        <w:numPr>
          <w:ilvl w:val="0"/>
          <w:numId w:val="250"/>
        </w:numPr>
        <w:shd w:val="clear" w:color="auto" w:fill="FFFFFF" w:themeFill="background1"/>
        <w:tabs>
          <w:tab w:val="clear" w:pos="425"/>
        </w:tabs>
        <w:rPr>
          <w:rFonts w:cs="Arial"/>
          <w:bCs/>
          <w:sz w:val="20"/>
          <w:szCs w:val="20"/>
        </w:rPr>
      </w:pPr>
      <w:r w:rsidRPr="00215B2F">
        <w:rPr>
          <w:rFonts w:eastAsia="Arial" w:cs="Arial"/>
          <w:sz w:val="20"/>
          <w:szCs w:val="20"/>
        </w:rPr>
        <w:t>podatke o pridobitelju oziroma pridobiteljih deleža.</w:t>
      </w:r>
    </w:p>
    <w:p w14:paraId="68E2942E"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70036060" w14:textId="091A2C5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lahko od pridobitelja deleža iz prejšnjega odstavka zahteva, da se izja</w:t>
      </w:r>
      <w:r w:rsidR="00601BE2" w:rsidRPr="00215B2F">
        <w:rPr>
          <w:rFonts w:ascii="Arial" w:eastAsia="Arial" w:hAnsi="Arial" w:cs="Arial"/>
          <w:sz w:val="20"/>
          <w:szCs w:val="20"/>
        </w:rPr>
        <w:t>v</w:t>
      </w:r>
      <w:r w:rsidRPr="00215B2F">
        <w:rPr>
          <w:rFonts w:ascii="Arial" w:eastAsia="Arial" w:hAnsi="Arial" w:cs="Arial"/>
          <w:sz w:val="20"/>
          <w:szCs w:val="20"/>
        </w:rPr>
        <w:t xml:space="preserve">i, ali je delež pridobil v svojem imenu in za svoj račun, ter pridobi druge dokaze o </w:t>
      </w:r>
      <w:r w:rsidR="00601BE2" w:rsidRPr="00215B2F">
        <w:rPr>
          <w:rFonts w:ascii="Arial" w:eastAsia="Arial" w:hAnsi="Arial" w:cs="Arial"/>
          <w:sz w:val="20"/>
          <w:szCs w:val="20"/>
        </w:rPr>
        <w:t>tem</w:t>
      </w:r>
      <w:r w:rsidRPr="00215B2F">
        <w:rPr>
          <w:rFonts w:ascii="Arial" w:eastAsia="Arial" w:hAnsi="Arial" w:cs="Arial"/>
          <w:sz w:val="20"/>
          <w:szCs w:val="20"/>
        </w:rPr>
        <w:t>, za čigav račun je pridobitelj pridobil delež.</w:t>
      </w:r>
    </w:p>
    <w:p w14:paraId="112B70F4"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4C9544E0" w14:textId="20B0A02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V postopku iz prejšnjega odstavka se smiselno uporabljata prvi in drugi odstavek 371.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7F88AF04"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158024E9" w14:textId="4AC0B22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Če Banka Slovenije pri izvajanju nadzora ugotovi, da je imetnik kvalificiranega deleža pridobil kvalificiran</w:t>
      </w:r>
      <w:r w:rsidR="004B2ADE" w:rsidRPr="00215B2F">
        <w:rPr>
          <w:rFonts w:ascii="Arial" w:eastAsia="Arial" w:hAnsi="Arial" w:cs="Arial"/>
          <w:sz w:val="20"/>
          <w:szCs w:val="20"/>
        </w:rPr>
        <w:t>i</w:t>
      </w:r>
      <w:r w:rsidRPr="00215B2F">
        <w:rPr>
          <w:rFonts w:ascii="Arial" w:eastAsia="Arial" w:hAnsi="Arial" w:cs="Arial"/>
          <w:sz w:val="20"/>
          <w:szCs w:val="20"/>
        </w:rPr>
        <w:t xml:space="preserve"> delež banke v nasprotju s tem zakonom in ni vložil predhodne zahteve za oceno primernosti, vendar je odsvojil delež banke pred izdajo odredbe o odsvojitvi deleža iz </w:t>
      </w:r>
      <w:r w:rsidR="00746E88" w:rsidRPr="00215B2F">
        <w:rPr>
          <w:rFonts w:ascii="Arial" w:eastAsia="Arial" w:hAnsi="Arial" w:cs="Arial"/>
          <w:sz w:val="20"/>
          <w:szCs w:val="20"/>
        </w:rPr>
        <w:t>prejšnjega člena</w:t>
      </w:r>
      <w:r w:rsidRPr="00215B2F">
        <w:rPr>
          <w:rFonts w:ascii="Arial" w:eastAsia="Arial" w:hAnsi="Arial" w:cs="Arial"/>
          <w:sz w:val="20"/>
          <w:szCs w:val="20"/>
        </w:rPr>
        <w:t xml:space="preserve"> ali pridobil ustrezno odločitev o nenasprotovanju, Banka Slovenije pod pogoji iz petega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izda ugotovitveno odločbo, s katero ugotovi, da je imetnik pridobil delež v nasprotju s tem zakonom in da je ugotovljeno kršitev odpravil.</w:t>
      </w:r>
    </w:p>
    <w:p w14:paraId="56E8F697"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7014C8D2" w14:textId="62BAC2A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izda ugotovitveno odločbo iz prejšnjega odstavka, če glede na naravo in pomen kršitev za varno in skrbno upravljanje banke izdaja take odločbe in objava informacij na podlagi </w:t>
      </w:r>
      <w:r w:rsidR="00FE757E" w:rsidRPr="00215B2F">
        <w:rPr>
          <w:rFonts w:ascii="Arial" w:eastAsia="Arial" w:hAnsi="Arial" w:cs="Arial"/>
          <w:sz w:val="20"/>
          <w:szCs w:val="20"/>
        </w:rPr>
        <w:t>385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lahko pomembno prispeva</w:t>
      </w:r>
      <w:r w:rsidR="00615560" w:rsidRPr="00215B2F">
        <w:rPr>
          <w:rFonts w:ascii="Arial" w:eastAsia="Arial" w:hAnsi="Arial" w:cs="Arial"/>
          <w:sz w:val="20"/>
          <w:szCs w:val="20"/>
        </w:rPr>
        <w:t>ta</w:t>
      </w:r>
      <w:r w:rsidRPr="00215B2F">
        <w:rPr>
          <w:rFonts w:ascii="Arial" w:eastAsia="Arial" w:hAnsi="Arial" w:cs="Arial"/>
          <w:sz w:val="20"/>
          <w:szCs w:val="20"/>
        </w:rPr>
        <w:t xml:space="preserve"> k izboljšanju upravljanja bank</w:t>
      </w:r>
      <w:r w:rsidR="004B2ADE" w:rsidRPr="00215B2F">
        <w:rPr>
          <w:rFonts w:ascii="Arial" w:eastAsia="Arial" w:hAnsi="Arial" w:cs="Arial"/>
          <w:sz w:val="20"/>
          <w:szCs w:val="20"/>
        </w:rPr>
        <w:t>e</w:t>
      </w:r>
      <w:r w:rsidRPr="00215B2F">
        <w:rPr>
          <w:rFonts w:ascii="Arial" w:eastAsia="Arial" w:hAnsi="Arial" w:cs="Arial"/>
          <w:sz w:val="20"/>
          <w:szCs w:val="20"/>
        </w:rPr>
        <w:t xml:space="preserve"> in k preprečevanju ravnanj</w:t>
      </w:r>
      <w:r w:rsidR="00F94D78" w:rsidRPr="00215B2F">
        <w:rPr>
          <w:rFonts w:ascii="Arial" w:eastAsia="Arial" w:hAnsi="Arial" w:cs="Arial"/>
          <w:sz w:val="20"/>
          <w:szCs w:val="20"/>
        </w:rPr>
        <w:t>a</w:t>
      </w:r>
      <w:r w:rsidRPr="00215B2F">
        <w:rPr>
          <w:rFonts w:ascii="Arial" w:eastAsia="Arial" w:hAnsi="Arial" w:cs="Arial"/>
          <w:sz w:val="20"/>
          <w:szCs w:val="20"/>
        </w:rPr>
        <w:t>, ki pomeni kršitev tega zakona.</w:t>
      </w:r>
    </w:p>
    <w:p w14:paraId="58E92314"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686919BF" w14:textId="3718E9B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Banka Slovenije pred izdajo ugotovitvene odločbe iz četrtega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imetnika kvalificiranega deleža pisno obvesti o ugotovitvah v zvezi s kršitvami predpisov iz </w:t>
      </w:r>
      <w:r w:rsidR="008A0163" w:rsidRPr="00215B2F">
        <w:rPr>
          <w:rFonts w:ascii="Arial" w:eastAsia="Arial" w:hAnsi="Arial" w:cs="Arial"/>
          <w:sz w:val="20"/>
          <w:szCs w:val="20"/>
        </w:rPr>
        <w:t xml:space="preserve">tretjega </w:t>
      </w:r>
      <w:r w:rsidRPr="00215B2F">
        <w:rPr>
          <w:rFonts w:ascii="Arial" w:eastAsia="Arial" w:hAnsi="Arial" w:cs="Arial"/>
          <w:sz w:val="20"/>
          <w:szCs w:val="20"/>
        </w:rPr>
        <w:t xml:space="preserve">odstavka 9.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r w:rsidR="004B2ADE" w:rsidRPr="00215B2F">
        <w:rPr>
          <w:rFonts w:ascii="Arial" w:eastAsia="Arial" w:hAnsi="Arial" w:cs="Arial"/>
          <w:sz w:val="20"/>
          <w:szCs w:val="20"/>
        </w:rPr>
        <w:t xml:space="preserve">in </w:t>
      </w:r>
      <w:r w:rsidRPr="00215B2F">
        <w:rPr>
          <w:rFonts w:ascii="Arial" w:eastAsia="Arial" w:hAnsi="Arial" w:cs="Arial"/>
          <w:sz w:val="20"/>
          <w:szCs w:val="20"/>
        </w:rPr>
        <w:t xml:space="preserve">o nameri, da bo izdala ugotovitveno odločbo o odpravljenih kršitvah, </w:t>
      </w:r>
      <w:r w:rsidR="004B2ADE" w:rsidRPr="00215B2F">
        <w:rPr>
          <w:rFonts w:ascii="Arial" w:eastAsia="Arial" w:hAnsi="Arial" w:cs="Arial"/>
          <w:sz w:val="20"/>
          <w:szCs w:val="20"/>
        </w:rPr>
        <w:t xml:space="preserve">ter </w:t>
      </w:r>
      <w:r w:rsidRPr="00215B2F">
        <w:rPr>
          <w:rFonts w:ascii="Arial" w:eastAsia="Arial" w:hAnsi="Arial" w:cs="Arial"/>
          <w:sz w:val="20"/>
          <w:szCs w:val="20"/>
        </w:rPr>
        <w:t xml:space="preserve">ga pozove, da se izjavi o dejstvih in okoliščinah, ki so </w:t>
      </w:r>
      <w:r w:rsidR="00615560" w:rsidRPr="00215B2F">
        <w:rPr>
          <w:rFonts w:ascii="Arial" w:eastAsia="Arial" w:hAnsi="Arial" w:cs="Arial"/>
          <w:sz w:val="20"/>
          <w:szCs w:val="20"/>
        </w:rPr>
        <w:t xml:space="preserve">pomembni </w:t>
      </w:r>
      <w:r w:rsidRPr="00215B2F">
        <w:rPr>
          <w:rFonts w:ascii="Arial" w:eastAsia="Arial" w:hAnsi="Arial" w:cs="Arial"/>
          <w:sz w:val="20"/>
          <w:szCs w:val="20"/>
        </w:rPr>
        <w:t>za odločitev o izdaji ugotovitvene odločbe o odpravi kršitev.</w:t>
      </w:r>
    </w:p>
    <w:p w14:paraId="5D88054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640534F"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29" w:name="_Ref202967502"/>
      <w:r w:rsidRPr="00215B2F">
        <w:rPr>
          <w:rFonts w:ascii="Arial" w:eastAsia="Arial" w:hAnsi="Arial" w:cs="Arial"/>
          <w:b/>
          <w:bCs/>
          <w:sz w:val="20"/>
          <w:szCs w:val="20"/>
        </w:rPr>
        <w:t>člen</w:t>
      </w:r>
      <w:bookmarkEnd w:id="429"/>
    </w:p>
    <w:p w14:paraId="2E5DEDB0" w14:textId="77777777" w:rsidR="00D91782" w:rsidRPr="00215B2F" w:rsidRDefault="00D91782" w:rsidP="00FD5520">
      <w:pPr>
        <w:pStyle w:val="Slog1"/>
        <w:shd w:val="clear" w:color="auto" w:fill="FFFFFF" w:themeFill="background1"/>
        <w:rPr>
          <w:sz w:val="20"/>
          <w:szCs w:val="20"/>
        </w:rPr>
      </w:pPr>
      <w:r w:rsidRPr="00215B2F">
        <w:rPr>
          <w:sz w:val="20"/>
          <w:szCs w:val="20"/>
        </w:rPr>
        <w:t>(odločba o prepovedi uresničevanja pravic iz delnic)</w:t>
      </w:r>
    </w:p>
    <w:p w14:paraId="64744630" w14:textId="77777777" w:rsidR="00D91782" w:rsidRPr="00215B2F" w:rsidRDefault="00D91782" w:rsidP="00FD5520">
      <w:pPr>
        <w:pStyle w:val="Slog1"/>
        <w:shd w:val="clear" w:color="auto" w:fill="FFFFFF" w:themeFill="background1"/>
        <w:jc w:val="both"/>
        <w:rPr>
          <w:sz w:val="20"/>
          <w:szCs w:val="20"/>
        </w:rPr>
      </w:pPr>
    </w:p>
    <w:p w14:paraId="5BB583B1" w14:textId="785A722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Če neposredni imetnik kvalificiranega deleža delnic ne odsvoji v roku, določenem z odredbo o odsvojitvi deleža, ali če Banka Slovenije ugotovi, da ima neposredni pridobitelj delnice, ki so bile predmet odredbe o odsvojitvi deleža, v svojem imenu in za račun imetnika kvalificiranega deleža (v nadaljnjem besedilu: neupravičeni pridobitelj), Banka Slovenije z odločbo prepove imetniku kvalificiranega deleža in morebitnim neupravičenim pridobiteljem uresničevanje vseh pravic iz delnic banke, ki jih imajo v nasprotju s tem zakonom (v nadaljnjem besedilu: odločba o prepovedi uresničevanja pravic iz delnic).</w:t>
      </w:r>
    </w:p>
    <w:p w14:paraId="08FDA4CC"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5D89F87D" w14:textId="761E3A2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Po izdaji odločbe o prepovedi uresničevanja pravic iz delnic lahko imetnik kvalificiranega deleža in morebitni neupravičeni pridobitelji skupno uresničujejo samo še pravice iz števila delnic, ki se izračuna s smiselno uporabo drugega odstavka </w:t>
      </w:r>
      <w:r w:rsidR="00BC4E51" w:rsidRPr="00215B2F">
        <w:rPr>
          <w:rFonts w:ascii="Arial" w:eastAsia="Arial" w:hAnsi="Arial" w:cs="Arial"/>
          <w:sz w:val="20"/>
          <w:szCs w:val="20"/>
        </w:rPr>
        <w:t>94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381DD640"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110EAF6D" w14:textId="530980E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Izrek odločbe o prepovedi uresničevanja pravic iz delnic mora </w:t>
      </w:r>
      <w:r w:rsidR="00D84A2A" w:rsidRPr="00215B2F">
        <w:rPr>
          <w:rFonts w:ascii="Arial" w:eastAsia="Arial" w:hAnsi="Arial" w:cs="Arial"/>
          <w:sz w:val="20"/>
          <w:szCs w:val="20"/>
        </w:rPr>
        <w:t>vključevati</w:t>
      </w:r>
      <w:r w:rsidRPr="00215B2F">
        <w:rPr>
          <w:rFonts w:ascii="Arial" w:eastAsia="Arial" w:hAnsi="Arial" w:cs="Arial"/>
          <w:sz w:val="20"/>
          <w:szCs w:val="20"/>
        </w:rPr>
        <w:t>:</w:t>
      </w:r>
    </w:p>
    <w:p w14:paraId="4B23BF16"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3F9A13EC" w14:textId="3C20A4A1" w:rsidR="00566332" w:rsidRPr="00215B2F" w:rsidRDefault="00D91782" w:rsidP="003D4DE0">
      <w:pPr>
        <w:pStyle w:val="tevilnatoka"/>
        <w:numPr>
          <w:ilvl w:val="0"/>
          <w:numId w:val="251"/>
        </w:numPr>
        <w:shd w:val="clear" w:color="auto" w:fill="FFFFFF" w:themeFill="background1"/>
        <w:tabs>
          <w:tab w:val="clear" w:pos="425"/>
        </w:tabs>
        <w:rPr>
          <w:rFonts w:cs="Arial"/>
          <w:bCs/>
          <w:sz w:val="20"/>
          <w:szCs w:val="20"/>
        </w:rPr>
      </w:pPr>
      <w:r w:rsidRPr="00215B2F">
        <w:rPr>
          <w:rFonts w:eastAsia="Arial" w:cs="Arial"/>
          <w:sz w:val="20"/>
          <w:szCs w:val="20"/>
        </w:rPr>
        <w:t>podatke o neposrednem imetniku kvalificiranega deleža, in če je ta delnice odsvojil neupravičenemu pridobitelju, tudi podatke o neupravičenem pridobitelju ali pridobiteljih;</w:t>
      </w:r>
    </w:p>
    <w:p w14:paraId="10FCD2F5" w14:textId="4B588D94" w:rsidR="00D91782" w:rsidRPr="00215B2F" w:rsidRDefault="00D91782" w:rsidP="003D4DE0">
      <w:pPr>
        <w:pStyle w:val="tevilnatoka"/>
        <w:numPr>
          <w:ilvl w:val="0"/>
          <w:numId w:val="251"/>
        </w:numPr>
        <w:shd w:val="clear" w:color="auto" w:fill="FFFFFF" w:themeFill="background1"/>
        <w:tabs>
          <w:tab w:val="clear" w:pos="425"/>
        </w:tabs>
        <w:rPr>
          <w:rFonts w:cs="Arial"/>
          <w:bCs/>
          <w:sz w:val="20"/>
          <w:szCs w:val="20"/>
        </w:rPr>
      </w:pPr>
      <w:r w:rsidRPr="00215B2F">
        <w:rPr>
          <w:rFonts w:eastAsia="Arial" w:cs="Arial"/>
          <w:sz w:val="20"/>
          <w:szCs w:val="20"/>
        </w:rPr>
        <w:t>število delnic, iz katerih lahko neposredni imetnik kvalificiranega deleža in morebitni neupravičeni pridobitelji skupno uresničujejo pravice iz delnic.</w:t>
      </w:r>
    </w:p>
    <w:p w14:paraId="20C2ABB0"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4E35B3E1" w14:textId="2BD2C4A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Odločba o prepovedi uresničevanja pravic iz delnic se vroči tudi banki. Banka </w:t>
      </w:r>
      <w:r w:rsidR="002674DF" w:rsidRPr="00215B2F">
        <w:rPr>
          <w:rFonts w:ascii="Arial" w:eastAsia="Arial" w:hAnsi="Arial" w:cs="Arial"/>
          <w:sz w:val="20"/>
          <w:szCs w:val="20"/>
        </w:rPr>
        <w:t>p</w:t>
      </w:r>
      <w:r w:rsidRPr="00215B2F">
        <w:rPr>
          <w:rFonts w:ascii="Arial" w:eastAsia="Arial" w:hAnsi="Arial" w:cs="Arial"/>
          <w:sz w:val="20"/>
          <w:szCs w:val="20"/>
        </w:rPr>
        <w:t>o vročitv</w:t>
      </w:r>
      <w:r w:rsidR="002674DF" w:rsidRPr="00215B2F">
        <w:rPr>
          <w:rFonts w:ascii="Arial" w:eastAsia="Arial" w:hAnsi="Arial" w:cs="Arial"/>
          <w:sz w:val="20"/>
          <w:szCs w:val="20"/>
        </w:rPr>
        <w:t>i</w:t>
      </w:r>
      <w:r w:rsidRPr="00215B2F">
        <w:rPr>
          <w:rFonts w:ascii="Arial" w:eastAsia="Arial" w:hAnsi="Arial" w:cs="Arial"/>
          <w:sz w:val="20"/>
          <w:szCs w:val="20"/>
        </w:rPr>
        <w:t xml:space="preserve"> odločbe imetniku kvalificiranega deleža in neupravičenim pridobiteljem iz delnic, na katere se odločba nanaša, ne sme omogočiti uresničevanja nobenih pravic iz teh delnic.</w:t>
      </w:r>
    </w:p>
    <w:p w14:paraId="12872C33"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7D42A563" w14:textId="35EE7AA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Če je banka v obdobju od vročitve odločbe o prepovedi uresničevanja pravic iz delnic do dneva, ko je delnice, na katere se je nanašala ta odločba, pridobil nov imetnik v skladu s tem zakonom, izplačala dividendo, mora banka dividendo, ki pripade navedenim delnicam, izplačati novemu imetniku v osmih dneh po</w:t>
      </w:r>
      <w:r w:rsidR="002674DF" w:rsidRPr="00215B2F">
        <w:rPr>
          <w:rFonts w:ascii="Arial" w:eastAsia="Arial" w:hAnsi="Arial" w:cs="Arial"/>
          <w:sz w:val="20"/>
          <w:szCs w:val="20"/>
        </w:rPr>
        <w:t xml:space="preserve"> </w:t>
      </w:r>
      <w:r w:rsidRPr="00215B2F">
        <w:rPr>
          <w:rFonts w:ascii="Arial" w:eastAsia="Arial" w:hAnsi="Arial" w:cs="Arial"/>
          <w:sz w:val="20"/>
          <w:szCs w:val="20"/>
        </w:rPr>
        <w:t>tem</w:t>
      </w:r>
      <w:r w:rsidR="002674DF" w:rsidRPr="00215B2F">
        <w:rPr>
          <w:rFonts w:ascii="Arial" w:eastAsia="Arial" w:hAnsi="Arial" w:cs="Arial"/>
          <w:sz w:val="20"/>
          <w:szCs w:val="20"/>
        </w:rPr>
        <w:t>,</w:t>
      </w:r>
      <w:r w:rsidRPr="00215B2F">
        <w:rPr>
          <w:rFonts w:ascii="Arial" w:eastAsia="Arial" w:hAnsi="Arial" w:cs="Arial"/>
          <w:sz w:val="20"/>
          <w:szCs w:val="20"/>
        </w:rPr>
        <w:t xml:space="preserve"> ko jo novi imetnik obvesti o pridobitvi delnic.</w:t>
      </w:r>
    </w:p>
    <w:p w14:paraId="00CFC15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D385875"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30" w:name="_Ref202967685"/>
      <w:r w:rsidRPr="00215B2F">
        <w:rPr>
          <w:rFonts w:ascii="Arial" w:eastAsia="Arial" w:hAnsi="Arial" w:cs="Arial"/>
          <w:b/>
          <w:bCs/>
          <w:sz w:val="20"/>
          <w:szCs w:val="20"/>
        </w:rPr>
        <w:t>člen</w:t>
      </w:r>
      <w:bookmarkEnd w:id="430"/>
    </w:p>
    <w:p w14:paraId="474CBCFB" w14:textId="77777777" w:rsidR="00D91782" w:rsidRPr="00215B2F" w:rsidRDefault="00D91782" w:rsidP="00FD5520">
      <w:pPr>
        <w:pStyle w:val="Slog1"/>
        <w:shd w:val="clear" w:color="auto" w:fill="FFFFFF" w:themeFill="background1"/>
        <w:rPr>
          <w:sz w:val="20"/>
          <w:szCs w:val="20"/>
        </w:rPr>
      </w:pPr>
      <w:r w:rsidRPr="00215B2F">
        <w:rPr>
          <w:sz w:val="20"/>
          <w:szCs w:val="20"/>
        </w:rPr>
        <w:t>(odločba o prisilni prodaji delnic)</w:t>
      </w:r>
    </w:p>
    <w:p w14:paraId="65FAB36F" w14:textId="77777777" w:rsidR="00D91782" w:rsidRPr="00215B2F" w:rsidRDefault="00D91782" w:rsidP="00FD5520">
      <w:pPr>
        <w:pStyle w:val="Slog1"/>
        <w:shd w:val="clear" w:color="auto" w:fill="FFFFFF" w:themeFill="background1"/>
        <w:jc w:val="both"/>
        <w:rPr>
          <w:sz w:val="20"/>
          <w:szCs w:val="20"/>
        </w:rPr>
      </w:pPr>
    </w:p>
    <w:p w14:paraId="5DC2A9C0" w14:textId="18E4C75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neposredni neupravičeni imetnik v šestih mesecih po pravnomočnosti odločbe o prepovedi uresničevanja pravic iz delnic iz </w:t>
      </w:r>
      <w:r w:rsidR="00746E88" w:rsidRPr="00215B2F">
        <w:rPr>
          <w:rFonts w:ascii="Arial" w:eastAsia="Arial" w:hAnsi="Arial" w:cs="Arial"/>
          <w:sz w:val="20"/>
          <w:szCs w:val="20"/>
        </w:rPr>
        <w:t>prejšnjega člena</w:t>
      </w:r>
      <w:r w:rsidRPr="00215B2F">
        <w:rPr>
          <w:rFonts w:ascii="Arial" w:eastAsia="Arial" w:hAnsi="Arial" w:cs="Arial"/>
          <w:sz w:val="20"/>
          <w:szCs w:val="20"/>
        </w:rPr>
        <w:t xml:space="preserve"> ne odsvoji delnic, Banka Slovenije </w:t>
      </w:r>
      <w:r w:rsidR="002674DF" w:rsidRPr="00215B2F">
        <w:rPr>
          <w:rFonts w:ascii="Arial" w:eastAsia="Arial" w:hAnsi="Arial" w:cs="Arial"/>
          <w:sz w:val="20"/>
          <w:szCs w:val="20"/>
        </w:rPr>
        <w:t xml:space="preserve">izda </w:t>
      </w:r>
      <w:r w:rsidRPr="00215B2F">
        <w:rPr>
          <w:rFonts w:ascii="Arial" w:eastAsia="Arial" w:hAnsi="Arial" w:cs="Arial"/>
          <w:sz w:val="20"/>
          <w:szCs w:val="20"/>
        </w:rPr>
        <w:t>odločbo o prisilni prodaji delnic.</w:t>
      </w:r>
    </w:p>
    <w:p w14:paraId="7DB518E0"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0FF71155" w14:textId="1189A9C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Prisilna prodaja delnic se izv</w:t>
      </w:r>
      <w:r w:rsidR="002674DF" w:rsidRPr="00215B2F">
        <w:rPr>
          <w:rFonts w:ascii="Arial" w:eastAsia="Arial" w:hAnsi="Arial" w:cs="Arial"/>
          <w:sz w:val="20"/>
          <w:szCs w:val="20"/>
        </w:rPr>
        <w:t>ede</w:t>
      </w:r>
      <w:r w:rsidRPr="00215B2F">
        <w:rPr>
          <w:rFonts w:ascii="Arial" w:eastAsia="Arial" w:hAnsi="Arial" w:cs="Arial"/>
          <w:sz w:val="20"/>
          <w:szCs w:val="20"/>
        </w:rPr>
        <w:t xml:space="preserve"> z rubežem, prodajo in prenosom delnic.</w:t>
      </w:r>
    </w:p>
    <w:p w14:paraId="2905CDA6"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1460908B" w14:textId="481697E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v odločbi o prisilni prodaji delnic določi:</w:t>
      </w:r>
    </w:p>
    <w:p w14:paraId="04D9AF77"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125A2A4E" w14:textId="188DC6BF" w:rsidR="0056633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neposrednega neupravičenega imetnika delnic</w:t>
      </w:r>
      <w:r w:rsidR="004F3824" w:rsidRPr="00215B2F">
        <w:rPr>
          <w:rFonts w:ascii="Arial" w:eastAsia="Arial" w:hAnsi="Arial" w:cs="Arial"/>
          <w:sz w:val="20"/>
          <w:szCs w:val="20"/>
        </w:rPr>
        <w:t>,</w:t>
      </w:r>
    </w:p>
    <w:p w14:paraId="25E028D3" w14:textId="6FFAA3A7" w:rsidR="0056633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delnice, ki so predmet prisilne prodaje in se zarubijo, prodajo </w:t>
      </w:r>
      <w:r w:rsidR="00A30342" w:rsidRPr="00215B2F">
        <w:rPr>
          <w:rFonts w:ascii="Arial" w:eastAsia="Arial" w:hAnsi="Arial" w:cs="Arial"/>
          <w:sz w:val="20"/>
          <w:szCs w:val="20"/>
        </w:rPr>
        <w:t xml:space="preserve">ter </w:t>
      </w:r>
      <w:r w:rsidRPr="00215B2F">
        <w:rPr>
          <w:rFonts w:ascii="Arial" w:eastAsia="Arial" w:hAnsi="Arial" w:cs="Arial"/>
          <w:sz w:val="20"/>
          <w:szCs w:val="20"/>
        </w:rPr>
        <w:t>prenesejo</w:t>
      </w:r>
      <w:r w:rsidR="004F3824" w:rsidRPr="00215B2F">
        <w:rPr>
          <w:rFonts w:ascii="Arial" w:eastAsia="Arial" w:hAnsi="Arial" w:cs="Arial"/>
          <w:sz w:val="20"/>
          <w:szCs w:val="20"/>
        </w:rPr>
        <w:t>,</w:t>
      </w:r>
    </w:p>
    <w:p w14:paraId="0D85D7EC" w14:textId="2FAA49B2" w:rsidR="0056633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skrbnika za prodajo delnic, ki je lahko investicijsko podjetje, odvetniška družba ali odvetnik, stečajni upravitelj, likvidacijski upravitelj, pooblaščeni udeleženec trga vrednostnih papirjev ali druga strokovno usposobljena oseba za prodajo delnic,</w:t>
      </w:r>
    </w:p>
    <w:p w14:paraId="3D4834F9" w14:textId="77777777" w:rsidR="0056633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višino nadomestila, do katerega je upravičen skrbnik za prodajo delnic za svoje delo,</w:t>
      </w:r>
    </w:p>
    <w:p w14:paraId="60E7C53F" w14:textId="31B664DD"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morebitne druge pogoje in omejitve, ki jih mora skrbnik za prodajo upoštevati pri prodaji.</w:t>
      </w:r>
    </w:p>
    <w:p w14:paraId="1DB757BD"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3686FBB9" w14:textId="6E0FD28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vroči odločbo o prisilni prodaji delnic tudi klirinško</w:t>
      </w:r>
      <w:r w:rsidR="002674DF" w:rsidRPr="00215B2F">
        <w:rPr>
          <w:rFonts w:ascii="Arial" w:eastAsia="Arial" w:hAnsi="Arial" w:cs="Arial"/>
          <w:sz w:val="20"/>
          <w:szCs w:val="20"/>
        </w:rPr>
        <w:t>-</w:t>
      </w:r>
      <w:r w:rsidRPr="00215B2F">
        <w:rPr>
          <w:rFonts w:ascii="Arial" w:eastAsia="Arial" w:hAnsi="Arial" w:cs="Arial"/>
          <w:sz w:val="20"/>
          <w:szCs w:val="20"/>
        </w:rPr>
        <w:t>depotni družbi. Klirinško</w:t>
      </w:r>
      <w:r w:rsidR="002674DF" w:rsidRPr="00215B2F">
        <w:rPr>
          <w:rFonts w:ascii="Arial" w:eastAsia="Arial" w:hAnsi="Arial" w:cs="Arial"/>
          <w:sz w:val="20"/>
          <w:szCs w:val="20"/>
        </w:rPr>
        <w:t>-</w:t>
      </w:r>
      <w:r w:rsidRPr="00215B2F">
        <w:rPr>
          <w:rFonts w:ascii="Arial" w:eastAsia="Arial" w:hAnsi="Arial" w:cs="Arial"/>
          <w:sz w:val="20"/>
          <w:szCs w:val="20"/>
        </w:rPr>
        <w:t>depotna družba pri delnicah, na katere se odločba o prisilni prodaji delnic nanaša, vpiše:</w:t>
      </w:r>
    </w:p>
    <w:p w14:paraId="316D50AC"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2A783E7A" w14:textId="77777777" w:rsidR="0056633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informacijo, da je bila izdana odločba o prisilni prodaji delnic,</w:t>
      </w:r>
    </w:p>
    <w:p w14:paraId="02252F8A" w14:textId="77777777" w:rsidR="0056633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datum izdaje odločbe,</w:t>
      </w:r>
    </w:p>
    <w:p w14:paraId="3689720A" w14:textId="77777777" w:rsidR="0056633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skrbnika za prodajo delnic in</w:t>
      </w:r>
    </w:p>
    <w:p w14:paraId="395CC21C" w14:textId="5B5DBF87"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prepoved razpolaganja. </w:t>
      </w:r>
    </w:p>
    <w:p w14:paraId="3F0C3DA6"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368F9140" w14:textId="6DB2C0D2" w:rsidR="00D91782" w:rsidRPr="00215B2F" w:rsidRDefault="00476021"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w:t>
      </w:r>
      <w:r w:rsidR="00D91782" w:rsidRPr="00215B2F">
        <w:rPr>
          <w:rFonts w:ascii="Arial" w:eastAsia="Arial" w:hAnsi="Arial" w:cs="Arial"/>
          <w:sz w:val="20"/>
          <w:szCs w:val="20"/>
        </w:rPr>
        <w:t>Glede učinka vpisa prepovedi razpolaganja se smiselno uporabljajo določbe zakona o nematerializiranih vrednostnih papirjih o učinkih prepovedi razpolaganja.</w:t>
      </w:r>
    </w:p>
    <w:p w14:paraId="5E7C54A7"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3CC41F5D" w14:textId="700CE03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476021" w:rsidRPr="00215B2F">
        <w:rPr>
          <w:rFonts w:ascii="Arial" w:eastAsia="Arial" w:hAnsi="Arial" w:cs="Arial"/>
          <w:sz w:val="20"/>
          <w:szCs w:val="20"/>
        </w:rPr>
        <w:t>6</w:t>
      </w:r>
      <w:r w:rsidRPr="00215B2F">
        <w:rPr>
          <w:rFonts w:ascii="Arial" w:eastAsia="Arial" w:hAnsi="Arial" w:cs="Arial"/>
          <w:sz w:val="20"/>
          <w:szCs w:val="20"/>
        </w:rPr>
        <w:t>) Prodaja delnic se zagotovi na podlagi preglednega postopka prodaje, da se:</w:t>
      </w:r>
    </w:p>
    <w:p w14:paraId="59E6B467"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43544EA3" w14:textId="77777777" w:rsidR="0082257C" w:rsidRPr="00215B2F" w:rsidRDefault="00D91782" w:rsidP="0082257C">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zagotovita pravilnost in celovitost informacij v zvezi s prodajo;</w:t>
      </w:r>
    </w:p>
    <w:p w14:paraId="44E1C4F2" w14:textId="77777777" w:rsidR="0082257C" w:rsidRPr="00215B2F" w:rsidRDefault="00D91782" w:rsidP="0082257C">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prepreči neupravičeno favoriziranje ali diskriminacija posameznih morebitnih kupcev;</w:t>
      </w:r>
    </w:p>
    <w:p w14:paraId="7FBCC025" w14:textId="77777777" w:rsidR="0082257C" w:rsidRPr="00215B2F" w:rsidRDefault="00D91782" w:rsidP="0082257C">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opravi prodaja pod tržnimi pogoji ob upoštevanju posameznih okoliščin primera in v skladu z veljavnimi predpisi;</w:t>
      </w:r>
    </w:p>
    <w:p w14:paraId="5F59443D" w14:textId="77777777" w:rsidR="0082257C" w:rsidRPr="00215B2F" w:rsidRDefault="00D91782" w:rsidP="0082257C">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prepreči morebitno nasprotje interesov;</w:t>
      </w:r>
    </w:p>
    <w:p w14:paraId="3E7125B5" w14:textId="0AB86722" w:rsidR="00D91782" w:rsidRPr="00215B2F" w:rsidRDefault="00D91782" w:rsidP="0082257C">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doseže najvišja možna prodajna cena.</w:t>
      </w:r>
    </w:p>
    <w:p w14:paraId="082BDB3C"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15C06B1F" w14:textId="24F6B58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476021" w:rsidRPr="00215B2F">
        <w:rPr>
          <w:rFonts w:ascii="Arial" w:eastAsia="Arial" w:hAnsi="Arial" w:cs="Arial"/>
          <w:sz w:val="20"/>
          <w:szCs w:val="20"/>
        </w:rPr>
        <w:t>7</w:t>
      </w:r>
      <w:r w:rsidRPr="00215B2F">
        <w:rPr>
          <w:rFonts w:ascii="Arial" w:eastAsia="Arial" w:hAnsi="Arial" w:cs="Arial"/>
          <w:sz w:val="20"/>
          <w:szCs w:val="20"/>
        </w:rPr>
        <w:t xml:space="preserve">) Če se prodaja kvalificirani delež, je lahko pridobitelj kvalificiranega deleža samo oseba, ki je pridobila dovoljenje za kvalificirani delež v skladu </w:t>
      </w:r>
      <w:r w:rsidR="00C8285F" w:rsidRPr="00215B2F">
        <w:rPr>
          <w:rFonts w:ascii="Arial" w:eastAsia="Arial" w:hAnsi="Arial" w:cs="Arial"/>
          <w:sz w:val="20"/>
          <w:szCs w:val="20"/>
        </w:rPr>
        <w:t xml:space="preserve">z </w:t>
      </w:r>
      <w:r w:rsidR="00BC4E51" w:rsidRPr="00215B2F">
        <w:rPr>
          <w:rFonts w:ascii="Arial" w:eastAsia="Arial" w:hAnsi="Arial" w:cs="Arial"/>
          <w:sz w:val="20"/>
          <w:szCs w:val="20"/>
        </w:rPr>
        <w:t>91</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5612EBA9"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11DA39FD" w14:textId="279FADC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476021" w:rsidRPr="00215B2F">
        <w:rPr>
          <w:rFonts w:ascii="Arial" w:eastAsia="Arial" w:hAnsi="Arial" w:cs="Arial"/>
          <w:sz w:val="20"/>
          <w:szCs w:val="20"/>
        </w:rPr>
        <w:t>8</w:t>
      </w:r>
      <w:r w:rsidRPr="00215B2F">
        <w:rPr>
          <w:rFonts w:ascii="Arial" w:eastAsia="Arial" w:hAnsi="Arial" w:cs="Arial"/>
          <w:sz w:val="20"/>
          <w:szCs w:val="20"/>
        </w:rPr>
        <w:t>) Skrbnik za prodajo Banko Slovenije o postopku prodaje redno obvešča.</w:t>
      </w:r>
    </w:p>
    <w:p w14:paraId="7BEF5B73" w14:textId="77777777" w:rsidR="00D91782" w:rsidRPr="00215B2F" w:rsidRDefault="00D91782" w:rsidP="00FD5520">
      <w:pPr>
        <w:pStyle w:val="Slog1"/>
        <w:shd w:val="clear" w:color="auto" w:fill="FFFFFF" w:themeFill="background1"/>
        <w:rPr>
          <w:sz w:val="20"/>
          <w:szCs w:val="20"/>
        </w:rPr>
      </w:pPr>
    </w:p>
    <w:p w14:paraId="289441FD"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31" w:name="_Ref202967537"/>
      <w:r w:rsidRPr="00215B2F">
        <w:rPr>
          <w:rFonts w:ascii="Arial" w:eastAsia="Arial" w:hAnsi="Arial" w:cs="Arial"/>
          <w:b/>
          <w:bCs/>
          <w:sz w:val="20"/>
          <w:szCs w:val="20"/>
        </w:rPr>
        <w:t>člen</w:t>
      </w:r>
      <w:bookmarkEnd w:id="431"/>
    </w:p>
    <w:p w14:paraId="54E4F7F0" w14:textId="77777777" w:rsidR="00D91782" w:rsidRPr="00215B2F" w:rsidRDefault="00D91782" w:rsidP="00FD5520">
      <w:pPr>
        <w:pStyle w:val="Slog1"/>
        <w:shd w:val="clear" w:color="auto" w:fill="FFFFFF" w:themeFill="background1"/>
        <w:rPr>
          <w:sz w:val="20"/>
          <w:szCs w:val="20"/>
        </w:rPr>
      </w:pPr>
      <w:r w:rsidRPr="00215B2F">
        <w:rPr>
          <w:sz w:val="20"/>
          <w:szCs w:val="20"/>
        </w:rPr>
        <w:t>(rubež, prodaja in prenos delnic)</w:t>
      </w:r>
    </w:p>
    <w:p w14:paraId="6F089C0F" w14:textId="77777777" w:rsidR="00D91782" w:rsidRPr="00215B2F" w:rsidRDefault="00D91782" w:rsidP="00FD5520">
      <w:pPr>
        <w:pStyle w:val="Slog1"/>
        <w:shd w:val="clear" w:color="auto" w:fill="FFFFFF" w:themeFill="background1"/>
        <w:jc w:val="both"/>
        <w:rPr>
          <w:sz w:val="20"/>
          <w:szCs w:val="20"/>
        </w:rPr>
      </w:pPr>
    </w:p>
    <w:p w14:paraId="3857DE8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Rubež delnic je opravljen z dnem, ko je odločba o prisilni prodaji delnic vpisana v centralni register nematerializiranih vrednostnih papirjev.</w:t>
      </w:r>
    </w:p>
    <w:p w14:paraId="4999DCDE"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1E012DF9" w14:textId="573411B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Prodajo delnic, ki so uvrščene na organiziran</w:t>
      </w:r>
      <w:r w:rsidR="0047225E" w:rsidRPr="00215B2F">
        <w:rPr>
          <w:rFonts w:ascii="Arial" w:eastAsia="Arial" w:hAnsi="Arial" w:cs="Arial"/>
          <w:sz w:val="20"/>
          <w:szCs w:val="20"/>
        </w:rPr>
        <w:t>i</w:t>
      </w:r>
      <w:r w:rsidRPr="00215B2F">
        <w:rPr>
          <w:rFonts w:ascii="Arial" w:eastAsia="Arial" w:hAnsi="Arial" w:cs="Arial"/>
          <w:sz w:val="20"/>
          <w:szCs w:val="20"/>
        </w:rPr>
        <w:t xml:space="preserve"> trg vrednost</w:t>
      </w:r>
      <w:r w:rsidR="00805CF8" w:rsidRPr="00215B2F">
        <w:rPr>
          <w:rFonts w:ascii="Arial" w:eastAsia="Arial" w:hAnsi="Arial" w:cs="Arial"/>
          <w:sz w:val="20"/>
          <w:szCs w:val="20"/>
        </w:rPr>
        <w:t>n</w:t>
      </w:r>
      <w:r w:rsidRPr="00215B2F">
        <w:rPr>
          <w:rFonts w:ascii="Arial" w:eastAsia="Arial" w:hAnsi="Arial" w:cs="Arial"/>
          <w:sz w:val="20"/>
          <w:szCs w:val="20"/>
        </w:rPr>
        <w:t>ih papirjev na podlagi pravnomočne odločbe o prisilni prodaji delnic</w:t>
      </w:r>
      <w:r w:rsidR="0047225E" w:rsidRPr="00215B2F">
        <w:rPr>
          <w:rFonts w:ascii="Arial" w:eastAsia="Arial" w:hAnsi="Arial" w:cs="Arial"/>
          <w:sz w:val="20"/>
          <w:szCs w:val="20"/>
        </w:rPr>
        <w:t>,</w:t>
      </w:r>
      <w:r w:rsidRPr="00215B2F">
        <w:rPr>
          <w:rFonts w:ascii="Arial" w:eastAsia="Arial" w:hAnsi="Arial" w:cs="Arial"/>
          <w:sz w:val="20"/>
          <w:szCs w:val="20"/>
        </w:rPr>
        <w:t xml:space="preserve"> opravi skrbnik za prodajo, ki je pooblaščeni udeleženec trga vrednost</w:t>
      </w:r>
      <w:r w:rsidR="00E37715" w:rsidRPr="00215B2F">
        <w:rPr>
          <w:rFonts w:ascii="Arial" w:eastAsia="Arial" w:hAnsi="Arial" w:cs="Arial"/>
          <w:sz w:val="20"/>
          <w:szCs w:val="20"/>
        </w:rPr>
        <w:t>n</w:t>
      </w:r>
      <w:r w:rsidRPr="00215B2F">
        <w:rPr>
          <w:rFonts w:ascii="Arial" w:eastAsia="Arial" w:hAnsi="Arial" w:cs="Arial"/>
          <w:sz w:val="20"/>
          <w:szCs w:val="20"/>
        </w:rPr>
        <w:t>ih papirjev. Skrbnik za prodajo o prodaji obvesti klirinško</w:t>
      </w:r>
      <w:r w:rsidR="0047225E" w:rsidRPr="00215B2F">
        <w:rPr>
          <w:rFonts w:ascii="Arial" w:eastAsia="Arial" w:hAnsi="Arial" w:cs="Arial"/>
          <w:sz w:val="20"/>
          <w:szCs w:val="20"/>
        </w:rPr>
        <w:t>-</w:t>
      </w:r>
      <w:r w:rsidRPr="00215B2F">
        <w:rPr>
          <w:rFonts w:ascii="Arial" w:eastAsia="Arial" w:hAnsi="Arial" w:cs="Arial"/>
          <w:sz w:val="20"/>
          <w:szCs w:val="20"/>
        </w:rPr>
        <w:t>depotn</w:t>
      </w:r>
      <w:r w:rsidR="00DE321E" w:rsidRPr="00215B2F">
        <w:rPr>
          <w:rFonts w:ascii="Arial" w:eastAsia="Arial" w:hAnsi="Arial" w:cs="Arial"/>
          <w:sz w:val="20"/>
          <w:szCs w:val="20"/>
        </w:rPr>
        <w:t>a</w:t>
      </w:r>
      <w:r w:rsidRPr="00215B2F">
        <w:rPr>
          <w:rFonts w:ascii="Arial" w:eastAsia="Arial" w:hAnsi="Arial" w:cs="Arial"/>
          <w:sz w:val="20"/>
          <w:szCs w:val="20"/>
        </w:rPr>
        <w:t xml:space="preserve"> družb</w:t>
      </w:r>
      <w:r w:rsidR="00DE321E" w:rsidRPr="00215B2F">
        <w:rPr>
          <w:rFonts w:ascii="Arial" w:eastAsia="Arial" w:hAnsi="Arial" w:cs="Arial"/>
          <w:sz w:val="20"/>
          <w:szCs w:val="20"/>
        </w:rPr>
        <w:t>a</w:t>
      </w:r>
      <w:r w:rsidRPr="00215B2F">
        <w:rPr>
          <w:rFonts w:ascii="Arial" w:eastAsia="Arial" w:hAnsi="Arial" w:cs="Arial"/>
          <w:sz w:val="20"/>
          <w:szCs w:val="20"/>
        </w:rPr>
        <w:t>, ki v skladu z zakonom, ki ureja nematerializirane vrednostne pap</w:t>
      </w:r>
      <w:r w:rsidR="005E0009" w:rsidRPr="00215B2F">
        <w:rPr>
          <w:rFonts w:ascii="Arial" w:eastAsia="Arial" w:hAnsi="Arial" w:cs="Arial"/>
          <w:sz w:val="20"/>
          <w:szCs w:val="20"/>
        </w:rPr>
        <w:t>irje</w:t>
      </w:r>
      <w:r w:rsidR="0047225E" w:rsidRPr="00215B2F">
        <w:rPr>
          <w:rFonts w:ascii="Arial" w:eastAsia="Arial" w:hAnsi="Arial" w:cs="Arial"/>
          <w:sz w:val="20"/>
          <w:szCs w:val="20"/>
        </w:rPr>
        <w:t>,</w:t>
      </w:r>
      <w:r w:rsidRPr="00215B2F">
        <w:rPr>
          <w:rFonts w:ascii="Arial" w:eastAsia="Arial" w:hAnsi="Arial" w:cs="Arial"/>
          <w:sz w:val="20"/>
          <w:szCs w:val="20"/>
        </w:rPr>
        <w:t xml:space="preserve"> izv</w:t>
      </w:r>
      <w:r w:rsidR="0047225E" w:rsidRPr="00215B2F">
        <w:rPr>
          <w:rFonts w:ascii="Arial" w:eastAsia="Arial" w:hAnsi="Arial" w:cs="Arial"/>
          <w:sz w:val="20"/>
          <w:szCs w:val="20"/>
        </w:rPr>
        <w:t>ede</w:t>
      </w:r>
      <w:r w:rsidRPr="00215B2F">
        <w:rPr>
          <w:rFonts w:ascii="Arial" w:eastAsia="Arial" w:hAnsi="Arial" w:cs="Arial"/>
          <w:sz w:val="20"/>
          <w:szCs w:val="20"/>
        </w:rPr>
        <w:t xml:space="preserve"> prenos.</w:t>
      </w:r>
    </w:p>
    <w:p w14:paraId="66227E92"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2E4D7B21" w14:textId="05CE99F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Prodajo delnic, ki niso uvrščene na organiziran</w:t>
      </w:r>
      <w:r w:rsidR="0047225E" w:rsidRPr="00215B2F">
        <w:rPr>
          <w:rFonts w:ascii="Arial" w:eastAsia="Arial" w:hAnsi="Arial" w:cs="Arial"/>
          <w:sz w:val="20"/>
          <w:szCs w:val="20"/>
        </w:rPr>
        <w:t>i</w:t>
      </w:r>
      <w:r w:rsidRPr="00215B2F">
        <w:rPr>
          <w:rFonts w:ascii="Arial" w:eastAsia="Arial" w:hAnsi="Arial" w:cs="Arial"/>
          <w:sz w:val="20"/>
          <w:szCs w:val="20"/>
        </w:rPr>
        <w:t xml:space="preserve"> trg vrednostnih papirjev</w:t>
      </w:r>
      <w:r w:rsidR="0047225E" w:rsidRPr="00215B2F">
        <w:rPr>
          <w:rFonts w:ascii="Arial" w:eastAsia="Arial" w:hAnsi="Arial" w:cs="Arial"/>
          <w:sz w:val="20"/>
          <w:szCs w:val="20"/>
        </w:rPr>
        <w:t>,</w:t>
      </w:r>
      <w:r w:rsidRPr="00215B2F">
        <w:rPr>
          <w:rFonts w:ascii="Arial" w:eastAsia="Arial" w:hAnsi="Arial" w:cs="Arial"/>
          <w:sz w:val="20"/>
          <w:szCs w:val="20"/>
        </w:rPr>
        <w:t xml:space="preserve"> po pravnomočnosti odločbe o prisilni prodaji delnic opravi skrbnik za prodajo z neposredno pogodbo ali na javni dr</w:t>
      </w:r>
      <w:r w:rsidR="005E0009" w:rsidRPr="00215B2F">
        <w:rPr>
          <w:rFonts w:ascii="Arial" w:eastAsia="Arial" w:hAnsi="Arial" w:cs="Arial"/>
          <w:sz w:val="20"/>
          <w:szCs w:val="20"/>
        </w:rPr>
        <w:t>až</w:t>
      </w:r>
      <w:r w:rsidRPr="00215B2F">
        <w:rPr>
          <w:rFonts w:ascii="Arial" w:eastAsia="Arial" w:hAnsi="Arial" w:cs="Arial"/>
          <w:sz w:val="20"/>
          <w:szCs w:val="20"/>
        </w:rPr>
        <w:t>bi. Za prodajo z neposredno pogodbo in prodajo na javni dražbi se smiselno uporabijo pravila zakona, ki ureja izvršbo in zavarovanje.</w:t>
      </w:r>
    </w:p>
    <w:p w14:paraId="324664F6"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6D797A60" w14:textId="28C6823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z odločbo o prenosu delnic potrdi prodajo z neposredno pogodbo ali prodajo na javni dražbi. Odločba o prenosu delnic je podlaga za prenos delnic v registru nematerializiranih vrednost</w:t>
      </w:r>
      <w:r w:rsidR="00E37715" w:rsidRPr="00215B2F">
        <w:rPr>
          <w:rFonts w:ascii="Arial" w:eastAsia="Arial" w:hAnsi="Arial" w:cs="Arial"/>
          <w:sz w:val="20"/>
          <w:szCs w:val="20"/>
        </w:rPr>
        <w:t>n</w:t>
      </w:r>
      <w:r w:rsidRPr="00215B2F">
        <w:rPr>
          <w:rFonts w:ascii="Arial" w:eastAsia="Arial" w:hAnsi="Arial" w:cs="Arial"/>
          <w:sz w:val="20"/>
          <w:szCs w:val="20"/>
        </w:rPr>
        <w:t>ih papirjev. Banka Slovenije z odločbo zavrne prodajo z neposredno pogodbo ali prodajo na javni dražbi, če pri sklepanju pogodbe niso bili izpolnjeni pogoji iz petega odstavka</w:t>
      </w:r>
      <w:r w:rsidR="00E94730" w:rsidRPr="00215B2F">
        <w:rPr>
          <w:rFonts w:ascii="Arial" w:eastAsia="Arial" w:hAnsi="Arial" w:cs="Arial"/>
          <w:sz w:val="20"/>
          <w:szCs w:val="20"/>
        </w:rPr>
        <w:t xml:space="preserve"> 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člena</w:t>
      </w:r>
      <w:r w:rsidRPr="00215B2F">
        <w:rPr>
          <w:rFonts w:ascii="Arial" w:eastAsia="Arial" w:hAnsi="Arial" w:cs="Arial"/>
          <w:sz w:val="20"/>
          <w:szCs w:val="20"/>
        </w:rPr>
        <w:t>.</w:t>
      </w:r>
    </w:p>
    <w:p w14:paraId="41C0157B"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6858A976" w14:textId="2193E4D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S prenosom delnic na kupca se pri delnicah, ki so predmet prenosa, izbriše prepoved razpolaganja, ki je bila vpisana na podlagi odločbe o prisilni prodaji delnic.</w:t>
      </w:r>
    </w:p>
    <w:p w14:paraId="6847B266"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2C6A05FC" w14:textId="686380B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Če delnic v razumnem roku ni mogoče prodati, Banka Slovenije s sklepom ustavi postopek prisilne prodaje delnic. Sklep o ustavitvi postopka ni ovira za ponovno izdajo odločbe o prisilni prodaji delnic, če so izpolnjeni pogoji iz </w:t>
      </w:r>
      <w:r w:rsidR="00F77840"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člena</w:t>
      </w:r>
      <w:r w:rsidRPr="00215B2F">
        <w:rPr>
          <w:rFonts w:ascii="Arial" w:eastAsia="Arial" w:hAnsi="Arial" w:cs="Arial"/>
          <w:sz w:val="20"/>
          <w:szCs w:val="20"/>
        </w:rPr>
        <w:t xml:space="preserve">. </w:t>
      </w:r>
    </w:p>
    <w:p w14:paraId="7A746085"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DA7D58F"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32" w:name="_Ref202967553"/>
      <w:r w:rsidRPr="00215B2F">
        <w:rPr>
          <w:rFonts w:ascii="Arial" w:eastAsia="Arial" w:hAnsi="Arial" w:cs="Arial"/>
          <w:b/>
          <w:bCs/>
          <w:sz w:val="20"/>
          <w:szCs w:val="20"/>
        </w:rPr>
        <w:t>člen</w:t>
      </w:r>
      <w:bookmarkEnd w:id="432"/>
    </w:p>
    <w:p w14:paraId="6E26A5E4" w14:textId="471EDE1C" w:rsidR="00D91782" w:rsidRPr="00215B2F" w:rsidRDefault="00D91782" w:rsidP="00FD5520">
      <w:pPr>
        <w:pStyle w:val="Slog1"/>
        <w:shd w:val="clear" w:color="auto" w:fill="FFFFFF" w:themeFill="background1"/>
        <w:rPr>
          <w:sz w:val="20"/>
          <w:szCs w:val="20"/>
        </w:rPr>
      </w:pPr>
      <w:r w:rsidRPr="00215B2F">
        <w:rPr>
          <w:sz w:val="20"/>
          <w:szCs w:val="20"/>
        </w:rPr>
        <w:t>(povračilo stroškov v zvezi s prisilno prodajo delnic)</w:t>
      </w:r>
    </w:p>
    <w:p w14:paraId="5BB70926" w14:textId="77777777" w:rsidR="00D91782" w:rsidRPr="00215B2F" w:rsidRDefault="00D91782" w:rsidP="00FD5520">
      <w:pPr>
        <w:pStyle w:val="Slog1"/>
        <w:shd w:val="clear" w:color="auto" w:fill="FFFFFF" w:themeFill="background1"/>
        <w:jc w:val="both"/>
        <w:rPr>
          <w:sz w:val="20"/>
          <w:szCs w:val="20"/>
        </w:rPr>
      </w:pPr>
    </w:p>
    <w:p w14:paraId="17E6D13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od neposrednega neupravičenega imetnika delnic zahteva povrnitev vseh stroškov, nastalih v zvezi s prisilno prodajo delnic.</w:t>
      </w:r>
    </w:p>
    <w:p w14:paraId="1957BEB9"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0CF61A95" w14:textId="7D50A1A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(2) Banka Slovenije pri ugotavljanju stroškov iz prejšnjega odstavka upošteva dejanske stroške, vključno s stroški:</w:t>
      </w:r>
    </w:p>
    <w:p w14:paraId="742CFF72"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2A9E5B5B" w14:textId="77777777" w:rsidR="00566332" w:rsidRPr="00215B2F" w:rsidRDefault="00D91782" w:rsidP="003D4DE0">
      <w:pPr>
        <w:pStyle w:val="tevilnatoka"/>
        <w:numPr>
          <w:ilvl w:val="0"/>
          <w:numId w:val="253"/>
        </w:numPr>
        <w:shd w:val="clear" w:color="auto" w:fill="FFFFFF" w:themeFill="background1"/>
        <w:tabs>
          <w:tab w:val="clear" w:pos="425"/>
        </w:tabs>
        <w:rPr>
          <w:rFonts w:cs="Arial"/>
          <w:bCs/>
          <w:sz w:val="20"/>
          <w:szCs w:val="20"/>
        </w:rPr>
      </w:pPr>
      <w:r w:rsidRPr="00215B2F">
        <w:rPr>
          <w:rFonts w:eastAsia="Arial" w:cs="Arial"/>
          <w:sz w:val="20"/>
          <w:szCs w:val="20"/>
        </w:rPr>
        <w:t>nadomestila za delo skrbnika za prodajo delnic;</w:t>
      </w:r>
    </w:p>
    <w:p w14:paraId="09F65819" w14:textId="77777777" w:rsidR="00566332" w:rsidRPr="00215B2F" w:rsidRDefault="00D91782" w:rsidP="003D4DE0">
      <w:pPr>
        <w:pStyle w:val="tevilnatoka"/>
        <w:numPr>
          <w:ilvl w:val="0"/>
          <w:numId w:val="253"/>
        </w:numPr>
        <w:shd w:val="clear" w:color="auto" w:fill="FFFFFF" w:themeFill="background1"/>
        <w:tabs>
          <w:tab w:val="clear" w:pos="425"/>
        </w:tabs>
        <w:rPr>
          <w:rFonts w:cs="Arial"/>
          <w:bCs/>
          <w:sz w:val="20"/>
          <w:szCs w:val="20"/>
        </w:rPr>
      </w:pPr>
      <w:r w:rsidRPr="00215B2F">
        <w:rPr>
          <w:rFonts w:eastAsia="Arial" w:cs="Arial"/>
          <w:sz w:val="20"/>
          <w:szCs w:val="20"/>
        </w:rPr>
        <w:t>morebitne cenitve delnic;</w:t>
      </w:r>
    </w:p>
    <w:p w14:paraId="62873F38" w14:textId="77777777" w:rsidR="00566332" w:rsidRPr="00215B2F" w:rsidRDefault="00D91782" w:rsidP="003D4DE0">
      <w:pPr>
        <w:pStyle w:val="tevilnatoka"/>
        <w:numPr>
          <w:ilvl w:val="0"/>
          <w:numId w:val="253"/>
        </w:numPr>
        <w:shd w:val="clear" w:color="auto" w:fill="FFFFFF" w:themeFill="background1"/>
        <w:tabs>
          <w:tab w:val="clear" w:pos="425"/>
        </w:tabs>
        <w:rPr>
          <w:rFonts w:cs="Arial"/>
          <w:bCs/>
          <w:sz w:val="20"/>
          <w:szCs w:val="20"/>
        </w:rPr>
      </w:pPr>
      <w:r w:rsidRPr="00215B2F">
        <w:rPr>
          <w:rFonts w:eastAsia="Arial" w:cs="Arial"/>
          <w:sz w:val="20"/>
          <w:szCs w:val="20"/>
        </w:rPr>
        <w:t>postopka prodaje delnic in prenosa delnic na račun kupca;</w:t>
      </w:r>
    </w:p>
    <w:p w14:paraId="779C6115" w14:textId="716FA12D" w:rsidR="00D91782" w:rsidRPr="00215B2F" w:rsidRDefault="00D91782" w:rsidP="003D4DE0">
      <w:pPr>
        <w:pStyle w:val="tevilnatoka"/>
        <w:numPr>
          <w:ilvl w:val="0"/>
          <w:numId w:val="253"/>
        </w:numPr>
        <w:shd w:val="clear" w:color="auto" w:fill="FFFFFF" w:themeFill="background1"/>
        <w:tabs>
          <w:tab w:val="clear" w:pos="425"/>
        </w:tabs>
        <w:rPr>
          <w:rFonts w:cs="Arial"/>
          <w:bCs/>
          <w:sz w:val="20"/>
          <w:szCs w:val="20"/>
        </w:rPr>
      </w:pPr>
      <w:r w:rsidRPr="00215B2F">
        <w:rPr>
          <w:rFonts w:eastAsia="Arial" w:cs="Arial"/>
          <w:sz w:val="20"/>
          <w:szCs w:val="20"/>
        </w:rPr>
        <w:t>najema drugih neodvisnih strokovnjakov, ki sodelujejo pri prisilni prodaji delnic, kadar se za izvedbo posameznih nalog zahtevajo posebno znanje in izkušnje.</w:t>
      </w:r>
    </w:p>
    <w:p w14:paraId="4E3FAD47"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45455977" w14:textId="7C61866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Skrbnik za prodajo mora priglasiti stroške</w:t>
      </w:r>
      <w:r w:rsidR="00D0165E" w:rsidRPr="00215B2F">
        <w:rPr>
          <w:rFonts w:ascii="Arial" w:eastAsia="Arial" w:hAnsi="Arial" w:cs="Arial"/>
          <w:sz w:val="20"/>
          <w:szCs w:val="20"/>
        </w:rPr>
        <w:t>,</w:t>
      </w:r>
      <w:r w:rsidRPr="00215B2F">
        <w:rPr>
          <w:rFonts w:ascii="Arial" w:eastAsia="Arial" w:hAnsi="Arial" w:cs="Arial"/>
          <w:sz w:val="20"/>
          <w:szCs w:val="20"/>
        </w:rPr>
        <w:t xml:space="preserve"> nastale v zvezi s prisilno prodajo delnic</w:t>
      </w:r>
      <w:r w:rsidR="00D0165E" w:rsidRPr="00215B2F">
        <w:rPr>
          <w:rFonts w:ascii="Arial" w:eastAsia="Arial" w:hAnsi="Arial" w:cs="Arial"/>
          <w:sz w:val="20"/>
          <w:szCs w:val="20"/>
        </w:rPr>
        <w:t>,</w:t>
      </w:r>
      <w:r w:rsidRPr="00215B2F">
        <w:rPr>
          <w:rFonts w:ascii="Arial" w:eastAsia="Arial" w:hAnsi="Arial" w:cs="Arial"/>
          <w:sz w:val="20"/>
          <w:szCs w:val="20"/>
        </w:rPr>
        <w:t xml:space="preserve"> v </w:t>
      </w:r>
      <w:r w:rsidR="00D0165E" w:rsidRPr="00215B2F">
        <w:rPr>
          <w:rFonts w:ascii="Arial" w:eastAsia="Arial" w:hAnsi="Arial" w:cs="Arial"/>
          <w:sz w:val="20"/>
          <w:szCs w:val="20"/>
        </w:rPr>
        <w:t>enem</w:t>
      </w:r>
      <w:r w:rsidRPr="00215B2F">
        <w:rPr>
          <w:rFonts w:ascii="Arial" w:eastAsia="Arial" w:hAnsi="Arial" w:cs="Arial"/>
          <w:sz w:val="20"/>
          <w:szCs w:val="20"/>
        </w:rPr>
        <w:t xml:space="preserve"> mesec</w:t>
      </w:r>
      <w:r w:rsidR="00D0165E" w:rsidRPr="00215B2F">
        <w:rPr>
          <w:rFonts w:ascii="Arial" w:eastAsia="Arial" w:hAnsi="Arial" w:cs="Arial"/>
          <w:sz w:val="20"/>
          <w:szCs w:val="20"/>
        </w:rPr>
        <w:t>u</w:t>
      </w:r>
      <w:r w:rsidRPr="00215B2F">
        <w:rPr>
          <w:rFonts w:ascii="Arial" w:eastAsia="Arial" w:hAnsi="Arial" w:cs="Arial"/>
          <w:sz w:val="20"/>
          <w:szCs w:val="20"/>
        </w:rPr>
        <w:t xml:space="preserve"> po izdaji odločbe o prenosu delnic. Banka Slovenije o višini stroškov odloči s sklepom. Zoper ta sklep je dopusten posebn</w:t>
      </w:r>
      <w:r w:rsidR="00D0165E" w:rsidRPr="00215B2F">
        <w:rPr>
          <w:rFonts w:ascii="Arial" w:eastAsia="Arial" w:hAnsi="Arial" w:cs="Arial"/>
          <w:sz w:val="20"/>
          <w:szCs w:val="20"/>
        </w:rPr>
        <w:t>i</w:t>
      </w:r>
      <w:r w:rsidRPr="00215B2F">
        <w:rPr>
          <w:rFonts w:ascii="Arial" w:eastAsia="Arial" w:hAnsi="Arial" w:cs="Arial"/>
          <w:sz w:val="20"/>
          <w:szCs w:val="20"/>
        </w:rPr>
        <w:t xml:space="preserve"> postopek sodnega varstva.</w:t>
      </w:r>
    </w:p>
    <w:p w14:paraId="7314E888"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1086075F" w14:textId="5D2B29A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Skrbnik za prodajo delnic poplača neposrednega neupravičenega imetnika iz zneska</w:t>
      </w:r>
      <w:r w:rsidR="00D0165E" w:rsidRPr="00215B2F">
        <w:rPr>
          <w:rFonts w:ascii="Arial" w:eastAsia="Arial" w:hAnsi="Arial" w:cs="Arial"/>
          <w:sz w:val="20"/>
          <w:szCs w:val="20"/>
        </w:rPr>
        <w:t>,</w:t>
      </w:r>
      <w:r w:rsidRPr="00215B2F">
        <w:rPr>
          <w:rFonts w:ascii="Arial" w:eastAsia="Arial" w:hAnsi="Arial" w:cs="Arial"/>
          <w:sz w:val="20"/>
          <w:szCs w:val="20"/>
        </w:rPr>
        <w:t xml:space="preserve"> pridobljenega s prodajo delnic</w:t>
      </w:r>
      <w:r w:rsidR="00D0165E" w:rsidRPr="00215B2F">
        <w:rPr>
          <w:rFonts w:ascii="Arial" w:eastAsia="Arial" w:hAnsi="Arial" w:cs="Arial"/>
          <w:sz w:val="20"/>
          <w:szCs w:val="20"/>
        </w:rPr>
        <w:t>,</w:t>
      </w:r>
      <w:r w:rsidRPr="00215B2F">
        <w:rPr>
          <w:rFonts w:ascii="Arial" w:eastAsia="Arial" w:hAnsi="Arial" w:cs="Arial"/>
          <w:sz w:val="20"/>
          <w:szCs w:val="20"/>
        </w:rPr>
        <w:t xml:space="preserve"> zmanjšanega za stroške v zvezi s prisilno prodajo delnic.</w:t>
      </w:r>
    </w:p>
    <w:p w14:paraId="4F4F3C33" w14:textId="77777777" w:rsidR="00654D99" w:rsidRPr="00215B2F" w:rsidRDefault="00654D99" w:rsidP="00FD5520">
      <w:pPr>
        <w:shd w:val="clear" w:color="auto" w:fill="FFFFFF" w:themeFill="background1"/>
        <w:spacing w:after="0" w:line="240" w:lineRule="auto"/>
        <w:jc w:val="center"/>
        <w:rPr>
          <w:rFonts w:ascii="Arial" w:eastAsia="Arial" w:hAnsi="Arial" w:cs="Arial"/>
          <w:sz w:val="20"/>
          <w:szCs w:val="20"/>
        </w:rPr>
      </w:pPr>
    </w:p>
    <w:p w14:paraId="7DEA7C04" w14:textId="77777777" w:rsidR="00654D99" w:rsidRPr="00215B2F" w:rsidRDefault="00654D99"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33" w:name="_Ref202967568"/>
      <w:r w:rsidRPr="00215B2F">
        <w:rPr>
          <w:rFonts w:ascii="Arial" w:eastAsia="Arial" w:hAnsi="Arial" w:cs="Arial"/>
          <w:b/>
          <w:bCs/>
          <w:sz w:val="20"/>
          <w:szCs w:val="20"/>
        </w:rPr>
        <w:t>člen</w:t>
      </w:r>
      <w:bookmarkEnd w:id="433"/>
    </w:p>
    <w:p w14:paraId="17973C33"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(ustavitev postopka prisilne prodaje na predlog neupravičenega imetnika)</w:t>
      </w:r>
    </w:p>
    <w:p w14:paraId="72EC4D9C"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1FED28E0" w14:textId="446E172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Neupravičeni imetnik</w:t>
      </w:r>
      <w:r w:rsidR="00D0165E" w:rsidRPr="00215B2F">
        <w:rPr>
          <w:rFonts w:ascii="Arial" w:eastAsia="Arial" w:hAnsi="Arial" w:cs="Arial"/>
          <w:sz w:val="20"/>
          <w:szCs w:val="20"/>
        </w:rPr>
        <w:t>,</w:t>
      </w:r>
      <w:r w:rsidRPr="00215B2F">
        <w:rPr>
          <w:rFonts w:ascii="Arial" w:eastAsia="Arial" w:hAnsi="Arial" w:cs="Arial"/>
          <w:sz w:val="20"/>
          <w:szCs w:val="20"/>
        </w:rPr>
        <w:t xml:space="preserve"> na </w:t>
      </w:r>
      <w:r w:rsidR="00D0165E" w:rsidRPr="00215B2F">
        <w:rPr>
          <w:rFonts w:ascii="Arial" w:eastAsia="Arial" w:hAnsi="Arial" w:cs="Arial"/>
          <w:sz w:val="20"/>
          <w:szCs w:val="20"/>
        </w:rPr>
        <w:t xml:space="preserve">čigar </w:t>
      </w:r>
      <w:r w:rsidRPr="00215B2F">
        <w:rPr>
          <w:rFonts w:ascii="Arial" w:eastAsia="Arial" w:hAnsi="Arial" w:cs="Arial"/>
          <w:sz w:val="20"/>
          <w:szCs w:val="20"/>
        </w:rPr>
        <w:t xml:space="preserve">delnice se nanaša odločba o </w:t>
      </w:r>
      <w:r w:rsidR="003C3A0A" w:rsidRPr="00215B2F">
        <w:rPr>
          <w:rFonts w:ascii="Arial" w:eastAsia="Arial" w:hAnsi="Arial" w:cs="Arial"/>
          <w:sz w:val="20"/>
          <w:szCs w:val="20"/>
        </w:rPr>
        <w:t>prisilni</w:t>
      </w:r>
      <w:r w:rsidRPr="00215B2F">
        <w:rPr>
          <w:rFonts w:ascii="Arial" w:eastAsia="Arial" w:hAnsi="Arial" w:cs="Arial"/>
          <w:sz w:val="20"/>
          <w:szCs w:val="20"/>
        </w:rPr>
        <w:t xml:space="preserve"> prodaji</w:t>
      </w:r>
      <w:r w:rsidR="00D0165E" w:rsidRPr="00215B2F">
        <w:rPr>
          <w:rFonts w:ascii="Arial" w:eastAsia="Arial" w:hAnsi="Arial" w:cs="Arial"/>
          <w:sz w:val="20"/>
          <w:szCs w:val="20"/>
        </w:rPr>
        <w:t>,</w:t>
      </w:r>
      <w:r w:rsidRPr="00215B2F">
        <w:rPr>
          <w:rFonts w:ascii="Arial" w:eastAsia="Arial" w:hAnsi="Arial" w:cs="Arial"/>
          <w:sz w:val="20"/>
          <w:szCs w:val="20"/>
        </w:rPr>
        <w:t xml:space="preserve"> lahko kadar</w:t>
      </w:r>
      <w:r w:rsidR="00D0165E" w:rsidRPr="00215B2F">
        <w:rPr>
          <w:rFonts w:ascii="Arial" w:eastAsia="Arial" w:hAnsi="Arial" w:cs="Arial"/>
          <w:sz w:val="20"/>
          <w:szCs w:val="20"/>
        </w:rPr>
        <w:t> </w:t>
      </w:r>
      <w:r w:rsidRPr="00215B2F">
        <w:rPr>
          <w:rFonts w:ascii="Arial" w:eastAsia="Arial" w:hAnsi="Arial" w:cs="Arial"/>
          <w:sz w:val="20"/>
          <w:szCs w:val="20"/>
        </w:rPr>
        <w:t xml:space="preserve">koli med postopkom prisilne prodaje delnic predlaga prodajo delnic z neposredno pogodbo izbranemu kupcu. </w:t>
      </w:r>
    </w:p>
    <w:p w14:paraId="7A7E2DCB"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6845EF21" w14:textId="4ED736B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Neupravičeni imetnik predlog iz prejšnjega odstavka pošlje Banki Slovenije in skrbniku za prodajo ter predloži predlog neposredne pogodbe. Če se prodaja kvalificirani delež, je kupec kvalificiranega deleža </w:t>
      </w:r>
      <w:r w:rsidR="00D0165E" w:rsidRPr="00215B2F">
        <w:rPr>
          <w:rFonts w:ascii="Arial" w:eastAsia="Arial" w:hAnsi="Arial" w:cs="Arial"/>
          <w:sz w:val="20"/>
          <w:szCs w:val="20"/>
        </w:rPr>
        <w:t xml:space="preserve">lahko </w:t>
      </w:r>
      <w:r w:rsidRPr="00215B2F">
        <w:rPr>
          <w:rFonts w:ascii="Arial" w:eastAsia="Arial" w:hAnsi="Arial" w:cs="Arial"/>
          <w:sz w:val="20"/>
          <w:szCs w:val="20"/>
        </w:rPr>
        <w:t xml:space="preserve">samo oseba, ki je pridobila </w:t>
      </w:r>
      <w:r w:rsidR="00053E33" w:rsidRPr="00215B2F">
        <w:rPr>
          <w:rFonts w:ascii="Arial" w:eastAsia="Arial" w:hAnsi="Arial" w:cs="Arial"/>
          <w:sz w:val="20"/>
          <w:szCs w:val="20"/>
        </w:rPr>
        <w:t>odločitev o nenasprotovanju</w:t>
      </w:r>
      <w:r w:rsidRPr="00215B2F">
        <w:rPr>
          <w:rFonts w:ascii="Arial" w:eastAsia="Arial" w:hAnsi="Arial" w:cs="Arial"/>
          <w:sz w:val="20"/>
          <w:szCs w:val="20"/>
        </w:rPr>
        <w:t xml:space="preserve"> v skladu </w:t>
      </w:r>
      <w:r w:rsidR="00D0165E" w:rsidRPr="00215B2F">
        <w:rPr>
          <w:rFonts w:ascii="Arial" w:eastAsia="Arial" w:hAnsi="Arial" w:cs="Arial"/>
          <w:sz w:val="20"/>
          <w:szCs w:val="20"/>
        </w:rPr>
        <w:t xml:space="preserve">z </w:t>
      </w:r>
      <w:r w:rsidR="00BC4E51" w:rsidRPr="00215B2F">
        <w:rPr>
          <w:rFonts w:ascii="Arial" w:eastAsia="Arial" w:hAnsi="Arial" w:cs="Arial"/>
          <w:sz w:val="20"/>
          <w:szCs w:val="20"/>
        </w:rPr>
        <w:t>91</w:t>
      </w:r>
      <w:r w:rsidR="00D0165E" w:rsidRPr="00215B2F">
        <w:rPr>
          <w:rFonts w:ascii="Arial" w:eastAsia="Arial" w:hAnsi="Arial" w:cs="Arial"/>
          <w:sz w:val="20"/>
          <w:szCs w:val="20"/>
        </w:rPr>
        <w:t>.</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w:t>
      </w:r>
    </w:p>
    <w:p w14:paraId="1CDDE90E"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5DF3ADB3" w14:textId="2C6DAD7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lahko od kupca zahteva, da se izja</w:t>
      </w:r>
      <w:r w:rsidR="00D0165E" w:rsidRPr="00215B2F">
        <w:rPr>
          <w:rFonts w:ascii="Arial" w:eastAsia="Arial" w:hAnsi="Arial" w:cs="Arial"/>
          <w:sz w:val="20"/>
          <w:szCs w:val="20"/>
        </w:rPr>
        <w:t>v</w:t>
      </w:r>
      <w:r w:rsidRPr="00215B2F">
        <w:rPr>
          <w:rFonts w:ascii="Arial" w:eastAsia="Arial" w:hAnsi="Arial" w:cs="Arial"/>
          <w:sz w:val="20"/>
          <w:szCs w:val="20"/>
        </w:rPr>
        <w:t>i</w:t>
      </w:r>
      <w:r w:rsidR="00D0165E" w:rsidRPr="00215B2F">
        <w:rPr>
          <w:rFonts w:ascii="Arial" w:eastAsia="Arial" w:hAnsi="Arial" w:cs="Arial"/>
          <w:sz w:val="20"/>
          <w:szCs w:val="20"/>
        </w:rPr>
        <w:t>,</w:t>
      </w:r>
      <w:r w:rsidRPr="00215B2F">
        <w:rPr>
          <w:rFonts w:ascii="Arial" w:eastAsia="Arial" w:hAnsi="Arial" w:cs="Arial"/>
          <w:sz w:val="20"/>
          <w:szCs w:val="20"/>
        </w:rPr>
        <w:t xml:space="preserve"> ali je delnice pridobil v svojem imenu in za svoj račun, ter pridobi druge dokaze o okoli</w:t>
      </w:r>
      <w:r w:rsidR="005E0009" w:rsidRPr="00215B2F">
        <w:rPr>
          <w:rFonts w:ascii="Arial" w:eastAsia="Arial" w:hAnsi="Arial" w:cs="Arial"/>
          <w:sz w:val="20"/>
          <w:szCs w:val="20"/>
        </w:rPr>
        <w:t>š</w:t>
      </w:r>
      <w:r w:rsidRPr="00215B2F">
        <w:rPr>
          <w:rFonts w:ascii="Arial" w:eastAsia="Arial" w:hAnsi="Arial" w:cs="Arial"/>
          <w:sz w:val="20"/>
          <w:szCs w:val="20"/>
        </w:rPr>
        <w:t>čin</w:t>
      </w:r>
      <w:r w:rsidR="00D0165E" w:rsidRPr="00215B2F">
        <w:rPr>
          <w:rFonts w:ascii="Arial" w:eastAsia="Arial" w:hAnsi="Arial" w:cs="Arial"/>
          <w:sz w:val="20"/>
          <w:szCs w:val="20"/>
        </w:rPr>
        <w:t>ah,</w:t>
      </w:r>
      <w:r w:rsidRPr="00215B2F">
        <w:rPr>
          <w:rFonts w:ascii="Arial" w:eastAsia="Arial" w:hAnsi="Arial" w:cs="Arial"/>
          <w:sz w:val="20"/>
          <w:szCs w:val="20"/>
        </w:rPr>
        <w:t xml:space="preserve"> za čigav račun kupec pridobiva delnice. </w:t>
      </w:r>
    </w:p>
    <w:p w14:paraId="15052A8C"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685B92FA" w14:textId="4C4E16F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z odločbo o prenosu delnic potrdi prodajo z neposredno pogodbo na predlog neupravičenega imetnika, če iz okoliščin prodaje ne izhaja, da gre za </w:t>
      </w:r>
      <w:r w:rsidR="00D84A2A" w:rsidRPr="00215B2F">
        <w:rPr>
          <w:rFonts w:ascii="Arial" w:eastAsia="Arial" w:hAnsi="Arial" w:cs="Arial"/>
          <w:sz w:val="20"/>
          <w:szCs w:val="20"/>
        </w:rPr>
        <w:t xml:space="preserve">zaobid </w:t>
      </w:r>
      <w:r w:rsidRPr="00215B2F">
        <w:rPr>
          <w:rFonts w:ascii="Arial" w:eastAsia="Arial" w:hAnsi="Arial" w:cs="Arial"/>
          <w:sz w:val="20"/>
          <w:szCs w:val="20"/>
        </w:rPr>
        <w:t>določb tega zakona o kvalificiranih deležih.</w:t>
      </w:r>
    </w:p>
    <w:p w14:paraId="578721A2"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1C2270B1" w14:textId="71184F6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w:t>
      </w:r>
      <w:r w:rsidR="0038496C" w:rsidRPr="00215B2F">
        <w:rPr>
          <w:rFonts w:ascii="Arial" w:eastAsia="Arial" w:hAnsi="Arial" w:cs="Arial"/>
          <w:sz w:val="20"/>
          <w:szCs w:val="20"/>
        </w:rPr>
        <w:t xml:space="preserve">Za povračilo </w:t>
      </w:r>
      <w:r w:rsidRPr="00215B2F">
        <w:rPr>
          <w:rFonts w:ascii="Arial" w:eastAsia="Arial" w:hAnsi="Arial" w:cs="Arial"/>
          <w:sz w:val="20"/>
          <w:szCs w:val="20"/>
        </w:rPr>
        <w:t xml:space="preserve">stroškov v zvezi s prisilno prodajo delnic se </w:t>
      </w:r>
      <w:r w:rsidR="0038496C" w:rsidRPr="00215B2F">
        <w:rPr>
          <w:rFonts w:ascii="Arial" w:eastAsia="Arial" w:hAnsi="Arial" w:cs="Arial"/>
          <w:sz w:val="20"/>
          <w:szCs w:val="20"/>
        </w:rPr>
        <w:t xml:space="preserve">tudi v primeru, da se delnice v skladu s tem členom prodajo z neposredno pogodbo izbranemu kupcu, </w:t>
      </w:r>
      <w:r w:rsidRPr="00215B2F">
        <w:rPr>
          <w:rFonts w:ascii="Arial" w:eastAsia="Arial" w:hAnsi="Arial" w:cs="Arial"/>
          <w:sz w:val="20"/>
          <w:szCs w:val="20"/>
        </w:rPr>
        <w:t xml:space="preserve">uporablja </w:t>
      </w:r>
      <w:r w:rsidR="0038496C" w:rsidRPr="00215B2F">
        <w:rPr>
          <w:rFonts w:ascii="Arial" w:eastAsia="Arial" w:hAnsi="Arial" w:cs="Arial"/>
          <w:sz w:val="20"/>
          <w:szCs w:val="20"/>
        </w:rPr>
        <w:t>prejšnji</w:t>
      </w:r>
      <w:r w:rsidRPr="00215B2F">
        <w:rPr>
          <w:rFonts w:ascii="Arial" w:eastAsia="Arial" w:hAnsi="Arial" w:cs="Arial"/>
          <w:sz w:val="20"/>
          <w:szCs w:val="20"/>
        </w:rPr>
        <w:t xml:space="preserve"> </w:t>
      </w:r>
      <w:r w:rsidR="001F2C7A" w:rsidRPr="00215B2F">
        <w:rPr>
          <w:rFonts w:ascii="Arial" w:eastAsia="Arial" w:hAnsi="Arial" w:cs="Arial"/>
          <w:sz w:val="20"/>
          <w:szCs w:val="20"/>
        </w:rPr>
        <w:t>člen</w:t>
      </w:r>
      <w:r w:rsidRPr="00215B2F">
        <w:rPr>
          <w:rFonts w:ascii="Arial" w:eastAsia="Arial" w:hAnsi="Arial" w:cs="Arial"/>
          <w:sz w:val="20"/>
          <w:szCs w:val="20"/>
        </w:rPr>
        <w:t xml:space="preserve">. </w:t>
      </w:r>
    </w:p>
    <w:p w14:paraId="7049F10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FB11C6B" w14:textId="67B5F76C" w:rsidR="00D91782" w:rsidRPr="00215B2F" w:rsidRDefault="0068400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10</w:t>
      </w:r>
      <w:r w:rsidR="00D91782" w:rsidRPr="00215B2F">
        <w:rPr>
          <w:rFonts w:ascii="Arial" w:eastAsia="Arial" w:hAnsi="Arial" w:cs="Arial"/>
          <w:b/>
          <w:bCs/>
          <w:sz w:val="20"/>
          <w:szCs w:val="20"/>
        </w:rPr>
        <w:t>.5 UKREPI NADZORA ZOPER ČLANA UPRAVLJALNEGA ORGANA</w:t>
      </w:r>
    </w:p>
    <w:p w14:paraId="289C2497"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09348808"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34" w:name="_Ref202967728"/>
      <w:r w:rsidRPr="00215B2F">
        <w:rPr>
          <w:rFonts w:ascii="Arial" w:eastAsia="Arial" w:hAnsi="Arial" w:cs="Arial"/>
          <w:b/>
          <w:bCs/>
          <w:sz w:val="20"/>
          <w:szCs w:val="20"/>
        </w:rPr>
        <w:t>člen</w:t>
      </w:r>
      <w:bookmarkEnd w:id="434"/>
    </w:p>
    <w:p w14:paraId="77C5305C" w14:textId="77777777" w:rsidR="00D91782" w:rsidRPr="00215B2F" w:rsidRDefault="00D91782" w:rsidP="00FD5520">
      <w:pPr>
        <w:pStyle w:val="Slog1"/>
        <w:shd w:val="clear" w:color="auto" w:fill="FFFFFF" w:themeFill="background1"/>
        <w:rPr>
          <w:sz w:val="20"/>
          <w:szCs w:val="20"/>
        </w:rPr>
      </w:pPr>
      <w:r w:rsidRPr="00215B2F">
        <w:rPr>
          <w:sz w:val="20"/>
          <w:szCs w:val="20"/>
        </w:rPr>
        <w:t>(odredba članu upravljalnega organa in ugotovitvena odločba o odpravljenih kršitvah)</w:t>
      </w:r>
    </w:p>
    <w:p w14:paraId="62DD3307" w14:textId="77777777" w:rsidR="00D91782" w:rsidRPr="00215B2F" w:rsidRDefault="00D91782" w:rsidP="00FD5520">
      <w:pPr>
        <w:pStyle w:val="Slog1"/>
        <w:shd w:val="clear" w:color="auto" w:fill="FFFFFF" w:themeFill="background1"/>
        <w:jc w:val="both"/>
        <w:rPr>
          <w:sz w:val="20"/>
          <w:szCs w:val="20"/>
        </w:rPr>
      </w:pPr>
    </w:p>
    <w:p w14:paraId="5AFB8C40" w14:textId="07ABFCA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Banka Slovenije pri izvajanju nadzora nad banko ugotovi, da član uprave krši dolžnosti iz prvega ali tretjega odstavka </w:t>
      </w:r>
      <w:r w:rsidR="00FE757E" w:rsidRPr="00215B2F">
        <w:rPr>
          <w:rFonts w:ascii="Arial" w:eastAsia="Arial" w:hAnsi="Arial" w:cs="Arial"/>
          <w:sz w:val="20"/>
          <w:szCs w:val="20"/>
        </w:rPr>
        <w:t>54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ali da član nadzornega sveta krši dolžnosti člana </w:t>
      </w:r>
      <w:r w:rsidR="00354135" w:rsidRPr="00215B2F">
        <w:rPr>
          <w:rFonts w:ascii="Arial" w:eastAsia="Arial" w:hAnsi="Arial" w:cs="Arial"/>
          <w:sz w:val="20"/>
          <w:szCs w:val="20"/>
        </w:rPr>
        <w:t>nadzornega sveta</w:t>
      </w:r>
      <w:r w:rsidRPr="00215B2F">
        <w:rPr>
          <w:rFonts w:ascii="Arial" w:eastAsia="Arial" w:hAnsi="Arial" w:cs="Arial"/>
          <w:sz w:val="20"/>
          <w:szCs w:val="20"/>
        </w:rPr>
        <w:t xml:space="preserve"> iz prvega odstavka </w:t>
      </w:r>
      <w:r w:rsidR="00FE757E" w:rsidRPr="00215B2F">
        <w:rPr>
          <w:rFonts w:ascii="Arial" w:eastAsia="Arial" w:hAnsi="Arial" w:cs="Arial"/>
          <w:sz w:val="20"/>
          <w:szCs w:val="20"/>
        </w:rPr>
        <w:t>69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ni razlogov za odvzem dovoljenja za opravljanje funkcije člana uprave oziroma člana </w:t>
      </w:r>
      <w:r w:rsidR="00354135" w:rsidRPr="00215B2F">
        <w:rPr>
          <w:rFonts w:ascii="Arial" w:eastAsia="Arial" w:hAnsi="Arial" w:cs="Arial"/>
          <w:sz w:val="20"/>
          <w:szCs w:val="20"/>
        </w:rPr>
        <w:t>nadzornega sveta</w:t>
      </w:r>
      <w:r w:rsidRPr="00215B2F">
        <w:rPr>
          <w:rFonts w:ascii="Arial" w:eastAsia="Arial" w:hAnsi="Arial" w:cs="Arial"/>
          <w:sz w:val="20"/>
          <w:szCs w:val="20"/>
        </w:rPr>
        <w:t xml:space="preserve">, članu upravljalnega organa z odredbo naloži, da preneha </w:t>
      </w:r>
      <w:r w:rsidR="00F94D78" w:rsidRPr="00215B2F">
        <w:rPr>
          <w:rFonts w:ascii="Arial" w:eastAsia="Arial" w:hAnsi="Arial" w:cs="Arial"/>
          <w:sz w:val="20"/>
          <w:szCs w:val="20"/>
        </w:rPr>
        <w:t>izvajati tako ravnanje</w:t>
      </w:r>
      <w:r w:rsidRPr="00215B2F">
        <w:rPr>
          <w:rFonts w:ascii="Arial" w:eastAsia="Arial" w:hAnsi="Arial" w:cs="Arial"/>
          <w:sz w:val="20"/>
          <w:szCs w:val="20"/>
        </w:rPr>
        <w:t xml:space="preserve"> ali odpravi ugotovljene kršitve.</w:t>
      </w:r>
    </w:p>
    <w:p w14:paraId="0FBEEA1C"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7F4064FD" w14:textId="452DF93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obvesti nadzorni svet in upravo banke o izdaji odredbe iz prejšnjega odstavka.</w:t>
      </w:r>
    </w:p>
    <w:p w14:paraId="18FD36DA"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646F33C5" w14:textId="52683BD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Banka Slovenije pri izvajanju nadzora ugotovi, da je član upravljalnega organa kršil dolžnosti na podlagi tega zakona, vendar je kršitve odpravil pred izdajo odredbe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in ni razlogov za odvzem dovoljenja za opravljanje funkcije, lahko pod pogoji iz četrtega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izda ugotovitveno odločbo, s katero ugotovi, da je član upravljalnega organa kršil svoje dolžnosti na podlagi tega zakona in da je ugotovljeno kršitev odpravil.</w:t>
      </w:r>
    </w:p>
    <w:p w14:paraId="57339092"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19220222" w14:textId="779AB1F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izda ugotovitveno odločbo iz prejšnjega odstavka, če glede na naravo in pomen kršitev za varno in skrbno upravljanje banke izdaja take odločbe </w:t>
      </w:r>
      <w:r w:rsidR="00B509E9" w:rsidRPr="00215B2F">
        <w:rPr>
          <w:rFonts w:ascii="Arial" w:eastAsia="Arial" w:hAnsi="Arial" w:cs="Arial"/>
          <w:sz w:val="20"/>
          <w:szCs w:val="20"/>
        </w:rPr>
        <w:t xml:space="preserve">ter </w:t>
      </w:r>
      <w:r w:rsidRPr="00215B2F">
        <w:rPr>
          <w:rFonts w:ascii="Arial" w:eastAsia="Arial" w:hAnsi="Arial" w:cs="Arial"/>
          <w:sz w:val="20"/>
          <w:szCs w:val="20"/>
        </w:rPr>
        <w:t xml:space="preserve">objava informacij na podlagi </w:t>
      </w:r>
      <w:r w:rsidR="00FE757E" w:rsidRPr="00215B2F">
        <w:rPr>
          <w:rFonts w:ascii="Arial" w:eastAsia="Arial" w:hAnsi="Arial" w:cs="Arial"/>
          <w:sz w:val="20"/>
          <w:szCs w:val="20"/>
        </w:rPr>
        <w:t>385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lahko pomembno prispeva</w:t>
      </w:r>
      <w:r w:rsidR="00725144" w:rsidRPr="00215B2F">
        <w:rPr>
          <w:rFonts w:ascii="Arial" w:eastAsia="Arial" w:hAnsi="Arial" w:cs="Arial"/>
          <w:sz w:val="20"/>
          <w:szCs w:val="20"/>
        </w:rPr>
        <w:t>ta</w:t>
      </w:r>
      <w:r w:rsidRPr="00215B2F">
        <w:rPr>
          <w:rFonts w:ascii="Arial" w:eastAsia="Arial" w:hAnsi="Arial" w:cs="Arial"/>
          <w:sz w:val="20"/>
          <w:szCs w:val="20"/>
        </w:rPr>
        <w:t xml:space="preserve"> k izboljšanju praks upravljanja bank in k preprečevanju ravnanj</w:t>
      </w:r>
      <w:r w:rsidR="00F94D78" w:rsidRPr="00215B2F">
        <w:rPr>
          <w:rFonts w:ascii="Arial" w:eastAsia="Arial" w:hAnsi="Arial" w:cs="Arial"/>
          <w:sz w:val="20"/>
          <w:szCs w:val="20"/>
        </w:rPr>
        <w:t>a</w:t>
      </w:r>
      <w:r w:rsidRPr="00215B2F">
        <w:rPr>
          <w:rFonts w:ascii="Arial" w:eastAsia="Arial" w:hAnsi="Arial" w:cs="Arial"/>
          <w:sz w:val="20"/>
          <w:szCs w:val="20"/>
        </w:rPr>
        <w:t>, ki pomeni kršitev dolžnosti članov upravljalnih organov bank.</w:t>
      </w:r>
    </w:p>
    <w:p w14:paraId="65805A27"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48B8859A" w14:textId="6C0868E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(5) Banka Slovenije pred izdajo ugotovitvene odločbe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člana upravljalnega organa pisno obvesti o ugotovitvah v zvezi s kršitvami predpisov iz </w:t>
      </w:r>
      <w:r w:rsidR="008A0163" w:rsidRPr="00215B2F">
        <w:rPr>
          <w:rFonts w:ascii="Arial" w:eastAsia="Arial" w:hAnsi="Arial" w:cs="Arial"/>
          <w:sz w:val="20"/>
          <w:szCs w:val="20"/>
        </w:rPr>
        <w:t>tretjega</w:t>
      </w:r>
      <w:r w:rsidRPr="00215B2F">
        <w:rPr>
          <w:rFonts w:ascii="Arial" w:eastAsia="Arial" w:hAnsi="Arial" w:cs="Arial"/>
          <w:sz w:val="20"/>
          <w:szCs w:val="20"/>
        </w:rPr>
        <w:t xml:space="preserve"> odstavka 9.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r w:rsidR="00B509E9" w:rsidRPr="00215B2F">
        <w:rPr>
          <w:rFonts w:ascii="Arial" w:eastAsia="Arial" w:hAnsi="Arial" w:cs="Arial"/>
          <w:sz w:val="20"/>
          <w:szCs w:val="20"/>
        </w:rPr>
        <w:t xml:space="preserve">in </w:t>
      </w:r>
      <w:r w:rsidRPr="00215B2F">
        <w:rPr>
          <w:rFonts w:ascii="Arial" w:eastAsia="Arial" w:hAnsi="Arial" w:cs="Arial"/>
          <w:sz w:val="20"/>
          <w:szCs w:val="20"/>
        </w:rPr>
        <w:t>o nameri, da bo izdala ugotovitveno odločbo o odpravljenih kršitvah, ter ga pozove, da se izjavi o dejstvih in okoliščinah, ki so pomembn</w:t>
      </w:r>
      <w:r w:rsidR="00B509E9" w:rsidRPr="00215B2F">
        <w:rPr>
          <w:rFonts w:ascii="Arial" w:eastAsia="Arial" w:hAnsi="Arial" w:cs="Arial"/>
          <w:sz w:val="20"/>
          <w:szCs w:val="20"/>
        </w:rPr>
        <w:t>i</w:t>
      </w:r>
      <w:r w:rsidRPr="00215B2F">
        <w:rPr>
          <w:rFonts w:ascii="Arial" w:eastAsia="Arial" w:hAnsi="Arial" w:cs="Arial"/>
          <w:sz w:val="20"/>
          <w:szCs w:val="20"/>
        </w:rPr>
        <w:t xml:space="preserve"> za odločitev o izdaji ugotovitvene odločbe o odpravi kršitev. Banka Slovenije lahko izda ugotovitveno odločbo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tudi, </w:t>
      </w:r>
      <w:r w:rsidR="00B509E9" w:rsidRPr="00215B2F">
        <w:rPr>
          <w:rFonts w:ascii="Arial" w:eastAsia="Arial" w:hAnsi="Arial" w:cs="Arial"/>
          <w:sz w:val="20"/>
          <w:szCs w:val="20"/>
        </w:rPr>
        <w:t>če</w:t>
      </w:r>
      <w:r w:rsidRPr="00215B2F">
        <w:rPr>
          <w:rFonts w:ascii="Arial" w:eastAsia="Arial" w:hAnsi="Arial" w:cs="Arial"/>
          <w:sz w:val="20"/>
          <w:szCs w:val="20"/>
        </w:rPr>
        <w:t xml:space="preserve"> je funkcija članu upravljalnega organa banke pred izdajo take odločbe prenehala.</w:t>
      </w:r>
    </w:p>
    <w:p w14:paraId="69EA481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BDBE6A7"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35" w:name="_Ref202967736"/>
      <w:r w:rsidRPr="00215B2F">
        <w:rPr>
          <w:rFonts w:ascii="Arial" w:eastAsia="Arial" w:hAnsi="Arial" w:cs="Arial"/>
          <w:b/>
          <w:bCs/>
          <w:sz w:val="20"/>
          <w:szCs w:val="20"/>
        </w:rPr>
        <w:t>člen</w:t>
      </w:r>
      <w:bookmarkEnd w:id="435"/>
    </w:p>
    <w:p w14:paraId="2D6F56AC" w14:textId="3257DE58" w:rsidR="00D91782" w:rsidRPr="00215B2F" w:rsidRDefault="00D91782" w:rsidP="00FD5520">
      <w:pPr>
        <w:pStyle w:val="Slog1"/>
        <w:shd w:val="clear" w:color="auto" w:fill="FFFFFF" w:themeFill="background1"/>
        <w:rPr>
          <w:sz w:val="20"/>
          <w:szCs w:val="20"/>
        </w:rPr>
      </w:pPr>
      <w:r w:rsidRPr="00215B2F">
        <w:rPr>
          <w:sz w:val="20"/>
          <w:szCs w:val="20"/>
        </w:rPr>
        <w:t xml:space="preserve">(odvzem dovoljenja za opravljanje funkcije </w:t>
      </w:r>
      <w:r w:rsidR="00882103" w:rsidRPr="00215B2F">
        <w:rPr>
          <w:sz w:val="20"/>
          <w:szCs w:val="20"/>
        </w:rPr>
        <w:t>člana uprave</w:t>
      </w:r>
      <w:r w:rsidRPr="00215B2F">
        <w:rPr>
          <w:sz w:val="20"/>
          <w:szCs w:val="20"/>
        </w:rPr>
        <w:t>)</w:t>
      </w:r>
    </w:p>
    <w:p w14:paraId="235CC18E" w14:textId="77777777" w:rsidR="00D91782" w:rsidRPr="00215B2F" w:rsidRDefault="00D91782" w:rsidP="00FD5520">
      <w:pPr>
        <w:pStyle w:val="Slog1"/>
        <w:shd w:val="clear" w:color="auto" w:fill="FFFFFF" w:themeFill="background1"/>
        <w:jc w:val="both"/>
        <w:rPr>
          <w:sz w:val="20"/>
          <w:szCs w:val="20"/>
        </w:rPr>
      </w:pPr>
    </w:p>
    <w:p w14:paraId="387A197C" w14:textId="5681A4E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Dovoljenje za opravljanje funkcije </w:t>
      </w:r>
      <w:r w:rsidR="00882103" w:rsidRPr="00215B2F">
        <w:rPr>
          <w:rFonts w:ascii="Arial" w:hAnsi="Arial" w:cs="Arial"/>
          <w:sz w:val="20"/>
          <w:szCs w:val="20"/>
        </w:rPr>
        <w:t>člana uprave</w:t>
      </w:r>
      <w:r w:rsidRPr="00215B2F">
        <w:rPr>
          <w:rFonts w:ascii="Arial" w:eastAsia="Arial" w:hAnsi="Arial" w:cs="Arial"/>
          <w:sz w:val="20"/>
          <w:szCs w:val="20"/>
        </w:rPr>
        <w:t xml:space="preserve"> se odvzame, če:</w:t>
      </w:r>
    </w:p>
    <w:p w14:paraId="72B4744C"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40155202" w14:textId="37BCD7EA" w:rsidR="00566332" w:rsidRPr="00215B2F" w:rsidRDefault="00D91782" w:rsidP="003D4DE0">
      <w:pPr>
        <w:pStyle w:val="tevilnatoka"/>
        <w:numPr>
          <w:ilvl w:val="0"/>
          <w:numId w:val="254"/>
        </w:numPr>
        <w:shd w:val="clear" w:color="auto" w:fill="FFFFFF" w:themeFill="background1"/>
        <w:tabs>
          <w:tab w:val="clear" w:pos="425"/>
        </w:tabs>
        <w:rPr>
          <w:rFonts w:cs="Arial"/>
          <w:bCs/>
          <w:sz w:val="20"/>
          <w:szCs w:val="20"/>
        </w:rPr>
      </w:pPr>
      <w:r w:rsidRPr="00215B2F">
        <w:rPr>
          <w:rFonts w:eastAsia="Arial" w:cs="Arial"/>
          <w:sz w:val="20"/>
          <w:szCs w:val="20"/>
        </w:rPr>
        <w:t>je bilo dovoljenje za opravljanje funkcije člana uprave pridobljeno z navajanjem neresničnih podatkov in je to bistveno vplivalo na odločitev o izdaji dovoljenja;</w:t>
      </w:r>
    </w:p>
    <w:p w14:paraId="2EC97998" w14:textId="5A216C66" w:rsidR="00566332" w:rsidRPr="00215B2F" w:rsidRDefault="00D91782" w:rsidP="003D4DE0">
      <w:pPr>
        <w:pStyle w:val="tevilnatoka"/>
        <w:numPr>
          <w:ilvl w:val="0"/>
          <w:numId w:val="254"/>
        </w:numPr>
        <w:shd w:val="clear" w:color="auto" w:fill="FFFFFF" w:themeFill="background1"/>
        <w:tabs>
          <w:tab w:val="clear" w:pos="425"/>
        </w:tabs>
        <w:rPr>
          <w:rFonts w:cs="Arial"/>
          <w:bCs/>
          <w:sz w:val="20"/>
          <w:szCs w:val="20"/>
        </w:rPr>
      </w:pPr>
      <w:r w:rsidRPr="00215B2F">
        <w:rPr>
          <w:rFonts w:eastAsia="Arial" w:cs="Arial"/>
          <w:sz w:val="20"/>
          <w:szCs w:val="20"/>
        </w:rPr>
        <w:t xml:space="preserve">član po imenovanju za </w:t>
      </w:r>
      <w:r w:rsidR="00882103" w:rsidRPr="00215B2F">
        <w:rPr>
          <w:rFonts w:cs="Arial"/>
          <w:sz w:val="20"/>
          <w:szCs w:val="20"/>
        </w:rPr>
        <w:t>člana uprave</w:t>
      </w:r>
      <w:r w:rsidRPr="00215B2F">
        <w:rPr>
          <w:rFonts w:eastAsia="Arial" w:cs="Arial"/>
          <w:sz w:val="20"/>
          <w:szCs w:val="20"/>
        </w:rPr>
        <w:t xml:space="preserve"> sprejme direktorsko funkcijo v nasprotju </w:t>
      </w:r>
      <w:r w:rsidR="00F455AB" w:rsidRPr="00215B2F">
        <w:rPr>
          <w:rFonts w:eastAsia="Arial" w:cs="Arial"/>
          <w:sz w:val="20"/>
          <w:szCs w:val="20"/>
        </w:rPr>
        <w:t xml:space="preserve">s </w:t>
      </w:r>
      <w:r w:rsidR="003C3A0A" w:rsidRPr="00215B2F">
        <w:rPr>
          <w:rFonts w:eastAsia="Arial" w:cs="Arial"/>
          <w:sz w:val="20"/>
          <w:szCs w:val="20"/>
        </w:rPr>
        <w:t>45</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 xml:space="preserve"> ali ne izpolnjuje več pogojev iz </w:t>
      </w:r>
      <w:r w:rsidR="00FE757E" w:rsidRPr="00215B2F">
        <w:rPr>
          <w:rFonts w:eastAsia="Arial" w:cs="Arial"/>
          <w:sz w:val="20"/>
          <w:szCs w:val="20"/>
        </w:rPr>
        <w:t>47</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za imenovanje za </w:t>
      </w:r>
      <w:r w:rsidR="00882103" w:rsidRPr="00215B2F">
        <w:rPr>
          <w:rFonts w:cs="Arial"/>
          <w:sz w:val="20"/>
          <w:szCs w:val="20"/>
        </w:rPr>
        <w:t>člana uprave</w:t>
      </w:r>
      <w:r w:rsidRPr="00215B2F">
        <w:rPr>
          <w:rFonts w:eastAsia="Arial" w:cs="Arial"/>
          <w:sz w:val="20"/>
          <w:szCs w:val="20"/>
        </w:rPr>
        <w:t>;</w:t>
      </w:r>
    </w:p>
    <w:p w14:paraId="273627C4" w14:textId="0935B519" w:rsidR="00D91782" w:rsidRPr="00215B2F" w:rsidRDefault="00D91782" w:rsidP="003D4DE0">
      <w:pPr>
        <w:pStyle w:val="tevilnatoka"/>
        <w:numPr>
          <w:ilvl w:val="0"/>
          <w:numId w:val="254"/>
        </w:numPr>
        <w:shd w:val="clear" w:color="auto" w:fill="FFFFFF" w:themeFill="background1"/>
        <w:tabs>
          <w:tab w:val="clear" w:pos="425"/>
        </w:tabs>
        <w:rPr>
          <w:rFonts w:cs="Arial"/>
          <w:bCs/>
          <w:sz w:val="20"/>
          <w:szCs w:val="20"/>
        </w:rPr>
      </w:pPr>
      <w:r w:rsidRPr="00215B2F">
        <w:rPr>
          <w:rFonts w:eastAsia="Arial" w:cs="Arial"/>
          <w:sz w:val="20"/>
          <w:szCs w:val="20"/>
        </w:rPr>
        <w:t xml:space="preserve">član huje krši dolžnosti člana uprave iz </w:t>
      </w:r>
      <w:r w:rsidR="00FE757E" w:rsidRPr="00215B2F">
        <w:rPr>
          <w:rFonts w:eastAsia="Arial" w:cs="Arial"/>
          <w:sz w:val="20"/>
          <w:szCs w:val="20"/>
        </w:rPr>
        <w:t>54</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69DB435E"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63A05FC5" w14:textId="31A6DF8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Kršitev dolžnosti člana uprave ima značilnost hujše kršitve, če:</w:t>
      </w:r>
    </w:p>
    <w:p w14:paraId="1D08EEAA" w14:textId="77777777" w:rsidR="00FD58B1" w:rsidRPr="00215B2F" w:rsidRDefault="00FD58B1" w:rsidP="00FD5520">
      <w:pPr>
        <w:shd w:val="clear" w:color="auto" w:fill="FFFFFF" w:themeFill="background1"/>
        <w:spacing w:after="0" w:line="240" w:lineRule="auto"/>
        <w:jc w:val="both"/>
        <w:rPr>
          <w:rFonts w:ascii="Arial" w:eastAsia="Arial" w:hAnsi="Arial" w:cs="Arial"/>
          <w:sz w:val="20"/>
          <w:szCs w:val="20"/>
        </w:rPr>
      </w:pPr>
    </w:p>
    <w:p w14:paraId="0C51BA13" w14:textId="3440CAE2" w:rsidR="00566332" w:rsidRPr="00215B2F" w:rsidRDefault="00D91782" w:rsidP="003D4DE0">
      <w:pPr>
        <w:pStyle w:val="tevilnatoka"/>
        <w:numPr>
          <w:ilvl w:val="0"/>
          <w:numId w:val="255"/>
        </w:numPr>
        <w:shd w:val="clear" w:color="auto" w:fill="FFFFFF" w:themeFill="background1"/>
        <w:tabs>
          <w:tab w:val="clear" w:pos="425"/>
        </w:tabs>
        <w:rPr>
          <w:rFonts w:cs="Arial"/>
          <w:bCs/>
          <w:sz w:val="20"/>
          <w:szCs w:val="20"/>
        </w:rPr>
      </w:pPr>
      <w:r w:rsidRPr="00215B2F">
        <w:rPr>
          <w:rFonts w:eastAsia="Arial" w:cs="Arial"/>
          <w:sz w:val="20"/>
          <w:szCs w:val="20"/>
        </w:rPr>
        <w:t xml:space="preserve">zaradi ravnanja člana uprave v banki </w:t>
      </w:r>
      <w:r w:rsidR="00F81EBA" w:rsidRPr="00215B2F">
        <w:rPr>
          <w:rFonts w:eastAsia="Arial" w:cs="Arial"/>
          <w:sz w:val="20"/>
          <w:szCs w:val="20"/>
        </w:rPr>
        <w:t xml:space="preserve">nastanejo </w:t>
      </w:r>
      <w:r w:rsidRPr="00215B2F">
        <w:rPr>
          <w:rFonts w:eastAsia="Arial" w:cs="Arial"/>
          <w:sz w:val="20"/>
          <w:szCs w:val="20"/>
        </w:rPr>
        <w:t xml:space="preserve">okoliščine iz drugega odstavka </w:t>
      </w:r>
      <w:r w:rsidR="00FE757E" w:rsidRPr="00215B2F">
        <w:rPr>
          <w:rFonts w:eastAsia="Arial" w:cs="Arial"/>
          <w:sz w:val="20"/>
          <w:szCs w:val="20"/>
        </w:rPr>
        <w:t>344</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ali kršitve iz prvega odstavka </w:t>
      </w:r>
      <w:r w:rsidR="001611B3" w:rsidRPr="00215B2F">
        <w:rPr>
          <w:rFonts w:eastAsia="Arial" w:cs="Arial"/>
          <w:sz w:val="20"/>
          <w:szCs w:val="20"/>
        </w:rPr>
        <w:t>496</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12CF922C" w14:textId="34B4149F" w:rsidR="00566332" w:rsidRPr="00215B2F" w:rsidRDefault="00D91782" w:rsidP="003D4DE0">
      <w:pPr>
        <w:pStyle w:val="tevilnatoka"/>
        <w:numPr>
          <w:ilvl w:val="0"/>
          <w:numId w:val="255"/>
        </w:numPr>
        <w:shd w:val="clear" w:color="auto" w:fill="FFFFFF" w:themeFill="background1"/>
        <w:tabs>
          <w:tab w:val="clear" w:pos="425"/>
        </w:tabs>
        <w:rPr>
          <w:rFonts w:cs="Arial"/>
          <w:bCs/>
          <w:sz w:val="20"/>
          <w:szCs w:val="20"/>
        </w:rPr>
      </w:pPr>
      <w:r w:rsidRPr="00215B2F">
        <w:rPr>
          <w:rFonts w:eastAsia="Arial" w:cs="Arial"/>
          <w:sz w:val="20"/>
          <w:szCs w:val="20"/>
        </w:rPr>
        <w:t xml:space="preserve">član uprave ne ravna v skladu z odredbo iz </w:t>
      </w:r>
      <w:r w:rsidR="00746E88" w:rsidRPr="00215B2F">
        <w:rPr>
          <w:rFonts w:eastAsia="Arial" w:cs="Arial"/>
          <w:sz w:val="20"/>
          <w:szCs w:val="20"/>
        </w:rPr>
        <w:t>prejšnjega člena</w:t>
      </w:r>
      <w:r w:rsidRPr="00215B2F">
        <w:rPr>
          <w:rFonts w:eastAsia="Arial" w:cs="Arial"/>
          <w:sz w:val="20"/>
          <w:szCs w:val="20"/>
        </w:rPr>
        <w:t xml:space="preserve"> ali</w:t>
      </w:r>
    </w:p>
    <w:p w14:paraId="538AEC42" w14:textId="556EC70F" w:rsidR="00D91782" w:rsidRPr="00215B2F" w:rsidRDefault="00D91782" w:rsidP="003D4DE0">
      <w:pPr>
        <w:pStyle w:val="tevilnatoka"/>
        <w:numPr>
          <w:ilvl w:val="0"/>
          <w:numId w:val="255"/>
        </w:numPr>
        <w:shd w:val="clear" w:color="auto" w:fill="FFFFFF" w:themeFill="background1"/>
        <w:tabs>
          <w:tab w:val="clear" w:pos="425"/>
        </w:tabs>
        <w:rPr>
          <w:rFonts w:cs="Arial"/>
          <w:bCs/>
          <w:sz w:val="20"/>
          <w:szCs w:val="20"/>
        </w:rPr>
      </w:pPr>
      <w:r w:rsidRPr="00215B2F">
        <w:rPr>
          <w:rFonts w:eastAsia="Arial" w:cs="Arial"/>
          <w:sz w:val="20"/>
          <w:szCs w:val="20"/>
        </w:rPr>
        <w:t xml:space="preserve">član uprave </w:t>
      </w:r>
      <w:r w:rsidR="00F94D78" w:rsidRPr="00215B2F">
        <w:rPr>
          <w:rFonts w:eastAsia="Arial" w:cs="Arial"/>
          <w:sz w:val="20"/>
          <w:szCs w:val="20"/>
        </w:rPr>
        <w:t>z</w:t>
      </w:r>
      <w:r w:rsidRPr="00215B2F">
        <w:rPr>
          <w:rFonts w:eastAsia="Arial" w:cs="Arial"/>
          <w:sz w:val="20"/>
          <w:szCs w:val="20"/>
        </w:rPr>
        <w:t>nov</w:t>
      </w:r>
      <w:r w:rsidR="00F94D78" w:rsidRPr="00215B2F">
        <w:rPr>
          <w:rFonts w:eastAsia="Arial" w:cs="Arial"/>
          <w:sz w:val="20"/>
          <w:szCs w:val="20"/>
        </w:rPr>
        <w:t>a</w:t>
      </w:r>
      <w:r w:rsidRPr="00215B2F">
        <w:rPr>
          <w:rFonts w:eastAsia="Arial" w:cs="Arial"/>
          <w:sz w:val="20"/>
          <w:szCs w:val="20"/>
        </w:rPr>
        <w:t xml:space="preserve"> krši dolžnosti člana uprave iz </w:t>
      </w:r>
      <w:r w:rsidR="00FE757E" w:rsidRPr="00215B2F">
        <w:rPr>
          <w:rFonts w:eastAsia="Arial" w:cs="Arial"/>
          <w:sz w:val="20"/>
          <w:szCs w:val="20"/>
        </w:rPr>
        <w:t>54</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z ravnanj</w:t>
      </w:r>
      <w:r w:rsidR="00F94D78" w:rsidRPr="00215B2F">
        <w:rPr>
          <w:rFonts w:eastAsia="Arial" w:cs="Arial"/>
          <w:sz w:val="20"/>
          <w:szCs w:val="20"/>
        </w:rPr>
        <w:t>em</w:t>
      </w:r>
      <w:r w:rsidRPr="00215B2F">
        <w:rPr>
          <w:rFonts w:eastAsia="Arial" w:cs="Arial"/>
          <w:sz w:val="20"/>
          <w:szCs w:val="20"/>
        </w:rPr>
        <w:t xml:space="preserve"> enakih ali podobnih značilnosti.</w:t>
      </w:r>
    </w:p>
    <w:p w14:paraId="26B2BA6E"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139674A6" w14:textId="293908A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se v primeru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pred izdajo odločbe o odvzemu dovoljenja za opravljanje funkcije </w:t>
      </w:r>
      <w:r w:rsidR="00882103" w:rsidRPr="00215B2F">
        <w:rPr>
          <w:rFonts w:ascii="Arial" w:hAnsi="Arial" w:cs="Arial"/>
          <w:sz w:val="20"/>
          <w:szCs w:val="20"/>
        </w:rPr>
        <w:t>člana uprave</w:t>
      </w:r>
      <w:r w:rsidRPr="00215B2F">
        <w:rPr>
          <w:rFonts w:ascii="Arial" w:eastAsia="Arial" w:hAnsi="Arial" w:cs="Arial"/>
          <w:sz w:val="20"/>
          <w:szCs w:val="20"/>
        </w:rPr>
        <w:t>, ki je vključena v skupino skupaj z bankami drugih držav članic, posvetuje s pristojnim organom države članice, če odločitev Banke Slovenije vpliva ali bi lahko vplivala na izvajanje nalog pristojnega organa druge države članice v zvezi z izvajanjem nadzora nad banko države članice.</w:t>
      </w:r>
    </w:p>
    <w:p w14:paraId="0E05C18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DDDF485"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36" w:name="_Ref202967743"/>
      <w:r w:rsidRPr="00215B2F">
        <w:rPr>
          <w:rFonts w:ascii="Arial" w:eastAsia="Arial" w:hAnsi="Arial" w:cs="Arial"/>
          <w:b/>
          <w:bCs/>
          <w:sz w:val="20"/>
          <w:szCs w:val="20"/>
        </w:rPr>
        <w:t>člen</w:t>
      </w:r>
      <w:bookmarkEnd w:id="436"/>
    </w:p>
    <w:p w14:paraId="1A76CCDE" w14:textId="77777777" w:rsidR="00D91782" w:rsidRPr="00215B2F" w:rsidRDefault="00D91782" w:rsidP="00FD5520">
      <w:pPr>
        <w:pStyle w:val="Slog1"/>
        <w:shd w:val="clear" w:color="auto" w:fill="FFFFFF" w:themeFill="background1"/>
        <w:rPr>
          <w:sz w:val="20"/>
          <w:szCs w:val="20"/>
        </w:rPr>
      </w:pPr>
      <w:r w:rsidRPr="00215B2F">
        <w:rPr>
          <w:sz w:val="20"/>
          <w:szCs w:val="20"/>
        </w:rPr>
        <w:t>(pogojni odvzem dovoljenja za opravljanje funkcije člana uprave)</w:t>
      </w:r>
    </w:p>
    <w:p w14:paraId="5A9E2EF2" w14:textId="77777777" w:rsidR="00D91782" w:rsidRPr="00215B2F" w:rsidRDefault="00D91782" w:rsidP="00FD5520">
      <w:pPr>
        <w:pStyle w:val="Slog1"/>
        <w:shd w:val="clear" w:color="auto" w:fill="FFFFFF" w:themeFill="background1"/>
        <w:jc w:val="both"/>
        <w:rPr>
          <w:sz w:val="20"/>
          <w:szCs w:val="20"/>
        </w:rPr>
      </w:pPr>
    </w:p>
    <w:p w14:paraId="017BF301" w14:textId="53A8A6F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so v zvezi s kršitvami člana uprave iz prvega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w:t>
      </w:r>
      <w:r w:rsidR="00330C80" w:rsidRPr="00215B2F">
        <w:rPr>
          <w:rFonts w:ascii="Arial" w:eastAsia="Arial" w:hAnsi="Arial" w:cs="Arial"/>
          <w:sz w:val="20"/>
          <w:szCs w:val="20"/>
        </w:rPr>
        <w:t>ugotovlje</w:t>
      </w:r>
      <w:r w:rsidRPr="00215B2F">
        <w:rPr>
          <w:rFonts w:ascii="Arial" w:eastAsia="Arial" w:hAnsi="Arial" w:cs="Arial"/>
          <w:sz w:val="20"/>
          <w:szCs w:val="20"/>
        </w:rPr>
        <w:t>ne posebne olajševalne okoliščine, lahko Banka Slovenije z odločbo o odvzemu dovoljenja za opravljanje funkcije člana uprave odloči, da se odvzem dovoljenja ne bo izv</w:t>
      </w:r>
      <w:r w:rsidR="00725144" w:rsidRPr="00215B2F">
        <w:rPr>
          <w:rFonts w:ascii="Arial" w:eastAsia="Arial" w:hAnsi="Arial" w:cs="Arial"/>
          <w:sz w:val="20"/>
          <w:szCs w:val="20"/>
        </w:rPr>
        <w:t>ede</w:t>
      </w:r>
      <w:r w:rsidRPr="00215B2F">
        <w:rPr>
          <w:rFonts w:ascii="Arial" w:eastAsia="Arial" w:hAnsi="Arial" w:cs="Arial"/>
          <w:sz w:val="20"/>
          <w:szCs w:val="20"/>
        </w:rPr>
        <w:t>l, če član uprave v preizkusnem obdobju, ki ga določi Banka Slovenije in ki ne sme biti krajše od šestih mesecev in ne daljše od dveh let od dneva izdaje odločbe, ne bo storil nove kršitve, zaradi katere je mogoče odvzeti dovoljenje.</w:t>
      </w:r>
    </w:p>
    <w:p w14:paraId="4559556F"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0B260EDC" w14:textId="108B26B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prekliče pogojni odvzem dovoljenja in dovoljenje odvzame, če član uprave v preizkusnem obdobju stori novo kršitev, zaradi katere je mogoče odvzeti dovoljenje.</w:t>
      </w:r>
    </w:p>
    <w:p w14:paraId="4E14C8D1" w14:textId="77777777" w:rsidR="00D91782" w:rsidRPr="00215B2F" w:rsidRDefault="00D91782" w:rsidP="00FD5520">
      <w:pPr>
        <w:pStyle w:val="Slog1"/>
        <w:shd w:val="clear" w:color="auto" w:fill="FFFFFF" w:themeFill="background1"/>
        <w:jc w:val="both"/>
        <w:rPr>
          <w:sz w:val="20"/>
          <w:szCs w:val="20"/>
        </w:rPr>
      </w:pPr>
    </w:p>
    <w:p w14:paraId="0E68D66E"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37" w:name="_Ref202967752"/>
      <w:r w:rsidRPr="00215B2F">
        <w:rPr>
          <w:rFonts w:ascii="Arial" w:eastAsia="Arial" w:hAnsi="Arial" w:cs="Arial"/>
          <w:b/>
          <w:bCs/>
          <w:sz w:val="20"/>
          <w:szCs w:val="20"/>
        </w:rPr>
        <w:t>člen</w:t>
      </w:r>
      <w:bookmarkEnd w:id="437"/>
    </w:p>
    <w:p w14:paraId="287BA4D2" w14:textId="14B30091" w:rsidR="00D91782" w:rsidRPr="00215B2F" w:rsidRDefault="00D91782" w:rsidP="00FD5520">
      <w:pPr>
        <w:pStyle w:val="Slog1"/>
        <w:shd w:val="clear" w:color="auto" w:fill="FFFFFF" w:themeFill="background1"/>
        <w:rPr>
          <w:sz w:val="20"/>
          <w:szCs w:val="20"/>
        </w:rPr>
      </w:pPr>
      <w:r w:rsidRPr="00215B2F">
        <w:rPr>
          <w:sz w:val="20"/>
          <w:szCs w:val="20"/>
        </w:rPr>
        <w:t xml:space="preserve">(odvzem dovoljenja za opravljanje funkcije člana </w:t>
      </w:r>
      <w:r w:rsidR="00354135" w:rsidRPr="00215B2F">
        <w:rPr>
          <w:sz w:val="20"/>
          <w:szCs w:val="20"/>
        </w:rPr>
        <w:t>nadzornega sveta</w:t>
      </w:r>
      <w:r w:rsidRPr="00215B2F">
        <w:rPr>
          <w:sz w:val="20"/>
          <w:szCs w:val="20"/>
        </w:rPr>
        <w:t>)</w:t>
      </w:r>
    </w:p>
    <w:p w14:paraId="2A6ED293" w14:textId="77777777" w:rsidR="00D91782" w:rsidRPr="00215B2F" w:rsidRDefault="00D91782" w:rsidP="00FD5520">
      <w:pPr>
        <w:pStyle w:val="Slog1"/>
        <w:shd w:val="clear" w:color="auto" w:fill="FFFFFF" w:themeFill="background1"/>
        <w:jc w:val="both"/>
        <w:rPr>
          <w:sz w:val="20"/>
          <w:szCs w:val="20"/>
        </w:rPr>
      </w:pPr>
    </w:p>
    <w:p w14:paraId="78911369" w14:textId="79290EB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članu nadzornega sveta odvzame dovoljenje, če:</w:t>
      </w:r>
    </w:p>
    <w:p w14:paraId="37CA4102"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37EBE865" w14:textId="77777777" w:rsidR="00394981" w:rsidRPr="00215B2F" w:rsidRDefault="00D91782" w:rsidP="003D4DE0">
      <w:pPr>
        <w:pStyle w:val="tevilnatoka"/>
        <w:numPr>
          <w:ilvl w:val="0"/>
          <w:numId w:val="256"/>
        </w:numPr>
        <w:shd w:val="clear" w:color="auto" w:fill="FFFFFF" w:themeFill="background1"/>
        <w:tabs>
          <w:tab w:val="clear" w:pos="425"/>
        </w:tabs>
        <w:rPr>
          <w:rFonts w:cs="Arial"/>
          <w:bCs/>
          <w:sz w:val="20"/>
          <w:szCs w:val="20"/>
        </w:rPr>
      </w:pPr>
      <w:r w:rsidRPr="00215B2F">
        <w:rPr>
          <w:rFonts w:eastAsia="Arial" w:cs="Arial"/>
          <w:sz w:val="20"/>
          <w:szCs w:val="20"/>
        </w:rPr>
        <w:t>je bilo dovoljenje za opravljanje funkcije člana nadzornega sveta pridobljeno z navajanjem neresničnih podatkov in je to bistveno vplivalo na odločitev o izdaji dovoljenja;</w:t>
      </w:r>
    </w:p>
    <w:p w14:paraId="07006164" w14:textId="2E75CE05" w:rsidR="00394981" w:rsidRPr="00215B2F" w:rsidRDefault="00D91782" w:rsidP="003D4DE0">
      <w:pPr>
        <w:pStyle w:val="tevilnatoka"/>
        <w:numPr>
          <w:ilvl w:val="0"/>
          <w:numId w:val="256"/>
        </w:numPr>
        <w:shd w:val="clear" w:color="auto" w:fill="FFFFFF" w:themeFill="background1"/>
        <w:tabs>
          <w:tab w:val="clear" w:pos="425"/>
        </w:tabs>
        <w:rPr>
          <w:rFonts w:cs="Arial"/>
          <w:bCs/>
          <w:sz w:val="20"/>
          <w:szCs w:val="20"/>
        </w:rPr>
      </w:pPr>
      <w:r w:rsidRPr="00215B2F">
        <w:rPr>
          <w:rFonts w:eastAsia="Arial" w:cs="Arial"/>
          <w:sz w:val="20"/>
          <w:szCs w:val="20"/>
        </w:rPr>
        <w:t xml:space="preserve">član ob imenovanju ali po nastopu funkcije ne izpolnjuje več pogojev za imenovanje iz prvega odstavka </w:t>
      </w:r>
      <w:r w:rsidR="001611B3" w:rsidRPr="00215B2F">
        <w:rPr>
          <w:rFonts w:eastAsia="Arial" w:cs="Arial"/>
          <w:sz w:val="20"/>
          <w:szCs w:val="20"/>
        </w:rPr>
        <w:t>62</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60B02B94" w14:textId="0E206660" w:rsidR="00394981" w:rsidRPr="00215B2F" w:rsidRDefault="00D91782" w:rsidP="003D4DE0">
      <w:pPr>
        <w:pStyle w:val="tevilnatoka"/>
        <w:numPr>
          <w:ilvl w:val="0"/>
          <w:numId w:val="256"/>
        </w:numPr>
        <w:shd w:val="clear" w:color="auto" w:fill="FFFFFF" w:themeFill="background1"/>
        <w:tabs>
          <w:tab w:val="clear" w:pos="425"/>
        </w:tabs>
        <w:rPr>
          <w:rFonts w:cs="Arial"/>
          <w:bCs/>
          <w:sz w:val="20"/>
          <w:szCs w:val="20"/>
        </w:rPr>
      </w:pPr>
      <w:r w:rsidRPr="00215B2F">
        <w:rPr>
          <w:rFonts w:eastAsia="Arial" w:cs="Arial"/>
          <w:sz w:val="20"/>
          <w:szCs w:val="20"/>
        </w:rPr>
        <w:t xml:space="preserve">imenovanje člana ni v skladu </w:t>
      </w:r>
      <w:r w:rsidR="00F94D78" w:rsidRPr="00215B2F">
        <w:rPr>
          <w:rFonts w:eastAsia="Arial" w:cs="Arial"/>
          <w:sz w:val="20"/>
          <w:szCs w:val="20"/>
        </w:rPr>
        <w:t xml:space="preserve">z </w:t>
      </w:r>
      <w:r w:rsidR="001611B3" w:rsidRPr="00215B2F">
        <w:rPr>
          <w:rFonts w:eastAsia="Arial" w:cs="Arial"/>
          <w:sz w:val="20"/>
          <w:szCs w:val="20"/>
        </w:rPr>
        <w:t>41</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 xml:space="preserve"> ali</w:t>
      </w:r>
    </w:p>
    <w:p w14:paraId="1235E6D9" w14:textId="51E7D331" w:rsidR="00D91782" w:rsidRPr="00215B2F" w:rsidRDefault="00D91782" w:rsidP="003D4DE0">
      <w:pPr>
        <w:pStyle w:val="tevilnatoka"/>
        <w:numPr>
          <w:ilvl w:val="0"/>
          <w:numId w:val="256"/>
        </w:numPr>
        <w:shd w:val="clear" w:color="auto" w:fill="FFFFFF" w:themeFill="background1"/>
        <w:tabs>
          <w:tab w:val="clear" w:pos="425"/>
        </w:tabs>
        <w:rPr>
          <w:rFonts w:cs="Arial"/>
          <w:bCs/>
          <w:sz w:val="20"/>
          <w:szCs w:val="20"/>
        </w:rPr>
      </w:pPr>
      <w:r w:rsidRPr="00215B2F">
        <w:rPr>
          <w:rFonts w:eastAsia="Arial" w:cs="Arial"/>
          <w:sz w:val="20"/>
          <w:szCs w:val="20"/>
        </w:rPr>
        <w:t xml:space="preserve">član huje krši dolžnosti člana </w:t>
      </w:r>
      <w:r w:rsidR="00354135" w:rsidRPr="00215B2F">
        <w:rPr>
          <w:rFonts w:eastAsia="Arial" w:cs="Arial"/>
          <w:sz w:val="20"/>
          <w:szCs w:val="20"/>
        </w:rPr>
        <w:t>nadzornega sveta</w:t>
      </w:r>
      <w:r w:rsidRPr="00215B2F">
        <w:rPr>
          <w:rFonts w:eastAsia="Arial" w:cs="Arial"/>
          <w:sz w:val="20"/>
          <w:szCs w:val="20"/>
        </w:rPr>
        <w:t xml:space="preserve"> iz </w:t>
      </w:r>
      <w:r w:rsidR="00FE757E" w:rsidRPr="00215B2F">
        <w:rPr>
          <w:rFonts w:eastAsia="Arial" w:cs="Arial"/>
          <w:sz w:val="20"/>
          <w:szCs w:val="20"/>
        </w:rPr>
        <w:t>69</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4CEC22A8"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38E5D30C" w14:textId="56BA58A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Kršitev dolžnosti člana </w:t>
      </w:r>
      <w:r w:rsidR="00354135" w:rsidRPr="00215B2F">
        <w:rPr>
          <w:rFonts w:ascii="Arial" w:eastAsia="Arial" w:hAnsi="Arial" w:cs="Arial"/>
          <w:sz w:val="20"/>
          <w:szCs w:val="20"/>
        </w:rPr>
        <w:t>nadzornega sveta</w:t>
      </w:r>
      <w:r w:rsidRPr="00215B2F">
        <w:rPr>
          <w:rFonts w:ascii="Arial" w:eastAsia="Arial" w:hAnsi="Arial" w:cs="Arial"/>
          <w:sz w:val="20"/>
          <w:szCs w:val="20"/>
        </w:rPr>
        <w:t xml:space="preserve"> iz </w:t>
      </w:r>
      <w:r w:rsidR="00FE757E" w:rsidRPr="00215B2F">
        <w:rPr>
          <w:rFonts w:ascii="Arial" w:eastAsia="Arial" w:hAnsi="Arial" w:cs="Arial"/>
          <w:sz w:val="20"/>
          <w:szCs w:val="20"/>
        </w:rPr>
        <w:t>69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ima značilnost hujše kršitve, če:</w:t>
      </w:r>
    </w:p>
    <w:p w14:paraId="0157635A"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364FA43A" w14:textId="18C4E1E9" w:rsidR="00394981" w:rsidRPr="00215B2F" w:rsidRDefault="00D91782" w:rsidP="003D4DE0">
      <w:pPr>
        <w:pStyle w:val="tevilnatoka"/>
        <w:numPr>
          <w:ilvl w:val="0"/>
          <w:numId w:val="257"/>
        </w:numPr>
        <w:shd w:val="clear" w:color="auto" w:fill="FFFFFF" w:themeFill="background1"/>
        <w:tabs>
          <w:tab w:val="clear" w:pos="425"/>
        </w:tabs>
        <w:rPr>
          <w:rFonts w:cs="Arial"/>
          <w:bCs/>
          <w:sz w:val="20"/>
          <w:szCs w:val="20"/>
        </w:rPr>
      </w:pPr>
      <w:r w:rsidRPr="00215B2F">
        <w:rPr>
          <w:rFonts w:eastAsia="Arial" w:cs="Arial"/>
          <w:sz w:val="20"/>
          <w:szCs w:val="20"/>
        </w:rPr>
        <w:t xml:space="preserve">zaradi ravnanja člana nadzornega sveta v banki </w:t>
      </w:r>
      <w:r w:rsidR="00330C80" w:rsidRPr="00215B2F">
        <w:rPr>
          <w:rFonts w:eastAsia="Arial" w:cs="Arial"/>
          <w:sz w:val="20"/>
          <w:szCs w:val="20"/>
        </w:rPr>
        <w:t>nastanejo</w:t>
      </w:r>
      <w:r w:rsidRPr="00215B2F">
        <w:rPr>
          <w:rFonts w:eastAsia="Arial" w:cs="Arial"/>
          <w:sz w:val="20"/>
          <w:szCs w:val="20"/>
        </w:rPr>
        <w:t xml:space="preserve"> okoliščine iz drugega odstavka </w:t>
      </w:r>
      <w:r w:rsidR="005A78EE" w:rsidRPr="00215B2F">
        <w:rPr>
          <w:rFonts w:eastAsia="Arial" w:cs="Arial"/>
          <w:sz w:val="20"/>
          <w:szCs w:val="20"/>
        </w:rPr>
        <w:t>345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ali kršitve iz prvega odstavka </w:t>
      </w:r>
      <w:r w:rsidR="001611B3" w:rsidRPr="00215B2F">
        <w:rPr>
          <w:rFonts w:eastAsia="Arial" w:cs="Arial"/>
          <w:sz w:val="20"/>
          <w:szCs w:val="20"/>
        </w:rPr>
        <w:t>496</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5501B1EB" w14:textId="680B402F" w:rsidR="00394981" w:rsidRPr="00215B2F" w:rsidRDefault="00D91782" w:rsidP="003D4DE0">
      <w:pPr>
        <w:pStyle w:val="tevilnatoka"/>
        <w:numPr>
          <w:ilvl w:val="0"/>
          <w:numId w:val="257"/>
        </w:numPr>
        <w:shd w:val="clear" w:color="auto" w:fill="FFFFFF" w:themeFill="background1"/>
        <w:tabs>
          <w:tab w:val="clear" w:pos="425"/>
        </w:tabs>
        <w:rPr>
          <w:rFonts w:cs="Arial"/>
          <w:bCs/>
          <w:sz w:val="20"/>
          <w:szCs w:val="20"/>
        </w:rPr>
      </w:pPr>
      <w:r w:rsidRPr="00215B2F">
        <w:rPr>
          <w:rFonts w:eastAsia="Arial" w:cs="Arial"/>
          <w:sz w:val="20"/>
          <w:szCs w:val="20"/>
        </w:rPr>
        <w:lastRenderedPageBreak/>
        <w:t xml:space="preserve">član nadzornega sveta </w:t>
      </w:r>
      <w:r w:rsidR="00F94D78" w:rsidRPr="00215B2F">
        <w:rPr>
          <w:rFonts w:eastAsia="Arial" w:cs="Arial"/>
          <w:sz w:val="20"/>
          <w:szCs w:val="20"/>
        </w:rPr>
        <w:t>z</w:t>
      </w:r>
      <w:r w:rsidRPr="00215B2F">
        <w:rPr>
          <w:rFonts w:eastAsia="Arial" w:cs="Arial"/>
          <w:sz w:val="20"/>
          <w:szCs w:val="20"/>
        </w:rPr>
        <w:t>nov</w:t>
      </w:r>
      <w:r w:rsidR="00F94D78" w:rsidRPr="00215B2F">
        <w:rPr>
          <w:rFonts w:eastAsia="Arial" w:cs="Arial"/>
          <w:sz w:val="20"/>
          <w:szCs w:val="20"/>
        </w:rPr>
        <w:t>a</w:t>
      </w:r>
      <w:r w:rsidRPr="00215B2F">
        <w:rPr>
          <w:rFonts w:eastAsia="Arial" w:cs="Arial"/>
          <w:sz w:val="20"/>
          <w:szCs w:val="20"/>
        </w:rPr>
        <w:t xml:space="preserve"> krši dolžnosti iz </w:t>
      </w:r>
      <w:r w:rsidR="00FE757E" w:rsidRPr="00215B2F">
        <w:rPr>
          <w:rFonts w:eastAsia="Arial" w:cs="Arial"/>
          <w:sz w:val="20"/>
          <w:szCs w:val="20"/>
        </w:rPr>
        <w:t>69</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z ravnanj</w:t>
      </w:r>
      <w:r w:rsidR="00F94D78" w:rsidRPr="00215B2F">
        <w:rPr>
          <w:rFonts w:eastAsia="Arial" w:cs="Arial"/>
          <w:sz w:val="20"/>
          <w:szCs w:val="20"/>
        </w:rPr>
        <w:t>em</w:t>
      </w:r>
      <w:r w:rsidRPr="00215B2F">
        <w:rPr>
          <w:rFonts w:eastAsia="Arial" w:cs="Arial"/>
          <w:sz w:val="20"/>
          <w:szCs w:val="20"/>
        </w:rPr>
        <w:t xml:space="preserve"> enakih ali podobnih značilnosti ali</w:t>
      </w:r>
    </w:p>
    <w:p w14:paraId="4D62159D" w14:textId="2819EB5B" w:rsidR="00D91782" w:rsidRPr="00215B2F" w:rsidRDefault="00D91782" w:rsidP="003D4DE0">
      <w:pPr>
        <w:pStyle w:val="tevilnatoka"/>
        <w:numPr>
          <w:ilvl w:val="0"/>
          <w:numId w:val="257"/>
        </w:numPr>
        <w:shd w:val="clear" w:color="auto" w:fill="FFFFFF" w:themeFill="background1"/>
        <w:tabs>
          <w:tab w:val="clear" w:pos="425"/>
        </w:tabs>
        <w:rPr>
          <w:rFonts w:cs="Arial"/>
          <w:bCs/>
          <w:sz w:val="20"/>
          <w:szCs w:val="20"/>
        </w:rPr>
      </w:pPr>
      <w:r w:rsidRPr="00215B2F">
        <w:rPr>
          <w:rFonts w:eastAsia="Arial" w:cs="Arial"/>
          <w:sz w:val="20"/>
          <w:szCs w:val="20"/>
        </w:rPr>
        <w:t xml:space="preserve">član nadzornega sveta ne odpravi kršitev v skladu z odredbo iz </w:t>
      </w:r>
      <w:r w:rsidR="001611B3" w:rsidRPr="00215B2F">
        <w:rPr>
          <w:rFonts w:eastAsia="Arial" w:cs="Arial"/>
          <w:sz w:val="20"/>
          <w:szCs w:val="20"/>
        </w:rPr>
        <w:t>372</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r w:rsidR="001611B3" w:rsidRPr="00215B2F">
        <w:rPr>
          <w:rFonts w:eastAsia="Arial" w:cs="Arial"/>
          <w:sz w:val="20"/>
          <w:szCs w:val="20"/>
        </w:rPr>
        <w:t xml:space="preserve"> </w:t>
      </w:r>
    </w:p>
    <w:p w14:paraId="45A5857F"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46E402EC" w14:textId="5611B81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se v primeru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pred izdajo odločbe o odvzemu dovoljenja članu nadzornega sveta, ki je vključena v skupino skupaj z bankami drugih držav članic, posvetuje s pristojnim organom države članice, če odločitev Banke Slovenije vpliva ali bi lahko vplivala na izvajanje nalog pristojnega organa druge države članice v zvezi z izvajanjem nadzora nad banko države članice.</w:t>
      </w:r>
    </w:p>
    <w:p w14:paraId="3450FE3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2363038" w14:textId="7DDE1BCD" w:rsidR="00D91782" w:rsidRPr="00215B2F" w:rsidRDefault="0068400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10</w:t>
      </w:r>
      <w:r w:rsidR="00D91782" w:rsidRPr="00215B2F">
        <w:rPr>
          <w:rFonts w:ascii="Arial" w:eastAsia="Arial" w:hAnsi="Arial" w:cs="Arial"/>
          <w:b/>
          <w:bCs/>
          <w:sz w:val="20"/>
          <w:szCs w:val="20"/>
        </w:rPr>
        <w:t>.</w:t>
      </w:r>
      <w:r w:rsidRPr="00215B2F">
        <w:rPr>
          <w:rFonts w:ascii="Arial" w:eastAsia="Arial" w:hAnsi="Arial" w:cs="Arial"/>
          <w:b/>
          <w:bCs/>
          <w:sz w:val="20"/>
          <w:szCs w:val="20"/>
        </w:rPr>
        <w:t>6</w:t>
      </w:r>
      <w:r w:rsidR="00D91782" w:rsidRPr="00215B2F">
        <w:rPr>
          <w:rFonts w:ascii="Arial" w:eastAsia="Arial" w:hAnsi="Arial" w:cs="Arial"/>
          <w:b/>
          <w:bCs/>
          <w:sz w:val="20"/>
          <w:szCs w:val="20"/>
        </w:rPr>
        <w:t xml:space="preserve"> UKREPI ZOPER POMEMBNE NOSILCE KLJUČNIH FUNKCIJ</w:t>
      </w:r>
    </w:p>
    <w:p w14:paraId="13E4A7D1"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p>
    <w:p w14:paraId="4606BDBD"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38" w:name="_Ref202967770"/>
      <w:r w:rsidRPr="00215B2F">
        <w:rPr>
          <w:rFonts w:ascii="Arial" w:eastAsia="Arial" w:hAnsi="Arial" w:cs="Arial"/>
          <w:b/>
          <w:bCs/>
          <w:sz w:val="20"/>
          <w:szCs w:val="20"/>
        </w:rPr>
        <w:t>člen</w:t>
      </w:r>
      <w:bookmarkEnd w:id="438"/>
    </w:p>
    <w:p w14:paraId="0E1FB949"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(prepoved opravljanja funkcije pomembnega nosilca ključne funkcije)</w:t>
      </w:r>
    </w:p>
    <w:p w14:paraId="7213E9B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0F98379" w14:textId="5999913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pomembnemu nosilcu ključne funkcije z odločbo prepove opravljanje funkcije, če ob imenovanju ali po nastopu funkcije ne izpolnjuje več pogojev iz </w:t>
      </w:r>
      <w:r w:rsidR="001611B3" w:rsidRPr="00215B2F">
        <w:rPr>
          <w:rFonts w:ascii="Arial" w:eastAsia="Arial" w:hAnsi="Arial" w:cs="Arial"/>
          <w:sz w:val="20"/>
          <w:szCs w:val="20"/>
        </w:rPr>
        <w:t>72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33C8AB02"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7F356DC7" w14:textId="68A5981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Za odločbo o prepovedi opravljanja funkcije pomembnega nosilca ključne funkcije se smiselno uporabljajo določbe tega zakona o odvzemu dovoljenja. </w:t>
      </w:r>
    </w:p>
    <w:p w14:paraId="3FC16DA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A992098" w14:textId="4CDD7A7D" w:rsidR="00D91782" w:rsidRPr="00215B2F" w:rsidRDefault="0068400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10</w:t>
      </w:r>
      <w:r w:rsidR="00D91782" w:rsidRPr="00215B2F">
        <w:rPr>
          <w:rFonts w:ascii="Arial" w:eastAsia="Arial" w:hAnsi="Arial" w:cs="Arial"/>
          <w:b/>
          <w:bCs/>
          <w:sz w:val="20"/>
          <w:szCs w:val="20"/>
        </w:rPr>
        <w:t>.</w:t>
      </w:r>
      <w:r w:rsidRPr="00215B2F">
        <w:rPr>
          <w:rFonts w:ascii="Arial" w:eastAsia="Arial" w:hAnsi="Arial" w:cs="Arial"/>
          <w:b/>
          <w:bCs/>
          <w:sz w:val="20"/>
          <w:szCs w:val="20"/>
        </w:rPr>
        <w:t>7</w:t>
      </w:r>
      <w:r w:rsidR="00D91782" w:rsidRPr="00215B2F">
        <w:rPr>
          <w:rFonts w:ascii="Arial" w:eastAsia="Arial" w:hAnsi="Arial" w:cs="Arial"/>
          <w:b/>
          <w:bCs/>
          <w:sz w:val="20"/>
          <w:szCs w:val="20"/>
        </w:rPr>
        <w:t xml:space="preserve"> UKREPI ZOPER FINANČNI HOLDING IN MEŠANI FINANČNI HOLDING</w:t>
      </w:r>
    </w:p>
    <w:p w14:paraId="5F846180"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749D561F"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39" w:name="_Ref202967777"/>
      <w:r w:rsidRPr="00215B2F">
        <w:rPr>
          <w:rFonts w:ascii="Arial" w:eastAsia="Arial" w:hAnsi="Arial" w:cs="Arial"/>
          <w:b/>
          <w:bCs/>
          <w:sz w:val="20"/>
          <w:szCs w:val="20"/>
        </w:rPr>
        <w:t>člen</w:t>
      </w:r>
      <w:bookmarkEnd w:id="439"/>
    </w:p>
    <w:p w14:paraId="6E06E0D7" w14:textId="77777777" w:rsidR="00D91782" w:rsidRPr="00215B2F" w:rsidRDefault="00D91782" w:rsidP="00FD5520">
      <w:pPr>
        <w:pStyle w:val="Slog1"/>
        <w:shd w:val="clear" w:color="auto" w:fill="FFFFFF" w:themeFill="background1"/>
        <w:rPr>
          <w:sz w:val="20"/>
          <w:szCs w:val="20"/>
        </w:rPr>
      </w:pPr>
      <w:r w:rsidRPr="00215B2F">
        <w:rPr>
          <w:sz w:val="20"/>
          <w:szCs w:val="20"/>
        </w:rPr>
        <w:t>(odredba za vzpostavitev skladnosti)</w:t>
      </w:r>
    </w:p>
    <w:p w14:paraId="18EC7B77" w14:textId="77777777" w:rsidR="00D91782" w:rsidRPr="00215B2F" w:rsidRDefault="00D91782" w:rsidP="00FD5520">
      <w:pPr>
        <w:pStyle w:val="Slog1"/>
        <w:shd w:val="clear" w:color="auto" w:fill="FFFFFF" w:themeFill="background1"/>
        <w:jc w:val="both"/>
        <w:rPr>
          <w:sz w:val="20"/>
          <w:szCs w:val="20"/>
        </w:rPr>
      </w:pPr>
    </w:p>
    <w:p w14:paraId="43493250" w14:textId="079BDFD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Banka Slovenije kot konsolidacijski nadzornik ugotovi, da finančni holding ali mešani finančni holding ne izpolnjuje več pogojev iz </w:t>
      </w:r>
      <w:r w:rsidR="001611B3" w:rsidRPr="00215B2F">
        <w:rPr>
          <w:rFonts w:ascii="Arial" w:eastAsia="Arial" w:hAnsi="Arial" w:cs="Arial"/>
          <w:sz w:val="20"/>
          <w:szCs w:val="20"/>
        </w:rPr>
        <w:t>111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odredi, da finančni holding ali mešani finančni holding sprejme ukrepe, s katerimi se zagotovi</w:t>
      </w:r>
      <w:r w:rsidR="00F94D78" w:rsidRPr="00215B2F">
        <w:rPr>
          <w:rFonts w:ascii="Arial" w:eastAsia="Arial" w:hAnsi="Arial" w:cs="Arial"/>
          <w:sz w:val="20"/>
          <w:szCs w:val="20"/>
        </w:rPr>
        <w:t>ta</w:t>
      </w:r>
      <w:r w:rsidRPr="00215B2F">
        <w:rPr>
          <w:rFonts w:ascii="Arial" w:eastAsia="Arial" w:hAnsi="Arial" w:cs="Arial"/>
          <w:sz w:val="20"/>
          <w:szCs w:val="20"/>
        </w:rPr>
        <w:t xml:space="preserve"> oziroma </w:t>
      </w:r>
      <w:r w:rsidR="00F94D78" w:rsidRPr="00215B2F">
        <w:rPr>
          <w:rFonts w:ascii="Arial" w:eastAsia="Arial" w:hAnsi="Arial" w:cs="Arial"/>
          <w:sz w:val="20"/>
          <w:szCs w:val="20"/>
        </w:rPr>
        <w:t>z</w:t>
      </w:r>
      <w:r w:rsidRPr="00215B2F">
        <w:rPr>
          <w:rFonts w:ascii="Arial" w:eastAsia="Arial" w:hAnsi="Arial" w:cs="Arial"/>
          <w:sz w:val="20"/>
          <w:szCs w:val="20"/>
        </w:rPr>
        <w:t>nov</w:t>
      </w:r>
      <w:r w:rsidR="00F94D78" w:rsidRPr="00215B2F">
        <w:rPr>
          <w:rFonts w:ascii="Arial" w:eastAsia="Arial" w:hAnsi="Arial" w:cs="Arial"/>
          <w:sz w:val="20"/>
          <w:szCs w:val="20"/>
        </w:rPr>
        <w:t>a</w:t>
      </w:r>
      <w:r w:rsidRPr="00215B2F">
        <w:rPr>
          <w:rFonts w:ascii="Arial" w:eastAsia="Arial" w:hAnsi="Arial" w:cs="Arial"/>
          <w:sz w:val="20"/>
          <w:szCs w:val="20"/>
        </w:rPr>
        <w:t xml:space="preserve"> vzpostavi</w:t>
      </w:r>
      <w:r w:rsidR="00F94D78" w:rsidRPr="00215B2F">
        <w:rPr>
          <w:rFonts w:ascii="Arial" w:eastAsia="Arial" w:hAnsi="Arial" w:cs="Arial"/>
          <w:sz w:val="20"/>
          <w:szCs w:val="20"/>
        </w:rPr>
        <w:t>ta</w:t>
      </w:r>
      <w:r w:rsidRPr="00215B2F">
        <w:rPr>
          <w:rFonts w:ascii="Arial" w:eastAsia="Arial" w:hAnsi="Arial" w:cs="Arial"/>
          <w:sz w:val="20"/>
          <w:szCs w:val="20"/>
        </w:rPr>
        <w:t xml:space="preserve"> kontinuiteta in celovitost konsolidiranega nadzora ter se zagotovi izpolnjevanje zahtev iz tega zakona, Direktive 2013/36/EU in Uredbe 575/2013/EU na konsolidirani podlagi.</w:t>
      </w:r>
      <w:r w:rsidR="001611B3" w:rsidRPr="00215B2F">
        <w:rPr>
          <w:rFonts w:ascii="Arial" w:eastAsia="Arial" w:hAnsi="Arial" w:cs="Arial"/>
          <w:sz w:val="20"/>
          <w:szCs w:val="20"/>
        </w:rPr>
        <w:t xml:space="preserve"> </w:t>
      </w:r>
    </w:p>
    <w:p w14:paraId="23A57478"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6A1BF5BC" w14:textId="44D7BE1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finančnemu holdingu ali mešanemu finančnemu holdingu odredi zlasti naslednje ukrepe:</w:t>
      </w:r>
    </w:p>
    <w:p w14:paraId="35646C90"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3947B8A3" w14:textId="01E65030" w:rsidR="00394981" w:rsidRPr="00215B2F" w:rsidRDefault="00D91782" w:rsidP="003D4DE0">
      <w:pPr>
        <w:pStyle w:val="tevilnatoka"/>
        <w:numPr>
          <w:ilvl w:val="0"/>
          <w:numId w:val="258"/>
        </w:numPr>
        <w:shd w:val="clear" w:color="auto" w:fill="FFFFFF" w:themeFill="background1"/>
        <w:tabs>
          <w:tab w:val="clear" w:pos="425"/>
        </w:tabs>
        <w:rPr>
          <w:rFonts w:cs="Arial"/>
          <w:bCs/>
          <w:sz w:val="20"/>
          <w:szCs w:val="20"/>
        </w:rPr>
      </w:pPr>
      <w:r w:rsidRPr="00215B2F">
        <w:rPr>
          <w:rFonts w:eastAsia="Arial" w:cs="Arial"/>
          <w:sz w:val="20"/>
          <w:szCs w:val="20"/>
        </w:rPr>
        <w:t>začasn</w:t>
      </w:r>
      <w:r w:rsidR="00F94D78" w:rsidRPr="00215B2F">
        <w:rPr>
          <w:rFonts w:eastAsia="Arial" w:cs="Arial"/>
          <w:sz w:val="20"/>
          <w:szCs w:val="20"/>
        </w:rPr>
        <w:t>a</w:t>
      </w:r>
      <w:r w:rsidRPr="00215B2F">
        <w:rPr>
          <w:rFonts w:eastAsia="Arial" w:cs="Arial"/>
          <w:sz w:val="20"/>
          <w:szCs w:val="20"/>
        </w:rPr>
        <w:t xml:space="preserve"> prepoved uveljavljanja glasovalnih pravic, ki izhajajo iz delnic podrejenih institucij, ki jih ima finančni holding ali mešani finančni holding;</w:t>
      </w:r>
    </w:p>
    <w:p w14:paraId="00FF1F3E" w14:textId="77777777" w:rsidR="00394981" w:rsidRPr="00215B2F" w:rsidRDefault="00D91782" w:rsidP="003D4DE0">
      <w:pPr>
        <w:pStyle w:val="tevilnatoka"/>
        <w:numPr>
          <w:ilvl w:val="0"/>
          <w:numId w:val="258"/>
        </w:numPr>
        <w:shd w:val="clear" w:color="auto" w:fill="FFFFFF" w:themeFill="background1"/>
        <w:tabs>
          <w:tab w:val="clear" w:pos="425"/>
        </w:tabs>
        <w:rPr>
          <w:rFonts w:cs="Arial"/>
          <w:bCs/>
          <w:sz w:val="20"/>
          <w:szCs w:val="20"/>
        </w:rPr>
      </w:pPr>
      <w:r w:rsidRPr="00215B2F">
        <w:rPr>
          <w:rFonts w:eastAsia="Arial" w:cs="Arial"/>
          <w:sz w:val="20"/>
          <w:szCs w:val="20"/>
        </w:rPr>
        <w:t>dajanje navodil ali usmeritev finančnemu holdingu ali mešanemu finančnemu holdingu, da na svoje delničarje prenese deleže, ki jih ima v svojih podrejenih institucijah;</w:t>
      </w:r>
    </w:p>
    <w:p w14:paraId="06073734" w14:textId="1AFE7401" w:rsidR="00394981" w:rsidRPr="00215B2F" w:rsidRDefault="00D91782" w:rsidP="003D4DE0">
      <w:pPr>
        <w:pStyle w:val="tevilnatoka"/>
        <w:numPr>
          <w:ilvl w:val="0"/>
          <w:numId w:val="258"/>
        </w:numPr>
        <w:shd w:val="clear" w:color="auto" w:fill="FFFFFF" w:themeFill="background1"/>
        <w:tabs>
          <w:tab w:val="clear" w:pos="425"/>
        </w:tabs>
        <w:rPr>
          <w:rFonts w:cs="Arial"/>
          <w:bCs/>
          <w:sz w:val="20"/>
          <w:szCs w:val="20"/>
        </w:rPr>
      </w:pPr>
      <w:r w:rsidRPr="00215B2F">
        <w:rPr>
          <w:rFonts w:eastAsia="Arial" w:cs="Arial"/>
          <w:sz w:val="20"/>
          <w:szCs w:val="20"/>
        </w:rPr>
        <w:t xml:space="preserve">začasno imenovanje drugega finančnega holdinga, mešanega finančnega holdinga ali institucije znotraj skupine </w:t>
      </w:r>
      <w:r w:rsidR="00F94D78" w:rsidRPr="00215B2F">
        <w:rPr>
          <w:rFonts w:eastAsia="Arial" w:cs="Arial"/>
          <w:sz w:val="20"/>
          <w:szCs w:val="20"/>
        </w:rPr>
        <w:t xml:space="preserve">za </w:t>
      </w:r>
      <w:r w:rsidRPr="00215B2F">
        <w:rPr>
          <w:rFonts w:eastAsia="Arial" w:cs="Arial"/>
          <w:sz w:val="20"/>
          <w:szCs w:val="20"/>
        </w:rPr>
        <w:t>odgovorn</w:t>
      </w:r>
      <w:r w:rsidR="00F94D78" w:rsidRPr="00215B2F">
        <w:rPr>
          <w:rFonts w:eastAsia="Arial" w:cs="Arial"/>
          <w:sz w:val="20"/>
          <w:szCs w:val="20"/>
        </w:rPr>
        <w:t>o</w:t>
      </w:r>
      <w:r w:rsidRPr="00215B2F">
        <w:rPr>
          <w:rFonts w:eastAsia="Arial" w:cs="Arial"/>
          <w:sz w:val="20"/>
          <w:szCs w:val="20"/>
        </w:rPr>
        <w:t xml:space="preserve"> za zagotavljanje izpolnjevanja zahtev na podlagi tega zakona, Direktive 2013/36/EU in Uredbe 575/2013/EU na konsolidirani podlagi;</w:t>
      </w:r>
    </w:p>
    <w:p w14:paraId="40EF6011" w14:textId="77777777" w:rsidR="00394981" w:rsidRPr="00215B2F" w:rsidRDefault="00D91782" w:rsidP="003D4DE0">
      <w:pPr>
        <w:pStyle w:val="tevilnatoka"/>
        <w:numPr>
          <w:ilvl w:val="0"/>
          <w:numId w:val="258"/>
        </w:numPr>
        <w:shd w:val="clear" w:color="auto" w:fill="FFFFFF" w:themeFill="background1"/>
        <w:tabs>
          <w:tab w:val="clear" w:pos="425"/>
        </w:tabs>
        <w:rPr>
          <w:rFonts w:cs="Arial"/>
          <w:bCs/>
          <w:sz w:val="20"/>
          <w:szCs w:val="20"/>
        </w:rPr>
      </w:pPr>
      <w:r w:rsidRPr="00215B2F">
        <w:rPr>
          <w:rFonts w:eastAsia="Arial" w:cs="Arial"/>
          <w:sz w:val="20"/>
          <w:szCs w:val="20"/>
        </w:rPr>
        <w:t>omejitev ali prepoved razdelitve dobička ali plačila obresti delničarjem;</w:t>
      </w:r>
    </w:p>
    <w:p w14:paraId="120037CC" w14:textId="2EB516DE" w:rsidR="00394981" w:rsidRPr="00215B2F" w:rsidRDefault="00D91782" w:rsidP="003D4DE0">
      <w:pPr>
        <w:pStyle w:val="tevilnatoka"/>
        <w:numPr>
          <w:ilvl w:val="0"/>
          <w:numId w:val="258"/>
        </w:numPr>
        <w:shd w:val="clear" w:color="auto" w:fill="FFFFFF" w:themeFill="background1"/>
        <w:tabs>
          <w:tab w:val="clear" w:pos="425"/>
        </w:tabs>
        <w:rPr>
          <w:rFonts w:cs="Arial"/>
          <w:bCs/>
          <w:sz w:val="20"/>
          <w:szCs w:val="20"/>
        </w:rPr>
      </w:pPr>
      <w:r w:rsidRPr="00215B2F">
        <w:rPr>
          <w:rFonts w:eastAsia="Arial" w:cs="Arial"/>
          <w:sz w:val="20"/>
          <w:szCs w:val="20"/>
        </w:rPr>
        <w:t>zahtev</w:t>
      </w:r>
      <w:r w:rsidR="00F94D78" w:rsidRPr="00215B2F">
        <w:rPr>
          <w:rFonts w:eastAsia="Arial" w:cs="Arial"/>
          <w:sz w:val="20"/>
          <w:szCs w:val="20"/>
        </w:rPr>
        <w:t>a</w:t>
      </w:r>
      <w:r w:rsidRPr="00215B2F">
        <w:rPr>
          <w:rFonts w:eastAsia="Arial" w:cs="Arial"/>
          <w:sz w:val="20"/>
          <w:szCs w:val="20"/>
        </w:rPr>
        <w:t>, da finančni holding ali mešani finančni holding odproda ali zmanjša deleže v institucijah ali drugih subjektih finančnega sektorja;</w:t>
      </w:r>
    </w:p>
    <w:p w14:paraId="323FB788" w14:textId="743B0794" w:rsidR="00D91782" w:rsidRPr="00215B2F" w:rsidRDefault="00D91782" w:rsidP="003D4DE0">
      <w:pPr>
        <w:pStyle w:val="tevilnatoka"/>
        <w:numPr>
          <w:ilvl w:val="0"/>
          <w:numId w:val="258"/>
        </w:numPr>
        <w:shd w:val="clear" w:color="auto" w:fill="FFFFFF" w:themeFill="background1"/>
        <w:tabs>
          <w:tab w:val="clear" w:pos="425"/>
        </w:tabs>
        <w:rPr>
          <w:rFonts w:cs="Arial"/>
          <w:bCs/>
          <w:sz w:val="20"/>
          <w:szCs w:val="20"/>
        </w:rPr>
      </w:pPr>
      <w:r w:rsidRPr="00215B2F">
        <w:rPr>
          <w:rFonts w:eastAsia="Arial" w:cs="Arial"/>
          <w:sz w:val="20"/>
          <w:szCs w:val="20"/>
        </w:rPr>
        <w:t>zahtev</w:t>
      </w:r>
      <w:r w:rsidR="00F94D78" w:rsidRPr="00215B2F">
        <w:rPr>
          <w:rFonts w:eastAsia="Arial" w:cs="Arial"/>
          <w:sz w:val="20"/>
          <w:szCs w:val="20"/>
        </w:rPr>
        <w:t>a</w:t>
      </w:r>
      <w:r w:rsidRPr="00215B2F">
        <w:rPr>
          <w:rFonts w:eastAsia="Arial" w:cs="Arial"/>
          <w:sz w:val="20"/>
          <w:szCs w:val="20"/>
        </w:rPr>
        <w:t>, da finančni holding ali mešani finančni holding nemudoma predloži načrt o ponovni vzpostavitvi skladnosti.</w:t>
      </w:r>
    </w:p>
    <w:p w14:paraId="78D9567C"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5170B798" w14:textId="68DCC75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Pri ukrepih v zvezi z mešanim finančnim holdingom Banka Slovenije upošteva njihov vpliv na finančni konglomerat.</w:t>
      </w:r>
    </w:p>
    <w:p w14:paraId="62AED98C" w14:textId="77777777" w:rsidR="00654D99" w:rsidRPr="00215B2F" w:rsidRDefault="00654D99" w:rsidP="00FD5520">
      <w:pPr>
        <w:shd w:val="clear" w:color="auto" w:fill="FFFFFF" w:themeFill="background1"/>
        <w:spacing w:after="0" w:line="240" w:lineRule="auto"/>
        <w:jc w:val="both"/>
        <w:rPr>
          <w:rFonts w:ascii="Arial" w:eastAsia="Arial" w:hAnsi="Arial" w:cs="Arial"/>
          <w:sz w:val="20"/>
          <w:szCs w:val="20"/>
        </w:rPr>
      </w:pPr>
    </w:p>
    <w:p w14:paraId="6C401E3A" w14:textId="329A40A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Za odredbo za vzpostavitev skladnosti se smiselno uporabljajo določbe tega zakona o odredbi o odpravi kršitev.</w:t>
      </w:r>
    </w:p>
    <w:p w14:paraId="72D4995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10CA68E" w14:textId="179EBD2B" w:rsidR="00D91782" w:rsidRPr="00215B2F" w:rsidRDefault="0068400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10</w:t>
      </w:r>
      <w:r w:rsidR="00D91782" w:rsidRPr="00215B2F">
        <w:rPr>
          <w:rFonts w:ascii="Arial" w:eastAsia="Arial" w:hAnsi="Arial" w:cs="Arial"/>
          <w:b/>
          <w:bCs/>
          <w:sz w:val="20"/>
          <w:szCs w:val="20"/>
        </w:rPr>
        <w:t>.</w:t>
      </w:r>
      <w:r w:rsidRPr="00215B2F">
        <w:rPr>
          <w:rFonts w:ascii="Arial" w:eastAsia="Arial" w:hAnsi="Arial" w:cs="Arial"/>
          <w:b/>
          <w:bCs/>
          <w:sz w:val="20"/>
          <w:szCs w:val="20"/>
        </w:rPr>
        <w:t>8</w:t>
      </w:r>
      <w:r w:rsidR="00D91782" w:rsidRPr="00215B2F">
        <w:rPr>
          <w:rFonts w:ascii="Arial" w:eastAsia="Arial" w:hAnsi="Arial" w:cs="Arial"/>
          <w:b/>
          <w:bCs/>
          <w:sz w:val="20"/>
          <w:szCs w:val="20"/>
        </w:rPr>
        <w:t xml:space="preserve"> UKREPI V ZVEZI S POMEMBNIMI DELEŽI </w:t>
      </w:r>
    </w:p>
    <w:p w14:paraId="3D5E75B8" w14:textId="77777777" w:rsidR="00D91782" w:rsidRPr="00215B2F" w:rsidRDefault="00D91782" w:rsidP="00FD5520">
      <w:pPr>
        <w:pStyle w:val="Slog1"/>
        <w:shd w:val="clear" w:color="auto" w:fill="FFFFFF" w:themeFill="background1"/>
        <w:jc w:val="both"/>
        <w:rPr>
          <w:sz w:val="20"/>
          <w:szCs w:val="20"/>
        </w:rPr>
      </w:pPr>
    </w:p>
    <w:p w14:paraId="6BD6EF67"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40" w:name="_Ref202967793"/>
      <w:r w:rsidRPr="00215B2F">
        <w:rPr>
          <w:rFonts w:ascii="Arial" w:eastAsia="Arial" w:hAnsi="Arial" w:cs="Arial"/>
          <w:b/>
          <w:bCs/>
          <w:sz w:val="20"/>
          <w:szCs w:val="20"/>
        </w:rPr>
        <w:t>člen</w:t>
      </w:r>
      <w:bookmarkEnd w:id="440"/>
    </w:p>
    <w:p w14:paraId="57F3E1D6" w14:textId="77777777" w:rsidR="00D91782" w:rsidRPr="00215B2F" w:rsidRDefault="00D91782" w:rsidP="00FD5520">
      <w:pPr>
        <w:pStyle w:val="Slog1"/>
        <w:shd w:val="clear" w:color="auto" w:fill="FFFFFF" w:themeFill="background1"/>
        <w:rPr>
          <w:sz w:val="20"/>
          <w:szCs w:val="20"/>
        </w:rPr>
      </w:pPr>
      <w:r w:rsidRPr="00215B2F">
        <w:rPr>
          <w:sz w:val="20"/>
          <w:szCs w:val="20"/>
        </w:rPr>
        <w:t>(prepoved uresničevanja glasovalnih pravic iz pomembnega deleža)</w:t>
      </w:r>
    </w:p>
    <w:p w14:paraId="422BAC8D" w14:textId="77777777" w:rsidR="00D91782" w:rsidRPr="00215B2F" w:rsidRDefault="00D91782" w:rsidP="00FD5520">
      <w:pPr>
        <w:pStyle w:val="Slog1"/>
        <w:shd w:val="clear" w:color="auto" w:fill="FFFFFF" w:themeFill="background1"/>
        <w:jc w:val="both"/>
        <w:rPr>
          <w:sz w:val="20"/>
          <w:szCs w:val="20"/>
        </w:rPr>
      </w:pPr>
    </w:p>
    <w:p w14:paraId="208786F3" w14:textId="3FCBCC99" w:rsidR="00D91782" w:rsidRPr="00215B2F" w:rsidRDefault="00CA0C11"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(1) </w:t>
      </w:r>
      <w:r w:rsidR="00D91782" w:rsidRPr="00215B2F">
        <w:rPr>
          <w:rFonts w:ascii="Arial" w:eastAsia="Arial" w:hAnsi="Arial" w:cs="Arial"/>
          <w:sz w:val="20"/>
          <w:szCs w:val="20"/>
        </w:rPr>
        <w:t xml:space="preserve">Če banka, finančni holding ali mešani finančni holding, ki je pridobil odobritev v skladu s </w:t>
      </w:r>
      <w:r w:rsidR="001611B3" w:rsidRPr="00215B2F">
        <w:rPr>
          <w:rFonts w:ascii="Arial" w:eastAsia="Arial" w:hAnsi="Arial" w:cs="Arial"/>
          <w:sz w:val="20"/>
          <w:szCs w:val="20"/>
        </w:rPr>
        <w:t>108</w:t>
      </w:r>
      <w:r w:rsidR="00D91782"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00D91782" w:rsidRPr="00215B2F">
        <w:rPr>
          <w:rFonts w:ascii="Arial" w:eastAsia="Arial" w:hAnsi="Arial" w:cs="Arial"/>
          <w:sz w:val="20"/>
          <w:szCs w:val="20"/>
        </w:rPr>
        <w:t xml:space="preserve">, ne vloži zahteve za oceno ustreznosti pomembnega deleža pred pridobitvijo pomembnega deleža v skladu z </w:t>
      </w:r>
      <w:r w:rsidR="001611B3" w:rsidRPr="00215B2F">
        <w:rPr>
          <w:rFonts w:ascii="Arial" w:eastAsia="Arial" w:hAnsi="Arial" w:cs="Arial"/>
          <w:sz w:val="20"/>
          <w:szCs w:val="20"/>
        </w:rPr>
        <w:t>258</w:t>
      </w:r>
      <w:r w:rsidR="00D91782"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00D91782" w:rsidRPr="00215B2F">
        <w:rPr>
          <w:rFonts w:ascii="Arial" w:eastAsia="Arial" w:hAnsi="Arial" w:cs="Arial"/>
          <w:sz w:val="20"/>
          <w:szCs w:val="20"/>
        </w:rPr>
        <w:t xml:space="preserve"> ali pridobi pomembn</w:t>
      </w:r>
      <w:r w:rsidR="006B0B0E" w:rsidRPr="00215B2F">
        <w:rPr>
          <w:rFonts w:ascii="Arial" w:eastAsia="Arial" w:hAnsi="Arial" w:cs="Arial"/>
          <w:sz w:val="20"/>
          <w:szCs w:val="20"/>
        </w:rPr>
        <w:t>i</w:t>
      </w:r>
      <w:r w:rsidR="00D91782" w:rsidRPr="00215B2F">
        <w:rPr>
          <w:rFonts w:ascii="Arial" w:eastAsia="Arial" w:hAnsi="Arial" w:cs="Arial"/>
          <w:sz w:val="20"/>
          <w:szCs w:val="20"/>
        </w:rPr>
        <w:t xml:space="preserve"> delež kljub odločitvi o nasprotovanju, Banka Slovenije pridobitelju začasno prepove uresničevanje glasovalnih pravic, ki izhajajo iz pomembnega deleža. </w:t>
      </w:r>
    </w:p>
    <w:p w14:paraId="5423ECAC"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0A50D712" w14:textId="0B443EA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Glasovalne pravice, ki jih pridobitelj uveljavlja kljub prepovedi iz prejšnjega odstavka, so nične. </w:t>
      </w:r>
    </w:p>
    <w:p w14:paraId="5A578941"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6B3979E6"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41" w:name="_Ref202967796"/>
      <w:r w:rsidRPr="00215B2F">
        <w:rPr>
          <w:rFonts w:ascii="Arial" w:eastAsia="Arial" w:hAnsi="Arial" w:cs="Arial"/>
          <w:b/>
          <w:bCs/>
          <w:sz w:val="20"/>
          <w:szCs w:val="20"/>
        </w:rPr>
        <w:t>člen</w:t>
      </w:r>
      <w:bookmarkEnd w:id="441"/>
    </w:p>
    <w:p w14:paraId="67C4570E"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(odločba o uskladitvi z zahtevami za pomembni delež)</w:t>
      </w:r>
    </w:p>
    <w:p w14:paraId="724CA96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20C7F50" w14:textId="16D0860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banka, finančni holding ali mešani finančni holding, ki je pridobil odobritev v skladu s </w:t>
      </w:r>
      <w:r w:rsidR="001611B3"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ne vloži zahteve za oceno ustreznosti pomembnega deleža pred pridobitvijo pomembnega deleža v </w:t>
      </w:r>
      <w:r w:rsidR="00962F2A" w:rsidRPr="00215B2F">
        <w:rPr>
          <w:rFonts w:ascii="Arial" w:eastAsia="Arial" w:hAnsi="Arial" w:cs="Arial"/>
          <w:sz w:val="20"/>
          <w:szCs w:val="20"/>
        </w:rPr>
        <w:t>skladu</w:t>
      </w:r>
      <w:r w:rsidRPr="00215B2F">
        <w:rPr>
          <w:rFonts w:ascii="Arial" w:eastAsia="Arial" w:hAnsi="Arial" w:cs="Arial"/>
          <w:sz w:val="20"/>
          <w:szCs w:val="20"/>
        </w:rPr>
        <w:t xml:space="preserve"> z </w:t>
      </w:r>
      <w:r w:rsidR="00962F2A" w:rsidRPr="00215B2F">
        <w:rPr>
          <w:rFonts w:ascii="Arial" w:eastAsia="Arial" w:hAnsi="Arial" w:cs="Arial"/>
          <w:sz w:val="20"/>
          <w:szCs w:val="20"/>
        </w:rPr>
        <w:t>258</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ali pridobi pomembn</w:t>
      </w:r>
      <w:r w:rsidR="006B0B0E" w:rsidRPr="00215B2F">
        <w:rPr>
          <w:rFonts w:ascii="Arial" w:eastAsia="Arial" w:hAnsi="Arial" w:cs="Arial"/>
          <w:sz w:val="20"/>
          <w:szCs w:val="20"/>
        </w:rPr>
        <w:t>i</w:t>
      </w:r>
      <w:r w:rsidRPr="00215B2F">
        <w:rPr>
          <w:rFonts w:ascii="Arial" w:eastAsia="Arial" w:hAnsi="Arial" w:cs="Arial"/>
          <w:sz w:val="20"/>
          <w:szCs w:val="20"/>
        </w:rPr>
        <w:t xml:space="preserve"> delež kljub odločitvi o nasprotovanju, Banka Slovenije pridobitelju z odločbo določi rok, v katerem mora zmanjšati ali odsvojiti pomembn</w:t>
      </w:r>
      <w:r w:rsidR="006B0B0E" w:rsidRPr="00215B2F">
        <w:rPr>
          <w:rFonts w:ascii="Arial" w:eastAsia="Arial" w:hAnsi="Arial" w:cs="Arial"/>
          <w:sz w:val="20"/>
          <w:szCs w:val="20"/>
        </w:rPr>
        <w:t>i</w:t>
      </w:r>
      <w:r w:rsidRPr="00215B2F">
        <w:rPr>
          <w:rFonts w:ascii="Arial" w:eastAsia="Arial" w:hAnsi="Arial" w:cs="Arial"/>
          <w:sz w:val="20"/>
          <w:szCs w:val="20"/>
        </w:rPr>
        <w:t xml:space="preserve"> delež, izvesti ustrezno preoblikovanje pomembnega deleža ali vložiti zahtevo za oceno ustreznosti. </w:t>
      </w:r>
    </w:p>
    <w:p w14:paraId="625252ED"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347CC2E8" w14:textId="58B2CCB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lahko o prepovedi uresničevanja glasovalnih pravic iz pomembnega deleža iz </w:t>
      </w:r>
      <w:r w:rsidR="00746E88" w:rsidRPr="00215B2F">
        <w:rPr>
          <w:rFonts w:ascii="Arial" w:eastAsia="Arial" w:hAnsi="Arial" w:cs="Arial"/>
          <w:sz w:val="20"/>
          <w:szCs w:val="20"/>
        </w:rPr>
        <w:t>prejšnjega člena</w:t>
      </w:r>
      <w:r w:rsidRPr="00215B2F">
        <w:rPr>
          <w:rFonts w:ascii="Arial" w:eastAsia="Arial" w:hAnsi="Arial" w:cs="Arial"/>
          <w:sz w:val="20"/>
          <w:szCs w:val="20"/>
        </w:rPr>
        <w:t xml:space="preserve"> in </w:t>
      </w:r>
      <w:r w:rsidR="001B48E8" w:rsidRPr="00215B2F">
        <w:rPr>
          <w:rFonts w:ascii="Arial" w:eastAsia="Arial" w:hAnsi="Arial" w:cs="Arial"/>
          <w:sz w:val="20"/>
          <w:szCs w:val="20"/>
        </w:rPr>
        <w:t xml:space="preserve">o </w:t>
      </w:r>
      <w:r w:rsidRPr="00215B2F">
        <w:rPr>
          <w:rFonts w:ascii="Arial" w:eastAsia="Arial" w:hAnsi="Arial" w:cs="Arial"/>
          <w:sz w:val="20"/>
          <w:szCs w:val="20"/>
        </w:rPr>
        <w:t xml:space="preserve">uskladitvi z zahtevami za pomembni delež iz prejšnjega odstavka odloči s skupno odločbo. Rok za uskladitev v skladu s prejšnjim odstavkom ne vpliva na prepoved uresničevanja glasovalnih pravic iz </w:t>
      </w:r>
      <w:r w:rsidR="00746E88" w:rsidRPr="00215B2F">
        <w:rPr>
          <w:rFonts w:ascii="Arial" w:eastAsia="Arial" w:hAnsi="Arial" w:cs="Arial"/>
          <w:sz w:val="20"/>
          <w:szCs w:val="20"/>
        </w:rPr>
        <w:t>prejšnjega člena</w:t>
      </w:r>
      <w:r w:rsidRPr="00215B2F">
        <w:rPr>
          <w:rFonts w:ascii="Arial" w:eastAsia="Arial" w:hAnsi="Arial" w:cs="Arial"/>
          <w:sz w:val="20"/>
          <w:szCs w:val="20"/>
        </w:rPr>
        <w:t xml:space="preserve">, razen če Banka Slovenije odloči drugače. </w:t>
      </w:r>
    </w:p>
    <w:p w14:paraId="314E038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8E9C981" w14:textId="5E64E405" w:rsidR="00D91782" w:rsidRPr="00215B2F" w:rsidRDefault="0068400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10</w:t>
      </w:r>
      <w:r w:rsidR="00D91782" w:rsidRPr="00215B2F">
        <w:rPr>
          <w:rFonts w:ascii="Arial" w:eastAsia="Arial" w:hAnsi="Arial" w:cs="Arial"/>
          <w:b/>
          <w:bCs/>
          <w:sz w:val="20"/>
          <w:szCs w:val="20"/>
        </w:rPr>
        <w:t>.</w:t>
      </w:r>
      <w:r w:rsidRPr="00215B2F">
        <w:rPr>
          <w:rFonts w:ascii="Arial" w:eastAsia="Arial" w:hAnsi="Arial" w:cs="Arial"/>
          <w:b/>
          <w:bCs/>
          <w:sz w:val="20"/>
          <w:szCs w:val="20"/>
        </w:rPr>
        <w:t>9</w:t>
      </w:r>
      <w:r w:rsidR="00D91782" w:rsidRPr="00215B2F">
        <w:rPr>
          <w:rFonts w:ascii="Arial" w:eastAsia="Arial" w:hAnsi="Arial" w:cs="Arial"/>
          <w:b/>
          <w:bCs/>
          <w:sz w:val="20"/>
          <w:szCs w:val="20"/>
        </w:rPr>
        <w:t xml:space="preserve"> UKREPI V ZVEZI S PODRUŽNICAMI IZ TRETJIH DRŽAV </w:t>
      </w:r>
    </w:p>
    <w:p w14:paraId="5BE41894" w14:textId="77777777" w:rsidR="00D91782" w:rsidRPr="00215B2F" w:rsidRDefault="00D91782" w:rsidP="00FD5520">
      <w:pPr>
        <w:pStyle w:val="Slog1"/>
        <w:shd w:val="clear" w:color="auto" w:fill="FFFFFF" w:themeFill="background1"/>
        <w:rPr>
          <w:sz w:val="20"/>
          <w:szCs w:val="20"/>
        </w:rPr>
      </w:pPr>
    </w:p>
    <w:p w14:paraId="588FC0E1"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42" w:name="_Ref202967801"/>
      <w:r w:rsidRPr="00215B2F">
        <w:rPr>
          <w:rFonts w:ascii="Arial" w:eastAsia="Arial" w:hAnsi="Arial" w:cs="Arial"/>
          <w:b/>
          <w:bCs/>
          <w:sz w:val="20"/>
          <w:szCs w:val="20"/>
        </w:rPr>
        <w:t>člen</w:t>
      </w:r>
      <w:bookmarkEnd w:id="442"/>
    </w:p>
    <w:p w14:paraId="4D7974B7" w14:textId="5F8C7599" w:rsidR="00D91782" w:rsidRPr="00215B2F" w:rsidRDefault="00D91782" w:rsidP="00FD5520">
      <w:pPr>
        <w:pStyle w:val="Slog1"/>
        <w:shd w:val="clear" w:color="auto" w:fill="FFFFFF" w:themeFill="background1"/>
        <w:rPr>
          <w:sz w:val="20"/>
          <w:szCs w:val="20"/>
        </w:rPr>
      </w:pPr>
      <w:r w:rsidRPr="00215B2F">
        <w:rPr>
          <w:sz w:val="20"/>
          <w:szCs w:val="20"/>
        </w:rPr>
        <w:t>(odredba za spreje</w:t>
      </w:r>
      <w:r w:rsidR="001B48E8" w:rsidRPr="00215B2F">
        <w:rPr>
          <w:sz w:val="20"/>
          <w:szCs w:val="20"/>
        </w:rPr>
        <w:t>tje</w:t>
      </w:r>
      <w:r w:rsidRPr="00215B2F">
        <w:rPr>
          <w:sz w:val="20"/>
          <w:szCs w:val="20"/>
        </w:rPr>
        <w:t xml:space="preserve"> potrebnih ukrepov)</w:t>
      </w:r>
    </w:p>
    <w:p w14:paraId="477F6513" w14:textId="77777777" w:rsidR="00D91782" w:rsidRPr="00215B2F" w:rsidRDefault="00D91782" w:rsidP="00FD5520">
      <w:pPr>
        <w:pStyle w:val="Slog1"/>
        <w:shd w:val="clear" w:color="auto" w:fill="FFFFFF" w:themeFill="background1"/>
        <w:jc w:val="both"/>
        <w:rPr>
          <w:sz w:val="20"/>
          <w:szCs w:val="20"/>
        </w:rPr>
      </w:pPr>
    </w:p>
    <w:p w14:paraId="7D556683" w14:textId="6BB180B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od podružnice iz tretje države z odredbo zahteva, da že v zgodnji fazi sprejme </w:t>
      </w:r>
      <w:r w:rsidR="001B48E8" w:rsidRPr="00215B2F">
        <w:rPr>
          <w:rFonts w:ascii="Arial" w:eastAsia="Arial" w:hAnsi="Arial" w:cs="Arial"/>
          <w:sz w:val="20"/>
          <w:szCs w:val="20"/>
        </w:rPr>
        <w:t xml:space="preserve">naslednje </w:t>
      </w:r>
      <w:r w:rsidRPr="00215B2F">
        <w:rPr>
          <w:rFonts w:ascii="Arial" w:eastAsia="Arial" w:hAnsi="Arial" w:cs="Arial"/>
          <w:sz w:val="20"/>
          <w:szCs w:val="20"/>
        </w:rPr>
        <w:t xml:space="preserve">potrebne ukrepe: </w:t>
      </w:r>
    </w:p>
    <w:p w14:paraId="1A5E1A5D"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1C6382C1" w14:textId="0FC0A1A7" w:rsidR="00C316EC" w:rsidRPr="00215B2F" w:rsidRDefault="00D91782" w:rsidP="003D4DE0">
      <w:pPr>
        <w:pStyle w:val="Odstavekseznama"/>
        <w:numPr>
          <w:ilvl w:val="0"/>
          <w:numId w:val="36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izpolnjuje zahteve, ki veljajo zanjo na podlagi tega zakona in </w:t>
      </w:r>
      <w:r w:rsidR="001B48E8" w:rsidRPr="00215B2F">
        <w:rPr>
          <w:rFonts w:ascii="Arial" w:eastAsia="Arial" w:hAnsi="Arial" w:cs="Arial"/>
          <w:sz w:val="20"/>
          <w:szCs w:val="20"/>
        </w:rPr>
        <w:t>D</w:t>
      </w:r>
      <w:r w:rsidRPr="00215B2F">
        <w:rPr>
          <w:rFonts w:ascii="Arial" w:eastAsia="Arial" w:hAnsi="Arial" w:cs="Arial"/>
          <w:sz w:val="20"/>
          <w:szCs w:val="20"/>
        </w:rPr>
        <w:t>irektive 2013/36/EU</w:t>
      </w:r>
      <w:r w:rsidR="001B48E8" w:rsidRPr="00215B2F">
        <w:rPr>
          <w:rFonts w:ascii="Arial" w:eastAsia="Arial" w:hAnsi="Arial" w:cs="Arial"/>
          <w:sz w:val="20"/>
          <w:szCs w:val="20"/>
        </w:rPr>
        <w:t>,</w:t>
      </w:r>
      <w:r w:rsidRPr="00215B2F">
        <w:rPr>
          <w:rFonts w:ascii="Arial" w:eastAsia="Arial" w:hAnsi="Arial" w:cs="Arial"/>
          <w:sz w:val="20"/>
          <w:szCs w:val="20"/>
        </w:rPr>
        <w:t xml:space="preserve"> ali </w:t>
      </w:r>
      <w:r w:rsidR="001B48E8" w:rsidRPr="00215B2F">
        <w:rPr>
          <w:rFonts w:ascii="Arial" w:eastAsia="Arial" w:hAnsi="Arial" w:cs="Arial"/>
          <w:sz w:val="20"/>
          <w:szCs w:val="20"/>
        </w:rPr>
        <w:t>z</w:t>
      </w:r>
      <w:r w:rsidRPr="00215B2F">
        <w:rPr>
          <w:rFonts w:ascii="Arial" w:eastAsia="Arial" w:hAnsi="Arial" w:cs="Arial"/>
          <w:sz w:val="20"/>
          <w:szCs w:val="20"/>
        </w:rPr>
        <w:t>nov</w:t>
      </w:r>
      <w:r w:rsidR="001B48E8" w:rsidRPr="00215B2F">
        <w:rPr>
          <w:rFonts w:ascii="Arial" w:eastAsia="Arial" w:hAnsi="Arial" w:cs="Arial"/>
          <w:sz w:val="20"/>
          <w:szCs w:val="20"/>
        </w:rPr>
        <w:t>a</w:t>
      </w:r>
      <w:r w:rsidRPr="00215B2F">
        <w:rPr>
          <w:rFonts w:ascii="Arial" w:eastAsia="Arial" w:hAnsi="Arial" w:cs="Arial"/>
          <w:sz w:val="20"/>
          <w:szCs w:val="20"/>
        </w:rPr>
        <w:t xml:space="preserve"> vzpostavi skladnost s temi zahtevami</w:t>
      </w:r>
      <w:r w:rsidR="00F94E60" w:rsidRPr="00215B2F">
        <w:rPr>
          <w:rFonts w:ascii="Arial" w:eastAsia="Arial" w:hAnsi="Arial" w:cs="Arial"/>
          <w:sz w:val="20"/>
          <w:szCs w:val="20"/>
        </w:rPr>
        <w:t>;</w:t>
      </w:r>
    </w:p>
    <w:p w14:paraId="59727115" w14:textId="48559765" w:rsidR="00D91782" w:rsidRPr="00215B2F" w:rsidRDefault="00D91782" w:rsidP="003D4DE0">
      <w:pPr>
        <w:pStyle w:val="Odstavekseznama"/>
        <w:numPr>
          <w:ilvl w:val="0"/>
          <w:numId w:val="365"/>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pomembna tveganja, ki jim je izpostavljena, </w:t>
      </w:r>
      <w:r w:rsidR="001B48E8" w:rsidRPr="00215B2F">
        <w:rPr>
          <w:rFonts w:ascii="Arial" w:eastAsia="Arial" w:hAnsi="Arial" w:cs="Arial"/>
          <w:sz w:val="20"/>
          <w:szCs w:val="20"/>
        </w:rPr>
        <w:t xml:space="preserve">so </w:t>
      </w:r>
      <w:r w:rsidRPr="00215B2F">
        <w:rPr>
          <w:rFonts w:ascii="Arial" w:eastAsia="Arial" w:hAnsi="Arial" w:cs="Arial"/>
          <w:sz w:val="20"/>
          <w:szCs w:val="20"/>
        </w:rPr>
        <w:t xml:space="preserve">krita in upravljana na preudaren in zadosten način ter ta podružnica vzdržuje uspešno poslovanje. </w:t>
      </w:r>
    </w:p>
    <w:p w14:paraId="7D941FC8"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166915B0" w14:textId="2726263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V primerih iz prejšnjega odstavka lahko Banka Slovenije od podružnice iz tretje države z odredbo zahteva zlasti, da:</w:t>
      </w:r>
    </w:p>
    <w:p w14:paraId="6E1FCBCE"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1C252482" w14:textId="611CD7B4" w:rsidR="00C316EC" w:rsidRPr="00215B2F" w:rsidRDefault="00D91782" w:rsidP="003D4DE0">
      <w:pPr>
        <w:pStyle w:val="Odstavekseznama"/>
        <w:numPr>
          <w:ilvl w:val="0"/>
          <w:numId w:val="366"/>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ima znesek jamstvenega kapitala, ki presega minimalne zahteve iz </w:t>
      </w:r>
      <w:r w:rsidR="00962F2A" w:rsidRPr="00215B2F">
        <w:rPr>
          <w:rFonts w:ascii="Arial" w:eastAsia="Arial" w:hAnsi="Arial" w:cs="Arial"/>
          <w:sz w:val="20"/>
          <w:szCs w:val="20"/>
        </w:rPr>
        <w:t>316</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ali da mora izpolnjevati druge dodatne kapitalske zahteve; vsak dodatni znesek jamstvenega kapitala, ki ga mora imeti podružnica iz tretje države v skladu s to točko, mora izpolnjevati zahteve iz </w:t>
      </w:r>
      <w:r w:rsidR="00962F2A" w:rsidRPr="00215B2F">
        <w:rPr>
          <w:rFonts w:ascii="Arial" w:eastAsia="Arial" w:hAnsi="Arial" w:cs="Arial"/>
          <w:sz w:val="20"/>
          <w:szCs w:val="20"/>
        </w:rPr>
        <w:t>316</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p>
    <w:p w14:paraId="1FECEDFD" w14:textId="7A81A00F" w:rsidR="00C316EC" w:rsidRPr="00215B2F" w:rsidRDefault="00D91782" w:rsidP="003D4DE0">
      <w:pPr>
        <w:pStyle w:val="Odstavekseznama"/>
        <w:numPr>
          <w:ilvl w:val="0"/>
          <w:numId w:val="366"/>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izpolni druge posebne likvidnostne zahteve poleg zahtev iz </w:t>
      </w:r>
      <w:r w:rsidR="00962F2A" w:rsidRPr="00215B2F">
        <w:rPr>
          <w:rFonts w:ascii="Arial" w:eastAsia="Arial" w:hAnsi="Arial" w:cs="Arial"/>
          <w:sz w:val="20"/>
          <w:szCs w:val="20"/>
        </w:rPr>
        <w:t>317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vsa dodatna likvidna sredstva, ki jih mora imeti podružnica iz tretje države v skladu s to točko, morajo izpolnjevati zahteve iz </w:t>
      </w:r>
      <w:r w:rsidR="00962F2A" w:rsidRPr="00215B2F">
        <w:rPr>
          <w:rFonts w:ascii="Arial" w:eastAsia="Arial" w:hAnsi="Arial" w:cs="Arial"/>
          <w:sz w:val="20"/>
          <w:szCs w:val="20"/>
        </w:rPr>
        <w:t>317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55370A05" w14:textId="77777777" w:rsidR="00C316EC" w:rsidRPr="00215B2F" w:rsidRDefault="00D91782" w:rsidP="003D4DE0">
      <w:pPr>
        <w:pStyle w:val="Odstavekseznama"/>
        <w:numPr>
          <w:ilvl w:val="0"/>
          <w:numId w:val="366"/>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okrepi svoje ureditve upravljanja, upravljanja tveganj ali knjiženja;</w:t>
      </w:r>
    </w:p>
    <w:p w14:paraId="1237FB89" w14:textId="169DD057" w:rsidR="00C316EC" w:rsidRPr="00215B2F" w:rsidRDefault="00D91782" w:rsidP="003D4DE0">
      <w:pPr>
        <w:pStyle w:val="Odstavekseznama"/>
        <w:numPr>
          <w:ilvl w:val="0"/>
          <w:numId w:val="366"/>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omeji poslovanje ali dejavnosti, ki jih opravlja, ter nasprotne stranke v teh dejavnostih;</w:t>
      </w:r>
    </w:p>
    <w:p w14:paraId="0309C9A8" w14:textId="601E9DCA" w:rsidR="00C316EC" w:rsidRPr="00215B2F" w:rsidRDefault="00D91782" w:rsidP="003D4DE0">
      <w:pPr>
        <w:pStyle w:val="Odstavekseznama"/>
        <w:numPr>
          <w:ilvl w:val="0"/>
          <w:numId w:val="366"/>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zmanjša tveganje, povezano </w:t>
      </w:r>
      <w:r w:rsidR="001B48E8" w:rsidRPr="00215B2F">
        <w:rPr>
          <w:rFonts w:ascii="Arial" w:eastAsia="Arial" w:hAnsi="Arial" w:cs="Arial"/>
          <w:sz w:val="20"/>
          <w:szCs w:val="20"/>
        </w:rPr>
        <w:t>s svojimi</w:t>
      </w:r>
      <w:r w:rsidRPr="00215B2F">
        <w:rPr>
          <w:rFonts w:ascii="Arial" w:eastAsia="Arial" w:hAnsi="Arial" w:cs="Arial"/>
          <w:sz w:val="20"/>
          <w:szCs w:val="20"/>
        </w:rPr>
        <w:t xml:space="preserve"> dejavnostmi, produkti in sistemi, vključno z dejavnostmi, oddanimi v zunanje izvajanje, ter preneha izvajati take dejavnosti ali ponujati take produkte;</w:t>
      </w:r>
    </w:p>
    <w:p w14:paraId="5652675D" w14:textId="7474EC7C" w:rsidR="00C316EC" w:rsidRPr="00215B2F" w:rsidRDefault="00D91782" w:rsidP="003D4DE0">
      <w:pPr>
        <w:pStyle w:val="Odstavekseznama"/>
        <w:numPr>
          <w:ilvl w:val="0"/>
          <w:numId w:val="366"/>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izpolni dodatne zahteve glede poročanja v skladu s četrtim odstavkom </w:t>
      </w:r>
      <w:r w:rsidR="00962F2A" w:rsidRPr="00215B2F">
        <w:rPr>
          <w:rFonts w:ascii="Arial" w:eastAsia="Arial" w:hAnsi="Arial" w:cs="Arial"/>
          <w:sz w:val="20"/>
          <w:szCs w:val="20"/>
        </w:rPr>
        <w:t>323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ali poveča pogostost rednega poročanja;</w:t>
      </w:r>
    </w:p>
    <w:p w14:paraId="1FEF50CB" w14:textId="625E4A39" w:rsidR="00D91782" w:rsidRPr="00215B2F" w:rsidRDefault="00D91782" w:rsidP="003D4DE0">
      <w:pPr>
        <w:pStyle w:val="Odstavekseznama"/>
        <w:numPr>
          <w:ilvl w:val="0"/>
          <w:numId w:val="366"/>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javno razkriva podatke.</w:t>
      </w:r>
    </w:p>
    <w:p w14:paraId="4233B894"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3AFB451A" w14:textId="1198394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Za odredbo za spreje</w:t>
      </w:r>
      <w:r w:rsidR="001B48E8" w:rsidRPr="00215B2F">
        <w:rPr>
          <w:rFonts w:ascii="Arial" w:eastAsia="Arial" w:hAnsi="Arial" w:cs="Arial"/>
          <w:sz w:val="20"/>
          <w:szCs w:val="20"/>
        </w:rPr>
        <w:t>tje</w:t>
      </w:r>
      <w:r w:rsidRPr="00215B2F">
        <w:rPr>
          <w:rFonts w:ascii="Arial" w:eastAsia="Arial" w:hAnsi="Arial" w:cs="Arial"/>
          <w:sz w:val="20"/>
          <w:szCs w:val="20"/>
        </w:rPr>
        <w:t xml:space="preserve"> potrebnih ukrepov se smiselno uporabljajo določbe tega zakona o odredbi za odpravo kršitev. </w:t>
      </w:r>
    </w:p>
    <w:p w14:paraId="5496C99D"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37C17DB4"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43" w:name="_Ref202967811"/>
      <w:r w:rsidRPr="00215B2F">
        <w:rPr>
          <w:rFonts w:ascii="Arial" w:eastAsia="Arial" w:hAnsi="Arial" w:cs="Arial"/>
          <w:b/>
          <w:bCs/>
          <w:sz w:val="20"/>
          <w:szCs w:val="20"/>
        </w:rPr>
        <w:t>člen</w:t>
      </w:r>
      <w:bookmarkEnd w:id="443"/>
    </w:p>
    <w:p w14:paraId="427B72FB"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(odvzem dovoljenja za podružnico iz tretje države)</w:t>
      </w:r>
    </w:p>
    <w:p w14:paraId="14F6D97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D0121E9" w14:textId="36A3EE99" w:rsidR="00D91782" w:rsidRPr="00215B2F" w:rsidRDefault="00CA0C11"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w:t>
      </w:r>
      <w:r w:rsidR="00D91782" w:rsidRPr="00215B2F">
        <w:rPr>
          <w:rFonts w:ascii="Arial" w:eastAsia="Arial" w:hAnsi="Arial" w:cs="Arial"/>
          <w:sz w:val="20"/>
          <w:szCs w:val="20"/>
        </w:rPr>
        <w:t xml:space="preserve">Banka Slovenije podružnici iz tretje države odvzame dovoljenje za podružnico iz tretje države, če: </w:t>
      </w:r>
    </w:p>
    <w:p w14:paraId="5D0A1DCD" w14:textId="77777777" w:rsidR="00FD58B1" w:rsidRPr="00215B2F" w:rsidRDefault="00FD58B1" w:rsidP="00FD5520">
      <w:pPr>
        <w:shd w:val="clear" w:color="auto" w:fill="FFFFFF" w:themeFill="background1"/>
        <w:spacing w:after="0" w:line="240" w:lineRule="auto"/>
        <w:jc w:val="both"/>
        <w:rPr>
          <w:rFonts w:ascii="Arial" w:eastAsia="Arial" w:hAnsi="Arial" w:cs="Arial"/>
          <w:sz w:val="20"/>
          <w:szCs w:val="20"/>
        </w:rPr>
      </w:pPr>
    </w:p>
    <w:p w14:paraId="11AFC80C" w14:textId="17DB46E5" w:rsidR="00C316EC" w:rsidRPr="00215B2F" w:rsidRDefault="00D91782" w:rsidP="003D4DE0">
      <w:pPr>
        <w:pStyle w:val="Odstavekseznama"/>
        <w:numPr>
          <w:ilvl w:val="0"/>
          <w:numId w:val="36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podružnica iz tretje države ne izpolnjuje pogojev za izdajo dovoljenja iz </w:t>
      </w:r>
      <w:r w:rsidR="00962F2A" w:rsidRPr="00215B2F">
        <w:rPr>
          <w:rFonts w:ascii="Arial" w:eastAsia="Arial" w:hAnsi="Arial" w:cs="Arial"/>
          <w:sz w:val="20"/>
          <w:szCs w:val="20"/>
        </w:rPr>
        <w:t>313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001B48E8" w:rsidRPr="00215B2F">
        <w:rPr>
          <w:rFonts w:ascii="Arial" w:eastAsia="Arial" w:hAnsi="Arial" w:cs="Arial"/>
          <w:sz w:val="20"/>
          <w:szCs w:val="20"/>
        </w:rPr>
        <w:t>;</w:t>
      </w:r>
    </w:p>
    <w:p w14:paraId="11A2AC3E" w14:textId="0F65CAC9" w:rsidR="00D91782" w:rsidRPr="00215B2F" w:rsidRDefault="00D91782" w:rsidP="003D4DE0">
      <w:pPr>
        <w:pStyle w:val="Odstavekseznama"/>
        <w:numPr>
          <w:ilvl w:val="0"/>
          <w:numId w:val="36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matična družba ali njena skupina ne izpolnjuje bonitetnih zahtev, ki se uporabljajo zanjo na podlagi prava tretje države, ali pa obstajajo utemeljeni razlogi za sum, da ne izpolnjuje teh zahtev ali da jih </w:t>
      </w:r>
      <w:r w:rsidR="00D84A2A" w:rsidRPr="00215B2F">
        <w:rPr>
          <w:rFonts w:ascii="Arial" w:eastAsia="Arial" w:hAnsi="Arial" w:cs="Arial"/>
          <w:sz w:val="20"/>
          <w:szCs w:val="20"/>
        </w:rPr>
        <w:t xml:space="preserve">ne </w:t>
      </w:r>
      <w:r w:rsidRPr="00215B2F">
        <w:rPr>
          <w:rFonts w:ascii="Arial" w:eastAsia="Arial" w:hAnsi="Arial" w:cs="Arial"/>
          <w:sz w:val="20"/>
          <w:szCs w:val="20"/>
        </w:rPr>
        <w:t xml:space="preserve">bo </w:t>
      </w:r>
      <w:r w:rsidR="00D84A2A" w:rsidRPr="00215B2F">
        <w:rPr>
          <w:rFonts w:ascii="Arial" w:eastAsia="Arial" w:hAnsi="Arial" w:cs="Arial"/>
          <w:sz w:val="20"/>
          <w:szCs w:val="20"/>
        </w:rPr>
        <w:t xml:space="preserve">izpolnjevala </w:t>
      </w:r>
      <w:r w:rsidRPr="00215B2F">
        <w:rPr>
          <w:rFonts w:ascii="Arial" w:eastAsia="Arial" w:hAnsi="Arial" w:cs="Arial"/>
          <w:sz w:val="20"/>
          <w:szCs w:val="20"/>
        </w:rPr>
        <w:t xml:space="preserve">v naslednjih 12 mesecih. </w:t>
      </w:r>
    </w:p>
    <w:p w14:paraId="28B6765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AE64A01" w14:textId="3133E2F6" w:rsidR="00D91782" w:rsidRPr="00215B2F" w:rsidRDefault="00CA0C11"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w:t>
      </w:r>
      <w:r w:rsidR="00D91782" w:rsidRPr="00215B2F">
        <w:rPr>
          <w:rFonts w:ascii="Arial" w:eastAsia="Arial" w:hAnsi="Arial" w:cs="Arial"/>
          <w:sz w:val="20"/>
          <w:szCs w:val="20"/>
        </w:rPr>
        <w:t>Podružnica iz tretje države o nastanku okoliščin iz točke b) prejšnjega odstavka takoj uradno obvesti Banko Slovenije.</w:t>
      </w:r>
    </w:p>
    <w:p w14:paraId="4911D0DE"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6FB2123B" w14:textId="63CB94FF" w:rsidR="00D91782" w:rsidRPr="00215B2F" w:rsidRDefault="00CA0C11"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w:t>
      </w:r>
      <w:r w:rsidR="00D91782" w:rsidRPr="00215B2F">
        <w:rPr>
          <w:rFonts w:ascii="Arial" w:eastAsia="Arial" w:hAnsi="Arial" w:cs="Arial"/>
          <w:sz w:val="20"/>
          <w:szCs w:val="20"/>
        </w:rPr>
        <w:t>Banka Slovenije lahko podružnici iz tretje države odvzame dovoljenje za podružnico iz tretje države tudi, če je izpolnjen kateri</w:t>
      </w:r>
      <w:r w:rsidR="001B48E8" w:rsidRPr="00215B2F">
        <w:rPr>
          <w:rFonts w:ascii="Arial" w:eastAsia="Arial" w:hAnsi="Arial" w:cs="Arial"/>
          <w:sz w:val="20"/>
          <w:szCs w:val="20"/>
        </w:rPr>
        <w:t xml:space="preserve"> </w:t>
      </w:r>
      <w:r w:rsidR="00D91782" w:rsidRPr="00215B2F">
        <w:rPr>
          <w:rFonts w:ascii="Arial" w:eastAsia="Arial" w:hAnsi="Arial" w:cs="Arial"/>
          <w:sz w:val="20"/>
          <w:szCs w:val="20"/>
        </w:rPr>
        <w:t>koli od naslednjih pogojev:</w:t>
      </w:r>
    </w:p>
    <w:p w14:paraId="0543E310"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1BD9D401" w14:textId="523B85B3" w:rsidR="00C316EC" w:rsidRPr="00215B2F" w:rsidRDefault="00D91782" w:rsidP="003D4DE0">
      <w:pPr>
        <w:pStyle w:val="Odstavekseznama"/>
        <w:numPr>
          <w:ilvl w:val="0"/>
          <w:numId w:val="368"/>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podružnica iz tretje države pridobi dovoljenje na podlagi neresničnih izjav ali na kakršen koli drug nepraviln</w:t>
      </w:r>
      <w:r w:rsidR="001B48E8" w:rsidRPr="00215B2F">
        <w:rPr>
          <w:rFonts w:ascii="Arial" w:eastAsia="Arial" w:hAnsi="Arial" w:cs="Arial"/>
          <w:sz w:val="20"/>
          <w:szCs w:val="20"/>
        </w:rPr>
        <w:t>i</w:t>
      </w:r>
      <w:r w:rsidRPr="00215B2F">
        <w:rPr>
          <w:rFonts w:ascii="Arial" w:eastAsia="Arial" w:hAnsi="Arial" w:cs="Arial"/>
          <w:sz w:val="20"/>
          <w:szCs w:val="20"/>
        </w:rPr>
        <w:t xml:space="preserve"> način; </w:t>
      </w:r>
    </w:p>
    <w:p w14:paraId="6344E0B6" w14:textId="538B9179" w:rsidR="00C316EC" w:rsidRPr="00215B2F" w:rsidRDefault="00D91782" w:rsidP="003D4DE0">
      <w:pPr>
        <w:pStyle w:val="Odstavekseznama"/>
        <w:numPr>
          <w:ilvl w:val="0"/>
          <w:numId w:val="368"/>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podružnica iz tretje države ne izpolnjuje več enega ali več dodatnih pogojev ali zahtev, na podlagi katerih je bilo izdano dovoljenje; </w:t>
      </w:r>
    </w:p>
    <w:p w14:paraId="36666A12" w14:textId="5084FAF2" w:rsidR="00C316EC" w:rsidRPr="00215B2F" w:rsidRDefault="00D91782" w:rsidP="003D4DE0">
      <w:pPr>
        <w:pStyle w:val="Odstavekseznama"/>
        <w:numPr>
          <w:ilvl w:val="0"/>
          <w:numId w:val="368"/>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od podružnice iz tretje države ni več mogoče pričakovati, da bo izpolnjevala svoje obveznosti do upnikov, in zlasti ne zagotavlja več varnosti sredstev, ki so ji jih zaupali vlagatelji; </w:t>
      </w:r>
    </w:p>
    <w:p w14:paraId="62242E7E" w14:textId="3ED65243" w:rsidR="00C316EC" w:rsidRPr="00215B2F" w:rsidRDefault="00D91782" w:rsidP="003D4DE0">
      <w:pPr>
        <w:pStyle w:val="Odstavekseznama"/>
        <w:numPr>
          <w:ilvl w:val="0"/>
          <w:numId w:val="368"/>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podružnica iz tretje države stori eno od kršitev iz </w:t>
      </w:r>
      <w:r w:rsidR="00962F2A" w:rsidRPr="00215B2F">
        <w:rPr>
          <w:rFonts w:ascii="Arial" w:eastAsia="Arial" w:hAnsi="Arial" w:cs="Arial"/>
          <w:sz w:val="20"/>
          <w:szCs w:val="20"/>
        </w:rPr>
        <w:t>389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p>
    <w:p w14:paraId="25DA6661" w14:textId="2F94A472" w:rsidR="00D91782" w:rsidRPr="00215B2F" w:rsidRDefault="00D91782" w:rsidP="003D4DE0">
      <w:pPr>
        <w:pStyle w:val="Odstavekseznama"/>
        <w:numPr>
          <w:ilvl w:val="0"/>
          <w:numId w:val="368"/>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obstajajo utemeljeni razlogi za sum, da gre ali je šlo v zvezi s podružnico iz tretje države, njeno matično družbo ali njeno skupino za pranje denarja ali financiranje terorizma</w:t>
      </w:r>
      <w:r w:rsidR="001B48E8" w:rsidRPr="00215B2F">
        <w:rPr>
          <w:rFonts w:ascii="Arial" w:eastAsia="Arial" w:hAnsi="Arial" w:cs="Arial"/>
          <w:sz w:val="20"/>
          <w:szCs w:val="20"/>
        </w:rPr>
        <w:t>,</w:t>
      </w:r>
      <w:r w:rsidRPr="00215B2F">
        <w:rPr>
          <w:rFonts w:ascii="Arial" w:eastAsia="Arial" w:hAnsi="Arial" w:cs="Arial"/>
          <w:sz w:val="20"/>
          <w:szCs w:val="20"/>
        </w:rPr>
        <w:t xml:space="preserve"> kot sta opredeljena v zakonu, ki ureja preprečevanje pranja denarja in financiranje terorizma</w:t>
      </w:r>
      <w:r w:rsidR="001B48E8" w:rsidRPr="00215B2F">
        <w:rPr>
          <w:rFonts w:ascii="Arial" w:eastAsia="Arial" w:hAnsi="Arial" w:cs="Arial"/>
          <w:sz w:val="20"/>
          <w:szCs w:val="20"/>
        </w:rPr>
        <w:t>,</w:t>
      </w:r>
      <w:r w:rsidRPr="00215B2F">
        <w:rPr>
          <w:rFonts w:ascii="Arial" w:eastAsia="Arial" w:hAnsi="Arial" w:cs="Arial"/>
          <w:sz w:val="20"/>
          <w:szCs w:val="20"/>
        </w:rPr>
        <w:t xml:space="preserve"> ali za poskus tega ali da obstaja povečano tveganje pranja denarja ali financiranja terorizma ali poskusa tega v zvezi s podružnico </w:t>
      </w:r>
      <w:r w:rsidR="002609B2" w:rsidRPr="00215B2F">
        <w:rPr>
          <w:rFonts w:ascii="Arial" w:eastAsia="Arial" w:hAnsi="Arial" w:cs="Arial"/>
          <w:sz w:val="20"/>
          <w:szCs w:val="20"/>
        </w:rPr>
        <w:t xml:space="preserve">iz </w:t>
      </w:r>
      <w:r w:rsidRPr="00215B2F">
        <w:rPr>
          <w:rFonts w:ascii="Arial" w:eastAsia="Arial" w:hAnsi="Arial" w:cs="Arial"/>
          <w:sz w:val="20"/>
          <w:szCs w:val="20"/>
        </w:rPr>
        <w:t>tretje države, njeno matično družbo ali njeno skupino</w:t>
      </w:r>
      <w:r w:rsidR="001B48E8" w:rsidRPr="00215B2F">
        <w:rPr>
          <w:rFonts w:ascii="Arial" w:eastAsia="Arial" w:hAnsi="Arial" w:cs="Arial"/>
          <w:sz w:val="20"/>
          <w:szCs w:val="20"/>
        </w:rPr>
        <w:t>.</w:t>
      </w:r>
    </w:p>
    <w:p w14:paraId="1BA04683"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469659B3" w14:textId="00D06C5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se pri presoji merila iz točke e) prejšnjega odstavka posvetuje z Uradom </w:t>
      </w:r>
      <w:r w:rsidR="00FE1136" w:rsidRPr="00215B2F">
        <w:rPr>
          <w:rFonts w:ascii="Arial" w:eastAsia="Arial" w:hAnsi="Arial" w:cs="Arial"/>
          <w:sz w:val="20"/>
          <w:szCs w:val="20"/>
        </w:rPr>
        <w:t xml:space="preserve">Republike Slovenije </w:t>
      </w:r>
      <w:r w:rsidRPr="00215B2F">
        <w:rPr>
          <w:rFonts w:ascii="Arial" w:eastAsia="Arial" w:hAnsi="Arial" w:cs="Arial"/>
          <w:sz w:val="20"/>
          <w:szCs w:val="20"/>
        </w:rPr>
        <w:t>za preprečevanj</w:t>
      </w:r>
      <w:r w:rsidR="00310758" w:rsidRPr="00215B2F">
        <w:rPr>
          <w:rFonts w:ascii="Arial" w:eastAsia="Arial" w:hAnsi="Arial" w:cs="Arial"/>
          <w:sz w:val="20"/>
          <w:szCs w:val="20"/>
        </w:rPr>
        <w:t>e</w:t>
      </w:r>
      <w:r w:rsidRPr="00215B2F">
        <w:rPr>
          <w:rFonts w:ascii="Arial" w:eastAsia="Arial" w:hAnsi="Arial" w:cs="Arial"/>
          <w:sz w:val="20"/>
          <w:szCs w:val="20"/>
        </w:rPr>
        <w:t xml:space="preserve"> pranja denarja </w:t>
      </w:r>
      <w:r w:rsidR="00FE1136" w:rsidRPr="00215B2F">
        <w:rPr>
          <w:rFonts w:ascii="Arial" w:eastAsia="Arial" w:hAnsi="Arial" w:cs="Arial"/>
          <w:sz w:val="20"/>
          <w:szCs w:val="20"/>
        </w:rPr>
        <w:t>ter</w:t>
      </w:r>
      <w:r w:rsidRPr="00215B2F">
        <w:rPr>
          <w:rFonts w:ascii="Arial" w:eastAsia="Arial" w:hAnsi="Arial" w:cs="Arial"/>
          <w:sz w:val="20"/>
          <w:szCs w:val="20"/>
        </w:rPr>
        <w:t xml:space="preserve"> upošteva informacije, ki jih je pridobila kot pristojni nadzorni organ na podlagi zakona, ki ureja preprečevanje pranja denarja in financiranje terorizma.</w:t>
      </w:r>
    </w:p>
    <w:p w14:paraId="10FC064A"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2F8A0BB1" w14:textId="7639D22D" w:rsidR="00D91782" w:rsidRPr="00215B2F" w:rsidRDefault="0068400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10</w:t>
      </w:r>
      <w:r w:rsidR="00D91782" w:rsidRPr="00215B2F">
        <w:rPr>
          <w:rFonts w:ascii="Arial" w:eastAsia="Arial" w:hAnsi="Arial" w:cs="Arial"/>
          <w:b/>
          <w:bCs/>
          <w:sz w:val="20"/>
          <w:szCs w:val="20"/>
        </w:rPr>
        <w:t>.</w:t>
      </w:r>
      <w:r w:rsidRPr="00215B2F">
        <w:rPr>
          <w:rFonts w:ascii="Arial" w:eastAsia="Arial" w:hAnsi="Arial" w:cs="Arial"/>
          <w:b/>
          <w:bCs/>
          <w:sz w:val="20"/>
          <w:szCs w:val="20"/>
        </w:rPr>
        <w:t>10</w:t>
      </w:r>
      <w:r w:rsidR="00D91782" w:rsidRPr="00215B2F">
        <w:rPr>
          <w:rFonts w:ascii="Arial" w:eastAsia="Arial" w:hAnsi="Arial" w:cs="Arial"/>
          <w:b/>
          <w:bCs/>
          <w:sz w:val="20"/>
          <w:szCs w:val="20"/>
        </w:rPr>
        <w:t xml:space="preserve"> RAZKRITJA V ZVEZI Z NADZOROM</w:t>
      </w:r>
    </w:p>
    <w:p w14:paraId="5DEF51BA"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411F30E6"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44" w:name="_Ref202967818"/>
      <w:r w:rsidRPr="00215B2F">
        <w:rPr>
          <w:rFonts w:ascii="Arial" w:eastAsia="Arial" w:hAnsi="Arial" w:cs="Arial"/>
          <w:b/>
          <w:bCs/>
          <w:sz w:val="20"/>
          <w:szCs w:val="20"/>
        </w:rPr>
        <w:t>člen</w:t>
      </w:r>
      <w:bookmarkEnd w:id="444"/>
    </w:p>
    <w:p w14:paraId="7A7E2301" w14:textId="77777777" w:rsidR="00D91782" w:rsidRPr="00215B2F" w:rsidRDefault="00D91782" w:rsidP="00FD5520">
      <w:pPr>
        <w:pStyle w:val="Slog1"/>
        <w:shd w:val="clear" w:color="auto" w:fill="FFFFFF" w:themeFill="background1"/>
        <w:rPr>
          <w:sz w:val="20"/>
          <w:szCs w:val="20"/>
        </w:rPr>
      </w:pPr>
      <w:r w:rsidRPr="00215B2F">
        <w:rPr>
          <w:sz w:val="20"/>
          <w:szCs w:val="20"/>
        </w:rPr>
        <w:t>(razkritje splošnih informacij o nadzoru)</w:t>
      </w:r>
    </w:p>
    <w:p w14:paraId="5411E00A" w14:textId="77777777" w:rsidR="00D91782" w:rsidRPr="00215B2F" w:rsidRDefault="00D91782" w:rsidP="00FD5520">
      <w:pPr>
        <w:pStyle w:val="Slog1"/>
        <w:shd w:val="clear" w:color="auto" w:fill="FFFFFF" w:themeFill="background1"/>
        <w:jc w:val="both"/>
        <w:rPr>
          <w:sz w:val="20"/>
          <w:szCs w:val="20"/>
        </w:rPr>
      </w:pPr>
    </w:p>
    <w:p w14:paraId="4CCCB11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na svoji spletni strani javno objavi naslednje informacije:</w:t>
      </w:r>
    </w:p>
    <w:p w14:paraId="06DE7AFA"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08D56F94" w14:textId="77777777" w:rsidR="00394981" w:rsidRPr="00215B2F" w:rsidRDefault="00D91782" w:rsidP="003D4DE0">
      <w:pPr>
        <w:pStyle w:val="tevilnatoka"/>
        <w:numPr>
          <w:ilvl w:val="0"/>
          <w:numId w:val="259"/>
        </w:numPr>
        <w:shd w:val="clear" w:color="auto" w:fill="FFFFFF" w:themeFill="background1"/>
        <w:tabs>
          <w:tab w:val="clear" w:pos="425"/>
        </w:tabs>
        <w:rPr>
          <w:rFonts w:cs="Arial"/>
          <w:bCs/>
          <w:sz w:val="20"/>
          <w:szCs w:val="20"/>
        </w:rPr>
      </w:pPr>
      <w:r w:rsidRPr="00215B2F">
        <w:rPr>
          <w:rFonts w:eastAsia="Arial" w:cs="Arial"/>
          <w:sz w:val="20"/>
          <w:szCs w:val="20"/>
        </w:rPr>
        <w:t>besedila zakonov in drugih predpisov ter smernice in navodila, ki se uporabljajo v Republiki Sloveniji v zvezi s poslovanjem in nadzorom bank;</w:t>
      </w:r>
    </w:p>
    <w:p w14:paraId="6D0C20D7" w14:textId="77777777" w:rsidR="00394981" w:rsidRPr="00215B2F" w:rsidRDefault="00D91782" w:rsidP="003D4DE0">
      <w:pPr>
        <w:pStyle w:val="tevilnatoka"/>
        <w:numPr>
          <w:ilvl w:val="0"/>
          <w:numId w:val="259"/>
        </w:numPr>
        <w:shd w:val="clear" w:color="auto" w:fill="FFFFFF" w:themeFill="background1"/>
        <w:tabs>
          <w:tab w:val="clear" w:pos="425"/>
        </w:tabs>
        <w:rPr>
          <w:rFonts w:cs="Arial"/>
          <w:bCs/>
          <w:sz w:val="20"/>
          <w:szCs w:val="20"/>
        </w:rPr>
      </w:pPr>
      <w:r w:rsidRPr="00215B2F">
        <w:rPr>
          <w:rFonts w:eastAsia="Arial" w:cs="Arial"/>
          <w:sz w:val="20"/>
          <w:szCs w:val="20"/>
        </w:rPr>
        <w:t>način izvrševanja opcij in diskrecij iz Direktive 2013/36/EU in Uredbe 575/2013/EU;</w:t>
      </w:r>
    </w:p>
    <w:p w14:paraId="606B4C40" w14:textId="0345D750" w:rsidR="00D91782" w:rsidRPr="00215B2F" w:rsidRDefault="00D91782" w:rsidP="003D4DE0">
      <w:pPr>
        <w:pStyle w:val="tevilnatoka"/>
        <w:numPr>
          <w:ilvl w:val="0"/>
          <w:numId w:val="259"/>
        </w:numPr>
        <w:shd w:val="clear" w:color="auto" w:fill="FFFFFF" w:themeFill="background1"/>
        <w:tabs>
          <w:tab w:val="clear" w:pos="425"/>
        </w:tabs>
        <w:rPr>
          <w:rFonts w:cs="Arial"/>
          <w:bCs/>
          <w:sz w:val="20"/>
          <w:szCs w:val="20"/>
        </w:rPr>
      </w:pPr>
      <w:r w:rsidRPr="00215B2F">
        <w:rPr>
          <w:rFonts w:eastAsia="Arial" w:cs="Arial"/>
          <w:sz w:val="20"/>
          <w:szCs w:val="20"/>
        </w:rPr>
        <w:t xml:space="preserve">splošna merila in metodologije, ki jih uporablja Banka Slovenije pri pregledovanju in ovrednotenju iz </w:t>
      </w:r>
      <w:r w:rsidR="0013101D" w:rsidRPr="00215B2F">
        <w:rPr>
          <w:rFonts w:eastAsia="Arial" w:cs="Arial"/>
          <w:sz w:val="20"/>
          <w:szCs w:val="20"/>
        </w:rPr>
        <w:t>223</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vključno z merili za uporabo načela sorazmernosti iz tretjega odstavka </w:t>
      </w:r>
      <w:r w:rsidR="0013101D" w:rsidRPr="00215B2F">
        <w:rPr>
          <w:rFonts w:eastAsia="Arial" w:cs="Arial"/>
          <w:sz w:val="20"/>
          <w:szCs w:val="20"/>
        </w:rPr>
        <w:t>223</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6F809F02"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0F593029" w14:textId="0CCD2AC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Ne glede na določbe tega zakona, ki urejajo obveznost varovanja zaupnih informacij, pridobljenih pri opravljanju nadzora, Banka Slovenije na svoji spletni strani javno objavi agreg</w:t>
      </w:r>
      <w:r w:rsidR="00461599" w:rsidRPr="00215B2F">
        <w:rPr>
          <w:rFonts w:ascii="Arial" w:eastAsia="Arial" w:hAnsi="Arial" w:cs="Arial"/>
          <w:sz w:val="20"/>
          <w:szCs w:val="20"/>
        </w:rPr>
        <w:t>ir</w:t>
      </w:r>
      <w:r w:rsidRPr="00215B2F">
        <w:rPr>
          <w:rFonts w:ascii="Arial" w:eastAsia="Arial" w:hAnsi="Arial" w:cs="Arial"/>
          <w:sz w:val="20"/>
          <w:szCs w:val="20"/>
        </w:rPr>
        <w:t>ane statistične podatke o ključnih vidikih ureditve in uresničevanja pravil glede varnega in skrbnega upravljanja tveganj v bankah ter zbirne informacije glede števila in narave ukrepov nadzora, ki jih je izrekla na podlagi tega zakona zaradi kršitev tega zakona ali Uredbe 575/2013/EU, vključno z izrečenimi sankcijami v postopkih zaradi prekrškov.</w:t>
      </w:r>
    </w:p>
    <w:p w14:paraId="480D298F"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6B994080" w14:textId="245BF3C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Razkritja iz prvega in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morajo biti zadostna, da omogočajo razumljivo primerjavo pristopov, ki jih uporabljajo pristojni organi različnih držav članic.</w:t>
      </w:r>
    </w:p>
    <w:p w14:paraId="2886AFE5"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714C63C3" w14:textId="4709F5E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vsa razkritja iz prvega in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objavi kot celovito informacijo ter jih redno dopolnjuje in posodablja.</w:t>
      </w:r>
    </w:p>
    <w:p w14:paraId="1A9C140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0B8D81C"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45" w:name="_Ref202967824"/>
      <w:r w:rsidRPr="00215B2F">
        <w:rPr>
          <w:rFonts w:ascii="Arial" w:eastAsia="Arial" w:hAnsi="Arial" w:cs="Arial"/>
          <w:b/>
          <w:bCs/>
          <w:sz w:val="20"/>
          <w:szCs w:val="20"/>
        </w:rPr>
        <w:t>člen</w:t>
      </w:r>
      <w:bookmarkEnd w:id="445"/>
    </w:p>
    <w:p w14:paraId="1A9D01E0"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(razkritje posebnih informacij o nadzoru)</w:t>
      </w:r>
    </w:p>
    <w:p w14:paraId="145DA0F4"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66F47B6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(1) Banka Slovenije v zvezi z izvajanjem pristojnosti na podlagi 5. dela Uredbe 575/2013/EU na svoji spletni strani javno objavi tudi naslednje informacije:</w:t>
      </w:r>
    </w:p>
    <w:p w14:paraId="63F1F671"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62F4E5B4" w14:textId="77777777" w:rsidR="00394981" w:rsidRPr="00215B2F" w:rsidRDefault="00D91782" w:rsidP="003D4DE0">
      <w:pPr>
        <w:pStyle w:val="tevilnatoka"/>
        <w:numPr>
          <w:ilvl w:val="0"/>
          <w:numId w:val="260"/>
        </w:numPr>
        <w:shd w:val="clear" w:color="auto" w:fill="FFFFFF" w:themeFill="background1"/>
        <w:tabs>
          <w:tab w:val="clear" w:pos="425"/>
        </w:tabs>
        <w:rPr>
          <w:rFonts w:cs="Arial"/>
          <w:bCs/>
          <w:sz w:val="20"/>
          <w:szCs w:val="20"/>
        </w:rPr>
      </w:pPr>
      <w:r w:rsidRPr="00215B2F">
        <w:rPr>
          <w:rFonts w:eastAsia="Arial" w:cs="Arial"/>
          <w:sz w:val="20"/>
          <w:szCs w:val="20"/>
        </w:rPr>
        <w:t>sprejeta splošna merila in metodologije za pregled skladnosti s 405. do 409. členom Uredbe 575/2013/EU;</w:t>
      </w:r>
    </w:p>
    <w:p w14:paraId="598DF26C" w14:textId="7D84992A" w:rsidR="00D91782" w:rsidRPr="00215B2F" w:rsidRDefault="00D91782" w:rsidP="003D4DE0">
      <w:pPr>
        <w:pStyle w:val="tevilnatoka"/>
        <w:numPr>
          <w:ilvl w:val="0"/>
          <w:numId w:val="260"/>
        </w:numPr>
        <w:shd w:val="clear" w:color="auto" w:fill="FFFFFF" w:themeFill="background1"/>
        <w:tabs>
          <w:tab w:val="clear" w:pos="425"/>
        </w:tabs>
        <w:rPr>
          <w:rFonts w:cs="Arial"/>
          <w:bCs/>
          <w:sz w:val="20"/>
          <w:szCs w:val="20"/>
        </w:rPr>
      </w:pPr>
      <w:r w:rsidRPr="00215B2F">
        <w:rPr>
          <w:rFonts w:eastAsia="Arial" w:cs="Arial"/>
          <w:sz w:val="20"/>
          <w:szCs w:val="20"/>
        </w:rPr>
        <w:t>povzetek izida nadzorniškega pregledovanja in opis izrečenih ukrepov v primerih ugotovljenih neskladnosti z zahtevami iz 405. do 409. člena Uredbe 575/2013/EU, ugotovljenih na letni ravni.</w:t>
      </w:r>
    </w:p>
    <w:p w14:paraId="09AAE6E8"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359A0F3F" w14:textId="6FA78BC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Če Banka Slovenije izvršuje diskrecijsko možnost iz tretjega odstavka 7. člena Uredbe 575/2013/EU, na svoji spletni strani javno objavi tudi naslednje informacije:</w:t>
      </w:r>
    </w:p>
    <w:p w14:paraId="06A4C65E"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50A316B1" w14:textId="293189FD" w:rsidR="00394981" w:rsidRPr="00215B2F" w:rsidRDefault="00D91782" w:rsidP="003D4DE0">
      <w:pPr>
        <w:pStyle w:val="tevilnatoka"/>
        <w:numPr>
          <w:ilvl w:val="0"/>
          <w:numId w:val="261"/>
        </w:numPr>
        <w:shd w:val="clear" w:color="auto" w:fill="FFFFFF" w:themeFill="background1"/>
        <w:tabs>
          <w:tab w:val="clear" w:pos="425"/>
        </w:tabs>
        <w:rPr>
          <w:rFonts w:cs="Arial"/>
          <w:bCs/>
          <w:sz w:val="20"/>
          <w:szCs w:val="20"/>
        </w:rPr>
      </w:pPr>
      <w:r w:rsidRPr="00215B2F">
        <w:rPr>
          <w:rFonts w:eastAsia="Arial" w:cs="Arial"/>
          <w:sz w:val="20"/>
          <w:szCs w:val="20"/>
        </w:rPr>
        <w:t xml:space="preserve">merila, s katerimi določi, da ni trenutnih ali predvidenih pomembnih </w:t>
      </w:r>
      <w:r w:rsidR="003B2433" w:rsidRPr="00215B2F">
        <w:rPr>
          <w:rFonts w:eastAsia="Arial" w:cs="Arial"/>
          <w:sz w:val="20"/>
          <w:szCs w:val="20"/>
        </w:rPr>
        <w:t xml:space="preserve">praktičnih </w:t>
      </w:r>
      <w:r w:rsidRPr="00215B2F">
        <w:rPr>
          <w:rFonts w:eastAsia="Arial" w:cs="Arial"/>
          <w:sz w:val="20"/>
          <w:szCs w:val="20"/>
        </w:rPr>
        <w:t>ali pravnih ovir za takojšnji prenos kapitala ali poravnavo obveznosti;</w:t>
      </w:r>
    </w:p>
    <w:p w14:paraId="30A7B447" w14:textId="456D0BA3" w:rsidR="00394981" w:rsidRPr="00215B2F" w:rsidRDefault="00D91782" w:rsidP="003D4DE0">
      <w:pPr>
        <w:pStyle w:val="tevilnatoka"/>
        <w:numPr>
          <w:ilvl w:val="0"/>
          <w:numId w:val="261"/>
        </w:numPr>
        <w:shd w:val="clear" w:color="auto" w:fill="FFFFFF" w:themeFill="background1"/>
        <w:tabs>
          <w:tab w:val="clear" w:pos="425"/>
        </w:tabs>
        <w:rPr>
          <w:rFonts w:cs="Arial"/>
          <w:bCs/>
          <w:sz w:val="20"/>
          <w:szCs w:val="20"/>
        </w:rPr>
      </w:pPr>
      <w:r w:rsidRPr="00215B2F">
        <w:rPr>
          <w:rFonts w:eastAsia="Arial" w:cs="Arial"/>
          <w:sz w:val="20"/>
          <w:szCs w:val="20"/>
        </w:rPr>
        <w:t>število nadrejenih bank, ki jim je Banka Slovenije dovolila uporabo diskrecijske možnosti iz tretjega odstavka 7. člena Uredbe 575/2013/EU</w:t>
      </w:r>
      <w:r w:rsidR="005B5867" w:rsidRPr="00215B2F">
        <w:rPr>
          <w:rFonts w:eastAsia="Arial" w:cs="Arial"/>
          <w:sz w:val="20"/>
          <w:szCs w:val="20"/>
        </w:rPr>
        <w:t>,</w:t>
      </w:r>
      <w:r w:rsidRPr="00215B2F">
        <w:rPr>
          <w:rFonts w:eastAsia="Arial" w:cs="Arial"/>
          <w:sz w:val="20"/>
          <w:szCs w:val="20"/>
        </w:rPr>
        <w:t xml:space="preserve"> ter število takih nadrejenih bank, ki imajo podrejeno družbo v tretji državi;</w:t>
      </w:r>
    </w:p>
    <w:p w14:paraId="3CD49F49" w14:textId="29A817D9" w:rsidR="00D91782" w:rsidRPr="00215B2F" w:rsidRDefault="00D91782" w:rsidP="003D4DE0">
      <w:pPr>
        <w:pStyle w:val="tevilnatoka"/>
        <w:numPr>
          <w:ilvl w:val="0"/>
          <w:numId w:val="261"/>
        </w:numPr>
        <w:shd w:val="clear" w:color="auto" w:fill="FFFFFF" w:themeFill="background1"/>
        <w:tabs>
          <w:tab w:val="clear" w:pos="425"/>
        </w:tabs>
        <w:rPr>
          <w:rFonts w:cs="Arial"/>
          <w:bCs/>
          <w:sz w:val="20"/>
          <w:szCs w:val="20"/>
        </w:rPr>
      </w:pPr>
      <w:r w:rsidRPr="00215B2F">
        <w:rPr>
          <w:rFonts w:eastAsia="Arial" w:cs="Arial"/>
          <w:sz w:val="20"/>
          <w:szCs w:val="20"/>
        </w:rPr>
        <w:t>na zbirni podlagi za Republiko Slovenijo:</w:t>
      </w:r>
    </w:p>
    <w:p w14:paraId="3ECCE299" w14:textId="56D9874B"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skupni znesek kapitala nadrejenih bank na konsolidirani podlagi, ki uporabljajo diskrecijsko možnost iz tretjega odstavka 7. člena Uredbe 575/2013/EU</w:t>
      </w:r>
      <w:r w:rsidR="003B2433" w:rsidRPr="00215B2F">
        <w:rPr>
          <w:rFonts w:ascii="Arial" w:eastAsia="Arial" w:hAnsi="Arial" w:cs="Arial"/>
          <w:sz w:val="20"/>
          <w:szCs w:val="20"/>
        </w:rPr>
        <w:t>, ki</w:t>
      </w:r>
      <w:r w:rsidRPr="00215B2F">
        <w:rPr>
          <w:rFonts w:ascii="Arial" w:eastAsia="Arial" w:hAnsi="Arial" w:cs="Arial"/>
          <w:sz w:val="20"/>
          <w:szCs w:val="20"/>
        </w:rPr>
        <w:t xml:space="preserve"> ga izkazujejo v podrejenih družbah s sedežem v tretjih državah,</w:t>
      </w:r>
    </w:p>
    <w:p w14:paraId="3C73148D" w14:textId="77777777"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delež kapitala, ki je v podrejenih družbah s sedežem v tretji državi v skupnem kapitalu nadrejenih bank na konsolidirani podlagi, ki uporabljajo diskrecijsko možnost iz tretjega odstavka 7. člena Uredbe 575/2013/EU,</w:t>
      </w:r>
    </w:p>
    <w:p w14:paraId="3400BF61" w14:textId="01E731D3"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delež kapitala, ki je v podrejenih družbah s sedežem v tretji državi v skupnem kapitalu nadrejenih bank</w:t>
      </w:r>
      <w:r w:rsidR="00F1505C" w:rsidRPr="00215B2F">
        <w:rPr>
          <w:rFonts w:ascii="Arial" w:eastAsia="Arial" w:hAnsi="Arial" w:cs="Arial"/>
          <w:sz w:val="20"/>
          <w:szCs w:val="20"/>
        </w:rPr>
        <w:t>,</w:t>
      </w:r>
      <w:r w:rsidRPr="00215B2F">
        <w:rPr>
          <w:rFonts w:ascii="Arial" w:eastAsia="Arial" w:hAnsi="Arial" w:cs="Arial"/>
          <w:sz w:val="20"/>
          <w:szCs w:val="20"/>
        </w:rPr>
        <w:t xml:space="preserve"> </w:t>
      </w:r>
      <w:r w:rsidR="00F1505C" w:rsidRPr="00215B2F">
        <w:rPr>
          <w:rFonts w:ascii="Arial" w:eastAsia="Arial" w:hAnsi="Arial" w:cs="Arial"/>
          <w:sz w:val="20"/>
          <w:szCs w:val="20"/>
        </w:rPr>
        <w:t xml:space="preserve">ki uporabljajo diskrecijsko možnost iz tretjega odstavka 7. člena Uredbe 575/2013/EU, </w:t>
      </w:r>
      <w:r w:rsidRPr="00215B2F">
        <w:rPr>
          <w:rFonts w:ascii="Arial" w:eastAsia="Arial" w:hAnsi="Arial" w:cs="Arial"/>
          <w:sz w:val="20"/>
          <w:szCs w:val="20"/>
        </w:rPr>
        <w:t>na konsolidirani podlagi zahtevan v skladu z 92. členom Uredbe 575/2013/EU</w:t>
      </w:r>
      <w:r w:rsidR="00F1505C" w:rsidRPr="00215B2F">
        <w:rPr>
          <w:rFonts w:ascii="Arial" w:eastAsia="Arial" w:hAnsi="Arial" w:cs="Arial"/>
          <w:sz w:val="20"/>
          <w:szCs w:val="20"/>
        </w:rPr>
        <w:t>.</w:t>
      </w:r>
      <w:r w:rsidRPr="00215B2F">
        <w:rPr>
          <w:rFonts w:ascii="Arial" w:eastAsia="Arial" w:hAnsi="Arial" w:cs="Arial"/>
          <w:sz w:val="20"/>
          <w:szCs w:val="20"/>
        </w:rPr>
        <w:t xml:space="preserve"> </w:t>
      </w:r>
    </w:p>
    <w:p w14:paraId="7BB7C317"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1BBACD6C" w14:textId="6DBCB6A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Če Banka Slovenije izvršuje diskrecijsko možnost iz prvega odstavka 9. člena Uredbe 575/2013/EU, na svoji spletni strani javno objavi tudi naslednje informacije:</w:t>
      </w:r>
    </w:p>
    <w:p w14:paraId="02AE248C"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30847F47" w14:textId="48D3EE13" w:rsidR="00394981" w:rsidRPr="00215B2F" w:rsidRDefault="00D91782" w:rsidP="003D4DE0">
      <w:pPr>
        <w:pStyle w:val="tevilnatoka"/>
        <w:numPr>
          <w:ilvl w:val="0"/>
          <w:numId w:val="262"/>
        </w:numPr>
        <w:shd w:val="clear" w:color="auto" w:fill="FFFFFF" w:themeFill="background1"/>
        <w:tabs>
          <w:tab w:val="clear" w:pos="425"/>
        </w:tabs>
        <w:rPr>
          <w:rFonts w:cs="Arial"/>
          <w:bCs/>
          <w:sz w:val="20"/>
          <w:szCs w:val="20"/>
        </w:rPr>
      </w:pPr>
      <w:r w:rsidRPr="00215B2F">
        <w:rPr>
          <w:rFonts w:eastAsia="Arial" w:cs="Arial"/>
          <w:sz w:val="20"/>
          <w:szCs w:val="20"/>
        </w:rPr>
        <w:t xml:space="preserve">merila, s katerimi določi, da ni trenutnih ali predvidenih pomembnih </w:t>
      </w:r>
      <w:r w:rsidR="002E7B98" w:rsidRPr="00215B2F">
        <w:rPr>
          <w:rFonts w:eastAsia="Arial" w:cs="Arial"/>
          <w:sz w:val="20"/>
          <w:szCs w:val="20"/>
        </w:rPr>
        <w:t xml:space="preserve">praktičnih </w:t>
      </w:r>
      <w:r w:rsidRPr="00215B2F">
        <w:rPr>
          <w:rFonts w:eastAsia="Arial" w:cs="Arial"/>
          <w:sz w:val="20"/>
          <w:szCs w:val="20"/>
        </w:rPr>
        <w:t>ali pravnih ovir za takojšnji prenos kapitala ali poravnavo obveznosti;</w:t>
      </w:r>
    </w:p>
    <w:p w14:paraId="0336E328" w14:textId="54417DA0" w:rsidR="00394981" w:rsidRPr="00215B2F" w:rsidRDefault="00D91782" w:rsidP="003D4DE0">
      <w:pPr>
        <w:pStyle w:val="tevilnatoka"/>
        <w:numPr>
          <w:ilvl w:val="0"/>
          <w:numId w:val="262"/>
        </w:numPr>
        <w:shd w:val="clear" w:color="auto" w:fill="FFFFFF" w:themeFill="background1"/>
        <w:tabs>
          <w:tab w:val="clear" w:pos="425"/>
        </w:tabs>
        <w:rPr>
          <w:rFonts w:cs="Arial"/>
          <w:bCs/>
          <w:sz w:val="20"/>
          <w:szCs w:val="20"/>
        </w:rPr>
      </w:pPr>
      <w:r w:rsidRPr="00215B2F">
        <w:rPr>
          <w:rFonts w:eastAsia="Arial" w:cs="Arial"/>
          <w:sz w:val="20"/>
          <w:szCs w:val="20"/>
        </w:rPr>
        <w:t xml:space="preserve">število nadrejenih bank, ki jim je Banka Slovenije dovolila uporabo diskrecijsko možnosti iz prvega odstavka 9. člena Uredbe 575/2013/EU, </w:t>
      </w:r>
      <w:r w:rsidR="00F1505C" w:rsidRPr="00215B2F">
        <w:rPr>
          <w:rFonts w:eastAsia="Arial" w:cs="Arial"/>
          <w:sz w:val="20"/>
          <w:szCs w:val="20"/>
        </w:rPr>
        <w:t xml:space="preserve">in </w:t>
      </w:r>
      <w:r w:rsidRPr="00215B2F">
        <w:rPr>
          <w:rFonts w:eastAsia="Arial" w:cs="Arial"/>
          <w:sz w:val="20"/>
          <w:szCs w:val="20"/>
        </w:rPr>
        <w:t>število takih nadrejenih bank, ki imajo podrejene družbe v tretji državi;</w:t>
      </w:r>
    </w:p>
    <w:p w14:paraId="41456DDD" w14:textId="7D1AAB9F" w:rsidR="00D91782" w:rsidRPr="00215B2F" w:rsidRDefault="00D91782" w:rsidP="003D4DE0">
      <w:pPr>
        <w:pStyle w:val="tevilnatoka"/>
        <w:numPr>
          <w:ilvl w:val="0"/>
          <w:numId w:val="262"/>
        </w:numPr>
        <w:shd w:val="clear" w:color="auto" w:fill="FFFFFF" w:themeFill="background1"/>
        <w:tabs>
          <w:tab w:val="clear" w:pos="425"/>
        </w:tabs>
        <w:rPr>
          <w:rFonts w:cs="Arial"/>
          <w:bCs/>
          <w:sz w:val="20"/>
          <w:szCs w:val="20"/>
        </w:rPr>
      </w:pPr>
      <w:r w:rsidRPr="00215B2F">
        <w:rPr>
          <w:rFonts w:eastAsia="Arial" w:cs="Arial"/>
          <w:sz w:val="20"/>
          <w:szCs w:val="20"/>
        </w:rPr>
        <w:t>na zbirni podlagi za Republiko Slovenijo:</w:t>
      </w:r>
    </w:p>
    <w:p w14:paraId="08CFEAB3" w14:textId="05612779"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skupni znesek kapitala nadrejenih bank, ki uporabljajo diskrecijsko možnost iz prvega odstavka 9. člena Uredbe 575/2013/EU</w:t>
      </w:r>
      <w:r w:rsidR="002E7B98" w:rsidRPr="00215B2F">
        <w:rPr>
          <w:rFonts w:ascii="Arial" w:eastAsia="Arial" w:hAnsi="Arial" w:cs="Arial"/>
          <w:sz w:val="20"/>
          <w:szCs w:val="20"/>
        </w:rPr>
        <w:t>, ki</w:t>
      </w:r>
      <w:r w:rsidRPr="00215B2F">
        <w:rPr>
          <w:rFonts w:ascii="Arial" w:eastAsia="Arial" w:hAnsi="Arial" w:cs="Arial"/>
          <w:sz w:val="20"/>
          <w:szCs w:val="20"/>
        </w:rPr>
        <w:t xml:space="preserve"> ga izkazujejo v podrejenih družbah v tretjih državah,</w:t>
      </w:r>
    </w:p>
    <w:p w14:paraId="0AC10A1A" w14:textId="77777777"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delež kapitala, ki je v podrejenih družbah s sedežem v tretji državi v skupnem kapitalu nadrejenih bank, ki uporabljajo diskrecijsko možnost iz prvega odstavka 9. člena Uredbe 575/2013/EU,</w:t>
      </w:r>
    </w:p>
    <w:p w14:paraId="18562F57" w14:textId="344B3C3F"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delež kapitala, ki je v podrejenih družbah s sedežem v tretji državi v skupnem kapitalu nadrejenih bank</w:t>
      </w:r>
      <w:r w:rsidR="00F1505C" w:rsidRPr="00215B2F">
        <w:rPr>
          <w:rFonts w:ascii="Arial" w:eastAsia="Arial" w:hAnsi="Arial" w:cs="Arial"/>
          <w:sz w:val="20"/>
          <w:szCs w:val="20"/>
        </w:rPr>
        <w:t>,</w:t>
      </w:r>
      <w:r w:rsidRPr="00215B2F">
        <w:rPr>
          <w:rFonts w:ascii="Arial" w:eastAsia="Arial" w:hAnsi="Arial" w:cs="Arial"/>
          <w:sz w:val="20"/>
          <w:szCs w:val="20"/>
        </w:rPr>
        <w:t xml:space="preserve"> </w:t>
      </w:r>
      <w:r w:rsidR="00F1505C" w:rsidRPr="00215B2F">
        <w:rPr>
          <w:rFonts w:ascii="Arial" w:eastAsia="Arial" w:hAnsi="Arial" w:cs="Arial"/>
          <w:sz w:val="20"/>
          <w:szCs w:val="20"/>
        </w:rPr>
        <w:t xml:space="preserve">ki uporabljajo diskrecijsko možnost iz prvega odstavka 9. člena Uredbe 575/2013/EU, </w:t>
      </w:r>
      <w:r w:rsidRPr="00215B2F">
        <w:rPr>
          <w:rFonts w:ascii="Arial" w:eastAsia="Arial" w:hAnsi="Arial" w:cs="Arial"/>
          <w:sz w:val="20"/>
          <w:szCs w:val="20"/>
        </w:rPr>
        <w:t>na konsolidirani podlagi zahtevan v skladu z 92. členom Uredbe 575/2013/EU</w:t>
      </w:r>
      <w:r w:rsidR="00F1505C" w:rsidRPr="00215B2F">
        <w:rPr>
          <w:rFonts w:ascii="Arial" w:eastAsia="Arial" w:hAnsi="Arial" w:cs="Arial"/>
          <w:sz w:val="20"/>
          <w:szCs w:val="20"/>
        </w:rPr>
        <w:t>.</w:t>
      </w:r>
      <w:r w:rsidRPr="00215B2F">
        <w:rPr>
          <w:rFonts w:ascii="Arial" w:eastAsia="Arial" w:hAnsi="Arial" w:cs="Arial"/>
          <w:sz w:val="20"/>
          <w:szCs w:val="20"/>
        </w:rPr>
        <w:t xml:space="preserve"> </w:t>
      </w:r>
    </w:p>
    <w:p w14:paraId="690493D0"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3D62CB83" w14:textId="237A0B2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informacije iz prvega do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razkrije v obliki zbirnega podatka oziroma povzetka, iz katerega ni mogoče prepoznati posamezne banke oziroma druge posamezne osebe, na katero se informacije nanašajo.</w:t>
      </w:r>
    </w:p>
    <w:p w14:paraId="12262F31"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5DED3308"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46" w:name="_Ref202967830"/>
      <w:r w:rsidRPr="00215B2F">
        <w:rPr>
          <w:rFonts w:ascii="Arial" w:eastAsia="Arial" w:hAnsi="Arial" w:cs="Arial"/>
          <w:b/>
          <w:bCs/>
          <w:sz w:val="20"/>
          <w:szCs w:val="20"/>
        </w:rPr>
        <w:t>člen</w:t>
      </w:r>
      <w:bookmarkEnd w:id="446"/>
    </w:p>
    <w:p w14:paraId="70855155"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(javna objava informacij o izdanih dovoljenjih)</w:t>
      </w:r>
    </w:p>
    <w:p w14:paraId="458E134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68760B0" w14:textId="1346C7E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na svojih spletnih straneh javno objavi informacije o izdanih dovoljenjih za opravljanje storitev bank, dovoljenjih za kreditne družbe, odločbah o nasprotovanju za pridobitev kvalificiranega deleža ter o dovoljenjih za opravljanje funkcije člana uprave ali funkcije člana nadzornega sveta.</w:t>
      </w:r>
    </w:p>
    <w:p w14:paraId="77FA6065"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42953979" w14:textId="36F71D6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Informacije iz prejšnjega odstavka, ki se nanašajo na odločbo o nenasprotovanju za pridobitev kvalificiranega deleža, vključujejo: </w:t>
      </w:r>
    </w:p>
    <w:p w14:paraId="4BAFB68B"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5337FED1" w14:textId="4130D97B" w:rsidR="0039498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lastRenderedPageBreak/>
        <w:t xml:space="preserve">datum izdaje odločbe, </w:t>
      </w:r>
    </w:p>
    <w:p w14:paraId="34452E63" w14:textId="68F9790B" w:rsidR="00394981" w:rsidRPr="00215B2F" w:rsidRDefault="002F3273">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naziv </w:t>
      </w:r>
      <w:r w:rsidR="00D91782" w:rsidRPr="00215B2F">
        <w:rPr>
          <w:rFonts w:ascii="Arial" w:eastAsia="Arial" w:hAnsi="Arial" w:cs="Arial"/>
          <w:sz w:val="20"/>
          <w:szCs w:val="20"/>
        </w:rPr>
        <w:t>pravne osebe ali osebno ime fizične osebe, kater</w:t>
      </w:r>
      <w:r w:rsidR="00F1505C" w:rsidRPr="00215B2F">
        <w:rPr>
          <w:rFonts w:ascii="Arial" w:eastAsia="Arial" w:hAnsi="Arial" w:cs="Arial"/>
          <w:sz w:val="20"/>
          <w:szCs w:val="20"/>
        </w:rPr>
        <w:t>e</w:t>
      </w:r>
      <w:r w:rsidR="00D91782" w:rsidRPr="00215B2F">
        <w:rPr>
          <w:rFonts w:ascii="Arial" w:eastAsia="Arial" w:hAnsi="Arial" w:cs="Arial"/>
          <w:sz w:val="20"/>
          <w:szCs w:val="20"/>
        </w:rPr>
        <w:t xml:space="preserve"> pridobitv</w:t>
      </w:r>
      <w:r w:rsidR="00F1505C" w:rsidRPr="00215B2F">
        <w:rPr>
          <w:rFonts w:ascii="Arial" w:eastAsia="Arial" w:hAnsi="Arial" w:cs="Arial"/>
          <w:sz w:val="20"/>
          <w:szCs w:val="20"/>
        </w:rPr>
        <w:t>i</w:t>
      </w:r>
      <w:r w:rsidR="00D91782" w:rsidRPr="00215B2F">
        <w:rPr>
          <w:rFonts w:ascii="Arial" w:eastAsia="Arial" w:hAnsi="Arial" w:cs="Arial"/>
          <w:sz w:val="20"/>
          <w:szCs w:val="20"/>
        </w:rPr>
        <w:t xml:space="preserve"> kvalificiranega deleža se ne nasprotuje, </w:t>
      </w:r>
    </w:p>
    <w:p w14:paraId="1B769CFA" w14:textId="4458C718" w:rsidR="0039498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banko, v kateri je pridobila kvalificiran</w:t>
      </w:r>
      <w:r w:rsidR="00F1505C" w:rsidRPr="00215B2F">
        <w:rPr>
          <w:rFonts w:ascii="Arial" w:eastAsia="Arial" w:hAnsi="Arial" w:cs="Arial"/>
          <w:sz w:val="20"/>
          <w:szCs w:val="20"/>
        </w:rPr>
        <w:t>i</w:t>
      </w:r>
      <w:r w:rsidRPr="00215B2F">
        <w:rPr>
          <w:rFonts w:ascii="Arial" w:eastAsia="Arial" w:hAnsi="Arial" w:cs="Arial"/>
          <w:sz w:val="20"/>
          <w:szCs w:val="20"/>
        </w:rPr>
        <w:t xml:space="preserve"> delež, </w:t>
      </w:r>
    </w:p>
    <w:p w14:paraId="382FA865" w14:textId="2961D2A8"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delež oziroma razpon iz prvega odstavka </w:t>
      </w:r>
      <w:r w:rsidR="00BC4E51" w:rsidRPr="00215B2F">
        <w:rPr>
          <w:rFonts w:ascii="Arial" w:eastAsia="Arial" w:hAnsi="Arial" w:cs="Arial"/>
          <w:sz w:val="20"/>
          <w:szCs w:val="20"/>
        </w:rPr>
        <w:t>91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na katerega se nanaša odločba.</w:t>
      </w:r>
    </w:p>
    <w:p w14:paraId="143F51F5" w14:textId="77777777" w:rsidR="00FD58B1" w:rsidRPr="00215B2F" w:rsidRDefault="00FD58B1" w:rsidP="00FD5520">
      <w:pPr>
        <w:shd w:val="clear" w:color="auto" w:fill="FFFFFF" w:themeFill="background1"/>
        <w:spacing w:after="0" w:line="240" w:lineRule="auto"/>
        <w:jc w:val="both"/>
        <w:rPr>
          <w:rFonts w:ascii="Arial" w:eastAsia="Arial" w:hAnsi="Arial" w:cs="Arial"/>
          <w:sz w:val="20"/>
          <w:szCs w:val="20"/>
        </w:rPr>
      </w:pPr>
    </w:p>
    <w:p w14:paraId="175C062F" w14:textId="000A848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Ne glede na druge določbe tega zakona, ki določajo zaupnost informacij Banke Slovenije, Banka Slovenije na svojih spletnih straneh objavi izrek odločbe o zavrnitvi zahteve za izdajo dovoljenja za pridobitev kvalificiranega deleža s povzetkom razlogov za tako odločitev, če tako zahteva vložnik te zahteve.</w:t>
      </w:r>
    </w:p>
    <w:p w14:paraId="4065FB3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364158C"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47" w:name="_Ref202967837"/>
      <w:r w:rsidRPr="00215B2F">
        <w:rPr>
          <w:rFonts w:ascii="Arial" w:eastAsia="Arial" w:hAnsi="Arial" w:cs="Arial"/>
          <w:b/>
          <w:bCs/>
          <w:sz w:val="20"/>
          <w:szCs w:val="20"/>
        </w:rPr>
        <w:t>člen</w:t>
      </w:r>
      <w:bookmarkEnd w:id="447"/>
    </w:p>
    <w:p w14:paraId="539D6A18" w14:textId="77777777" w:rsidR="00D91782" w:rsidRPr="00215B2F" w:rsidRDefault="00D91782" w:rsidP="00FD5520">
      <w:pPr>
        <w:pStyle w:val="Slog1"/>
        <w:shd w:val="clear" w:color="auto" w:fill="FFFFFF" w:themeFill="background1"/>
        <w:rPr>
          <w:sz w:val="20"/>
          <w:szCs w:val="20"/>
        </w:rPr>
      </w:pPr>
      <w:r w:rsidRPr="00215B2F">
        <w:rPr>
          <w:sz w:val="20"/>
          <w:szCs w:val="20"/>
        </w:rPr>
        <w:t>(razkritje informacij o izrečenih ukrepih)</w:t>
      </w:r>
    </w:p>
    <w:p w14:paraId="58FC0D22" w14:textId="77777777" w:rsidR="00D91782" w:rsidRPr="00215B2F" w:rsidRDefault="00D91782" w:rsidP="00FD5520">
      <w:pPr>
        <w:pStyle w:val="Slog1"/>
        <w:shd w:val="clear" w:color="auto" w:fill="FFFFFF" w:themeFill="background1"/>
        <w:jc w:val="both"/>
        <w:rPr>
          <w:sz w:val="20"/>
          <w:szCs w:val="20"/>
        </w:rPr>
      </w:pPr>
    </w:p>
    <w:p w14:paraId="5890B933" w14:textId="13375A3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z namenom preprečevanja </w:t>
      </w:r>
      <w:r w:rsidR="00805CF8" w:rsidRPr="00215B2F">
        <w:rPr>
          <w:rFonts w:ascii="Arial" w:eastAsia="Arial" w:hAnsi="Arial" w:cs="Arial"/>
          <w:sz w:val="20"/>
          <w:szCs w:val="20"/>
        </w:rPr>
        <w:t>dejanj</w:t>
      </w:r>
      <w:r w:rsidRPr="00215B2F">
        <w:rPr>
          <w:rFonts w:ascii="Arial" w:eastAsia="Arial" w:hAnsi="Arial" w:cs="Arial"/>
          <w:sz w:val="20"/>
          <w:szCs w:val="20"/>
        </w:rPr>
        <w:t xml:space="preserve">, ki pomenijo kršitev tega zakona ali Uredbe 575/2013/EU, </w:t>
      </w:r>
      <w:r w:rsidR="00521A9C" w:rsidRPr="00215B2F">
        <w:rPr>
          <w:rFonts w:ascii="Arial" w:eastAsia="Arial" w:hAnsi="Arial" w:cs="Arial"/>
          <w:sz w:val="20"/>
          <w:szCs w:val="20"/>
        </w:rPr>
        <w:t xml:space="preserve">in odvračanja od takih dejanj </w:t>
      </w:r>
      <w:r w:rsidRPr="00215B2F">
        <w:rPr>
          <w:rFonts w:ascii="Arial" w:eastAsia="Arial" w:hAnsi="Arial" w:cs="Arial"/>
          <w:sz w:val="20"/>
          <w:szCs w:val="20"/>
        </w:rPr>
        <w:t xml:space="preserve">javno objavi informacije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 zvezi z ukrepi nadzora, administrativnimi ukrepi in sankcijami zaradi prekrška, ki jih je izrekla zaradi kršitev tega zakona ali Uredbe 575/2013/EU in </w:t>
      </w:r>
      <w:r w:rsidR="00521A9C" w:rsidRPr="00215B2F">
        <w:rPr>
          <w:rFonts w:ascii="Arial" w:eastAsia="Arial" w:hAnsi="Arial" w:cs="Arial"/>
          <w:sz w:val="20"/>
          <w:szCs w:val="20"/>
        </w:rPr>
        <w:t xml:space="preserve">glede katerih </w:t>
      </w:r>
      <w:r w:rsidRPr="00215B2F">
        <w:rPr>
          <w:rFonts w:ascii="Arial" w:eastAsia="Arial" w:hAnsi="Arial" w:cs="Arial"/>
          <w:sz w:val="20"/>
          <w:szCs w:val="20"/>
        </w:rPr>
        <w:t>je postopek z izdajo ukrepa ali sankcije dokončen.</w:t>
      </w:r>
    </w:p>
    <w:p w14:paraId="431DD04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9CC7CE6" w14:textId="721CB68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448" w:name="_Hlk202865673"/>
      <w:r w:rsidRPr="00215B2F">
        <w:rPr>
          <w:rFonts w:ascii="Arial" w:eastAsia="Arial" w:hAnsi="Arial" w:cs="Arial"/>
          <w:sz w:val="20"/>
          <w:szCs w:val="20"/>
        </w:rPr>
        <w:t xml:space="preserve">(2) Informacije iz prejšnjega odstavka </w:t>
      </w:r>
      <w:r w:rsidR="002F3273" w:rsidRPr="00215B2F">
        <w:rPr>
          <w:rFonts w:ascii="Arial" w:eastAsia="Arial" w:hAnsi="Arial" w:cs="Arial"/>
          <w:sz w:val="20"/>
          <w:szCs w:val="20"/>
        </w:rPr>
        <w:t xml:space="preserve">vključujejo </w:t>
      </w:r>
      <w:r w:rsidRPr="00215B2F">
        <w:rPr>
          <w:rFonts w:ascii="Arial" w:eastAsia="Arial" w:hAnsi="Arial" w:cs="Arial"/>
          <w:sz w:val="20"/>
          <w:szCs w:val="20"/>
        </w:rPr>
        <w:t>naslednje podatke:</w:t>
      </w:r>
    </w:p>
    <w:p w14:paraId="116E1AB5" w14:textId="3D4EE42A" w:rsidR="00D91782" w:rsidRPr="00215B2F" w:rsidRDefault="00D91782" w:rsidP="003D4DE0">
      <w:pPr>
        <w:pStyle w:val="tevilnatoka"/>
        <w:numPr>
          <w:ilvl w:val="0"/>
          <w:numId w:val="263"/>
        </w:numPr>
        <w:shd w:val="clear" w:color="auto" w:fill="FFFFFF" w:themeFill="background1"/>
        <w:tabs>
          <w:tab w:val="clear" w:pos="425"/>
        </w:tabs>
        <w:rPr>
          <w:rFonts w:cs="Arial"/>
          <w:bCs/>
          <w:sz w:val="20"/>
          <w:szCs w:val="20"/>
        </w:rPr>
      </w:pPr>
      <w:r w:rsidRPr="00215B2F">
        <w:rPr>
          <w:rFonts w:eastAsia="Arial" w:cs="Arial"/>
          <w:sz w:val="20"/>
          <w:szCs w:val="20"/>
        </w:rPr>
        <w:t>o kršitelju:</w:t>
      </w:r>
    </w:p>
    <w:p w14:paraId="39B21FFB" w14:textId="3F735505" w:rsidR="007F3A8C" w:rsidRPr="00215B2F" w:rsidRDefault="00C97429">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ime</w:t>
      </w:r>
      <w:r w:rsidR="00521A9C" w:rsidRPr="00215B2F">
        <w:rPr>
          <w:rFonts w:ascii="Arial" w:eastAsia="Arial" w:hAnsi="Arial" w:cs="Arial"/>
          <w:sz w:val="20"/>
          <w:szCs w:val="20"/>
        </w:rPr>
        <w:t xml:space="preserve"> </w:t>
      </w:r>
      <w:r w:rsidR="00D91782" w:rsidRPr="00215B2F">
        <w:rPr>
          <w:rFonts w:ascii="Arial" w:eastAsia="Arial" w:hAnsi="Arial" w:cs="Arial"/>
          <w:sz w:val="20"/>
          <w:szCs w:val="20"/>
        </w:rPr>
        <w:t>in sedež pravne osebe ali</w:t>
      </w:r>
    </w:p>
    <w:p w14:paraId="41A8ECEA" w14:textId="6B3F3696"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osebn</w:t>
      </w:r>
      <w:r w:rsidR="00C97429" w:rsidRPr="00215B2F">
        <w:rPr>
          <w:rFonts w:ascii="Arial" w:eastAsia="Arial" w:hAnsi="Arial" w:cs="Arial"/>
          <w:sz w:val="20"/>
          <w:szCs w:val="20"/>
        </w:rPr>
        <w:t>o</w:t>
      </w:r>
      <w:r w:rsidRPr="00215B2F">
        <w:rPr>
          <w:rFonts w:ascii="Arial" w:eastAsia="Arial" w:hAnsi="Arial" w:cs="Arial"/>
          <w:sz w:val="20"/>
          <w:szCs w:val="20"/>
        </w:rPr>
        <w:t xml:space="preserve"> ime fizične osebe;</w:t>
      </w:r>
    </w:p>
    <w:p w14:paraId="0895A80D" w14:textId="1D706395" w:rsidR="00D91782" w:rsidRPr="00215B2F" w:rsidRDefault="00D91782" w:rsidP="002946BA">
      <w:pPr>
        <w:pStyle w:val="tevilnatoka"/>
        <w:rPr>
          <w:rFonts w:cs="Arial"/>
          <w:bCs/>
          <w:sz w:val="20"/>
          <w:szCs w:val="20"/>
        </w:rPr>
      </w:pPr>
      <w:r w:rsidRPr="00215B2F">
        <w:rPr>
          <w:rFonts w:eastAsia="Arial" w:cs="Arial"/>
          <w:sz w:val="20"/>
          <w:szCs w:val="20"/>
        </w:rPr>
        <w:t>o kršitvi:</w:t>
      </w:r>
    </w:p>
    <w:p w14:paraId="3CCC8193" w14:textId="530F75E9"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opis okoliščin in ravnanj</w:t>
      </w:r>
      <w:r w:rsidR="00805CF8" w:rsidRPr="00215B2F">
        <w:rPr>
          <w:rFonts w:ascii="Arial" w:eastAsia="Arial" w:hAnsi="Arial" w:cs="Arial"/>
          <w:sz w:val="20"/>
          <w:szCs w:val="20"/>
        </w:rPr>
        <w:t>a</w:t>
      </w:r>
      <w:r w:rsidRPr="00215B2F">
        <w:rPr>
          <w:rFonts w:ascii="Arial" w:eastAsia="Arial" w:hAnsi="Arial" w:cs="Arial"/>
          <w:sz w:val="20"/>
          <w:szCs w:val="20"/>
        </w:rPr>
        <w:t>, ki pomenijo kršitev tega zakona ali Uredbe 575/2013/EU,</w:t>
      </w:r>
    </w:p>
    <w:p w14:paraId="2CD06081" w14:textId="731E0AFB"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narav</w:t>
      </w:r>
      <w:r w:rsidR="00C97429" w:rsidRPr="00215B2F">
        <w:rPr>
          <w:rFonts w:ascii="Arial" w:eastAsia="Arial" w:hAnsi="Arial" w:cs="Arial"/>
          <w:sz w:val="20"/>
          <w:szCs w:val="20"/>
        </w:rPr>
        <w:t>a</w:t>
      </w:r>
      <w:r w:rsidRPr="00215B2F">
        <w:rPr>
          <w:rFonts w:ascii="Arial" w:eastAsia="Arial" w:hAnsi="Arial" w:cs="Arial"/>
          <w:sz w:val="20"/>
          <w:szCs w:val="20"/>
        </w:rPr>
        <w:t xml:space="preserve"> ugotovljenih kršitev;</w:t>
      </w:r>
    </w:p>
    <w:p w14:paraId="51130928" w14:textId="31515BD1" w:rsidR="00D91782" w:rsidRPr="00215B2F" w:rsidRDefault="00D91782" w:rsidP="002946BA">
      <w:pPr>
        <w:pStyle w:val="tevilnatoka"/>
        <w:rPr>
          <w:rFonts w:cs="Arial"/>
          <w:bCs/>
          <w:sz w:val="20"/>
          <w:szCs w:val="20"/>
        </w:rPr>
      </w:pPr>
      <w:r w:rsidRPr="00215B2F">
        <w:rPr>
          <w:rFonts w:eastAsia="Arial" w:cs="Arial"/>
          <w:sz w:val="20"/>
          <w:szCs w:val="20"/>
        </w:rPr>
        <w:t>izrek odločbe, s katero se postopek konča;</w:t>
      </w:r>
    </w:p>
    <w:p w14:paraId="62532AA1" w14:textId="62982E00" w:rsidR="00D91782" w:rsidRPr="00215B2F" w:rsidRDefault="00D91782" w:rsidP="002946BA">
      <w:pPr>
        <w:pStyle w:val="tevilnatoka"/>
        <w:rPr>
          <w:rFonts w:cs="Arial"/>
          <w:bCs/>
          <w:sz w:val="20"/>
          <w:szCs w:val="20"/>
        </w:rPr>
      </w:pPr>
      <w:r w:rsidRPr="00215B2F">
        <w:rPr>
          <w:rFonts w:eastAsia="Arial" w:cs="Arial"/>
          <w:sz w:val="20"/>
          <w:szCs w:val="20"/>
        </w:rPr>
        <w:t>o tem, ali je zoper odločbo začet postopek sodnega varstva v skladu s tem zakonom.</w:t>
      </w:r>
    </w:p>
    <w:bookmarkEnd w:id="448"/>
    <w:p w14:paraId="2B97604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955F61C" w14:textId="478A1D1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V primeru objave informacij v zvezi z ukrepi nadzora Banka Slovenije objavi tudi informacijo o tem, ali so bile kršitve odpravljene.</w:t>
      </w:r>
    </w:p>
    <w:p w14:paraId="21CF7A5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F956A92" w14:textId="3D1DC59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Ne glede na prvi in drugi </w:t>
      </w:r>
      <w:r w:rsidR="00746E88" w:rsidRPr="00215B2F">
        <w:rPr>
          <w:rFonts w:ascii="Arial" w:eastAsia="Arial" w:hAnsi="Arial" w:cs="Arial"/>
          <w:sz w:val="20"/>
          <w:szCs w:val="20"/>
        </w:rPr>
        <w:t>odstavek tega člena</w:t>
      </w:r>
      <w:r w:rsidRPr="00215B2F">
        <w:rPr>
          <w:rFonts w:ascii="Arial" w:eastAsia="Arial" w:hAnsi="Arial" w:cs="Arial"/>
          <w:sz w:val="20"/>
          <w:szCs w:val="20"/>
        </w:rPr>
        <w:t xml:space="preserve"> lahko Banka Slovenije javno razkrije celotno odločbo ali povzetek odločbe o izrečenem ukrepu nadzora, administrativnem ukrepu ali sankciji zaradi prekrška, ki poleg informacij iz </w:t>
      </w:r>
      <w:r w:rsidR="00F175B7" w:rsidRPr="00215B2F">
        <w:rPr>
          <w:rFonts w:ascii="Arial" w:eastAsia="Arial" w:hAnsi="Arial" w:cs="Arial"/>
          <w:sz w:val="20"/>
          <w:szCs w:val="20"/>
        </w:rPr>
        <w:t xml:space="preserve">drugega </w:t>
      </w:r>
      <w:r w:rsidRPr="00215B2F">
        <w:rPr>
          <w:rFonts w:ascii="Arial" w:eastAsia="Arial" w:hAnsi="Arial" w:cs="Arial"/>
          <w:sz w:val="20"/>
          <w:szCs w:val="20"/>
        </w:rPr>
        <w:t xml:space="preserve">odstavka </w:t>
      </w:r>
      <w:r w:rsidR="002F3273" w:rsidRPr="00215B2F">
        <w:rPr>
          <w:rFonts w:ascii="Arial" w:eastAsia="Arial" w:hAnsi="Arial" w:cs="Arial"/>
          <w:sz w:val="20"/>
          <w:szCs w:val="20"/>
        </w:rPr>
        <w:t xml:space="preserve">vključuje </w:t>
      </w:r>
      <w:r w:rsidRPr="00215B2F">
        <w:rPr>
          <w:rFonts w:ascii="Arial" w:eastAsia="Arial" w:hAnsi="Arial" w:cs="Arial"/>
          <w:sz w:val="20"/>
          <w:szCs w:val="20"/>
        </w:rPr>
        <w:t>dodatne informacije v zvezi z ukrepi nadzora, administrativnimi ukrepi ali sankcijami zaradi prekrška, če presodi, da je to potrebno zaradi učinkovitega preprečevanja kršitev tega zakona ali Uredbe 575/2013/EU ali zagotavljanja ustreznega varstva deponentov.</w:t>
      </w:r>
    </w:p>
    <w:p w14:paraId="12262C6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D81F1DC" w14:textId="0201157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A615A0" w:rsidRPr="00215B2F">
        <w:rPr>
          <w:rFonts w:ascii="Arial" w:eastAsia="Arial" w:hAnsi="Arial" w:cs="Arial"/>
          <w:sz w:val="20"/>
          <w:szCs w:val="20"/>
        </w:rPr>
        <w:t>5</w:t>
      </w:r>
      <w:r w:rsidRPr="00215B2F">
        <w:rPr>
          <w:rFonts w:ascii="Arial" w:eastAsia="Arial" w:hAnsi="Arial" w:cs="Arial"/>
          <w:sz w:val="20"/>
          <w:szCs w:val="20"/>
        </w:rPr>
        <w:t xml:space="preserve">) Pri objavi informacij na podlagi drugega, tretjega ali četrtega odstavka </w:t>
      </w:r>
      <w:r w:rsidR="00B34312" w:rsidRPr="00215B2F">
        <w:rPr>
          <w:rFonts w:ascii="Arial" w:eastAsia="Arial" w:hAnsi="Arial" w:cs="Arial"/>
          <w:sz w:val="20"/>
          <w:szCs w:val="20"/>
        </w:rPr>
        <w:t xml:space="preserve">tega člena </w:t>
      </w:r>
      <w:r w:rsidRPr="00215B2F">
        <w:rPr>
          <w:rFonts w:ascii="Arial" w:eastAsia="Arial" w:hAnsi="Arial" w:cs="Arial"/>
          <w:sz w:val="20"/>
          <w:szCs w:val="20"/>
        </w:rPr>
        <w:t xml:space="preserve">Banka Slovenije ne sme razkriti osebnih in drugih zaupnih podatkov o stranki ali tretji osebi, razen informacij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Pred objavo odločbe ali povzetka odločbe Banka Slovenije pozove osebo, na katero se nanašajo podatki, da v določenem roku v odločbi ali povzetku odločbe označi podatke, ki jih šteje kot zaupne podatke, in p</w:t>
      </w:r>
      <w:r w:rsidR="00C97429" w:rsidRPr="00215B2F">
        <w:rPr>
          <w:rFonts w:ascii="Arial" w:eastAsia="Arial" w:hAnsi="Arial" w:cs="Arial"/>
          <w:sz w:val="20"/>
          <w:szCs w:val="20"/>
        </w:rPr>
        <w:t>redloži</w:t>
      </w:r>
      <w:r w:rsidRPr="00215B2F">
        <w:rPr>
          <w:rFonts w:ascii="Arial" w:eastAsia="Arial" w:hAnsi="Arial" w:cs="Arial"/>
          <w:sz w:val="20"/>
          <w:szCs w:val="20"/>
        </w:rPr>
        <w:t xml:space="preserve"> utemeljitev v zvezi z zaupnostjo teh podatkov.</w:t>
      </w:r>
    </w:p>
    <w:p w14:paraId="5D28769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45A4762" w14:textId="7266E3C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A615A0" w:rsidRPr="00215B2F">
        <w:rPr>
          <w:rFonts w:ascii="Arial" w:eastAsia="Arial" w:hAnsi="Arial" w:cs="Arial"/>
          <w:sz w:val="20"/>
          <w:szCs w:val="20"/>
        </w:rPr>
        <w:t>6</w:t>
      </w:r>
      <w:r w:rsidRPr="00215B2F">
        <w:rPr>
          <w:rFonts w:ascii="Arial" w:eastAsia="Arial" w:hAnsi="Arial" w:cs="Arial"/>
          <w:sz w:val="20"/>
          <w:szCs w:val="20"/>
        </w:rPr>
        <w:t xml:space="preserve">) Informacije iz drugega, tretjega in četrtega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se javno objavijo na spletni strani Banke Slovenije </w:t>
      </w:r>
      <w:r w:rsidR="00C97429" w:rsidRPr="00215B2F">
        <w:rPr>
          <w:rFonts w:ascii="Arial" w:eastAsia="Arial" w:hAnsi="Arial" w:cs="Arial"/>
          <w:sz w:val="20"/>
          <w:szCs w:val="20"/>
        </w:rPr>
        <w:t xml:space="preserve">ter </w:t>
      </w:r>
      <w:r w:rsidRPr="00215B2F">
        <w:rPr>
          <w:rFonts w:ascii="Arial" w:eastAsia="Arial" w:hAnsi="Arial" w:cs="Arial"/>
          <w:sz w:val="20"/>
          <w:szCs w:val="20"/>
        </w:rPr>
        <w:t>so na spletni strani dostopne najmanj pet let po objavi. Banka Slovenije informacije iz drugega</w:t>
      </w:r>
      <w:r w:rsidR="00C97429" w:rsidRPr="00215B2F">
        <w:rPr>
          <w:rFonts w:ascii="Arial" w:eastAsia="Arial" w:hAnsi="Arial" w:cs="Arial"/>
          <w:sz w:val="20"/>
          <w:szCs w:val="20"/>
        </w:rPr>
        <w:t>,</w:t>
      </w:r>
      <w:r w:rsidR="00D72C6E" w:rsidRPr="00215B2F">
        <w:rPr>
          <w:rFonts w:ascii="Arial" w:eastAsia="Arial" w:hAnsi="Arial" w:cs="Arial"/>
          <w:sz w:val="20"/>
          <w:szCs w:val="20"/>
        </w:rPr>
        <w:t xml:space="preserve"> </w:t>
      </w:r>
      <w:r w:rsidRPr="00215B2F">
        <w:rPr>
          <w:rFonts w:ascii="Arial" w:eastAsia="Arial" w:hAnsi="Arial" w:cs="Arial"/>
          <w:sz w:val="20"/>
          <w:szCs w:val="20"/>
        </w:rPr>
        <w:t>tretjega</w:t>
      </w:r>
      <w:r w:rsidR="00D72C6E" w:rsidRPr="00215B2F">
        <w:rPr>
          <w:rFonts w:ascii="Arial" w:eastAsia="Arial" w:hAnsi="Arial" w:cs="Arial"/>
          <w:sz w:val="20"/>
          <w:szCs w:val="20"/>
        </w:rPr>
        <w:t xml:space="preserve"> in četrtega</w:t>
      </w:r>
      <w:r w:rsidRPr="00215B2F">
        <w:rPr>
          <w:rFonts w:ascii="Arial" w:eastAsia="Arial" w:hAnsi="Arial" w:cs="Arial"/>
          <w:sz w:val="20"/>
          <w:szCs w:val="20"/>
        </w:rPr>
        <w:t xml:space="preserve">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po</w:t>
      </w:r>
      <w:r w:rsidR="00C97429" w:rsidRPr="00215B2F">
        <w:rPr>
          <w:rFonts w:ascii="Arial" w:eastAsia="Arial" w:hAnsi="Arial" w:cs="Arial"/>
          <w:sz w:val="20"/>
          <w:szCs w:val="20"/>
        </w:rPr>
        <w:t>šl</w:t>
      </w:r>
      <w:r w:rsidRPr="00215B2F">
        <w:rPr>
          <w:rFonts w:ascii="Arial" w:eastAsia="Arial" w:hAnsi="Arial" w:cs="Arial"/>
          <w:sz w:val="20"/>
          <w:szCs w:val="20"/>
        </w:rPr>
        <w:t>je Evropskemu bančnemu organu.</w:t>
      </w:r>
    </w:p>
    <w:p w14:paraId="4671743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9840DF8" w14:textId="00A9564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A615A0" w:rsidRPr="00215B2F">
        <w:rPr>
          <w:rFonts w:ascii="Arial" w:eastAsia="Arial" w:hAnsi="Arial" w:cs="Arial"/>
          <w:sz w:val="20"/>
          <w:szCs w:val="20"/>
        </w:rPr>
        <w:t>7</w:t>
      </w:r>
      <w:r w:rsidRPr="00215B2F">
        <w:rPr>
          <w:rFonts w:ascii="Arial" w:eastAsia="Arial" w:hAnsi="Arial" w:cs="Arial"/>
          <w:sz w:val="20"/>
          <w:szCs w:val="20"/>
        </w:rPr>
        <w:t xml:space="preserve">) Banka Slovenije informacije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in ob upoštevanju </w:t>
      </w:r>
      <w:r w:rsidR="00962F2A" w:rsidRPr="00215B2F">
        <w:rPr>
          <w:rFonts w:ascii="Arial" w:eastAsia="Arial" w:hAnsi="Arial" w:cs="Arial"/>
          <w:sz w:val="20"/>
          <w:szCs w:val="20"/>
        </w:rPr>
        <w:t>386</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predloži na evropsko enotno točko dostopa, vzpostavljeno na podlagi Uredbe 2023/2859/EU, v formatu, ki omogoča izvlečenje podatkov, kakor je opredeljen v 3. točki 2. člena Uredbe 2023/</w:t>
      </w:r>
      <w:r w:rsidR="00B34312" w:rsidRPr="00215B2F">
        <w:rPr>
          <w:rFonts w:ascii="Arial" w:eastAsia="Arial" w:hAnsi="Arial" w:cs="Arial"/>
          <w:sz w:val="20"/>
          <w:szCs w:val="20"/>
        </w:rPr>
        <w:t>2859/</w:t>
      </w:r>
      <w:r w:rsidRPr="00215B2F">
        <w:rPr>
          <w:rFonts w:ascii="Arial" w:eastAsia="Arial" w:hAnsi="Arial" w:cs="Arial"/>
          <w:sz w:val="20"/>
          <w:szCs w:val="20"/>
        </w:rPr>
        <w:t>EU, in z metapodatki, ki vključujejo:</w:t>
      </w:r>
    </w:p>
    <w:p w14:paraId="2A18881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9DFB701" w14:textId="77777777" w:rsidR="0039498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vsa imena fizične osebe ali institucije, na katero se informacije nanašajo; </w:t>
      </w:r>
    </w:p>
    <w:p w14:paraId="1EA17637" w14:textId="703DD5E9" w:rsidR="0039498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kadar je na voljo, identifikator pravnih subjektov institucije, k</w:t>
      </w:r>
      <w:r w:rsidR="006B0B0E" w:rsidRPr="00215B2F">
        <w:rPr>
          <w:rFonts w:ascii="Arial" w:eastAsia="Arial" w:hAnsi="Arial" w:cs="Arial"/>
          <w:sz w:val="20"/>
          <w:szCs w:val="20"/>
        </w:rPr>
        <w:t>akor</w:t>
      </w:r>
      <w:r w:rsidRPr="00215B2F">
        <w:rPr>
          <w:rFonts w:ascii="Arial" w:eastAsia="Arial" w:hAnsi="Arial" w:cs="Arial"/>
          <w:sz w:val="20"/>
          <w:szCs w:val="20"/>
        </w:rPr>
        <w:t xml:space="preserve"> je določen na podlagi točke (b) četrtega odstavka 7. člena Uredbe 2023/2859/EU; </w:t>
      </w:r>
    </w:p>
    <w:p w14:paraId="6EC041F2" w14:textId="77777777" w:rsidR="0039498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vrsto informacij glede na razvrstitev na podlagi točke (c) četrtega odstavka 7. člena Uredbe 2023/2859/EU; </w:t>
      </w:r>
    </w:p>
    <w:p w14:paraId="2EF99BAE" w14:textId="7851A1FC"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lastRenderedPageBreak/>
        <w:t>oznako, iz katere je razvidno, ali te informacije vsebujejo osebne podatke.</w:t>
      </w:r>
    </w:p>
    <w:p w14:paraId="38D6213A" w14:textId="77777777" w:rsidR="00D91782" w:rsidRPr="00215B2F" w:rsidRDefault="00D91782" w:rsidP="00FD5520">
      <w:pPr>
        <w:pStyle w:val="Slog1"/>
        <w:shd w:val="clear" w:color="auto" w:fill="FFFFFF" w:themeFill="background1"/>
        <w:jc w:val="both"/>
        <w:rPr>
          <w:sz w:val="20"/>
          <w:szCs w:val="20"/>
        </w:rPr>
      </w:pPr>
    </w:p>
    <w:p w14:paraId="09C57EB2"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49" w:name="_Ref202967867"/>
      <w:r w:rsidRPr="00215B2F">
        <w:rPr>
          <w:rFonts w:ascii="Arial" w:eastAsia="Arial" w:hAnsi="Arial" w:cs="Arial"/>
          <w:b/>
          <w:bCs/>
          <w:sz w:val="20"/>
          <w:szCs w:val="20"/>
        </w:rPr>
        <w:t>člen</w:t>
      </w:r>
      <w:bookmarkEnd w:id="449"/>
    </w:p>
    <w:p w14:paraId="4F456743" w14:textId="77777777" w:rsidR="00D91782" w:rsidRPr="00215B2F" w:rsidRDefault="00D91782" w:rsidP="00FD5520">
      <w:pPr>
        <w:pStyle w:val="Slog1"/>
        <w:shd w:val="clear" w:color="auto" w:fill="FFFFFF" w:themeFill="background1"/>
        <w:rPr>
          <w:sz w:val="20"/>
          <w:szCs w:val="20"/>
        </w:rPr>
      </w:pPr>
      <w:r w:rsidRPr="00215B2F">
        <w:rPr>
          <w:sz w:val="20"/>
          <w:szCs w:val="20"/>
        </w:rPr>
        <w:t>(razkritje identitete kršitelja)</w:t>
      </w:r>
    </w:p>
    <w:p w14:paraId="3497625D" w14:textId="77777777" w:rsidR="00D91782" w:rsidRPr="00215B2F" w:rsidRDefault="00D91782" w:rsidP="00FD5520">
      <w:pPr>
        <w:pStyle w:val="Slog1"/>
        <w:shd w:val="clear" w:color="auto" w:fill="FFFFFF" w:themeFill="background1"/>
        <w:jc w:val="both"/>
        <w:rPr>
          <w:sz w:val="20"/>
          <w:szCs w:val="20"/>
        </w:rPr>
      </w:pPr>
    </w:p>
    <w:p w14:paraId="2EA54847" w14:textId="24EE812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450" w:name="_Hlk203645490"/>
      <w:r w:rsidRPr="00215B2F">
        <w:rPr>
          <w:rFonts w:ascii="Arial" w:eastAsia="Arial" w:hAnsi="Arial" w:cs="Arial"/>
          <w:sz w:val="20"/>
          <w:szCs w:val="20"/>
        </w:rPr>
        <w:t xml:space="preserve">(1) Ne glede na prvi in drugi </w:t>
      </w:r>
      <w:r w:rsidR="00746E88" w:rsidRPr="00215B2F">
        <w:rPr>
          <w:rFonts w:ascii="Arial" w:eastAsia="Arial" w:hAnsi="Arial" w:cs="Arial"/>
          <w:sz w:val="20"/>
          <w:szCs w:val="20"/>
        </w:rPr>
        <w:t>odstavek prejšnjega člena</w:t>
      </w:r>
      <w:r w:rsidRPr="00215B2F">
        <w:rPr>
          <w:rFonts w:ascii="Arial" w:eastAsia="Arial" w:hAnsi="Arial" w:cs="Arial"/>
          <w:sz w:val="20"/>
          <w:szCs w:val="20"/>
        </w:rPr>
        <w:t xml:space="preserve"> Banka Slovenije po uradni dolžnosti ali na predlog kršitelja odloči, da se informacije o identiteti kršitelja ne objavijo, če:</w:t>
      </w:r>
    </w:p>
    <w:p w14:paraId="15D2920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631896E" w14:textId="77777777" w:rsidR="001011F5" w:rsidRPr="00215B2F" w:rsidRDefault="00D91782" w:rsidP="003D4DE0">
      <w:pPr>
        <w:pStyle w:val="tevilnatoka"/>
        <w:numPr>
          <w:ilvl w:val="0"/>
          <w:numId w:val="264"/>
        </w:numPr>
        <w:shd w:val="clear" w:color="auto" w:fill="FFFFFF" w:themeFill="background1"/>
        <w:tabs>
          <w:tab w:val="clear" w:pos="425"/>
        </w:tabs>
        <w:rPr>
          <w:rFonts w:eastAsia="Arial" w:cs="Arial"/>
          <w:bCs/>
          <w:sz w:val="20"/>
          <w:szCs w:val="20"/>
        </w:rPr>
      </w:pPr>
      <w:bookmarkStart w:id="451" w:name="_Hlk202865688"/>
      <w:r w:rsidRPr="00215B2F">
        <w:rPr>
          <w:rFonts w:eastAsia="Arial" w:cs="Arial"/>
          <w:sz w:val="20"/>
          <w:szCs w:val="20"/>
        </w:rPr>
        <w:t>se ukrep nadzora ali sankcija zaradi prekrška izreče fizični osebi in objava osebnih podatkov o kršitelju ni sorazmerna s težo kršitve ali</w:t>
      </w:r>
    </w:p>
    <w:p w14:paraId="560768BA" w14:textId="77777777" w:rsidR="001011F5" w:rsidRPr="00215B2F" w:rsidRDefault="00D91782" w:rsidP="003D4DE0">
      <w:pPr>
        <w:pStyle w:val="tevilnatoka"/>
        <w:numPr>
          <w:ilvl w:val="0"/>
          <w:numId w:val="264"/>
        </w:numPr>
        <w:shd w:val="clear" w:color="auto" w:fill="FFFFFF" w:themeFill="background1"/>
        <w:tabs>
          <w:tab w:val="clear" w:pos="425"/>
        </w:tabs>
        <w:rPr>
          <w:rFonts w:eastAsia="Arial" w:cs="Arial"/>
          <w:bCs/>
          <w:sz w:val="20"/>
          <w:szCs w:val="20"/>
        </w:rPr>
      </w:pPr>
      <w:r w:rsidRPr="00215B2F">
        <w:rPr>
          <w:rFonts w:eastAsia="Arial" w:cs="Arial"/>
          <w:sz w:val="20"/>
          <w:szCs w:val="20"/>
        </w:rPr>
        <w:t>bi objava informacij o identiteti kršitelja ogrozila stabilnost finančnih trgov ali izvedbo kazenske preiskave ali</w:t>
      </w:r>
    </w:p>
    <w:p w14:paraId="111CF2A5" w14:textId="0DECF1DD" w:rsidR="00D91782" w:rsidRPr="00215B2F" w:rsidRDefault="00D91782" w:rsidP="003D4DE0">
      <w:pPr>
        <w:pStyle w:val="tevilnatoka"/>
        <w:numPr>
          <w:ilvl w:val="0"/>
          <w:numId w:val="264"/>
        </w:numPr>
        <w:shd w:val="clear" w:color="auto" w:fill="FFFFFF" w:themeFill="background1"/>
        <w:tabs>
          <w:tab w:val="clear" w:pos="425"/>
        </w:tabs>
        <w:rPr>
          <w:rFonts w:eastAsia="Arial" w:cs="Arial"/>
          <w:bCs/>
          <w:sz w:val="20"/>
          <w:szCs w:val="20"/>
        </w:rPr>
      </w:pPr>
      <w:r w:rsidRPr="00215B2F">
        <w:rPr>
          <w:rFonts w:eastAsia="Arial" w:cs="Arial"/>
          <w:sz w:val="20"/>
          <w:szCs w:val="20"/>
        </w:rPr>
        <w:t>bi z objavo vpletenim osebam verjetno nastala nesorazmerna škoda.</w:t>
      </w:r>
    </w:p>
    <w:bookmarkEnd w:id="451"/>
    <w:p w14:paraId="1E954B4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075CA7E" w14:textId="39DD629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Kadar je kršitelju pred izdajo odločbe o ukrepu nadzora, administrativnem ukrepu ali sankciji zaradi prekrška zagotovljena pravica do izjave, Banka Slovenije v pozivu k izjavi kršitelja opozori, da bodo informacije o izrečenih ukrepih nadzora, administrativnih ukrepih in sankcijah zaradi prekrška ter o kršitelju javno objavljene na spletni strani Banke Slovenije v skladu s prejšnjim členom, in ga pouči, da mora v primeru obstoja razlogov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te razloge navesti v izjavi in predložiti ustrezne dokaze.</w:t>
      </w:r>
    </w:p>
    <w:p w14:paraId="21E62C9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649C7D8" w14:textId="7D1BE66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Kadar je kršitelju ukrep nadzora izrečen z odredbo, Banka Slovenije v odredbi kršitelja opozori, da bodo informacije o izrečenih ukrepih nadzora in administrativnih ukrepih ter o kršitelju javno objavljene na spletni strani Banke Slovenije v skladu s prejšnjim členom</w:t>
      </w:r>
      <w:r w:rsidR="00735D2D" w:rsidRPr="00215B2F">
        <w:rPr>
          <w:rFonts w:ascii="Arial" w:eastAsia="Arial" w:hAnsi="Arial" w:cs="Arial"/>
          <w:sz w:val="20"/>
          <w:szCs w:val="20"/>
        </w:rPr>
        <w:t>,</w:t>
      </w:r>
      <w:r w:rsidRPr="00215B2F">
        <w:rPr>
          <w:rFonts w:ascii="Arial" w:eastAsia="Arial" w:hAnsi="Arial" w:cs="Arial"/>
          <w:sz w:val="20"/>
          <w:szCs w:val="20"/>
        </w:rPr>
        <w:t xml:space="preserve"> in ga pouči, da mora v primeru obstoja razlogov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te razloge navesti v ugovoru (ugovor zoper objavo), ki se vloži v roku, ki je v skladu s tem zakonom določen za vložitev pravnega sredstva zoper odredbo. Banka Slovenije o ugovoru zoper objavo odloči z odločbo.</w:t>
      </w:r>
    </w:p>
    <w:p w14:paraId="2784704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ED42039" w14:textId="00FA963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Ugovor zoper objavo zadrži objavo do izdaje odločbe o ugovoru. Če </w:t>
      </w:r>
      <w:r w:rsidR="00735D2D" w:rsidRPr="00215B2F">
        <w:rPr>
          <w:rFonts w:ascii="Arial" w:eastAsia="Arial" w:hAnsi="Arial" w:cs="Arial"/>
          <w:sz w:val="20"/>
          <w:szCs w:val="20"/>
        </w:rPr>
        <w:t xml:space="preserve">sta </w:t>
      </w:r>
      <w:r w:rsidRPr="00215B2F">
        <w:rPr>
          <w:rFonts w:ascii="Arial" w:eastAsia="Arial" w:hAnsi="Arial" w:cs="Arial"/>
          <w:sz w:val="20"/>
          <w:szCs w:val="20"/>
        </w:rPr>
        <w:t>narava in pomen v odredbi ugotovljenih kršitev</w:t>
      </w:r>
      <w:r w:rsidR="00735D2D" w:rsidRPr="00215B2F">
        <w:rPr>
          <w:rFonts w:ascii="Arial" w:eastAsia="Arial" w:hAnsi="Arial" w:cs="Arial"/>
          <w:sz w:val="20"/>
          <w:szCs w:val="20"/>
        </w:rPr>
        <w:t xml:space="preserve"> taka</w:t>
      </w:r>
      <w:r w:rsidRPr="00215B2F">
        <w:rPr>
          <w:rFonts w:ascii="Arial" w:eastAsia="Arial" w:hAnsi="Arial" w:cs="Arial"/>
          <w:sz w:val="20"/>
          <w:szCs w:val="20"/>
        </w:rPr>
        <w:t>, da je takojšna objava pomembna za varno in skrbno upravljanje banke, lahko Banka Slovenije v odredbi odloči, da ugovor zoper objavo ne zadrži objave.</w:t>
      </w:r>
    </w:p>
    <w:p w14:paraId="4AE4E8A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ABEF0A4" w14:textId="286115C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Ugovor zoper objavo ne vpliva na tek roka za odpravo kršitev iz odredbe.</w:t>
      </w:r>
    </w:p>
    <w:p w14:paraId="0FC3BF7A"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1A229B79" w14:textId="5DF15E8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Pri odločanju o ugovoru zoper objavo se smiselno uporabljajo določbe tega zakona o ugovoru zoper odredbo, če ni v tem členu določeno drugače.</w:t>
      </w:r>
    </w:p>
    <w:p w14:paraId="3CB326E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FE863BB" w14:textId="4BAC5D1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Če Banka Slovenije oceni, da so v zvezi z objavo identitete kršitelja podani razlogi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v odredbi ali odločbi, s katero izreče ukrepe nadzora, administrativni ukrep ali sankcij</w:t>
      </w:r>
      <w:r w:rsidR="00735D2D" w:rsidRPr="00215B2F">
        <w:rPr>
          <w:rFonts w:ascii="Arial" w:eastAsia="Arial" w:hAnsi="Arial" w:cs="Arial"/>
          <w:sz w:val="20"/>
          <w:szCs w:val="20"/>
        </w:rPr>
        <w:t>o</w:t>
      </w:r>
      <w:r w:rsidRPr="00215B2F">
        <w:rPr>
          <w:rFonts w:ascii="Arial" w:eastAsia="Arial" w:hAnsi="Arial" w:cs="Arial"/>
          <w:sz w:val="20"/>
          <w:szCs w:val="20"/>
        </w:rPr>
        <w:t xml:space="preserve"> zaradi prekrška</w:t>
      </w:r>
      <w:r w:rsidR="00735D2D" w:rsidRPr="00215B2F">
        <w:rPr>
          <w:rFonts w:ascii="Arial" w:eastAsia="Arial" w:hAnsi="Arial" w:cs="Arial"/>
          <w:sz w:val="20"/>
          <w:szCs w:val="20"/>
        </w:rPr>
        <w:t>,</w:t>
      </w:r>
      <w:r w:rsidRPr="00215B2F">
        <w:rPr>
          <w:rFonts w:ascii="Arial" w:eastAsia="Arial" w:hAnsi="Arial" w:cs="Arial"/>
          <w:sz w:val="20"/>
          <w:szCs w:val="20"/>
        </w:rPr>
        <w:t xml:space="preserve"> oziroma v odločbi o ugovoru odloči:</w:t>
      </w:r>
    </w:p>
    <w:p w14:paraId="5146C16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E65CD65" w14:textId="77777777" w:rsidR="001F007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da se identiteta kršitelja ne objavi, </w:t>
      </w:r>
    </w:p>
    <w:p w14:paraId="37BB4A09" w14:textId="2E7D0A53" w:rsidR="001F007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da se objava identitete kršitelja začasno zadrži</w:t>
      </w:r>
      <w:r w:rsidR="00735D2D" w:rsidRPr="00215B2F">
        <w:rPr>
          <w:rFonts w:ascii="Arial" w:eastAsia="Arial" w:hAnsi="Arial" w:cs="Arial"/>
          <w:sz w:val="20"/>
          <w:szCs w:val="20"/>
        </w:rPr>
        <w:t>,</w:t>
      </w:r>
      <w:r w:rsidRPr="00215B2F">
        <w:rPr>
          <w:rFonts w:ascii="Arial" w:eastAsia="Arial" w:hAnsi="Arial" w:cs="Arial"/>
          <w:sz w:val="20"/>
          <w:szCs w:val="20"/>
        </w:rPr>
        <w:t xml:space="preserve"> </w:t>
      </w:r>
      <w:r w:rsidR="00735D2D" w:rsidRPr="00215B2F">
        <w:rPr>
          <w:rFonts w:ascii="Arial" w:eastAsia="Arial" w:hAnsi="Arial" w:cs="Arial"/>
          <w:sz w:val="20"/>
          <w:szCs w:val="20"/>
        </w:rPr>
        <w:t xml:space="preserve">in ob tem </w:t>
      </w:r>
      <w:r w:rsidRPr="00215B2F">
        <w:rPr>
          <w:rFonts w:ascii="Arial" w:eastAsia="Arial" w:hAnsi="Arial" w:cs="Arial"/>
          <w:sz w:val="20"/>
          <w:szCs w:val="20"/>
        </w:rPr>
        <w:t xml:space="preserve">navede rok za zadržanje objave, če bodo razlogi za zadržanje objave v tem obdobju verjetno prenehali obstajati, </w:t>
      </w:r>
    </w:p>
    <w:p w14:paraId="6596D3AD" w14:textId="74F1855E"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da se začasno zadrži objava vseh informacij iz drugega odstavka</w:t>
      </w:r>
      <w:r w:rsidR="00B34312" w:rsidRPr="00215B2F">
        <w:rPr>
          <w:rFonts w:ascii="Arial" w:eastAsia="Arial" w:hAnsi="Arial" w:cs="Arial"/>
          <w:sz w:val="20"/>
          <w:szCs w:val="20"/>
        </w:rPr>
        <w:t xml:space="preserve"> 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člena</w:t>
      </w:r>
      <w:r w:rsidRPr="00215B2F">
        <w:rPr>
          <w:rFonts w:ascii="Arial" w:eastAsia="Arial" w:hAnsi="Arial" w:cs="Arial"/>
          <w:sz w:val="20"/>
          <w:szCs w:val="20"/>
        </w:rPr>
        <w:t>.</w:t>
      </w:r>
    </w:p>
    <w:p w14:paraId="66438C2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865B5F9" w14:textId="0E01D9C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(8) Zoper odločbo, s katero Banka Slovenije zavrne predlog kršitelja, da se njegova identiteta ne objavi ali da se objava identitete kršitelja začasno zadrži</w:t>
      </w:r>
      <w:r w:rsidR="00735D2D" w:rsidRPr="00215B2F">
        <w:rPr>
          <w:rFonts w:ascii="Arial" w:eastAsia="Arial" w:hAnsi="Arial" w:cs="Arial"/>
          <w:sz w:val="20"/>
          <w:szCs w:val="20"/>
        </w:rPr>
        <w:t>,</w:t>
      </w:r>
      <w:r w:rsidRPr="00215B2F">
        <w:rPr>
          <w:rFonts w:ascii="Arial" w:eastAsia="Arial" w:hAnsi="Arial" w:cs="Arial"/>
          <w:sz w:val="20"/>
          <w:szCs w:val="20"/>
        </w:rPr>
        <w:t xml:space="preserve"> ali zoper odločbo o ugovoru zoper objavo lahko kršitelj začne postopek sodnega varstva pod pogoji, določenimi v tem zakonu.</w:t>
      </w:r>
    </w:p>
    <w:p w14:paraId="0102F59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9936290" w14:textId="780CC05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(9) Ne glede na </w:t>
      </w:r>
      <w:r w:rsidR="00A615A0" w:rsidRPr="00215B2F">
        <w:rPr>
          <w:rFonts w:ascii="Arial" w:eastAsia="Arial" w:hAnsi="Arial" w:cs="Arial"/>
          <w:sz w:val="20"/>
          <w:szCs w:val="20"/>
        </w:rPr>
        <w:t>šesti</w:t>
      </w:r>
      <w:r w:rsidRPr="00215B2F">
        <w:rPr>
          <w:rFonts w:ascii="Arial" w:eastAsia="Arial" w:hAnsi="Arial" w:cs="Arial"/>
          <w:sz w:val="20"/>
          <w:szCs w:val="20"/>
        </w:rPr>
        <w:t xml:space="preserve"> </w:t>
      </w:r>
      <w:r w:rsidR="00746E88" w:rsidRPr="00215B2F">
        <w:rPr>
          <w:rFonts w:ascii="Arial" w:eastAsia="Arial" w:hAnsi="Arial" w:cs="Arial"/>
          <w:sz w:val="20"/>
          <w:szCs w:val="20"/>
        </w:rPr>
        <w:t>odstavek prejšnjega člena</w:t>
      </w:r>
      <w:r w:rsidRPr="00215B2F">
        <w:rPr>
          <w:rFonts w:ascii="Arial" w:eastAsia="Arial" w:hAnsi="Arial" w:cs="Arial"/>
          <w:sz w:val="20"/>
          <w:szCs w:val="20"/>
        </w:rPr>
        <w:t xml:space="preserve"> lahko Banka Slovenije na podlagi zahteve kršitelja, ki je fizična oseba, odloči, da se informacije o identiteti kršitelja po objavi na spletni strani Banke Slovenije umaknejo pred </w:t>
      </w:r>
      <w:r w:rsidR="00735D2D" w:rsidRPr="00215B2F">
        <w:rPr>
          <w:rFonts w:ascii="Arial" w:eastAsia="Arial" w:hAnsi="Arial" w:cs="Arial"/>
          <w:sz w:val="20"/>
          <w:szCs w:val="20"/>
        </w:rPr>
        <w:t>iz</w:t>
      </w:r>
      <w:r w:rsidRPr="00215B2F">
        <w:rPr>
          <w:rFonts w:ascii="Arial" w:eastAsia="Arial" w:hAnsi="Arial" w:cs="Arial"/>
          <w:sz w:val="20"/>
          <w:szCs w:val="20"/>
        </w:rPr>
        <w:t xml:space="preserve">tekom petih let. Za zahtevo kršitelja se uporabljajo določbe tega člena o ugovoru iz tretjega do </w:t>
      </w:r>
      <w:r w:rsidR="00545F4E" w:rsidRPr="00215B2F">
        <w:rPr>
          <w:rFonts w:ascii="Arial" w:eastAsia="Arial" w:hAnsi="Arial" w:cs="Arial"/>
          <w:sz w:val="20"/>
          <w:szCs w:val="20"/>
        </w:rPr>
        <w:t xml:space="preserve">osmega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bookmarkEnd w:id="450"/>
    <w:p w14:paraId="5639129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68A2B53" w14:textId="1A4AE41C" w:rsidR="00D91782" w:rsidRPr="00215B2F" w:rsidRDefault="00684002" w:rsidP="00FD5520">
      <w:pPr>
        <w:shd w:val="clear" w:color="auto" w:fill="FFFFFF" w:themeFill="background1"/>
        <w:spacing w:after="0" w:line="240" w:lineRule="auto"/>
        <w:jc w:val="center"/>
        <w:rPr>
          <w:rFonts w:ascii="Arial" w:eastAsia="Arial" w:hAnsi="Arial" w:cs="Arial"/>
          <w:sz w:val="20"/>
          <w:szCs w:val="20"/>
        </w:rPr>
      </w:pPr>
      <w:r w:rsidRPr="00215B2F">
        <w:rPr>
          <w:rFonts w:ascii="Arial" w:eastAsia="Arial" w:hAnsi="Arial" w:cs="Arial"/>
          <w:sz w:val="20"/>
          <w:szCs w:val="20"/>
        </w:rPr>
        <w:t>11</w:t>
      </w:r>
      <w:r w:rsidR="00D91782" w:rsidRPr="00215B2F">
        <w:rPr>
          <w:rFonts w:ascii="Arial" w:eastAsia="Arial" w:hAnsi="Arial" w:cs="Arial"/>
          <w:sz w:val="20"/>
          <w:szCs w:val="20"/>
        </w:rPr>
        <w:t xml:space="preserve">. POGLAVJE: </w:t>
      </w:r>
      <w:r w:rsidR="00D91782" w:rsidRPr="00215B2F">
        <w:rPr>
          <w:rFonts w:ascii="Arial" w:eastAsia="Arial" w:hAnsi="Arial" w:cs="Arial"/>
          <w:sz w:val="20"/>
          <w:szCs w:val="20"/>
        </w:rPr>
        <w:br/>
        <w:t xml:space="preserve">ADMINISTRATIVNI UKREPI </w:t>
      </w:r>
      <w:r w:rsidR="00735D2D" w:rsidRPr="00215B2F">
        <w:rPr>
          <w:rFonts w:ascii="Arial" w:eastAsia="Arial" w:hAnsi="Arial" w:cs="Arial"/>
          <w:sz w:val="20"/>
          <w:szCs w:val="20"/>
        </w:rPr>
        <w:t xml:space="preserve">– </w:t>
      </w:r>
      <w:r w:rsidR="00D91782" w:rsidRPr="00215B2F">
        <w:rPr>
          <w:rFonts w:ascii="Arial" w:eastAsia="Arial" w:hAnsi="Arial" w:cs="Arial"/>
          <w:sz w:val="20"/>
          <w:szCs w:val="20"/>
        </w:rPr>
        <w:t>PERIODIČNE DENARNE KAZNI IN ADMINISTR</w:t>
      </w:r>
      <w:r w:rsidR="00735D2D" w:rsidRPr="00215B2F">
        <w:rPr>
          <w:rFonts w:ascii="Arial" w:eastAsia="Arial" w:hAnsi="Arial" w:cs="Arial"/>
          <w:sz w:val="20"/>
          <w:szCs w:val="20"/>
        </w:rPr>
        <w:t>A</w:t>
      </w:r>
      <w:r w:rsidR="00D91782" w:rsidRPr="00215B2F">
        <w:rPr>
          <w:rFonts w:ascii="Arial" w:eastAsia="Arial" w:hAnsi="Arial" w:cs="Arial"/>
          <w:sz w:val="20"/>
          <w:szCs w:val="20"/>
        </w:rPr>
        <w:t>T</w:t>
      </w:r>
      <w:r w:rsidR="00735D2D" w:rsidRPr="00215B2F">
        <w:rPr>
          <w:rFonts w:ascii="Arial" w:eastAsia="Arial" w:hAnsi="Arial" w:cs="Arial"/>
          <w:sz w:val="20"/>
          <w:szCs w:val="20"/>
        </w:rPr>
        <w:t>I</w:t>
      </w:r>
      <w:r w:rsidR="00D91782" w:rsidRPr="00215B2F">
        <w:rPr>
          <w:rFonts w:ascii="Arial" w:eastAsia="Arial" w:hAnsi="Arial" w:cs="Arial"/>
          <w:sz w:val="20"/>
          <w:szCs w:val="20"/>
        </w:rPr>
        <w:t>VNE SANKCIJE</w:t>
      </w:r>
    </w:p>
    <w:p w14:paraId="5DAD0982"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252B1D1" w14:textId="461DC87C" w:rsidR="00D91782" w:rsidRPr="00215B2F" w:rsidRDefault="0068400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11</w:t>
      </w:r>
      <w:r w:rsidR="00D91782" w:rsidRPr="00215B2F">
        <w:rPr>
          <w:rFonts w:ascii="Arial" w:eastAsia="Arial" w:hAnsi="Arial" w:cs="Arial"/>
          <w:b/>
          <w:bCs/>
          <w:sz w:val="20"/>
          <w:szCs w:val="20"/>
        </w:rPr>
        <w:t>.1 SPLOŠNE DOLOČBE</w:t>
      </w:r>
    </w:p>
    <w:p w14:paraId="497C86DA"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494E3090"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52" w:name="_Ref202967891"/>
      <w:r w:rsidRPr="00215B2F">
        <w:rPr>
          <w:rFonts w:ascii="Arial" w:eastAsia="Arial" w:hAnsi="Arial" w:cs="Arial"/>
          <w:b/>
          <w:bCs/>
          <w:sz w:val="20"/>
          <w:szCs w:val="20"/>
        </w:rPr>
        <w:lastRenderedPageBreak/>
        <w:t>člen</w:t>
      </w:r>
      <w:bookmarkEnd w:id="452"/>
    </w:p>
    <w:p w14:paraId="298B9D8D" w14:textId="77777777" w:rsidR="00D91782" w:rsidRPr="00215B2F" w:rsidRDefault="00D91782" w:rsidP="00FD5520">
      <w:pPr>
        <w:pStyle w:val="Slog1"/>
        <w:shd w:val="clear" w:color="auto" w:fill="FFFFFF" w:themeFill="background1"/>
        <w:rPr>
          <w:sz w:val="20"/>
          <w:szCs w:val="20"/>
        </w:rPr>
      </w:pPr>
      <w:r w:rsidRPr="00215B2F">
        <w:rPr>
          <w:sz w:val="20"/>
          <w:szCs w:val="20"/>
        </w:rPr>
        <w:t>(pooblastila Banke Slovenije)</w:t>
      </w:r>
    </w:p>
    <w:p w14:paraId="6C27EC15" w14:textId="77777777" w:rsidR="00D91782" w:rsidRPr="00215B2F" w:rsidRDefault="00D91782" w:rsidP="00FD5520">
      <w:pPr>
        <w:pStyle w:val="Slog1"/>
        <w:shd w:val="clear" w:color="auto" w:fill="FFFFFF" w:themeFill="background1"/>
        <w:jc w:val="both"/>
        <w:rPr>
          <w:sz w:val="20"/>
          <w:szCs w:val="20"/>
        </w:rPr>
      </w:pPr>
    </w:p>
    <w:p w14:paraId="5298D4DE" w14:textId="71C345D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lahko pri izvajanju nalog in pristojnosti v zvezi z nadzorom nad bankami in drugimi subjekti nadzora za kršitve tega zakona, Uredbe 575/2013/EU ali odločitev, ki jih Banka Slovenije ali Evropska centralna banka sprejme na podlagi tega zakona ali Uredbe 575/2013/EU, uporabi tudi naslednje administrativne ukrepe: </w:t>
      </w:r>
    </w:p>
    <w:p w14:paraId="4C2B309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B2850F7" w14:textId="608AC48F" w:rsidR="00C316EC" w:rsidRPr="00215B2F" w:rsidRDefault="00D91782" w:rsidP="003D4DE0">
      <w:pPr>
        <w:pStyle w:val="Odstavekseznama"/>
        <w:numPr>
          <w:ilvl w:val="0"/>
          <w:numId w:val="370"/>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periodične denarne kazni</w:t>
      </w:r>
      <w:r w:rsidR="00735D2D" w:rsidRPr="00215B2F">
        <w:rPr>
          <w:rFonts w:ascii="Arial" w:eastAsia="Arial" w:hAnsi="Arial" w:cs="Arial"/>
          <w:sz w:val="20"/>
          <w:szCs w:val="20"/>
        </w:rPr>
        <w:t>,</w:t>
      </w:r>
    </w:p>
    <w:p w14:paraId="2421AD77" w14:textId="46A39411" w:rsidR="00D91782" w:rsidRPr="00215B2F" w:rsidRDefault="00D91782" w:rsidP="003D4DE0">
      <w:pPr>
        <w:pStyle w:val="Odstavekseznama"/>
        <w:numPr>
          <w:ilvl w:val="0"/>
          <w:numId w:val="369"/>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administrativne sankcije</w:t>
      </w:r>
      <w:r w:rsidR="00735D2D" w:rsidRPr="00215B2F">
        <w:rPr>
          <w:rFonts w:ascii="Arial" w:eastAsia="Arial" w:hAnsi="Arial" w:cs="Arial"/>
          <w:sz w:val="20"/>
          <w:szCs w:val="20"/>
        </w:rPr>
        <w:t>.</w:t>
      </w:r>
    </w:p>
    <w:p w14:paraId="3B08762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EA9EB1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Periodične denarne kazni in administrativne sankcije so učinkovite, sorazmerne in odvračilne. </w:t>
      </w:r>
    </w:p>
    <w:p w14:paraId="67ADD12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23D137E" w14:textId="76632E5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Uporaba periodičnih denarnih kazni ne preprečuje, da Banka Slovenije za isto kršitev naloži tudi administrativno sankcijo pravni osebi, izreče prekršek fizični osebi. </w:t>
      </w:r>
    </w:p>
    <w:p w14:paraId="4C21923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EF2AF08"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53" w:name="_Ref202967914"/>
      <w:r w:rsidRPr="00215B2F">
        <w:rPr>
          <w:rFonts w:ascii="Arial" w:eastAsia="Arial" w:hAnsi="Arial" w:cs="Arial"/>
          <w:b/>
          <w:bCs/>
          <w:sz w:val="20"/>
          <w:szCs w:val="20"/>
        </w:rPr>
        <w:t>člen</w:t>
      </w:r>
      <w:bookmarkEnd w:id="453"/>
    </w:p>
    <w:p w14:paraId="7EBEFE23" w14:textId="77777777" w:rsidR="00D91782" w:rsidRPr="00215B2F" w:rsidRDefault="00D91782" w:rsidP="00FD5520">
      <w:pPr>
        <w:pStyle w:val="Slog1"/>
        <w:shd w:val="clear" w:color="auto" w:fill="FFFFFF" w:themeFill="background1"/>
        <w:rPr>
          <w:sz w:val="20"/>
          <w:szCs w:val="20"/>
        </w:rPr>
      </w:pPr>
      <w:r w:rsidRPr="00215B2F">
        <w:rPr>
          <w:sz w:val="20"/>
          <w:szCs w:val="20"/>
        </w:rPr>
        <w:t>(uporaba administrativnih ukrepov)</w:t>
      </w:r>
    </w:p>
    <w:p w14:paraId="00286FB7" w14:textId="77777777" w:rsidR="00D91782" w:rsidRPr="00215B2F" w:rsidRDefault="00D91782" w:rsidP="00FD5520">
      <w:pPr>
        <w:pStyle w:val="Slog1"/>
        <w:shd w:val="clear" w:color="auto" w:fill="FFFFFF" w:themeFill="background1"/>
        <w:jc w:val="both"/>
        <w:rPr>
          <w:sz w:val="20"/>
          <w:szCs w:val="20"/>
        </w:rPr>
      </w:pPr>
    </w:p>
    <w:p w14:paraId="2A5281A5" w14:textId="0C741C2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lahko pri uporabi administrativnih ukrepov izvršuje vsa pooblastila, ki jih ima v skladu s tem zakonom</w:t>
      </w:r>
      <w:r w:rsidR="00DF20E9" w:rsidRPr="00215B2F">
        <w:rPr>
          <w:rFonts w:ascii="Arial" w:eastAsia="Arial" w:hAnsi="Arial" w:cs="Arial"/>
          <w:sz w:val="20"/>
          <w:szCs w:val="20"/>
        </w:rPr>
        <w:t>, ter</w:t>
      </w:r>
      <w:r w:rsidRPr="00215B2F">
        <w:rPr>
          <w:rFonts w:ascii="Arial" w:eastAsia="Arial" w:hAnsi="Arial" w:cs="Arial"/>
          <w:sz w:val="20"/>
          <w:szCs w:val="20"/>
        </w:rPr>
        <w:t xml:space="preserve"> uporabi vse dokumente in informacije, ki jih zbere med opravljanjem svojih nadzorniških pristojnosti. </w:t>
      </w:r>
    </w:p>
    <w:p w14:paraId="3A44595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B23D131" w14:textId="5D68E50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Posamezne naloge in dejanja pri uporabi administrativnih ukrepov izvajajo osebe</w:t>
      </w:r>
      <w:r w:rsidR="00DF20E9" w:rsidRPr="00215B2F">
        <w:rPr>
          <w:rFonts w:ascii="Arial" w:eastAsia="Arial" w:hAnsi="Arial" w:cs="Arial"/>
          <w:sz w:val="20"/>
          <w:szCs w:val="20"/>
        </w:rPr>
        <w:t>,</w:t>
      </w:r>
      <w:r w:rsidRPr="00215B2F">
        <w:rPr>
          <w:rFonts w:ascii="Arial" w:eastAsia="Arial" w:hAnsi="Arial" w:cs="Arial"/>
          <w:sz w:val="20"/>
          <w:szCs w:val="20"/>
        </w:rPr>
        <w:t xml:space="preserve"> zaposlene pri Banki Slovenije na podlagi pogodbe o zaposlitvi</w:t>
      </w:r>
      <w:r w:rsidR="00DF20E9" w:rsidRPr="00215B2F">
        <w:rPr>
          <w:rFonts w:ascii="Arial" w:eastAsia="Arial" w:hAnsi="Arial" w:cs="Arial"/>
          <w:sz w:val="20"/>
          <w:szCs w:val="20"/>
        </w:rPr>
        <w:t>,</w:t>
      </w:r>
      <w:r w:rsidRPr="00215B2F">
        <w:rPr>
          <w:rFonts w:ascii="Arial" w:eastAsia="Arial" w:hAnsi="Arial" w:cs="Arial"/>
          <w:sz w:val="20"/>
          <w:szCs w:val="20"/>
        </w:rPr>
        <w:t xml:space="preserve"> v skladu z internimi akti Banke Slovenije. </w:t>
      </w:r>
    </w:p>
    <w:p w14:paraId="581D314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2F90B0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Guverner Banke Slovenije lahko za opravljanje posameznih nalog pri uporabi administrativnih ukrepov pooblasti drugo strokovno usposobljeno osebo, ki ni zaposlena pri Banki Slovenije, če se za to osebo uveljavijo zahteve glede varovanja zaupnih informacij. </w:t>
      </w:r>
    </w:p>
    <w:p w14:paraId="5729AE6A"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7514F770" w14:textId="77777777" w:rsidR="00D91782" w:rsidRPr="00215B2F" w:rsidRDefault="00D91782" w:rsidP="002946BA">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54" w:name="_Ref202967917"/>
      <w:r w:rsidRPr="00215B2F">
        <w:rPr>
          <w:rFonts w:ascii="Arial" w:eastAsia="Arial" w:hAnsi="Arial" w:cs="Arial"/>
          <w:b/>
          <w:bCs/>
          <w:sz w:val="20"/>
          <w:szCs w:val="20"/>
        </w:rPr>
        <w:t>člen</w:t>
      </w:r>
      <w:bookmarkEnd w:id="454"/>
    </w:p>
    <w:p w14:paraId="124DAA79"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(kršitve, za katere se lahko uporabijo administrativni ukrepi)</w:t>
      </w:r>
    </w:p>
    <w:p w14:paraId="48918CDE"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12D6013C" w14:textId="446B382B" w:rsidR="00D91782" w:rsidRPr="00215B2F" w:rsidRDefault="00D91782" w:rsidP="00FD5520">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Slovenije uporabi periodične denarne kazni in administrativne sankcije, če pri pravni osebi ugotovi katero</w:t>
      </w:r>
      <w:r w:rsidR="00DF20E9" w:rsidRPr="00215B2F">
        <w:rPr>
          <w:rFonts w:ascii="Arial" w:hAnsi="Arial" w:cs="Arial"/>
          <w:sz w:val="20"/>
          <w:szCs w:val="20"/>
        </w:rPr>
        <w:t> </w:t>
      </w:r>
      <w:r w:rsidR="0040277D" w:rsidRPr="00215B2F">
        <w:rPr>
          <w:rFonts w:ascii="Arial" w:hAnsi="Arial" w:cs="Arial"/>
          <w:sz w:val="20"/>
          <w:szCs w:val="20"/>
        </w:rPr>
        <w:t>o</w:t>
      </w:r>
      <w:r w:rsidRPr="00215B2F">
        <w:rPr>
          <w:rFonts w:ascii="Arial" w:hAnsi="Arial" w:cs="Arial"/>
          <w:sz w:val="20"/>
          <w:szCs w:val="20"/>
        </w:rPr>
        <w:t>d naslednjih kršitev</w:t>
      </w:r>
      <w:r w:rsidR="00DF20E9" w:rsidRPr="00215B2F">
        <w:rPr>
          <w:rFonts w:ascii="Arial" w:hAnsi="Arial" w:cs="Arial"/>
          <w:sz w:val="20"/>
          <w:szCs w:val="20"/>
        </w:rPr>
        <w:t>:</w:t>
      </w:r>
    </w:p>
    <w:p w14:paraId="36FA1372" w14:textId="77777777" w:rsidR="00D91782" w:rsidRPr="00215B2F" w:rsidRDefault="00D91782" w:rsidP="00FD5520">
      <w:pPr>
        <w:shd w:val="clear" w:color="auto" w:fill="FFFFFF" w:themeFill="background1"/>
        <w:spacing w:after="0" w:line="240" w:lineRule="auto"/>
        <w:jc w:val="both"/>
        <w:rPr>
          <w:rFonts w:ascii="Arial" w:hAnsi="Arial" w:cs="Arial"/>
          <w:sz w:val="20"/>
          <w:szCs w:val="20"/>
        </w:rPr>
      </w:pPr>
    </w:p>
    <w:p w14:paraId="52960AD7"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kreditira oziroma daje jamstva v nasprotju z 38. členom tega zakona;</w:t>
      </w:r>
    </w:p>
    <w:p w14:paraId="41E3B2F1"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krši katero od zahtev glede imenovanja ali sestave upravljalnega organa iz 41. člena tega zakona;</w:t>
      </w:r>
    </w:p>
    <w:p w14:paraId="670AB09E"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krši katero od zahtev glede imenovanja ali delovanja komisij nadzornega sveta iz 58., 59., 60. ali 94. člena tega zakona;</w:t>
      </w:r>
    </w:p>
    <w:p w14:paraId="66B98DA7" w14:textId="77777777" w:rsidR="00054679" w:rsidRPr="00215B2F" w:rsidRDefault="00054679" w:rsidP="00054679">
      <w:pPr>
        <w:numPr>
          <w:ilvl w:val="0"/>
          <w:numId w:val="25"/>
        </w:numPr>
        <w:shd w:val="clear" w:color="auto" w:fill="FFFFFF" w:themeFill="background1"/>
        <w:spacing w:after="0" w:line="240" w:lineRule="auto"/>
        <w:jc w:val="both"/>
        <w:rPr>
          <w:rFonts w:ascii="Arial" w:hAnsi="Arial" w:cs="Arial"/>
          <w:sz w:val="20"/>
          <w:szCs w:val="20"/>
        </w:rPr>
      </w:pPr>
      <w:bookmarkStart w:id="455" w:name="_Hlk202864889"/>
      <w:r w:rsidRPr="00215B2F">
        <w:rPr>
          <w:rFonts w:ascii="Arial" w:hAnsi="Arial" w:cs="Arial"/>
          <w:sz w:val="20"/>
          <w:szCs w:val="20"/>
        </w:rPr>
        <w:t xml:space="preserve">kvalificirani delež v banki se neposredno ali posredno pridobi ali dodatno neposredno ali posredno poveča, zaradi česar bi bil delež glasovalnih pravic ali delež v kapitalu enak pragovom iz 91. člena tega zakona ali večji od njih, brez predhodno pridobljene odločitve o nenasprotovanju, kar pomeni kršitev 67. ali 91. člena tega zakona; </w:t>
      </w:r>
    </w:p>
    <w:p w14:paraId="5F2F6574" w14:textId="77777777" w:rsidR="00054679" w:rsidRPr="00215B2F" w:rsidRDefault="00054679" w:rsidP="00054679">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kvalificirani delež v banki se neposredno ali posredno odsvoji ali zmanjša, tako da bi bil delež glasovalnih pravic ali delež v kapitalu manjši od pragov iz 91. člena tega zakona, brez pisnega uradnega obvestila Banki Slovenije, kar pomeni kršitev 95. člena tega zakona; </w:t>
      </w:r>
    </w:p>
    <w:p w14:paraId="543AECD1"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ob prejemu informacij o kakršni koli pridobitvi ali odsvojitvi deležev v njenem kapitalu, zaradi katere deleži presežejo prage iz 91. člena tega zakona ali padejo pod te prage, o navedenih pridobitvah ali odsvojitvah ne obvesti Banke Slovenije, kar pomeni kršitev 95. člena tega zakona; </w:t>
      </w:r>
    </w:p>
    <w:p w14:paraId="4AC89DDC"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z delnicami katere se trguje na organiziranem trgu, Banki Slovenije vsaj enkrat na leto ne pošlje imen imetnikov kvalificiranega deleža in podatkov o velikosti teh deležev, kar pomeni kršitev 95. člena tega zakona; </w:t>
      </w:r>
    </w:p>
    <w:p w14:paraId="0425FDAE" w14:textId="77777777" w:rsidR="00054679" w:rsidRPr="00215B2F" w:rsidRDefault="00054679" w:rsidP="00054679">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finančni deležnik iz 97. člena tega zakona izvede združitev ali delitev v nasprotju z 98. členom tega zakona, kar pomeni kršitev 98. člena tega zakona;</w:t>
      </w:r>
    </w:p>
    <w:p w14:paraId="0852385E" w14:textId="77777777" w:rsidR="00054679" w:rsidRPr="00215B2F" w:rsidRDefault="00054679" w:rsidP="00054679">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finančni holding ali mešani finančni holding, ki spada na področje uporabe 108. člena tega zakona, ne zaprosi Banke Slovenije za odobritev ali krši katero koli drugo zahtevo iz oddelka 3.6 tega zakona, kar pomeni kršitev 108. ali 114. člena tega zakona; </w:t>
      </w:r>
    </w:p>
    <w:p w14:paraId="496E43D3"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lastRenderedPageBreak/>
        <w:t>banka v treh delovnih dneh od pridobitve oziroma odsvojitve vrednostnih papirjev ciljne družbe na podlagi prvega odstavka 121. člena tega zakona o tem v skladu z drugim odstavkom 121. člena tega zakona ne obvesti agencije, pristojne za finančne trge;</w:t>
      </w:r>
    </w:p>
    <w:p w14:paraId="63CB5092"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vodi poslovne knjige, sestavlja knjigovodske listine, vrednoti knjigovodske postavke ali sestavlja poročila v nasprotju z drugim odstavkom 129. člena tega zakona;</w:t>
      </w:r>
    </w:p>
    <w:p w14:paraId="48584F04"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ne sporoča finančnih informacij v zvezi z računovodskimi izkazi v skladu s tretjim odstavkom 130. člena tega zakona;</w:t>
      </w:r>
    </w:p>
    <w:p w14:paraId="5DB048AF"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glede razkritja dodatnih informacij ne ravna v skladu s 131. členom tega zakona;</w:t>
      </w:r>
    </w:p>
    <w:p w14:paraId="3617F07C"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ne predloži letnega poročila, konsolidiranega letnega poročila, revizorjevega poročila ali dodatnega revizorjevega poročila v skladu s 132. členom tega zakona;</w:t>
      </w:r>
    </w:p>
    <w:p w14:paraId="54370427"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krši 135. člen tega zakona glede objave letnega poročila, revizorjevih poročil v skladu s 132. členom tega zakona;</w:t>
      </w:r>
    </w:p>
    <w:p w14:paraId="74244176"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ne zagotovi, da ostanejo letno poročilo in revizorjevi poročili iz 57. člena ZGD-1 dostopni na njenih uradnih spletnih straneh najmanj pet let po njihovi objavi v skladu s četrtim odstavkom 135. člena tega zakona;</w:t>
      </w:r>
    </w:p>
    <w:p w14:paraId="41FF3C04" w14:textId="77777777" w:rsidR="00054679" w:rsidRPr="00215B2F" w:rsidRDefault="00054679" w:rsidP="00054679">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posli sprejemanja depozitov ali drugih vračljivih sredstev od javnosti se izvajajo brez dovoljenja za opravljanje bančnih storitev, kar pomeni kršitev 139. člena tega zakona; </w:t>
      </w:r>
    </w:p>
    <w:p w14:paraId="21F61401"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pravna oseba sprejema depozite od javnosti v nasprotju s prepovedjo iz 139. člena tega zakona;</w:t>
      </w:r>
    </w:p>
    <w:p w14:paraId="5938604B" w14:textId="55F5D4A3" w:rsidR="00054679" w:rsidRPr="00215B2F" w:rsidRDefault="00054679" w:rsidP="00054679">
      <w:pPr>
        <w:pStyle w:val="tevilnatoka"/>
        <w:numPr>
          <w:ilvl w:val="0"/>
          <w:numId w:val="25"/>
        </w:numPr>
        <w:shd w:val="clear" w:color="auto" w:fill="FFFFFF" w:themeFill="background1"/>
        <w:rPr>
          <w:rFonts w:cs="Arial"/>
          <w:sz w:val="20"/>
          <w:szCs w:val="20"/>
        </w:rPr>
      </w:pPr>
      <w:r w:rsidRPr="00215B2F">
        <w:rPr>
          <w:rFonts w:cs="Arial"/>
          <w:sz w:val="20"/>
          <w:szCs w:val="20"/>
        </w:rPr>
        <w:t xml:space="preserve">dejavnosti kot banka se opravljajo brez pridobitve predhodnega dovoljenja, kar pomeni kršitev 37. ali 140. člena tega zakona; </w:t>
      </w:r>
    </w:p>
    <w:p w14:paraId="7F900250"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po prenehanju dovoljenja za opravljanje storitev sklepa nove posle v nasprotju s prepovedjo iz petega odstavka 150. člena tega zakona;</w:t>
      </w:r>
    </w:p>
    <w:p w14:paraId="59E7FA4A" w14:textId="52EB55FE" w:rsidR="00D91782" w:rsidRPr="00215B2F" w:rsidRDefault="00D91782">
      <w:pPr>
        <w:pStyle w:val="tevilnatoka"/>
        <w:numPr>
          <w:ilvl w:val="0"/>
          <w:numId w:val="25"/>
        </w:numPr>
        <w:shd w:val="clear" w:color="auto" w:fill="FFFFFF" w:themeFill="background1"/>
        <w:rPr>
          <w:rFonts w:cs="Arial"/>
          <w:bCs/>
          <w:sz w:val="20"/>
          <w:szCs w:val="20"/>
        </w:rPr>
      </w:pPr>
      <w:r w:rsidRPr="00215B2F">
        <w:rPr>
          <w:rFonts w:cs="Arial"/>
          <w:sz w:val="20"/>
          <w:szCs w:val="20"/>
        </w:rPr>
        <w:t>vsaj eno od dejavnosti</w:t>
      </w:r>
      <w:r w:rsidR="009B6E22" w:rsidRPr="00215B2F">
        <w:rPr>
          <w:rFonts w:cs="Arial"/>
          <w:sz w:val="20"/>
          <w:szCs w:val="20"/>
        </w:rPr>
        <w:t xml:space="preserve"> pod (b)</w:t>
      </w:r>
      <w:r w:rsidRPr="00215B2F">
        <w:rPr>
          <w:rFonts w:cs="Arial"/>
          <w:sz w:val="20"/>
          <w:szCs w:val="20"/>
        </w:rPr>
        <w:t xml:space="preserve"> iz </w:t>
      </w:r>
      <w:r w:rsidR="008A21BD" w:rsidRPr="00215B2F">
        <w:rPr>
          <w:rFonts w:cs="Arial"/>
          <w:sz w:val="20"/>
          <w:szCs w:val="20"/>
        </w:rPr>
        <w:t>1</w:t>
      </w:r>
      <w:r w:rsidR="009B6E22" w:rsidRPr="00215B2F">
        <w:rPr>
          <w:rFonts w:cs="Arial"/>
          <w:sz w:val="20"/>
          <w:szCs w:val="20"/>
        </w:rPr>
        <w:t>.</w:t>
      </w:r>
      <w:r w:rsidR="008A21BD" w:rsidRPr="00215B2F">
        <w:rPr>
          <w:rFonts w:cs="Arial"/>
          <w:sz w:val="20"/>
          <w:szCs w:val="20"/>
        </w:rPr>
        <w:t xml:space="preserve"> točke prvega odstavka 4. </w:t>
      </w:r>
      <w:r w:rsidRPr="00215B2F">
        <w:rPr>
          <w:rFonts w:cs="Arial"/>
          <w:sz w:val="20"/>
          <w:szCs w:val="20"/>
        </w:rPr>
        <w:t>člena Uredbe 575/2013</w:t>
      </w:r>
      <w:r w:rsidR="0061482B" w:rsidRPr="00215B2F">
        <w:rPr>
          <w:rFonts w:cs="Arial"/>
          <w:sz w:val="20"/>
          <w:szCs w:val="20"/>
        </w:rPr>
        <w:t>/EU</w:t>
      </w:r>
      <w:r w:rsidRPr="00215B2F">
        <w:rPr>
          <w:rFonts w:cs="Arial"/>
          <w:sz w:val="20"/>
          <w:szCs w:val="20"/>
        </w:rPr>
        <w:t xml:space="preserve"> opravlja družba, ki dosega prag iz navedene točke in nima dovoljenja </w:t>
      </w:r>
      <w:r w:rsidR="00DF20E9" w:rsidRPr="00215B2F">
        <w:rPr>
          <w:rFonts w:cs="Arial"/>
          <w:sz w:val="20"/>
          <w:szCs w:val="20"/>
        </w:rPr>
        <w:t xml:space="preserve">za </w:t>
      </w:r>
      <w:r w:rsidRPr="00215B2F">
        <w:rPr>
          <w:rFonts w:cs="Arial"/>
          <w:sz w:val="20"/>
          <w:szCs w:val="20"/>
        </w:rPr>
        <w:t>kreditn</w:t>
      </w:r>
      <w:r w:rsidR="00DF20E9" w:rsidRPr="00215B2F">
        <w:rPr>
          <w:rFonts w:cs="Arial"/>
          <w:sz w:val="20"/>
          <w:szCs w:val="20"/>
        </w:rPr>
        <w:t>o</w:t>
      </w:r>
      <w:r w:rsidRPr="00215B2F">
        <w:rPr>
          <w:rFonts w:cs="Arial"/>
          <w:sz w:val="20"/>
          <w:szCs w:val="20"/>
        </w:rPr>
        <w:t xml:space="preserve"> družb</w:t>
      </w:r>
      <w:r w:rsidR="006D28F2" w:rsidRPr="00215B2F">
        <w:rPr>
          <w:rFonts w:cs="Arial"/>
          <w:sz w:val="20"/>
          <w:szCs w:val="20"/>
        </w:rPr>
        <w:t>o</w:t>
      </w:r>
      <w:r w:rsidRPr="00215B2F">
        <w:rPr>
          <w:rFonts w:cs="Arial"/>
          <w:sz w:val="20"/>
          <w:szCs w:val="20"/>
        </w:rPr>
        <w:t xml:space="preserve">, razen če je zaprosila za izvzetje v skladu s </w:t>
      </w:r>
      <w:r w:rsidR="00DB2AA9" w:rsidRPr="00215B2F">
        <w:rPr>
          <w:rFonts w:cs="Arial"/>
          <w:sz w:val="20"/>
          <w:szCs w:val="20"/>
        </w:rPr>
        <w:t>15</w:t>
      </w:r>
      <w:r w:rsidR="00E01C56" w:rsidRPr="00215B2F">
        <w:rPr>
          <w:rFonts w:cs="Arial"/>
          <w:sz w:val="20"/>
          <w:szCs w:val="20"/>
        </w:rPr>
        <w:t>4</w:t>
      </w:r>
      <w:r w:rsidRPr="00215B2F">
        <w:rPr>
          <w:rFonts w:cs="Arial"/>
          <w:sz w:val="20"/>
          <w:szCs w:val="20"/>
        </w:rPr>
        <w:t xml:space="preserve">. </w:t>
      </w:r>
      <w:r w:rsidR="001F2C7A" w:rsidRPr="00215B2F">
        <w:rPr>
          <w:rFonts w:cs="Arial"/>
          <w:sz w:val="20"/>
          <w:szCs w:val="20"/>
        </w:rPr>
        <w:t>členom tega zakona</w:t>
      </w:r>
      <w:r w:rsidRPr="00215B2F">
        <w:rPr>
          <w:rFonts w:cs="Arial"/>
          <w:sz w:val="20"/>
          <w:szCs w:val="20"/>
        </w:rPr>
        <w:t xml:space="preserve">; </w:t>
      </w:r>
    </w:p>
    <w:p w14:paraId="76E725F0"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ustanovi podružnico v državi članici, ne da bi o tej nameri predhodno obvestila Banko Slovenije v skladu s prvim odstavkom 158. člena tega zakona, ali začne opravljati posle prek podružnice v drugi državi članici v nasprotju s 160. členom tega zakona;</w:t>
      </w:r>
    </w:p>
    <w:p w14:paraId="5DB5B224"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začne neposredno opravljati vzajemno priznane finančne storitve v državi članici, ne da bi o tem obvestila Banko Slovenije v skladu s prvim odstavkom 162. člena tega zakona;</w:t>
      </w:r>
    </w:p>
    <w:p w14:paraId="2C36EF9F"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ustanovi podružnico v tretji državi, ne da bi za ustanovitev podružnice pridobila dovoljenje v skladu s 163. členom tega zakona;</w:t>
      </w:r>
    </w:p>
    <w:p w14:paraId="7E9CD26B"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krši dolžnost varovanja zaupnih podatkov v skladu s 175. členom tega zakona;</w:t>
      </w:r>
    </w:p>
    <w:p w14:paraId="2331BA6B" w14:textId="33E05BCD"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nima ureditve notranjega upravljanja v skladu s 177. členom tega zakona; </w:t>
      </w:r>
    </w:p>
    <w:p w14:paraId="2B8599DE"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ne zagotavlja kapitalske ustreznosti v skladu s 178. členom tega zakona; </w:t>
      </w:r>
    </w:p>
    <w:p w14:paraId="461ACC02"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ne zagotavlja ustrezne likvidnosti v skladu s 179. členom tega zakona;</w:t>
      </w:r>
    </w:p>
    <w:p w14:paraId="0163A779"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ne zagotavlja ustreznega notranjega kapitala v skladu s 180. členom tega zakona;</w:t>
      </w:r>
    </w:p>
    <w:p w14:paraId="3A5A306F"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ne izpolnjuje zahtev glede prejemkov iz 220., 221. ali 222. člena tega zakona;</w:t>
      </w:r>
    </w:p>
    <w:p w14:paraId="33297C5C"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nima politik prejemkov, nevtralnih glede na spol, v skladu z 221. členom tega zakona;</w:t>
      </w:r>
    </w:p>
    <w:p w14:paraId="1B148ED8" w14:textId="6F4CED83" w:rsidR="00D91782" w:rsidRPr="00215B2F" w:rsidRDefault="00D91782">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nameravani pridobitelj v smislu </w:t>
      </w:r>
      <w:r w:rsidR="00962F2A" w:rsidRPr="00215B2F">
        <w:rPr>
          <w:rFonts w:ascii="Arial" w:hAnsi="Arial" w:cs="Arial"/>
          <w:sz w:val="20"/>
          <w:szCs w:val="20"/>
        </w:rPr>
        <w:t>258</w:t>
      </w:r>
      <w:r w:rsidRPr="00215B2F">
        <w:rPr>
          <w:rFonts w:ascii="Arial" w:hAnsi="Arial" w:cs="Arial"/>
          <w:sz w:val="20"/>
          <w:szCs w:val="20"/>
        </w:rPr>
        <w:t xml:space="preserve">. </w:t>
      </w:r>
      <w:r w:rsidR="001F2C7A" w:rsidRPr="00215B2F">
        <w:rPr>
          <w:rFonts w:ascii="Arial" w:hAnsi="Arial" w:cs="Arial"/>
          <w:sz w:val="20"/>
          <w:szCs w:val="20"/>
        </w:rPr>
        <w:t>člena tega zakona</w:t>
      </w:r>
      <w:r w:rsidRPr="00215B2F">
        <w:rPr>
          <w:rFonts w:ascii="Arial" w:hAnsi="Arial" w:cs="Arial"/>
          <w:sz w:val="20"/>
          <w:szCs w:val="20"/>
        </w:rPr>
        <w:t xml:space="preserve"> brez predhodno pridobljene odločitve Banke Slovenije o nenasprotovanju pridobi posredni ali neposredni pomembni delež, kar pomeni </w:t>
      </w:r>
      <w:r w:rsidR="00C83CA0" w:rsidRPr="00215B2F">
        <w:rPr>
          <w:rFonts w:ascii="Arial" w:hAnsi="Arial" w:cs="Arial"/>
          <w:sz w:val="20"/>
          <w:szCs w:val="20"/>
        </w:rPr>
        <w:t>kršitev</w:t>
      </w:r>
      <w:r w:rsidRPr="00215B2F">
        <w:rPr>
          <w:rFonts w:ascii="Arial" w:hAnsi="Arial" w:cs="Arial"/>
          <w:sz w:val="20"/>
          <w:szCs w:val="20"/>
        </w:rPr>
        <w:t xml:space="preserve"> </w:t>
      </w:r>
      <w:r w:rsidR="00962F2A" w:rsidRPr="00215B2F">
        <w:rPr>
          <w:rFonts w:ascii="Arial" w:hAnsi="Arial" w:cs="Arial"/>
          <w:sz w:val="20"/>
          <w:szCs w:val="20"/>
        </w:rPr>
        <w:t>258</w:t>
      </w:r>
      <w:r w:rsidRPr="00215B2F">
        <w:rPr>
          <w:rFonts w:ascii="Arial" w:hAnsi="Arial" w:cs="Arial"/>
          <w:sz w:val="20"/>
          <w:szCs w:val="20"/>
        </w:rPr>
        <w:t xml:space="preserve">. </w:t>
      </w:r>
      <w:r w:rsidR="001F2C7A" w:rsidRPr="00215B2F">
        <w:rPr>
          <w:rFonts w:ascii="Arial" w:hAnsi="Arial" w:cs="Arial"/>
          <w:sz w:val="20"/>
          <w:szCs w:val="20"/>
        </w:rPr>
        <w:t>člena tega zakona</w:t>
      </w:r>
      <w:r w:rsidRPr="00215B2F">
        <w:rPr>
          <w:rFonts w:ascii="Arial" w:hAnsi="Arial" w:cs="Arial"/>
          <w:sz w:val="20"/>
          <w:szCs w:val="20"/>
        </w:rPr>
        <w:t xml:space="preserve">; </w:t>
      </w:r>
    </w:p>
    <w:p w14:paraId="7EB8BE7F" w14:textId="4B0F2053" w:rsidR="00D91782" w:rsidRPr="00215B2F" w:rsidRDefault="00D91782">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nobeden od subjektov iz </w:t>
      </w:r>
      <w:r w:rsidR="00DB2AA9" w:rsidRPr="00215B2F">
        <w:rPr>
          <w:rFonts w:ascii="Arial" w:hAnsi="Arial" w:cs="Arial"/>
          <w:sz w:val="20"/>
          <w:szCs w:val="20"/>
        </w:rPr>
        <w:t>266</w:t>
      </w:r>
      <w:r w:rsidRPr="00215B2F">
        <w:rPr>
          <w:rFonts w:ascii="Arial" w:hAnsi="Arial" w:cs="Arial"/>
          <w:sz w:val="20"/>
          <w:szCs w:val="20"/>
        </w:rPr>
        <w:t xml:space="preserve">. </w:t>
      </w:r>
      <w:r w:rsidR="001F2C7A" w:rsidRPr="00215B2F">
        <w:rPr>
          <w:rFonts w:ascii="Arial" w:hAnsi="Arial" w:cs="Arial"/>
          <w:sz w:val="20"/>
          <w:szCs w:val="20"/>
        </w:rPr>
        <w:t>člena tega zakona</w:t>
      </w:r>
      <w:r w:rsidRPr="00215B2F">
        <w:rPr>
          <w:rFonts w:ascii="Arial" w:hAnsi="Arial" w:cs="Arial"/>
          <w:sz w:val="20"/>
          <w:szCs w:val="20"/>
        </w:rPr>
        <w:t xml:space="preserve"> Banke Slovenije ne obvesti o neposredni ali posredni odsvojitvi pomembnega deleža, ki presega 15 </w:t>
      </w:r>
      <w:r w:rsidR="00DF20E9" w:rsidRPr="00215B2F">
        <w:rPr>
          <w:rFonts w:ascii="Arial" w:hAnsi="Arial" w:cs="Arial"/>
          <w:sz w:val="20"/>
          <w:szCs w:val="20"/>
        </w:rPr>
        <w:t xml:space="preserve">odstotkov </w:t>
      </w:r>
      <w:r w:rsidRPr="00215B2F">
        <w:rPr>
          <w:rFonts w:ascii="Arial" w:hAnsi="Arial" w:cs="Arial"/>
          <w:sz w:val="20"/>
          <w:szCs w:val="20"/>
        </w:rPr>
        <w:t xml:space="preserve">sprejemljivega kapitala navedenega subjekta, kar pomeni </w:t>
      </w:r>
      <w:r w:rsidR="00C83CA0" w:rsidRPr="00215B2F">
        <w:rPr>
          <w:rFonts w:ascii="Arial" w:hAnsi="Arial" w:cs="Arial"/>
          <w:sz w:val="20"/>
          <w:szCs w:val="20"/>
        </w:rPr>
        <w:t>kršitev</w:t>
      </w:r>
      <w:r w:rsidRPr="00215B2F">
        <w:rPr>
          <w:rFonts w:ascii="Arial" w:hAnsi="Arial" w:cs="Arial"/>
          <w:sz w:val="20"/>
          <w:szCs w:val="20"/>
        </w:rPr>
        <w:t xml:space="preserve"> </w:t>
      </w:r>
      <w:r w:rsidR="00DB2AA9" w:rsidRPr="00215B2F">
        <w:rPr>
          <w:rFonts w:ascii="Arial" w:hAnsi="Arial" w:cs="Arial"/>
          <w:sz w:val="20"/>
          <w:szCs w:val="20"/>
        </w:rPr>
        <w:t>266</w:t>
      </w:r>
      <w:r w:rsidRPr="00215B2F">
        <w:rPr>
          <w:rFonts w:ascii="Arial" w:hAnsi="Arial" w:cs="Arial"/>
          <w:sz w:val="20"/>
          <w:szCs w:val="20"/>
        </w:rPr>
        <w:t xml:space="preserve">. </w:t>
      </w:r>
      <w:r w:rsidR="001F2C7A" w:rsidRPr="00215B2F">
        <w:rPr>
          <w:rFonts w:ascii="Arial" w:hAnsi="Arial" w:cs="Arial"/>
          <w:sz w:val="20"/>
          <w:szCs w:val="20"/>
        </w:rPr>
        <w:t>člena tega zakona</w:t>
      </w:r>
      <w:r w:rsidRPr="00215B2F">
        <w:rPr>
          <w:rFonts w:ascii="Arial" w:hAnsi="Arial" w:cs="Arial"/>
          <w:sz w:val="20"/>
          <w:szCs w:val="20"/>
        </w:rPr>
        <w:t xml:space="preserve">; </w:t>
      </w:r>
    </w:p>
    <w:p w14:paraId="1070F9A9" w14:textId="2CDE10C7" w:rsidR="00D91782" w:rsidRPr="00215B2F" w:rsidRDefault="00D91782">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kateri koli subjekt iz </w:t>
      </w:r>
      <w:r w:rsidR="00DB2AA9" w:rsidRPr="00215B2F">
        <w:rPr>
          <w:rFonts w:ascii="Arial" w:hAnsi="Arial" w:cs="Arial"/>
          <w:sz w:val="20"/>
          <w:szCs w:val="20"/>
        </w:rPr>
        <w:t>268</w:t>
      </w:r>
      <w:r w:rsidRPr="00215B2F">
        <w:rPr>
          <w:rFonts w:ascii="Arial" w:hAnsi="Arial" w:cs="Arial"/>
          <w:sz w:val="20"/>
          <w:szCs w:val="20"/>
        </w:rPr>
        <w:t xml:space="preserve">. </w:t>
      </w:r>
      <w:r w:rsidR="001F2C7A" w:rsidRPr="00215B2F">
        <w:rPr>
          <w:rFonts w:ascii="Arial" w:hAnsi="Arial" w:cs="Arial"/>
          <w:sz w:val="20"/>
          <w:szCs w:val="20"/>
        </w:rPr>
        <w:t>člena tega zakona</w:t>
      </w:r>
      <w:r w:rsidRPr="00215B2F">
        <w:rPr>
          <w:rFonts w:ascii="Arial" w:hAnsi="Arial" w:cs="Arial"/>
          <w:sz w:val="20"/>
          <w:szCs w:val="20"/>
        </w:rPr>
        <w:t xml:space="preserve"> izvede pomembn</w:t>
      </w:r>
      <w:r w:rsidR="00DF20E9" w:rsidRPr="00215B2F">
        <w:rPr>
          <w:rFonts w:ascii="Arial" w:hAnsi="Arial" w:cs="Arial"/>
          <w:sz w:val="20"/>
          <w:szCs w:val="20"/>
        </w:rPr>
        <w:t>i</w:t>
      </w:r>
      <w:r w:rsidRPr="00215B2F">
        <w:rPr>
          <w:rFonts w:ascii="Arial" w:hAnsi="Arial" w:cs="Arial"/>
          <w:sz w:val="20"/>
          <w:szCs w:val="20"/>
        </w:rPr>
        <w:t xml:space="preserve"> prenos sredstev in obveznosti, ne da bi o tem uradno obvestil Banko Slovenije, kar pomeni </w:t>
      </w:r>
      <w:r w:rsidR="00C83CA0" w:rsidRPr="00215B2F">
        <w:rPr>
          <w:rFonts w:ascii="Arial" w:hAnsi="Arial" w:cs="Arial"/>
          <w:sz w:val="20"/>
          <w:szCs w:val="20"/>
        </w:rPr>
        <w:t>kršitev</w:t>
      </w:r>
      <w:r w:rsidRPr="00215B2F">
        <w:rPr>
          <w:rFonts w:ascii="Arial" w:hAnsi="Arial" w:cs="Arial"/>
          <w:sz w:val="20"/>
          <w:szCs w:val="20"/>
        </w:rPr>
        <w:t xml:space="preserve"> </w:t>
      </w:r>
      <w:r w:rsidR="00DB2AA9" w:rsidRPr="00215B2F">
        <w:rPr>
          <w:rFonts w:ascii="Arial" w:hAnsi="Arial" w:cs="Arial"/>
          <w:sz w:val="20"/>
          <w:szCs w:val="20"/>
        </w:rPr>
        <w:t>268</w:t>
      </w:r>
      <w:r w:rsidRPr="00215B2F">
        <w:rPr>
          <w:rFonts w:ascii="Arial" w:hAnsi="Arial" w:cs="Arial"/>
          <w:sz w:val="20"/>
          <w:szCs w:val="20"/>
        </w:rPr>
        <w:t xml:space="preserve">. </w:t>
      </w:r>
      <w:r w:rsidR="001F2C7A" w:rsidRPr="00215B2F">
        <w:rPr>
          <w:rFonts w:ascii="Arial" w:hAnsi="Arial" w:cs="Arial"/>
          <w:sz w:val="20"/>
          <w:szCs w:val="20"/>
        </w:rPr>
        <w:t>člena tega zakona</w:t>
      </w:r>
      <w:r w:rsidRPr="00215B2F">
        <w:rPr>
          <w:rFonts w:ascii="Arial" w:hAnsi="Arial" w:cs="Arial"/>
          <w:sz w:val="20"/>
          <w:szCs w:val="20"/>
        </w:rPr>
        <w:t>;</w:t>
      </w:r>
    </w:p>
    <w:p w14:paraId="3A5A0F3C"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izvede plačila imetnikom instrumentov, vključenih v kapital institucije, kar pomeni kršitev 296. člena tega zakona, ali so taka plačila imetnikom instrumentov, vključenih v kapital, prepovedana na podlagi 28., 52. ali 63. člena Uredbe 575/2013/EU; </w:t>
      </w:r>
    </w:p>
    <w:p w14:paraId="625F2A49"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subjekt nadzora pooblaščeni osebi Banke Slovenije ne omogoči pregleda ali ovira izvajanje njenih nalog in pooblastil na način, določen v 337., 340., 341., 342. in 343. členu tega zakona;</w:t>
      </w:r>
    </w:p>
    <w:p w14:paraId="54D5D925"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posebnemu pooblaščencu iz 354. člena tega zakona ne omogoči izvajanja njegovih nalog ali pooblastil v skladu z določbami 354. in 356. člena tega zakona ali ga ovira pri izvajanju teh nalog in pooblastil;</w:t>
      </w:r>
    </w:p>
    <w:p w14:paraId="4840E1C9"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nadrejena banka, nadrejeni finančni holding ali nadrejeni mešani finančni holding ne sprejme ukrepov, ki bi bili lahko potrebni za zagotovitev skladnosti z bonitetnimi zahtevami iz 3, 4. 6 ali 7. dela Uredbe 575/2013/EU, ali ne vzpostavi skladnosti v roku iz odredbe za vzpostavitev skladnosti v skladu s 377. členom tega zakona, in sicer na konsolidirani ali subkonsolidirani podlagi;</w:t>
      </w:r>
    </w:p>
    <w:p w14:paraId="6ED5A3E7"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lastRenderedPageBreak/>
        <w:t>podrejena družba nadrejeni banki v bančni skupini oziroma banki, ki jo obvladuje nadrejeni finančni holding ali nadrejeni mešani finančni holding, v skladu s prvim odstavkom 421. člena tega zakona ne pošlje vseh informacij, ki jih ta potrebuje za izpolnitev obveznosti na konsolidirani podlagi;</w:t>
      </w:r>
    </w:p>
    <w:p w14:paraId="66BDF0D6"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nadrejeni finančni holding ali nadrejeni mešani finančni holding svoji podrejeni banki v skladu z drugim odstavkom 421. člena tega zakona ne pošlje vseh informacij, ki jih ta potrebuje za izpolnitev obveznosti na konsolidirani podlagi;</w:t>
      </w:r>
    </w:p>
    <w:p w14:paraId="1F39E02B"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podrejena družba, nadrejeni finančni holding ali nadrejeni mešani finančni holding Banki Slovenije oziroma drugemu pristojnemu organu, ki je odgovoren za nadzor na konsolidirani podlagi, v skladu s četrtim odstavkom 421. člena tega zakona ne omogoči, da opravi pregled poslovanja;</w:t>
      </w:r>
    </w:p>
    <w:p w14:paraId="28DDB00A"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mešani poslovni holding oziroma njegova podrejena družba podrejenim bankam, Banki Slovenije oziroma drugim organom, pristojnim in odgovornim za nadzor nad temi bankami, v skladu s prvim odstavkom 423. člena tega zakona ne pošlje vseh informacij, ki so pomembne za nadzor nad temi podrejenimi bankami;</w:t>
      </w:r>
    </w:p>
    <w:p w14:paraId="1D5A48DF" w14:textId="43A034DC"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podrejena družba oziroma nadrejeni mešani poslovni holding Banki Slovenije oziroma drugemu organu, ki je pristojen in odgovoren za nadzor nad podrejenimi bankami, v skladu z drugim odstavkom 423. člena tega zakona ne omogoči, da opravi pregled poslovanja</w:t>
      </w:r>
      <w:r w:rsidR="0011010E" w:rsidRPr="00215B2F">
        <w:rPr>
          <w:rFonts w:ascii="Arial" w:hAnsi="Arial" w:cs="Arial"/>
          <w:sz w:val="20"/>
          <w:szCs w:val="20"/>
        </w:rPr>
        <w:t>;</w:t>
      </w:r>
    </w:p>
    <w:p w14:paraId="3EB25755"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krši zahteve v zvezi s svojim nadrejenim mešanim poslovnim holdingom in njegovimi podrejenimi družbami iz 424. člena tega zakona;</w:t>
      </w:r>
    </w:p>
    <w:p w14:paraId="3F518512" w14:textId="17B9ACDF" w:rsidR="00D91782" w:rsidRPr="00215B2F" w:rsidRDefault="00D91782">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ne sporoča informacij ali zagotavlja nepopolne ali nepravilne informacije glede skladnosti z obveznostjo izpolnjevanja kapitalskih zahtev iz </w:t>
      </w:r>
      <w:r w:rsidR="00C83CA0" w:rsidRPr="00215B2F">
        <w:rPr>
          <w:rFonts w:ascii="Arial" w:hAnsi="Arial" w:cs="Arial"/>
          <w:sz w:val="20"/>
          <w:szCs w:val="20"/>
        </w:rPr>
        <w:t xml:space="preserve">92. </w:t>
      </w:r>
      <w:r w:rsidRPr="00215B2F">
        <w:rPr>
          <w:rFonts w:ascii="Arial" w:hAnsi="Arial" w:cs="Arial"/>
          <w:sz w:val="20"/>
          <w:szCs w:val="20"/>
        </w:rPr>
        <w:t xml:space="preserve">člena Uredbe </w:t>
      </w:r>
      <w:r w:rsidR="0061482B" w:rsidRPr="00215B2F">
        <w:rPr>
          <w:rFonts w:ascii="Arial" w:hAnsi="Arial" w:cs="Arial"/>
          <w:sz w:val="20"/>
          <w:szCs w:val="20"/>
        </w:rPr>
        <w:t>575/2013/EU</w:t>
      </w:r>
      <w:r w:rsidRPr="00215B2F">
        <w:rPr>
          <w:rFonts w:ascii="Arial" w:hAnsi="Arial" w:cs="Arial"/>
          <w:sz w:val="20"/>
          <w:szCs w:val="20"/>
        </w:rPr>
        <w:t>, kar p</w:t>
      </w:r>
      <w:r w:rsidR="00C83CA0" w:rsidRPr="00215B2F">
        <w:rPr>
          <w:rFonts w:ascii="Arial" w:hAnsi="Arial" w:cs="Arial"/>
          <w:sz w:val="20"/>
          <w:szCs w:val="20"/>
        </w:rPr>
        <w:t>omeni</w:t>
      </w:r>
      <w:r w:rsidRPr="00215B2F">
        <w:rPr>
          <w:rFonts w:ascii="Arial" w:hAnsi="Arial" w:cs="Arial"/>
          <w:sz w:val="20"/>
          <w:szCs w:val="20"/>
        </w:rPr>
        <w:t xml:space="preserve"> kršitev člena </w:t>
      </w:r>
      <w:r w:rsidR="008A21BD" w:rsidRPr="00215B2F">
        <w:rPr>
          <w:rFonts w:ascii="Arial" w:hAnsi="Arial" w:cs="Arial"/>
          <w:sz w:val="20"/>
          <w:szCs w:val="20"/>
        </w:rPr>
        <w:t xml:space="preserve">prvega odstavka </w:t>
      </w:r>
      <w:r w:rsidRPr="00215B2F">
        <w:rPr>
          <w:rFonts w:ascii="Arial" w:hAnsi="Arial" w:cs="Arial"/>
          <w:sz w:val="20"/>
          <w:szCs w:val="20"/>
        </w:rPr>
        <w:t>99</w:t>
      </w:r>
      <w:r w:rsidR="008A21BD" w:rsidRPr="00215B2F">
        <w:rPr>
          <w:rFonts w:ascii="Arial" w:hAnsi="Arial" w:cs="Arial"/>
          <w:sz w:val="20"/>
          <w:szCs w:val="20"/>
        </w:rPr>
        <w:t>. člena</w:t>
      </w:r>
      <w:r w:rsidRPr="00215B2F">
        <w:rPr>
          <w:rFonts w:ascii="Arial" w:hAnsi="Arial" w:cs="Arial"/>
          <w:sz w:val="20"/>
          <w:szCs w:val="20"/>
        </w:rPr>
        <w:t xml:space="preserve"> navedene uredbe;</w:t>
      </w:r>
    </w:p>
    <w:p w14:paraId="20C1EC26"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ne izpolnjuje kapitalskih zahtev iz prvega odstavka 92. člena Uredbe 575/2013/EU; </w:t>
      </w:r>
    </w:p>
    <w:p w14:paraId="356ADDAE" w14:textId="1A69A1AC" w:rsidR="00D91782" w:rsidRPr="00215B2F" w:rsidRDefault="00D91782">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ne sporoča informacij v zvezi s podatki iz </w:t>
      </w:r>
      <w:r w:rsidR="00C83CA0" w:rsidRPr="00215B2F">
        <w:rPr>
          <w:rFonts w:ascii="Arial" w:hAnsi="Arial" w:cs="Arial"/>
          <w:sz w:val="20"/>
          <w:szCs w:val="20"/>
        </w:rPr>
        <w:t xml:space="preserve">101. </w:t>
      </w:r>
      <w:r w:rsidRPr="00215B2F">
        <w:rPr>
          <w:rFonts w:ascii="Arial" w:hAnsi="Arial" w:cs="Arial"/>
          <w:sz w:val="20"/>
          <w:szCs w:val="20"/>
        </w:rPr>
        <w:t xml:space="preserve">člena Uredbe </w:t>
      </w:r>
      <w:r w:rsidR="0061482B" w:rsidRPr="00215B2F">
        <w:rPr>
          <w:rFonts w:ascii="Arial" w:hAnsi="Arial" w:cs="Arial"/>
          <w:sz w:val="20"/>
          <w:szCs w:val="20"/>
        </w:rPr>
        <w:t>575/2013/EU</w:t>
      </w:r>
      <w:r w:rsidRPr="00215B2F">
        <w:rPr>
          <w:rFonts w:ascii="Arial" w:hAnsi="Arial" w:cs="Arial"/>
          <w:sz w:val="20"/>
          <w:szCs w:val="20"/>
        </w:rPr>
        <w:t xml:space="preserve"> ali zagotavlja nepopolne ali nepravilne informacije; </w:t>
      </w:r>
    </w:p>
    <w:p w14:paraId="5FC72364" w14:textId="1C374701" w:rsidR="00D91782" w:rsidRPr="00215B2F" w:rsidRDefault="00D91782">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ne sporoča informacij o veliki izpostavljenosti, kar p</w:t>
      </w:r>
      <w:r w:rsidR="00C83CA0" w:rsidRPr="00215B2F">
        <w:rPr>
          <w:rFonts w:ascii="Arial" w:hAnsi="Arial" w:cs="Arial"/>
          <w:sz w:val="20"/>
          <w:szCs w:val="20"/>
        </w:rPr>
        <w:t>omeni</w:t>
      </w:r>
      <w:r w:rsidRPr="00215B2F">
        <w:rPr>
          <w:rFonts w:ascii="Arial" w:hAnsi="Arial" w:cs="Arial"/>
          <w:sz w:val="20"/>
          <w:szCs w:val="20"/>
        </w:rPr>
        <w:t xml:space="preserve"> kršitev </w:t>
      </w:r>
      <w:r w:rsidR="008A21BD" w:rsidRPr="00215B2F">
        <w:rPr>
          <w:rFonts w:ascii="Arial" w:hAnsi="Arial" w:cs="Arial"/>
          <w:sz w:val="20"/>
          <w:szCs w:val="20"/>
        </w:rPr>
        <w:t xml:space="preserve">prvega odstavka 394. </w:t>
      </w:r>
      <w:r w:rsidRPr="00215B2F">
        <w:rPr>
          <w:rFonts w:ascii="Arial" w:hAnsi="Arial" w:cs="Arial"/>
          <w:sz w:val="20"/>
          <w:szCs w:val="20"/>
        </w:rPr>
        <w:t xml:space="preserve">člena Uredbe </w:t>
      </w:r>
      <w:r w:rsidR="0061482B" w:rsidRPr="00215B2F">
        <w:rPr>
          <w:rFonts w:ascii="Arial" w:hAnsi="Arial" w:cs="Arial"/>
          <w:sz w:val="20"/>
          <w:szCs w:val="20"/>
        </w:rPr>
        <w:t>575/2013/EU</w:t>
      </w:r>
      <w:r w:rsidR="00C83CA0" w:rsidRPr="00215B2F">
        <w:rPr>
          <w:rFonts w:ascii="Arial" w:hAnsi="Arial" w:cs="Arial"/>
          <w:sz w:val="20"/>
          <w:szCs w:val="20"/>
        </w:rPr>
        <w:t>,</w:t>
      </w:r>
      <w:r w:rsidRPr="00215B2F">
        <w:rPr>
          <w:rFonts w:ascii="Arial" w:hAnsi="Arial" w:cs="Arial"/>
          <w:sz w:val="20"/>
          <w:szCs w:val="20"/>
        </w:rPr>
        <w:t xml:space="preserve"> ali zagotavlja nepopolne ali nepravilne informacije; </w:t>
      </w:r>
    </w:p>
    <w:p w14:paraId="4237CA1E"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doseže izpostavljenost, ki presega omejitve iz 395. člena Uredbe 575/2013/EU; </w:t>
      </w:r>
    </w:p>
    <w:p w14:paraId="7B32F249"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je izpostavljena kreditnemu tveganju pozicije v listinjenju, ne da bi izpolnjevala pogoje iz 405. člena Uredbe 575/2013/EU; </w:t>
      </w:r>
    </w:p>
    <w:p w14:paraId="04C1A5F1"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večkrat ne razpolaga z likvidnimi sredstvi, kar pomeni kršitev 412. člena Uredbe 575/2013/EU; </w:t>
      </w:r>
    </w:p>
    <w:p w14:paraId="3937F00A"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ne ohranja količnika neto stabilnega financiranja, kar pomeni kršitev 413. ali 428.b člena Uredbe 575/2013/EU;</w:t>
      </w:r>
    </w:p>
    <w:p w14:paraId="75A5A298" w14:textId="5B00F354" w:rsidR="00D91782" w:rsidRPr="00215B2F" w:rsidRDefault="00D91782">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ne sporoča informacij o likvidnosti, kar p</w:t>
      </w:r>
      <w:r w:rsidR="00C83CA0" w:rsidRPr="00215B2F">
        <w:rPr>
          <w:rFonts w:ascii="Arial" w:hAnsi="Arial" w:cs="Arial"/>
          <w:sz w:val="20"/>
          <w:szCs w:val="20"/>
        </w:rPr>
        <w:t>omeni</w:t>
      </w:r>
      <w:r w:rsidRPr="00215B2F">
        <w:rPr>
          <w:rFonts w:ascii="Arial" w:hAnsi="Arial" w:cs="Arial"/>
          <w:sz w:val="20"/>
          <w:szCs w:val="20"/>
        </w:rPr>
        <w:t xml:space="preserve"> kršitev člena </w:t>
      </w:r>
      <w:r w:rsidR="008A21BD" w:rsidRPr="00215B2F">
        <w:rPr>
          <w:rFonts w:ascii="Arial" w:hAnsi="Arial" w:cs="Arial"/>
          <w:sz w:val="20"/>
          <w:szCs w:val="20"/>
        </w:rPr>
        <w:t xml:space="preserve">prvega in drugega odstavka </w:t>
      </w:r>
      <w:r w:rsidRPr="00215B2F">
        <w:rPr>
          <w:rFonts w:ascii="Arial" w:hAnsi="Arial" w:cs="Arial"/>
          <w:sz w:val="20"/>
          <w:szCs w:val="20"/>
        </w:rPr>
        <w:t>415</w:t>
      </w:r>
      <w:r w:rsidR="008A21BD" w:rsidRPr="00215B2F">
        <w:rPr>
          <w:rFonts w:ascii="Arial" w:hAnsi="Arial" w:cs="Arial"/>
          <w:sz w:val="20"/>
          <w:szCs w:val="20"/>
        </w:rPr>
        <w:t>. člena</w:t>
      </w:r>
      <w:r w:rsidRPr="00215B2F">
        <w:rPr>
          <w:rFonts w:ascii="Arial" w:hAnsi="Arial" w:cs="Arial"/>
          <w:sz w:val="20"/>
          <w:szCs w:val="20"/>
        </w:rPr>
        <w:t xml:space="preserve"> Uredbe </w:t>
      </w:r>
      <w:r w:rsidR="0061482B" w:rsidRPr="00215B2F">
        <w:rPr>
          <w:rFonts w:ascii="Arial" w:hAnsi="Arial" w:cs="Arial"/>
          <w:sz w:val="20"/>
          <w:szCs w:val="20"/>
        </w:rPr>
        <w:t>575/2013/EU</w:t>
      </w:r>
      <w:r w:rsidR="00C83CA0" w:rsidRPr="00215B2F">
        <w:rPr>
          <w:rFonts w:ascii="Arial" w:hAnsi="Arial" w:cs="Arial"/>
          <w:sz w:val="20"/>
          <w:szCs w:val="20"/>
        </w:rPr>
        <w:t>,</w:t>
      </w:r>
      <w:r w:rsidRPr="00215B2F">
        <w:rPr>
          <w:rFonts w:ascii="Arial" w:hAnsi="Arial" w:cs="Arial"/>
          <w:sz w:val="20"/>
          <w:szCs w:val="20"/>
        </w:rPr>
        <w:t xml:space="preserve"> ali zagotavlja nepopolne ali nepravilne informacije; </w:t>
      </w:r>
    </w:p>
    <w:p w14:paraId="6E5B974E" w14:textId="461E0542" w:rsidR="00D91782" w:rsidRPr="00215B2F" w:rsidRDefault="00D91782">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pristojnim organom ne sporoča informacij o količniku finančnega vzvoda, kar p</w:t>
      </w:r>
      <w:r w:rsidR="00C83CA0" w:rsidRPr="00215B2F">
        <w:rPr>
          <w:rFonts w:ascii="Arial" w:hAnsi="Arial" w:cs="Arial"/>
          <w:sz w:val="20"/>
          <w:szCs w:val="20"/>
        </w:rPr>
        <w:t>omeni</w:t>
      </w:r>
      <w:r w:rsidRPr="00215B2F">
        <w:rPr>
          <w:rFonts w:ascii="Arial" w:hAnsi="Arial" w:cs="Arial"/>
          <w:sz w:val="20"/>
          <w:szCs w:val="20"/>
        </w:rPr>
        <w:t xml:space="preserve"> kršitev </w:t>
      </w:r>
      <w:r w:rsidR="008A21BD" w:rsidRPr="00215B2F">
        <w:rPr>
          <w:rFonts w:ascii="Arial" w:hAnsi="Arial" w:cs="Arial"/>
          <w:sz w:val="20"/>
          <w:szCs w:val="20"/>
        </w:rPr>
        <w:t xml:space="preserve">prvega odstavka 430. </w:t>
      </w:r>
      <w:r w:rsidRPr="00215B2F">
        <w:rPr>
          <w:rFonts w:ascii="Arial" w:hAnsi="Arial" w:cs="Arial"/>
          <w:sz w:val="20"/>
          <w:szCs w:val="20"/>
        </w:rPr>
        <w:t xml:space="preserve">člena Uredbe </w:t>
      </w:r>
      <w:r w:rsidR="0061482B" w:rsidRPr="00215B2F">
        <w:rPr>
          <w:rFonts w:ascii="Arial" w:hAnsi="Arial" w:cs="Arial"/>
          <w:sz w:val="20"/>
          <w:szCs w:val="20"/>
        </w:rPr>
        <w:t>575/2013/EU</w:t>
      </w:r>
      <w:r w:rsidR="00C83CA0" w:rsidRPr="00215B2F">
        <w:rPr>
          <w:rFonts w:ascii="Arial" w:hAnsi="Arial" w:cs="Arial"/>
          <w:sz w:val="20"/>
          <w:szCs w:val="20"/>
        </w:rPr>
        <w:t>,</w:t>
      </w:r>
      <w:r w:rsidRPr="00215B2F">
        <w:rPr>
          <w:rFonts w:ascii="Arial" w:hAnsi="Arial" w:cs="Arial"/>
          <w:sz w:val="20"/>
          <w:szCs w:val="20"/>
        </w:rPr>
        <w:t xml:space="preserve"> ali zagotavlja nepopolne ali nepravilne informacije; </w:t>
      </w:r>
    </w:p>
    <w:p w14:paraId="0F508809"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ne sporoča informacij v zvezi s podatki iz prvega do tretjega odstavka 430. člena ter 430a člena Uredbe 575/2013/EU ali sporoča nepopolne ali nepravilne informacije; </w:t>
      </w:r>
    </w:p>
    <w:p w14:paraId="4B82BDE6" w14:textId="15356C57" w:rsidR="00D91782" w:rsidRPr="00215B2F" w:rsidRDefault="00D91782">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ne razkrije informacij, kar p</w:t>
      </w:r>
      <w:r w:rsidR="00C83CA0" w:rsidRPr="00215B2F">
        <w:rPr>
          <w:rFonts w:ascii="Arial" w:hAnsi="Arial" w:cs="Arial"/>
          <w:sz w:val="20"/>
          <w:szCs w:val="20"/>
        </w:rPr>
        <w:t>omeni</w:t>
      </w:r>
      <w:r w:rsidRPr="00215B2F">
        <w:rPr>
          <w:rFonts w:ascii="Arial" w:hAnsi="Arial" w:cs="Arial"/>
          <w:sz w:val="20"/>
          <w:szCs w:val="20"/>
        </w:rPr>
        <w:t xml:space="preserve"> kršitev </w:t>
      </w:r>
      <w:r w:rsidR="008A21BD" w:rsidRPr="00215B2F">
        <w:rPr>
          <w:rFonts w:ascii="Arial" w:hAnsi="Arial" w:cs="Arial"/>
          <w:sz w:val="20"/>
          <w:szCs w:val="20"/>
        </w:rPr>
        <w:t xml:space="preserve">prvega, drugega in tretjega </w:t>
      </w:r>
      <w:r w:rsidR="00054679" w:rsidRPr="00215B2F">
        <w:rPr>
          <w:rFonts w:ascii="Arial" w:hAnsi="Arial" w:cs="Arial"/>
          <w:sz w:val="20"/>
          <w:szCs w:val="20"/>
        </w:rPr>
        <w:t xml:space="preserve">odstavka </w:t>
      </w:r>
      <w:r w:rsidRPr="00215B2F">
        <w:rPr>
          <w:rFonts w:ascii="Arial" w:hAnsi="Arial" w:cs="Arial"/>
          <w:sz w:val="20"/>
          <w:szCs w:val="20"/>
        </w:rPr>
        <w:t>431</w:t>
      </w:r>
      <w:r w:rsidR="008A21BD" w:rsidRPr="00215B2F">
        <w:rPr>
          <w:rFonts w:ascii="Arial" w:hAnsi="Arial" w:cs="Arial"/>
          <w:sz w:val="20"/>
          <w:szCs w:val="20"/>
        </w:rPr>
        <w:t>. člena</w:t>
      </w:r>
      <w:r w:rsidRPr="00215B2F">
        <w:rPr>
          <w:rFonts w:ascii="Arial" w:hAnsi="Arial" w:cs="Arial"/>
          <w:sz w:val="20"/>
          <w:szCs w:val="20"/>
        </w:rPr>
        <w:t xml:space="preserve"> ali </w:t>
      </w:r>
      <w:r w:rsidR="008A21BD" w:rsidRPr="00215B2F">
        <w:rPr>
          <w:rFonts w:ascii="Arial" w:hAnsi="Arial" w:cs="Arial"/>
          <w:sz w:val="20"/>
          <w:szCs w:val="20"/>
        </w:rPr>
        <w:t xml:space="preserve">prvega odstavka </w:t>
      </w:r>
      <w:r w:rsidRPr="00215B2F">
        <w:rPr>
          <w:rFonts w:ascii="Arial" w:hAnsi="Arial" w:cs="Arial"/>
          <w:sz w:val="20"/>
          <w:szCs w:val="20"/>
        </w:rPr>
        <w:t>451</w:t>
      </w:r>
      <w:r w:rsidR="008A21BD" w:rsidRPr="00215B2F">
        <w:rPr>
          <w:rFonts w:ascii="Arial" w:hAnsi="Arial" w:cs="Arial"/>
          <w:sz w:val="20"/>
          <w:szCs w:val="20"/>
        </w:rPr>
        <w:t>. člena</w:t>
      </w:r>
      <w:r w:rsidRPr="00215B2F">
        <w:rPr>
          <w:rFonts w:ascii="Arial" w:hAnsi="Arial" w:cs="Arial"/>
          <w:sz w:val="20"/>
          <w:szCs w:val="20"/>
        </w:rPr>
        <w:t xml:space="preserve"> Uredbe </w:t>
      </w:r>
      <w:r w:rsidR="0061482B" w:rsidRPr="00215B2F">
        <w:rPr>
          <w:rFonts w:ascii="Arial" w:hAnsi="Arial" w:cs="Arial"/>
          <w:sz w:val="20"/>
          <w:szCs w:val="20"/>
        </w:rPr>
        <w:t>575/2013/EU</w:t>
      </w:r>
      <w:r w:rsidR="00C83CA0" w:rsidRPr="00215B2F">
        <w:rPr>
          <w:rFonts w:ascii="Arial" w:hAnsi="Arial" w:cs="Arial"/>
          <w:sz w:val="20"/>
          <w:szCs w:val="20"/>
        </w:rPr>
        <w:t>,</w:t>
      </w:r>
      <w:r w:rsidRPr="00215B2F">
        <w:rPr>
          <w:rFonts w:ascii="Arial" w:hAnsi="Arial" w:cs="Arial"/>
          <w:sz w:val="20"/>
          <w:szCs w:val="20"/>
        </w:rPr>
        <w:t xml:space="preserve"> ali zagotavlja nepopolne ali nepravilne informacije; </w:t>
      </w:r>
    </w:p>
    <w:p w14:paraId="6127A3BC" w14:textId="694EDAA2" w:rsidR="00D91782" w:rsidRPr="00215B2F" w:rsidRDefault="00D91782">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ne izpolnjuje zahtev v zvezi s sestavo, pogoji, prilagoditvami in odbitki v zvezi s kapitalom, k</w:t>
      </w:r>
      <w:r w:rsidR="006B0B0E" w:rsidRPr="00215B2F">
        <w:rPr>
          <w:rFonts w:ascii="Arial" w:hAnsi="Arial" w:cs="Arial"/>
          <w:sz w:val="20"/>
          <w:szCs w:val="20"/>
        </w:rPr>
        <w:t>akor</w:t>
      </w:r>
      <w:r w:rsidRPr="00215B2F">
        <w:rPr>
          <w:rFonts w:ascii="Arial" w:hAnsi="Arial" w:cs="Arial"/>
          <w:sz w:val="20"/>
          <w:szCs w:val="20"/>
        </w:rPr>
        <w:t xml:space="preserve"> je določeno v </w:t>
      </w:r>
      <w:r w:rsidR="008A21BD" w:rsidRPr="00215B2F">
        <w:rPr>
          <w:rFonts w:ascii="Arial" w:hAnsi="Arial" w:cs="Arial"/>
          <w:sz w:val="20"/>
          <w:szCs w:val="20"/>
        </w:rPr>
        <w:t xml:space="preserve">2. </w:t>
      </w:r>
      <w:r w:rsidRPr="00215B2F">
        <w:rPr>
          <w:rFonts w:ascii="Arial" w:hAnsi="Arial" w:cs="Arial"/>
          <w:sz w:val="20"/>
          <w:szCs w:val="20"/>
        </w:rPr>
        <w:t xml:space="preserve">delu Uredbe </w:t>
      </w:r>
      <w:r w:rsidR="0061482B" w:rsidRPr="00215B2F">
        <w:rPr>
          <w:rFonts w:ascii="Arial" w:hAnsi="Arial" w:cs="Arial"/>
          <w:sz w:val="20"/>
          <w:szCs w:val="20"/>
        </w:rPr>
        <w:t>575/2013/EU</w:t>
      </w:r>
      <w:r w:rsidRPr="00215B2F">
        <w:rPr>
          <w:rFonts w:ascii="Arial" w:hAnsi="Arial" w:cs="Arial"/>
          <w:sz w:val="20"/>
          <w:szCs w:val="20"/>
        </w:rPr>
        <w:t xml:space="preserve">; </w:t>
      </w:r>
    </w:p>
    <w:p w14:paraId="48C13C64" w14:textId="7E82A708" w:rsidR="00D91782" w:rsidRPr="00215B2F" w:rsidRDefault="00D91782">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ne izpolnjuje zahtev v zvezi z velikimi izpostavljenostmi do stranke ali skupine povezanih strank iz </w:t>
      </w:r>
      <w:r w:rsidR="008A21BD" w:rsidRPr="00215B2F">
        <w:rPr>
          <w:rFonts w:ascii="Arial" w:hAnsi="Arial" w:cs="Arial"/>
          <w:sz w:val="20"/>
          <w:szCs w:val="20"/>
        </w:rPr>
        <w:t xml:space="preserve">4. </w:t>
      </w:r>
      <w:r w:rsidRPr="00215B2F">
        <w:rPr>
          <w:rFonts w:ascii="Arial" w:hAnsi="Arial" w:cs="Arial"/>
          <w:sz w:val="20"/>
          <w:szCs w:val="20"/>
        </w:rPr>
        <w:t xml:space="preserve">dela Uredbe </w:t>
      </w:r>
      <w:r w:rsidR="0061482B" w:rsidRPr="00215B2F">
        <w:rPr>
          <w:rFonts w:ascii="Arial" w:hAnsi="Arial" w:cs="Arial"/>
          <w:sz w:val="20"/>
          <w:szCs w:val="20"/>
        </w:rPr>
        <w:t>575/2013/EU</w:t>
      </w:r>
      <w:r w:rsidRPr="00215B2F">
        <w:rPr>
          <w:rFonts w:ascii="Arial" w:hAnsi="Arial" w:cs="Arial"/>
          <w:sz w:val="20"/>
          <w:szCs w:val="20"/>
        </w:rPr>
        <w:t xml:space="preserve">; </w:t>
      </w:r>
    </w:p>
    <w:p w14:paraId="383691AF" w14:textId="1D6D3E21" w:rsidR="00D91782" w:rsidRPr="00215B2F" w:rsidRDefault="00D91782">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ne izpolnjuje zahtev v zvezi z izračunom količnika finančnega vzvoda, vključno z uporabo odstopanj iz </w:t>
      </w:r>
      <w:r w:rsidR="008A21BD" w:rsidRPr="00215B2F">
        <w:rPr>
          <w:rFonts w:ascii="Arial" w:hAnsi="Arial" w:cs="Arial"/>
          <w:sz w:val="20"/>
          <w:szCs w:val="20"/>
        </w:rPr>
        <w:t xml:space="preserve">7. </w:t>
      </w:r>
      <w:r w:rsidRPr="00215B2F">
        <w:rPr>
          <w:rFonts w:ascii="Arial" w:hAnsi="Arial" w:cs="Arial"/>
          <w:sz w:val="20"/>
          <w:szCs w:val="20"/>
        </w:rPr>
        <w:t xml:space="preserve">dela Uredbe </w:t>
      </w:r>
      <w:r w:rsidR="0061482B" w:rsidRPr="00215B2F">
        <w:rPr>
          <w:rFonts w:ascii="Arial" w:hAnsi="Arial" w:cs="Arial"/>
          <w:sz w:val="20"/>
          <w:szCs w:val="20"/>
        </w:rPr>
        <w:t>575/2013/EU</w:t>
      </w:r>
      <w:r w:rsidRPr="00215B2F">
        <w:rPr>
          <w:rFonts w:ascii="Arial" w:hAnsi="Arial" w:cs="Arial"/>
          <w:sz w:val="20"/>
          <w:szCs w:val="20"/>
        </w:rPr>
        <w:t xml:space="preserve">; </w:t>
      </w:r>
    </w:p>
    <w:p w14:paraId="5F059FB0" w14:textId="03137F70" w:rsidR="00D91782" w:rsidRPr="00215B2F" w:rsidRDefault="00D91782">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ne izpolnjuje zahtev glede zbiranja podatkov in upravljanja iz </w:t>
      </w:r>
      <w:r w:rsidR="008A21BD" w:rsidRPr="00215B2F">
        <w:rPr>
          <w:rFonts w:ascii="Arial" w:hAnsi="Arial" w:cs="Arial"/>
          <w:sz w:val="20"/>
          <w:szCs w:val="20"/>
        </w:rPr>
        <w:t xml:space="preserve">2. poglavja III naslova 3. </w:t>
      </w:r>
      <w:r w:rsidRPr="00215B2F">
        <w:rPr>
          <w:rFonts w:ascii="Arial" w:hAnsi="Arial" w:cs="Arial"/>
          <w:sz w:val="20"/>
          <w:szCs w:val="20"/>
        </w:rPr>
        <w:t xml:space="preserve">dela Uredbe </w:t>
      </w:r>
      <w:r w:rsidR="0061482B" w:rsidRPr="00215B2F">
        <w:rPr>
          <w:rFonts w:ascii="Arial" w:hAnsi="Arial" w:cs="Arial"/>
          <w:sz w:val="20"/>
          <w:szCs w:val="20"/>
        </w:rPr>
        <w:t>575/2013/EU</w:t>
      </w:r>
      <w:r w:rsidRPr="00215B2F">
        <w:rPr>
          <w:rFonts w:ascii="Arial" w:hAnsi="Arial" w:cs="Arial"/>
          <w:sz w:val="20"/>
          <w:szCs w:val="20"/>
        </w:rPr>
        <w:t xml:space="preserve">; </w:t>
      </w:r>
    </w:p>
    <w:p w14:paraId="75CC11D4" w14:textId="08273FAD" w:rsidR="00D91782" w:rsidRPr="00215B2F" w:rsidRDefault="00D91782">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ne izpolnjuje zahtev v zvezi z izračunom zneskov tveganju prilagojenih izpostavljenosti ali kapitalskih zahtev ali nima vzpostavljenih ureditev upravljanja iz dela 3, naslovi II do VI, Uredbe </w:t>
      </w:r>
      <w:r w:rsidR="0061482B" w:rsidRPr="00215B2F">
        <w:rPr>
          <w:rFonts w:ascii="Arial" w:hAnsi="Arial" w:cs="Arial"/>
          <w:sz w:val="20"/>
          <w:szCs w:val="20"/>
        </w:rPr>
        <w:t>575/2013/EU</w:t>
      </w:r>
      <w:r w:rsidRPr="00215B2F">
        <w:rPr>
          <w:rFonts w:ascii="Arial" w:hAnsi="Arial" w:cs="Arial"/>
          <w:sz w:val="20"/>
          <w:szCs w:val="20"/>
        </w:rPr>
        <w:t xml:space="preserve">; </w:t>
      </w:r>
    </w:p>
    <w:p w14:paraId="30D4EBA0" w14:textId="307225C6" w:rsidR="00D91782" w:rsidRPr="00215B2F" w:rsidRDefault="00D91782">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ne izpolnjuje zahtev v zvezi z izračunom količnika likvidnostnega kritja ali količnika neto stabilnega financiranja, k</w:t>
      </w:r>
      <w:r w:rsidR="006B0B0E" w:rsidRPr="00215B2F">
        <w:rPr>
          <w:rFonts w:ascii="Arial" w:hAnsi="Arial" w:cs="Arial"/>
          <w:sz w:val="20"/>
          <w:szCs w:val="20"/>
        </w:rPr>
        <w:t>akor</w:t>
      </w:r>
      <w:r w:rsidRPr="00215B2F">
        <w:rPr>
          <w:rFonts w:ascii="Arial" w:hAnsi="Arial" w:cs="Arial"/>
          <w:sz w:val="20"/>
          <w:szCs w:val="20"/>
        </w:rPr>
        <w:t xml:space="preserve"> je določen v </w:t>
      </w:r>
      <w:r w:rsidR="008A21BD" w:rsidRPr="00215B2F">
        <w:rPr>
          <w:rFonts w:ascii="Arial" w:hAnsi="Arial" w:cs="Arial"/>
          <w:sz w:val="20"/>
          <w:szCs w:val="20"/>
        </w:rPr>
        <w:t xml:space="preserve">I. in IV. naslovu 6. </w:t>
      </w:r>
      <w:r w:rsidRPr="00215B2F">
        <w:rPr>
          <w:rFonts w:ascii="Arial" w:hAnsi="Arial" w:cs="Arial"/>
          <w:sz w:val="20"/>
          <w:szCs w:val="20"/>
        </w:rPr>
        <w:t>del</w:t>
      </w:r>
      <w:r w:rsidR="008A21BD" w:rsidRPr="00215B2F">
        <w:rPr>
          <w:rFonts w:ascii="Arial" w:hAnsi="Arial" w:cs="Arial"/>
          <w:sz w:val="20"/>
          <w:szCs w:val="20"/>
        </w:rPr>
        <w:t>a</w:t>
      </w:r>
      <w:r w:rsidRPr="00215B2F">
        <w:rPr>
          <w:rFonts w:ascii="Arial" w:hAnsi="Arial" w:cs="Arial"/>
          <w:sz w:val="20"/>
          <w:szCs w:val="20"/>
        </w:rPr>
        <w:t xml:space="preserve"> Uredbe </w:t>
      </w:r>
      <w:r w:rsidR="0061482B" w:rsidRPr="00215B2F">
        <w:rPr>
          <w:rFonts w:ascii="Arial" w:hAnsi="Arial" w:cs="Arial"/>
          <w:sz w:val="20"/>
          <w:szCs w:val="20"/>
        </w:rPr>
        <w:t>575/2013/EU</w:t>
      </w:r>
      <w:r w:rsidRPr="00215B2F">
        <w:rPr>
          <w:rFonts w:ascii="Arial" w:hAnsi="Arial" w:cs="Arial"/>
          <w:sz w:val="20"/>
          <w:szCs w:val="20"/>
        </w:rPr>
        <w:t xml:space="preserve"> ter v Delegirani uredbi 2015/61</w:t>
      </w:r>
      <w:r w:rsidR="007A1FDE" w:rsidRPr="00215B2F">
        <w:rPr>
          <w:rFonts w:ascii="Arial" w:hAnsi="Arial" w:cs="Arial"/>
          <w:sz w:val="20"/>
          <w:szCs w:val="20"/>
        </w:rPr>
        <w:t>/EU</w:t>
      </w:r>
      <w:r w:rsidRPr="00215B2F">
        <w:rPr>
          <w:rFonts w:ascii="Arial" w:hAnsi="Arial" w:cs="Arial"/>
          <w:sz w:val="20"/>
          <w:szCs w:val="20"/>
        </w:rPr>
        <w:t>;</w:t>
      </w:r>
    </w:p>
    <w:p w14:paraId="710A8193"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ali drug subjekt nadzora je pridobil katero koli dovoljenje po tem zakonu na podlagi neresničnih navedb ali na druge nepravilne načine; </w:t>
      </w:r>
    </w:p>
    <w:p w14:paraId="05734F2F"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lastRenderedPageBreak/>
        <w:t xml:space="preserve">subjekt nadzora, ki je pravna ali fizična oseba, ne ravna v skladu z odločitvijo, ki jo Banka Slovenije ali Evropska centralna banka naloži v skladu s tem zakonom ali Uredbo 575/2013/EU; </w:t>
      </w:r>
    </w:p>
    <w:p w14:paraId="65D13EF8" w14:textId="41DEA8AA"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ukrepa brez predhodnega dovoljenja ali odobritve Banke Slovenije, kadar ta zakon ali Uredba (EU) 575/2013/EU od banke zahteva, da pridobi tako predhodno dovoljenje ali odobritev, ali pa je banka pridobila tako dovoljenje ali odobritev na podlagi neresničnih izjav ali ne izpolnjuje pogojev, pod katerimi je bilo tako dovoljenje izdano.</w:t>
      </w:r>
    </w:p>
    <w:p w14:paraId="699DB47D"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je spoznana za odgovorno za hudo kršitev nacionalnih določb, sprejetih na podlagi Direktive 2005/60/ES; </w:t>
      </w:r>
    </w:p>
    <w:p w14:paraId="4D35B47B" w14:textId="77777777" w:rsidR="0037482B" w:rsidRPr="00215B2F" w:rsidRDefault="0037482B" w:rsidP="0037482B">
      <w:pPr>
        <w:numPr>
          <w:ilvl w:val="0"/>
          <w:numId w:val="25"/>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je eni ali več osebam, ki ne izpolnjujejo zahtev iz tega zakona za opravljanje funkcije člana upravljalnega organa, omogočila, da postanejo ali ostanejo člani upravljalnega organa, tudi v njegovi nadzorni funkciji ali višjega vodstva banke; </w:t>
      </w:r>
    </w:p>
    <w:p w14:paraId="7E27C9A0" w14:textId="77777777" w:rsidR="0037482B" w:rsidRPr="00215B2F" w:rsidRDefault="0037482B" w:rsidP="00FD5520">
      <w:pPr>
        <w:shd w:val="clear" w:color="auto" w:fill="FFFFFF" w:themeFill="background1"/>
        <w:spacing w:after="0" w:line="240" w:lineRule="auto"/>
        <w:jc w:val="both"/>
        <w:rPr>
          <w:rFonts w:ascii="Arial" w:hAnsi="Arial" w:cs="Arial"/>
          <w:sz w:val="20"/>
          <w:szCs w:val="20"/>
        </w:rPr>
      </w:pPr>
    </w:p>
    <w:p w14:paraId="439C8BE2" w14:textId="5DEA65F6" w:rsidR="001528CC" w:rsidRPr="00215B2F" w:rsidRDefault="001528CC" w:rsidP="00FD5520">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(2) Banka Slovenije lahko izreče administrativn</w:t>
      </w:r>
      <w:r w:rsidR="00BA10ED" w:rsidRPr="00215B2F">
        <w:rPr>
          <w:rFonts w:ascii="Arial" w:hAnsi="Arial" w:cs="Arial"/>
          <w:sz w:val="20"/>
          <w:szCs w:val="20"/>
        </w:rPr>
        <w:t>o sankcijo</w:t>
      </w:r>
      <w:r w:rsidRPr="00215B2F">
        <w:rPr>
          <w:rFonts w:ascii="Arial" w:hAnsi="Arial" w:cs="Arial"/>
          <w:sz w:val="20"/>
          <w:szCs w:val="20"/>
        </w:rPr>
        <w:t xml:space="preserve"> samo, če </w:t>
      </w:r>
      <w:r w:rsidR="00BA10ED" w:rsidRPr="00215B2F">
        <w:rPr>
          <w:rFonts w:ascii="Arial" w:hAnsi="Arial" w:cs="Arial"/>
          <w:sz w:val="20"/>
          <w:szCs w:val="20"/>
        </w:rPr>
        <w:t xml:space="preserve">je dejanje subjekta nadzora, ki pomeni kršitev predpisov iz tretjega odstavka 9. člena tega zakona, bilo z zakonom določeno kot kršitev, za katero se lahko izreče administrativna sankcija in predpisana administrativna sankcija. </w:t>
      </w:r>
    </w:p>
    <w:p w14:paraId="018C8F11" w14:textId="77777777" w:rsidR="00BA10ED" w:rsidRPr="00215B2F" w:rsidRDefault="00BA10ED" w:rsidP="00FD5520">
      <w:pPr>
        <w:shd w:val="clear" w:color="auto" w:fill="FFFFFF" w:themeFill="background1"/>
        <w:spacing w:after="0" w:line="240" w:lineRule="auto"/>
        <w:jc w:val="both"/>
        <w:rPr>
          <w:rFonts w:ascii="Arial" w:hAnsi="Arial" w:cs="Arial"/>
          <w:sz w:val="20"/>
          <w:szCs w:val="20"/>
        </w:rPr>
      </w:pPr>
    </w:p>
    <w:p w14:paraId="636BA625" w14:textId="6F317220" w:rsidR="00BA10ED" w:rsidRPr="00215B2F" w:rsidRDefault="00BA10ED" w:rsidP="00FD5520">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(3) Če se po storitvi kršitve spremenijo določbe o administrativni sankciji, se uporabi zakon, ki je za subjekt nadzora milejši. </w:t>
      </w:r>
    </w:p>
    <w:p w14:paraId="4B2C8547" w14:textId="77777777" w:rsidR="00BA10ED" w:rsidRPr="00215B2F" w:rsidRDefault="00BA10ED" w:rsidP="00FD5520">
      <w:pPr>
        <w:shd w:val="clear" w:color="auto" w:fill="FFFFFF" w:themeFill="background1"/>
        <w:spacing w:after="0" w:line="240" w:lineRule="auto"/>
        <w:jc w:val="both"/>
        <w:rPr>
          <w:rFonts w:ascii="Arial" w:hAnsi="Arial" w:cs="Arial"/>
          <w:sz w:val="20"/>
          <w:szCs w:val="20"/>
        </w:rPr>
      </w:pPr>
    </w:p>
    <w:bookmarkEnd w:id="455"/>
    <w:p w14:paraId="70F8F897" w14:textId="1454310C" w:rsidR="00D91782" w:rsidRPr="00215B2F" w:rsidRDefault="005A6F6E"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11</w:t>
      </w:r>
      <w:r w:rsidR="00D91782" w:rsidRPr="00215B2F">
        <w:rPr>
          <w:rFonts w:ascii="Arial" w:eastAsia="Arial" w:hAnsi="Arial" w:cs="Arial"/>
          <w:b/>
          <w:bCs/>
          <w:sz w:val="20"/>
          <w:szCs w:val="20"/>
        </w:rPr>
        <w:t>.2 PERIODIČNE DENARNE KAZNI</w:t>
      </w:r>
    </w:p>
    <w:p w14:paraId="1A65A761"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48D2E4B7"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56" w:name="_Ref202967928"/>
      <w:r w:rsidRPr="00215B2F">
        <w:rPr>
          <w:rFonts w:ascii="Arial" w:eastAsia="Arial" w:hAnsi="Arial" w:cs="Arial"/>
          <w:b/>
          <w:bCs/>
          <w:sz w:val="20"/>
          <w:szCs w:val="20"/>
        </w:rPr>
        <w:t>člen</w:t>
      </w:r>
      <w:bookmarkEnd w:id="456"/>
    </w:p>
    <w:p w14:paraId="72070AEE" w14:textId="77777777" w:rsidR="00D91782" w:rsidRPr="00215B2F" w:rsidRDefault="00D91782" w:rsidP="00FD5520">
      <w:pPr>
        <w:pStyle w:val="Slog1"/>
        <w:shd w:val="clear" w:color="auto" w:fill="FFFFFF" w:themeFill="background1"/>
        <w:rPr>
          <w:sz w:val="20"/>
          <w:szCs w:val="20"/>
        </w:rPr>
      </w:pPr>
      <w:r w:rsidRPr="00215B2F">
        <w:rPr>
          <w:sz w:val="20"/>
          <w:szCs w:val="20"/>
        </w:rPr>
        <w:t>(periodične denarne kazni)</w:t>
      </w:r>
    </w:p>
    <w:p w14:paraId="133B3211" w14:textId="77777777" w:rsidR="00D91782" w:rsidRPr="00215B2F" w:rsidRDefault="00D91782" w:rsidP="00FD5520">
      <w:pPr>
        <w:pStyle w:val="Slog1"/>
        <w:shd w:val="clear" w:color="auto" w:fill="FFFFFF" w:themeFill="background1"/>
        <w:jc w:val="both"/>
        <w:rPr>
          <w:sz w:val="20"/>
          <w:szCs w:val="20"/>
        </w:rPr>
      </w:pPr>
    </w:p>
    <w:p w14:paraId="60FC7557" w14:textId="165DA5A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banki oziroma drugemu subjektu nadzora z odredbo naloži plačilo periodične denarne kazni za vsak dan katere koli trajajoče kršitve iz </w:t>
      </w:r>
      <w:r w:rsidR="005359F7" w:rsidRPr="00215B2F">
        <w:rPr>
          <w:rFonts w:ascii="Arial" w:eastAsia="Arial" w:hAnsi="Arial" w:cs="Arial"/>
          <w:sz w:val="20"/>
          <w:szCs w:val="20"/>
        </w:rPr>
        <w:t>prejšnjega</w:t>
      </w:r>
      <w:r w:rsidRPr="00215B2F">
        <w:rPr>
          <w:rFonts w:ascii="Arial" w:eastAsia="Arial" w:hAnsi="Arial" w:cs="Arial"/>
          <w:sz w:val="20"/>
          <w:szCs w:val="20"/>
        </w:rPr>
        <w:t xml:space="preserve"> </w:t>
      </w:r>
      <w:r w:rsidR="001F2C7A" w:rsidRPr="00215B2F">
        <w:rPr>
          <w:rFonts w:ascii="Arial" w:eastAsia="Arial" w:hAnsi="Arial" w:cs="Arial"/>
          <w:sz w:val="20"/>
          <w:szCs w:val="20"/>
        </w:rPr>
        <w:t xml:space="preserve">člena </w:t>
      </w:r>
      <w:r w:rsidRPr="00215B2F">
        <w:rPr>
          <w:rFonts w:ascii="Arial" w:eastAsia="Arial" w:hAnsi="Arial" w:cs="Arial"/>
          <w:sz w:val="20"/>
          <w:szCs w:val="20"/>
        </w:rPr>
        <w:t xml:space="preserve">v višini dnevnega zneska do </w:t>
      </w:r>
      <w:r w:rsidR="00AF349F" w:rsidRPr="00215B2F">
        <w:rPr>
          <w:rFonts w:ascii="Arial" w:eastAsia="Arial" w:hAnsi="Arial" w:cs="Arial"/>
          <w:sz w:val="20"/>
          <w:szCs w:val="20"/>
        </w:rPr>
        <w:t xml:space="preserve">pet </w:t>
      </w:r>
      <w:r w:rsidR="0028616E" w:rsidRPr="00215B2F">
        <w:rPr>
          <w:rFonts w:ascii="Arial" w:eastAsia="Arial" w:hAnsi="Arial" w:cs="Arial"/>
          <w:sz w:val="20"/>
          <w:szCs w:val="20"/>
        </w:rPr>
        <w:t>odstotkov</w:t>
      </w:r>
      <w:r w:rsidRPr="00215B2F">
        <w:rPr>
          <w:rFonts w:ascii="Arial" w:eastAsia="Arial" w:hAnsi="Arial" w:cs="Arial"/>
          <w:sz w:val="20"/>
          <w:szCs w:val="20"/>
        </w:rPr>
        <w:t xml:space="preserve"> povprečnega dnevnega neto prometa.</w:t>
      </w:r>
    </w:p>
    <w:p w14:paraId="502E692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F8552F1" w14:textId="3364B75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fizični osebi, ki je član upravljalnega organa, višje vodstvo ali nosilec ključnih funkcij v banki, druga zaposlena oseba v banki, katere poklicne dejavnosti pomembno vplivajo na profil tveganja banke, k</w:t>
      </w:r>
      <w:r w:rsidR="006B0B0E" w:rsidRPr="00215B2F">
        <w:rPr>
          <w:rFonts w:ascii="Arial" w:eastAsia="Arial" w:hAnsi="Arial" w:cs="Arial"/>
          <w:sz w:val="20"/>
          <w:szCs w:val="20"/>
        </w:rPr>
        <w:t>akor</w:t>
      </w:r>
      <w:r w:rsidRPr="00215B2F">
        <w:rPr>
          <w:rFonts w:ascii="Arial" w:eastAsia="Arial" w:hAnsi="Arial" w:cs="Arial"/>
          <w:sz w:val="20"/>
          <w:szCs w:val="20"/>
        </w:rPr>
        <w:t xml:space="preserve"> je navedeno </w:t>
      </w:r>
      <w:r w:rsidR="0012311A" w:rsidRPr="00215B2F">
        <w:rPr>
          <w:rFonts w:ascii="Arial" w:eastAsia="Arial" w:hAnsi="Arial" w:cs="Arial"/>
          <w:sz w:val="20"/>
          <w:szCs w:val="20"/>
        </w:rPr>
        <w:t xml:space="preserve">v </w:t>
      </w:r>
      <w:r w:rsidR="00355D35" w:rsidRPr="00215B2F">
        <w:rPr>
          <w:rFonts w:ascii="Arial" w:eastAsia="Arial" w:hAnsi="Arial" w:cs="Arial"/>
          <w:sz w:val="20"/>
          <w:szCs w:val="20"/>
        </w:rPr>
        <w:t>220</w:t>
      </w:r>
      <w:r w:rsidRPr="00215B2F">
        <w:rPr>
          <w:rFonts w:ascii="Arial" w:eastAsia="Arial" w:hAnsi="Arial" w:cs="Arial"/>
          <w:sz w:val="20"/>
          <w:szCs w:val="20"/>
        </w:rPr>
        <w:t xml:space="preserve">. </w:t>
      </w:r>
      <w:r w:rsidR="001F2C7A" w:rsidRPr="00215B2F">
        <w:rPr>
          <w:rFonts w:ascii="Arial" w:eastAsia="Arial" w:hAnsi="Arial" w:cs="Arial"/>
          <w:sz w:val="20"/>
          <w:szCs w:val="20"/>
        </w:rPr>
        <w:t>členu tega zakona</w:t>
      </w:r>
      <w:r w:rsidR="0028616E" w:rsidRPr="00215B2F">
        <w:rPr>
          <w:rFonts w:ascii="Arial" w:eastAsia="Arial" w:hAnsi="Arial" w:cs="Arial"/>
          <w:sz w:val="20"/>
          <w:szCs w:val="20"/>
        </w:rPr>
        <w:t>,</w:t>
      </w:r>
      <w:r w:rsidRPr="00215B2F">
        <w:rPr>
          <w:rFonts w:ascii="Arial" w:eastAsia="Arial" w:hAnsi="Arial" w:cs="Arial"/>
          <w:sz w:val="20"/>
          <w:szCs w:val="20"/>
        </w:rPr>
        <w:t xml:space="preserve"> ali druga fizična oseba in je odgovorna za katero koli trajajočo kršit</w:t>
      </w:r>
      <w:r w:rsidR="00903A4F" w:rsidRPr="00215B2F">
        <w:rPr>
          <w:rFonts w:ascii="Arial" w:eastAsia="Arial" w:hAnsi="Arial" w:cs="Arial"/>
          <w:sz w:val="20"/>
          <w:szCs w:val="20"/>
        </w:rPr>
        <w:t>e</w:t>
      </w:r>
      <w:r w:rsidRPr="00215B2F">
        <w:rPr>
          <w:rFonts w:ascii="Arial" w:eastAsia="Arial" w:hAnsi="Arial" w:cs="Arial"/>
          <w:sz w:val="20"/>
          <w:szCs w:val="20"/>
        </w:rPr>
        <w:t xml:space="preserve">v iz </w:t>
      </w:r>
      <w:r w:rsidR="00962F2A" w:rsidRPr="00215B2F">
        <w:rPr>
          <w:rFonts w:ascii="Arial" w:eastAsia="Arial" w:hAnsi="Arial" w:cs="Arial"/>
          <w:sz w:val="20"/>
          <w:szCs w:val="20"/>
        </w:rPr>
        <w:t>389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z odredbo naloži plačilo periodične denarne kazni za vsak dan v višini dnevnega zneska do 50.000 eurov.</w:t>
      </w:r>
    </w:p>
    <w:p w14:paraId="58CBA37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74BFE9B" w14:textId="050B872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Dnevni znesek mora banka, drug subjekt ali fizična oseba plačati za vsak dan kršitve od datuma</w:t>
      </w:r>
      <w:r w:rsidR="0028616E" w:rsidRPr="00215B2F">
        <w:rPr>
          <w:rFonts w:ascii="Arial" w:eastAsia="Arial" w:hAnsi="Arial" w:cs="Arial"/>
          <w:sz w:val="20"/>
          <w:szCs w:val="20"/>
        </w:rPr>
        <w:t>,</w:t>
      </w:r>
      <w:r w:rsidRPr="00215B2F">
        <w:rPr>
          <w:rFonts w:ascii="Arial" w:eastAsia="Arial" w:hAnsi="Arial" w:cs="Arial"/>
          <w:sz w:val="20"/>
          <w:szCs w:val="20"/>
        </w:rPr>
        <w:t xml:space="preserve"> določenega v odredbi o plačilu periodične denarne kazni, dokler kršitev ni odpravljena in </w:t>
      </w:r>
      <w:r w:rsidR="0028616E" w:rsidRPr="00215B2F">
        <w:rPr>
          <w:rFonts w:ascii="Arial" w:eastAsia="Arial" w:hAnsi="Arial" w:cs="Arial"/>
          <w:sz w:val="20"/>
          <w:szCs w:val="20"/>
        </w:rPr>
        <w:t>je znova</w:t>
      </w:r>
      <w:r w:rsidRPr="00215B2F">
        <w:rPr>
          <w:rFonts w:ascii="Arial" w:eastAsia="Arial" w:hAnsi="Arial" w:cs="Arial"/>
          <w:sz w:val="20"/>
          <w:szCs w:val="20"/>
        </w:rPr>
        <w:t xml:space="preserve"> dosežena skladnost z obveznostjo, vendar največ za šest mesecev. </w:t>
      </w:r>
    </w:p>
    <w:p w14:paraId="59732E0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2B921A7" w14:textId="6FDDEBB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Periodična denarna kazen se lahko naloži na določen</w:t>
      </w:r>
      <w:r w:rsidR="0028616E" w:rsidRPr="00215B2F">
        <w:rPr>
          <w:rFonts w:ascii="Arial" w:eastAsia="Arial" w:hAnsi="Arial" w:cs="Arial"/>
          <w:sz w:val="20"/>
          <w:szCs w:val="20"/>
        </w:rPr>
        <w:t>i</w:t>
      </w:r>
      <w:r w:rsidRPr="00215B2F">
        <w:rPr>
          <w:rFonts w:ascii="Arial" w:eastAsia="Arial" w:hAnsi="Arial" w:cs="Arial"/>
          <w:sz w:val="20"/>
          <w:szCs w:val="20"/>
        </w:rPr>
        <w:t xml:space="preserve"> datum in začne uporabljati pozneje. Banka Slovenije lahko o naložitvi periodične denarne kazni odloči skupaj z odredbo o odpravi kršitev v obliki sestavljene odločitve.</w:t>
      </w:r>
    </w:p>
    <w:p w14:paraId="034CC11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29926EA" w14:textId="7C020D1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Povprečni dnevni neto promet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je skupni letni neto promet iz </w:t>
      </w:r>
      <w:r w:rsidR="00355D35" w:rsidRPr="00215B2F">
        <w:rPr>
          <w:rFonts w:ascii="Arial" w:eastAsia="Arial" w:hAnsi="Arial" w:cs="Arial"/>
          <w:sz w:val="20"/>
          <w:szCs w:val="20"/>
        </w:rPr>
        <w:t>394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deljen s 365. </w:t>
      </w:r>
    </w:p>
    <w:p w14:paraId="3876AD6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BE6794B"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57" w:name="_Ref202967932"/>
      <w:r w:rsidRPr="00215B2F">
        <w:rPr>
          <w:rFonts w:ascii="Arial" w:eastAsia="Arial" w:hAnsi="Arial" w:cs="Arial"/>
          <w:b/>
          <w:bCs/>
          <w:sz w:val="20"/>
          <w:szCs w:val="20"/>
        </w:rPr>
        <w:t>člen</w:t>
      </w:r>
      <w:bookmarkEnd w:id="457"/>
    </w:p>
    <w:p w14:paraId="7D986D3F" w14:textId="77777777" w:rsidR="00D91782" w:rsidRPr="00215B2F" w:rsidRDefault="00D91782" w:rsidP="00FD5520">
      <w:pPr>
        <w:pStyle w:val="Slog1"/>
        <w:shd w:val="clear" w:color="auto" w:fill="FFFFFF" w:themeFill="background1"/>
        <w:rPr>
          <w:sz w:val="20"/>
          <w:szCs w:val="20"/>
        </w:rPr>
      </w:pPr>
      <w:r w:rsidRPr="00215B2F">
        <w:rPr>
          <w:sz w:val="20"/>
          <w:szCs w:val="20"/>
        </w:rPr>
        <w:t>(višina in odmera dnevnega zneska)</w:t>
      </w:r>
    </w:p>
    <w:p w14:paraId="5BA3FDA6" w14:textId="77777777" w:rsidR="00D91782" w:rsidRPr="00215B2F" w:rsidRDefault="00D91782" w:rsidP="00FD5520">
      <w:pPr>
        <w:pStyle w:val="Slog1"/>
        <w:shd w:val="clear" w:color="auto" w:fill="FFFFFF" w:themeFill="background1"/>
        <w:jc w:val="both"/>
        <w:rPr>
          <w:sz w:val="20"/>
          <w:szCs w:val="20"/>
        </w:rPr>
      </w:pPr>
    </w:p>
    <w:p w14:paraId="3D46BB9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Slovenije pri določanju o uporabi in višini dnevnega zneska periodične denarne kazni upošteva vse ustrezne okoliščine, zlasti:</w:t>
      </w:r>
    </w:p>
    <w:p w14:paraId="5D96A9F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825836E" w14:textId="77777777" w:rsidR="00C316EC" w:rsidRPr="00215B2F" w:rsidRDefault="00D91782" w:rsidP="003D4DE0">
      <w:pPr>
        <w:pStyle w:val="Odstavekseznama"/>
        <w:numPr>
          <w:ilvl w:val="0"/>
          <w:numId w:val="371"/>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resnost in trajanje kršitve;</w:t>
      </w:r>
    </w:p>
    <w:p w14:paraId="20892C19" w14:textId="77777777" w:rsidR="00C316EC" w:rsidRPr="00215B2F" w:rsidRDefault="00D91782" w:rsidP="003D4DE0">
      <w:pPr>
        <w:pStyle w:val="Odstavekseznama"/>
        <w:numPr>
          <w:ilvl w:val="0"/>
          <w:numId w:val="371"/>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stopnjo odgovornosti fizične ali pravne osebe, ki je odgovorna za kršitev;</w:t>
      </w:r>
    </w:p>
    <w:p w14:paraId="75934C4A" w14:textId="729BEB52" w:rsidR="00C316EC" w:rsidRPr="00215B2F" w:rsidRDefault="00D91782" w:rsidP="003D4DE0">
      <w:pPr>
        <w:pStyle w:val="Odstavekseznama"/>
        <w:numPr>
          <w:ilvl w:val="0"/>
          <w:numId w:val="371"/>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finančno trdnost fizične ali pravne osebe, ki je odgovorna za kršitev, med drugim</w:t>
      </w:r>
      <w:r w:rsidR="0028616E" w:rsidRPr="00215B2F">
        <w:rPr>
          <w:rFonts w:ascii="Arial" w:eastAsia="Arial" w:hAnsi="Arial" w:cs="Arial"/>
          <w:sz w:val="20"/>
          <w:szCs w:val="20"/>
        </w:rPr>
        <w:t>,</w:t>
      </w:r>
      <w:r w:rsidRPr="00215B2F">
        <w:rPr>
          <w:rFonts w:ascii="Arial" w:eastAsia="Arial" w:hAnsi="Arial" w:cs="Arial"/>
          <w:sz w:val="20"/>
          <w:szCs w:val="20"/>
        </w:rPr>
        <w:t xml:space="preserve"> kot je prikazana s skupnim prometom odgovorne pravne osebe ali letnim prihodkom fizične osebe;</w:t>
      </w:r>
    </w:p>
    <w:p w14:paraId="4672AF90" w14:textId="77777777" w:rsidR="00C316EC" w:rsidRPr="00215B2F" w:rsidRDefault="00D91782" w:rsidP="003D4DE0">
      <w:pPr>
        <w:pStyle w:val="Odstavekseznama"/>
        <w:numPr>
          <w:ilvl w:val="0"/>
          <w:numId w:val="371"/>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pomen pridobljenih dobičkov ali preprečenih izgub s strani fizične ali pravne osebe, ki je odgovorna za kršitev, če jih je mogoče opredeliti;</w:t>
      </w:r>
    </w:p>
    <w:p w14:paraId="4C49F4C9" w14:textId="77777777" w:rsidR="00C316EC" w:rsidRPr="00215B2F" w:rsidRDefault="00D91782" w:rsidP="003D4DE0">
      <w:pPr>
        <w:pStyle w:val="Odstavekseznama"/>
        <w:numPr>
          <w:ilvl w:val="0"/>
          <w:numId w:val="371"/>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izgube, ki so jih zaradi kršitve imele tretje osebe, če jih je mogoče opredeliti;</w:t>
      </w:r>
    </w:p>
    <w:p w14:paraId="34015545" w14:textId="0B1D4F60" w:rsidR="00C316EC" w:rsidRPr="00215B2F" w:rsidRDefault="00D91782" w:rsidP="003D4DE0">
      <w:pPr>
        <w:pStyle w:val="Odstavekseznama"/>
        <w:numPr>
          <w:ilvl w:val="0"/>
          <w:numId w:val="371"/>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raven sodelovanja fizične ali pravne osebe, ki je odgovorna za kršitev</w:t>
      </w:r>
      <w:r w:rsidR="00AF349F" w:rsidRPr="00215B2F">
        <w:rPr>
          <w:rFonts w:ascii="Arial" w:eastAsia="Arial" w:hAnsi="Arial" w:cs="Arial"/>
          <w:sz w:val="20"/>
          <w:szCs w:val="20"/>
        </w:rPr>
        <w:t>,</w:t>
      </w:r>
      <w:r w:rsidRPr="00215B2F">
        <w:rPr>
          <w:rFonts w:ascii="Arial" w:eastAsia="Arial" w:hAnsi="Arial" w:cs="Arial"/>
          <w:sz w:val="20"/>
          <w:szCs w:val="20"/>
        </w:rPr>
        <w:t xml:space="preserve"> z Banko Slovenije;</w:t>
      </w:r>
    </w:p>
    <w:p w14:paraId="34199B2D" w14:textId="3D710609" w:rsidR="00D91782" w:rsidRPr="00215B2F" w:rsidRDefault="00D91782" w:rsidP="003D4DE0">
      <w:pPr>
        <w:pStyle w:val="Odstavekseznama"/>
        <w:numPr>
          <w:ilvl w:val="0"/>
          <w:numId w:val="371"/>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morebitne sistemske posledice kršitve.</w:t>
      </w:r>
    </w:p>
    <w:p w14:paraId="5562E8D6"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4E8B2B43"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58" w:name="_Ref202967937"/>
      <w:r w:rsidRPr="00215B2F">
        <w:rPr>
          <w:rFonts w:ascii="Arial" w:eastAsia="Arial" w:hAnsi="Arial" w:cs="Arial"/>
          <w:b/>
          <w:bCs/>
          <w:sz w:val="20"/>
          <w:szCs w:val="20"/>
        </w:rPr>
        <w:t>člen</w:t>
      </w:r>
      <w:bookmarkEnd w:id="458"/>
    </w:p>
    <w:p w14:paraId="5AD823FF" w14:textId="77777777" w:rsidR="00D91782" w:rsidRPr="00215B2F" w:rsidRDefault="00D91782" w:rsidP="00FD5520">
      <w:pPr>
        <w:pStyle w:val="Slog1"/>
        <w:shd w:val="clear" w:color="auto" w:fill="FFFFFF" w:themeFill="background1"/>
        <w:rPr>
          <w:sz w:val="20"/>
          <w:szCs w:val="20"/>
        </w:rPr>
      </w:pPr>
      <w:r w:rsidRPr="00215B2F">
        <w:rPr>
          <w:sz w:val="20"/>
          <w:szCs w:val="20"/>
        </w:rPr>
        <w:t>(skupni znesek periodične denarne kazni)</w:t>
      </w:r>
    </w:p>
    <w:p w14:paraId="30E9DF01" w14:textId="77777777" w:rsidR="00D91782" w:rsidRPr="00215B2F" w:rsidRDefault="00D91782" w:rsidP="00FD5520">
      <w:pPr>
        <w:pStyle w:val="Slog1"/>
        <w:shd w:val="clear" w:color="auto" w:fill="FFFFFF" w:themeFill="background1"/>
        <w:jc w:val="both"/>
        <w:rPr>
          <w:sz w:val="20"/>
          <w:szCs w:val="20"/>
        </w:rPr>
      </w:pPr>
    </w:p>
    <w:p w14:paraId="171CFC63" w14:textId="264BBDE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skupni znesek periodične denarne kazni in rok za plačilo določi po odpravi kršitev, zaradi katerih je bila </w:t>
      </w:r>
      <w:r w:rsidR="006B7DDA" w:rsidRPr="00215B2F">
        <w:rPr>
          <w:rFonts w:ascii="Arial" w:eastAsia="Arial" w:hAnsi="Arial" w:cs="Arial"/>
          <w:sz w:val="20"/>
          <w:szCs w:val="20"/>
        </w:rPr>
        <w:t xml:space="preserve">določena </w:t>
      </w:r>
      <w:r w:rsidRPr="00215B2F">
        <w:rPr>
          <w:rFonts w:ascii="Arial" w:eastAsia="Arial" w:hAnsi="Arial" w:cs="Arial"/>
          <w:sz w:val="20"/>
          <w:szCs w:val="20"/>
        </w:rPr>
        <w:t>periodična denarna kazen</w:t>
      </w:r>
      <w:r w:rsidR="006B7DDA" w:rsidRPr="00215B2F">
        <w:rPr>
          <w:rFonts w:ascii="Arial" w:eastAsia="Arial" w:hAnsi="Arial" w:cs="Arial"/>
          <w:sz w:val="20"/>
          <w:szCs w:val="20"/>
        </w:rPr>
        <w:t>,</w:t>
      </w:r>
      <w:r w:rsidRPr="00215B2F">
        <w:rPr>
          <w:rFonts w:ascii="Arial" w:eastAsia="Arial" w:hAnsi="Arial" w:cs="Arial"/>
          <w:sz w:val="20"/>
          <w:szCs w:val="20"/>
        </w:rPr>
        <w:t xml:space="preserve"> oziroma po poteku šestih mesecev (odločba o skupnem znesku periodične denarne kazni).</w:t>
      </w:r>
    </w:p>
    <w:p w14:paraId="4E0B1F5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BBDD0A7" w14:textId="5F8EFFB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Če banka oziroma drug subjekt nadzora odpravi kršitve oziroma </w:t>
      </w:r>
      <w:r w:rsidR="006B7DDA" w:rsidRPr="00215B2F">
        <w:rPr>
          <w:rFonts w:ascii="Arial" w:eastAsia="Arial" w:hAnsi="Arial" w:cs="Arial"/>
          <w:sz w:val="20"/>
          <w:szCs w:val="20"/>
        </w:rPr>
        <w:t>z</w:t>
      </w:r>
      <w:r w:rsidRPr="00215B2F">
        <w:rPr>
          <w:rFonts w:ascii="Arial" w:eastAsia="Arial" w:hAnsi="Arial" w:cs="Arial"/>
          <w:sz w:val="20"/>
          <w:szCs w:val="20"/>
        </w:rPr>
        <w:t>nov</w:t>
      </w:r>
      <w:r w:rsidR="006B7DDA" w:rsidRPr="00215B2F">
        <w:rPr>
          <w:rFonts w:ascii="Arial" w:eastAsia="Arial" w:hAnsi="Arial" w:cs="Arial"/>
          <w:sz w:val="20"/>
          <w:szCs w:val="20"/>
        </w:rPr>
        <w:t>a</w:t>
      </w:r>
      <w:r w:rsidRPr="00215B2F">
        <w:rPr>
          <w:rFonts w:ascii="Arial" w:eastAsia="Arial" w:hAnsi="Arial" w:cs="Arial"/>
          <w:sz w:val="20"/>
          <w:szCs w:val="20"/>
        </w:rPr>
        <w:t xml:space="preserve"> vzpostavi skladnost z obveznostmi pred datumom, s katerim se začne uporabljati periodična denarna kazen, Banka Slovenije o tem izda ugotovitveno odločbo. </w:t>
      </w:r>
    </w:p>
    <w:p w14:paraId="5BFA692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0A14993" w14:textId="0BF5BA39" w:rsidR="00D91782" w:rsidRPr="00215B2F" w:rsidRDefault="005A6F6E"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11</w:t>
      </w:r>
      <w:r w:rsidR="00D91782" w:rsidRPr="00215B2F">
        <w:rPr>
          <w:rFonts w:ascii="Arial" w:eastAsia="Arial" w:hAnsi="Arial" w:cs="Arial"/>
          <w:b/>
          <w:bCs/>
          <w:sz w:val="20"/>
          <w:szCs w:val="20"/>
        </w:rPr>
        <w:t>.2 ADMINISTRATIVNE SANKCIJE</w:t>
      </w:r>
    </w:p>
    <w:p w14:paraId="369053A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9E64A44"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59" w:name="_Ref202967941"/>
      <w:r w:rsidRPr="00215B2F">
        <w:rPr>
          <w:rFonts w:ascii="Arial" w:eastAsia="Arial" w:hAnsi="Arial" w:cs="Arial"/>
          <w:b/>
          <w:bCs/>
          <w:sz w:val="20"/>
          <w:szCs w:val="20"/>
        </w:rPr>
        <w:t>člen</w:t>
      </w:r>
      <w:bookmarkEnd w:id="459"/>
    </w:p>
    <w:p w14:paraId="104A15CF" w14:textId="77777777" w:rsidR="00D91782" w:rsidRPr="00215B2F" w:rsidRDefault="00D91782" w:rsidP="00FD5520">
      <w:pPr>
        <w:pStyle w:val="Slog1"/>
        <w:shd w:val="clear" w:color="auto" w:fill="FFFFFF" w:themeFill="background1"/>
        <w:rPr>
          <w:sz w:val="20"/>
          <w:szCs w:val="20"/>
        </w:rPr>
      </w:pPr>
      <w:r w:rsidRPr="00215B2F">
        <w:rPr>
          <w:sz w:val="20"/>
          <w:szCs w:val="20"/>
        </w:rPr>
        <w:t>(administrativne sankcije)</w:t>
      </w:r>
    </w:p>
    <w:p w14:paraId="0533539C" w14:textId="77777777" w:rsidR="00D91782" w:rsidRPr="00215B2F" w:rsidRDefault="00D91782" w:rsidP="00FD5520">
      <w:pPr>
        <w:pStyle w:val="Slog1"/>
        <w:shd w:val="clear" w:color="auto" w:fill="FFFFFF" w:themeFill="background1"/>
        <w:jc w:val="both"/>
        <w:rPr>
          <w:sz w:val="20"/>
          <w:szCs w:val="20"/>
        </w:rPr>
      </w:pPr>
    </w:p>
    <w:p w14:paraId="1D1B3DFF" w14:textId="7D4BE4D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pravni osebi z odločbo naloži plačilo administrativ</w:t>
      </w:r>
      <w:r w:rsidR="0012311A" w:rsidRPr="00215B2F">
        <w:rPr>
          <w:rFonts w:ascii="Arial" w:eastAsia="Arial" w:hAnsi="Arial" w:cs="Arial"/>
          <w:sz w:val="20"/>
          <w:szCs w:val="20"/>
        </w:rPr>
        <w:t>n</w:t>
      </w:r>
      <w:r w:rsidRPr="00215B2F">
        <w:rPr>
          <w:rFonts w:ascii="Arial" w:eastAsia="Arial" w:hAnsi="Arial" w:cs="Arial"/>
          <w:sz w:val="20"/>
          <w:szCs w:val="20"/>
        </w:rPr>
        <w:t xml:space="preserve">e sankcije, če pri izvajanju nadzora ugotovi katero </w:t>
      </w:r>
      <w:r w:rsidR="0040277D" w:rsidRPr="00215B2F">
        <w:rPr>
          <w:rFonts w:ascii="Arial" w:eastAsia="Arial" w:hAnsi="Arial" w:cs="Arial"/>
          <w:sz w:val="20"/>
          <w:szCs w:val="20"/>
        </w:rPr>
        <w:t>o</w:t>
      </w:r>
      <w:r w:rsidRPr="00215B2F">
        <w:rPr>
          <w:rFonts w:ascii="Arial" w:eastAsia="Arial" w:hAnsi="Arial" w:cs="Arial"/>
          <w:sz w:val="20"/>
          <w:szCs w:val="20"/>
        </w:rPr>
        <w:t xml:space="preserve">d kršitev iz </w:t>
      </w:r>
      <w:r w:rsidR="00962F2A" w:rsidRPr="00215B2F">
        <w:rPr>
          <w:rFonts w:ascii="Arial" w:eastAsia="Arial" w:hAnsi="Arial" w:cs="Arial"/>
          <w:sz w:val="20"/>
          <w:szCs w:val="20"/>
        </w:rPr>
        <w:t>389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(odločba o administrativni sankciji).</w:t>
      </w:r>
    </w:p>
    <w:p w14:paraId="39262D9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8AEC38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Administrativna sankcija se izreče v obliki enkratnega denarnega zneska. </w:t>
      </w:r>
    </w:p>
    <w:p w14:paraId="3390FB0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BFBDABE" w14:textId="79ED4F9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je bila kršitev iz </w:t>
      </w:r>
      <w:r w:rsidR="00962F2A" w:rsidRPr="00215B2F">
        <w:rPr>
          <w:rFonts w:ascii="Arial" w:eastAsia="Arial" w:hAnsi="Arial" w:cs="Arial"/>
          <w:sz w:val="20"/>
          <w:szCs w:val="20"/>
        </w:rPr>
        <w:t>389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ugotovljena z dokončno odredbo za odpravo kršitev iz </w:t>
      </w:r>
      <w:r w:rsidR="00FE757E" w:rsidRPr="00215B2F">
        <w:rPr>
          <w:rFonts w:ascii="Arial" w:eastAsia="Arial" w:hAnsi="Arial" w:cs="Arial"/>
          <w:sz w:val="20"/>
          <w:szCs w:val="20"/>
        </w:rPr>
        <w:t>344</w:t>
      </w:r>
      <w:r w:rsidRPr="00215B2F">
        <w:rPr>
          <w:rFonts w:ascii="Arial" w:eastAsia="Arial" w:hAnsi="Arial" w:cs="Arial"/>
          <w:sz w:val="20"/>
          <w:szCs w:val="20"/>
        </w:rPr>
        <w:t xml:space="preserve">. ali </w:t>
      </w:r>
      <w:r w:rsidR="005A78EE" w:rsidRPr="00215B2F">
        <w:rPr>
          <w:rFonts w:ascii="Arial" w:eastAsia="Arial" w:hAnsi="Arial" w:cs="Arial"/>
          <w:sz w:val="20"/>
          <w:szCs w:val="20"/>
        </w:rPr>
        <w:t>345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se v postopku administrativne sankcije Banka Slovenije lahko </w:t>
      </w:r>
      <w:r w:rsidR="006B7DDA" w:rsidRPr="00215B2F">
        <w:rPr>
          <w:rFonts w:ascii="Arial" w:eastAsia="Arial" w:hAnsi="Arial" w:cs="Arial"/>
          <w:sz w:val="20"/>
          <w:szCs w:val="20"/>
        </w:rPr>
        <w:t>o</w:t>
      </w:r>
      <w:r w:rsidRPr="00215B2F">
        <w:rPr>
          <w:rFonts w:ascii="Arial" w:eastAsia="Arial" w:hAnsi="Arial" w:cs="Arial"/>
          <w:sz w:val="20"/>
          <w:szCs w:val="20"/>
        </w:rPr>
        <w:t xml:space="preserve">pre na v odredbi ugotovljeno dejansko stanje. </w:t>
      </w:r>
    </w:p>
    <w:p w14:paraId="3D7EED90" w14:textId="77777777" w:rsidR="00D17434" w:rsidRPr="00215B2F" w:rsidRDefault="00D17434" w:rsidP="00FD5520">
      <w:pPr>
        <w:shd w:val="clear" w:color="auto" w:fill="FFFFFF" w:themeFill="background1"/>
        <w:spacing w:after="0" w:line="240" w:lineRule="auto"/>
        <w:jc w:val="both"/>
        <w:rPr>
          <w:rFonts w:ascii="Arial" w:eastAsia="Arial" w:hAnsi="Arial" w:cs="Arial"/>
          <w:sz w:val="20"/>
          <w:szCs w:val="20"/>
        </w:rPr>
      </w:pPr>
    </w:p>
    <w:p w14:paraId="391AC21F" w14:textId="65BC4F3D" w:rsidR="00D17434" w:rsidRPr="00215B2F" w:rsidRDefault="00D17434" w:rsidP="00D17434">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V primeru združitve ali delitve ali gospodarskega prenosa dejavnosti s kršitelja na drug subjekt lahko Banka Slovenije izda ali izvrši odločbo, s katero izreče ali je izrekla administrativno sankcijo zoper subjekt, ki je pravni ali gospodarski naslednik kršitelja. Subjekt iz prejšnjega stavka vstopa v postopek v stanju, v katerem je ta ob vstopu v postopek. Ta določba ne vpliva na pravico subjekta, da poda navedbe in dokaze v zvezi z okoliščinami, ki se nanašajo na njegovo pritegnitev v postopek.</w:t>
      </w:r>
    </w:p>
    <w:p w14:paraId="68038DA0"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B5D34D3"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60" w:name="_Ref202967945"/>
      <w:r w:rsidRPr="00215B2F">
        <w:rPr>
          <w:rFonts w:ascii="Arial" w:eastAsia="Arial" w:hAnsi="Arial" w:cs="Arial"/>
          <w:b/>
          <w:bCs/>
          <w:sz w:val="20"/>
          <w:szCs w:val="20"/>
        </w:rPr>
        <w:t>člen</w:t>
      </w:r>
      <w:bookmarkEnd w:id="460"/>
    </w:p>
    <w:p w14:paraId="7E1323C9" w14:textId="77777777" w:rsidR="00D91782" w:rsidRPr="00215B2F" w:rsidRDefault="00D91782" w:rsidP="00FD5520">
      <w:pPr>
        <w:pStyle w:val="Slog1"/>
        <w:shd w:val="clear" w:color="auto" w:fill="FFFFFF" w:themeFill="background1"/>
        <w:rPr>
          <w:sz w:val="20"/>
          <w:szCs w:val="20"/>
        </w:rPr>
      </w:pPr>
      <w:r w:rsidRPr="00215B2F">
        <w:rPr>
          <w:sz w:val="20"/>
          <w:szCs w:val="20"/>
        </w:rPr>
        <w:t>(višina, odmera in plačilo administrativne sankcije)</w:t>
      </w:r>
    </w:p>
    <w:p w14:paraId="3F50E01D" w14:textId="77777777" w:rsidR="00D91782" w:rsidRPr="00215B2F" w:rsidRDefault="00D91782" w:rsidP="00FD5520">
      <w:pPr>
        <w:pStyle w:val="Slog1"/>
        <w:shd w:val="clear" w:color="auto" w:fill="FFFFFF" w:themeFill="background1"/>
        <w:jc w:val="both"/>
        <w:rPr>
          <w:sz w:val="20"/>
          <w:szCs w:val="20"/>
        </w:rPr>
      </w:pPr>
    </w:p>
    <w:p w14:paraId="1CB28963" w14:textId="5E6AF50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pravni osebi izreče administrativno sankcijo za kršitev iz </w:t>
      </w:r>
      <w:r w:rsidR="00962F2A" w:rsidRPr="00215B2F">
        <w:rPr>
          <w:rFonts w:ascii="Arial" w:eastAsia="Arial" w:hAnsi="Arial" w:cs="Arial"/>
          <w:sz w:val="20"/>
          <w:szCs w:val="20"/>
        </w:rPr>
        <w:t>389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v enkratnem denarnem znesku v višini:</w:t>
      </w:r>
    </w:p>
    <w:p w14:paraId="084D4E1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5F70CEE" w14:textId="325E4DB2" w:rsidR="001F007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največ deset odstotkov skupnega letnega neto prometa ali</w:t>
      </w:r>
    </w:p>
    <w:p w14:paraId="015F7F26" w14:textId="70BC5E84"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do dvakratnega zneska dobička, pridobljenega s kršitvijo</w:t>
      </w:r>
      <w:r w:rsidR="00AF349F" w:rsidRPr="00215B2F">
        <w:rPr>
          <w:rFonts w:ascii="Arial" w:eastAsia="Arial" w:hAnsi="Arial" w:cs="Arial"/>
          <w:sz w:val="20"/>
          <w:szCs w:val="20"/>
        </w:rPr>
        <w:t>,</w:t>
      </w:r>
      <w:r w:rsidRPr="00215B2F">
        <w:rPr>
          <w:rFonts w:ascii="Arial" w:eastAsia="Arial" w:hAnsi="Arial" w:cs="Arial"/>
          <w:sz w:val="20"/>
          <w:szCs w:val="20"/>
        </w:rPr>
        <w:t xml:space="preserve"> ali izgube, preprečene s kršitvijo, kadar ju je mogoče opredeliti.</w:t>
      </w:r>
    </w:p>
    <w:p w14:paraId="479D7AC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F7C9B1B" w14:textId="4B9588C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Skupni letni neto promet iz prejšnjega odstavka je vsota naslednjih postavk, določenih v skladu s prilogama III in IV k Izvedbeni uredbi Komisije (EU) 2021/451 z dne 17. decembra 2020 o določitvi izvedbenih tehničnih standardov za uporabo Uredbe (EU) št. 575/2013 Evropskega parlamenta in Sveta v zvezi z nadzorniškim poročanjem institucij in razveljavitvi Izvedbene uredbe (EU) št. 680/2014 (UL L št. 97 z dne 19. 3. 2021, str. 1; v nadaljnjem besedilu: Izvedbena uredba Komisije 2021/451/EU), zadnjič spremenjen</w:t>
      </w:r>
      <w:r w:rsidR="00AF349F" w:rsidRPr="00215B2F">
        <w:rPr>
          <w:rFonts w:ascii="Arial" w:eastAsia="Arial" w:hAnsi="Arial" w:cs="Arial"/>
          <w:sz w:val="20"/>
          <w:szCs w:val="20"/>
        </w:rPr>
        <w:t>i</w:t>
      </w:r>
      <w:r w:rsidRPr="00215B2F">
        <w:rPr>
          <w:rFonts w:ascii="Arial" w:eastAsia="Arial" w:hAnsi="Arial" w:cs="Arial"/>
          <w:sz w:val="20"/>
          <w:szCs w:val="20"/>
        </w:rPr>
        <w:t xml:space="preserve"> z Izvedbeno uredbo Komisije (EU) 2024/855 z dne 15. marca 2024 o spremembi izvedbenih tehničnih standardov iz Izvedbene uredbe (EU) 2021/451 glede pravil o nadzorniškem poročanju o obrestnem tveganju v netrgovalni knjigi (UL L št. 2024/855 z dne 24. 4. 2024): </w:t>
      </w:r>
    </w:p>
    <w:p w14:paraId="6A574C8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272F0A8" w14:textId="77777777" w:rsidR="00C316EC" w:rsidRPr="00215B2F" w:rsidRDefault="00D91782" w:rsidP="003D4DE0">
      <w:pPr>
        <w:pStyle w:val="Odstavekseznama"/>
        <w:numPr>
          <w:ilvl w:val="0"/>
          <w:numId w:val="37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prihodkov iz obresti;</w:t>
      </w:r>
    </w:p>
    <w:p w14:paraId="3C05ACA4" w14:textId="77777777" w:rsidR="00C316EC" w:rsidRPr="00215B2F" w:rsidRDefault="00D91782" w:rsidP="003D4DE0">
      <w:pPr>
        <w:pStyle w:val="Odstavekseznama"/>
        <w:numPr>
          <w:ilvl w:val="0"/>
          <w:numId w:val="37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odhodkov za obresti;</w:t>
      </w:r>
    </w:p>
    <w:p w14:paraId="766D09DA" w14:textId="77777777" w:rsidR="00C316EC" w:rsidRPr="00215B2F" w:rsidRDefault="00D91782" w:rsidP="003D4DE0">
      <w:pPr>
        <w:pStyle w:val="Odstavekseznama"/>
        <w:numPr>
          <w:ilvl w:val="0"/>
          <w:numId w:val="37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odhodkov zaradi delniškega kapitala, vračljivega na zahtevo;</w:t>
      </w:r>
    </w:p>
    <w:p w14:paraId="158625A5" w14:textId="77777777" w:rsidR="00C316EC" w:rsidRPr="00215B2F" w:rsidRDefault="00D91782" w:rsidP="003D4DE0">
      <w:pPr>
        <w:pStyle w:val="Odstavekseznama"/>
        <w:numPr>
          <w:ilvl w:val="0"/>
          <w:numId w:val="37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prihodkov iz dividend;</w:t>
      </w:r>
    </w:p>
    <w:p w14:paraId="32560CD3" w14:textId="77777777" w:rsidR="00C316EC" w:rsidRPr="00215B2F" w:rsidRDefault="00D91782" w:rsidP="003D4DE0">
      <w:pPr>
        <w:pStyle w:val="Odstavekseznama"/>
        <w:numPr>
          <w:ilvl w:val="0"/>
          <w:numId w:val="37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prihodkov iz naslova provizij in opravnin;</w:t>
      </w:r>
    </w:p>
    <w:p w14:paraId="1A43E494" w14:textId="77777777" w:rsidR="00C316EC" w:rsidRPr="00215B2F" w:rsidRDefault="00D91782" w:rsidP="003D4DE0">
      <w:pPr>
        <w:pStyle w:val="Odstavekseznama"/>
        <w:numPr>
          <w:ilvl w:val="0"/>
          <w:numId w:val="37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odhodkov iz naslova provizij in opravnin;</w:t>
      </w:r>
    </w:p>
    <w:p w14:paraId="74422C6E" w14:textId="77777777" w:rsidR="00C316EC" w:rsidRPr="00215B2F" w:rsidRDefault="00D91782" w:rsidP="003D4DE0">
      <w:pPr>
        <w:pStyle w:val="Odstavekseznama"/>
        <w:numPr>
          <w:ilvl w:val="0"/>
          <w:numId w:val="37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dobičkov ali izgub iz finančnih sredstev in obveznosti v posesti za trgovanje, neto;</w:t>
      </w:r>
    </w:p>
    <w:p w14:paraId="6B098850" w14:textId="77777777" w:rsidR="00C316EC" w:rsidRPr="00215B2F" w:rsidRDefault="00D91782" w:rsidP="003D4DE0">
      <w:pPr>
        <w:pStyle w:val="Odstavekseznama"/>
        <w:numPr>
          <w:ilvl w:val="0"/>
          <w:numId w:val="37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dobičkov ali izgub iz finančnih sredstev in obveznosti, določenih za merjenje po pošteni vrednosti prek poslovnega izida, neto;</w:t>
      </w:r>
    </w:p>
    <w:p w14:paraId="5919624B" w14:textId="77777777" w:rsidR="00C316EC" w:rsidRPr="00215B2F" w:rsidRDefault="00D91782" w:rsidP="003D4DE0">
      <w:pPr>
        <w:pStyle w:val="Odstavekseznama"/>
        <w:numPr>
          <w:ilvl w:val="0"/>
          <w:numId w:val="37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lastRenderedPageBreak/>
        <w:t>dobičkov ali izgub iz obračunavanja varovanja pred tveganjem, neto;</w:t>
      </w:r>
    </w:p>
    <w:p w14:paraId="25DFB032" w14:textId="77777777" w:rsidR="00C316EC" w:rsidRPr="00215B2F" w:rsidRDefault="00D91782" w:rsidP="003D4DE0">
      <w:pPr>
        <w:pStyle w:val="Odstavekseznama"/>
        <w:numPr>
          <w:ilvl w:val="0"/>
          <w:numId w:val="37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čistih dobičkov ali izgub iz tečajnih razlik;</w:t>
      </w:r>
    </w:p>
    <w:p w14:paraId="013590DA" w14:textId="77777777" w:rsidR="00C316EC" w:rsidRPr="00215B2F" w:rsidRDefault="00D91782" w:rsidP="003D4DE0">
      <w:pPr>
        <w:pStyle w:val="Odstavekseznama"/>
        <w:numPr>
          <w:ilvl w:val="0"/>
          <w:numId w:val="37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drugih poslovnih prihodkov;</w:t>
      </w:r>
    </w:p>
    <w:p w14:paraId="5467364C" w14:textId="3305D127" w:rsidR="00D91782" w:rsidRPr="00215B2F" w:rsidRDefault="00D91782" w:rsidP="003D4DE0">
      <w:pPr>
        <w:pStyle w:val="Odstavekseznama"/>
        <w:numPr>
          <w:ilvl w:val="0"/>
          <w:numId w:val="372"/>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drugih poslovnih odhodkov.</w:t>
      </w:r>
    </w:p>
    <w:p w14:paraId="169AE7D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FBBE71C" w14:textId="7320F69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Podlaga za izračun skupnega letn</w:t>
      </w:r>
      <w:r w:rsidR="00AF349F" w:rsidRPr="00215B2F">
        <w:rPr>
          <w:rFonts w:ascii="Arial" w:eastAsia="Arial" w:hAnsi="Arial" w:cs="Arial"/>
          <w:sz w:val="20"/>
          <w:szCs w:val="20"/>
        </w:rPr>
        <w:t>eg</w:t>
      </w:r>
      <w:r w:rsidRPr="00215B2F">
        <w:rPr>
          <w:rFonts w:ascii="Arial" w:eastAsia="Arial" w:hAnsi="Arial" w:cs="Arial"/>
          <w:sz w:val="20"/>
          <w:szCs w:val="20"/>
        </w:rPr>
        <w:t xml:space="preserve">a prometa za administrativne sankcije so najnovejše letne nadzorniške finančne informacije, na podlagi katerih je kazalnik večji od nič. Kadar za pravno osebo ne velja Izvedbena uredba </w:t>
      </w:r>
      <w:r w:rsidR="00AF349F" w:rsidRPr="00215B2F">
        <w:rPr>
          <w:rFonts w:ascii="Arial" w:eastAsia="Arial" w:hAnsi="Arial" w:cs="Arial"/>
          <w:sz w:val="20"/>
          <w:szCs w:val="20"/>
        </w:rPr>
        <w:t>Komisije 2021/451/EU</w:t>
      </w:r>
      <w:r w:rsidRPr="00215B2F">
        <w:rPr>
          <w:rFonts w:ascii="Arial" w:eastAsia="Arial" w:hAnsi="Arial" w:cs="Arial"/>
          <w:sz w:val="20"/>
          <w:szCs w:val="20"/>
        </w:rPr>
        <w:t xml:space="preserve">, je ustrezni skupni letni neto promet iz prejšnjega odstavka skupni letni neto promet ali ustrezna vrsta prihodka v skladu z veljavnim računovodskim okvirom. Kadar je zadevna družba del skupine, je zadevni skupni letni neto promet iz prejšnjega odstavka enak skupnemu letnemu neto prometu, ki izhaja iz konsolidiranega računovodskega izkaza končne nadrejene osebe za neposredno predhodno obračunsko obdobje. </w:t>
      </w:r>
    </w:p>
    <w:p w14:paraId="769E012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69E0E4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pri določanju ravni administrativne sankcije upošteva vse ustrezne okoliščine, zlasti:</w:t>
      </w:r>
    </w:p>
    <w:p w14:paraId="5EA696D6"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6014B3DA" w14:textId="77777777" w:rsidR="00C316EC" w:rsidRPr="00215B2F" w:rsidRDefault="00D91782" w:rsidP="003D4DE0">
      <w:pPr>
        <w:pStyle w:val="Odstavekseznama"/>
        <w:numPr>
          <w:ilvl w:val="0"/>
          <w:numId w:val="33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resnost in trajanje kršitve;</w:t>
      </w:r>
    </w:p>
    <w:p w14:paraId="513E2EE4" w14:textId="77777777" w:rsidR="00C316EC" w:rsidRPr="00215B2F" w:rsidRDefault="00D91782" w:rsidP="003D4DE0">
      <w:pPr>
        <w:pStyle w:val="Odstavekseznama"/>
        <w:numPr>
          <w:ilvl w:val="0"/>
          <w:numId w:val="33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stopnjo odgovornosti fizične ali pravne osebe, ki je odgovorna za kršitev;</w:t>
      </w:r>
    </w:p>
    <w:p w14:paraId="15B09EED" w14:textId="2282B317" w:rsidR="00C316EC" w:rsidRPr="00215B2F" w:rsidRDefault="00D91782" w:rsidP="003D4DE0">
      <w:pPr>
        <w:pStyle w:val="Odstavekseznama"/>
        <w:numPr>
          <w:ilvl w:val="0"/>
          <w:numId w:val="33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finančno trdnost fizične ali pravne osebe, ki je odgovorna za kršitev, med drugim</w:t>
      </w:r>
      <w:r w:rsidR="00AF349F" w:rsidRPr="00215B2F">
        <w:rPr>
          <w:rFonts w:ascii="Arial" w:eastAsia="Arial" w:hAnsi="Arial" w:cs="Arial"/>
          <w:sz w:val="20"/>
          <w:szCs w:val="20"/>
        </w:rPr>
        <w:t>,</w:t>
      </w:r>
      <w:r w:rsidRPr="00215B2F">
        <w:rPr>
          <w:rFonts w:ascii="Arial" w:eastAsia="Arial" w:hAnsi="Arial" w:cs="Arial"/>
          <w:sz w:val="20"/>
          <w:szCs w:val="20"/>
        </w:rPr>
        <w:t xml:space="preserve"> kot je prikazana s skupnim prometom odgovorne pravne osebe ali letnim prihodkom fizične osebe;</w:t>
      </w:r>
    </w:p>
    <w:p w14:paraId="55BBD1DE" w14:textId="77777777" w:rsidR="00C316EC" w:rsidRPr="00215B2F" w:rsidRDefault="00D91782" w:rsidP="003D4DE0">
      <w:pPr>
        <w:pStyle w:val="Odstavekseznama"/>
        <w:numPr>
          <w:ilvl w:val="0"/>
          <w:numId w:val="33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pomen pridobljenih dobičkov ali preprečenih izgub s strani fizične ali pravne osebe, ki je odgovorna za kršitev, če jih je mogoče opredeliti;</w:t>
      </w:r>
    </w:p>
    <w:p w14:paraId="7F82A1E1" w14:textId="77777777" w:rsidR="00C316EC" w:rsidRPr="00215B2F" w:rsidRDefault="00D91782" w:rsidP="003D4DE0">
      <w:pPr>
        <w:pStyle w:val="Odstavekseznama"/>
        <w:numPr>
          <w:ilvl w:val="0"/>
          <w:numId w:val="33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izgube, ki so jih zaradi kršitve imele tretje osebe, če jih je mogoče opredeliti;</w:t>
      </w:r>
    </w:p>
    <w:p w14:paraId="77D6EFD2" w14:textId="77777777" w:rsidR="00C316EC" w:rsidRPr="00215B2F" w:rsidRDefault="00D91782" w:rsidP="003D4DE0">
      <w:pPr>
        <w:pStyle w:val="Odstavekseznama"/>
        <w:numPr>
          <w:ilvl w:val="0"/>
          <w:numId w:val="33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raven sodelovanja fizične ali pravne osebe, ki je odgovorna za kršitev, z Banko Slovenije;</w:t>
      </w:r>
    </w:p>
    <w:p w14:paraId="0BA9167A" w14:textId="77777777" w:rsidR="00C316EC" w:rsidRPr="00215B2F" w:rsidRDefault="00D91782" w:rsidP="003D4DE0">
      <w:pPr>
        <w:pStyle w:val="Odstavekseznama"/>
        <w:numPr>
          <w:ilvl w:val="0"/>
          <w:numId w:val="33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predhodne kršitve fizične ali pravne osebe, ki je odgovorna za kršitev;</w:t>
      </w:r>
    </w:p>
    <w:p w14:paraId="29D596F1" w14:textId="77777777" w:rsidR="00C316EC" w:rsidRPr="00215B2F" w:rsidRDefault="00D91782" w:rsidP="003D4DE0">
      <w:pPr>
        <w:pStyle w:val="Odstavekseznama"/>
        <w:numPr>
          <w:ilvl w:val="0"/>
          <w:numId w:val="33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morebitne sistemske posledice kršitve;</w:t>
      </w:r>
    </w:p>
    <w:p w14:paraId="081E49B3" w14:textId="013A04C4" w:rsidR="00D91782" w:rsidRPr="00215B2F" w:rsidRDefault="00D91782" w:rsidP="003D4DE0">
      <w:pPr>
        <w:pStyle w:val="Odstavekseznama"/>
        <w:numPr>
          <w:ilvl w:val="0"/>
          <w:numId w:val="337"/>
        </w:num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kazni, ki so bile za enako kršitev že prej naložene po kazenskem pravu fizični ali pravni osebi, odgovorni za to kršitev.</w:t>
      </w:r>
    </w:p>
    <w:p w14:paraId="0CFDFE1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7099CB0" w14:textId="068BD4A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Če je pravna oseba storila več kršitev iz </w:t>
      </w:r>
      <w:r w:rsidR="00962F2A" w:rsidRPr="00215B2F">
        <w:rPr>
          <w:rFonts w:ascii="Arial" w:eastAsia="Arial" w:hAnsi="Arial" w:cs="Arial"/>
          <w:sz w:val="20"/>
          <w:szCs w:val="20"/>
        </w:rPr>
        <w:t>389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ki glede na kraj, način ter druge okoliščine pomenijo enotno dejavnost ali ravnanje, Banka Slovenije pravni osebi izreče eno administrativno sankcijo, število kršitev pa upošteva kot okoliščino pri odmeri administrativne sankcije.</w:t>
      </w:r>
    </w:p>
    <w:p w14:paraId="16CCC7B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91728D3" w14:textId="0A6A4C0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Banka Slovenije v odločbi o administrativni sankciji določi rok za plačilo administrativne sankcije, ki ne sme biti </w:t>
      </w:r>
      <w:r w:rsidR="005147D3" w:rsidRPr="00215B2F">
        <w:rPr>
          <w:rFonts w:ascii="Arial" w:eastAsia="Arial" w:hAnsi="Arial" w:cs="Arial"/>
          <w:sz w:val="20"/>
          <w:szCs w:val="20"/>
        </w:rPr>
        <w:t xml:space="preserve">ne </w:t>
      </w:r>
      <w:r w:rsidRPr="00215B2F">
        <w:rPr>
          <w:rFonts w:ascii="Arial" w:eastAsia="Arial" w:hAnsi="Arial" w:cs="Arial"/>
          <w:sz w:val="20"/>
          <w:szCs w:val="20"/>
        </w:rPr>
        <w:t xml:space="preserve">krajši od osmih dni in ne daljši od treh mesecev. </w:t>
      </w:r>
    </w:p>
    <w:p w14:paraId="188602F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82C8F2D"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61" w:name="_Ref202967949"/>
      <w:r w:rsidRPr="00215B2F">
        <w:rPr>
          <w:rFonts w:ascii="Arial" w:eastAsia="Arial" w:hAnsi="Arial" w:cs="Arial"/>
          <w:b/>
          <w:bCs/>
          <w:sz w:val="20"/>
          <w:szCs w:val="20"/>
        </w:rPr>
        <w:t>člen</w:t>
      </w:r>
      <w:bookmarkEnd w:id="461"/>
    </w:p>
    <w:p w14:paraId="3DDE04C1" w14:textId="77777777" w:rsidR="00D91782" w:rsidRPr="00215B2F" w:rsidRDefault="00D91782" w:rsidP="00FD5520">
      <w:pPr>
        <w:pStyle w:val="Slog1"/>
        <w:shd w:val="clear" w:color="auto" w:fill="FFFFFF" w:themeFill="background1"/>
        <w:rPr>
          <w:sz w:val="20"/>
          <w:szCs w:val="20"/>
        </w:rPr>
      </w:pPr>
      <w:r w:rsidRPr="00215B2F">
        <w:rPr>
          <w:sz w:val="20"/>
          <w:szCs w:val="20"/>
        </w:rPr>
        <w:t>(sorazmernost administrativne sankcije)</w:t>
      </w:r>
    </w:p>
    <w:p w14:paraId="09692AB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2999191" w14:textId="294ED6E1" w:rsidR="00D91782" w:rsidRPr="00215B2F" w:rsidRDefault="00994E3B"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lahko  upoštevaje vse okoliščine primera odloči, da pravni osebi namesto plačila administrativne sankcije izreče opomin (odločba o opominu) ali da zoper pravno osebo ne bo začela postopka administrativne sankcij. Pri tem upošteva</w:t>
      </w:r>
      <w:r w:rsidR="00D91782" w:rsidRPr="00215B2F">
        <w:rPr>
          <w:rFonts w:ascii="Arial" w:eastAsia="Arial" w:hAnsi="Arial" w:cs="Arial"/>
          <w:sz w:val="20"/>
          <w:szCs w:val="20"/>
        </w:rPr>
        <w:t xml:space="preserve"> zlasti:</w:t>
      </w:r>
    </w:p>
    <w:p w14:paraId="787239A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4A615B5" w14:textId="52C69B59" w:rsidR="001F007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če je bila kršitev storjena v posebnih olajševalnih okoliščinah in pravna oseba kršitve kljub najvišji stopnji </w:t>
      </w:r>
      <w:r w:rsidR="002D7513" w:rsidRPr="00215B2F">
        <w:rPr>
          <w:rFonts w:ascii="Arial" w:eastAsia="Arial" w:hAnsi="Arial" w:cs="Arial"/>
          <w:sz w:val="20"/>
          <w:szCs w:val="20"/>
        </w:rPr>
        <w:t xml:space="preserve">profesionalne </w:t>
      </w:r>
      <w:r w:rsidRPr="00215B2F">
        <w:rPr>
          <w:rFonts w:ascii="Arial" w:eastAsia="Arial" w:hAnsi="Arial" w:cs="Arial"/>
          <w:sz w:val="20"/>
          <w:szCs w:val="20"/>
        </w:rPr>
        <w:t>skrbnosti ni mogla preprečiti ali</w:t>
      </w:r>
    </w:p>
    <w:p w14:paraId="7C830311" w14:textId="23072AE6"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če glede na naravo in pomen kršitev nima pomembnega vpliva na varno in skrbno upravljanje pravne osebe ali na stabilnost finančnega sistema in je pravna oseba kršitev že odpravila</w:t>
      </w:r>
      <w:r w:rsidR="00994E3B" w:rsidRPr="00215B2F">
        <w:rPr>
          <w:rFonts w:ascii="Arial" w:eastAsia="Arial" w:hAnsi="Arial" w:cs="Arial"/>
          <w:sz w:val="20"/>
          <w:szCs w:val="20"/>
        </w:rPr>
        <w:t>.</w:t>
      </w:r>
      <w:r w:rsidRPr="00215B2F">
        <w:rPr>
          <w:rFonts w:ascii="Arial" w:eastAsia="Arial" w:hAnsi="Arial" w:cs="Arial"/>
          <w:sz w:val="20"/>
          <w:szCs w:val="20"/>
        </w:rPr>
        <w:t xml:space="preserve"> </w:t>
      </w:r>
    </w:p>
    <w:p w14:paraId="7D30B2B7" w14:textId="4824E14E" w:rsidR="00994E3B"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 </w:t>
      </w:r>
    </w:p>
    <w:p w14:paraId="76C5FB9B" w14:textId="1C4E26BC" w:rsidR="00D91782" w:rsidRPr="00215B2F" w:rsidRDefault="00994E3B"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w:t>
      </w:r>
      <w:r w:rsidR="00D91782" w:rsidRPr="00215B2F">
        <w:rPr>
          <w:rFonts w:ascii="Arial" w:eastAsia="Arial" w:hAnsi="Arial" w:cs="Arial"/>
          <w:sz w:val="20"/>
          <w:szCs w:val="20"/>
        </w:rPr>
        <w:t>Banka Slovenije o tem pisno obvesti pravno osebo.</w:t>
      </w:r>
    </w:p>
    <w:p w14:paraId="08E8B57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2855EF4"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62" w:name="_Ref202967952"/>
      <w:r w:rsidRPr="00215B2F">
        <w:rPr>
          <w:rFonts w:ascii="Arial" w:eastAsia="Arial" w:hAnsi="Arial" w:cs="Arial"/>
          <w:b/>
          <w:bCs/>
          <w:sz w:val="20"/>
          <w:szCs w:val="20"/>
        </w:rPr>
        <w:t>člen</w:t>
      </w:r>
      <w:bookmarkEnd w:id="462"/>
    </w:p>
    <w:p w14:paraId="48FC218A" w14:textId="77777777" w:rsidR="00D91782" w:rsidRPr="00215B2F" w:rsidRDefault="00D91782" w:rsidP="00FD5520">
      <w:pPr>
        <w:pStyle w:val="Slog1"/>
        <w:shd w:val="clear" w:color="auto" w:fill="FFFFFF" w:themeFill="background1"/>
        <w:rPr>
          <w:sz w:val="20"/>
          <w:szCs w:val="20"/>
        </w:rPr>
      </w:pPr>
      <w:r w:rsidRPr="00215B2F">
        <w:rPr>
          <w:sz w:val="20"/>
          <w:szCs w:val="20"/>
        </w:rPr>
        <w:t>(znižanje administrativne sankcije na podlagi vloge za poravnavo)</w:t>
      </w:r>
    </w:p>
    <w:p w14:paraId="0B9F88D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2528F68" w14:textId="12EB5EC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w:t>
      </w:r>
      <w:r w:rsidR="00C37513" w:rsidRPr="00215B2F">
        <w:rPr>
          <w:rFonts w:ascii="Arial" w:eastAsia="Arial" w:hAnsi="Arial" w:cs="Arial"/>
          <w:sz w:val="20"/>
          <w:szCs w:val="20"/>
        </w:rPr>
        <w:t xml:space="preserve"> </w:t>
      </w:r>
      <w:r w:rsidRPr="00215B2F">
        <w:rPr>
          <w:rFonts w:ascii="Arial" w:eastAsia="Arial" w:hAnsi="Arial" w:cs="Arial"/>
          <w:sz w:val="20"/>
          <w:szCs w:val="20"/>
        </w:rPr>
        <w:t xml:space="preserve">Pravna oseba ali Banka Slovenije lahko v postopku administrativne sankcije zaradi kršitev iz </w:t>
      </w:r>
      <w:r w:rsidR="00962F2A" w:rsidRPr="00215B2F">
        <w:rPr>
          <w:rFonts w:ascii="Arial" w:eastAsia="Arial" w:hAnsi="Arial" w:cs="Arial"/>
          <w:sz w:val="20"/>
          <w:szCs w:val="20"/>
        </w:rPr>
        <w:t>389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do vročitve poziva iz </w:t>
      </w:r>
      <w:r w:rsidR="00FA74E6" w:rsidRPr="00215B2F">
        <w:rPr>
          <w:rFonts w:ascii="Arial" w:eastAsia="Arial" w:hAnsi="Arial" w:cs="Arial"/>
          <w:sz w:val="20"/>
          <w:szCs w:val="20"/>
        </w:rPr>
        <w:t>445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predlaga pogajanja o pogojih priznanja kršitve (postopek za poravnavo).</w:t>
      </w:r>
    </w:p>
    <w:p w14:paraId="34544BB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0E8A703" w14:textId="3584375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w:t>
      </w:r>
      <w:r w:rsidR="00CA0C11" w:rsidRPr="00215B2F">
        <w:rPr>
          <w:rFonts w:ascii="Arial" w:eastAsia="Arial" w:hAnsi="Arial" w:cs="Arial"/>
          <w:sz w:val="20"/>
          <w:szCs w:val="20"/>
        </w:rPr>
        <w:t xml:space="preserve"> </w:t>
      </w:r>
      <w:r w:rsidRPr="00215B2F">
        <w:rPr>
          <w:rFonts w:ascii="Arial" w:eastAsia="Arial" w:hAnsi="Arial" w:cs="Arial"/>
          <w:sz w:val="20"/>
          <w:szCs w:val="20"/>
        </w:rPr>
        <w:t xml:space="preserve">Če se Banka Slovenije in pravna oseba strinjata s predlogom iz prejšnjega odstavka, Banka Slovenije pravno osebo, ki sodeluje v postopku za poravnavo, pisno seznani z: </w:t>
      </w:r>
    </w:p>
    <w:p w14:paraId="29B64B30" w14:textId="77777777" w:rsidR="00CA0C11" w:rsidRPr="00215B2F" w:rsidRDefault="00CA0C11" w:rsidP="00FD5520">
      <w:pPr>
        <w:shd w:val="clear" w:color="auto" w:fill="FFFFFF" w:themeFill="background1"/>
        <w:spacing w:after="0" w:line="240" w:lineRule="auto"/>
        <w:jc w:val="both"/>
        <w:rPr>
          <w:rFonts w:ascii="Arial" w:eastAsia="Arial" w:hAnsi="Arial" w:cs="Arial"/>
          <w:sz w:val="20"/>
          <w:szCs w:val="20"/>
        </w:rPr>
      </w:pPr>
    </w:p>
    <w:p w14:paraId="734273AD" w14:textId="77777777" w:rsidR="001F007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očitki, zaradi katerih namerava začeti postopek izreka administrativne sankcije,</w:t>
      </w:r>
    </w:p>
    <w:p w14:paraId="288E5DD7" w14:textId="77777777" w:rsidR="001F007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lastRenderedPageBreak/>
        <w:t>dokazi, pridobljenimi za opredelitev predvidenih očitkov,</w:t>
      </w:r>
    </w:p>
    <w:p w14:paraId="5FE5A8AE" w14:textId="77777777" w:rsidR="001F007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razponom morebitne administrativne sankcije,</w:t>
      </w:r>
    </w:p>
    <w:p w14:paraId="19423B16" w14:textId="43DF12EB"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rokom, v katerem pravna oseba lahko vloži vlogo za poravnavo. </w:t>
      </w:r>
    </w:p>
    <w:p w14:paraId="1CE170C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FB0DF42" w14:textId="0A36DCA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Po prejemu pisnega obvestila iz prejšnjega odstavka lahko pravna oseba vloži vlogo za poravnavo, ki mora biti sestavljena v pisni obliki in vsebovati: </w:t>
      </w:r>
    </w:p>
    <w:p w14:paraId="07BA83D4" w14:textId="77777777" w:rsidR="00FD58B1" w:rsidRPr="00215B2F" w:rsidRDefault="00FD58B1" w:rsidP="00FD5520">
      <w:pPr>
        <w:shd w:val="clear" w:color="auto" w:fill="FFFFFF" w:themeFill="background1"/>
        <w:spacing w:after="0" w:line="240" w:lineRule="auto"/>
        <w:jc w:val="both"/>
        <w:rPr>
          <w:rFonts w:ascii="Arial" w:eastAsia="Arial" w:hAnsi="Arial" w:cs="Arial"/>
          <w:sz w:val="20"/>
          <w:szCs w:val="20"/>
        </w:rPr>
      </w:pPr>
    </w:p>
    <w:p w14:paraId="71D80B5E" w14:textId="3492C774" w:rsidR="001F007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jasno in nedvoumno priznanje pravne osebe o odgovornosti za kršitev</w:t>
      </w:r>
      <w:r w:rsidR="00C73183" w:rsidRPr="00215B2F">
        <w:rPr>
          <w:rFonts w:ascii="Arial" w:eastAsia="Arial" w:hAnsi="Arial" w:cs="Arial"/>
          <w:sz w:val="20"/>
          <w:szCs w:val="20"/>
        </w:rPr>
        <w:t>,</w:t>
      </w:r>
    </w:p>
    <w:p w14:paraId="191C76F9" w14:textId="2ED555E2" w:rsidR="001F007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opis kršitve, morebitn</w:t>
      </w:r>
      <w:r w:rsidR="00C327B8" w:rsidRPr="00215B2F">
        <w:rPr>
          <w:rFonts w:ascii="Arial" w:eastAsia="Arial" w:hAnsi="Arial" w:cs="Arial"/>
          <w:sz w:val="20"/>
          <w:szCs w:val="20"/>
        </w:rPr>
        <w:t>e</w:t>
      </w:r>
      <w:r w:rsidRPr="00215B2F">
        <w:rPr>
          <w:rFonts w:ascii="Arial" w:eastAsia="Arial" w:hAnsi="Arial" w:cs="Arial"/>
          <w:sz w:val="20"/>
          <w:szCs w:val="20"/>
        </w:rPr>
        <w:t xml:space="preserve"> škod</w:t>
      </w:r>
      <w:r w:rsidR="00C327B8" w:rsidRPr="00215B2F">
        <w:rPr>
          <w:rFonts w:ascii="Arial" w:eastAsia="Arial" w:hAnsi="Arial" w:cs="Arial"/>
          <w:sz w:val="20"/>
          <w:szCs w:val="20"/>
        </w:rPr>
        <w:t>e</w:t>
      </w:r>
      <w:r w:rsidRPr="00215B2F">
        <w:rPr>
          <w:rFonts w:ascii="Arial" w:eastAsia="Arial" w:hAnsi="Arial" w:cs="Arial"/>
          <w:sz w:val="20"/>
          <w:szCs w:val="20"/>
        </w:rPr>
        <w:t>, ki je nastala zaradi kršitve, trajanje kršitve, vpliv kršitve na stabilno ureditev upravljanja pravne osebe ter druge pomembne okoliščine</w:t>
      </w:r>
      <w:r w:rsidR="00C73183" w:rsidRPr="00215B2F">
        <w:rPr>
          <w:rFonts w:ascii="Arial" w:eastAsia="Arial" w:hAnsi="Arial" w:cs="Arial"/>
          <w:sz w:val="20"/>
          <w:szCs w:val="20"/>
        </w:rPr>
        <w:t>,</w:t>
      </w:r>
    </w:p>
    <w:p w14:paraId="5D92B449" w14:textId="089A8AD3" w:rsidR="001F007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navedbo najvišjega zneska administrativne sankcije, s katero pravna oseba soglaša, da jo Banka Slovenije izreče, ter dejstev, ki vplivajo na odmero administrativne sankcije</w:t>
      </w:r>
      <w:r w:rsidR="00C327B8" w:rsidRPr="00215B2F">
        <w:rPr>
          <w:rFonts w:ascii="Arial" w:eastAsia="Arial" w:hAnsi="Arial" w:cs="Arial"/>
          <w:sz w:val="20"/>
          <w:szCs w:val="20"/>
        </w:rPr>
        <w:t>,</w:t>
      </w:r>
    </w:p>
    <w:p w14:paraId="6DA0B3FD" w14:textId="2BCC6751" w:rsidR="001F0071"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izjavo pravne osebe, da je bila ustrezno obveščena o ugotovitvah Banke Slovenije o dejstvih in dokazih, ki so pomembni za odločitev o kršitvi, in da je imela zadostne možnosti, da se je lahko o njih izjavila</w:t>
      </w:r>
      <w:r w:rsidR="00C327B8" w:rsidRPr="00215B2F">
        <w:rPr>
          <w:rFonts w:ascii="Arial" w:eastAsia="Arial" w:hAnsi="Arial" w:cs="Arial"/>
          <w:sz w:val="20"/>
          <w:szCs w:val="20"/>
        </w:rPr>
        <w:t>,</w:t>
      </w:r>
    </w:p>
    <w:p w14:paraId="137396C2" w14:textId="42F93630"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izjavo pravne osebe, da soglaša, da Banka Slovenije izda odločbo.</w:t>
      </w:r>
    </w:p>
    <w:p w14:paraId="546B444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22638CC" w14:textId="6A9FEBD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8D6D8D" w:rsidRPr="00215B2F">
        <w:rPr>
          <w:rFonts w:ascii="Arial" w:eastAsia="Arial" w:hAnsi="Arial" w:cs="Arial"/>
          <w:sz w:val="20"/>
          <w:szCs w:val="20"/>
        </w:rPr>
        <w:t>4</w:t>
      </w:r>
      <w:r w:rsidRPr="00215B2F">
        <w:rPr>
          <w:rFonts w:ascii="Arial" w:eastAsia="Arial" w:hAnsi="Arial" w:cs="Arial"/>
          <w:sz w:val="20"/>
          <w:szCs w:val="20"/>
        </w:rPr>
        <w:t>)</w:t>
      </w:r>
      <w:r w:rsidR="00CA0C11" w:rsidRPr="00215B2F">
        <w:rPr>
          <w:rFonts w:ascii="Arial" w:eastAsia="Arial" w:hAnsi="Arial" w:cs="Arial"/>
          <w:sz w:val="20"/>
          <w:szCs w:val="20"/>
        </w:rPr>
        <w:t xml:space="preserve"> </w:t>
      </w:r>
      <w:r w:rsidRPr="00215B2F">
        <w:rPr>
          <w:rFonts w:ascii="Arial" w:eastAsia="Arial" w:hAnsi="Arial" w:cs="Arial"/>
          <w:sz w:val="20"/>
          <w:szCs w:val="20"/>
        </w:rPr>
        <w:t xml:space="preserve">Če Banka Slovenije vlogo za poravnavo sprejme, lahko na podlagi vloge za poravnavo izda odločbo o administrativni sankciji. </w:t>
      </w:r>
    </w:p>
    <w:p w14:paraId="7F5DB30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8A9702D" w14:textId="1738D37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8D6D8D" w:rsidRPr="00215B2F">
        <w:rPr>
          <w:rFonts w:ascii="Arial" w:eastAsia="Arial" w:hAnsi="Arial" w:cs="Arial"/>
          <w:sz w:val="20"/>
          <w:szCs w:val="20"/>
        </w:rPr>
        <w:t>5</w:t>
      </w:r>
      <w:r w:rsidRPr="00215B2F">
        <w:rPr>
          <w:rFonts w:ascii="Arial" w:eastAsia="Arial" w:hAnsi="Arial" w:cs="Arial"/>
          <w:sz w:val="20"/>
          <w:szCs w:val="20"/>
        </w:rPr>
        <w:t>)</w:t>
      </w:r>
      <w:r w:rsidR="00CA0C11" w:rsidRPr="00215B2F">
        <w:rPr>
          <w:rFonts w:ascii="Arial" w:eastAsia="Arial" w:hAnsi="Arial" w:cs="Arial"/>
          <w:sz w:val="20"/>
          <w:szCs w:val="20"/>
        </w:rPr>
        <w:t xml:space="preserve"> </w:t>
      </w:r>
      <w:r w:rsidRPr="00215B2F">
        <w:rPr>
          <w:rFonts w:ascii="Arial" w:eastAsia="Arial" w:hAnsi="Arial" w:cs="Arial"/>
          <w:sz w:val="20"/>
          <w:szCs w:val="20"/>
        </w:rPr>
        <w:t xml:space="preserve">Pravni osebi se lahko na podlagi vloge za poravnavo, ki jo Banka Slovenije sprejeme, administrativna sankcija zniža za največ 20 odstotkov višine, ki bi jo Banka Slovenije izrekla pravni osebi, če ne bi vložila vloge za poravnavo. </w:t>
      </w:r>
    </w:p>
    <w:p w14:paraId="2741526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0021986" w14:textId="3D29841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8D6D8D" w:rsidRPr="00215B2F">
        <w:rPr>
          <w:rFonts w:ascii="Arial" w:eastAsia="Arial" w:hAnsi="Arial" w:cs="Arial"/>
          <w:sz w:val="20"/>
          <w:szCs w:val="20"/>
        </w:rPr>
        <w:t>6</w:t>
      </w:r>
      <w:r w:rsidRPr="00215B2F">
        <w:rPr>
          <w:rFonts w:ascii="Arial" w:eastAsia="Arial" w:hAnsi="Arial" w:cs="Arial"/>
          <w:sz w:val="20"/>
          <w:szCs w:val="20"/>
        </w:rPr>
        <w:t xml:space="preserve">) Pravna oseba lahko umakne vlogo za poravnavo v osmih dneh od dne, ko jo je vložila. Pravna oseba se lahko pisno odpove pravici do umika vloge za poravnavo. </w:t>
      </w:r>
    </w:p>
    <w:p w14:paraId="3B99EBB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AF3C01E" w14:textId="164A18A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8D6D8D" w:rsidRPr="00215B2F">
        <w:rPr>
          <w:rFonts w:ascii="Arial" w:eastAsia="Arial" w:hAnsi="Arial" w:cs="Arial"/>
          <w:sz w:val="20"/>
          <w:szCs w:val="20"/>
        </w:rPr>
        <w:t>7</w:t>
      </w:r>
      <w:r w:rsidRPr="00215B2F">
        <w:rPr>
          <w:rFonts w:ascii="Arial" w:eastAsia="Arial" w:hAnsi="Arial" w:cs="Arial"/>
          <w:sz w:val="20"/>
          <w:szCs w:val="20"/>
        </w:rPr>
        <w:t xml:space="preserve">) Če do vložitve vloge za poravnavo ne pride v roku iz obvestila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ali če Banka Slovenije ne sprejme vložene vloge za poravnavo ali če pravna oseba vlogo za poravnavo pravočasno umakne, se v postopku za poravnavo s strani pravne osebe predloženi dokaz</w:t>
      </w:r>
      <w:r w:rsidR="00C327B8" w:rsidRPr="00215B2F">
        <w:rPr>
          <w:rFonts w:ascii="Arial" w:eastAsia="Arial" w:hAnsi="Arial" w:cs="Arial"/>
          <w:sz w:val="20"/>
          <w:szCs w:val="20"/>
        </w:rPr>
        <w:t>i</w:t>
      </w:r>
      <w:r w:rsidRPr="00215B2F">
        <w:rPr>
          <w:rFonts w:ascii="Arial" w:eastAsia="Arial" w:hAnsi="Arial" w:cs="Arial"/>
          <w:sz w:val="20"/>
          <w:szCs w:val="20"/>
        </w:rPr>
        <w:t xml:space="preserve"> in izjav</w:t>
      </w:r>
      <w:r w:rsidR="00C327B8" w:rsidRPr="00215B2F">
        <w:rPr>
          <w:rFonts w:ascii="Arial" w:eastAsia="Arial" w:hAnsi="Arial" w:cs="Arial"/>
          <w:sz w:val="20"/>
          <w:szCs w:val="20"/>
        </w:rPr>
        <w:t>e</w:t>
      </w:r>
      <w:r w:rsidRPr="00215B2F">
        <w:rPr>
          <w:rFonts w:ascii="Arial" w:eastAsia="Arial" w:hAnsi="Arial" w:cs="Arial"/>
          <w:sz w:val="20"/>
          <w:szCs w:val="20"/>
        </w:rPr>
        <w:t xml:space="preserve"> ne sme</w:t>
      </w:r>
      <w:r w:rsidR="00C327B8" w:rsidRPr="00215B2F">
        <w:rPr>
          <w:rFonts w:ascii="Arial" w:eastAsia="Arial" w:hAnsi="Arial" w:cs="Arial"/>
          <w:sz w:val="20"/>
          <w:szCs w:val="20"/>
        </w:rPr>
        <w:t>jo</w:t>
      </w:r>
      <w:r w:rsidRPr="00215B2F">
        <w:rPr>
          <w:rFonts w:ascii="Arial" w:eastAsia="Arial" w:hAnsi="Arial" w:cs="Arial"/>
          <w:sz w:val="20"/>
          <w:szCs w:val="20"/>
        </w:rPr>
        <w:t xml:space="preserve"> uporabiti v postopku izreka administrativne sankcije. </w:t>
      </w:r>
    </w:p>
    <w:p w14:paraId="141DF81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CC294B7" w14:textId="611B1A0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8D6D8D" w:rsidRPr="00215B2F">
        <w:rPr>
          <w:rFonts w:ascii="Arial" w:eastAsia="Arial" w:hAnsi="Arial" w:cs="Arial"/>
          <w:sz w:val="20"/>
          <w:szCs w:val="20"/>
        </w:rPr>
        <w:t>8</w:t>
      </w:r>
      <w:r w:rsidRPr="00215B2F">
        <w:rPr>
          <w:rFonts w:ascii="Arial" w:eastAsia="Arial" w:hAnsi="Arial" w:cs="Arial"/>
          <w:sz w:val="20"/>
          <w:szCs w:val="20"/>
        </w:rPr>
        <w:t xml:space="preserve">) Če je odločba o administrativni sankciji, izdana na podlagi vloge za poravnavo, izdana v skladu s pogoji vloge za poravnavo, se ne sme izpodbijati iz razloga, ker dejansko stanje ni bilo pravilno in popolno ugotovljeno ali ker je bil iz ugotovljenih dejstev napravljen napačen sklep o dejanskem stanju. </w:t>
      </w:r>
    </w:p>
    <w:p w14:paraId="2FD029F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D0BBF1F" w14:textId="67C21B8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8D6D8D" w:rsidRPr="00215B2F">
        <w:rPr>
          <w:rFonts w:ascii="Arial" w:eastAsia="Arial" w:hAnsi="Arial" w:cs="Arial"/>
          <w:sz w:val="20"/>
          <w:szCs w:val="20"/>
        </w:rPr>
        <w:t>9</w:t>
      </w:r>
      <w:r w:rsidRPr="00215B2F">
        <w:rPr>
          <w:rFonts w:ascii="Arial" w:eastAsia="Arial" w:hAnsi="Arial" w:cs="Arial"/>
          <w:sz w:val="20"/>
          <w:szCs w:val="20"/>
        </w:rPr>
        <w:t>)</w:t>
      </w:r>
      <w:r w:rsidR="001D7B9B" w:rsidRPr="00215B2F">
        <w:rPr>
          <w:rFonts w:ascii="Arial" w:eastAsia="Arial" w:hAnsi="Arial" w:cs="Arial"/>
          <w:sz w:val="20"/>
          <w:szCs w:val="20"/>
        </w:rPr>
        <w:t xml:space="preserve"> </w:t>
      </w:r>
      <w:r w:rsidRPr="00215B2F">
        <w:rPr>
          <w:rFonts w:ascii="Arial" w:eastAsia="Arial" w:hAnsi="Arial" w:cs="Arial"/>
          <w:sz w:val="20"/>
          <w:szCs w:val="20"/>
        </w:rPr>
        <w:t>Postopek znižanja administrativne sankcije na podlagi vloge za poravnavo iz tega člena podrobneje predpiše Banka Slovenije.</w:t>
      </w:r>
    </w:p>
    <w:p w14:paraId="16AFB4C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DB6BF5B"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63" w:name="_Ref202967955"/>
      <w:r w:rsidRPr="00215B2F">
        <w:rPr>
          <w:rFonts w:ascii="Arial" w:eastAsia="Arial" w:hAnsi="Arial" w:cs="Arial"/>
          <w:b/>
          <w:bCs/>
          <w:sz w:val="20"/>
          <w:szCs w:val="20"/>
        </w:rPr>
        <w:t>člen</w:t>
      </w:r>
      <w:bookmarkEnd w:id="463"/>
    </w:p>
    <w:p w14:paraId="78556B6E" w14:textId="77777777" w:rsidR="00D91782" w:rsidRPr="00215B2F" w:rsidRDefault="00D91782" w:rsidP="00FD5520">
      <w:pPr>
        <w:pStyle w:val="Slog1"/>
        <w:shd w:val="clear" w:color="auto" w:fill="FFFFFF" w:themeFill="background1"/>
        <w:rPr>
          <w:sz w:val="20"/>
          <w:szCs w:val="20"/>
        </w:rPr>
      </w:pPr>
      <w:r w:rsidRPr="00215B2F">
        <w:rPr>
          <w:sz w:val="20"/>
          <w:szCs w:val="20"/>
        </w:rPr>
        <w:t>(sodelovanje z drugimi organi)</w:t>
      </w:r>
    </w:p>
    <w:p w14:paraId="000761B0" w14:textId="77777777" w:rsidR="00D91782" w:rsidRPr="00215B2F" w:rsidRDefault="00D91782" w:rsidP="00FD5520">
      <w:pPr>
        <w:pStyle w:val="Slog1"/>
        <w:shd w:val="clear" w:color="auto" w:fill="FFFFFF" w:themeFill="background1"/>
        <w:jc w:val="both"/>
        <w:rPr>
          <w:sz w:val="20"/>
          <w:szCs w:val="20"/>
        </w:rPr>
      </w:pPr>
    </w:p>
    <w:p w14:paraId="363B40D4" w14:textId="0AEBD2D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pri izvajanju pooblastil za naložitev administrativnih sankcij tesno sodeluje z drugimi </w:t>
      </w:r>
      <w:r w:rsidR="00952F52" w:rsidRPr="00215B2F">
        <w:rPr>
          <w:rFonts w:ascii="Arial" w:eastAsia="Arial" w:hAnsi="Arial" w:cs="Arial"/>
          <w:sz w:val="20"/>
          <w:szCs w:val="20"/>
        </w:rPr>
        <w:t>ustrez</w:t>
      </w:r>
      <w:r w:rsidRPr="00215B2F">
        <w:rPr>
          <w:rFonts w:ascii="Arial" w:eastAsia="Arial" w:hAnsi="Arial" w:cs="Arial"/>
          <w:sz w:val="20"/>
          <w:szCs w:val="20"/>
        </w:rPr>
        <w:t xml:space="preserve">nimi pristojnimi organi oziroma pristojnimi organi v drugi državi članici, z namenom zagotoviti, da se s temi ukrepi dosežejo rezultati, ki so cilj tega zakona oziroma Direktive 2013/36/EU. </w:t>
      </w:r>
    </w:p>
    <w:p w14:paraId="1A32DF1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CA4F67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V čezmejnih primerih Banka Slovenije pri uporabi administrativnih sankcij usklajuje svoje ukrepe za preprečevanje kopičenja in prekrivanja s pristojnimi organi drugih držav članic.</w:t>
      </w:r>
    </w:p>
    <w:p w14:paraId="4F909BF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9BBE69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lahko izreče administrativno sankcijo v zvezi z isto pravno osebo, ki je odgovorna za isto dejanje ali opustitev dejanja, v primeru kopičenja upravnih in kaznovalnih postopkov, povezanih z isto kršitvijo. Vendar mora biti tako kopičenje postopkov in kazni nujno potrebno in sorazmerno za doseganje različnih in dopolnjujočih se ciljev v splošnem interesu.</w:t>
      </w:r>
    </w:p>
    <w:p w14:paraId="3889E78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D82FFA1" w14:textId="19A47CD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Kadar Banka Slovenije pri uporabi administrativnih sankcij meni, da bi kršitev lahko imela tudi znake kaznivega dejanja, o postopku in ugotovitvah obvesti pristojno državno tožilstvo. Pristojno držav</w:t>
      </w:r>
      <w:r w:rsidR="0012311A" w:rsidRPr="00215B2F">
        <w:rPr>
          <w:rFonts w:ascii="Arial" w:eastAsia="Arial" w:hAnsi="Arial" w:cs="Arial"/>
          <w:sz w:val="20"/>
          <w:szCs w:val="20"/>
        </w:rPr>
        <w:t>n</w:t>
      </w:r>
      <w:r w:rsidRPr="00215B2F">
        <w:rPr>
          <w:rFonts w:ascii="Arial" w:eastAsia="Arial" w:hAnsi="Arial" w:cs="Arial"/>
          <w:sz w:val="20"/>
          <w:szCs w:val="20"/>
        </w:rPr>
        <w:t xml:space="preserve">o tožilstvo po preučitvi primera obvesti Banko Slovenije, če bo uvedlo kazenski postopek. </w:t>
      </w:r>
    </w:p>
    <w:p w14:paraId="45958D1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551AD41" w14:textId="68D00CC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(5) Državno tožilstvo</w:t>
      </w:r>
      <w:r w:rsidR="00A43A96" w:rsidRPr="00215B2F">
        <w:rPr>
          <w:rFonts w:ascii="Arial" w:eastAsia="Arial" w:hAnsi="Arial" w:cs="Arial"/>
          <w:sz w:val="20"/>
          <w:szCs w:val="20"/>
        </w:rPr>
        <w:t xml:space="preserve"> o tem</w:t>
      </w:r>
      <w:r w:rsidRPr="00215B2F">
        <w:rPr>
          <w:rFonts w:ascii="Arial" w:eastAsia="Arial" w:hAnsi="Arial" w:cs="Arial"/>
          <w:sz w:val="20"/>
          <w:szCs w:val="20"/>
        </w:rPr>
        <w:t xml:space="preserve">, </w:t>
      </w:r>
      <w:r w:rsidR="00A43A96" w:rsidRPr="00215B2F">
        <w:rPr>
          <w:rFonts w:ascii="Arial" w:eastAsia="Arial" w:hAnsi="Arial" w:cs="Arial"/>
          <w:sz w:val="20"/>
          <w:szCs w:val="20"/>
        </w:rPr>
        <w:t xml:space="preserve">da je </w:t>
      </w:r>
      <w:r w:rsidRPr="00215B2F">
        <w:rPr>
          <w:rFonts w:ascii="Arial" w:eastAsia="Arial" w:hAnsi="Arial" w:cs="Arial"/>
          <w:sz w:val="20"/>
          <w:szCs w:val="20"/>
        </w:rPr>
        <w:t>zače</w:t>
      </w:r>
      <w:r w:rsidR="00A43A96" w:rsidRPr="00215B2F">
        <w:rPr>
          <w:rFonts w:ascii="Arial" w:eastAsia="Arial" w:hAnsi="Arial" w:cs="Arial"/>
          <w:sz w:val="20"/>
          <w:szCs w:val="20"/>
        </w:rPr>
        <w:t>lo</w:t>
      </w:r>
      <w:r w:rsidRPr="00215B2F">
        <w:rPr>
          <w:rFonts w:ascii="Arial" w:eastAsia="Arial" w:hAnsi="Arial" w:cs="Arial"/>
          <w:sz w:val="20"/>
          <w:szCs w:val="20"/>
        </w:rPr>
        <w:t xml:space="preserve"> kazenski postopek zoper banko ali drug subjekt nadzora Banke Slovenije in </w:t>
      </w:r>
      <w:r w:rsidR="00A43A96" w:rsidRPr="00215B2F">
        <w:rPr>
          <w:rFonts w:ascii="Arial" w:eastAsia="Arial" w:hAnsi="Arial" w:cs="Arial"/>
          <w:sz w:val="20"/>
          <w:szCs w:val="20"/>
        </w:rPr>
        <w:t xml:space="preserve">da </w:t>
      </w:r>
      <w:r w:rsidRPr="00215B2F">
        <w:rPr>
          <w:rFonts w:ascii="Arial" w:eastAsia="Arial" w:hAnsi="Arial" w:cs="Arial"/>
          <w:sz w:val="20"/>
          <w:szCs w:val="20"/>
        </w:rPr>
        <w:t>je očitano jim kaznivo dejanje povezano z njihovim poslovanjem ali delovanjem v okviru zahtev tega zakona ali Uredbe 575/2013/EU</w:t>
      </w:r>
      <w:r w:rsidR="00A43A96" w:rsidRPr="00215B2F">
        <w:rPr>
          <w:rFonts w:ascii="Arial" w:eastAsia="Arial" w:hAnsi="Arial" w:cs="Arial"/>
          <w:sz w:val="20"/>
          <w:szCs w:val="20"/>
        </w:rPr>
        <w:t>,</w:t>
      </w:r>
      <w:r w:rsidRPr="00215B2F">
        <w:rPr>
          <w:rFonts w:ascii="Arial" w:eastAsia="Arial" w:hAnsi="Arial" w:cs="Arial"/>
          <w:sz w:val="20"/>
          <w:szCs w:val="20"/>
        </w:rPr>
        <w:t xml:space="preserve"> obvesti Banko Slovenije. </w:t>
      </w:r>
    </w:p>
    <w:p w14:paraId="7970558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7EFFD48" w14:textId="10870F8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Banka Slovenije in </w:t>
      </w:r>
      <w:r w:rsidR="00A43A96" w:rsidRPr="00215B2F">
        <w:rPr>
          <w:rFonts w:ascii="Arial" w:eastAsia="Arial" w:hAnsi="Arial" w:cs="Arial"/>
          <w:sz w:val="20"/>
          <w:szCs w:val="20"/>
        </w:rPr>
        <w:t>v</w:t>
      </w:r>
      <w:r w:rsidRPr="00215B2F">
        <w:rPr>
          <w:rFonts w:ascii="Arial" w:eastAsia="Arial" w:hAnsi="Arial" w:cs="Arial"/>
          <w:sz w:val="20"/>
          <w:szCs w:val="20"/>
        </w:rPr>
        <w:t xml:space="preserve">rhovno državno tožilstvo lahko z namenom učinkovite izmenjave informacij skleneta sporazum o sodelovanju. </w:t>
      </w:r>
    </w:p>
    <w:p w14:paraId="4A1EDA09" w14:textId="77777777" w:rsidR="001011F5" w:rsidRPr="00215B2F" w:rsidRDefault="001011F5" w:rsidP="00FD5520">
      <w:pPr>
        <w:shd w:val="clear" w:color="auto" w:fill="FFFFFF" w:themeFill="background1"/>
        <w:spacing w:after="0" w:line="240" w:lineRule="auto"/>
        <w:jc w:val="both"/>
        <w:rPr>
          <w:rFonts w:ascii="Arial" w:eastAsia="Arial" w:hAnsi="Arial" w:cs="Arial"/>
          <w:sz w:val="20"/>
          <w:szCs w:val="20"/>
        </w:rPr>
      </w:pPr>
    </w:p>
    <w:p w14:paraId="0CD474F2" w14:textId="1CA7624A" w:rsidR="00D91782" w:rsidRPr="00215B2F" w:rsidRDefault="005A6F6E" w:rsidP="00FD5520">
      <w:pPr>
        <w:shd w:val="clear" w:color="auto" w:fill="FFFFFF" w:themeFill="background1"/>
        <w:spacing w:after="0" w:line="240" w:lineRule="auto"/>
        <w:jc w:val="center"/>
        <w:rPr>
          <w:rFonts w:ascii="Arial" w:eastAsia="Arial" w:hAnsi="Arial" w:cs="Arial"/>
          <w:sz w:val="20"/>
          <w:szCs w:val="20"/>
        </w:rPr>
      </w:pPr>
      <w:r w:rsidRPr="00215B2F">
        <w:rPr>
          <w:rFonts w:ascii="Arial" w:eastAsia="Arial" w:hAnsi="Arial" w:cs="Arial"/>
          <w:sz w:val="20"/>
          <w:szCs w:val="20"/>
        </w:rPr>
        <w:t>12</w:t>
      </w:r>
      <w:r w:rsidR="00D91782" w:rsidRPr="00215B2F">
        <w:rPr>
          <w:rFonts w:ascii="Arial" w:eastAsia="Arial" w:hAnsi="Arial" w:cs="Arial"/>
          <w:sz w:val="20"/>
          <w:szCs w:val="20"/>
        </w:rPr>
        <w:t xml:space="preserve">. POGLAVJE: </w:t>
      </w:r>
      <w:r w:rsidR="00D91782" w:rsidRPr="00215B2F">
        <w:rPr>
          <w:rFonts w:ascii="Arial" w:eastAsia="Arial" w:hAnsi="Arial" w:cs="Arial"/>
          <w:sz w:val="20"/>
          <w:szCs w:val="20"/>
        </w:rPr>
        <w:br/>
        <w:t>POSEBNE VRSTE NADZORA</w:t>
      </w:r>
    </w:p>
    <w:p w14:paraId="4D972DD2"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3BC5BD30" w14:textId="286C6539" w:rsidR="00D91782" w:rsidRPr="00215B2F" w:rsidRDefault="005A6F6E"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12</w:t>
      </w:r>
      <w:r w:rsidR="00D91782" w:rsidRPr="00215B2F">
        <w:rPr>
          <w:rFonts w:ascii="Arial" w:eastAsia="Arial" w:hAnsi="Arial" w:cs="Arial"/>
          <w:b/>
          <w:bCs/>
          <w:sz w:val="20"/>
          <w:szCs w:val="20"/>
        </w:rPr>
        <w:t>.1 NADZOR NAD BANKO V ZVEZI S POSLOVANJEM NA OBMOČJU DRUGE DRŽAVE ČLANICE</w:t>
      </w:r>
    </w:p>
    <w:p w14:paraId="2BF7A37E"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647F66F"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64" w:name="_Ref202967963"/>
      <w:r w:rsidRPr="00215B2F">
        <w:rPr>
          <w:rFonts w:ascii="Arial" w:eastAsia="Arial" w:hAnsi="Arial" w:cs="Arial"/>
          <w:b/>
          <w:bCs/>
          <w:sz w:val="20"/>
          <w:szCs w:val="20"/>
        </w:rPr>
        <w:t>člen</w:t>
      </w:r>
      <w:bookmarkEnd w:id="464"/>
    </w:p>
    <w:p w14:paraId="3E9A0B91"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(sodelovanje pristojnih organov v zvezi z opravljanjem storitev banke v drugi državi članici)</w:t>
      </w:r>
    </w:p>
    <w:p w14:paraId="36BA9B02"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2FD973B2" w14:textId="36BC533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sodeluje s pristojnim organom države članice, v kateri banka opravlja storitve neposredno ali prek podružnice, zlasti z izmenjavo vseh informacij, ki so ključne ali pomembne za izvajanje nadzora nad banko, vključno z informacijami glede likvidnosti, kapitalske ustreznosti, jamstva za vloge, omejitev velikih izpostavljenosti, načrtov sanacije, mehanizma notranjih kontrol ter glede drugih dejavnikov, ki lahko vplivajo na sistemsko tveganje, ki ga </w:t>
      </w:r>
      <w:r w:rsidR="002F3273" w:rsidRPr="00215B2F">
        <w:rPr>
          <w:rFonts w:ascii="Arial" w:eastAsia="Arial" w:hAnsi="Arial" w:cs="Arial"/>
          <w:sz w:val="20"/>
          <w:szCs w:val="20"/>
        </w:rPr>
        <w:t xml:space="preserve">predstavlja </w:t>
      </w:r>
      <w:r w:rsidRPr="00215B2F">
        <w:rPr>
          <w:rFonts w:ascii="Arial" w:eastAsia="Arial" w:hAnsi="Arial" w:cs="Arial"/>
          <w:sz w:val="20"/>
          <w:szCs w:val="20"/>
        </w:rPr>
        <w:t>banka.</w:t>
      </w:r>
    </w:p>
    <w:p w14:paraId="4438309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AAC9175" w14:textId="484AE9F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Če pristojni organ države članice zavrne zahtevo Banke Slovenije za sodelovanje iz prejšnjega odstavka, zlasti po izmenjavi informacij, s katerimi razpolaga in ki so potrebne za spremljanje poslovanja banke, oziroma če se na tako zahtevo Banke Slovenije ne odzove v razumnem roku, lahko </w:t>
      </w:r>
      <w:r w:rsidR="004135DC" w:rsidRPr="00215B2F">
        <w:rPr>
          <w:rFonts w:ascii="Arial" w:eastAsia="Arial" w:hAnsi="Arial" w:cs="Arial"/>
          <w:sz w:val="20"/>
          <w:szCs w:val="20"/>
        </w:rPr>
        <w:t>t</w:t>
      </w:r>
      <w:r w:rsidRPr="00215B2F">
        <w:rPr>
          <w:rFonts w:ascii="Arial" w:eastAsia="Arial" w:hAnsi="Arial" w:cs="Arial"/>
          <w:sz w:val="20"/>
          <w:szCs w:val="20"/>
        </w:rPr>
        <w:t>a o tem obvesti Evropski bančni organ v skladu z 19. členom Uredbe 1093/2010/EU.</w:t>
      </w:r>
    </w:p>
    <w:p w14:paraId="0954FA5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C1598DB" w14:textId="7CFF543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pristojnemu organu države članice, v kateri banka opravlja storitve, nemudoma po</w:t>
      </w:r>
      <w:r w:rsidR="004135DC" w:rsidRPr="00215B2F">
        <w:rPr>
          <w:rFonts w:ascii="Arial" w:eastAsia="Arial" w:hAnsi="Arial" w:cs="Arial"/>
          <w:sz w:val="20"/>
          <w:szCs w:val="20"/>
        </w:rPr>
        <w:t>šl</w:t>
      </w:r>
      <w:r w:rsidRPr="00215B2F">
        <w:rPr>
          <w:rFonts w:ascii="Arial" w:eastAsia="Arial" w:hAnsi="Arial" w:cs="Arial"/>
          <w:sz w:val="20"/>
          <w:szCs w:val="20"/>
        </w:rPr>
        <w:t>je vse informacije in ugotovitve v zvezi z banko glede izpolnjevanja zahtev v zvezi z likvidnostjo v skladu s 6. delom Uredbe 575/2013/EU in določbami tega zakona o izpolnjevanju zahtev na konsolidirani podlagi, ki so pomembne za poslovanje podružnice banke v državi članici, zlasti za zaščito vlagateljev v državi članici.</w:t>
      </w:r>
    </w:p>
    <w:p w14:paraId="0395BF9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2E38F8C" w14:textId="6A4EC2D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Če Banka Slovenije ugotovi, da ima banka likvidnostne težave ali se lahko razumno pričakuje, da se bodo te težave pojavile, o teh ugotovitvah nemudoma obvesti pristojni organ države članice, v kateri banka opravlja storitve, in hkrati po</w:t>
      </w:r>
      <w:r w:rsidR="004135DC" w:rsidRPr="00215B2F">
        <w:rPr>
          <w:rFonts w:ascii="Arial" w:eastAsia="Arial" w:hAnsi="Arial" w:cs="Arial"/>
          <w:sz w:val="20"/>
          <w:szCs w:val="20"/>
        </w:rPr>
        <w:t>šl</w:t>
      </w:r>
      <w:r w:rsidRPr="00215B2F">
        <w:rPr>
          <w:rFonts w:ascii="Arial" w:eastAsia="Arial" w:hAnsi="Arial" w:cs="Arial"/>
          <w:sz w:val="20"/>
          <w:szCs w:val="20"/>
        </w:rPr>
        <w:t>je tudi informacije o izvedenih in načrtovanih ukrepih sanacije za odpravljanje težav banke, vključno z ukrepi nadzora, ki jih je izrekla.</w:t>
      </w:r>
    </w:p>
    <w:p w14:paraId="0F06AE3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E569BA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Če je Banka Slovenije od pristojnega organa države članice, v kateri banka opravlja storitve, pridobila informacije v zvezi z njenim poslovanjem, mu na njegovo zahtevo sporoči in pojasni, kako so bile njegove informacije in ugotovitve upoštevane.</w:t>
      </w:r>
    </w:p>
    <w:p w14:paraId="2B9EDC9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8817529" w14:textId="1F926FC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Če je Banka Slovenije od pristojnega organa države članice pridobila informacije o kršitvah banke pri poslovanju v državi članici, zlasti da banka krši ali bo verjetno kršila zahteve, ki jih določa ta zakon ali Uredba 575/2013/EU, pristojnemu organu na njegovo zahtevo po</w:t>
      </w:r>
      <w:r w:rsidR="004135DC" w:rsidRPr="00215B2F">
        <w:rPr>
          <w:rFonts w:ascii="Arial" w:eastAsia="Arial" w:hAnsi="Arial" w:cs="Arial"/>
          <w:sz w:val="20"/>
          <w:szCs w:val="20"/>
        </w:rPr>
        <w:t>šl</w:t>
      </w:r>
      <w:r w:rsidRPr="00215B2F">
        <w:rPr>
          <w:rFonts w:ascii="Arial" w:eastAsia="Arial" w:hAnsi="Arial" w:cs="Arial"/>
          <w:sz w:val="20"/>
          <w:szCs w:val="20"/>
        </w:rPr>
        <w:t>je pojasnila o ukrepih, ki jih je sprejela zoper banko, da se odpravijo ali preprečijo take kršitve v zvezi s poslovanjem banke v državi članici.</w:t>
      </w:r>
    </w:p>
    <w:p w14:paraId="6978536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8236D8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(7) Če je pristojni organ države članice kljub ukrepom in pojasnilom Banke Slovenije iz prejšnjega odstavka sprejel ukrepe zoper banko v zvezi z njenim poslovanjem na območju države članice in Banka Slovenije oceni, da ti ukrepi niso primerni, da se preprečijo nadaljnje kršitve banke v državi članici ali da se zaščitijo interesi vlagateljev, investitorjev in drugih oseb, za katere banka opravlja storitve v državi članici, ali da se zagotovi stabilnost finančnega sistema države članice, lahko Banka Slovenije zadevo predloži Evropskemu bančnemu organu in ga zaprosi za pomoč v skladu z 19. členom Uredbe 1093/2010/EU.</w:t>
      </w:r>
    </w:p>
    <w:p w14:paraId="122DC43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0CD223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(8) Če se Banka Slovenije ne strinja z začasnimi ukrepi, ki jih sprejme pristojni organ države članice, v kateri banka opravlja storitve, lahko zadevo predloži Evropskemu bančnemu organu in ga zaprosi za pomoč v skladu z 19. členom Uredbe 1093/2010/EU.</w:t>
      </w:r>
    </w:p>
    <w:p w14:paraId="58A730B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1058D71"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65" w:name="_Ref202967993"/>
      <w:r w:rsidRPr="00215B2F">
        <w:rPr>
          <w:rFonts w:ascii="Arial" w:eastAsia="Arial" w:hAnsi="Arial" w:cs="Arial"/>
          <w:b/>
          <w:bCs/>
          <w:sz w:val="20"/>
          <w:szCs w:val="20"/>
        </w:rPr>
        <w:lastRenderedPageBreak/>
        <w:t>člen</w:t>
      </w:r>
      <w:bookmarkEnd w:id="465"/>
    </w:p>
    <w:p w14:paraId="17B59591" w14:textId="77777777" w:rsidR="00D91782" w:rsidRPr="00215B2F" w:rsidRDefault="00D91782" w:rsidP="00FD5520">
      <w:pPr>
        <w:pStyle w:val="Slog1"/>
        <w:shd w:val="clear" w:color="auto" w:fill="FFFFFF" w:themeFill="background1"/>
        <w:rPr>
          <w:sz w:val="20"/>
          <w:szCs w:val="20"/>
        </w:rPr>
      </w:pPr>
      <w:r w:rsidRPr="00215B2F">
        <w:rPr>
          <w:sz w:val="20"/>
          <w:szCs w:val="20"/>
        </w:rPr>
        <w:t>(opredelitev podružnice banke v državi članici kot pomembne)</w:t>
      </w:r>
    </w:p>
    <w:p w14:paraId="2C379AB1" w14:textId="77777777" w:rsidR="00D91782" w:rsidRPr="00215B2F" w:rsidRDefault="00D91782" w:rsidP="00FD5520">
      <w:pPr>
        <w:pStyle w:val="Slog1"/>
        <w:shd w:val="clear" w:color="auto" w:fill="FFFFFF" w:themeFill="background1"/>
        <w:jc w:val="both"/>
        <w:rPr>
          <w:sz w:val="20"/>
          <w:szCs w:val="20"/>
        </w:rPr>
      </w:pPr>
    </w:p>
    <w:p w14:paraId="6C3648EC" w14:textId="4FD7905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Kadar pristojni organ države članice, v kateri banka opravlja storitve prek podružnice, pri Banki Slovenije zahteva opredelitev te podružnice kot pomembne, Banka Slovenije sodeluje s pristojnim organom te države članice in si prizadeva za spreje</w:t>
      </w:r>
      <w:r w:rsidR="005619DA" w:rsidRPr="00215B2F">
        <w:rPr>
          <w:rFonts w:ascii="Arial" w:eastAsia="Arial" w:hAnsi="Arial" w:cs="Arial"/>
          <w:sz w:val="20"/>
          <w:szCs w:val="20"/>
        </w:rPr>
        <w:t>tje</w:t>
      </w:r>
      <w:r w:rsidRPr="00215B2F">
        <w:rPr>
          <w:rFonts w:ascii="Arial" w:eastAsia="Arial" w:hAnsi="Arial" w:cs="Arial"/>
          <w:sz w:val="20"/>
          <w:szCs w:val="20"/>
        </w:rPr>
        <w:t xml:space="preserve"> skupne odločitve glede opredelitve podružnice banke v državi članici kot pomembne.</w:t>
      </w:r>
    </w:p>
    <w:p w14:paraId="799870A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826BEA9" w14:textId="156A98A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Skupna odločitev iz prejšnjega odstavka se navede v dokumentu, ki vsebuje obrazložitev</w:t>
      </w:r>
      <w:r w:rsidR="005619DA" w:rsidRPr="00215B2F">
        <w:rPr>
          <w:rFonts w:ascii="Arial" w:eastAsia="Arial" w:hAnsi="Arial" w:cs="Arial"/>
          <w:sz w:val="20"/>
          <w:szCs w:val="20"/>
        </w:rPr>
        <w:t>,</w:t>
      </w:r>
      <w:r w:rsidRPr="00215B2F">
        <w:rPr>
          <w:rFonts w:ascii="Arial" w:eastAsia="Arial" w:hAnsi="Arial" w:cs="Arial"/>
          <w:sz w:val="20"/>
          <w:szCs w:val="20"/>
        </w:rPr>
        <w:t xml:space="preserve"> in se po</w:t>
      </w:r>
      <w:r w:rsidR="005619DA" w:rsidRPr="00215B2F">
        <w:rPr>
          <w:rFonts w:ascii="Arial" w:eastAsia="Arial" w:hAnsi="Arial" w:cs="Arial"/>
          <w:sz w:val="20"/>
          <w:szCs w:val="20"/>
        </w:rPr>
        <w:t>šl</w:t>
      </w:r>
      <w:r w:rsidRPr="00215B2F">
        <w:rPr>
          <w:rFonts w:ascii="Arial" w:eastAsia="Arial" w:hAnsi="Arial" w:cs="Arial"/>
          <w:sz w:val="20"/>
          <w:szCs w:val="20"/>
        </w:rPr>
        <w:t xml:space="preserve">je </w:t>
      </w:r>
      <w:r w:rsidR="005619DA" w:rsidRPr="00215B2F">
        <w:rPr>
          <w:rFonts w:ascii="Arial" w:eastAsia="Arial" w:hAnsi="Arial" w:cs="Arial"/>
          <w:sz w:val="20"/>
          <w:szCs w:val="20"/>
        </w:rPr>
        <w:t>ustrez</w:t>
      </w:r>
      <w:r w:rsidRPr="00215B2F">
        <w:rPr>
          <w:rFonts w:ascii="Arial" w:eastAsia="Arial" w:hAnsi="Arial" w:cs="Arial"/>
          <w:sz w:val="20"/>
          <w:szCs w:val="20"/>
        </w:rPr>
        <w:t>nim pristojnim organom držav članic.</w:t>
      </w:r>
    </w:p>
    <w:p w14:paraId="316D4D4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93BA977" w14:textId="4D5F940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v dveh mesecih od vložitve zahteve pristojnega organa države članice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skupna odločitev o opredelitvi podružnice kot pomembne ni sprejeta in odločitev v naslednjih dveh mesecih sprejme pristojni organ države članice, je ta odločitev za Banko Slovenije zavezujoča.</w:t>
      </w:r>
    </w:p>
    <w:p w14:paraId="10E104F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3872256"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66" w:name="_Ref202967999"/>
      <w:r w:rsidRPr="00215B2F">
        <w:rPr>
          <w:rFonts w:ascii="Arial" w:eastAsia="Arial" w:hAnsi="Arial" w:cs="Arial"/>
          <w:b/>
          <w:bCs/>
          <w:sz w:val="20"/>
          <w:szCs w:val="20"/>
        </w:rPr>
        <w:t>člen</w:t>
      </w:r>
      <w:bookmarkEnd w:id="466"/>
    </w:p>
    <w:p w14:paraId="4ADF66FE" w14:textId="77777777" w:rsidR="00D91782" w:rsidRPr="00215B2F" w:rsidRDefault="00D91782" w:rsidP="00FD5520">
      <w:pPr>
        <w:pStyle w:val="Slog1"/>
        <w:shd w:val="clear" w:color="auto" w:fill="FFFFFF" w:themeFill="background1"/>
        <w:rPr>
          <w:sz w:val="20"/>
          <w:szCs w:val="20"/>
        </w:rPr>
      </w:pPr>
      <w:r w:rsidRPr="00215B2F">
        <w:rPr>
          <w:sz w:val="20"/>
          <w:szCs w:val="20"/>
        </w:rPr>
        <w:t>(sodelovanje v zvezi z nadzorom nad poslovanjem pomembnih podružnic bank v drugih državah članicah)</w:t>
      </w:r>
    </w:p>
    <w:p w14:paraId="777EFEDA" w14:textId="77777777" w:rsidR="00D91782" w:rsidRPr="00215B2F" w:rsidRDefault="00D91782" w:rsidP="00FD5520">
      <w:pPr>
        <w:pStyle w:val="Slog1"/>
        <w:shd w:val="clear" w:color="auto" w:fill="FFFFFF" w:themeFill="background1"/>
        <w:jc w:val="both"/>
        <w:rPr>
          <w:sz w:val="20"/>
          <w:szCs w:val="20"/>
        </w:rPr>
      </w:pPr>
    </w:p>
    <w:p w14:paraId="5E03F691" w14:textId="4278C0E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sodeluje s pristojnim organom države članice glede poslovanja pomembne podružnice banke v tej državi članici tako, da na lastno pobudo pristojnemu organu države članice po</w:t>
      </w:r>
      <w:r w:rsidR="005619DA" w:rsidRPr="00215B2F">
        <w:rPr>
          <w:rFonts w:ascii="Arial" w:eastAsia="Arial" w:hAnsi="Arial" w:cs="Arial"/>
          <w:sz w:val="20"/>
          <w:szCs w:val="20"/>
        </w:rPr>
        <w:t>šl</w:t>
      </w:r>
      <w:r w:rsidRPr="00215B2F">
        <w:rPr>
          <w:rFonts w:ascii="Arial" w:eastAsia="Arial" w:hAnsi="Arial" w:cs="Arial"/>
          <w:sz w:val="20"/>
          <w:szCs w:val="20"/>
        </w:rPr>
        <w:t>je zlasti naslednje informacije o poslovanju banke:</w:t>
      </w:r>
    </w:p>
    <w:p w14:paraId="5916FEC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59CCAAF" w14:textId="71D195BC" w:rsidR="001F0071" w:rsidRPr="00215B2F" w:rsidRDefault="00D91782" w:rsidP="003D4DE0">
      <w:pPr>
        <w:pStyle w:val="tevilnatoka"/>
        <w:numPr>
          <w:ilvl w:val="0"/>
          <w:numId w:val="265"/>
        </w:numPr>
        <w:shd w:val="clear" w:color="auto" w:fill="FFFFFF" w:themeFill="background1"/>
        <w:tabs>
          <w:tab w:val="clear" w:pos="425"/>
        </w:tabs>
        <w:rPr>
          <w:rFonts w:cs="Arial"/>
          <w:bCs/>
          <w:sz w:val="20"/>
          <w:szCs w:val="20"/>
        </w:rPr>
      </w:pPr>
      <w:r w:rsidRPr="00215B2F">
        <w:rPr>
          <w:rFonts w:eastAsia="Arial" w:cs="Arial"/>
          <w:sz w:val="20"/>
          <w:szCs w:val="20"/>
        </w:rPr>
        <w:t>o neugodnem razvoju poslovanja banke ali drugih subjektov v skupini, ki bi lahko resno vplival</w:t>
      </w:r>
      <w:r w:rsidR="002F3273" w:rsidRPr="00215B2F">
        <w:rPr>
          <w:rFonts w:eastAsia="Arial" w:cs="Arial"/>
          <w:sz w:val="20"/>
          <w:szCs w:val="20"/>
        </w:rPr>
        <w:t>o</w:t>
      </w:r>
      <w:r w:rsidRPr="00215B2F">
        <w:rPr>
          <w:rFonts w:eastAsia="Arial" w:cs="Arial"/>
          <w:sz w:val="20"/>
          <w:szCs w:val="20"/>
        </w:rPr>
        <w:t xml:space="preserve"> na institucije v tej državi članici;</w:t>
      </w:r>
    </w:p>
    <w:p w14:paraId="7D0E5CC7" w14:textId="7775D8AC" w:rsidR="001F0071" w:rsidRPr="00215B2F" w:rsidRDefault="00D91782" w:rsidP="003D4DE0">
      <w:pPr>
        <w:pStyle w:val="tevilnatoka"/>
        <w:numPr>
          <w:ilvl w:val="0"/>
          <w:numId w:val="265"/>
        </w:numPr>
        <w:shd w:val="clear" w:color="auto" w:fill="FFFFFF" w:themeFill="background1"/>
        <w:tabs>
          <w:tab w:val="clear" w:pos="425"/>
        </w:tabs>
        <w:rPr>
          <w:rFonts w:cs="Arial"/>
          <w:bCs/>
          <w:sz w:val="20"/>
          <w:szCs w:val="20"/>
        </w:rPr>
      </w:pPr>
      <w:r w:rsidRPr="00215B2F">
        <w:rPr>
          <w:rFonts w:eastAsia="Arial" w:cs="Arial"/>
          <w:sz w:val="20"/>
          <w:szCs w:val="20"/>
        </w:rPr>
        <w:t xml:space="preserve">o pomembnejših kaznih in ukrepih nadzora, ki jih je banki izrekla Banka Slovenije v skladu s tem zakonom, zlasti o morebitni zahtevi za zagotovitev kapitala v skladu s 1. točko drugega odstavka </w:t>
      </w:r>
      <w:r w:rsidR="005A78EE" w:rsidRPr="00215B2F">
        <w:rPr>
          <w:rFonts w:eastAsia="Arial" w:cs="Arial"/>
          <w:sz w:val="20"/>
          <w:szCs w:val="20"/>
        </w:rPr>
        <w:t>345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in </w:t>
      </w:r>
      <w:r w:rsidR="00F52E1F" w:rsidRPr="00215B2F">
        <w:rPr>
          <w:rFonts w:eastAsia="Arial" w:cs="Arial"/>
          <w:sz w:val="20"/>
          <w:szCs w:val="20"/>
        </w:rPr>
        <w:t xml:space="preserve">o </w:t>
      </w:r>
      <w:r w:rsidRPr="00215B2F">
        <w:rPr>
          <w:rFonts w:eastAsia="Arial" w:cs="Arial"/>
          <w:sz w:val="20"/>
          <w:szCs w:val="20"/>
        </w:rPr>
        <w:t>ukrepih za omejitev uporabe naprednega pristopa pri izračunu kapitalske zahteve v skladu z drugim odstavkom 312. člena Uredbe 575/2013/EU;</w:t>
      </w:r>
    </w:p>
    <w:p w14:paraId="30C6796F" w14:textId="2D8C6FDA" w:rsidR="00D91782" w:rsidRPr="00215B2F" w:rsidRDefault="00D91782" w:rsidP="003D4DE0">
      <w:pPr>
        <w:pStyle w:val="tevilnatoka"/>
        <w:numPr>
          <w:ilvl w:val="0"/>
          <w:numId w:val="265"/>
        </w:numPr>
        <w:shd w:val="clear" w:color="auto" w:fill="FFFFFF" w:themeFill="background1"/>
        <w:tabs>
          <w:tab w:val="clear" w:pos="425"/>
        </w:tabs>
        <w:rPr>
          <w:rFonts w:cs="Arial"/>
          <w:bCs/>
          <w:sz w:val="20"/>
          <w:szCs w:val="20"/>
        </w:rPr>
      </w:pPr>
      <w:r w:rsidRPr="00215B2F">
        <w:rPr>
          <w:rFonts w:eastAsia="Arial" w:cs="Arial"/>
          <w:sz w:val="20"/>
          <w:szCs w:val="20"/>
        </w:rPr>
        <w:t xml:space="preserve">o ugotovitvah na podlagi ocene tveganj banke, narejene v skladu </w:t>
      </w:r>
      <w:r w:rsidR="00F52E1F" w:rsidRPr="00215B2F">
        <w:rPr>
          <w:rFonts w:eastAsia="Arial" w:cs="Arial"/>
          <w:sz w:val="20"/>
          <w:szCs w:val="20"/>
        </w:rPr>
        <w:t xml:space="preserve">z </w:t>
      </w:r>
      <w:r w:rsidR="0013101D" w:rsidRPr="00215B2F">
        <w:rPr>
          <w:rFonts w:eastAsia="Arial" w:cs="Arial"/>
          <w:sz w:val="20"/>
          <w:szCs w:val="20"/>
        </w:rPr>
        <w:t>223</w:t>
      </w:r>
      <w:r w:rsidRPr="00215B2F">
        <w:rPr>
          <w:rFonts w:eastAsia="Arial" w:cs="Arial"/>
          <w:sz w:val="20"/>
          <w:szCs w:val="20"/>
        </w:rPr>
        <w:t xml:space="preserve">. </w:t>
      </w:r>
      <w:r w:rsidR="001F2C7A" w:rsidRPr="00215B2F">
        <w:rPr>
          <w:rFonts w:eastAsia="Arial" w:cs="Arial"/>
          <w:sz w:val="20"/>
          <w:szCs w:val="20"/>
        </w:rPr>
        <w:t>členom tega zakona</w:t>
      </w:r>
      <w:r w:rsidR="00F52E1F" w:rsidRPr="00215B2F">
        <w:rPr>
          <w:rFonts w:eastAsia="Arial" w:cs="Arial"/>
          <w:sz w:val="20"/>
          <w:szCs w:val="20"/>
        </w:rPr>
        <w:t>,</w:t>
      </w:r>
      <w:r w:rsidRPr="00215B2F">
        <w:rPr>
          <w:rFonts w:eastAsia="Arial" w:cs="Arial"/>
          <w:sz w:val="20"/>
          <w:szCs w:val="20"/>
        </w:rPr>
        <w:t xml:space="preserve"> oziroma o skupnih odločitvah pristojnih organov v skladu s </w:t>
      </w:r>
      <w:r w:rsidR="00355D35" w:rsidRPr="00215B2F">
        <w:rPr>
          <w:rFonts w:eastAsia="Arial" w:cs="Arial"/>
          <w:sz w:val="20"/>
          <w:szCs w:val="20"/>
        </w:rPr>
        <w:t>414</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 xml:space="preserve"> ter o odločitvah glede ukrepov nadzora, če so te ocene in odločitve pomembne z vidika poslovanja pomembne podružnice banke v drugih državah članicah.</w:t>
      </w:r>
    </w:p>
    <w:p w14:paraId="492D60F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CEE45DD" w14:textId="7FABB83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se posvetuje s pristojnim organom države članice, v kateri ima banka pomembno podružnico, o ustreznosti operativnih postopkov, ki jih določi banka v načrtu za ponovno vzpostavitev likvidnosti v skladu </w:t>
      </w:r>
      <w:r w:rsidR="00F52E1F" w:rsidRPr="00215B2F">
        <w:rPr>
          <w:rFonts w:ascii="Arial" w:eastAsia="Arial" w:hAnsi="Arial" w:cs="Arial"/>
          <w:sz w:val="20"/>
          <w:szCs w:val="20"/>
        </w:rPr>
        <w:t xml:space="preserve">z </w:t>
      </w:r>
      <w:r w:rsidR="00355D35" w:rsidRPr="00215B2F">
        <w:rPr>
          <w:rFonts w:ascii="Arial" w:eastAsia="Arial" w:hAnsi="Arial" w:cs="Arial"/>
          <w:sz w:val="20"/>
          <w:szCs w:val="20"/>
        </w:rPr>
        <w:t>210</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če je to pomembno z vidika likvidnostnih tveganj v tej državi članici.</w:t>
      </w:r>
      <w:r w:rsidR="00355D35" w:rsidRPr="00215B2F">
        <w:rPr>
          <w:rFonts w:ascii="Arial" w:eastAsia="Arial" w:hAnsi="Arial" w:cs="Arial"/>
          <w:sz w:val="20"/>
          <w:szCs w:val="20"/>
        </w:rPr>
        <w:t xml:space="preserve"> </w:t>
      </w:r>
    </w:p>
    <w:p w14:paraId="0BFB107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9B395B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v zvezi z opravljanjem nadzora nad banko s pomembnimi podružnicami v drugih državah članicah načrtuje in usklajuje naloge in ukrepe nadzora v sodelovanju s pristojnimi organi teh držav članic ter po potrebi s pristojnimi centralnimi bankami ESCB, zlasti glede priprave in izvedbe ukrepov v kriznih razmerah ter v primeru neugodnega razvoja pri poslovanju banke ali na finančnih trgih.</w:t>
      </w:r>
    </w:p>
    <w:p w14:paraId="3982C02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81286FC" w14:textId="2374EDB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Banka Slovenije za namene iz prejšnjega odstavka ustanovi in vodi kolegij pristojnih organov, če tak kolegij še ni ustanovljen na podlagi </w:t>
      </w:r>
      <w:r w:rsidR="0013101D" w:rsidRPr="00215B2F">
        <w:rPr>
          <w:rFonts w:ascii="Arial" w:eastAsia="Arial" w:hAnsi="Arial" w:cs="Arial"/>
          <w:sz w:val="20"/>
          <w:szCs w:val="20"/>
        </w:rPr>
        <w:t>415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29D1643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0FD5BD4" w14:textId="3B11057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Ustanovitev in delovanje kolegija iz prejšnjega odstavka temelji na pisnem dogovoru, ki ga sklenejo udeleženi pristojni organi. Banka Slovenije odloči o udeležbi pristojnih organov na posameznem sestanku ali pri dejavnostih kolegija in pri tem upošteva pomen nadzorne aktivnosti, ki bo obravnavana na sestanku kolegija, za te pristojne organe, zlasti mogoč</w:t>
      </w:r>
      <w:r w:rsidR="00F52E1F" w:rsidRPr="00215B2F">
        <w:rPr>
          <w:rFonts w:ascii="Arial" w:eastAsia="Arial" w:hAnsi="Arial" w:cs="Arial"/>
          <w:sz w:val="20"/>
          <w:szCs w:val="20"/>
        </w:rPr>
        <w:t>i</w:t>
      </w:r>
      <w:r w:rsidRPr="00215B2F">
        <w:rPr>
          <w:rFonts w:ascii="Arial" w:eastAsia="Arial" w:hAnsi="Arial" w:cs="Arial"/>
          <w:sz w:val="20"/>
          <w:szCs w:val="20"/>
        </w:rPr>
        <w:t xml:space="preserve"> vpliv na stabilnost finančnega sistema v teh državah članicah. Banka Slovenije vse člane kolegija obvešča o načrtovanih sestankih kolegija in zadevah, ki bodo obravnavane, o odločitvah, sprejetih na sestankih, </w:t>
      </w:r>
      <w:r w:rsidR="00F52E1F" w:rsidRPr="00215B2F">
        <w:rPr>
          <w:rFonts w:ascii="Arial" w:eastAsia="Arial" w:hAnsi="Arial" w:cs="Arial"/>
          <w:sz w:val="20"/>
          <w:szCs w:val="20"/>
        </w:rPr>
        <w:t xml:space="preserve">ter </w:t>
      </w:r>
      <w:r w:rsidRPr="00215B2F">
        <w:rPr>
          <w:rFonts w:ascii="Arial" w:eastAsia="Arial" w:hAnsi="Arial" w:cs="Arial"/>
          <w:sz w:val="20"/>
          <w:szCs w:val="20"/>
        </w:rPr>
        <w:t>o izvedenih aktivnostih.</w:t>
      </w:r>
    </w:p>
    <w:p w14:paraId="72B8BE6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46DBFA7"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67" w:name="_Ref202968011"/>
      <w:r w:rsidRPr="00215B2F">
        <w:rPr>
          <w:rFonts w:ascii="Arial" w:eastAsia="Arial" w:hAnsi="Arial" w:cs="Arial"/>
          <w:b/>
          <w:bCs/>
          <w:sz w:val="20"/>
          <w:szCs w:val="20"/>
        </w:rPr>
        <w:t>člen</w:t>
      </w:r>
      <w:bookmarkEnd w:id="467"/>
    </w:p>
    <w:p w14:paraId="4400D58F" w14:textId="77777777" w:rsidR="00D91782" w:rsidRPr="00215B2F" w:rsidRDefault="00D91782" w:rsidP="00FD5520">
      <w:pPr>
        <w:pStyle w:val="Slog1"/>
        <w:shd w:val="clear" w:color="auto" w:fill="FFFFFF" w:themeFill="background1"/>
        <w:rPr>
          <w:sz w:val="20"/>
          <w:szCs w:val="20"/>
        </w:rPr>
      </w:pPr>
      <w:r w:rsidRPr="00215B2F">
        <w:rPr>
          <w:sz w:val="20"/>
          <w:szCs w:val="20"/>
        </w:rPr>
        <w:t>(pregled poslovanja podružnice banke v državi članici)</w:t>
      </w:r>
    </w:p>
    <w:p w14:paraId="6F0DB214" w14:textId="77777777" w:rsidR="00D91782" w:rsidRPr="00215B2F" w:rsidRDefault="00D91782" w:rsidP="00FD5520">
      <w:pPr>
        <w:pStyle w:val="Slog1"/>
        <w:shd w:val="clear" w:color="auto" w:fill="FFFFFF" w:themeFill="background1"/>
        <w:jc w:val="both"/>
        <w:rPr>
          <w:sz w:val="20"/>
          <w:szCs w:val="20"/>
        </w:rPr>
      </w:pPr>
    </w:p>
    <w:p w14:paraId="7B758F04" w14:textId="4A6F0AF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w:t>
      </w:r>
      <w:r w:rsidR="00256D7F" w:rsidRPr="00215B2F">
        <w:rPr>
          <w:rFonts w:ascii="Arial" w:eastAsia="Arial" w:hAnsi="Arial" w:cs="Arial"/>
          <w:sz w:val="20"/>
          <w:szCs w:val="20"/>
        </w:rPr>
        <w:t>Preden</w:t>
      </w:r>
      <w:r w:rsidRPr="00215B2F">
        <w:rPr>
          <w:rFonts w:ascii="Arial" w:eastAsia="Arial" w:hAnsi="Arial" w:cs="Arial"/>
          <w:sz w:val="20"/>
          <w:szCs w:val="20"/>
        </w:rPr>
        <w:t xml:space="preserve"> Banka Slovenije opravi pregled poslovanja podružnice banke v državi članici, </w:t>
      </w:r>
      <w:r w:rsidR="00593843" w:rsidRPr="00215B2F">
        <w:rPr>
          <w:rFonts w:ascii="Arial" w:eastAsia="Arial" w:hAnsi="Arial" w:cs="Arial"/>
          <w:sz w:val="20"/>
          <w:szCs w:val="20"/>
        </w:rPr>
        <w:t xml:space="preserve">o tem </w:t>
      </w:r>
      <w:r w:rsidRPr="00215B2F">
        <w:rPr>
          <w:rFonts w:ascii="Arial" w:eastAsia="Arial" w:hAnsi="Arial" w:cs="Arial"/>
          <w:sz w:val="20"/>
          <w:szCs w:val="20"/>
        </w:rPr>
        <w:t>obvesti pristojni organ države članice, v kateri banka opravlja vzajemno priznane storitve.</w:t>
      </w:r>
    </w:p>
    <w:p w14:paraId="67FC801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CC9F081" w14:textId="2105383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(2) Banka Slovenije lahko ne glede na prejšnji odstavek zaprosi pristojni organ države članice, v kateri banka prek podružnice opravlja storitve, da opravi pregled poslovanja podružnice banke v tej državi članici</w:t>
      </w:r>
      <w:r w:rsidR="00593843" w:rsidRPr="00215B2F">
        <w:rPr>
          <w:rFonts w:ascii="Arial" w:eastAsia="Arial" w:hAnsi="Arial" w:cs="Arial"/>
          <w:sz w:val="20"/>
          <w:szCs w:val="20"/>
        </w:rPr>
        <w:t xml:space="preserve"> ali da za to pooblasti revizorja ali drugo strokovno osebo</w:t>
      </w:r>
      <w:r w:rsidRPr="00215B2F">
        <w:rPr>
          <w:rFonts w:ascii="Arial" w:eastAsia="Arial" w:hAnsi="Arial" w:cs="Arial"/>
          <w:sz w:val="20"/>
          <w:szCs w:val="20"/>
        </w:rPr>
        <w:t>. Pooblaščene osebe Banke Slovenije se lahko udeležijo nadzora, ki ga izvaja pristojni organ države članice.</w:t>
      </w:r>
    </w:p>
    <w:p w14:paraId="4A1C670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EA902B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informacije in ugotovitve o poslovanju podružnice banke, ki jih sporoči pristojni organ države članice na podlagi opravljenega pregleda poslovanja te podružnice, upošteva pri določanju svojega načrta nadzorniških pregledov, pri čemer upošteva tudi stabilnost finančnega sistema v tej državi članici.</w:t>
      </w:r>
    </w:p>
    <w:p w14:paraId="74D9B61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F2A7B9F"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68" w:name="_Ref202968015"/>
      <w:r w:rsidRPr="00215B2F">
        <w:rPr>
          <w:rFonts w:ascii="Arial" w:eastAsia="Arial" w:hAnsi="Arial" w:cs="Arial"/>
          <w:b/>
          <w:bCs/>
          <w:sz w:val="20"/>
          <w:szCs w:val="20"/>
        </w:rPr>
        <w:t>člen</w:t>
      </w:r>
      <w:bookmarkEnd w:id="468"/>
    </w:p>
    <w:p w14:paraId="45DDB421" w14:textId="77777777" w:rsidR="00D91782" w:rsidRPr="00215B2F" w:rsidRDefault="00D91782" w:rsidP="00FD5520">
      <w:pPr>
        <w:pStyle w:val="Slog1"/>
        <w:shd w:val="clear" w:color="auto" w:fill="FFFFFF" w:themeFill="background1"/>
        <w:rPr>
          <w:sz w:val="20"/>
          <w:szCs w:val="20"/>
        </w:rPr>
      </w:pPr>
      <w:r w:rsidRPr="00215B2F">
        <w:rPr>
          <w:sz w:val="20"/>
          <w:szCs w:val="20"/>
        </w:rPr>
        <w:t>(ukrepi nadzora nad banko, ki opravlja storitve v državi članici)</w:t>
      </w:r>
    </w:p>
    <w:p w14:paraId="65544302" w14:textId="77777777" w:rsidR="00D91782" w:rsidRPr="00215B2F" w:rsidRDefault="00D91782" w:rsidP="00FD5520">
      <w:pPr>
        <w:pStyle w:val="Slog1"/>
        <w:shd w:val="clear" w:color="auto" w:fill="FFFFFF" w:themeFill="background1"/>
        <w:jc w:val="both"/>
        <w:rPr>
          <w:sz w:val="20"/>
          <w:szCs w:val="20"/>
        </w:rPr>
      </w:pPr>
    </w:p>
    <w:p w14:paraId="6C9B889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Če Banka Slovenije od pristojnih organov države članice, v kateri banka opravlja storitve neposredno ali prek podružnice, prejme informacijo, da banka krši ali da obstaja pomembno tveganje, da bo kršila predpise države članice, ki prenašajo Direktivo 2013/36/EU, ali določbe Uredbe 575/2013/EU, Banka Slovenije brez odlašanja sprejme ukrepe nadzora po tem zakonu z namenom, da banka odpravi kršitve.</w:t>
      </w:r>
    </w:p>
    <w:p w14:paraId="25D3825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E3BFEB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mora nemudoma obvestiti pristojni organ države članice o sprejetih ukrepih.</w:t>
      </w:r>
    </w:p>
    <w:p w14:paraId="1EA7E51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A0D3E36"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69" w:name="_Ref202968020"/>
      <w:r w:rsidRPr="00215B2F">
        <w:rPr>
          <w:rFonts w:ascii="Arial" w:eastAsia="Arial" w:hAnsi="Arial" w:cs="Arial"/>
          <w:b/>
          <w:bCs/>
          <w:sz w:val="20"/>
          <w:szCs w:val="20"/>
        </w:rPr>
        <w:t>člen</w:t>
      </w:r>
      <w:bookmarkEnd w:id="469"/>
    </w:p>
    <w:p w14:paraId="18E8497C"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(obvestilo pristojnemu organu države članice o odvzemu dovoljenja banki)</w:t>
      </w:r>
    </w:p>
    <w:p w14:paraId="2257C7E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C9CC90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Če Banka Slovenije banki odvzame dovoljenje za opravljanje bančnih storitev oziroma ji prepove opravljati posamezne storitve, mora o tem nemudoma pisno obvestiti pristojne organe držav članic, v katerih banka opravlja te storitve.</w:t>
      </w:r>
    </w:p>
    <w:p w14:paraId="45D9D34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08B7002" w14:textId="6049970D" w:rsidR="00D91782" w:rsidRPr="00215B2F" w:rsidRDefault="005A6F6E"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12</w:t>
      </w:r>
      <w:r w:rsidR="00D91782" w:rsidRPr="00215B2F">
        <w:rPr>
          <w:rFonts w:ascii="Arial" w:eastAsia="Arial" w:hAnsi="Arial" w:cs="Arial"/>
          <w:b/>
          <w:bCs/>
          <w:sz w:val="20"/>
          <w:szCs w:val="20"/>
        </w:rPr>
        <w:t>.2 NADZOR NAD POSLOVANJEM BANKE DRŽAVE ČLANICE NA OBMOČJU REPUBLIKE SLOVENIJE</w:t>
      </w:r>
    </w:p>
    <w:p w14:paraId="1054EA6D"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24B20814"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70" w:name="_Ref202968027"/>
      <w:r w:rsidRPr="00215B2F">
        <w:rPr>
          <w:rFonts w:ascii="Arial" w:eastAsia="Arial" w:hAnsi="Arial" w:cs="Arial"/>
          <w:b/>
          <w:bCs/>
          <w:sz w:val="20"/>
          <w:szCs w:val="20"/>
        </w:rPr>
        <w:t>člen</w:t>
      </w:r>
      <w:bookmarkEnd w:id="470"/>
    </w:p>
    <w:p w14:paraId="7EF8BA29" w14:textId="77777777" w:rsidR="00D91782" w:rsidRPr="00215B2F" w:rsidRDefault="00D91782" w:rsidP="00FD5520">
      <w:pPr>
        <w:pStyle w:val="Slog1"/>
        <w:shd w:val="clear" w:color="auto" w:fill="FFFFFF" w:themeFill="background1"/>
        <w:rPr>
          <w:sz w:val="20"/>
          <w:szCs w:val="20"/>
        </w:rPr>
      </w:pPr>
      <w:r w:rsidRPr="00215B2F">
        <w:rPr>
          <w:sz w:val="20"/>
          <w:szCs w:val="20"/>
        </w:rPr>
        <w:t>(sodelovanje v zvezi z nadzorom pri opravljanju storitev banke države članice v Republiki Sloveniji)</w:t>
      </w:r>
    </w:p>
    <w:p w14:paraId="270AC2DD" w14:textId="77777777" w:rsidR="00D91782" w:rsidRPr="00215B2F" w:rsidRDefault="00D91782" w:rsidP="00FD5520">
      <w:pPr>
        <w:pStyle w:val="Slog1"/>
        <w:shd w:val="clear" w:color="auto" w:fill="FFFFFF" w:themeFill="background1"/>
        <w:jc w:val="both"/>
        <w:rPr>
          <w:sz w:val="20"/>
          <w:szCs w:val="20"/>
        </w:rPr>
      </w:pPr>
    </w:p>
    <w:p w14:paraId="62E25773" w14:textId="0234B31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sodeluje s pristojnim organom države članice z namenom izvajanja nadzora nad poslovanjem banke države članice, ki opravlja storitve neposredno ali prek podružnice v Republiki Sloveniji, zlasti z izmenjavo informacij, ki so ključne ali pomembne za izvajanje nadzora nad banko države članice, vključno z informacijami glede likvidnosti, kapitalske ustreznosti, jamstva za vloge, omejitev velikih izpostavljenosti, mehanizma notranjih kontrol ter glede drugih dejavnikov, ki lahko vplivajo na sistemsko tveganje, ki ga p</w:t>
      </w:r>
      <w:r w:rsidR="002621AB" w:rsidRPr="00215B2F">
        <w:rPr>
          <w:rFonts w:ascii="Arial" w:eastAsia="Arial" w:hAnsi="Arial" w:cs="Arial"/>
          <w:sz w:val="20"/>
          <w:szCs w:val="20"/>
        </w:rPr>
        <w:t>omeni</w:t>
      </w:r>
      <w:r w:rsidRPr="00215B2F">
        <w:rPr>
          <w:rFonts w:ascii="Arial" w:eastAsia="Arial" w:hAnsi="Arial" w:cs="Arial"/>
          <w:sz w:val="20"/>
          <w:szCs w:val="20"/>
        </w:rPr>
        <w:t xml:space="preserve"> banka države članice v Republiki Sloveniji.</w:t>
      </w:r>
    </w:p>
    <w:p w14:paraId="2041B55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3D686ED" w14:textId="1BAD201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Če pristojni organ države članice zavrne zahtevo Banke Slovenije za sodelovanje iz prejšnjega odstavka, zlasti po izmenjavi informacij, s katerimi razpolaga in ki so potrebne za spremljanje poslovanja banke, oziroma če se na tako zahtevo Banke Slovenije ne odzove v razumnem roku, lahko </w:t>
      </w:r>
      <w:r w:rsidR="002621AB" w:rsidRPr="00215B2F">
        <w:rPr>
          <w:rFonts w:ascii="Arial" w:eastAsia="Arial" w:hAnsi="Arial" w:cs="Arial"/>
          <w:sz w:val="20"/>
          <w:szCs w:val="20"/>
        </w:rPr>
        <w:t>t</w:t>
      </w:r>
      <w:r w:rsidRPr="00215B2F">
        <w:rPr>
          <w:rFonts w:ascii="Arial" w:eastAsia="Arial" w:hAnsi="Arial" w:cs="Arial"/>
          <w:sz w:val="20"/>
          <w:szCs w:val="20"/>
        </w:rPr>
        <w:t>a o tem obvesti Evropski bančni organ v skladu z 19. členom Uredbe 1093/2010/EU.</w:t>
      </w:r>
    </w:p>
    <w:p w14:paraId="2802EE0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372DB77" w14:textId="5BB557A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Kadar se pristojni organ države članice ali konsolidacijski nadzornik banke, ki ima pomembno podružnico v Republiki Sloveniji, ne posvetuje z Banko Slovenije o ustreznosti operativnih postopkov, ki jih določi banka v načrtu za ponovno vzpostavitev likvidnosti</w:t>
      </w:r>
      <w:r w:rsidR="00F31951" w:rsidRPr="00215B2F">
        <w:rPr>
          <w:rFonts w:ascii="Arial" w:eastAsia="Arial" w:hAnsi="Arial" w:cs="Arial"/>
          <w:sz w:val="20"/>
          <w:szCs w:val="20"/>
        </w:rPr>
        <w:t>,</w:t>
      </w:r>
      <w:r w:rsidRPr="00215B2F">
        <w:rPr>
          <w:rFonts w:ascii="Arial" w:eastAsia="Arial" w:hAnsi="Arial" w:cs="Arial"/>
          <w:sz w:val="20"/>
          <w:szCs w:val="20"/>
        </w:rPr>
        <w:t xml:space="preserve"> ali kadar Banka Slovenije po posvetovanju meni, da operativni postopki niso ustrezni, lahko zadevo predloži Evropskemu bančnemu organu in zahteva nje</w:t>
      </w:r>
      <w:r w:rsidR="00F31951" w:rsidRPr="00215B2F">
        <w:rPr>
          <w:rFonts w:ascii="Arial" w:eastAsia="Arial" w:hAnsi="Arial" w:cs="Arial"/>
          <w:sz w:val="20"/>
          <w:szCs w:val="20"/>
        </w:rPr>
        <w:t>gov</w:t>
      </w:r>
      <w:r w:rsidRPr="00215B2F">
        <w:rPr>
          <w:rFonts w:ascii="Arial" w:eastAsia="Arial" w:hAnsi="Arial" w:cs="Arial"/>
          <w:sz w:val="20"/>
          <w:szCs w:val="20"/>
        </w:rPr>
        <w:t>o pomoč v skladu z 19. členom Uredbe 1093/2010/EU.</w:t>
      </w:r>
    </w:p>
    <w:p w14:paraId="385A11F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26EF662"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71" w:name="_Ref202968035"/>
      <w:r w:rsidRPr="00215B2F">
        <w:rPr>
          <w:rFonts w:ascii="Arial" w:eastAsia="Arial" w:hAnsi="Arial" w:cs="Arial"/>
          <w:b/>
          <w:bCs/>
          <w:sz w:val="20"/>
          <w:szCs w:val="20"/>
        </w:rPr>
        <w:t>člen</w:t>
      </w:r>
      <w:bookmarkEnd w:id="471"/>
    </w:p>
    <w:p w14:paraId="5AAFFA85" w14:textId="77777777" w:rsidR="00D91782" w:rsidRPr="00215B2F" w:rsidRDefault="00D91782" w:rsidP="00FD5520">
      <w:pPr>
        <w:pStyle w:val="Slog1"/>
        <w:shd w:val="clear" w:color="auto" w:fill="FFFFFF" w:themeFill="background1"/>
        <w:rPr>
          <w:sz w:val="20"/>
          <w:szCs w:val="20"/>
        </w:rPr>
      </w:pPr>
      <w:r w:rsidRPr="00215B2F">
        <w:rPr>
          <w:sz w:val="20"/>
          <w:szCs w:val="20"/>
        </w:rPr>
        <w:t>(opredelitev pomembne podružnice banke države članice)</w:t>
      </w:r>
    </w:p>
    <w:p w14:paraId="2C2AB50E" w14:textId="77777777" w:rsidR="00D91782" w:rsidRPr="00215B2F" w:rsidRDefault="00D91782" w:rsidP="00FD5520">
      <w:pPr>
        <w:pStyle w:val="Slog1"/>
        <w:shd w:val="clear" w:color="auto" w:fill="FFFFFF" w:themeFill="background1"/>
        <w:jc w:val="both"/>
        <w:rPr>
          <w:sz w:val="20"/>
          <w:szCs w:val="20"/>
        </w:rPr>
      </w:pPr>
    </w:p>
    <w:p w14:paraId="7D70B3C6" w14:textId="52FE115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lahko pri pristojnem organu države članice, ki je pristojen za nadzor nad banko države članice, ki opravlja storitve prek podružnice v Republiki Sloveniji</w:t>
      </w:r>
      <w:r w:rsidR="006171A3" w:rsidRPr="00215B2F">
        <w:rPr>
          <w:rFonts w:ascii="Arial" w:eastAsia="Arial" w:hAnsi="Arial" w:cs="Arial"/>
          <w:sz w:val="20"/>
          <w:szCs w:val="20"/>
        </w:rPr>
        <w:t>,</w:t>
      </w:r>
      <w:r w:rsidRPr="00215B2F">
        <w:rPr>
          <w:rFonts w:ascii="Arial" w:eastAsia="Arial" w:hAnsi="Arial" w:cs="Arial"/>
          <w:sz w:val="20"/>
          <w:szCs w:val="20"/>
        </w:rPr>
        <w:t xml:space="preserve"> ali pri konsolidacijskem nadzorniku zahteva, da opredeli podružnico banke države članice kot pomembno.</w:t>
      </w:r>
    </w:p>
    <w:p w14:paraId="67AD9D0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A6DF72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(2) V predlogu iz prejšnjega odstavka Banka Slovenije utemelji pomembnost podružnice banke države članice v Republiki Sloveniji, pri čemer upošteva zlasti, ali:</w:t>
      </w:r>
    </w:p>
    <w:p w14:paraId="37B046D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F59997A" w14:textId="77EC2B57" w:rsidR="001F0071" w:rsidRPr="00215B2F" w:rsidRDefault="00D91782" w:rsidP="003D4DE0">
      <w:pPr>
        <w:pStyle w:val="tevilnatoka"/>
        <w:numPr>
          <w:ilvl w:val="0"/>
          <w:numId w:val="266"/>
        </w:numPr>
        <w:shd w:val="clear" w:color="auto" w:fill="FFFFFF" w:themeFill="background1"/>
        <w:tabs>
          <w:tab w:val="clear" w:pos="425"/>
        </w:tabs>
        <w:rPr>
          <w:rFonts w:cs="Arial"/>
          <w:bCs/>
          <w:sz w:val="20"/>
          <w:szCs w:val="20"/>
        </w:rPr>
      </w:pPr>
      <w:r w:rsidRPr="00215B2F">
        <w:rPr>
          <w:rFonts w:eastAsia="Arial" w:cs="Arial"/>
          <w:sz w:val="20"/>
          <w:szCs w:val="20"/>
        </w:rPr>
        <w:t xml:space="preserve">njen tržni delež, merjen po depozitih, zbranih v Republiki Sloveniji, presega </w:t>
      </w:r>
      <w:r w:rsidR="006171A3" w:rsidRPr="00215B2F">
        <w:rPr>
          <w:rFonts w:eastAsia="Arial" w:cs="Arial"/>
          <w:sz w:val="20"/>
          <w:szCs w:val="20"/>
        </w:rPr>
        <w:t xml:space="preserve">dva </w:t>
      </w:r>
      <w:r w:rsidRPr="00215B2F">
        <w:rPr>
          <w:rFonts w:eastAsia="Arial" w:cs="Arial"/>
          <w:sz w:val="20"/>
          <w:szCs w:val="20"/>
        </w:rPr>
        <w:t>odstotka;</w:t>
      </w:r>
    </w:p>
    <w:p w14:paraId="143F3EEC" w14:textId="77777777" w:rsidR="001F0071" w:rsidRPr="00215B2F" w:rsidRDefault="00D91782" w:rsidP="003D4DE0">
      <w:pPr>
        <w:pStyle w:val="tevilnatoka"/>
        <w:numPr>
          <w:ilvl w:val="0"/>
          <w:numId w:val="266"/>
        </w:numPr>
        <w:shd w:val="clear" w:color="auto" w:fill="FFFFFF" w:themeFill="background1"/>
        <w:tabs>
          <w:tab w:val="clear" w:pos="425"/>
        </w:tabs>
        <w:rPr>
          <w:rFonts w:cs="Arial"/>
          <w:bCs/>
          <w:sz w:val="20"/>
          <w:szCs w:val="20"/>
        </w:rPr>
      </w:pPr>
      <w:r w:rsidRPr="00215B2F">
        <w:rPr>
          <w:rFonts w:eastAsia="Arial" w:cs="Arial"/>
          <w:sz w:val="20"/>
          <w:szCs w:val="20"/>
        </w:rPr>
        <w:t>bi imelo prenehanje ali opustitev dejavnosti podružnice banke države članice negativne posledice za sistemsko likvidnost ter za plačilne in klirinške sisteme ter sisteme poravnave v Republiki Sloveniji;</w:t>
      </w:r>
    </w:p>
    <w:p w14:paraId="5DFCAA15" w14:textId="4F874A6E" w:rsidR="00D91782" w:rsidRPr="00215B2F" w:rsidRDefault="00D91782" w:rsidP="003D4DE0">
      <w:pPr>
        <w:pStyle w:val="tevilnatoka"/>
        <w:numPr>
          <w:ilvl w:val="0"/>
          <w:numId w:val="266"/>
        </w:numPr>
        <w:shd w:val="clear" w:color="auto" w:fill="FFFFFF" w:themeFill="background1"/>
        <w:tabs>
          <w:tab w:val="clear" w:pos="425"/>
        </w:tabs>
        <w:rPr>
          <w:rFonts w:cs="Arial"/>
          <w:bCs/>
          <w:sz w:val="20"/>
          <w:szCs w:val="20"/>
        </w:rPr>
      </w:pPr>
      <w:r w:rsidRPr="00215B2F">
        <w:rPr>
          <w:rFonts w:eastAsia="Arial" w:cs="Arial"/>
          <w:sz w:val="20"/>
          <w:szCs w:val="20"/>
        </w:rPr>
        <w:t>je podružnica banke države članice zaradi svoje velikosti z vidika števila strank pomembna za bančni ali finančni sistem Republike Slovenije.</w:t>
      </w:r>
    </w:p>
    <w:p w14:paraId="4115C48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B2054FD" w14:textId="3A47A8A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sodeluje s pristojnim organom države članice in si prizadeva za spreje</w:t>
      </w:r>
      <w:r w:rsidR="006171A3" w:rsidRPr="00215B2F">
        <w:rPr>
          <w:rFonts w:ascii="Arial" w:eastAsia="Arial" w:hAnsi="Arial" w:cs="Arial"/>
          <w:sz w:val="20"/>
          <w:szCs w:val="20"/>
        </w:rPr>
        <w:t>tje</w:t>
      </w:r>
      <w:r w:rsidRPr="00215B2F">
        <w:rPr>
          <w:rFonts w:ascii="Arial" w:eastAsia="Arial" w:hAnsi="Arial" w:cs="Arial"/>
          <w:sz w:val="20"/>
          <w:szCs w:val="20"/>
        </w:rPr>
        <w:t xml:space="preserve"> skupne odločitve o opredelitvi podružnice kot pomembne.</w:t>
      </w:r>
    </w:p>
    <w:p w14:paraId="22695CB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F173E4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Če v dveh mesecih od vložitve predloga Banke Slovenije za opredelitev podružnice banke države članice kot pomembne skupna odločitev ni sprejeta, mora Banka Slovenije v naslednjih dveh mesecih sama odločiti o opredelitvi podružnice kot pomembne.</w:t>
      </w:r>
    </w:p>
    <w:p w14:paraId="79BD53E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F47C503" w14:textId="6A1E1F3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Banka Slovenije pri odločitvi iz prejšnjega odstavka v največji možni meri upošteva stališča pristojnega organa države članice. O odločitvi za opredelitev podružnice banke države članice kot pomembne Banka Slovenije pisno obvesti pristojni organ države članice in navede razloge za tako odločitev.</w:t>
      </w:r>
    </w:p>
    <w:p w14:paraId="2F5E020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48146DF" w14:textId="5BE624C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Če je za opravljanje nalog iz </w:t>
      </w:r>
      <w:r w:rsidR="00355D35" w:rsidRPr="00215B2F">
        <w:rPr>
          <w:rFonts w:ascii="Arial" w:eastAsia="Arial" w:hAnsi="Arial" w:cs="Arial"/>
          <w:sz w:val="20"/>
          <w:szCs w:val="20"/>
        </w:rPr>
        <w:t>413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določen konsolidacijski nadzornik, se vse določbe tega člena, ki se nanašajo na pristojni organ države članice, uporabljajo za konsolidacijskega nadzornika.</w:t>
      </w:r>
    </w:p>
    <w:p w14:paraId="2E88C1E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F83ECDF" w14:textId="33C0092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Opredelitev podružnice banke </w:t>
      </w:r>
      <w:r w:rsidR="00640E1F" w:rsidRPr="00215B2F">
        <w:rPr>
          <w:rFonts w:ascii="Arial" w:eastAsia="Arial" w:hAnsi="Arial" w:cs="Arial"/>
          <w:sz w:val="20"/>
          <w:szCs w:val="20"/>
        </w:rPr>
        <w:t xml:space="preserve">za </w:t>
      </w:r>
      <w:r w:rsidRPr="00215B2F">
        <w:rPr>
          <w:rFonts w:ascii="Arial" w:eastAsia="Arial" w:hAnsi="Arial" w:cs="Arial"/>
          <w:sz w:val="20"/>
          <w:szCs w:val="20"/>
        </w:rPr>
        <w:t>pomembn</w:t>
      </w:r>
      <w:r w:rsidR="00640E1F" w:rsidRPr="00215B2F">
        <w:rPr>
          <w:rFonts w:ascii="Arial" w:eastAsia="Arial" w:hAnsi="Arial" w:cs="Arial"/>
          <w:sz w:val="20"/>
          <w:szCs w:val="20"/>
        </w:rPr>
        <w:t>o</w:t>
      </w:r>
      <w:r w:rsidRPr="00215B2F">
        <w:rPr>
          <w:rFonts w:ascii="Arial" w:eastAsia="Arial" w:hAnsi="Arial" w:cs="Arial"/>
          <w:sz w:val="20"/>
          <w:szCs w:val="20"/>
        </w:rPr>
        <w:t xml:space="preserve"> ne vpliva na pristojnosti in odgovornosti Banke Slovenije po tem zakonu.</w:t>
      </w:r>
    </w:p>
    <w:p w14:paraId="1323101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32C029D"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72" w:name="_Ref202968041"/>
      <w:r w:rsidRPr="00215B2F">
        <w:rPr>
          <w:rFonts w:ascii="Arial" w:eastAsia="Arial" w:hAnsi="Arial" w:cs="Arial"/>
          <w:b/>
          <w:bCs/>
          <w:sz w:val="20"/>
          <w:szCs w:val="20"/>
        </w:rPr>
        <w:t>člen</w:t>
      </w:r>
      <w:bookmarkEnd w:id="472"/>
    </w:p>
    <w:p w14:paraId="17B82906" w14:textId="77777777" w:rsidR="00D91782" w:rsidRPr="00215B2F" w:rsidRDefault="00D91782" w:rsidP="00FD5520">
      <w:pPr>
        <w:pStyle w:val="Slog1"/>
        <w:shd w:val="clear" w:color="auto" w:fill="FFFFFF" w:themeFill="background1"/>
        <w:rPr>
          <w:sz w:val="20"/>
          <w:szCs w:val="20"/>
        </w:rPr>
      </w:pPr>
      <w:r w:rsidRPr="00215B2F">
        <w:rPr>
          <w:sz w:val="20"/>
          <w:szCs w:val="20"/>
        </w:rPr>
        <w:t>(pregled poslovanja podružnice banke države članice)</w:t>
      </w:r>
    </w:p>
    <w:p w14:paraId="0F0A7E95" w14:textId="77777777" w:rsidR="00D91782" w:rsidRPr="00215B2F" w:rsidRDefault="00D91782" w:rsidP="00FD5520">
      <w:pPr>
        <w:pStyle w:val="Slog1"/>
        <w:shd w:val="clear" w:color="auto" w:fill="FFFFFF" w:themeFill="background1"/>
        <w:jc w:val="both"/>
        <w:rPr>
          <w:sz w:val="20"/>
          <w:szCs w:val="20"/>
        </w:rPr>
      </w:pPr>
    </w:p>
    <w:p w14:paraId="20A6E4D6" w14:textId="7ECDA95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Pristojni organ države članice oziroma osebe, ki jih pooblasti, lahko na območju Republike Slovenije v skladu s pravom Republike Slovenije opravijo pregled poslovanja podružnice banke te države članice. O nameravanem pregledu poslovanja iz prejšnjega stavka mora pristojni organ države članice predhodno obvestiti Banko Slovenije, ki se pregleda </w:t>
      </w:r>
      <w:r w:rsidR="006171A3" w:rsidRPr="00215B2F">
        <w:rPr>
          <w:rFonts w:ascii="Arial" w:eastAsia="Arial" w:hAnsi="Arial" w:cs="Arial"/>
          <w:sz w:val="20"/>
          <w:szCs w:val="20"/>
        </w:rPr>
        <w:t xml:space="preserve">lahko </w:t>
      </w:r>
      <w:r w:rsidRPr="00215B2F">
        <w:rPr>
          <w:rFonts w:ascii="Arial" w:eastAsia="Arial" w:hAnsi="Arial" w:cs="Arial"/>
          <w:sz w:val="20"/>
          <w:szCs w:val="20"/>
        </w:rPr>
        <w:t>udeleži.</w:t>
      </w:r>
    </w:p>
    <w:p w14:paraId="3DA59CE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580A4AE" w14:textId="4E632F1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V primeru iz prejšnjega odstavka ima pristojni organ države članice oziroma osebe, ki jih pooblasti, enake pristojnosti kot Banka Slovenije na podlagi </w:t>
      </w:r>
      <w:r w:rsidR="00355D35" w:rsidRPr="00215B2F">
        <w:rPr>
          <w:rFonts w:ascii="Arial" w:eastAsia="Arial" w:hAnsi="Arial" w:cs="Arial"/>
          <w:sz w:val="20"/>
          <w:szCs w:val="20"/>
        </w:rPr>
        <w:t>337</w:t>
      </w:r>
      <w:r w:rsidRPr="00215B2F">
        <w:rPr>
          <w:rFonts w:ascii="Arial" w:eastAsia="Arial" w:hAnsi="Arial" w:cs="Arial"/>
          <w:sz w:val="20"/>
          <w:szCs w:val="20"/>
        </w:rPr>
        <w:t xml:space="preserve">. do </w:t>
      </w:r>
      <w:r w:rsidR="00355D35" w:rsidRPr="00215B2F">
        <w:rPr>
          <w:rFonts w:ascii="Arial" w:eastAsia="Arial" w:hAnsi="Arial" w:cs="Arial"/>
          <w:sz w:val="20"/>
          <w:szCs w:val="20"/>
        </w:rPr>
        <w:t>342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033A767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4E053A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Na zaprosilo pristojnega organa države članice Banka Slovenije opravi pregled poslovanja podružnice banke te države članice na območju Republike Slovenije. Pristojni organ države članice se lahko, če tako zahteva, udeleži tega pregleda.</w:t>
      </w:r>
    </w:p>
    <w:p w14:paraId="5CF5268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3D2D358" w14:textId="4E11CA7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Ne glede na prvi do tretji </w:t>
      </w:r>
      <w:r w:rsidR="00746E88" w:rsidRPr="00215B2F">
        <w:rPr>
          <w:rFonts w:ascii="Arial" w:eastAsia="Arial" w:hAnsi="Arial" w:cs="Arial"/>
          <w:sz w:val="20"/>
          <w:szCs w:val="20"/>
        </w:rPr>
        <w:t>odstavek tega člena</w:t>
      </w:r>
      <w:r w:rsidRPr="00215B2F">
        <w:rPr>
          <w:rFonts w:ascii="Arial" w:eastAsia="Arial" w:hAnsi="Arial" w:cs="Arial"/>
          <w:sz w:val="20"/>
          <w:szCs w:val="20"/>
        </w:rPr>
        <w:t xml:space="preserve"> je Banka Slovenije pristojna opraviti pregled poslovanja podružnice banke te države članice na območju Republike Slovenije zaradi preverjanja, ali podružnica ravna v skladu z določbami predpisov iz prvega in drugega odstavka </w:t>
      </w:r>
      <w:r w:rsidR="00355D35" w:rsidRPr="00215B2F">
        <w:rPr>
          <w:rFonts w:ascii="Arial" w:eastAsia="Arial" w:hAnsi="Arial" w:cs="Arial"/>
          <w:sz w:val="20"/>
          <w:szCs w:val="20"/>
        </w:rPr>
        <w:t>166</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0A029E7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185868F" w14:textId="242E658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lahko po predhodnem posvetovanju s pristojnim organom države članice opravi pregled poslovanja podružnice </w:t>
      </w:r>
      <w:r w:rsidR="006171A3" w:rsidRPr="00215B2F">
        <w:rPr>
          <w:rFonts w:ascii="Arial" w:eastAsia="Arial" w:hAnsi="Arial" w:cs="Arial"/>
          <w:sz w:val="20"/>
          <w:szCs w:val="20"/>
        </w:rPr>
        <w:t xml:space="preserve">in </w:t>
      </w:r>
      <w:r w:rsidRPr="00215B2F">
        <w:rPr>
          <w:rFonts w:ascii="Arial" w:eastAsia="Arial" w:hAnsi="Arial" w:cs="Arial"/>
          <w:sz w:val="20"/>
          <w:szCs w:val="20"/>
        </w:rPr>
        <w:t>od podružnice zahteva tudi vse informacije o njenem poslovanju, če so te informacije pomembne za oceno tveganja podružnice za stabilnost finančnega sistema Republike Slovenije. Po opravljenem pregledu Banka Slovenije pridobljene informacije in ugotovitve, ki so pomembne za oceno tveganja banke ali stabilnost finančnega sistema v Republiki Sloveniji, po</w:t>
      </w:r>
      <w:r w:rsidR="006171A3" w:rsidRPr="00215B2F">
        <w:rPr>
          <w:rFonts w:ascii="Arial" w:eastAsia="Arial" w:hAnsi="Arial" w:cs="Arial"/>
          <w:sz w:val="20"/>
          <w:szCs w:val="20"/>
        </w:rPr>
        <w:t>šl</w:t>
      </w:r>
      <w:r w:rsidRPr="00215B2F">
        <w:rPr>
          <w:rFonts w:ascii="Arial" w:eastAsia="Arial" w:hAnsi="Arial" w:cs="Arial"/>
          <w:sz w:val="20"/>
          <w:szCs w:val="20"/>
        </w:rPr>
        <w:t>je pristojnemu organu države članice.</w:t>
      </w:r>
    </w:p>
    <w:p w14:paraId="1A87DB3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8F0A5F7"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73" w:name="_Ref202968046"/>
      <w:r w:rsidRPr="00215B2F">
        <w:rPr>
          <w:rFonts w:ascii="Arial" w:eastAsia="Arial" w:hAnsi="Arial" w:cs="Arial"/>
          <w:b/>
          <w:bCs/>
          <w:sz w:val="20"/>
          <w:szCs w:val="20"/>
        </w:rPr>
        <w:t>člen</w:t>
      </w:r>
      <w:bookmarkEnd w:id="473"/>
    </w:p>
    <w:p w14:paraId="0D85A091"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(poročanje banke države članice)</w:t>
      </w:r>
    </w:p>
    <w:p w14:paraId="415A7A9E" w14:textId="77777777" w:rsidR="00707327" w:rsidRPr="00215B2F" w:rsidRDefault="00707327" w:rsidP="00FD5520">
      <w:pPr>
        <w:shd w:val="clear" w:color="auto" w:fill="FFFFFF" w:themeFill="background1"/>
        <w:spacing w:after="0" w:line="240" w:lineRule="auto"/>
        <w:jc w:val="both"/>
        <w:rPr>
          <w:rFonts w:ascii="Arial" w:eastAsia="Arial" w:hAnsi="Arial" w:cs="Arial"/>
          <w:b/>
          <w:bCs/>
          <w:sz w:val="20"/>
          <w:szCs w:val="20"/>
        </w:rPr>
      </w:pPr>
    </w:p>
    <w:p w14:paraId="5A6D96B1" w14:textId="614EE0F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države članice, ki prek podružnice opravlja storitve v Republiki Sloveniji, mora na zahtevo Banke Slovenije pos</w:t>
      </w:r>
      <w:r w:rsidR="006171A3" w:rsidRPr="00215B2F">
        <w:rPr>
          <w:rFonts w:ascii="Arial" w:eastAsia="Arial" w:hAnsi="Arial" w:cs="Arial"/>
          <w:sz w:val="20"/>
          <w:szCs w:val="20"/>
        </w:rPr>
        <w:t>l</w:t>
      </w:r>
      <w:r w:rsidRPr="00215B2F">
        <w:rPr>
          <w:rFonts w:ascii="Arial" w:eastAsia="Arial" w:hAnsi="Arial" w:cs="Arial"/>
          <w:sz w:val="20"/>
          <w:szCs w:val="20"/>
        </w:rPr>
        <w:t xml:space="preserve">ati informacije o vseh zadevah, pomembnih za opravljanje nadzora oziroma izvrševanje </w:t>
      </w:r>
      <w:r w:rsidRPr="00215B2F">
        <w:rPr>
          <w:rFonts w:ascii="Arial" w:eastAsia="Arial" w:hAnsi="Arial" w:cs="Arial"/>
          <w:sz w:val="20"/>
          <w:szCs w:val="20"/>
        </w:rPr>
        <w:lastRenderedPageBreak/>
        <w:t xml:space="preserve">drugih pristojnosti in nalog Banke Slovenije v zvezi </w:t>
      </w:r>
      <w:r w:rsidR="0012311A" w:rsidRPr="00215B2F">
        <w:rPr>
          <w:rFonts w:ascii="Arial" w:eastAsia="Arial" w:hAnsi="Arial" w:cs="Arial"/>
          <w:sz w:val="20"/>
          <w:szCs w:val="20"/>
        </w:rPr>
        <w:t xml:space="preserve">z </w:t>
      </w:r>
      <w:r w:rsidRPr="00215B2F">
        <w:rPr>
          <w:rFonts w:ascii="Arial" w:eastAsia="Arial" w:hAnsi="Arial" w:cs="Arial"/>
          <w:sz w:val="20"/>
          <w:szCs w:val="20"/>
        </w:rPr>
        <w:t>opravljanjem storitev banke države članice v Republiki Sloveniji, vključno z informacijami, ki so potrebne za opredelitev podružnice kot pomembne.</w:t>
      </w:r>
    </w:p>
    <w:p w14:paraId="393AF11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5401C08"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74" w:name="_Ref202968060"/>
      <w:r w:rsidRPr="00215B2F">
        <w:rPr>
          <w:rFonts w:ascii="Arial" w:eastAsia="Arial" w:hAnsi="Arial" w:cs="Arial"/>
          <w:b/>
          <w:bCs/>
          <w:sz w:val="20"/>
          <w:szCs w:val="20"/>
        </w:rPr>
        <w:t>člen</w:t>
      </w:r>
      <w:bookmarkEnd w:id="474"/>
    </w:p>
    <w:p w14:paraId="7BF6F59A" w14:textId="77777777" w:rsidR="00D91782" w:rsidRPr="00215B2F" w:rsidRDefault="00D91782" w:rsidP="00FD5520">
      <w:pPr>
        <w:pStyle w:val="Slog1"/>
        <w:shd w:val="clear" w:color="auto" w:fill="FFFFFF" w:themeFill="background1"/>
        <w:rPr>
          <w:sz w:val="20"/>
          <w:szCs w:val="20"/>
        </w:rPr>
      </w:pPr>
      <w:r w:rsidRPr="00215B2F">
        <w:rPr>
          <w:sz w:val="20"/>
          <w:szCs w:val="20"/>
        </w:rPr>
        <w:t>(ukrepi nadzora ter drugi ukrepi v zvezi s poslovanjem banke in podružnice banke države članice)</w:t>
      </w:r>
    </w:p>
    <w:p w14:paraId="4C38FE72" w14:textId="77777777" w:rsidR="00D91782" w:rsidRPr="00215B2F" w:rsidRDefault="00D91782" w:rsidP="00FD5520">
      <w:pPr>
        <w:pStyle w:val="Slog1"/>
        <w:shd w:val="clear" w:color="auto" w:fill="FFFFFF" w:themeFill="background1"/>
        <w:jc w:val="both"/>
        <w:rPr>
          <w:sz w:val="20"/>
          <w:szCs w:val="20"/>
        </w:rPr>
      </w:pPr>
    </w:p>
    <w:p w14:paraId="41862BAA" w14:textId="1B90F38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banka države članice, ki opravlja storitve na območju Republike Slovenije, krši določbe predpisov iz </w:t>
      </w:r>
      <w:r w:rsidR="00355D35" w:rsidRPr="00215B2F">
        <w:rPr>
          <w:rFonts w:ascii="Arial" w:eastAsia="Arial" w:hAnsi="Arial" w:cs="Arial"/>
          <w:sz w:val="20"/>
          <w:szCs w:val="20"/>
        </w:rPr>
        <w:t>166</w:t>
      </w:r>
      <w:r w:rsidRPr="00215B2F">
        <w:rPr>
          <w:rFonts w:ascii="Arial" w:eastAsia="Arial" w:hAnsi="Arial" w:cs="Arial"/>
          <w:sz w:val="20"/>
          <w:szCs w:val="20"/>
        </w:rPr>
        <w:t>. </w:t>
      </w:r>
      <w:r w:rsidR="001F2C7A" w:rsidRPr="00215B2F">
        <w:rPr>
          <w:rFonts w:ascii="Arial" w:eastAsia="Arial" w:hAnsi="Arial" w:cs="Arial"/>
          <w:sz w:val="20"/>
          <w:szCs w:val="20"/>
        </w:rPr>
        <w:t>člena tega zakona</w:t>
      </w:r>
      <w:r w:rsidRPr="00215B2F">
        <w:rPr>
          <w:rFonts w:ascii="Arial" w:eastAsia="Arial" w:hAnsi="Arial" w:cs="Arial"/>
          <w:sz w:val="20"/>
          <w:szCs w:val="20"/>
        </w:rPr>
        <w:t>, ji z namenom zaščite javne koristi Banka Slovenije z odredbo naloži odpravo kršitev ali ji izreče druge ukrepe po tem zakonu in o tem obvesti pristojni organ države članice sedeža banke.</w:t>
      </w:r>
    </w:p>
    <w:p w14:paraId="5345E0D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ACF67E8" w14:textId="75F4509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Če je Banka Slovenije pristojnemu organu države članice pos</w:t>
      </w:r>
      <w:r w:rsidR="006171A3" w:rsidRPr="00215B2F">
        <w:rPr>
          <w:rFonts w:ascii="Arial" w:eastAsia="Arial" w:hAnsi="Arial" w:cs="Arial"/>
          <w:sz w:val="20"/>
          <w:szCs w:val="20"/>
        </w:rPr>
        <w:t>l</w:t>
      </w:r>
      <w:r w:rsidRPr="00215B2F">
        <w:rPr>
          <w:rFonts w:ascii="Arial" w:eastAsia="Arial" w:hAnsi="Arial" w:cs="Arial"/>
          <w:sz w:val="20"/>
          <w:szCs w:val="20"/>
        </w:rPr>
        <w:t>ala informacije in ugotovitve o kršitvah v zvezi s poslovanjem banke države članice na območju Republike Slovenije, zlasti da banka krši ali bo verjetno kršila zahteve, ki jih določa ta zakon ali Uredba 575/2013/EU, ter na podlagi pojasnil pristojnega organa države članice ugotovila, da pristojni organ ni ukrepal zoper banko države članice ali sprejeti ukrepi niso ustrezni, lahko Banka Slovenije, potem ko je obvestila pristojni organ države članice in Evropski bančni organ, sprejme ukrepe v skladu s tem zakonom, da se preprečijo nadaljnje kršitve banke države članice pri poslovanju v Republiki Slovenije ter da se zaščitijo interesi vlagateljev, investitorjev in drugih, za katere se opravljajo storitve, ali da se zagotovi stabilnost finančnega sistema.</w:t>
      </w:r>
    </w:p>
    <w:p w14:paraId="41D1F3E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E874089" w14:textId="17F2FC9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lahko v nujnih primerih še pred po</w:t>
      </w:r>
      <w:r w:rsidR="00D1196E" w:rsidRPr="00215B2F">
        <w:rPr>
          <w:rFonts w:ascii="Arial" w:eastAsia="Arial" w:hAnsi="Arial" w:cs="Arial"/>
          <w:sz w:val="20"/>
          <w:szCs w:val="20"/>
        </w:rPr>
        <w:t>šilj</w:t>
      </w:r>
      <w:r w:rsidRPr="00215B2F">
        <w:rPr>
          <w:rFonts w:ascii="Arial" w:eastAsia="Arial" w:hAnsi="Arial" w:cs="Arial"/>
          <w:sz w:val="20"/>
          <w:szCs w:val="20"/>
        </w:rPr>
        <w:t xml:space="preserve">anjem informacij pristojnemu organu države članice po prejšnjem odstavku ali preden pristojni organ druge države članice na podlagi informacij Banke Slovenije ukrepa v banki države članice, ki opravlja storitve v Republiki Sloveniji, ali preden so sprejeti ukrepi za stabilizacijo poslovanja banke, sprejme začasne ukrepe in od podružnice banke države članice zahteva </w:t>
      </w:r>
      <w:r w:rsidR="00D1196E" w:rsidRPr="00215B2F">
        <w:rPr>
          <w:rFonts w:ascii="Arial" w:eastAsia="Arial" w:hAnsi="Arial" w:cs="Arial"/>
          <w:sz w:val="20"/>
          <w:szCs w:val="20"/>
        </w:rPr>
        <w:t xml:space="preserve">izvajanje </w:t>
      </w:r>
      <w:r w:rsidRPr="00215B2F">
        <w:rPr>
          <w:rFonts w:ascii="Arial" w:eastAsia="Arial" w:hAnsi="Arial" w:cs="Arial"/>
          <w:sz w:val="20"/>
          <w:szCs w:val="20"/>
        </w:rPr>
        <w:t>določen</w:t>
      </w:r>
      <w:r w:rsidR="00D1196E" w:rsidRPr="00215B2F">
        <w:rPr>
          <w:rFonts w:ascii="Arial" w:eastAsia="Arial" w:hAnsi="Arial" w:cs="Arial"/>
          <w:sz w:val="20"/>
          <w:szCs w:val="20"/>
        </w:rPr>
        <w:t>ih</w:t>
      </w:r>
      <w:r w:rsidRPr="00215B2F">
        <w:rPr>
          <w:rFonts w:ascii="Arial" w:eastAsia="Arial" w:hAnsi="Arial" w:cs="Arial"/>
          <w:sz w:val="20"/>
          <w:szCs w:val="20"/>
        </w:rPr>
        <w:t xml:space="preserve"> aktivnosti</w:t>
      </w:r>
      <w:r w:rsidR="00D1196E" w:rsidRPr="00215B2F">
        <w:rPr>
          <w:rFonts w:ascii="Arial" w:eastAsia="Arial" w:hAnsi="Arial" w:cs="Arial"/>
          <w:sz w:val="20"/>
          <w:szCs w:val="20"/>
        </w:rPr>
        <w:t xml:space="preserve"> ali ji to prepove</w:t>
      </w:r>
      <w:r w:rsidRPr="00215B2F">
        <w:rPr>
          <w:rFonts w:ascii="Arial" w:eastAsia="Arial" w:hAnsi="Arial" w:cs="Arial"/>
          <w:sz w:val="20"/>
          <w:szCs w:val="20"/>
        </w:rPr>
        <w:t>, če je to potrebno zaradi zaščite stabilnosti finančnega sistema ali da se prepreči ogroženost skupnih interesov vlagateljev, investitorjev in drugih oseb v Republiki Sloveniji.</w:t>
      </w:r>
    </w:p>
    <w:p w14:paraId="15C38A2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997F7D4" w14:textId="22DC242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Začasni ukrepi iz prejšnjega odstavka morajo biti sorazmerni z namenom zaščite pred finančno nestabilnostjo in ne smejo omogočati slabše obravnave upnikov iz drugih držav članic ter lahko vključujejo tudi prepoved plačil in druge ukrepe iz </w:t>
      </w:r>
      <w:r w:rsidR="00355D35" w:rsidRPr="00215B2F">
        <w:rPr>
          <w:rFonts w:ascii="Arial" w:eastAsia="Arial" w:hAnsi="Arial" w:cs="Arial"/>
          <w:sz w:val="20"/>
          <w:szCs w:val="20"/>
        </w:rPr>
        <w:t>357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260B249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487342F" w14:textId="5FD1724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začasne ukrepe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odpravi, ko oceni, da je bil namen, zaradi katerega so bili sprejeti, dosežen, zlasti potem ko pristojni organ države članice sprejme ustrezne ukrepe oziroma potem ko so sprejeti ustrezni ukrepi za stabilizacijo poslovanja banke.</w:t>
      </w:r>
    </w:p>
    <w:p w14:paraId="21E9B09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D2754B7" w14:textId="011A72A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Banka Slovenije o spreje</w:t>
      </w:r>
      <w:r w:rsidR="00D1196E" w:rsidRPr="00215B2F">
        <w:rPr>
          <w:rFonts w:ascii="Arial" w:eastAsia="Arial" w:hAnsi="Arial" w:cs="Arial"/>
          <w:sz w:val="20"/>
          <w:szCs w:val="20"/>
        </w:rPr>
        <w:t>tj</w:t>
      </w:r>
      <w:r w:rsidRPr="00215B2F">
        <w:rPr>
          <w:rFonts w:ascii="Arial" w:eastAsia="Arial" w:hAnsi="Arial" w:cs="Arial"/>
          <w:sz w:val="20"/>
          <w:szCs w:val="20"/>
        </w:rPr>
        <w:t xml:space="preserve">u in odpravi začasnih ukrepov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brez odlašanja obvesti Evropski bančni organ, Komisijo in pristojni organ druge države članice.</w:t>
      </w:r>
    </w:p>
    <w:p w14:paraId="08E9A02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5B12646" w14:textId="36BEDBD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Če banka države članice kljub ukrepom pristojnega organa države članice ali zato, ker ti ukrepi niso učinkoviti oziroma jih v državi članici sedeža banke ni mogoče izreči, ne odpravi kršitev ali ne odpravi kršitev kljub ukrepom Banke Slovenije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ji lahko Banka Slovenije izreče prepoved opravljanja storitev na območju Republike Slovenije.</w:t>
      </w:r>
    </w:p>
    <w:p w14:paraId="781610C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18FDD0C" w14:textId="563DBB1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(8) Pred izrekom ukrepa iz prejšnjega odstavka mora Banka Slovenije obvestiti pristojni organ države članice, razen če </w:t>
      </w:r>
      <w:r w:rsidR="00DA3D89" w:rsidRPr="00215B2F">
        <w:rPr>
          <w:rFonts w:ascii="Arial" w:eastAsia="Arial" w:hAnsi="Arial" w:cs="Arial"/>
          <w:sz w:val="20"/>
          <w:szCs w:val="20"/>
        </w:rPr>
        <w:t xml:space="preserve">z izrekom </w:t>
      </w:r>
      <w:r w:rsidR="00D93142" w:rsidRPr="00215B2F">
        <w:rPr>
          <w:rFonts w:ascii="Arial" w:eastAsia="Arial" w:hAnsi="Arial" w:cs="Arial"/>
          <w:sz w:val="20"/>
          <w:szCs w:val="20"/>
        </w:rPr>
        <w:t xml:space="preserve">ukrepa </w:t>
      </w:r>
      <w:r w:rsidRPr="00215B2F">
        <w:rPr>
          <w:rFonts w:ascii="Arial" w:eastAsia="Arial" w:hAnsi="Arial" w:cs="Arial"/>
          <w:sz w:val="20"/>
          <w:szCs w:val="20"/>
        </w:rPr>
        <w:t>zaradi varovanja interesov strank banke ali zaradi varovanja drugih javnih koristi ni mogoče odlašati. V tem primeru Banka Slovenije o prepovedi opravljanja storitev obvesti pristojni organ države članice, Evropski bančni organ in Komisijo takoj, ko je to mogoče.</w:t>
      </w:r>
    </w:p>
    <w:p w14:paraId="071FD4F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B3A3676"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75" w:name="_Ref202968067"/>
      <w:r w:rsidRPr="00215B2F">
        <w:rPr>
          <w:rFonts w:ascii="Arial" w:eastAsia="Arial" w:hAnsi="Arial" w:cs="Arial"/>
          <w:b/>
          <w:bCs/>
          <w:sz w:val="20"/>
          <w:szCs w:val="20"/>
        </w:rPr>
        <w:t>člen</w:t>
      </w:r>
      <w:bookmarkEnd w:id="475"/>
    </w:p>
    <w:p w14:paraId="771954E3" w14:textId="77777777" w:rsidR="00D91782" w:rsidRPr="00215B2F" w:rsidRDefault="00D91782" w:rsidP="00FD5520">
      <w:pPr>
        <w:pStyle w:val="Slog1"/>
        <w:shd w:val="clear" w:color="auto" w:fill="FFFFFF" w:themeFill="background1"/>
        <w:rPr>
          <w:sz w:val="20"/>
          <w:szCs w:val="20"/>
        </w:rPr>
      </w:pPr>
      <w:r w:rsidRPr="00215B2F">
        <w:rPr>
          <w:sz w:val="20"/>
          <w:szCs w:val="20"/>
        </w:rPr>
        <w:t>(ukrepi zaradi odvzema dovoljenja banki države članice)</w:t>
      </w:r>
    </w:p>
    <w:p w14:paraId="21DA7736" w14:textId="77777777" w:rsidR="00D91782" w:rsidRPr="00215B2F" w:rsidRDefault="00D91782" w:rsidP="00FD5520">
      <w:pPr>
        <w:pStyle w:val="Slog1"/>
        <w:shd w:val="clear" w:color="auto" w:fill="FFFFFF" w:themeFill="background1"/>
        <w:jc w:val="both"/>
        <w:rPr>
          <w:sz w:val="20"/>
          <w:szCs w:val="20"/>
        </w:rPr>
      </w:pPr>
    </w:p>
    <w:p w14:paraId="551C181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Če pristojni organ države članice sedeža banke obvesti Banko Slovenije, da je bilo banki, ki neposredno ali prek podružnice opravlja storitve v Republiki Sloveniji, odvzeto dovoljenje za opravljanje bančnih storitev oziroma ji je bilo prepovedano opravljati posamezne storitve, Banka Slovenije brez odlašanja sprejme ukrepe po tem zakonu, da se tej banki prepreči nadaljnje opravljanje teh storitev in da se zavarujejo interesi strank te banke.</w:t>
      </w:r>
    </w:p>
    <w:p w14:paraId="3AEC1B33" w14:textId="77777777" w:rsidR="005A6F6E" w:rsidRPr="00215B2F" w:rsidRDefault="005A6F6E" w:rsidP="00FD5520">
      <w:pPr>
        <w:shd w:val="clear" w:color="auto" w:fill="FFFFFF" w:themeFill="background1"/>
        <w:spacing w:after="0" w:line="240" w:lineRule="auto"/>
        <w:jc w:val="both"/>
        <w:rPr>
          <w:rFonts w:ascii="Arial" w:eastAsia="Arial" w:hAnsi="Arial" w:cs="Arial"/>
          <w:sz w:val="20"/>
          <w:szCs w:val="20"/>
        </w:rPr>
      </w:pPr>
    </w:p>
    <w:p w14:paraId="31D4795B" w14:textId="6EAC339F" w:rsidR="00D91782" w:rsidRPr="00215B2F" w:rsidRDefault="005A6F6E"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12.3 NADZOR NA KONSOLIDIRANI PODLAGI</w:t>
      </w:r>
    </w:p>
    <w:p w14:paraId="3F40537A"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21CF4ABC"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76" w:name="_Ref202968074"/>
      <w:r w:rsidRPr="00215B2F">
        <w:rPr>
          <w:rFonts w:ascii="Arial" w:eastAsia="Arial" w:hAnsi="Arial" w:cs="Arial"/>
          <w:b/>
          <w:bCs/>
          <w:sz w:val="20"/>
          <w:szCs w:val="20"/>
        </w:rPr>
        <w:t>člen</w:t>
      </w:r>
      <w:bookmarkEnd w:id="476"/>
    </w:p>
    <w:p w14:paraId="58F5F2C5" w14:textId="77777777" w:rsidR="00D91782" w:rsidRPr="00215B2F" w:rsidRDefault="00D91782" w:rsidP="00FD5520">
      <w:pPr>
        <w:pStyle w:val="Slog1"/>
        <w:shd w:val="clear" w:color="auto" w:fill="FFFFFF" w:themeFill="background1"/>
        <w:rPr>
          <w:sz w:val="20"/>
          <w:szCs w:val="20"/>
        </w:rPr>
      </w:pPr>
      <w:r w:rsidRPr="00215B2F">
        <w:rPr>
          <w:sz w:val="20"/>
          <w:szCs w:val="20"/>
        </w:rPr>
        <w:t>(področje uporabe za skupine investicijskih podjetij)</w:t>
      </w:r>
    </w:p>
    <w:p w14:paraId="6E6F45A8" w14:textId="77777777" w:rsidR="00D91782" w:rsidRPr="00215B2F" w:rsidRDefault="00D91782" w:rsidP="00FD5520">
      <w:pPr>
        <w:pStyle w:val="Slog1"/>
        <w:shd w:val="clear" w:color="auto" w:fill="FFFFFF" w:themeFill="background1"/>
        <w:jc w:val="both"/>
        <w:rPr>
          <w:sz w:val="20"/>
          <w:szCs w:val="20"/>
        </w:rPr>
      </w:pPr>
    </w:p>
    <w:p w14:paraId="3DD032EB" w14:textId="5B3B0D9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To poglavje se uporablja za skupine investicijskih podjetij, kakor so opredeljene v 25. točki prvega odstavka 4. člena Uredbe 2019/2033/EU, kadar za vsaj eno investicijsko podjetje v navedeni skupini na podlagi drugega ali petega odstavka 1. člena Uredbe 2019/2033/EU velja Uredba 575/2013/EU. </w:t>
      </w:r>
    </w:p>
    <w:p w14:paraId="773E48F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B83407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To poglavje se ne uporablja za skupine investicijskih podjetij, kadar za nobeno investicijsko podjetje v navedeni skupini na podlagi drugega ali petega odstavka 1. člena Uredbe 2019/2033/EU ne velja Uredba 575/2013/EU. </w:t>
      </w:r>
    </w:p>
    <w:p w14:paraId="654E044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D07F8B4"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77" w:name="_Ref202968084"/>
      <w:r w:rsidRPr="00215B2F">
        <w:rPr>
          <w:rFonts w:ascii="Arial" w:eastAsia="Arial" w:hAnsi="Arial" w:cs="Arial"/>
          <w:b/>
          <w:bCs/>
          <w:sz w:val="20"/>
          <w:szCs w:val="20"/>
        </w:rPr>
        <w:t>člen</w:t>
      </w:r>
      <w:bookmarkEnd w:id="477"/>
    </w:p>
    <w:p w14:paraId="7A412542" w14:textId="77777777" w:rsidR="00D91782" w:rsidRPr="00215B2F" w:rsidRDefault="00D91782" w:rsidP="00FD5520">
      <w:pPr>
        <w:pStyle w:val="Slog1"/>
        <w:shd w:val="clear" w:color="auto" w:fill="FFFFFF" w:themeFill="background1"/>
        <w:rPr>
          <w:sz w:val="20"/>
          <w:szCs w:val="20"/>
        </w:rPr>
      </w:pPr>
      <w:r w:rsidRPr="00215B2F">
        <w:rPr>
          <w:sz w:val="20"/>
          <w:szCs w:val="20"/>
        </w:rPr>
        <w:t>(pristojnost nadzornih organov na konsolidirani podlagi)</w:t>
      </w:r>
    </w:p>
    <w:p w14:paraId="303F5B8D" w14:textId="77777777" w:rsidR="00D91782" w:rsidRPr="00215B2F" w:rsidRDefault="00D91782" w:rsidP="00FD5520">
      <w:pPr>
        <w:pStyle w:val="Slog1"/>
        <w:shd w:val="clear" w:color="auto" w:fill="FFFFFF" w:themeFill="background1"/>
        <w:jc w:val="both"/>
        <w:rPr>
          <w:sz w:val="20"/>
          <w:szCs w:val="20"/>
        </w:rPr>
      </w:pPr>
    </w:p>
    <w:p w14:paraId="09A7EC6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je kot konsolidacijski nadzornik pristojna in odgovorna za nadzor na konsolidirani podlagi:</w:t>
      </w:r>
    </w:p>
    <w:p w14:paraId="0A248CB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CB833B1" w14:textId="77777777" w:rsidR="001F0071" w:rsidRPr="00215B2F" w:rsidRDefault="00D91782" w:rsidP="003D4DE0">
      <w:pPr>
        <w:pStyle w:val="tevilnatoka"/>
        <w:numPr>
          <w:ilvl w:val="0"/>
          <w:numId w:val="267"/>
        </w:numPr>
        <w:shd w:val="clear" w:color="auto" w:fill="FFFFFF" w:themeFill="background1"/>
        <w:tabs>
          <w:tab w:val="clear" w:pos="425"/>
        </w:tabs>
        <w:rPr>
          <w:rFonts w:cs="Arial"/>
          <w:bCs/>
          <w:sz w:val="20"/>
          <w:szCs w:val="20"/>
        </w:rPr>
      </w:pPr>
      <w:r w:rsidRPr="00215B2F">
        <w:rPr>
          <w:rFonts w:eastAsia="Arial" w:cs="Arial"/>
          <w:sz w:val="20"/>
          <w:szCs w:val="20"/>
        </w:rPr>
        <w:t>če ima banka položaj nadrejene banke Republike Slovenije ali EU nadrejene banke in je Banka Slovenije pristojna za izvajanje nadzora nad to banko na posamični podlagi ali</w:t>
      </w:r>
    </w:p>
    <w:p w14:paraId="3F75DD9E" w14:textId="1293D753" w:rsidR="00D91782" w:rsidRPr="00215B2F" w:rsidRDefault="00D91782" w:rsidP="003D4DE0">
      <w:pPr>
        <w:pStyle w:val="tevilnatoka"/>
        <w:numPr>
          <w:ilvl w:val="0"/>
          <w:numId w:val="267"/>
        </w:numPr>
        <w:shd w:val="clear" w:color="auto" w:fill="FFFFFF" w:themeFill="background1"/>
        <w:tabs>
          <w:tab w:val="clear" w:pos="425"/>
        </w:tabs>
        <w:rPr>
          <w:rFonts w:cs="Arial"/>
          <w:bCs/>
          <w:sz w:val="20"/>
          <w:szCs w:val="20"/>
        </w:rPr>
      </w:pPr>
      <w:r w:rsidRPr="00215B2F">
        <w:rPr>
          <w:rFonts w:eastAsia="Arial" w:cs="Arial"/>
          <w:sz w:val="20"/>
          <w:szCs w:val="20"/>
        </w:rPr>
        <w:t>če je banka podrejena:</w:t>
      </w:r>
    </w:p>
    <w:p w14:paraId="24FCA733" w14:textId="77777777"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nadrejenemu investicijskemu podjetju Republike Slovenije oziroma druge države članice,</w:t>
      </w:r>
    </w:p>
    <w:p w14:paraId="0FBFB95D" w14:textId="77777777"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nadrejenemu EU investicijskemu podjetju,</w:t>
      </w:r>
    </w:p>
    <w:p w14:paraId="113DA697" w14:textId="77777777" w:rsidR="007F3A8C"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nadrejenemu finančnemu holdingu Republike Slovenije oziroma druge države članice ali mešanemu finančnemu holdingu Republike Slovenije oziroma druge države članice ali</w:t>
      </w:r>
    </w:p>
    <w:p w14:paraId="7B94732B" w14:textId="403A222B" w:rsidR="00D91782" w:rsidRPr="00215B2F" w:rsidRDefault="00D9178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EU nadrejenemu finančnemu holdingu ali EU nadrejenemu mešanemu finančnemu holdingu.</w:t>
      </w:r>
    </w:p>
    <w:p w14:paraId="0913208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DD4724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Če so istemu nadrejenemu investicijskemu podjetju ali EU investicijskemu podjetju poleg banke podrejene banke ali kreditne institucije drugih držav članic, je Banka Slovenije pristojna in odgovorna za nadzor na konsolidirani podlagi, če je bilančna vsota banke večja od bilančnih vsot drugih podrejenih bank ali kreditnih institucij druge države članice.</w:t>
      </w:r>
    </w:p>
    <w:p w14:paraId="1A31CCD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38C17E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Če sta istemu nadrejenemu finančnemu holdingu Republike Slovenije, nadrejenemu mešanemu finančnemu holdingu Republike Slovenije, EU nadrejenemu finančnemu holdingu ali EU nadrejenemu mešanemu finančnemu holdingu podrejeni dve ali več drugih bank ali kreditnih institucij drugih držav članic vključno z banko, je Banka Slovenije pristojna in odgovorna za nadzor na konsolidirani podlagi:</w:t>
      </w:r>
    </w:p>
    <w:p w14:paraId="12553760" w14:textId="77777777" w:rsidR="001F0071" w:rsidRPr="00215B2F" w:rsidRDefault="001F0071" w:rsidP="00FD5520">
      <w:pPr>
        <w:shd w:val="clear" w:color="auto" w:fill="FFFFFF" w:themeFill="background1"/>
        <w:spacing w:after="0" w:line="240" w:lineRule="auto"/>
        <w:jc w:val="both"/>
        <w:rPr>
          <w:rFonts w:ascii="Arial" w:eastAsia="Arial" w:hAnsi="Arial" w:cs="Arial"/>
          <w:sz w:val="20"/>
          <w:szCs w:val="20"/>
        </w:rPr>
      </w:pPr>
    </w:p>
    <w:p w14:paraId="2F608DA7" w14:textId="77777777" w:rsidR="0005122C"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če je v skupini samo banka ali</w:t>
      </w:r>
    </w:p>
    <w:p w14:paraId="7980AE06" w14:textId="7C5A4D9D"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če je v skupini več podrejenih kreditnih institucij s sedežem v drugih državah članicah vključno z banko in je bilančna vsota banke večja od bilančnih vsot drugih podrejenih bank ali kreditnih institucij drugih držav članic.</w:t>
      </w:r>
    </w:p>
    <w:p w14:paraId="58A115B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6CAD8EF" w14:textId="5F45504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je pristojna in odgovorna za nadzor na konsolidirani podlagi tudi v primerih, k</w:t>
      </w:r>
      <w:r w:rsidR="00DE3DAD" w:rsidRPr="00215B2F">
        <w:rPr>
          <w:rFonts w:ascii="Arial" w:eastAsia="Arial" w:hAnsi="Arial" w:cs="Arial"/>
          <w:sz w:val="20"/>
          <w:szCs w:val="20"/>
        </w:rPr>
        <w:t>o</w:t>
      </w:r>
      <w:r w:rsidRPr="00215B2F">
        <w:rPr>
          <w:rFonts w:ascii="Arial" w:eastAsia="Arial" w:hAnsi="Arial" w:cs="Arial"/>
          <w:sz w:val="20"/>
          <w:szCs w:val="20"/>
        </w:rPr>
        <w:t xml:space="preserve"> se zahteva konsolidacija na podlagi tretjega ali šestega odstavka 18. člena Uredbe 575/2013/EU in je bilančna vsota banke največja.</w:t>
      </w:r>
    </w:p>
    <w:p w14:paraId="1EF11F4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34A4B40" w14:textId="711FD98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Ne glede na določbe prve in druge alineje 2. točke prvega odstavka v povezavi z drugim odstavkom, druge alineje tretjega odstavka in četrtega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je Banka Slovenije pristojna in odgovorna za nadzor na konsolidirani podlagi tudi v primeru, ko je v skladu s tem zakonom pristojna za nadzor </w:t>
      </w:r>
      <w:r w:rsidR="00DE3DAD" w:rsidRPr="00215B2F">
        <w:rPr>
          <w:rFonts w:ascii="Arial" w:eastAsia="Arial" w:hAnsi="Arial" w:cs="Arial"/>
          <w:sz w:val="20"/>
          <w:szCs w:val="20"/>
        </w:rPr>
        <w:t xml:space="preserve">nad </w:t>
      </w:r>
      <w:r w:rsidRPr="00215B2F">
        <w:rPr>
          <w:rFonts w:ascii="Arial" w:eastAsia="Arial" w:hAnsi="Arial" w:cs="Arial"/>
          <w:sz w:val="20"/>
          <w:szCs w:val="20"/>
        </w:rPr>
        <w:t>en</w:t>
      </w:r>
      <w:r w:rsidR="00DE3DAD" w:rsidRPr="00215B2F">
        <w:rPr>
          <w:rFonts w:ascii="Arial" w:eastAsia="Arial" w:hAnsi="Arial" w:cs="Arial"/>
          <w:sz w:val="20"/>
          <w:szCs w:val="20"/>
        </w:rPr>
        <w:t>o</w:t>
      </w:r>
      <w:r w:rsidRPr="00215B2F">
        <w:rPr>
          <w:rFonts w:ascii="Arial" w:eastAsia="Arial" w:hAnsi="Arial" w:cs="Arial"/>
          <w:sz w:val="20"/>
          <w:szCs w:val="20"/>
        </w:rPr>
        <w:t xml:space="preserve"> ali več podrejeni</w:t>
      </w:r>
      <w:r w:rsidR="00DE3DAD" w:rsidRPr="00215B2F">
        <w:rPr>
          <w:rFonts w:ascii="Arial" w:eastAsia="Arial" w:hAnsi="Arial" w:cs="Arial"/>
          <w:sz w:val="20"/>
          <w:szCs w:val="20"/>
        </w:rPr>
        <w:t>mi</w:t>
      </w:r>
      <w:r w:rsidRPr="00215B2F">
        <w:rPr>
          <w:rFonts w:ascii="Arial" w:eastAsia="Arial" w:hAnsi="Arial" w:cs="Arial"/>
          <w:sz w:val="20"/>
          <w:szCs w:val="20"/>
        </w:rPr>
        <w:t xml:space="preserve"> bank</w:t>
      </w:r>
      <w:r w:rsidR="00DE3DAD" w:rsidRPr="00215B2F">
        <w:rPr>
          <w:rFonts w:ascii="Arial" w:eastAsia="Arial" w:hAnsi="Arial" w:cs="Arial"/>
          <w:sz w:val="20"/>
          <w:szCs w:val="20"/>
        </w:rPr>
        <w:t>ami</w:t>
      </w:r>
      <w:r w:rsidRPr="00215B2F">
        <w:rPr>
          <w:rFonts w:ascii="Arial" w:eastAsia="Arial" w:hAnsi="Arial" w:cs="Arial"/>
          <w:sz w:val="20"/>
          <w:szCs w:val="20"/>
        </w:rPr>
        <w:t xml:space="preserve"> v skupini in je seštevek bilančnih vsot teh nadzorovanih bank večji od bilančne vsote podrejenih bank ali kreditnih institucij drugih držav članic v skupini, ki jih nadzira kateri koli drug pristojni organ.</w:t>
      </w:r>
    </w:p>
    <w:p w14:paraId="7435A94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9AB9FCC" w14:textId="0BBB311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Banka Slovenije je pristojna in odgovorna za nadzor na konsolidirani podlagi tudi v primerih, ko je odgovornost za tak nadzor prevzela na podlagi dogovora s pristojnim organom druge države članice, ki bi bil sicer pristojen in odgovoren za ta nadzor, pri tem pa se upoštevajo merila in postopek iz </w:t>
      </w:r>
      <w:r w:rsidR="00355D35" w:rsidRPr="00215B2F">
        <w:rPr>
          <w:rFonts w:ascii="Arial" w:eastAsia="Arial" w:hAnsi="Arial" w:cs="Arial"/>
          <w:sz w:val="20"/>
          <w:szCs w:val="20"/>
        </w:rPr>
        <w:t>412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581E25F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7A30179" w14:textId="3E2F0D6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Ne glede na določbe prvega do šestega in devetega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je agencija, pristojna za finančne trge, pristojna in odgovorna za nadzor na konsolidirani podlagi</w:t>
      </w:r>
      <w:r w:rsidR="00A74E93" w:rsidRPr="00215B2F">
        <w:rPr>
          <w:rFonts w:ascii="Arial" w:eastAsia="Arial" w:hAnsi="Arial" w:cs="Arial"/>
          <w:sz w:val="20"/>
          <w:szCs w:val="20"/>
        </w:rPr>
        <w:t>, če</w:t>
      </w:r>
      <w:r w:rsidRPr="00215B2F">
        <w:rPr>
          <w:rFonts w:ascii="Arial" w:eastAsia="Arial" w:hAnsi="Arial" w:cs="Arial"/>
          <w:sz w:val="20"/>
          <w:szCs w:val="20"/>
        </w:rPr>
        <w:t xml:space="preserve">: </w:t>
      </w:r>
    </w:p>
    <w:p w14:paraId="637C2DC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0C78C27" w14:textId="2667D5C6" w:rsidR="0005122C" w:rsidRPr="00215B2F" w:rsidRDefault="00D91782" w:rsidP="003D4DE0">
      <w:pPr>
        <w:pStyle w:val="tevilnatoka"/>
        <w:numPr>
          <w:ilvl w:val="0"/>
          <w:numId w:val="268"/>
        </w:numPr>
        <w:shd w:val="clear" w:color="auto" w:fill="FFFFFF" w:themeFill="background1"/>
        <w:tabs>
          <w:tab w:val="clear" w:pos="425"/>
        </w:tabs>
        <w:rPr>
          <w:rFonts w:cs="Arial"/>
          <w:bCs/>
          <w:sz w:val="20"/>
          <w:szCs w:val="20"/>
        </w:rPr>
      </w:pPr>
      <w:r w:rsidRPr="00215B2F">
        <w:rPr>
          <w:rFonts w:eastAsia="Arial" w:cs="Arial"/>
          <w:sz w:val="20"/>
          <w:szCs w:val="20"/>
        </w:rPr>
        <w:t xml:space="preserve">ima nadrejeni finančni holding Republike Slovenije ali nadrejeni mešani finančni holding Republike Slovenije ali EU nadrejeni finančni holding ali EU nadrejeni mešani finančni holding položaj investicijskega podjetja s sedežem v Republiki Sloveniji in </w:t>
      </w:r>
    </w:p>
    <w:p w14:paraId="3A5773CE" w14:textId="7880C14D" w:rsidR="00D91782" w:rsidRPr="00215B2F" w:rsidRDefault="00D91782" w:rsidP="003D4DE0">
      <w:pPr>
        <w:pStyle w:val="tevilnatoka"/>
        <w:numPr>
          <w:ilvl w:val="0"/>
          <w:numId w:val="268"/>
        </w:numPr>
        <w:shd w:val="clear" w:color="auto" w:fill="FFFFFF" w:themeFill="background1"/>
        <w:tabs>
          <w:tab w:val="clear" w:pos="425"/>
        </w:tabs>
        <w:rPr>
          <w:rFonts w:cs="Arial"/>
          <w:bCs/>
          <w:sz w:val="20"/>
          <w:szCs w:val="20"/>
        </w:rPr>
      </w:pPr>
      <w:r w:rsidRPr="00215B2F">
        <w:rPr>
          <w:rFonts w:eastAsia="Arial" w:cs="Arial"/>
          <w:sz w:val="20"/>
          <w:szCs w:val="20"/>
        </w:rPr>
        <w:t>v skupini ni podrejene banke.</w:t>
      </w:r>
    </w:p>
    <w:p w14:paraId="4802833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36FFB71" w14:textId="5731A4B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(8) Določbe tretjega, četrtega in petega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se smiselno uporabljajo tudi za investicijska podjetja s sedežem v Republiki Sloveniji in agencijo, pristojno za finančne trge.</w:t>
      </w:r>
    </w:p>
    <w:p w14:paraId="1A0DF59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4929B83" w14:textId="2756052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(9) Finančni holdingi in mešani finančni holdingi, ki so odobreni v skladu s </w:t>
      </w:r>
      <w:r w:rsidR="001611B3"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in imajo kot svojo podrejeno družbo banko, so vključeni v konsolidirani nadzor Banke Slovenije, razen če zakon določa drugače.</w:t>
      </w:r>
    </w:p>
    <w:p w14:paraId="2764B04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CCB7CC4"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78" w:name="_Ref202968093"/>
      <w:r w:rsidRPr="00215B2F">
        <w:rPr>
          <w:rFonts w:ascii="Arial" w:eastAsia="Arial" w:hAnsi="Arial" w:cs="Arial"/>
          <w:b/>
          <w:bCs/>
          <w:sz w:val="20"/>
          <w:szCs w:val="20"/>
        </w:rPr>
        <w:t>člen</w:t>
      </w:r>
      <w:bookmarkEnd w:id="478"/>
    </w:p>
    <w:p w14:paraId="5AEBC8FB" w14:textId="77777777" w:rsidR="00D91782" w:rsidRPr="00215B2F" w:rsidRDefault="00D91782" w:rsidP="00FD5520">
      <w:pPr>
        <w:pStyle w:val="Slog1"/>
        <w:shd w:val="clear" w:color="auto" w:fill="FFFFFF" w:themeFill="background1"/>
        <w:rPr>
          <w:sz w:val="20"/>
          <w:szCs w:val="20"/>
        </w:rPr>
      </w:pPr>
      <w:r w:rsidRPr="00215B2F">
        <w:rPr>
          <w:sz w:val="20"/>
          <w:szCs w:val="20"/>
        </w:rPr>
        <w:t>(prenos pristojnosti za nadzor na konsolidirani podlagi)</w:t>
      </w:r>
    </w:p>
    <w:p w14:paraId="228A38BA" w14:textId="77777777" w:rsidR="00D91782" w:rsidRPr="00215B2F" w:rsidRDefault="00D91782" w:rsidP="00FD5520">
      <w:pPr>
        <w:pStyle w:val="Slog1"/>
        <w:shd w:val="clear" w:color="auto" w:fill="FFFFFF" w:themeFill="background1"/>
        <w:rPr>
          <w:sz w:val="20"/>
          <w:szCs w:val="20"/>
        </w:rPr>
      </w:pPr>
    </w:p>
    <w:p w14:paraId="2BAEEE7F" w14:textId="7E84A5E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lahko v dogovoru s pristojnimi organi držav članic prenese svoje pristojnosti in odgovornosti za nadzor na konsolidirani podlagi iz drugega, tretjega ali četrtega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na pristojni organ države članice sedeža druge podrejene banke, če je to ustrezno ob upoštevanju relativne pomembnosti dejavnosti bank ali potrebe po zagotovitvi kontinuitete nadzora na konsolidirani podlagi v drugih državah članicah.</w:t>
      </w:r>
    </w:p>
    <w:p w14:paraId="7100371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04DFC44" w14:textId="41DD5D5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Agencija, pristojna za finančne trge, lahko v dogovoru s pristojnimi organi držav članic prenese svoje pristojnosti in odgovornosti za nadzor na konsolidirani podlagi iz </w:t>
      </w:r>
      <w:r w:rsidR="00746E88" w:rsidRPr="00215B2F">
        <w:rPr>
          <w:rFonts w:ascii="Arial" w:eastAsia="Arial" w:hAnsi="Arial" w:cs="Arial"/>
          <w:sz w:val="20"/>
          <w:szCs w:val="20"/>
        </w:rPr>
        <w:t>prejšnjega člena</w:t>
      </w:r>
      <w:r w:rsidRPr="00215B2F">
        <w:rPr>
          <w:rFonts w:ascii="Arial" w:eastAsia="Arial" w:hAnsi="Arial" w:cs="Arial"/>
          <w:sz w:val="20"/>
          <w:szCs w:val="20"/>
        </w:rPr>
        <w:t xml:space="preserve"> na pristojni organ države članice sedeža drugega podrejenega investicijskega podjetja, če je to ustrezno ob upoštevanju relativne pomembnosti dejavnosti investicijskih podjetij s sedežem v Republiki Sloveniji ali potrebe po zagotovitvi kontinuitete nadzora na konsolidirani podlagi v drugih državah članicah.</w:t>
      </w:r>
    </w:p>
    <w:p w14:paraId="3AD39C3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31D9A56" w14:textId="7BF507A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Pred spreje</w:t>
      </w:r>
      <w:r w:rsidR="00DE3DAD" w:rsidRPr="00215B2F">
        <w:rPr>
          <w:rFonts w:ascii="Arial" w:eastAsia="Arial" w:hAnsi="Arial" w:cs="Arial"/>
          <w:sz w:val="20"/>
          <w:szCs w:val="20"/>
        </w:rPr>
        <w:t>tje</w:t>
      </w:r>
      <w:r w:rsidRPr="00215B2F">
        <w:rPr>
          <w:rFonts w:ascii="Arial" w:eastAsia="Arial" w:hAnsi="Arial" w:cs="Arial"/>
          <w:sz w:val="20"/>
          <w:szCs w:val="20"/>
        </w:rPr>
        <w:t xml:space="preserve">m odločitve iz prvega odstavka mora dati Banka Slovenije EU nadrejeni banki, EU nadrejenemu finančnemu holdingu, EU nadrejenemu mešanemu finančnemu holdingu </w:t>
      </w:r>
      <w:r w:rsidR="00DE3DAD" w:rsidRPr="00215B2F">
        <w:rPr>
          <w:rFonts w:ascii="Arial" w:eastAsia="Arial" w:hAnsi="Arial" w:cs="Arial"/>
          <w:sz w:val="20"/>
          <w:szCs w:val="20"/>
        </w:rPr>
        <w:t xml:space="preserve">ali </w:t>
      </w:r>
      <w:r w:rsidRPr="00215B2F">
        <w:rPr>
          <w:rFonts w:ascii="Arial" w:eastAsia="Arial" w:hAnsi="Arial" w:cs="Arial"/>
          <w:sz w:val="20"/>
          <w:szCs w:val="20"/>
        </w:rPr>
        <w:t>podrejeni banki z največjo bilančno vsoto možnost, da se o tem izjavi.</w:t>
      </w:r>
    </w:p>
    <w:p w14:paraId="0EF3C92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D2493B9" w14:textId="0234A2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Pred sprejetjem odločitve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mora dati agencija, pristojna za finančne trge, nadrejenemu investicijskemu podjetju, EU nadrejenemu finančnemu holdingu, EU nadrejenemu mešanemu finančnemu holdingu </w:t>
      </w:r>
      <w:r w:rsidR="00DE3DAD" w:rsidRPr="00215B2F">
        <w:rPr>
          <w:rFonts w:ascii="Arial" w:eastAsia="Arial" w:hAnsi="Arial" w:cs="Arial"/>
          <w:sz w:val="20"/>
          <w:szCs w:val="20"/>
        </w:rPr>
        <w:t xml:space="preserve">ali </w:t>
      </w:r>
      <w:r w:rsidRPr="00215B2F">
        <w:rPr>
          <w:rFonts w:ascii="Arial" w:eastAsia="Arial" w:hAnsi="Arial" w:cs="Arial"/>
          <w:sz w:val="20"/>
          <w:szCs w:val="20"/>
        </w:rPr>
        <w:t>podrejenemu investicijskemu podjetju s sedežem v Republiki Sloveniji z največjo bilančno vsoto možnost, da se o tem izjavi.</w:t>
      </w:r>
    </w:p>
    <w:p w14:paraId="5F44133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1A25B94" w14:textId="5CD4ABA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oziroma agencija, pristojna za finančne trge, obvesti Komisijo in Evropski bančni organ o vsakem prenosu pristojnosti za nadzor na konsolidirani podlagi iz prvega oziroma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5CA02FD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858BE67"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79" w:name="_Ref202968099"/>
      <w:r w:rsidRPr="00215B2F">
        <w:rPr>
          <w:rFonts w:ascii="Arial" w:eastAsia="Arial" w:hAnsi="Arial" w:cs="Arial"/>
          <w:b/>
          <w:bCs/>
          <w:sz w:val="20"/>
          <w:szCs w:val="20"/>
        </w:rPr>
        <w:t>člen</w:t>
      </w:r>
      <w:bookmarkEnd w:id="479"/>
    </w:p>
    <w:p w14:paraId="742D58F5" w14:textId="77777777" w:rsidR="00D91782" w:rsidRPr="00215B2F" w:rsidRDefault="00D91782" w:rsidP="00FD5520">
      <w:pPr>
        <w:pStyle w:val="Slog1"/>
        <w:shd w:val="clear" w:color="auto" w:fill="FFFFFF" w:themeFill="background1"/>
        <w:rPr>
          <w:sz w:val="20"/>
          <w:szCs w:val="20"/>
        </w:rPr>
      </w:pPr>
      <w:r w:rsidRPr="00215B2F">
        <w:rPr>
          <w:sz w:val="20"/>
          <w:szCs w:val="20"/>
        </w:rPr>
        <w:t>(dodatne naloge nadzora na konsolidirani podlagi)</w:t>
      </w:r>
    </w:p>
    <w:p w14:paraId="0ABAA399" w14:textId="77777777" w:rsidR="00D91782" w:rsidRPr="00215B2F" w:rsidRDefault="00D91782" w:rsidP="00FD5520">
      <w:pPr>
        <w:pStyle w:val="Slog1"/>
        <w:shd w:val="clear" w:color="auto" w:fill="FFFFFF" w:themeFill="background1"/>
        <w:jc w:val="both"/>
        <w:rPr>
          <w:sz w:val="20"/>
          <w:szCs w:val="20"/>
        </w:rPr>
      </w:pPr>
    </w:p>
    <w:p w14:paraId="3522C9F9" w14:textId="2A10C14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je Banka Slovenije v skladu s </w:t>
      </w:r>
      <w:r w:rsidR="00355D35" w:rsidRPr="00215B2F">
        <w:rPr>
          <w:rFonts w:ascii="Arial" w:eastAsia="Arial" w:hAnsi="Arial" w:cs="Arial"/>
          <w:sz w:val="20"/>
          <w:szCs w:val="20"/>
        </w:rPr>
        <w:t>411</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konsolidacijski nadzornik, mora poleg splošnih nalog nadzora opravljati tudi naslednje naloge:</w:t>
      </w:r>
    </w:p>
    <w:p w14:paraId="12AB217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4D47991" w14:textId="38495346" w:rsidR="0005122C" w:rsidRPr="00215B2F" w:rsidRDefault="00D91782" w:rsidP="003D4DE0">
      <w:pPr>
        <w:pStyle w:val="tevilnatoka"/>
        <w:numPr>
          <w:ilvl w:val="0"/>
          <w:numId w:val="269"/>
        </w:numPr>
        <w:shd w:val="clear" w:color="auto" w:fill="FFFFFF" w:themeFill="background1"/>
        <w:tabs>
          <w:tab w:val="clear" w:pos="425"/>
        </w:tabs>
        <w:rPr>
          <w:rFonts w:cs="Arial"/>
          <w:bCs/>
          <w:sz w:val="20"/>
          <w:szCs w:val="20"/>
        </w:rPr>
      </w:pPr>
      <w:r w:rsidRPr="00215B2F">
        <w:rPr>
          <w:rFonts w:eastAsia="Arial" w:cs="Arial"/>
          <w:sz w:val="20"/>
          <w:szCs w:val="20"/>
        </w:rPr>
        <w:t>usklajevati zbiranje in po</w:t>
      </w:r>
      <w:r w:rsidR="00DE3DAD" w:rsidRPr="00215B2F">
        <w:rPr>
          <w:rFonts w:eastAsia="Arial" w:cs="Arial"/>
          <w:sz w:val="20"/>
          <w:szCs w:val="20"/>
        </w:rPr>
        <w:t>šilj</w:t>
      </w:r>
      <w:r w:rsidRPr="00215B2F">
        <w:rPr>
          <w:rFonts w:eastAsia="Arial" w:cs="Arial"/>
          <w:sz w:val="20"/>
          <w:szCs w:val="20"/>
        </w:rPr>
        <w:t>anje ključnih informacij med pristojnimi organi, vključenimi v nadzor na konsolidirani podlagi</w:t>
      </w:r>
      <w:r w:rsidR="00DE3DAD" w:rsidRPr="00215B2F">
        <w:rPr>
          <w:rFonts w:eastAsia="Arial" w:cs="Arial"/>
          <w:sz w:val="20"/>
          <w:szCs w:val="20"/>
        </w:rPr>
        <w:t>,</w:t>
      </w:r>
      <w:r w:rsidRPr="00215B2F">
        <w:rPr>
          <w:rFonts w:eastAsia="Arial" w:cs="Arial"/>
          <w:sz w:val="20"/>
          <w:szCs w:val="20"/>
        </w:rPr>
        <w:t xml:space="preserve"> v času rednega poslovanja in v kriznih razmerah;</w:t>
      </w:r>
    </w:p>
    <w:p w14:paraId="441BBC4A" w14:textId="77777777" w:rsidR="0005122C" w:rsidRPr="00215B2F" w:rsidRDefault="00D91782" w:rsidP="003D4DE0">
      <w:pPr>
        <w:pStyle w:val="tevilnatoka"/>
        <w:numPr>
          <w:ilvl w:val="0"/>
          <w:numId w:val="269"/>
        </w:numPr>
        <w:shd w:val="clear" w:color="auto" w:fill="FFFFFF" w:themeFill="background1"/>
        <w:tabs>
          <w:tab w:val="clear" w:pos="425"/>
        </w:tabs>
        <w:rPr>
          <w:rFonts w:cs="Arial"/>
          <w:bCs/>
          <w:sz w:val="20"/>
          <w:szCs w:val="20"/>
        </w:rPr>
      </w:pPr>
      <w:r w:rsidRPr="00215B2F">
        <w:rPr>
          <w:rFonts w:eastAsia="Arial" w:cs="Arial"/>
          <w:sz w:val="20"/>
          <w:szCs w:val="20"/>
        </w:rPr>
        <w:t>načrtovati in usklajevati izvajanje nadzora v času rednega poslovanja, vključno z izvajanjem nadzora na konsolidirani podlagi z drugimi pristojnimi organi, ki sodelujejo v nadzoru na konsolidirani podlagi;</w:t>
      </w:r>
    </w:p>
    <w:p w14:paraId="19F69293" w14:textId="66B4E0AA" w:rsidR="00D91782" w:rsidRPr="00215B2F" w:rsidRDefault="00D91782" w:rsidP="003D4DE0">
      <w:pPr>
        <w:pStyle w:val="tevilnatoka"/>
        <w:numPr>
          <w:ilvl w:val="0"/>
          <w:numId w:val="269"/>
        </w:numPr>
        <w:shd w:val="clear" w:color="auto" w:fill="FFFFFF" w:themeFill="background1"/>
        <w:tabs>
          <w:tab w:val="clear" w:pos="425"/>
        </w:tabs>
        <w:rPr>
          <w:rFonts w:cs="Arial"/>
          <w:bCs/>
          <w:sz w:val="20"/>
          <w:szCs w:val="20"/>
        </w:rPr>
      </w:pPr>
      <w:r w:rsidRPr="00215B2F">
        <w:rPr>
          <w:rFonts w:eastAsia="Arial" w:cs="Arial"/>
          <w:sz w:val="20"/>
          <w:szCs w:val="20"/>
        </w:rPr>
        <w:t>načrtovati in usklajevati izvajanje nadzora z drugimi pristojnimi organi, ki sodelujejo v nadzoru na konsolidirani podlagi, in po potrebi s centralnimi bankami ESCB pri pripravah na krizne razmere in v kriznih razmerah, vključno z neugodnim razvojem v bankah ali na finančnih trgih, z uporabo obstoječih načinov obveščanja zaradi učinkovitega kriznega upravljanja.</w:t>
      </w:r>
    </w:p>
    <w:p w14:paraId="2361DC8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C57148A" w14:textId="5FD369E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Načrtovanje in usklajevanje nalog nadzora iz 3. točke prejšnjega odstavka vključuje ukrepe iz </w:t>
      </w:r>
      <w:r w:rsidR="005A78EE" w:rsidRPr="00215B2F">
        <w:rPr>
          <w:rFonts w:ascii="Arial" w:eastAsia="Arial" w:hAnsi="Arial" w:cs="Arial"/>
          <w:sz w:val="20"/>
          <w:szCs w:val="20"/>
        </w:rPr>
        <w:t>345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vzpostavitev vsake omejitve za uporabo naprednega pristopa za izračun kapitalske zahteve za operativno tveganje, pripravo skupnih ocen, izvajanje kriznih načrtov in obveščanje javnosti.</w:t>
      </w:r>
    </w:p>
    <w:p w14:paraId="33BBF3F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C8BDC25" w14:textId="700C661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Banka Slovenije ugotovi, da drugi pristojni organi, ki sodelujejo v nadzoru na konsolidirani podlagi, ne izvajajo svojih nalog nadzora v obsegu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ali z njo ne sodelujejo v obsegu, ki je potreben za ustrezno opravljanje nalog nadzora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lahko zadevo predloži Evropskemu bančnemu organu in zahteva njegovo pomoč v skladu z 19. členom Uredbe 1093/2010/EU.</w:t>
      </w:r>
    </w:p>
    <w:p w14:paraId="2C8949D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9E375A2" w14:textId="22C220D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Če je konsolidacijski nadzornik pristojni organ druge države članice in Banka Slovenije ugotovi, da ta organ ne opravlja ustrezno nalog nadzora na konsolidirani podlagi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lahko Banka Slovenije to zadevo predloži Evropskemu bančnemu organu in zahteva njegovo pomoč v skladu z 19. členom Uredbe 1093/2010/EU.</w:t>
      </w:r>
    </w:p>
    <w:p w14:paraId="1624933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4310DE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Banka Slovenije lahko zahteva predložitev finančnih in drugih poročil v zvezi s skupino oziroma bančno skupino ter določi podrobnejšo vsebino, način in roke za predložitev poročil.</w:t>
      </w:r>
    </w:p>
    <w:p w14:paraId="38F058F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79134EC"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80" w:name="_Ref202968105"/>
      <w:r w:rsidRPr="00215B2F">
        <w:rPr>
          <w:rFonts w:ascii="Arial" w:eastAsia="Arial" w:hAnsi="Arial" w:cs="Arial"/>
          <w:b/>
          <w:bCs/>
          <w:sz w:val="20"/>
          <w:szCs w:val="20"/>
        </w:rPr>
        <w:t>člen</w:t>
      </w:r>
      <w:bookmarkEnd w:id="480"/>
    </w:p>
    <w:p w14:paraId="06393114" w14:textId="77777777" w:rsidR="00D91782" w:rsidRPr="00215B2F" w:rsidRDefault="00D91782" w:rsidP="00FD5520">
      <w:pPr>
        <w:pStyle w:val="Slog1"/>
        <w:shd w:val="clear" w:color="auto" w:fill="FFFFFF" w:themeFill="background1"/>
        <w:rPr>
          <w:sz w:val="20"/>
          <w:szCs w:val="20"/>
        </w:rPr>
      </w:pPr>
      <w:r w:rsidRPr="00215B2F">
        <w:rPr>
          <w:sz w:val="20"/>
          <w:szCs w:val="20"/>
        </w:rPr>
        <w:t>(sodelovanje z drugimi pristojnimi organi pri skupnih odločitvah)</w:t>
      </w:r>
    </w:p>
    <w:p w14:paraId="5B1C8476" w14:textId="77777777" w:rsidR="00D91782" w:rsidRPr="00215B2F" w:rsidRDefault="00D91782" w:rsidP="00FD5520">
      <w:pPr>
        <w:pStyle w:val="Slog1"/>
        <w:shd w:val="clear" w:color="auto" w:fill="FFFFFF" w:themeFill="background1"/>
        <w:jc w:val="both"/>
        <w:rPr>
          <w:sz w:val="20"/>
          <w:szCs w:val="20"/>
        </w:rPr>
      </w:pPr>
    </w:p>
    <w:p w14:paraId="7012858C" w14:textId="77F27FC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Pri nadzoru na konsolidirani podlagi si mora Banka Slovenije kot konsolidacijski nadzornik skupaj z drugimi sodelujočimi pristojnimi organi za nadzor </w:t>
      </w:r>
      <w:r w:rsidR="00E17AA3" w:rsidRPr="00215B2F">
        <w:rPr>
          <w:rFonts w:ascii="Arial" w:eastAsia="Arial" w:hAnsi="Arial" w:cs="Arial"/>
          <w:sz w:val="20"/>
          <w:szCs w:val="20"/>
        </w:rPr>
        <w:t xml:space="preserve">nad </w:t>
      </w:r>
      <w:r w:rsidRPr="00215B2F">
        <w:rPr>
          <w:rFonts w:ascii="Arial" w:eastAsia="Arial" w:hAnsi="Arial" w:cs="Arial"/>
          <w:sz w:val="20"/>
          <w:szCs w:val="20"/>
        </w:rPr>
        <w:t>podrejeni</w:t>
      </w:r>
      <w:r w:rsidR="00E17AA3" w:rsidRPr="00215B2F">
        <w:rPr>
          <w:rFonts w:ascii="Arial" w:eastAsia="Arial" w:hAnsi="Arial" w:cs="Arial"/>
          <w:sz w:val="20"/>
          <w:szCs w:val="20"/>
        </w:rPr>
        <w:t>mi</w:t>
      </w:r>
      <w:r w:rsidRPr="00215B2F">
        <w:rPr>
          <w:rFonts w:ascii="Arial" w:eastAsia="Arial" w:hAnsi="Arial" w:cs="Arial"/>
          <w:sz w:val="20"/>
          <w:szCs w:val="20"/>
        </w:rPr>
        <w:t xml:space="preserve"> družb</w:t>
      </w:r>
      <w:r w:rsidR="00E17AA3" w:rsidRPr="00215B2F">
        <w:rPr>
          <w:rFonts w:ascii="Arial" w:eastAsia="Arial" w:hAnsi="Arial" w:cs="Arial"/>
          <w:sz w:val="20"/>
          <w:szCs w:val="20"/>
        </w:rPr>
        <w:t>ami</w:t>
      </w:r>
      <w:r w:rsidRPr="00215B2F">
        <w:rPr>
          <w:rFonts w:ascii="Arial" w:eastAsia="Arial" w:hAnsi="Arial" w:cs="Arial"/>
          <w:sz w:val="20"/>
          <w:szCs w:val="20"/>
        </w:rPr>
        <w:t xml:space="preserve"> držav članic EU nadrejene banke ali EU nadrejenega finančnega holdinga ali EU nadrejenega mešanega finančnega holdinga prizadevati za spreje</w:t>
      </w:r>
      <w:r w:rsidR="00E17AA3" w:rsidRPr="00215B2F">
        <w:rPr>
          <w:rFonts w:ascii="Arial" w:eastAsia="Arial" w:hAnsi="Arial" w:cs="Arial"/>
          <w:sz w:val="20"/>
          <w:szCs w:val="20"/>
        </w:rPr>
        <w:t>tje</w:t>
      </w:r>
      <w:r w:rsidRPr="00215B2F">
        <w:rPr>
          <w:rFonts w:ascii="Arial" w:eastAsia="Arial" w:hAnsi="Arial" w:cs="Arial"/>
          <w:sz w:val="20"/>
          <w:szCs w:val="20"/>
        </w:rPr>
        <w:t xml:space="preserve"> skupne odločitve o:</w:t>
      </w:r>
    </w:p>
    <w:p w14:paraId="119A2E2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4664E29" w14:textId="0029E51D" w:rsidR="0005122C" w:rsidRPr="00215B2F" w:rsidRDefault="00D91782" w:rsidP="003D4DE0">
      <w:pPr>
        <w:pStyle w:val="tevilnatoka"/>
        <w:numPr>
          <w:ilvl w:val="0"/>
          <w:numId w:val="270"/>
        </w:numPr>
        <w:shd w:val="clear" w:color="auto" w:fill="FFFFFF" w:themeFill="background1"/>
        <w:tabs>
          <w:tab w:val="clear" w:pos="425"/>
        </w:tabs>
        <w:rPr>
          <w:rFonts w:cs="Arial"/>
          <w:bCs/>
          <w:sz w:val="20"/>
          <w:szCs w:val="20"/>
        </w:rPr>
      </w:pPr>
      <w:r w:rsidRPr="00215B2F">
        <w:rPr>
          <w:rFonts w:eastAsia="Arial" w:cs="Arial"/>
          <w:sz w:val="20"/>
          <w:szCs w:val="20"/>
        </w:rPr>
        <w:t xml:space="preserve">oceni ustrezne ravni kapitala na konsolidirani podlagi za skupino na podlagi </w:t>
      </w:r>
      <w:r w:rsidR="00FA74E6" w:rsidRPr="00215B2F">
        <w:rPr>
          <w:rFonts w:eastAsia="Arial" w:cs="Arial"/>
          <w:sz w:val="20"/>
          <w:szCs w:val="20"/>
        </w:rPr>
        <w:t>180</w:t>
      </w:r>
      <w:r w:rsidRPr="00215B2F">
        <w:rPr>
          <w:rFonts w:eastAsia="Arial" w:cs="Arial"/>
          <w:sz w:val="20"/>
          <w:szCs w:val="20"/>
        </w:rPr>
        <w:t xml:space="preserve">. in </w:t>
      </w:r>
      <w:r w:rsidR="0013101D" w:rsidRPr="00215B2F">
        <w:rPr>
          <w:rFonts w:eastAsia="Arial" w:cs="Arial"/>
          <w:sz w:val="20"/>
          <w:szCs w:val="20"/>
        </w:rPr>
        <w:t>223</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upoštevaje njen finančni položaj in profil tveganosti ter zahtevane ravni kapitala na podlagi </w:t>
      </w:r>
      <w:r w:rsidR="0013101D" w:rsidRPr="00215B2F">
        <w:rPr>
          <w:rFonts w:eastAsia="Arial" w:cs="Arial"/>
          <w:sz w:val="20"/>
          <w:szCs w:val="20"/>
        </w:rPr>
        <w:t>238</w:t>
      </w:r>
      <w:r w:rsidRPr="00215B2F">
        <w:rPr>
          <w:rFonts w:eastAsia="Arial" w:cs="Arial"/>
          <w:sz w:val="20"/>
          <w:szCs w:val="20"/>
        </w:rPr>
        <w:t xml:space="preserve">. člena in 1. točke drugega odstavka </w:t>
      </w:r>
      <w:r w:rsidR="005A78EE" w:rsidRPr="00215B2F">
        <w:rPr>
          <w:rFonts w:eastAsia="Arial" w:cs="Arial"/>
          <w:sz w:val="20"/>
          <w:szCs w:val="20"/>
        </w:rPr>
        <w:t>345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za vsak subjekt v skupini in na konsolidirani podlagi;</w:t>
      </w:r>
    </w:p>
    <w:p w14:paraId="1CF1096D" w14:textId="2D1E25A1" w:rsidR="0005122C" w:rsidRPr="00215B2F" w:rsidRDefault="00D91782" w:rsidP="003D4DE0">
      <w:pPr>
        <w:pStyle w:val="tevilnatoka"/>
        <w:numPr>
          <w:ilvl w:val="0"/>
          <w:numId w:val="270"/>
        </w:numPr>
        <w:shd w:val="clear" w:color="auto" w:fill="FFFFFF" w:themeFill="background1"/>
        <w:tabs>
          <w:tab w:val="clear" w:pos="425"/>
        </w:tabs>
        <w:rPr>
          <w:rFonts w:cs="Arial"/>
          <w:bCs/>
          <w:sz w:val="20"/>
          <w:szCs w:val="20"/>
        </w:rPr>
      </w:pPr>
      <w:r w:rsidRPr="00215B2F">
        <w:rPr>
          <w:rFonts w:eastAsia="Arial" w:cs="Arial"/>
          <w:sz w:val="20"/>
          <w:szCs w:val="20"/>
        </w:rPr>
        <w:t>ukrepih za obravnavo pomembnih zadev in ugotovitev v zvezi z nadzorom likvidnosti, upoštevaje ustreznost organizacije in upravljanje likvidnostnega tveganja iz pod</w:t>
      </w:r>
      <w:r w:rsidR="005B0CC7" w:rsidRPr="00215B2F">
        <w:rPr>
          <w:rFonts w:eastAsia="Arial" w:cs="Arial"/>
          <w:sz w:val="20"/>
          <w:szCs w:val="20"/>
        </w:rPr>
        <w:t>o</w:t>
      </w:r>
      <w:r w:rsidR="001F2C7A" w:rsidRPr="00215B2F">
        <w:rPr>
          <w:rFonts w:eastAsia="Arial" w:cs="Arial"/>
          <w:sz w:val="20"/>
          <w:szCs w:val="20"/>
        </w:rPr>
        <w:t>ddelka</w:t>
      </w:r>
      <w:r w:rsidRPr="00215B2F">
        <w:rPr>
          <w:rFonts w:eastAsia="Arial" w:cs="Arial"/>
          <w:sz w:val="20"/>
          <w:szCs w:val="20"/>
        </w:rPr>
        <w:t xml:space="preserve"> 6.3.5 tega zakona ter posebnih zahtev za posamezno banko glede likvidnosti v skladu s četrtim odstavkom </w:t>
      </w:r>
      <w:r w:rsidR="005A78EE" w:rsidRPr="00215B2F">
        <w:rPr>
          <w:rFonts w:eastAsia="Arial" w:cs="Arial"/>
          <w:sz w:val="20"/>
          <w:szCs w:val="20"/>
        </w:rPr>
        <w:t>345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06DC3703" w14:textId="609ADDAB" w:rsidR="00D91782" w:rsidRPr="00215B2F" w:rsidRDefault="00D91782" w:rsidP="003D4DE0">
      <w:pPr>
        <w:pStyle w:val="tevilnatoka"/>
        <w:numPr>
          <w:ilvl w:val="0"/>
          <w:numId w:val="270"/>
        </w:numPr>
        <w:shd w:val="clear" w:color="auto" w:fill="FFFFFF" w:themeFill="background1"/>
        <w:tabs>
          <w:tab w:val="clear" w:pos="425"/>
        </w:tabs>
        <w:rPr>
          <w:rFonts w:cs="Arial"/>
          <w:bCs/>
          <w:sz w:val="20"/>
          <w:szCs w:val="20"/>
        </w:rPr>
      </w:pPr>
      <w:r w:rsidRPr="00215B2F">
        <w:rPr>
          <w:rFonts w:eastAsia="Arial" w:cs="Arial"/>
          <w:sz w:val="20"/>
          <w:szCs w:val="20"/>
        </w:rPr>
        <w:t xml:space="preserve">kakršnih koli napotkih o dodatno potrebnem kapitalu iz </w:t>
      </w:r>
      <w:r w:rsidR="00576A49" w:rsidRPr="00215B2F">
        <w:rPr>
          <w:rFonts w:eastAsia="Arial" w:cs="Arial"/>
          <w:sz w:val="20"/>
          <w:szCs w:val="20"/>
        </w:rPr>
        <w:t>239</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49372B8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48DD82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si mora skupaj z drugimi pristojnimi organi prizadevati, da bi bila skupna odločitev sprejeta:</w:t>
      </w:r>
    </w:p>
    <w:p w14:paraId="30A9F82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3EA0B55" w14:textId="2290D448" w:rsidR="0005122C" w:rsidRPr="00215B2F" w:rsidRDefault="00D91782" w:rsidP="003D4DE0">
      <w:pPr>
        <w:pStyle w:val="tevilnatoka"/>
        <w:numPr>
          <w:ilvl w:val="0"/>
          <w:numId w:val="271"/>
        </w:numPr>
        <w:shd w:val="clear" w:color="auto" w:fill="FFFFFF" w:themeFill="background1"/>
        <w:tabs>
          <w:tab w:val="clear" w:pos="425"/>
        </w:tabs>
        <w:rPr>
          <w:rFonts w:cs="Arial"/>
          <w:bCs/>
          <w:sz w:val="20"/>
          <w:szCs w:val="20"/>
        </w:rPr>
      </w:pPr>
      <w:r w:rsidRPr="00215B2F">
        <w:rPr>
          <w:rFonts w:eastAsia="Arial" w:cs="Arial"/>
          <w:sz w:val="20"/>
          <w:szCs w:val="20"/>
        </w:rPr>
        <w:t xml:space="preserve">v primeru iz 1. točke prejšnjega odstavka: v štirih mesecih od predložitve poročila konsolidacijskega nadzornika drugim pristojnim organom, ki vsebuje oceno tveganj skupine v skladu z </w:t>
      </w:r>
      <w:r w:rsidR="0013101D" w:rsidRPr="00215B2F">
        <w:rPr>
          <w:rFonts w:eastAsia="Arial" w:cs="Arial"/>
          <w:sz w:val="20"/>
          <w:szCs w:val="20"/>
        </w:rPr>
        <w:t>238</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 xml:space="preserve"> oziroma 104</w:t>
      </w:r>
      <w:r w:rsidR="00D225E3" w:rsidRPr="00215B2F">
        <w:rPr>
          <w:rFonts w:eastAsia="Arial" w:cs="Arial"/>
          <w:sz w:val="20"/>
          <w:szCs w:val="20"/>
        </w:rPr>
        <w:t>.</w:t>
      </w:r>
      <w:r w:rsidRPr="00215B2F">
        <w:rPr>
          <w:rFonts w:eastAsia="Arial" w:cs="Arial"/>
          <w:sz w:val="20"/>
          <w:szCs w:val="20"/>
        </w:rPr>
        <w:t>a členom Direktive 2013/36/EU;</w:t>
      </w:r>
    </w:p>
    <w:p w14:paraId="3BC01897" w14:textId="433222E3" w:rsidR="0005122C" w:rsidRPr="00215B2F" w:rsidRDefault="00D91782" w:rsidP="003D4DE0">
      <w:pPr>
        <w:pStyle w:val="tevilnatoka"/>
        <w:numPr>
          <w:ilvl w:val="0"/>
          <w:numId w:val="271"/>
        </w:numPr>
        <w:shd w:val="clear" w:color="auto" w:fill="FFFFFF" w:themeFill="background1"/>
        <w:tabs>
          <w:tab w:val="clear" w:pos="425"/>
        </w:tabs>
        <w:rPr>
          <w:rFonts w:cs="Arial"/>
          <w:bCs/>
          <w:sz w:val="20"/>
          <w:szCs w:val="20"/>
        </w:rPr>
      </w:pPr>
      <w:r w:rsidRPr="00215B2F">
        <w:rPr>
          <w:rFonts w:eastAsia="Arial" w:cs="Arial"/>
          <w:sz w:val="20"/>
          <w:szCs w:val="20"/>
        </w:rPr>
        <w:t>v primeru iz 2. točke prejšnjega odstavka: v štirih mesecih od predložitve poročila konsolidacijskega nadzornika drugim pristojnim organom, ki vsebuje oceno profila likvidnostnega tveganja skupine v skladu s pod</w:t>
      </w:r>
      <w:r w:rsidR="005B0CC7" w:rsidRPr="00215B2F">
        <w:rPr>
          <w:rFonts w:eastAsia="Arial" w:cs="Arial"/>
          <w:sz w:val="20"/>
          <w:szCs w:val="20"/>
        </w:rPr>
        <w:t>o</w:t>
      </w:r>
      <w:r w:rsidR="001F2C7A" w:rsidRPr="00215B2F">
        <w:rPr>
          <w:rFonts w:eastAsia="Arial" w:cs="Arial"/>
          <w:sz w:val="20"/>
          <w:szCs w:val="20"/>
        </w:rPr>
        <w:t>ddelkom</w:t>
      </w:r>
      <w:r w:rsidRPr="00215B2F">
        <w:rPr>
          <w:rFonts w:eastAsia="Arial" w:cs="Arial"/>
          <w:sz w:val="20"/>
          <w:szCs w:val="20"/>
        </w:rPr>
        <w:t xml:space="preserve"> 6.3.5 tega zakona ter četrtim odstavkom </w:t>
      </w:r>
      <w:r w:rsidR="005A78EE" w:rsidRPr="00215B2F">
        <w:rPr>
          <w:rFonts w:eastAsia="Arial" w:cs="Arial"/>
          <w:sz w:val="20"/>
          <w:szCs w:val="20"/>
        </w:rPr>
        <w:t>345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oziroma 86. in 105. členom Direktive 2013/36/EU;</w:t>
      </w:r>
    </w:p>
    <w:p w14:paraId="60BB46CC" w14:textId="292C9557" w:rsidR="00D91782" w:rsidRPr="00215B2F" w:rsidRDefault="00D91782" w:rsidP="003D4DE0">
      <w:pPr>
        <w:pStyle w:val="tevilnatoka"/>
        <w:numPr>
          <w:ilvl w:val="0"/>
          <w:numId w:val="271"/>
        </w:numPr>
        <w:shd w:val="clear" w:color="auto" w:fill="FFFFFF" w:themeFill="background1"/>
        <w:tabs>
          <w:tab w:val="clear" w:pos="425"/>
        </w:tabs>
        <w:rPr>
          <w:rFonts w:cs="Arial"/>
          <w:bCs/>
          <w:sz w:val="20"/>
          <w:szCs w:val="20"/>
        </w:rPr>
      </w:pPr>
      <w:r w:rsidRPr="00215B2F">
        <w:rPr>
          <w:rFonts w:eastAsia="Arial" w:cs="Arial"/>
          <w:sz w:val="20"/>
          <w:szCs w:val="20"/>
        </w:rPr>
        <w:t xml:space="preserve">v primeru iz 3. točke prejšnjega odstavka: v štirih mesecih od predložitve poročila konsolidacijskega nadzornika drugim pristojnim organom, ki vsebuje oceno tveganj skupine v skladu z </w:t>
      </w:r>
      <w:r w:rsidR="00576A49" w:rsidRPr="00215B2F">
        <w:rPr>
          <w:rFonts w:eastAsia="Arial" w:cs="Arial"/>
          <w:sz w:val="20"/>
          <w:szCs w:val="20"/>
        </w:rPr>
        <w:t>239</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 xml:space="preserve"> oziroma 104</w:t>
      </w:r>
      <w:r w:rsidR="00D225E3" w:rsidRPr="00215B2F">
        <w:rPr>
          <w:rFonts w:eastAsia="Arial" w:cs="Arial"/>
          <w:sz w:val="20"/>
          <w:szCs w:val="20"/>
        </w:rPr>
        <w:t>.</w:t>
      </w:r>
      <w:r w:rsidRPr="00215B2F">
        <w:rPr>
          <w:rFonts w:eastAsia="Arial" w:cs="Arial"/>
          <w:sz w:val="20"/>
          <w:szCs w:val="20"/>
        </w:rPr>
        <w:t>b členom Direktive 2013/36/EU.</w:t>
      </w:r>
    </w:p>
    <w:p w14:paraId="0B97F3F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F768412" w14:textId="1292A1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Skupna odločitev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vsebuje poleg ocene tveganj skupine oziroma ocene profila likvidnostnega tveganja skupine iz prejšnjega odstavka tudi ocene tveganj podrejenih družb, ki jih v skladu s </w:t>
      </w:r>
      <w:r w:rsidR="00FA74E6" w:rsidRPr="00215B2F">
        <w:rPr>
          <w:rFonts w:ascii="Arial" w:eastAsia="Arial" w:hAnsi="Arial" w:cs="Arial"/>
          <w:sz w:val="20"/>
          <w:szCs w:val="20"/>
        </w:rPr>
        <w:t>180</w:t>
      </w:r>
      <w:r w:rsidRPr="00215B2F">
        <w:rPr>
          <w:rFonts w:ascii="Arial" w:eastAsia="Arial" w:hAnsi="Arial" w:cs="Arial"/>
          <w:sz w:val="20"/>
          <w:szCs w:val="20"/>
        </w:rPr>
        <w:t xml:space="preserve">. in </w:t>
      </w:r>
      <w:r w:rsidR="0013101D" w:rsidRPr="00215B2F">
        <w:rPr>
          <w:rFonts w:ascii="Arial" w:eastAsia="Arial" w:hAnsi="Arial" w:cs="Arial"/>
          <w:sz w:val="20"/>
          <w:szCs w:val="20"/>
        </w:rPr>
        <w:t>223</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oziroma 73. in 97. členom Direktive 2013/36/EU izdelajo sodelujoči pristojni organi.</w:t>
      </w:r>
    </w:p>
    <w:p w14:paraId="60B59BB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2240BB5" w14:textId="78966E0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Obrazloženo skupno odločitev iz 1. in 2. točke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Banka Slovenije kot konsolidacijski nadzornik po</w:t>
      </w:r>
      <w:r w:rsidR="00D225E3" w:rsidRPr="00215B2F">
        <w:rPr>
          <w:rFonts w:ascii="Arial" w:eastAsia="Arial" w:hAnsi="Arial" w:cs="Arial"/>
          <w:sz w:val="20"/>
          <w:szCs w:val="20"/>
        </w:rPr>
        <w:t>šl</w:t>
      </w:r>
      <w:r w:rsidRPr="00215B2F">
        <w:rPr>
          <w:rFonts w:ascii="Arial" w:eastAsia="Arial" w:hAnsi="Arial" w:cs="Arial"/>
          <w:sz w:val="20"/>
          <w:szCs w:val="20"/>
        </w:rPr>
        <w:t>je EU nadrejeni banki.</w:t>
      </w:r>
    </w:p>
    <w:p w14:paraId="2BE1F02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5C5DF82" w14:textId="3E07C28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lahko na lastno pobudo ali v primeru nestrinjanja na zahtevo katerega drugega pristojnega organa, ki je vključen v nadzor na konsolidirani podlagi, v zvezi s skupno odločitvijo iz 1. in 2. točke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ali odločitvijo pristojnega organa v skladu s šestim ali sedmim odstavkom tega člena do izteka roka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oziroma v vsakem primeru pred </w:t>
      </w:r>
      <w:r w:rsidRPr="00215B2F">
        <w:rPr>
          <w:rFonts w:ascii="Arial" w:eastAsia="Arial" w:hAnsi="Arial" w:cs="Arial"/>
          <w:sz w:val="20"/>
          <w:szCs w:val="20"/>
        </w:rPr>
        <w:lastRenderedPageBreak/>
        <w:t>sprejetjem odločitve pristojnega organa predloži Evropskemu bančnemu organu zahtevo v skladu z 19. členom Uredbe 1093/2010/EU.</w:t>
      </w:r>
    </w:p>
    <w:p w14:paraId="631C369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C666FA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Konsolidacijski nadzornik sam sprejme odločitev na konsolidirani podlagi, če:</w:t>
      </w:r>
    </w:p>
    <w:p w14:paraId="10D65A1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942067A" w14:textId="18853FF2" w:rsidR="0005122C" w:rsidRPr="00215B2F" w:rsidRDefault="00D91782" w:rsidP="003D4DE0">
      <w:pPr>
        <w:pStyle w:val="tevilnatoka"/>
        <w:numPr>
          <w:ilvl w:val="0"/>
          <w:numId w:val="272"/>
        </w:numPr>
        <w:shd w:val="clear" w:color="auto" w:fill="FFFFFF" w:themeFill="background1"/>
        <w:tabs>
          <w:tab w:val="clear" w:pos="425"/>
        </w:tabs>
        <w:rPr>
          <w:rFonts w:cs="Arial"/>
          <w:bCs/>
          <w:sz w:val="20"/>
          <w:szCs w:val="20"/>
        </w:rPr>
      </w:pPr>
      <w:r w:rsidRPr="00215B2F">
        <w:rPr>
          <w:rFonts w:eastAsia="Arial" w:cs="Arial"/>
          <w:sz w:val="20"/>
          <w:szCs w:val="20"/>
        </w:rPr>
        <w:t xml:space="preserve">skupna odločitev iz prvega </w:t>
      </w:r>
      <w:r w:rsidR="00746E88" w:rsidRPr="00215B2F">
        <w:rPr>
          <w:rFonts w:eastAsia="Arial" w:cs="Arial"/>
          <w:sz w:val="20"/>
          <w:szCs w:val="20"/>
        </w:rPr>
        <w:t>odstavka tega člena</w:t>
      </w:r>
      <w:r w:rsidRPr="00215B2F">
        <w:rPr>
          <w:rFonts w:eastAsia="Arial" w:cs="Arial"/>
          <w:sz w:val="20"/>
          <w:szCs w:val="20"/>
        </w:rPr>
        <w:t xml:space="preserve"> ni sprejeta v roku iz drugega </w:t>
      </w:r>
      <w:r w:rsidR="00746E88" w:rsidRPr="00215B2F">
        <w:rPr>
          <w:rFonts w:eastAsia="Arial" w:cs="Arial"/>
          <w:sz w:val="20"/>
          <w:szCs w:val="20"/>
        </w:rPr>
        <w:t>odstavka tega člena</w:t>
      </w:r>
      <w:r w:rsidRPr="00215B2F">
        <w:rPr>
          <w:rFonts w:eastAsia="Arial" w:cs="Arial"/>
          <w:sz w:val="20"/>
          <w:szCs w:val="20"/>
        </w:rPr>
        <w:t xml:space="preserve"> ali</w:t>
      </w:r>
    </w:p>
    <w:p w14:paraId="01AEFDA4" w14:textId="4A04E7EB" w:rsidR="00D91782" w:rsidRPr="00215B2F" w:rsidRDefault="00D91782" w:rsidP="003D4DE0">
      <w:pPr>
        <w:pStyle w:val="tevilnatoka"/>
        <w:numPr>
          <w:ilvl w:val="0"/>
          <w:numId w:val="272"/>
        </w:numPr>
        <w:shd w:val="clear" w:color="auto" w:fill="FFFFFF" w:themeFill="background1"/>
        <w:tabs>
          <w:tab w:val="clear" w:pos="425"/>
        </w:tabs>
        <w:rPr>
          <w:rFonts w:cs="Arial"/>
          <w:bCs/>
          <w:sz w:val="20"/>
          <w:szCs w:val="20"/>
        </w:rPr>
      </w:pPr>
      <w:r w:rsidRPr="00215B2F">
        <w:rPr>
          <w:rFonts w:eastAsia="Arial" w:cs="Arial"/>
          <w:sz w:val="20"/>
          <w:szCs w:val="20"/>
        </w:rPr>
        <w:t>Evropski bančni organ svoje odločitve ne sprejme v enem mesecu od prejema predložitve zadeve iz prejšnjega odstavka.</w:t>
      </w:r>
    </w:p>
    <w:p w14:paraId="3145259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4BEECDE" w14:textId="150BCDF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(7) Banka Slovenije kot konsolidacijski nadzornik sprejeme odločitev iz prejšnjega odstavka na konsolidirani podlagi glede uporabe pod</w:t>
      </w:r>
      <w:r w:rsidR="005B0CC7" w:rsidRPr="00215B2F">
        <w:rPr>
          <w:rFonts w:ascii="Arial" w:eastAsia="Arial" w:hAnsi="Arial" w:cs="Arial"/>
          <w:sz w:val="20"/>
          <w:szCs w:val="20"/>
        </w:rPr>
        <w:t>o</w:t>
      </w:r>
      <w:r w:rsidR="001F2C7A" w:rsidRPr="00215B2F">
        <w:rPr>
          <w:rFonts w:ascii="Arial" w:eastAsia="Arial" w:hAnsi="Arial" w:cs="Arial"/>
          <w:sz w:val="20"/>
          <w:szCs w:val="20"/>
        </w:rPr>
        <w:t>ddelka</w:t>
      </w:r>
      <w:r w:rsidRPr="00215B2F">
        <w:rPr>
          <w:rFonts w:ascii="Arial" w:eastAsia="Arial" w:hAnsi="Arial" w:cs="Arial"/>
          <w:sz w:val="20"/>
          <w:szCs w:val="20"/>
        </w:rPr>
        <w:t xml:space="preserve"> 6.3.5, </w:t>
      </w:r>
      <w:r w:rsidR="00FA74E6" w:rsidRPr="00215B2F">
        <w:rPr>
          <w:rFonts w:ascii="Arial" w:eastAsia="Arial" w:hAnsi="Arial" w:cs="Arial"/>
          <w:sz w:val="20"/>
          <w:szCs w:val="20"/>
        </w:rPr>
        <w:t>180</w:t>
      </w:r>
      <w:r w:rsidRPr="00215B2F">
        <w:rPr>
          <w:rFonts w:ascii="Arial" w:eastAsia="Arial" w:hAnsi="Arial" w:cs="Arial"/>
          <w:sz w:val="20"/>
          <w:szCs w:val="20"/>
        </w:rPr>
        <w:t xml:space="preserve">., </w:t>
      </w:r>
      <w:r w:rsidR="0013101D" w:rsidRPr="00215B2F">
        <w:rPr>
          <w:rFonts w:ascii="Arial" w:eastAsia="Arial" w:hAnsi="Arial" w:cs="Arial"/>
          <w:sz w:val="20"/>
          <w:szCs w:val="20"/>
        </w:rPr>
        <w:t>223</w:t>
      </w:r>
      <w:r w:rsidRPr="00215B2F">
        <w:rPr>
          <w:rFonts w:ascii="Arial" w:eastAsia="Arial" w:hAnsi="Arial" w:cs="Arial"/>
          <w:sz w:val="20"/>
          <w:szCs w:val="20"/>
        </w:rPr>
        <w:t xml:space="preserve">., </w:t>
      </w:r>
      <w:r w:rsidR="0013101D" w:rsidRPr="00215B2F">
        <w:rPr>
          <w:rFonts w:ascii="Arial" w:eastAsia="Arial" w:hAnsi="Arial" w:cs="Arial"/>
          <w:sz w:val="20"/>
          <w:szCs w:val="20"/>
        </w:rPr>
        <w:t>238</w:t>
      </w:r>
      <w:r w:rsidRPr="00215B2F">
        <w:rPr>
          <w:rFonts w:ascii="Arial" w:eastAsia="Arial" w:hAnsi="Arial" w:cs="Arial"/>
          <w:sz w:val="20"/>
          <w:szCs w:val="20"/>
        </w:rPr>
        <w:t xml:space="preserve">., </w:t>
      </w:r>
      <w:r w:rsidR="00576A49" w:rsidRPr="00215B2F">
        <w:rPr>
          <w:rFonts w:ascii="Arial" w:eastAsia="Arial" w:hAnsi="Arial" w:cs="Arial"/>
          <w:sz w:val="20"/>
          <w:szCs w:val="20"/>
        </w:rPr>
        <w:t>239</w:t>
      </w:r>
      <w:r w:rsidRPr="00215B2F">
        <w:rPr>
          <w:rFonts w:ascii="Arial" w:eastAsia="Arial" w:hAnsi="Arial" w:cs="Arial"/>
          <w:sz w:val="20"/>
          <w:szCs w:val="20"/>
        </w:rPr>
        <w:t xml:space="preserve">. </w:t>
      </w:r>
      <w:r w:rsidR="00160AE1" w:rsidRPr="00215B2F">
        <w:rPr>
          <w:rFonts w:ascii="Arial" w:eastAsia="Arial" w:hAnsi="Arial" w:cs="Arial"/>
          <w:sz w:val="20"/>
          <w:szCs w:val="20"/>
        </w:rPr>
        <w:t>člena in</w:t>
      </w:r>
      <w:r w:rsidRPr="00215B2F">
        <w:rPr>
          <w:rFonts w:ascii="Arial" w:eastAsia="Arial" w:hAnsi="Arial" w:cs="Arial"/>
          <w:sz w:val="20"/>
          <w:szCs w:val="20"/>
        </w:rPr>
        <w:t xml:space="preserve"> četrtega odstavka </w:t>
      </w:r>
      <w:r w:rsidR="005A78EE" w:rsidRPr="00215B2F">
        <w:rPr>
          <w:rFonts w:ascii="Arial" w:eastAsia="Arial" w:hAnsi="Arial" w:cs="Arial"/>
          <w:sz w:val="20"/>
          <w:szCs w:val="20"/>
        </w:rPr>
        <w:t>345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oziroma glede 73., 86., 97.</w:t>
      </w:r>
      <w:r w:rsidR="00160AE1" w:rsidRPr="00215B2F">
        <w:rPr>
          <w:rFonts w:ascii="Arial" w:eastAsia="Arial" w:hAnsi="Arial" w:cs="Arial"/>
          <w:sz w:val="20"/>
          <w:szCs w:val="20"/>
        </w:rPr>
        <w:t xml:space="preserve"> člena</w:t>
      </w:r>
      <w:r w:rsidRPr="00215B2F">
        <w:rPr>
          <w:rFonts w:ascii="Arial" w:eastAsia="Arial" w:hAnsi="Arial" w:cs="Arial"/>
          <w:sz w:val="20"/>
          <w:szCs w:val="20"/>
        </w:rPr>
        <w:t>, točke (a) prvega odstavka 104.</w:t>
      </w:r>
      <w:r w:rsidR="00160AE1" w:rsidRPr="00215B2F">
        <w:rPr>
          <w:rFonts w:ascii="Arial" w:eastAsia="Arial" w:hAnsi="Arial" w:cs="Arial"/>
          <w:sz w:val="20"/>
          <w:szCs w:val="20"/>
        </w:rPr>
        <w:t xml:space="preserve"> člena</w:t>
      </w:r>
      <w:r w:rsidRPr="00215B2F">
        <w:rPr>
          <w:rFonts w:ascii="Arial" w:eastAsia="Arial" w:hAnsi="Arial" w:cs="Arial"/>
          <w:sz w:val="20"/>
          <w:szCs w:val="20"/>
        </w:rPr>
        <w:t>, 104</w:t>
      </w:r>
      <w:r w:rsidR="00160AE1" w:rsidRPr="00215B2F">
        <w:rPr>
          <w:rFonts w:ascii="Arial" w:eastAsia="Arial" w:hAnsi="Arial" w:cs="Arial"/>
          <w:sz w:val="20"/>
          <w:szCs w:val="20"/>
        </w:rPr>
        <w:t>.</w:t>
      </w:r>
      <w:r w:rsidRPr="00215B2F">
        <w:rPr>
          <w:rFonts w:ascii="Arial" w:eastAsia="Arial" w:hAnsi="Arial" w:cs="Arial"/>
          <w:sz w:val="20"/>
          <w:szCs w:val="20"/>
        </w:rPr>
        <w:t>b in 105. člena Direktive 2013/36/EU. Banka Slovenije pri tem po presoji upošteva ocene tveganosti podrejenih družb, ki jih izdelajo sodelujoči pristojni organi. Banka Slovenije kot konsolidacijski nadzornik svojo odločitev pisno obrazloži in po</w:t>
      </w:r>
      <w:r w:rsidR="00160AE1" w:rsidRPr="00215B2F">
        <w:rPr>
          <w:rFonts w:ascii="Arial" w:eastAsia="Arial" w:hAnsi="Arial" w:cs="Arial"/>
          <w:sz w:val="20"/>
          <w:szCs w:val="20"/>
        </w:rPr>
        <w:t>šl</w:t>
      </w:r>
      <w:r w:rsidRPr="00215B2F">
        <w:rPr>
          <w:rFonts w:ascii="Arial" w:eastAsia="Arial" w:hAnsi="Arial" w:cs="Arial"/>
          <w:sz w:val="20"/>
          <w:szCs w:val="20"/>
        </w:rPr>
        <w:t xml:space="preserve">je EU nadrejeni banki in sodelujočim pristojnim organom. Obrazložitev mora </w:t>
      </w:r>
      <w:r w:rsidR="00D93142" w:rsidRPr="00215B2F">
        <w:rPr>
          <w:rFonts w:ascii="Arial" w:eastAsia="Arial" w:hAnsi="Arial" w:cs="Arial"/>
          <w:sz w:val="20"/>
          <w:szCs w:val="20"/>
        </w:rPr>
        <w:t xml:space="preserve">vključevati </w:t>
      </w:r>
      <w:r w:rsidRPr="00215B2F">
        <w:rPr>
          <w:rFonts w:ascii="Arial" w:eastAsia="Arial" w:hAnsi="Arial" w:cs="Arial"/>
          <w:sz w:val="20"/>
          <w:szCs w:val="20"/>
        </w:rPr>
        <w:t>podrobne razloge za odločitev, ki upoštevajo ocene tveganosti podrejenih družb, ki so jih izdali sodelujoči pristojni organi, ter stališča Banke Slovenije o mnenjih in pomislekih drugih pristojnih organov.</w:t>
      </w:r>
    </w:p>
    <w:p w14:paraId="6B91CC2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352B7C8" w14:textId="0AAF2CA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(8) Če je banka del skupine, nad katero izvaja nadzor pristojni organ druge države članice kot konsolidacijski nadzornik</w:t>
      </w:r>
      <w:r w:rsidR="00EE522E" w:rsidRPr="00215B2F">
        <w:rPr>
          <w:rFonts w:ascii="Arial" w:eastAsia="Arial" w:hAnsi="Arial" w:cs="Arial"/>
          <w:sz w:val="20"/>
          <w:szCs w:val="20"/>
        </w:rPr>
        <w:t>,</w:t>
      </w:r>
      <w:r w:rsidRPr="00215B2F">
        <w:rPr>
          <w:rFonts w:ascii="Arial" w:eastAsia="Arial" w:hAnsi="Arial" w:cs="Arial"/>
          <w:sz w:val="20"/>
          <w:szCs w:val="20"/>
        </w:rPr>
        <w:t xml:space="preserve"> in kadar skupna odločitev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ni sprejeta v roku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Banka Slovenije sama sprejme odločitev glede uporabe pod</w:t>
      </w:r>
      <w:r w:rsidR="005B0CC7" w:rsidRPr="00215B2F">
        <w:rPr>
          <w:rFonts w:ascii="Arial" w:eastAsia="Arial" w:hAnsi="Arial" w:cs="Arial"/>
          <w:sz w:val="20"/>
          <w:szCs w:val="20"/>
        </w:rPr>
        <w:t>o</w:t>
      </w:r>
      <w:r w:rsidR="001F2C7A" w:rsidRPr="00215B2F">
        <w:rPr>
          <w:rFonts w:ascii="Arial" w:eastAsia="Arial" w:hAnsi="Arial" w:cs="Arial"/>
          <w:sz w:val="20"/>
          <w:szCs w:val="20"/>
        </w:rPr>
        <w:t>ddelka</w:t>
      </w:r>
      <w:r w:rsidRPr="00215B2F">
        <w:rPr>
          <w:rFonts w:ascii="Arial" w:eastAsia="Arial" w:hAnsi="Arial" w:cs="Arial"/>
          <w:sz w:val="20"/>
          <w:szCs w:val="20"/>
        </w:rPr>
        <w:t xml:space="preserve"> 6.3.5 tega zakona, </w:t>
      </w:r>
      <w:r w:rsidR="00FA74E6" w:rsidRPr="00215B2F">
        <w:rPr>
          <w:rFonts w:ascii="Arial" w:eastAsia="Arial" w:hAnsi="Arial" w:cs="Arial"/>
          <w:sz w:val="20"/>
          <w:szCs w:val="20"/>
        </w:rPr>
        <w:t>180</w:t>
      </w:r>
      <w:r w:rsidRPr="00215B2F">
        <w:rPr>
          <w:rFonts w:ascii="Arial" w:eastAsia="Arial" w:hAnsi="Arial" w:cs="Arial"/>
          <w:sz w:val="20"/>
          <w:szCs w:val="20"/>
        </w:rPr>
        <w:t xml:space="preserve">., </w:t>
      </w:r>
      <w:r w:rsidR="0013101D" w:rsidRPr="00215B2F">
        <w:rPr>
          <w:rFonts w:ascii="Arial" w:eastAsia="Arial" w:hAnsi="Arial" w:cs="Arial"/>
          <w:sz w:val="20"/>
          <w:szCs w:val="20"/>
        </w:rPr>
        <w:t>223</w:t>
      </w:r>
      <w:r w:rsidRPr="00215B2F">
        <w:rPr>
          <w:rFonts w:ascii="Arial" w:eastAsia="Arial" w:hAnsi="Arial" w:cs="Arial"/>
          <w:sz w:val="20"/>
          <w:szCs w:val="20"/>
        </w:rPr>
        <w:t xml:space="preserve">., </w:t>
      </w:r>
      <w:r w:rsidR="0013101D" w:rsidRPr="00215B2F">
        <w:rPr>
          <w:rFonts w:ascii="Arial" w:eastAsia="Arial" w:hAnsi="Arial" w:cs="Arial"/>
          <w:sz w:val="20"/>
          <w:szCs w:val="20"/>
        </w:rPr>
        <w:t>238</w:t>
      </w:r>
      <w:r w:rsidRPr="00215B2F">
        <w:rPr>
          <w:rFonts w:ascii="Arial" w:eastAsia="Arial" w:hAnsi="Arial" w:cs="Arial"/>
          <w:sz w:val="20"/>
          <w:szCs w:val="20"/>
        </w:rPr>
        <w:t xml:space="preserve">., </w:t>
      </w:r>
      <w:r w:rsidR="00576A49" w:rsidRPr="00215B2F">
        <w:rPr>
          <w:rFonts w:ascii="Arial" w:eastAsia="Arial" w:hAnsi="Arial" w:cs="Arial"/>
          <w:sz w:val="20"/>
          <w:szCs w:val="20"/>
        </w:rPr>
        <w:t>239</w:t>
      </w:r>
      <w:r w:rsidRPr="00215B2F">
        <w:rPr>
          <w:rFonts w:ascii="Arial" w:eastAsia="Arial" w:hAnsi="Arial" w:cs="Arial"/>
          <w:sz w:val="20"/>
          <w:szCs w:val="20"/>
        </w:rPr>
        <w:t>.</w:t>
      </w:r>
      <w:r w:rsidR="00EE522E" w:rsidRPr="00215B2F">
        <w:rPr>
          <w:rFonts w:ascii="Arial" w:eastAsia="Arial" w:hAnsi="Arial" w:cs="Arial"/>
          <w:sz w:val="20"/>
          <w:szCs w:val="20"/>
        </w:rPr>
        <w:t xml:space="preserve"> člena in</w:t>
      </w:r>
      <w:r w:rsidRPr="00215B2F">
        <w:rPr>
          <w:rFonts w:ascii="Arial" w:eastAsia="Arial" w:hAnsi="Arial" w:cs="Arial"/>
          <w:sz w:val="20"/>
          <w:szCs w:val="20"/>
        </w:rPr>
        <w:t xml:space="preserve"> četrtega odstavka </w:t>
      </w:r>
      <w:r w:rsidR="005A78EE" w:rsidRPr="00215B2F">
        <w:rPr>
          <w:rFonts w:ascii="Arial" w:eastAsia="Arial" w:hAnsi="Arial" w:cs="Arial"/>
          <w:sz w:val="20"/>
          <w:szCs w:val="20"/>
        </w:rPr>
        <w:t>345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oziroma glede 73., 86., 97.</w:t>
      </w:r>
      <w:r w:rsidR="00EE522E" w:rsidRPr="00215B2F">
        <w:rPr>
          <w:rFonts w:ascii="Arial" w:eastAsia="Arial" w:hAnsi="Arial" w:cs="Arial"/>
          <w:sz w:val="20"/>
          <w:szCs w:val="20"/>
        </w:rPr>
        <w:t xml:space="preserve"> člena</w:t>
      </w:r>
      <w:r w:rsidRPr="00215B2F">
        <w:rPr>
          <w:rFonts w:ascii="Arial" w:eastAsia="Arial" w:hAnsi="Arial" w:cs="Arial"/>
          <w:sz w:val="20"/>
          <w:szCs w:val="20"/>
        </w:rPr>
        <w:t>, točke (a) prvega odstavka 104.</w:t>
      </w:r>
      <w:r w:rsidR="00EE522E" w:rsidRPr="00215B2F">
        <w:rPr>
          <w:rFonts w:ascii="Arial" w:eastAsia="Arial" w:hAnsi="Arial" w:cs="Arial"/>
          <w:sz w:val="20"/>
          <w:szCs w:val="20"/>
        </w:rPr>
        <w:t xml:space="preserve"> člena</w:t>
      </w:r>
      <w:r w:rsidRPr="00215B2F">
        <w:rPr>
          <w:rFonts w:ascii="Arial" w:eastAsia="Arial" w:hAnsi="Arial" w:cs="Arial"/>
          <w:sz w:val="20"/>
          <w:szCs w:val="20"/>
        </w:rPr>
        <w:t xml:space="preserve"> 104</w:t>
      </w:r>
      <w:r w:rsidR="00EE522E" w:rsidRPr="00215B2F">
        <w:rPr>
          <w:rFonts w:ascii="Arial" w:eastAsia="Arial" w:hAnsi="Arial" w:cs="Arial"/>
          <w:sz w:val="20"/>
          <w:szCs w:val="20"/>
        </w:rPr>
        <w:t>.</w:t>
      </w:r>
      <w:r w:rsidRPr="00215B2F">
        <w:rPr>
          <w:rFonts w:ascii="Arial" w:eastAsia="Arial" w:hAnsi="Arial" w:cs="Arial"/>
          <w:sz w:val="20"/>
          <w:szCs w:val="20"/>
        </w:rPr>
        <w:t xml:space="preserve">b in 105. člena Direktive 2013/36/EU na posamični ali subkonsolidirani podlagi za banko, ki je podrejena EU nadrejeni banki ali EU nadrejenemu finančnemu holdingu ali EU nadrejenemu mešanemu finančnemu holdingu, z upoštevanjem skupne odločitve oziroma mnenj in pomislekov konsolidacijskega nadzornika. Banka Slovenije to odločitev pisno obrazloži in pošlje banki ter konsolidacijskemu nadzorniku. Obrazložitev mora </w:t>
      </w:r>
      <w:r w:rsidR="00D93142" w:rsidRPr="00215B2F">
        <w:rPr>
          <w:rFonts w:ascii="Arial" w:eastAsia="Arial" w:hAnsi="Arial" w:cs="Arial"/>
          <w:sz w:val="20"/>
          <w:szCs w:val="20"/>
        </w:rPr>
        <w:t xml:space="preserve">vključevati </w:t>
      </w:r>
      <w:r w:rsidRPr="00215B2F">
        <w:rPr>
          <w:rFonts w:ascii="Arial" w:eastAsia="Arial" w:hAnsi="Arial" w:cs="Arial"/>
          <w:sz w:val="20"/>
          <w:szCs w:val="20"/>
        </w:rPr>
        <w:t>podrobne razloge za odločitev, ki upoštevajo tudi stališča Banke Slovenije o mnenj</w:t>
      </w:r>
      <w:r w:rsidR="00EE522E" w:rsidRPr="00215B2F">
        <w:rPr>
          <w:rFonts w:ascii="Arial" w:eastAsia="Arial" w:hAnsi="Arial" w:cs="Arial"/>
          <w:sz w:val="20"/>
          <w:szCs w:val="20"/>
        </w:rPr>
        <w:t>ih</w:t>
      </w:r>
      <w:r w:rsidRPr="00215B2F">
        <w:rPr>
          <w:rFonts w:ascii="Arial" w:eastAsia="Arial" w:hAnsi="Arial" w:cs="Arial"/>
          <w:sz w:val="20"/>
          <w:szCs w:val="20"/>
        </w:rPr>
        <w:t xml:space="preserve"> in pomislek</w:t>
      </w:r>
      <w:r w:rsidR="00EE522E" w:rsidRPr="00215B2F">
        <w:rPr>
          <w:rFonts w:ascii="Arial" w:eastAsia="Arial" w:hAnsi="Arial" w:cs="Arial"/>
          <w:sz w:val="20"/>
          <w:szCs w:val="20"/>
        </w:rPr>
        <w:t>ih</w:t>
      </w:r>
      <w:r w:rsidRPr="00215B2F">
        <w:rPr>
          <w:rFonts w:ascii="Arial" w:eastAsia="Arial" w:hAnsi="Arial" w:cs="Arial"/>
          <w:sz w:val="20"/>
          <w:szCs w:val="20"/>
        </w:rPr>
        <w:t xml:space="preserve"> konsolidacijskega nadzornika.</w:t>
      </w:r>
    </w:p>
    <w:p w14:paraId="276160F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DD2312F" w14:textId="1C37216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(9) Če je vložena zahteva iz petega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Banka Slovenije prekine postopek odločanja iz sedmega ali osmega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do odločitve Evropskega bančnega organa. Če </w:t>
      </w:r>
      <w:r w:rsidR="00EE522E" w:rsidRPr="00215B2F">
        <w:rPr>
          <w:rFonts w:ascii="Arial" w:eastAsia="Arial" w:hAnsi="Arial" w:cs="Arial"/>
          <w:sz w:val="20"/>
          <w:szCs w:val="20"/>
        </w:rPr>
        <w:t xml:space="preserve">ta </w:t>
      </w:r>
      <w:r w:rsidRPr="00215B2F">
        <w:rPr>
          <w:rFonts w:ascii="Arial" w:eastAsia="Arial" w:hAnsi="Arial" w:cs="Arial"/>
          <w:sz w:val="20"/>
          <w:szCs w:val="20"/>
        </w:rPr>
        <w:t xml:space="preserve">na podlagi tretjega odstavka 19. člena Uredbe 1093/2010/EU sprejme svojo odločitev o zadevi, Banka Slovenije to odločitev upošteva pri odločitvi na podlagi sedmega ali osmega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in pojasni vsakršno pomembnejše odstopanje od te odločitve. Obrazloženo odločitev Banka Slovenije kot konsolidacijski nadzornik po</w:t>
      </w:r>
      <w:r w:rsidR="00EE522E" w:rsidRPr="00215B2F">
        <w:rPr>
          <w:rFonts w:ascii="Arial" w:eastAsia="Arial" w:hAnsi="Arial" w:cs="Arial"/>
          <w:sz w:val="20"/>
          <w:szCs w:val="20"/>
        </w:rPr>
        <w:t>šl</w:t>
      </w:r>
      <w:r w:rsidRPr="00215B2F">
        <w:rPr>
          <w:rFonts w:ascii="Arial" w:eastAsia="Arial" w:hAnsi="Arial" w:cs="Arial"/>
          <w:sz w:val="20"/>
          <w:szCs w:val="20"/>
        </w:rPr>
        <w:t>je EU nadrejeni banki in sodelujočim pristojnim organom oziroma podrejeni banki in konsolidacijskemu nadzorniku, če je Banka Slovenije sodelujoči pristojni organ.</w:t>
      </w:r>
    </w:p>
    <w:p w14:paraId="63B5B42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CCD6BCD" w14:textId="0A0965A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(10) Banka Slovenije kot sodelujoči pristojni organ pri izvajanju nadzora nad banko na posamični ali subkonsolidirani podlagi upošteva skupno odločitev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w:t>
      </w:r>
      <w:r w:rsidR="00EE522E" w:rsidRPr="00215B2F">
        <w:rPr>
          <w:rFonts w:ascii="Arial" w:eastAsia="Arial" w:hAnsi="Arial" w:cs="Arial"/>
          <w:sz w:val="20"/>
          <w:szCs w:val="20"/>
        </w:rPr>
        <w:t xml:space="preserve">in </w:t>
      </w:r>
      <w:r w:rsidRPr="00215B2F">
        <w:rPr>
          <w:rFonts w:ascii="Arial" w:eastAsia="Arial" w:hAnsi="Arial" w:cs="Arial"/>
          <w:sz w:val="20"/>
          <w:szCs w:val="20"/>
        </w:rPr>
        <w:t xml:space="preserve">odločitev konsolidacijskega nadzornika iz šestega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kot dokončno.</w:t>
      </w:r>
    </w:p>
    <w:p w14:paraId="7FAD685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A87EB41" w14:textId="258D8D7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(11) Banka Slovenije kot konsolidacijski nadzornik zagotovi, da se skupna odločitev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ter odločitev iz šestega in devetega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posodobi enkrat na leto. Posodobitev odločitve glede uporabe </w:t>
      </w:r>
      <w:r w:rsidR="0013101D" w:rsidRPr="00215B2F">
        <w:rPr>
          <w:rFonts w:ascii="Arial" w:eastAsia="Arial" w:hAnsi="Arial" w:cs="Arial"/>
          <w:sz w:val="20"/>
          <w:szCs w:val="20"/>
        </w:rPr>
        <w:t>238</w:t>
      </w:r>
      <w:r w:rsidRPr="00215B2F">
        <w:rPr>
          <w:rFonts w:ascii="Arial" w:eastAsia="Arial" w:hAnsi="Arial" w:cs="Arial"/>
          <w:sz w:val="20"/>
          <w:szCs w:val="20"/>
        </w:rPr>
        <w:t xml:space="preserve">., </w:t>
      </w:r>
      <w:r w:rsidR="0013101D" w:rsidRPr="00215B2F">
        <w:rPr>
          <w:rFonts w:ascii="Arial" w:eastAsia="Arial" w:hAnsi="Arial" w:cs="Arial"/>
          <w:sz w:val="20"/>
          <w:szCs w:val="20"/>
        </w:rPr>
        <w:t>239</w:t>
      </w:r>
      <w:r w:rsidRPr="00215B2F">
        <w:rPr>
          <w:rFonts w:ascii="Arial" w:eastAsia="Arial" w:hAnsi="Arial" w:cs="Arial"/>
          <w:sz w:val="20"/>
          <w:szCs w:val="20"/>
        </w:rPr>
        <w:t xml:space="preserve">. </w:t>
      </w:r>
      <w:r w:rsidR="00671A18" w:rsidRPr="00215B2F">
        <w:rPr>
          <w:rFonts w:ascii="Arial" w:eastAsia="Arial" w:hAnsi="Arial" w:cs="Arial"/>
          <w:sz w:val="20"/>
          <w:szCs w:val="20"/>
        </w:rPr>
        <w:t xml:space="preserve">člena </w:t>
      </w:r>
      <w:r w:rsidRPr="00215B2F">
        <w:rPr>
          <w:rFonts w:ascii="Arial" w:eastAsia="Arial" w:hAnsi="Arial" w:cs="Arial"/>
          <w:sz w:val="20"/>
          <w:szCs w:val="20"/>
        </w:rPr>
        <w:t xml:space="preserve">ali četrtega odstavka </w:t>
      </w:r>
      <w:r w:rsidR="005A78EE" w:rsidRPr="00215B2F">
        <w:rPr>
          <w:rFonts w:ascii="Arial" w:eastAsia="Arial" w:hAnsi="Arial" w:cs="Arial"/>
          <w:sz w:val="20"/>
          <w:szCs w:val="20"/>
        </w:rPr>
        <w:t>345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oziroma točke (a) prvega odstavka 104.</w:t>
      </w:r>
      <w:r w:rsidR="00671A18" w:rsidRPr="00215B2F">
        <w:rPr>
          <w:rFonts w:ascii="Arial" w:eastAsia="Arial" w:hAnsi="Arial" w:cs="Arial"/>
          <w:sz w:val="20"/>
          <w:szCs w:val="20"/>
        </w:rPr>
        <w:t xml:space="preserve"> člena</w:t>
      </w:r>
      <w:r w:rsidRPr="00215B2F">
        <w:rPr>
          <w:rFonts w:ascii="Arial" w:eastAsia="Arial" w:hAnsi="Arial" w:cs="Arial"/>
          <w:sz w:val="20"/>
          <w:szCs w:val="20"/>
        </w:rPr>
        <w:t>, 104</w:t>
      </w:r>
      <w:r w:rsidR="00671A18" w:rsidRPr="00215B2F">
        <w:rPr>
          <w:rFonts w:ascii="Arial" w:eastAsia="Arial" w:hAnsi="Arial" w:cs="Arial"/>
          <w:sz w:val="20"/>
          <w:szCs w:val="20"/>
        </w:rPr>
        <w:t>.</w:t>
      </w:r>
      <w:r w:rsidRPr="00215B2F">
        <w:rPr>
          <w:rFonts w:ascii="Arial" w:eastAsia="Arial" w:hAnsi="Arial" w:cs="Arial"/>
          <w:sz w:val="20"/>
          <w:szCs w:val="20"/>
        </w:rPr>
        <w:t xml:space="preserve">b ali 105. člena Direktive 2013/36/EU Banka Slovenije zagotovi tudi, kadar organ, pristojen za nadzor </w:t>
      </w:r>
      <w:r w:rsidR="00671A18" w:rsidRPr="00215B2F">
        <w:rPr>
          <w:rFonts w:ascii="Arial" w:eastAsia="Arial" w:hAnsi="Arial" w:cs="Arial"/>
          <w:sz w:val="20"/>
          <w:szCs w:val="20"/>
        </w:rPr>
        <w:t xml:space="preserve">nad </w:t>
      </w:r>
      <w:r w:rsidRPr="00215B2F">
        <w:rPr>
          <w:rFonts w:ascii="Arial" w:eastAsia="Arial" w:hAnsi="Arial" w:cs="Arial"/>
          <w:sz w:val="20"/>
          <w:szCs w:val="20"/>
        </w:rPr>
        <w:t>podrejeni</w:t>
      </w:r>
      <w:r w:rsidR="00671A18" w:rsidRPr="00215B2F">
        <w:rPr>
          <w:rFonts w:ascii="Arial" w:eastAsia="Arial" w:hAnsi="Arial" w:cs="Arial"/>
          <w:sz w:val="20"/>
          <w:szCs w:val="20"/>
        </w:rPr>
        <w:t>mi</w:t>
      </w:r>
      <w:r w:rsidRPr="00215B2F">
        <w:rPr>
          <w:rFonts w:ascii="Arial" w:eastAsia="Arial" w:hAnsi="Arial" w:cs="Arial"/>
          <w:sz w:val="20"/>
          <w:szCs w:val="20"/>
        </w:rPr>
        <w:t xml:space="preserve"> družb</w:t>
      </w:r>
      <w:r w:rsidR="00671A18" w:rsidRPr="00215B2F">
        <w:rPr>
          <w:rFonts w:ascii="Arial" w:eastAsia="Arial" w:hAnsi="Arial" w:cs="Arial"/>
          <w:sz w:val="20"/>
          <w:szCs w:val="20"/>
        </w:rPr>
        <w:t>ami</w:t>
      </w:r>
      <w:r w:rsidRPr="00215B2F">
        <w:rPr>
          <w:rFonts w:ascii="Arial" w:eastAsia="Arial" w:hAnsi="Arial" w:cs="Arial"/>
          <w:sz w:val="20"/>
          <w:szCs w:val="20"/>
        </w:rPr>
        <w:t xml:space="preserve"> EU nadrejene banke ali EU nadrejenega finančnega holdinga ali EU nadrejenega mešanega finančnega holdinga, pri Banki Slovenije kot konsolidacijskem nadzorniku vloži pisno in utemeljeno zahtevo za posodobitev odločitve. V primeru iz prejšnjega stavka lahko posodobitev odločitve temelji na dvostranskem dogovoru med Banko Slovenije in pristojnim organom, ki je vložil zahtevo.</w:t>
      </w:r>
    </w:p>
    <w:p w14:paraId="0B58F1F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E471992" w14:textId="33FA92A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(12) Če je konsolidacijski nadzornik pristojni organ druge države članice, lahko Banka Slovenije pri tem organu vloži pisno in utemeljeno zahtevo za posodobitev skupnih odločitev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38ACE08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B2DDFC6"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81" w:name="_Ref202968120"/>
      <w:r w:rsidRPr="00215B2F">
        <w:rPr>
          <w:rFonts w:ascii="Arial" w:eastAsia="Arial" w:hAnsi="Arial" w:cs="Arial"/>
          <w:b/>
          <w:bCs/>
          <w:sz w:val="20"/>
          <w:szCs w:val="20"/>
        </w:rPr>
        <w:t>člen</w:t>
      </w:r>
      <w:bookmarkEnd w:id="481"/>
    </w:p>
    <w:p w14:paraId="20DC09E7" w14:textId="77777777" w:rsidR="00D91782" w:rsidRPr="00215B2F" w:rsidRDefault="00D91782" w:rsidP="00FD5520">
      <w:pPr>
        <w:pStyle w:val="Slog1"/>
        <w:shd w:val="clear" w:color="auto" w:fill="FFFFFF" w:themeFill="background1"/>
        <w:rPr>
          <w:sz w:val="20"/>
          <w:szCs w:val="20"/>
        </w:rPr>
      </w:pPr>
      <w:r w:rsidRPr="00215B2F">
        <w:rPr>
          <w:sz w:val="20"/>
          <w:szCs w:val="20"/>
        </w:rPr>
        <w:t>(kolegij pristojnih organov in sodelovanje Banke Slovenije v kolegiju)</w:t>
      </w:r>
    </w:p>
    <w:p w14:paraId="3474A083" w14:textId="77777777" w:rsidR="00D91782" w:rsidRPr="00215B2F" w:rsidRDefault="00D91782" w:rsidP="00FD5520">
      <w:pPr>
        <w:pStyle w:val="Slog1"/>
        <w:shd w:val="clear" w:color="auto" w:fill="FFFFFF" w:themeFill="background1"/>
        <w:jc w:val="both"/>
        <w:rPr>
          <w:sz w:val="20"/>
          <w:szCs w:val="20"/>
        </w:rPr>
      </w:pPr>
    </w:p>
    <w:p w14:paraId="793E80E7" w14:textId="7842744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kot konsolidacijski nadzornik na podlagi pisnega dogovora iz </w:t>
      </w:r>
      <w:r w:rsidR="0013101D" w:rsidRPr="00215B2F">
        <w:rPr>
          <w:rFonts w:ascii="Arial" w:eastAsia="Arial" w:hAnsi="Arial" w:cs="Arial"/>
          <w:sz w:val="20"/>
          <w:szCs w:val="20"/>
        </w:rPr>
        <w:t>418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s sodelujočimi pristojnimi organi držav članic ustanovi kolegij pristojnih organov (v nadaljnjem besedilu: kolegij) z namenom učinkovitega sodelovanja pri izvajanju nalog iz </w:t>
      </w:r>
      <w:r w:rsidR="00355D35" w:rsidRPr="00215B2F">
        <w:rPr>
          <w:rFonts w:ascii="Arial" w:eastAsia="Arial" w:hAnsi="Arial" w:cs="Arial"/>
          <w:sz w:val="20"/>
          <w:szCs w:val="20"/>
        </w:rPr>
        <w:t>413</w:t>
      </w:r>
      <w:r w:rsidRPr="00215B2F">
        <w:rPr>
          <w:rFonts w:ascii="Arial" w:eastAsia="Arial" w:hAnsi="Arial" w:cs="Arial"/>
          <w:sz w:val="20"/>
          <w:szCs w:val="20"/>
        </w:rPr>
        <w:t xml:space="preserve">., </w:t>
      </w:r>
      <w:r w:rsidR="00355D35" w:rsidRPr="00215B2F">
        <w:rPr>
          <w:rFonts w:ascii="Arial" w:eastAsia="Arial" w:hAnsi="Arial" w:cs="Arial"/>
          <w:sz w:val="20"/>
          <w:szCs w:val="20"/>
        </w:rPr>
        <w:t>414</w:t>
      </w:r>
      <w:r w:rsidRPr="00215B2F">
        <w:rPr>
          <w:rFonts w:ascii="Arial" w:eastAsia="Arial" w:hAnsi="Arial" w:cs="Arial"/>
          <w:sz w:val="20"/>
          <w:szCs w:val="20"/>
        </w:rPr>
        <w:t xml:space="preserve">. in </w:t>
      </w:r>
      <w:r w:rsidR="00576A49" w:rsidRPr="00215B2F">
        <w:rPr>
          <w:rFonts w:ascii="Arial" w:eastAsia="Arial" w:hAnsi="Arial" w:cs="Arial"/>
          <w:sz w:val="20"/>
          <w:szCs w:val="20"/>
        </w:rPr>
        <w:t>416</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6DE40A6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0705EF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Kolegij zagotavlja konsolidacijskemu nadzorniku in drugim sodelujočim pristojnim organom, vključno z Evropskim bančnim organom, okvir za izvajanje njihovih nalog in pristojnosti, zlasti za:</w:t>
      </w:r>
    </w:p>
    <w:p w14:paraId="51F74D0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B0A3EAD" w14:textId="77777777" w:rsidR="0005122C" w:rsidRPr="00215B2F" w:rsidRDefault="00D91782" w:rsidP="003D4DE0">
      <w:pPr>
        <w:pStyle w:val="tevilnatoka"/>
        <w:numPr>
          <w:ilvl w:val="0"/>
          <w:numId w:val="273"/>
        </w:numPr>
        <w:shd w:val="clear" w:color="auto" w:fill="FFFFFF" w:themeFill="background1"/>
        <w:tabs>
          <w:tab w:val="clear" w:pos="425"/>
        </w:tabs>
        <w:rPr>
          <w:rFonts w:cs="Arial"/>
          <w:bCs/>
          <w:sz w:val="20"/>
          <w:szCs w:val="20"/>
        </w:rPr>
      </w:pPr>
      <w:r w:rsidRPr="00215B2F">
        <w:rPr>
          <w:rFonts w:eastAsia="Arial" w:cs="Arial"/>
          <w:sz w:val="20"/>
          <w:szCs w:val="20"/>
        </w:rPr>
        <w:t>izmenjavo informacij med člani kolegija, vključno z Evropskim bančnim organom, v skladu z 21. členom Uredbe 1093/2010/EU;</w:t>
      </w:r>
    </w:p>
    <w:p w14:paraId="00BFA13E" w14:textId="77777777" w:rsidR="0005122C" w:rsidRPr="00215B2F" w:rsidRDefault="00D91782" w:rsidP="003D4DE0">
      <w:pPr>
        <w:pStyle w:val="tevilnatoka"/>
        <w:numPr>
          <w:ilvl w:val="0"/>
          <w:numId w:val="273"/>
        </w:numPr>
        <w:shd w:val="clear" w:color="auto" w:fill="FFFFFF" w:themeFill="background1"/>
        <w:tabs>
          <w:tab w:val="clear" w:pos="425"/>
        </w:tabs>
        <w:rPr>
          <w:rFonts w:cs="Arial"/>
          <w:bCs/>
          <w:sz w:val="20"/>
          <w:szCs w:val="20"/>
        </w:rPr>
      </w:pPr>
      <w:r w:rsidRPr="00215B2F">
        <w:rPr>
          <w:rFonts w:eastAsia="Arial" w:cs="Arial"/>
          <w:sz w:val="20"/>
          <w:szCs w:val="20"/>
        </w:rPr>
        <w:t>pripravo dogovorov o dodelitvi nalog in prenosu odgovornosti med člani kolegija;</w:t>
      </w:r>
    </w:p>
    <w:p w14:paraId="51A44DBF" w14:textId="77777777" w:rsidR="0005122C" w:rsidRPr="00215B2F" w:rsidRDefault="00D91782" w:rsidP="003D4DE0">
      <w:pPr>
        <w:pStyle w:val="tevilnatoka"/>
        <w:numPr>
          <w:ilvl w:val="0"/>
          <w:numId w:val="273"/>
        </w:numPr>
        <w:shd w:val="clear" w:color="auto" w:fill="FFFFFF" w:themeFill="background1"/>
        <w:tabs>
          <w:tab w:val="clear" w:pos="425"/>
        </w:tabs>
        <w:rPr>
          <w:rFonts w:cs="Arial"/>
          <w:bCs/>
          <w:sz w:val="20"/>
          <w:szCs w:val="20"/>
        </w:rPr>
      </w:pPr>
      <w:r w:rsidRPr="00215B2F">
        <w:rPr>
          <w:rFonts w:eastAsia="Arial" w:cs="Arial"/>
          <w:sz w:val="20"/>
          <w:szCs w:val="20"/>
        </w:rPr>
        <w:t>določanje načrta nadzorniških pregledov na podlagi ocene tveganosti bančne skupine;</w:t>
      </w:r>
    </w:p>
    <w:p w14:paraId="2DDE9862" w14:textId="287431B9" w:rsidR="0005122C" w:rsidRPr="00215B2F" w:rsidRDefault="00D91782" w:rsidP="003D4DE0">
      <w:pPr>
        <w:pStyle w:val="tevilnatoka"/>
        <w:numPr>
          <w:ilvl w:val="0"/>
          <w:numId w:val="273"/>
        </w:numPr>
        <w:shd w:val="clear" w:color="auto" w:fill="FFFFFF" w:themeFill="background1"/>
        <w:tabs>
          <w:tab w:val="clear" w:pos="425"/>
        </w:tabs>
        <w:rPr>
          <w:rFonts w:cs="Arial"/>
          <w:bCs/>
          <w:sz w:val="20"/>
          <w:szCs w:val="20"/>
        </w:rPr>
      </w:pPr>
      <w:r w:rsidRPr="00215B2F">
        <w:rPr>
          <w:rFonts w:eastAsia="Arial" w:cs="Arial"/>
          <w:sz w:val="20"/>
          <w:szCs w:val="20"/>
        </w:rPr>
        <w:t xml:space="preserve">preprečevanje in odpravljanje podvajanja nadzorniških zahtev, vključno z zahtevami po informacijah iz 330. člena in tretjega odstavka </w:t>
      </w:r>
      <w:r w:rsidR="00576A49" w:rsidRPr="00215B2F">
        <w:rPr>
          <w:rFonts w:eastAsia="Arial" w:cs="Arial"/>
          <w:sz w:val="20"/>
          <w:szCs w:val="20"/>
        </w:rPr>
        <w:t>419</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za povečanje učinkovitosti nadzora;</w:t>
      </w:r>
    </w:p>
    <w:p w14:paraId="6748BD8E" w14:textId="77777777" w:rsidR="0005122C" w:rsidRPr="00215B2F" w:rsidRDefault="00D91782" w:rsidP="003D4DE0">
      <w:pPr>
        <w:pStyle w:val="tevilnatoka"/>
        <w:numPr>
          <w:ilvl w:val="0"/>
          <w:numId w:val="273"/>
        </w:numPr>
        <w:shd w:val="clear" w:color="auto" w:fill="FFFFFF" w:themeFill="background1"/>
        <w:tabs>
          <w:tab w:val="clear" w:pos="425"/>
        </w:tabs>
        <w:rPr>
          <w:rFonts w:cs="Arial"/>
          <w:bCs/>
          <w:sz w:val="20"/>
          <w:szCs w:val="20"/>
        </w:rPr>
      </w:pPr>
      <w:r w:rsidRPr="00215B2F">
        <w:rPr>
          <w:rFonts w:eastAsia="Arial" w:cs="Arial"/>
          <w:sz w:val="20"/>
          <w:szCs w:val="20"/>
        </w:rPr>
        <w:t>dosledno uporabo bonitetnih zahtev iz tega zakona in Uredbe 575/2013/EU za vse osebe v bančni skupini brez poseganja v izvrševanje opcij in diskrecijskih pravic, ki izhajajo iz tega zakona in Uredbe 575/2013/EU;</w:t>
      </w:r>
    </w:p>
    <w:p w14:paraId="3157893F" w14:textId="0CA43CFC" w:rsidR="00D91782" w:rsidRPr="00215B2F" w:rsidRDefault="00D91782" w:rsidP="003D4DE0">
      <w:pPr>
        <w:pStyle w:val="tevilnatoka"/>
        <w:numPr>
          <w:ilvl w:val="0"/>
          <w:numId w:val="273"/>
        </w:numPr>
        <w:shd w:val="clear" w:color="auto" w:fill="FFFFFF" w:themeFill="background1"/>
        <w:tabs>
          <w:tab w:val="clear" w:pos="425"/>
        </w:tabs>
        <w:rPr>
          <w:rFonts w:cs="Arial"/>
          <w:bCs/>
          <w:sz w:val="20"/>
          <w:szCs w:val="20"/>
        </w:rPr>
      </w:pPr>
      <w:r w:rsidRPr="00215B2F">
        <w:rPr>
          <w:rFonts w:eastAsia="Arial" w:cs="Arial"/>
          <w:sz w:val="20"/>
          <w:szCs w:val="20"/>
        </w:rPr>
        <w:t xml:space="preserve">izvajanje nalog iz 3. točke prvega odstavka </w:t>
      </w:r>
      <w:r w:rsidR="00355D35" w:rsidRPr="00215B2F">
        <w:rPr>
          <w:rFonts w:eastAsia="Arial" w:cs="Arial"/>
          <w:sz w:val="20"/>
          <w:szCs w:val="20"/>
        </w:rPr>
        <w:t>413</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ob upoštevanju dela drugih forumov, ki bi bili lahko ustanovljeni za ta namen.</w:t>
      </w:r>
    </w:p>
    <w:p w14:paraId="06390DC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5D2679B" w14:textId="6DAC12B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Ne glede na prvi </w:t>
      </w:r>
      <w:r w:rsidR="00746E88" w:rsidRPr="00215B2F">
        <w:rPr>
          <w:rFonts w:ascii="Arial" w:eastAsia="Arial" w:hAnsi="Arial" w:cs="Arial"/>
          <w:sz w:val="20"/>
          <w:szCs w:val="20"/>
        </w:rPr>
        <w:t>odstavek tega člena</w:t>
      </w:r>
      <w:r w:rsidRPr="00215B2F">
        <w:rPr>
          <w:rFonts w:ascii="Arial" w:eastAsia="Arial" w:hAnsi="Arial" w:cs="Arial"/>
          <w:sz w:val="20"/>
          <w:szCs w:val="20"/>
        </w:rPr>
        <w:t xml:space="preserve"> Banka Slovenije kot konsolidacijski nadzornik za lažje izvajanje nalog iz prvega odstavka </w:t>
      </w:r>
      <w:r w:rsidR="00355D35" w:rsidRPr="00215B2F">
        <w:rPr>
          <w:rFonts w:ascii="Arial" w:eastAsia="Arial" w:hAnsi="Arial" w:cs="Arial"/>
          <w:sz w:val="20"/>
          <w:szCs w:val="20"/>
        </w:rPr>
        <w:t>413</w:t>
      </w:r>
      <w:r w:rsidRPr="00215B2F">
        <w:rPr>
          <w:rFonts w:ascii="Arial" w:eastAsia="Arial" w:hAnsi="Arial" w:cs="Arial"/>
          <w:sz w:val="20"/>
          <w:szCs w:val="20"/>
        </w:rPr>
        <w:t xml:space="preserve">. člena, prvega odstavka </w:t>
      </w:r>
      <w:r w:rsidR="00576A49" w:rsidRPr="00215B2F">
        <w:rPr>
          <w:rFonts w:ascii="Arial" w:eastAsia="Arial" w:hAnsi="Arial" w:cs="Arial"/>
          <w:sz w:val="20"/>
          <w:szCs w:val="20"/>
        </w:rPr>
        <w:t>416</w:t>
      </w:r>
      <w:r w:rsidRPr="00215B2F">
        <w:rPr>
          <w:rFonts w:ascii="Arial" w:eastAsia="Arial" w:hAnsi="Arial" w:cs="Arial"/>
          <w:sz w:val="20"/>
          <w:szCs w:val="20"/>
        </w:rPr>
        <w:t xml:space="preserve">. člena in prvega odstavka </w:t>
      </w:r>
      <w:r w:rsidR="0013101D" w:rsidRPr="00215B2F">
        <w:rPr>
          <w:rFonts w:ascii="Arial" w:eastAsia="Arial" w:hAnsi="Arial" w:cs="Arial"/>
          <w:sz w:val="20"/>
          <w:szCs w:val="20"/>
        </w:rPr>
        <w:t>418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ustanovi kolegij tudi, kadar imajo vse čezmejne podrejene družbe EU nadrejene banke, EU nadrejenega finančnega holdinga ali EU nadrejenega mešanega finančnega holdinga sedež v tretjih državah, pod pogojem, da za sodelujoče pristojne organe iz tretjih držav veljajo zahteve glede zaupnosti, enakovredne tistim iz 14., 15., 16. in 20.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r w:rsidR="00060708" w:rsidRPr="00215B2F">
        <w:rPr>
          <w:rFonts w:ascii="Arial" w:eastAsia="Arial" w:hAnsi="Arial" w:cs="Arial"/>
          <w:sz w:val="20"/>
          <w:szCs w:val="20"/>
        </w:rPr>
        <w:t xml:space="preserve">ter </w:t>
      </w:r>
      <w:r w:rsidRPr="00215B2F">
        <w:rPr>
          <w:rFonts w:ascii="Arial" w:eastAsia="Arial" w:hAnsi="Arial" w:cs="Arial"/>
          <w:sz w:val="20"/>
          <w:szCs w:val="20"/>
        </w:rPr>
        <w:t xml:space="preserve">po potrebi </w:t>
      </w:r>
      <w:r w:rsidR="00C303B9" w:rsidRPr="00215B2F">
        <w:rPr>
          <w:rFonts w:ascii="Arial" w:eastAsia="Arial" w:hAnsi="Arial" w:cs="Arial"/>
          <w:sz w:val="20"/>
          <w:szCs w:val="20"/>
        </w:rPr>
        <w:t xml:space="preserve">iz </w:t>
      </w:r>
      <w:r w:rsidRPr="00215B2F">
        <w:rPr>
          <w:rFonts w:ascii="Arial" w:eastAsia="Arial" w:hAnsi="Arial" w:cs="Arial"/>
          <w:sz w:val="20"/>
          <w:szCs w:val="20"/>
        </w:rPr>
        <w:t>76. in 81. člena Direktive 2015/65/EU.</w:t>
      </w:r>
    </w:p>
    <w:p w14:paraId="03DD76C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221B4F6" w14:textId="635EC1F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V kolegiju lahko sodelujejo pristojni organi, odgovorni za nadzor </w:t>
      </w:r>
      <w:r w:rsidR="001B1151" w:rsidRPr="00215B2F">
        <w:rPr>
          <w:rFonts w:ascii="Arial" w:eastAsia="Arial" w:hAnsi="Arial" w:cs="Arial"/>
          <w:sz w:val="20"/>
          <w:szCs w:val="20"/>
        </w:rPr>
        <w:t xml:space="preserve">nad </w:t>
      </w:r>
      <w:r w:rsidRPr="00215B2F">
        <w:rPr>
          <w:rFonts w:ascii="Arial" w:eastAsia="Arial" w:hAnsi="Arial" w:cs="Arial"/>
          <w:sz w:val="20"/>
          <w:szCs w:val="20"/>
        </w:rPr>
        <w:t>podrejeni</w:t>
      </w:r>
      <w:r w:rsidR="001B1151" w:rsidRPr="00215B2F">
        <w:rPr>
          <w:rFonts w:ascii="Arial" w:eastAsia="Arial" w:hAnsi="Arial" w:cs="Arial"/>
          <w:sz w:val="20"/>
          <w:szCs w:val="20"/>
        </w:rPr>
        <w:t>mi</w:t>
      </w:r>
      <w:r w:rsidRPr="00215B2F">
        <w:rPr>
          <w:rFonts w:ascii="Arial" w:eastAsia="Arial" w:hAnsi="Arial" w:cs="Arial"/>
          <w:sz w:val="20"/>
          <w:szCs w:val="20"/>
        </w:rPr>
        <w:t xml:space="preserve"> družb</w:t>
      </w:r>
      <w:r w:rsidR="001B1151" w:rsidRPr="00215B2F">
        <w:rPr>
          <w:rFonts w:ascii="Arial" w:eastAsia="Arial" w:hAnsi="Arial" w:cs="Arial"/>
          <w:sz w:val="20"/>
          <w:szCs w:val="20"/>
        </w:rPr>
        <w:t>ami</w:t>
      </w:r>
      <w:r w:rsidRPr="00215B2F">
        <w:rPr>
          <w:rFonts w:ascii="Arial" w:eastAsia="Arial" w:hAnsi="Arial" w:cs="Arial"/>
          <w:sz w:val="20"/>
          <w:szCs w:val="20"/>
        </w:rPr>
        <w:t xml:space="preserve"> EU nadrejene banke ali EU nadrejenega finančnega holdinga ali EU nadrejenega mešanega finančnega holdinga, in pristojni organi države članice, v kateri imajo sedež pomembne podružnice banke iz </w:t>
      </w:r>
      <w:r w:rsidR="00576A49" w:rsidRPr="00215B2F">
        <w:rPr>
          <w:rFonts w:ascii="Arial" w:eastAsia="Arial" w:hAnsi="Arial" w:cs="Arial"/>
          <w:sz w:val="20"/>
          <w:szCs w:val="20"/>
        </w:rPr>
        <w:t>405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r w:rsidR="005703F5" w:rsidRPr="00215B2F">
        <w:rPr>
          <w:rFonts w:ascii="Arial" w:eastAsia="Arial" w:hAnsi="Arial" w:cs="Arial"/>
          <w:sz w:val="20"/>
          <w:szCs w:val="20"/>
        </w:rPr>
        <w:t xml:space="preserve">ter </w:t>
      </w:r>
      <w:r w:rsidRPr="00215B2F">
        <w:rPr>
          <w:rFonts w:ascii="Arial" w:eastAsia="Arial" w:hAnsi="Arial" w:cs="Arial"/>
          <w:sz w:val="20"/>
          <w:szCs w:val="20"/>
        </w:rPr>
        <w:t xml:space="preserve">po potrebi centralne banke ESCB </w:t>
      </w:r>
      <w:r w:rsidR="005703F5" w:rsidRPr="00215B2F">
        <w:rPr>
          <w:rFonts w:ascii="Arial" w:eastAsia="Arial" w:hAnsi="Arial" w:cs="Arial"/>
          <w:sz w:val="20"/>
          <w:szCs w:val="20"/>
        </w:rPr>
        <w:t xml:space="preserve">in </w:t>
      </w:r>
      <w:r w:rsidRPr="00215B2F">
        <w:rPr>
          <w:rFonts w:ascii="Arial" w:eastAsia="Arial" w:hAnsi="Arial" w:cs="Arial"/>
          <w:sz w:val="20"/>
          <w:szCs w:val="20"/>
        </w:rPr>
        <w:t>pristojni organi tretjih držav (člani kolegija), če zanje velja obveznost varovanja zaupnih informacij, enakovredna obveznosti iz pod</w:t>
      </w:r>
      <w:r w:rsidR="005B0CC7" w:rsidRPr="00215B2F">
        <w:rPr>
          <w:rFonts w:ascii="Arial" w:eastAsia="Arial" w:hAnsi="Arial" w:cs="Arial"/>
          <w:sz w:val="20"/>
          <w:szCs w:val="20"/>
        </w:rPr>
        <w:t>o</w:t>
      </w:r>
      <w:r w:rsidR="001F2C7A" w:rsidRPr="00215B2F">
        <w:rPr>
          <w:rFonts w:ascii="Arial" w:eastAsia="Arial" w:hAnsi="Arial" w:cs="Arial"/>
          <w:sz w:val="20"/>
          <w:szCs w:val="20"/>
        </w:rPr>
        <w:t>ddelka</w:t>
      </w:r>
      <w:r w:rsidRPr="00215B2F">
        <w:rPr>
          <w:rFonts w:ascii="Arial" w:eastAsia="Arial" w:hAnsi="Arial" w:cs="Arial"/>
          <w:sz w:val="20"/>
          <w:szCs w:val="20"/>
        </w:rPr>
        <w:t xml:space="preserve"> 2.2.1 tega zakona</w:t>
      </w:r>
      <w:r w:rsidR="005703F5" w:rsidRPr="00215B2F">
        <w:rPr>
          <w:rFonts w:ascii="Arial" w:eastAsia="Arial" w:hAnsi="Arial" w:cs="Arial"/>
          <w:sz w:val="20"/>
          <w:szCs w:val="20"/>
        </w:rPr>
        <w:t>,</w:t>
      </w:r>
      <w:r w:rsidRPr="00215B2F">
        <w:rPr>
          <w:rFonts w:ascii="Arial" w:eastAsia="Arial" w:hAnsi="Arial" w:cs="Arial"/>
          <w:sz w:val="20"/>
          <w:szCs w:val="20"/>
        </w:rPr>
        <w:t xml:space="preserve"> in kadar je to ustrezno, 2. oddelk</w:t>
      </w:r>
      <w:r w:rsidR="005703F5" w:rsidRPr="00215B2F">
        <w:rPr>
          <w:rFonts w:ascii="Arial" w:eastAsia="Arial" w:hAnsi="Arial" w:cs="Arial"/>
          <w:sz w:val="20"/>
          <w:szCs w:val="20"/>
        </w:rPr>
        <w:t>a</w:t>
      </w:r>
      <w:r w:rsidRPr="00215B2F">
        <w:rPr>
          <w:rFonts w:ascii="Arial" w:eastAsia="Arial" w:hAnsi="Arial" w:cs="Arial"/>
          <w:sz w:val="20"/>
          <w:szCs w:val="20"/>
        </w:rPr>
        <w:t xml:space="preserve"> 1. poglavja IV. naslova Direktive 2019/2034/EU.</w:t>
      </w:r>
      <w:r w:rsidR="00576A49" w:rsidRPr="00215B2F">
        <w:rPr>
          <w:rFonts w:ascii="Arial" w:eastAsia="Arial" w:hAnsi="Arial" w:cs="Arial"/>
          <w:sz w:val="20"/>
          <w:szCs w:val="20"/>
        </w:rPr>
        <w:t xml:space="preserve"> </w:t>
      </w:r>
    </w:p>
    <w:p w14:paraId="42281BF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7C550A3" w14:textId="3F0BDF5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V kolegiju lahko sodeluje pristojni organ države članice, v kateri ima sedež finančni holding ali mešani finančni holding, ki je pridobil odobritev v skladu s </w:t>
      </w:r>
      <w:r w:rsidR="001611B3"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oziroma 21</w:t>
      </w:r>
      <w:r w:rsidR="005703F5" w:rsidRPr="00215B2F">
        <w:rPr>
          <w:rFonts w:ascii="Arial" w:eastAsia="Arial" w:hAnsi="Arial" w:cs="Arial"/>
          <w:sz w:val="20"/>
          <w:szCs w:val="20"/>
        </w:rPr>
        <w:t>.</w:t>
      </w:r>
      <w:r w:rsidRPr="00215B2F">
        <w:rPr>
          <w:rFonts w:ascii="Arial" w:eastAsia="Arial" w:hAnsi="Arial" w:cs="Arial"/>
          <w:sz w:val="20"/>
          <w:szCs w:val="20"/>
        </w:rPr>
        <w:t>a členom Direktive 2013/36/EU.</w:t>
      </w:r>
    </w:p>
    <w:p w14:paraId="07B32D6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FE14DA9" w14:textId="4543B13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Kolegij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vodi Banka Slovenije, ki v zvezi s tem izvaja zlasti </w:t>
      </w:r>
      <w:r w:rsidR="00CC4B5E" w:rsidRPr="00215B2F">
        <w:rPr>
          <w:rFonts w:ascii="Arial" w:eastAsia="Arial" w:hAnsi="Arial" w:cs="Arial"/>
          <w:sz w:val="20"/>
          <w:szCs w:val="20"/>
        </w:rPr>
        <w:t>naslednj</w:t>
      </w:r>
      <w:r w:rsidRPr="00215B2F">
        <w:rPr>
          <w:rFonts w:ascii="Arial" w:eastAsia="Arial" w:hAnsi="Arial" w:cs="Arial"/>
          <w:sz w:val="20"/>
          <w:szCs w:val="20"/>
        </w:rPr>
        <w:t>e dejavnosti:</w:t>
      </w:r>
    </w:p>
    <w:p w14:paraId="016D41A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7A1DE78" w14:textId="77777777" w:rsidR="0005122C" w:rsidRPr="00215B2F" w:rsidRDefault="00D91782" w:rsidP="003D4DE0">
      <w:pPr>
        <w:pStyle w:val="tevilnatoka"/>
        <w:numPr>
          <w:ilvl w:val="0"/>
          <w:numId w:val="274"/>
        </w:numPr>
        <w:shd w:val="clear" w:color="auto" w:fill="FFFFFF" w:themeFill="background1"/>
        <w:tabs>
          <w:tab w:val="clear" w:pos="425"/>
        </w:tabs>
        <w:rPr>
          <w:rFonts w:eastAsiaTheme="minorHAnsi" w:cs="Arial"/>
          <w:bCs/>
          <w:sz w:val="20"/>
          <w:szCs w:val="20"/>
        </w:rPr>
      </w:pPr>
      <w:r w:rsidRPr="00215B2F">
        <w:rPr>
          <w:rFonts w:eastAsia="Arial" w:cs="Arial"/>
          <w:sz w:val="20"/>
          <w:szCs w:val="20"/>
        </w:rPr>
        <w:t>odloča o udeležbi članov kolegija na posameznem sestanku in pri dejavnostih kolegija;</w:t>
      </w:r>
    </w:p>
    <w:p w14:paraId="56042D16" w14:textId="77777777" w:rsidR="0005122C" w:rsidRPr="00215B2F" w:rsidRDefault="00D91782" w:rsidP="003D4DE0">
      <w:pPr>
        <w:pStyle w:val="tevilnatoka"/>
        <w:numPr>
          <w:ilvl w:val="0"/>
          <w:numId w:val="274"/>
        </w:numPr>
        <w:shd w:val="clear" w:color="auto" w:fill="FFFFFF" w:themeFill="background1"/>
        <w:tabs>
          <w:tab w:val="clear" w:pos="425"/>
        </w:tabs>
        <w:rPr>
          <w:rFonts w:eastAsiaTheme="minorHAnsi" w:cs="Arial"/>
          <w:bCs/>
          <w:sz w:val="20"/>
          <w:szCs w:val="20"/>
        </w:rPr>
      </w:pPr>
      <w:r w:rsidRPr="00215B2F">
        <w:rPr>
          <w:rFonts w:eastAsia="Arial" w:cs="Arial"/>
          <w:sz w:val="20"/>
          <w:szCs w:val="20"/>
        </w:rPr>
        <w:t>obvešča člane kolegija o sestankih in pomembnejših zadevah, ki bodo obravnavane, ter o odločitvah, sprejetih na sestankih kolegija, in izvedenih dejavnostih;</w:t>
      </w:r>
    </w:p>
    <w:p w14:paraId="1C02FA57" w14:textId="1806C019" w:rsidR="00D91782" w:rsidRPr="00215B2F" w:rsidRDefault="00D91782" w:rsidP="003D4DE0">
      <w:pPr>
        <w:pStyle w:val="tevilnatoka"/>
        <w:numPr>
          <w:ilvl w:val="0"/>
          <w:numId w:val="274"/>
        </w:numPr>
        <w:shd w:val="clear" w:color="auto" w:fill="FFFFFF" w:themeFill="background1"/>
        <w:tabs>
          <w:tab w:val="clear" w:pos="425"/>
        </w:tabs>
        <w:rPr>
          <w:rFonts w:eastAsiaTheme="minorHAnsi" w:cs="Arial"/>
          <w:bCs/>
          <w:sz w:val="20"/>
          <w:szCs w:val="20"/>
        </w:rPr>
      </w:pPr>
      <w:r w:rsidRPr="00215B2F">
        <w:rPr>
          <w:rFonts w:eastAsia="Arial" w:cs="Arial"/>
          <w:sz w:val="20"/>
          <w:szCs w:val="20"/>
        </w:rPr>
        <w:t>obvešča Evropski bančni organ o dejavnosti kolegija, tudi v kriznih razmerah, in mu predloži informacije, pomembne za približevanje nadzorniških praks.</w:t>
      </w:r>
    </w:p>
    <w:p w14:paraId="394AAF2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12E32F4" w14:textId="50F2635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(7) Banka Slovenije pri vodenju kolegija upošteva mo</w:t>
      </w:r>
      <w:r w:rsidR="00CC4B5E" w:rsidRPr="00215B2F">
        <w:rPr>
          <w:rFonts w:ascii="Arial" w:eastAsia="Arial" w:hAnsi="Arial" w:cs="Arial"/>
          <w:sz w:val="20"/>
          <w:szCs w:val="20"/>
        </w:rPr>
        <w:t>žni</w:t>
      </w:r>
      <w:r w:rsidRPr="00215B2F">
        <w:rPr>
          <w:rFonts w:ascii="Arial" w:eastAsia="Arial" w:hAnsi="Arial" w:cs="Arial"/>
          <w:sz w:val="20"/>
          <w:szCs w:val="20"/>
        </w:rPr>
        <w:t xml:space="preserve"> vpliv sprejetih odločitev na izvajanje nadzora drugih sodelujočih pristojnih organov, zlasti vpliv na stabilnost finančnega sistema v državah članicah teh pristojnih organov, še posebno v kriznih razmerah, poleg tega pa upošteva izvajanje obveznosti iz petega odstavka </w:t>
      </w:r>
      <w:r w:rsidR="00576A49" w:rsidRPr="00215B2F">
        <w:rPr>
          <w:rFonts w:ascii="Arial" w:eastAsia="Arial" w:hAnsi="Arial" w:cs="Arial"/>
          <w:sz w:val="20"/>
          <w:szCs w:val="20"/>
        </w:rPr>
        <w:t>400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64656E9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24F85C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(8) Ustanovitev in delovanje kolegija ne vplivata na pristojnosti in odgovornosti Banke Slovenije po tem zakonu in Uredbi 575/2013/EU.</w:t>
      </w:r>
    </w:p>
    <w:p w14:paraId="5FCCAF3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A6B7F9E" w14:textId="5667A26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(9) Če je za ustanovitev kolegija kot konsolidacijski nadzornik pristojen pristojni organ druge države članice, Banka Slovenije sodeluje v tem kolegiju na podlagi pisnega dogovora iz </w:t>
      </w:r>
      <w:r w:rsidR="0013101D" w:rsidRPr="00215B2F">
        <w:rPr>
          <w:rFonts w:ascii="Arial" w:eastAsia="Arial" w:hAnsi="Arial" w:cs="Arial"/>
          <w:sz w:val="20"/>
          <w:szCs w:val="20"/>
        </w:rPr>
        <w:t>418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190B9CA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D866F3D"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82" w:name="_Ref202968128"/>
      <w:r w:rsidRPr="00215B2F">
        <w:rPr>
          <w:rFonts w:ascii="Arial" w:eastAsia="Arial" w:hAnsi="Arial" w:cs="Arial"/>
          <w:b/>
          <w:bCs/>
          <w:sz w:val="20"/>
          <w:szCs w:val="20"/>
        </w:rPr>
        <w:t>člen</w:t>
      </w:r>
      <w:bookmarkEnd w:id="482"/>
    </w:p>
    <w:p w14:paraId="47B98217" w14:textId="77777777" w:rsidR="00D91782" w:rsidRPr="00215B2F" w:rsidRDefault="00D91782" w:rsidP="00FD5520">
      <w:pPr>
        <w:pStyle w:val="Slog1"/>
        <w:shd w:val="clear" w:color="auto" w:fill="FFFFFF" w:themeFill="background1"/>
        <w:rPr>
          <w:sz w:val="20"/>
          <w:szCs w:val="20"/>
        </w:rPr>
      </w:pPr>
      <w:r w:rsidRPr="00215B2F">
        <w:rPr>
          <w:sz w:val="20"/>
          <w:szCs w:val="20"/>
        </w:rPr>
        <w:lastRenderedPageBreak/>
        <w:t>(obvestilo in informacije v kriznih razmerah)</w:t>
      </w:r>
    </w:p>
    <w:p w14:paraId="32C08FB6" w14:textId="77777777" w:rsidR="00D91782" w:rsidRPr="00215B2F" w:rsidRDefault="00D91782" w:rsidP="00FD5520">
      <w:pPr>
        <w:pStyle w:val="Slog1"/>
        <w:shd w:val="clear" w:color="auto" w:fill="FFFFFF" w:themeFill="background1"/>
        <w:jc w:val="both"/>
        <w:rPr>
          <w:sz w:val="20"/>
          <w:szCs w:val="20"/>
        </w:rPr>
      </w:pPr>
    </w:p>
    <w:p w14:paraId="20560D6A" w14:textId="0DC279F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Ob nastopu kriznih razmer, vključno z razmerami iz 18. člena Uredbe 1093/2010/EU, ali ob neugodnem razvoju na trgih, ki bi lahko ogrozil likvidnost trga in stabilnost finančnega sistema v kateri</w:t>
      </w:r>
      <w:r w:rsidR="00CC4B5E" w:rsidRPr="00215B2F">
        <w:rPr>
          <w:rFonts w:ascii="Arial" w:eastAsia="Arial" w:hAnsi="Arial" w:cs="Arial"/>
          <w:sz w:val="20"/>
          <w:szCs w:val="20"/>
        </w:rPr>
        <w:t> </w:t>
      </w:r>
      <w:r w:rsidRPr="00215B2F">
        <w:rPr>
          <w:rFonts w:ascii="Arial" w:eastAsia="Arial" w:hAnsi="Arial" w:cs="Arial"/>
          <w:sz w:val="20"/>
          <w:szCs w:val="20"/>
        </w:rPr>
        <w:t xml:space="preserve">koli državi članici, v kateri so osebe bančne skupine ali pomembne podružnice iz </w:t>
      </w:r>
      <w:r w:rsidR="00576A49" w:rsidRPr="00215B2F">
        <w:rPr>
          <w:rFonts w:ascii="Arial" w:eastAsia="Arial" w:hAnsi="Arial" w:cs="Arial"/>
          <w:sz w:val="20"/>
          <w:szCs w:val="20"/>
        </w:rPr>
        <w:t>399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vključene v to skupino, Banka Slovenije z upoštevanjem 19.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kot konsolidacijski nadzornik</w:t>
      </w:r>
      <w:r w:rsidR="002C7323" w:rsidRPr="00215B2F">
        <w:rPr>
          <w:rFonts w:ascii="Arial" w:eastAsia="Arial" w:hAnsi="Arial" w:cs="Arial"/>
          <w:sz w:val="20"/>
          <w:szCs w:val="20"/>
        </w:rPr>
        <w:t>,</w:t>
      </w:r>
      <w:r w:rsidRPr="00215B2F">
        <w:rPr>
          <w:rFonts w:ascii="Arial" w:eastAsia="Arial" w:hAnsi="Arial" w:cs="Arial"/>
          <w:sz w:val="20"/>
          <w:szCs w:val="20"/>
        </w:rPr>
        <w:t xml:space="preserve"> takoj ko je mogoče, pošlje obvestilo in informacije o tem Evropskemu bančnemu organu, Evropskemu odboru za sistemska tveganja, pristojnim organom držav članic, udeleženim pri nadzoru te skupine, in naslednjim organom vsake od teh držav članic, kadar so informacije pomembne:</w:t>
      </w:r>
    </w:p>
    <w:p w14:paraId="0A10A023" w14:textId="77777777" w:rsidR="0005122C" w:rsidRPr="00215B2F" w:rsidRDefault="0005122C" w:rsidP="00FD5520">
      <w:pPr>
        <w:shd w:val="clear" w:color="auto" w:fill="FFFFFF" w:themeFill="background1"/>
        <w:spacing w:after="0" w:line="240" w:lineRule="auto"/>
        <w:jc w:val="both"/>
        <w:rPr>
          <w:rFonts w:ascii="Arial" w:eastAsia="Arial" w:hAnsi="Arial" w:cs="Arial"/>
          <w:sz w:val="20"/>
          <w:szCs w:val="20"/>
        </w:rPr>
      </w:pPr>
    </w:p>
    <w:p w14:paraId="2D44CF0F" w14:textId="77777777" w:rsidR="0005122C" w:rsidRPr="00215B2F" w:rsidRDefault="00D91782" w:rsidP="003D4DE0">
      <w:pPr>
        <w:pStyle w:val="tevilnatoka"/>
        <w:numPr>
          <w:ilvl w:val="0"/>
          <w:numId w:val="275"/>
        </w:numPr>
        <w:shd w:val="clear" w:color="auto" w:fill="FFFFFF" w:themeFill="background1"/>
        <w:tabs>
          <w:tab w:val="clear" w:pos="425"/>
        </w:tabs>
        <w:rPr>
          <w:rFonts w:cs="Arial"/>
          <w:bCs/>
          <w:sz w:val="20"/>
          <w:szCs w:val="20"/>
        </w:rPr>
      </w:pPr>
      <w:r w:rsidRPr="00215B2F">
        <w:rPr>
          <w:rFonts w:eastAsia="Arial" w:cs="Arial"/>
          <w:sz w:val="20"/>
          <w:szCs w:val="20"/>
        </w:rPr>
        <w:t>centralnim bankam ESCB, kadar so informacije pomembne za opravljanje njihovih zakonsko predpisanih nalog, vključno z vodenjem monetarne politike in s tem povezanim zagotavljanjem likvidnosti, nadzorom plačil, klirinških sistemov in sistemov poravnave ter varovanjem stabilnosti finančnega sistema;</w:t>
      </w:r>
    </w:p>
    <w:p w14:paraId="5E8AD361" w14:textId="5A1D3345" w:rsidR="00D91782" w:rsidRPr="00215B2F" w:rsidRDefault="00D91782" w:rsidP="003D4DE0">
      <w:pPr>
        <w:pStyle w:val="tevilnatoka"/>
        <w:numPr>
          <w:ilvl w:val="0"/>
          <w:numId w:val="275"/>
        </w:numPr>
        <w:shd w:val="clear" w:color="auto" w:fill="FFFFFF" w:themeFill="background1"/>
        <w:tabs>
          <w:tab w:val="clear" w:pos="425"/>
        </w:tabs>
        <w:rPr>
          <w:rFonts w:cs="Arial"/>
          <w:bCs/>
          <w:sz w:val="20"/>
          <w:szCs w:val="20"/>
        </w:rPr>
      </w:pPr>
      <w:r w:rsidRPr="00215B2F">
        <w:rPr>
          <w:rFonts w:eastAsia="Arial" w:cs="Arial"/>
          <w:sz w:val="20"/>
          <w:szCs w:val="20"/>
        </w:rPr>
        <w:t>ministrstvom, pristojnim za finance, oziroma državnim organom drugih držav članic, pristojnim za izvrševanje zakonov na področju nadzora nad kreditnimi institucijami, finančnimi institucijami, investicijskimi podjetji ali zavarovalnicami.</w:t>
      </w:r>
    </w:p>
    <w:p w14:paraId="0EDC1A6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CEE16BF" w14:textId="2430CDF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Če je konsolidacijski nadzornik pristojni organ druge države članice, Banka Slovenije ob nastopu kriznih razmer iz prejšnjega odstavka</w:t>
      </w:r>
      <w:r w:rsidR="002C7323" w:rsidRPr="00215B2F">
        <w:rPr>
          <w:rFonts w:ascii="Arial" w:eastAsia="Arial" w:hAnsi="Arial" w:cs="Arial"/>
          <w:sz w:val="20"/>
          <w:szCs w:val="20"/>
        </w:rPr>
        <w:t>,</w:t>
      </w:r>
      <w:r w:rsidRPr="00215B2F">
        <w:rPr>
          <w:rFonts w:ascii="Arial" w:eastAsia="Arial" w:hAnsi="Arial" w:cs="Arial"/>
          <w:sz w:val="20"/>
          <w:szCs w:val="20"/>
        </w:rPr>
        <w:t xml:space="preserve"> takoj ko je mogoče, o tem obvesti konsolidacijskega nadzornika in druge pristojne organe držav članic, ki so udeleženi pri nadzoru </w:t>
      </w:r>
      <w:r w:rsidR="002C7323" w:rsidRPr="00215B2F">
        <w:rPr>
          <w:rFonts w:ascii="Arial" w:eastAsia="Arial" w:hAnsi="Arial" w:cs="Arial"/>
          <w:sz w:val="20"/>
          <w:szCs w:val="20"/>
        </w:rPr>
        <w:t xml:space="preserve">nad </w:t>
      </w:r>
      <w:r w:rsidRPr="00215B2F">
        <w:rPr>
          <w:rFonts w:ascii="Arial" w:eastAsia="Arial" w:hAnsi="Arial" w:cs="Arial"/>
          <w:sz w:val="20"/>
          <w:szCs w:val="20"/>
        </w:rPr>
        <w:t>t</w:t>
      </w:r>
      <w:r w:rsidR="002C7323" w:rsidRPr="00215B2F">
        <w:rPr>
          <w:rFonts w:ascii="Arial" w:eastAsia="Arial" w:hAnsi="Arial" w:cs="Arial"/>
          <w:sz w:val="20"/>
          <w:szCs w:val="20"/>
        </w:rPr>
        <w:t>o</w:t>
      </w:r>
      <w:r w:rsidRPr="00215B2F">
        <w:rPr>
          <w:rFonts w:ascii="Arial" w:eastAsia="Arial" w:hAnsi="Arial" w:cs="Arial"/>
          <w:sz w:val="20"/>
          <w:szCs w:val="20"/>
        </w:rPr>
        <w:t xml:space="preserve"> bančn</w:t>
      </w:r>
      <w:r w:rsidR="002C7323" w:rsidRPr="00215B2F">
        <w:rPr>
          <w:rFonts w:ascii="Arial" w:eastAsia="Arial" w:hAnsi="Arial" w:cs="Arial"/>
          <w:sz w:val="20"/>
          <w:szCs w:val="20"/>
        </w:rPr>
        <w:t>o</w:t>
      </w:r>
      <w:r w:rsidRPr="00215B2F">
        <w:rPr>
          <w:rFonts w:ascii="Arial" w:eastAsia="Arial" w:hAnsi="Arial" w:cs="Arial"/>
          <w:sz w:val="20"/>
          <w:szCs w:val="20"/>
        </w:rPr>
        <w:t xml:space="preserve"> skupin</w:t>
      </w:r>
      <w:r w:rsidR="002C7323" w:rsidRPr="00215B2F">
        <w:rPr>
          <w:rFonts w:ascii="Arial" w:eastAsia="Arial" w:hAnsi="Arial" w:cs="Arial"/>
          <w:sz w:val="20"/>
          <w:szCs w:val="20"/>
        </w:rPr>
        <w:t>o</w:t>
      </w:r>
      <w:r w:rsidRPr="00215B2F">
        <w:rPr>
          <w:rFonts w:ascii="Arial" w:eastAsia="Arial" w:hAnsi="Arial" w:cs="Arial"/>
          <w:sz w:val="20"/>
          <w:szCs w:val="20"/>
        </w:rPr>
        <w:t xml:space="preserve"> na konsolidirani podlagi ali na subkonsolidirani podlagi, in Evropski bančni organ.</w:t>
      </w:r>
    </w:p>
    <w:p w14:paraId="44EB66B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5D15A32"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83" w:name="_Ref202968133"/>
      <w:r w:rsidRPr="00215B2F">
        <w:rPr>
          <w:rFonts w:ascii="Arial" w:eastAsia="Arial" w:hAnsi="Arial" w:cs="Arial"/>
          <w:b/>
          <w:bCs/>
          <w:sz w:val="20"/>
          <w:szCs w:val="20"/>
        </w:rPr>
        <w:t>člen</w:t>
      </w:r>
      <w:bookmarkEnd w:id="483"/>
    </w:p>
    <w:p w14:paraId="4B24F320" w14:textId="77777777" w:rsidR="00D91782" w:rsidRPr="00215B2F" w:rsidRDefault="00D91782" w:rsidP="00FD5520">
      <w:pPr>
        <w:pStyle w:val="Slog1"/>
        <w:shd w:val="clear" w:color="auto" w:fill="FFFFFF" w:themeFill="background1"/>
        <w:rPr>
          <w:sz w:val="20"/>
          <w:szCs w:val="20"/>
        </w:rPr>
      </w:pPr>
      <w:r w:rsidRPr="00215B2F">
        <w:rPr>
          <w:sz w:val="20"/>
          <w:szCs w:val="20"/>
        </w:rPr>
        <w:t>(pridobivanje informacij od drugih pristojnih organov)</w:t>
      </w:r>
    </w:p>
    <w:p w14:paraId="638FE5DE" w14:textId="77777777" w:rsidR="00D91782" w:rsidRPr="00215B2F" w:rsidRDefault="00D91782" w:rsidP="00FD5520">
      <w:pPr>
        <w:pStyle w:val="Slog1"/>
        <w:shd w:val="clear" w:color="auto" w:fill="FFFFFF" w:themeFill="background1"/>
        <w:jc w:val="both"/>
        <w:rPr>
          <w:sz w:val="20"/>
          <w:szCs w:val="20"/>
        </w:rPr>
      </w:pPr>
    </w:p>
    <w:p w14:paraId="22726E49" w14:textId="25FCF53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Če Banka Slovenije kot konsolidacijski nadzornik potrebuje informacije o bančni skupini, ki so </w:t>
      </w:r>
      <w:r w:rsidR="002C7323" w:rsidRPr="00215B2F">
        <w:rPr>
          <w:rFonts w:ascii="Arial" w:eastAsia="Arial" w:hAnsi="Arial" w:cs="Arial"/>
          <w:sz w:val="20"/>
          <w:szCs w:val="20"/>
        </w:rPr>
        <w:t xml:space="preserve">že </w:t>
      </w:r>
      <w:r w:rsidRPr="00215B2F">
        <w:rPr>
          <w:rFonts w:ascii="Arial" w:eastAsia="Arial" w:hAnsi="Arial" w:cs="Arial"/>
          <w:sz w:val="20"/>
          <w:szCs w:val="20"/>
        </w:rPr>
        <w:t>bile pos</w:t>
      </w:r>
      <w:r w:rsidR="002C7323" w:rsidRPr="00215B2F">
        <w:rPr>
          <w:rFonts w:ascii="Arial" w:eastAsia="Arial" w:hAnsi="Arial" w:cs="Arial"/>
          <w:sz w:val="20"/>
          <w:szCs w:val="20"/>
        </w:rPr>
        <w:t>l</w:t>
      </w:r>
      <w:r w:rsidRPr="00215B2F">
        <w:rPr>
          <w:rFonts w:ascii="Arial" w:eastAsia="Arial" w:hAnsi="Arial" w:cs="Arial"/>
          <w:sz w:val="20"/>
          <w:szCs w:val="20"/>
        </w:rPr>
        <w:t>ane drugemu pristojnemu organu, mora, če je to mogoče, te informacije pridobiti od tega pristojnega organa z namenom preprečiti podvajanje poročanja bank različnim pristojnim organom, ki sodelujejo pri nadzoru.</w:t>
      </w:r>
    </w:p>
    <w:p w14:paraId="1AFDAAE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0934016"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84" w:name="_Ref202968143"/>
      <w:r w:rsidRPr="00215B2F">
        <w:rPr>
          <w:rFonts w:ascii="Arial" w:eastAsia="Arial" w:hAnsi="Arial" w:cs="Arial"/>
          <w:b/>
          <w:bCs/>
          <w:sz w:val="20"/>
          <w:szCs w:val="20"/>
        </w:rPr>
        <w:t>člen</w:t>
      </w:r>
      <w:bookmarkEnd w:id="484"/>
    </w:p>
    <w:p w14:paraId="47FC4368" w14:textId="77777777" w:rsidR="00D91782" w:rsidRPr="00215B2F" w:rsidRDefault="00D91782" w:rsidP="00FD5520">
      <w:pPr>
        <w:pStyle w:val="Slog1"/>
        <w:shd w:val="clear" w:color="auto" w:fill="FFFFFF" w:themeFill="background1"/>
        <w:rPr>
          <w:sz w:val="20"/>
          <w:szCs w:val="20"/>
        </w:rPr>
      </w:pPr>
      <w:r w:rsidRPr="00215B2F">
        <w:rPr>
          <w:sz w:val="20"/>
          <w:szCs w:val="20"/>
        </w:rPr>
        <w:t>(dogovori s pristojnimi organi o sodelovanju pri nadzoru na konsolidirani podlagi)</w:t>
      </w:r>
    </w:p>
    <w:p w14:paraId="33B2C26D" w14:textId="77777777" w:rsidR="00D91782" w:rsidRPr="00215B2F" w:rsidRDefault="00D91782" w:rsidP="00FD5520">
      <w:pPr>
        <w:pStyle w:val="Slog1"/>
        <w:shd w:val="clear" w:color="auto" w:fill="FFFFFF" w:themeFill="background1"/>
        <w:jc w:val="both"/>
        <w:rPr>
          <w:sz w:val="20"/>
          <w:szCs w:val="20"/>
        </w:rPr>
      </w:pPr>
    </w:p>
    <w:p w14:paraId="6BD99AA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Z namenom zagotoviti učinkovit nadzor na konsolidirani podlagi Banka Slovenije z drugimi pristojnimi organi, udeleženimi pri tem nadzoru, sklene ustrezne pisne dogovore o usklajevanju in sodelovanju.</w:t>
      </w:r>
    </w:p>
    <w:p w14:paraId="160FB8D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432C96C" w14:textId="17E217C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Z dogovori iz prejšnjega odstavka se lahko določijo dodatne naloge konsolidacijskemu nadzorniku in postopki za sprejemanje odločitev ter </w:t>
      </w:r>
      <w:r w:rsidR="007F4069" w:rsidRPr="00215B2F">
        <w:rPr>
          <w:rFonts w:ascii="Arial" w:eastAsia="Arial" w:hAnsi="Arial" w:cs="Arial"/>
          <w:sz w:val="20"/>
          <w:szCs w:val="20"/>
        </w:rPr>
        <w:t xml:space="preserve">postopki </w:t>
      </w:r>
      <w:r w:rsidRPr="00215B2F">
        <w:rPr>
          <w:rFonts w:ascii="Arial" w:eastAsia="Arial" w:hAnsi="Arial" w:cs="Arial"/>
          <w:sz w:val="20"/>
          <w:szCs w:val="20"/>
        </w:rPr>
        <w:t>sodelovanja z drugimi pristojnimi organi.</w:t>
      </w:r>
    </w:p>
    <w:p w14:paraId="5B6632B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AB46155" w14:textId="7B72975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lahko v skladu z 28. členom Uredbe 1093/2010/EU na podlagi dvostranskega dogovora prenese pristojnost in odgovornosti za nadzor nad podrejeno banko pristojnemu organu druge države članice, ki je izdal dovoljenje in nadzoruje nadrejeno banko države članice, tako da </w:t>
      </w:r>
      <w:r w:rsidR="007F4069" w:rsidRPr="00215B2F">
        <w:rPr>
          <w:rFonts w:ascii="Arial" w:eastAsia="Arial" w:hAnsi="Arial" w:cs="Arial"/>
          <w:sz w:val="20"/>
          <w:szCs w:val="20"/>
        </w:rPr>
        <w:t>t</w:t>
      </w:r>
      <w:r w:rsidRPr="00215B2F">
        <w:rPr>
          <w:rFonts w:ascii="Arial" w:eastAsia="Arial" w:hAnsi="Arial" w:cs="Arial"/>
          <w:sz w:val="20"/>
          <w:szCs w:val="20"/>
        </w:rPr>
        <w:t xml:space="preserve">a prevzame odgovornost za nadzor </w:t>
      </w:r>
      <w:r w:rsidR="007F4069" w:rsidRPr="00215B2F">
        <w:rPr>
          <w:rFonts w:ascii="Arial" w:eastAsia="Arial" w:hAnsi="Arial" w:cs="Arial"/>
          <w:sz w:val="20"/>
          <w:szCs w:val="20"/>
        </w:rPr>
        <w:t xml:space="preserve">nad </w:t>
      </w:r>
      <w:r w:rsidRPr="00215B2F">
        <w:rPr>
          <w:rFonts w:ascii="Arial" w:eastAsia="Arial" w:hAnsi="Arial" w:cs="Arial"/>
          <w:sz w:val="20"/>
          <w:szCs w:val="20"/>
        </w:rPr>
        <w:t>t</w:t>
      </w:r>
      <w:r w:rsidR="007F4069" w:rsidRPr="00215B2F">
        <w:rPr>
          <w:rFonts w:ascii="Arial" w:eastAsia="Arial" w:hAnsi="Arial" w:cs="Arial"/>
          <w:sz w:val="20"/>
          <w:szCs w:val="20"/>
        </w:rPr>
        <w:t>o</w:t>
      </w:r>
      <w:r w:rsidRPr="00215B2F">
        <w:rPr>
          <w:rFonts w:ascii="Arial" w:eastAsia="Arial" w:hAnsi="Arial" w:cs="Arial"/>
          <w:sz w:val="20"/>
          <w:szCs w:val="20"/>
        </w:rPr>
        <w:t xml:space="preserve"> podrejen</w:t>
      </w:r>
      <w:r w:rsidR="007F4069" w:rsidRPr="00215B2F">
        <w:rPr>
          <w:rFonts w:ascii="Arial" w:eastAsia="Arial" w:hAnsi="Arial" w:cs="Arial"/>
          <w:sz w:val="20"/>
          <w:szCs w:val="20"/>
        </w:rPr>
        <w:t>o</w:t>
      </w:r>
      <w:r w:rsidRPr="00215B2F">
        <w:rPr>
          <w:rFonts w:ascii="Arial" w:eastAsia="Arial" w:hAnsi="Arial" w:cs="Arial"/>
          <w:sz w:val="20"/>
          <w:szCs w:val="20"/>
        </w:rPr>
        <w:t xml:space="preserve"> bank</w:t>
      </w:r>
      <w:r w:rsidR="007F4069" w:rsidRPr="00215B2F">
        <w:rPr>
          <w:rFonts w:ascii="Arial" w:eastAsia="Arial" w:hAnsi="Arial" w:cs="Arial"/>
          <w:sz w:val="20"/>
          <w:szCs w:val="20"/>
        </w:rPr>
        <w:t>o</w:t>
      </w:r>
      <w:r w:rsidRPr="00215B2F">
        <w:rPr>
          <w:rFonts w:ascii="Arial" w:eastAsia="Arial" w:hAnsi="Arial" w:cs="Arial"/>
          <w:sz w:val="20"/>
          <w:szCs w:val="20"/>
        </w:rPr>
        <w:t>.</w:t>
      </w:r>
    </w:p>
    <w:p w14:paraId="7506E55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4988D47" w14:textId="76690F4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Če je Banka Slovenije pristojna za nadzor nad nadrejeno banko, lahko v skladu z 28. členom Uredbe 1093/2010/EU na podlagi dvostranskega dogovora s pristojnim organom druge države članice, ki je pristojen za nadzor nad podrejeno družbo, prevzame pristojnost in odgovornost za nadzor </w:t>
      </w:r>
      <w:r w:rsidR="007F4069" w:rsidRPr="00215B2F">
        <w:rPr>
          <w:rFonts w:ascii="Arial" w:eastAsia="Arial" w:hAnsi="Arial" w:cs="Arial"/>
          <w:sz w:val="20"/>
          <w:szCs w:val="20"/>
        </w:rPr>
        <w:t xml:space="preserve">nad </w:t>
      </w:r>
      <w:r w:rsidRPr="00215B2F">
        <w:rPr>
          <w:rFonts w:ascii="Arial" w:eastAsia="Arial" w:hAnsi="Arial" w:cs="Arial"/>
          <w:sz w:val="20"/>
          <w:szCs w:val="20"/>
        </w:rPr>
        <w:t>podrejen</w:t>
      </w:r>
      <w:r w:rsidR="007F4069" w:rsidRPr="00215B2F">
        <w:rPr>
          <w:rFonts w:ascii="Arial" w:eastAsia="Arial" w:hAnsi="Arial" w:cs="Arial"/>
          <w:sz w:val="20"/>
          <w:szCs w:val="20"/>
        </w:rPr>
        <w:t>o</w:t>
      </w:r>
      <w:r w:rsidRPr="00215B2F">
        <w:rPr>
          <w:rFonts w:ascii="Arial" w:eastAsia="Arial" w:hAnsi="Arial" w:cs="Arial"/>
          <w:sz w:val="20"/>
          <w:szCs w:val="20"/>
        </w:rPr>
        <w:t xml:space="preserve"> družb</w:t>
      </w:r>
      <w:r w:rsidR="007F4069" w:rsidRPr="00215B2F">
        <w:rPr>
          <w:rFonts w:ascii="Arial" w:eastAsia="Arial" w:hAnsi="Arial" w:cs="Arial"/>
          <w:sz w:val="20"/>
          <w:szCs w:val="20"/>
        </w:rPr>
        <w:t>o</w:t>
      </w:r>
      <w:r w:rsidRPr="00215B2F">
        <w:rPr>
          <w:rFonts w:ascii="Arial" w:eastAsia="Arial" w:hAnsi="Arial" w:cs="Arial"/>
          <w:sz w:val="20"/>
          <w:szCs w:val="20"/>
        </w:rPr>
        <w:t xml:space="preserve"> </w:t>
      </w:r>
      <w:r w:rsidR="007F4069" w:rsidRPr="00215B2F">
        <w:rPr>
          <w:rFonts w:ascii="Arial" w:eastAsia="Arial" w:hAnsi="Arial" w:cs="Arial"/>
          <w:sz w:val="20"/>
          <w:szCs w:val="20"/>
        </w:rPr>
        <w:t>ter</w:t>
      </w:r>
      <w:r w:rsidRPr="00215B2F">
        <w:rPr>
          <w:rFonts w:ascii="Arial" w:eastAsia="Arial" w:hAnsi="Arial" w:cs="Arial"/>
          <w:sz w:val="20"/>
          <w:szCs w:val="20"/>
        </w:rPr>
        <w:t xml:space="preserve"> o tem obvesti Evropski bančni organ.</w:t>
      </w:r>
    </w:p>
    <w:p w14:paraId="0B70947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8FC717E" w14:textId="47E86C3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sklene dogovor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za namene nadzora na konsolidirani podlagi v zvezi z odobrenim finančnim holdingom oziroma mešanim finančnim holdingom s:</w:t>
      </w:r>
    </w:p>
    <w:p w14:paraId="079AEDE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72DBCB5" w14:textId="77777777" w:rsidR="0005122C" w:rsidRPr="00215B2F" w:rsidRDefault="00D91782" w:rsidP="003D4DE0">
      <w:pPr>
        <w:pStyle w:val="tevilnatoka"/>
        <w:numPr>
          <w:ilvl w:val="0"/>
          <w:numId w:val="276"/>
        </w:numPr>
        <w:shd w:val="clear" w:color="auto" w:fill="FFFFFF" w:themeFill="background1"/>
        <w:tabs>
          <w:tab w:val="clear" w:pos="425"/>
        </w:tabs>
        <w:rPr>
          <w:rFonts w:cs="Arial"/>
          <w:bCs/>
          <w:sz w:val="20"/>
          <w:szCs w:val="20"/>
        </w:rPr>
      </w:pPr>
      <w:r w:rsidRPr="00215B2F">
        <w:rPr>
          <w:rFonts w:eastAsia="Arial" w:cs="Arial"/>
          <w:sz w:val="20"/>
          <w:szCs w:val="20"/>
        </w:rPr>
        <w:t>pristojnim organom druge države članice, kjer je sedež odobrenega finančnega holdinga oziroma mešanega finančnega holdinga;</w:t>
      </w:r>
    </w:p>
    <w:p w14:paraId="5797D690" w14:textId="44979B4D" w:rsidR="00D91782" w:rsidRPr="00215B2F" w:rsidRDefault="00D91782" w:rsidP="003D4DE0">
      <w:pPr>
        <w:pStyle w:val="tevilnatoka"/>
        <w:numPr>
          <w:ilvl w:val="0"/>
          <w:numId w:val="276"/>
        </w:numPr>
        <w:shd w:val="clear" w:color="auto" w:fill="FFFFFF" w:themeFill="background1"/>
        <w:tabs>
          <w:tab w:val="clear" w:pos="425"/>
        </w:tabs>
        <w:rPr>
          <w:rFonts w:cs="Arial"/>
          <w:bCs/>
          <w:sz w:val="20"/>
          <w:szCs w:val="20"/>
        </w:rPr>
      </w:pPr>
      <w:r w:rsidRPr="00215B2F">
        <w:rPr>
          <w:rFonts w:eastAsia="Arial" w:cs="Arial"/>
          <w:sz w:val="20"/>
          <w:szCs w:val="20"/>
        </w:rPr>
        <w:t>konsolidacijskim nadzornikom, če je sedež odobrenega finančnega holdinga oziroma mešanega finančnega holdinga v Republiki Sloveniji, vendar Banka Slovenije ni konsolidacijski nadzornik.</w:t>
      </w:r>
    </w:p>
    <w:p w14:paraId="770F3D8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EB887D7" w14:textId="30F1D99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(6) Kadar je Banka Slovenije konsolidacijski nadzornik skupine z nadrejenim mešanim finančnim holdingom, vendar ni koordinator v skladu z zakonom, ki ureja finančne konglomerate, Banka Slovenije sodeluje s koordinatorjem za namene uporabe tega zakona in Uredbe 575/2013/EU na konsolidirani podlagi ter za učinkovito sodelovanje z njim sklene dogovor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283FF94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94AFF25"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85" w:name="_Ref202968156"/>
      <w:r w:rsidRPr="00215B2F">
        <w:rPr>
          <w:rFonts w:ascii="Arial" w:eastAsia="Arial" w:hAnsi="Arial" w:cs="Arial"/>
          <w:b/>
          <w:bCs/>
          <w:sz w:val="20"/>
          <w:szCs w:val="20"/>
        </w:rPr>
        <w:t>člen</w:t>
      </w:r>
      <w:bookmarkEnd w:id="485"/>
    </w:p>
    <w:p w14:paraId="479BBBCF" w14:textId="77777777" w:rsidR="00D91782" w:rsidRPr="00215B2F" w:rsidRDefault="00D91782" w:rsidP="00FD5520">
      <w:pPr>
        <w:pStyle w:val="Slog1"/>
        <w:shd w:val="clear" w:color="auto" w:fill="FFFFFF" w:themeFill="background1"/>
        <w:rPr>
          <w:sz w:val="20"/>
          <w:szCs w:val="20"/>
        </w:rPr>
      </w:pPr>
      <w:r w:rsidRPr="00215B2F">
        <w:rPr>
          <w:sz w:val="20"/>
          <w:szCs w:val="20"/>
        </w:rPr>
        <w:t>(izmenjava informacij s pristojnimi organi držav članic pri nadzoru na konsolidirani podlagi)</w:t>
      </w:r>
    </w:p>
    <w:p w14:paraId="3C80DAA0" w14:textId="77777777" w:rsidR="00D91782" w:rsidRPr="00215B2F" w:rsidRDefault="00D91782" w:rsidP="00FD5520">
      <w:pPr>
        <w:pStyle w:val="Slog1"/>
        <w:shd w:val="clear" w:color="auto" w:fill="FFFFFF" w:themeFill="background1"/>
        <w:jc w:val="both"/>
        <w:rPr>
          <w:sz w:val="20"/>
          <w:szCs w:val="20"/>
        </w:rPr>
      </w:pPr>
    </w:p>
    <w:p w14:paraId="36501194" w14:textId="377AFA4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sodeluje s pristojnimi organi drugih držav članic v zvezi z nadzorom na konsolidirani podlagi in z upoštevanjem </w:t>
      </w:r>
      <w:r w:rsidR="00576A49" w:rsidRPr="00215B2F">
        <w:rPr>
          <w:rFonts w:ascii="Arial" w:eastAsia="Arial" w:hAnsi="Arial" w:cs="Arial"/>
          <w:sz w:val="20"/>
          <w:szCs w:val="20"/>
        </w:rPr>
        <w:t>29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tem organom po</w:t>
      </w:r>
      <w:r w:rsidR="007F4069" w:rsidRPr="00215B2F">
        <w:rPr>
          <w:rFonts w:ascii="Arial" w:eastAsia="Arial" w:hAnsi="Arial" w:cs="Arial"/>
          <w:sz w:val="20"/>
          <w:szCs w:val="20"/>
        </w:rPr>
        <w:t>šlje</w:t>
      </w:r>
      <w:r w:rsidRPr="00215B2F">
        <w:rPr>
          <w:rFonts w:ascii="Arial" w:eastAsia="Arial" w:hAnsi="Arial" w:cs="Arial"/>
          <w:sz w:val="20"/>
          <w:szCs w:val="20"/>
        </w:rPr>
        <w:t xml:space="preserve"> zlasti informacije o:</w:t>
      </w:r>
    </w:p>
    <w:p w14:paraId="38BF325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2ADA638" w14:textId="0BA7309B" w:rsidR="0005122C" w:rsidRPr="00215B2F" w:rsidRDefault="00D91782" w:rsidP="003D4DE0">
      <w:pPr>
        <w:pStyle w:val="tevilnatoka"/>
        <w:numPr>
          <w:ilvl w:val="0"/>
          <w:numId w:val="277"/>
        </w:numPr>
        <w:shd w:val="clear" w:color="auto" w:fill="FFFFFF" w:themeFill="background1"/>
        <w:tabs>
          <w:tab w:val="clear" w:pos="425"/>
        </w:tabs>
        <w:rPr>
          <w:rFonts w:cs="Arial"/>
          <w:bCs/>
          <w:sz w:val="20"/>
          <w:szCs w:val="20"/>
        </w:rPr>
      </w:pPr>
      <w:r w:rsidRPr="00215B2F">
        <w:rPr>
          <w:rFonts w:eastAsia="Arial" w:cs="Arial"/>
          <w:sz w:val="20"/>
          <w:szCs w:val="20"/>
        </w:rPr>
        <w:t xml:space="preserve">pravni strukturi skupine in njeni strukturi upravljanja, vključno z organizacijsko strukturo, ki zajema vse nadzorovane subjekte, nenadzorovane subjekte, nenadzorovane podrejene družbe in pomembne podružnice, ki pripadajo skupini, ter nadrejene osebe z opisom ureditve notranjega upravljanja v skladu s </w:t>
      </w:r>
      <w:r w:rsidR="00576A49" w:rsidRPr="00215B2F">
        <w:rPr>
          <w:rFonts w:eastAsia="Arial" w:cs="Arial"/>
          <w:sz w:val="20"/>
          <w:szCs w:val="20"/>
        </w:rPr>
        <w:t>177</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 xml:space="preserve">, ureditve glede razmerij tesne povezanosti in ureditve upravljanja v podrejenih družbah v skladu s četrtim odstavkom </w:t>
      </w:r>
      <w:r w:rsidR="00576A49" w:rsidRPr="00215B2F">
        <w:rPr>
          <w:rFonts w:eastAsia="Arial" w:cs="Arial"/>
          <w:sz w:val="20"/>
          <w:szCs w:val="20"/>
        </w:rPr>
        <w:t>183</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ter navedbo vseh pristojnih organov nadzorovanih subjektov v skupini;</w:t>
      </w:r>
      <w:r w:rsidR="00576A49" w:rsidRPr="00215B2F">
        <w:rPr>
          <w:rFonts w:eastAsia="Arial" w:cs="Arial"/>
          <w:sz w:val="20"/>
          <w:szCs w:val="20"/>
        </w:rPr>
        <w:t xml:space="preserve"> </w:t>
      </w:r>
    </w:p>
    <w:p w14:paraId="0FFB0D76" w14:textId="77777777" w:rsidR="0005122C" w:rsidRPr="00215B2F" w:rsidRDefault="00D91782" w:rsidP="003D4DE0">
      <w:pPr>
        <w:pStyle w:val="tevilnatoka"/>
        <w:numPr>
          <w:ilvl w:val="0"/>
          <w:numId w:val="277"/>
        </w:numPr>
        <w:shd w:val="clear" w:color="auto" w:fill="FFFFFF" w:themeFill="background1"/>
        <w:tabs>
          <w:tab w:val="clear" w:pos="425"/>
        </w:tabs>
        <w:rPr>
          <w:rFonts w:cs="Arial"/>
          <w:bCs/>
          <w:sz w:val="20"/>
          <w:szCs w:val="20"/>
        </w:rPr>
      </w:pPr>
      <w:r w:rsidRPr="00215B2F">
        <w:rPr>
          <w:rFonts w:eastAsia="Arial" w:cs="Arial"/>
          <w:sz w:val="20"/>
          <w:szCs w:val="20"/>
        </w:rPr>
        <w:t>postopkih zbiranja informacij od institucij v skupini in preverjanja pravilnosti teh informacij;</w:t>
      </w:r>
    </w:p>
    <w:p w14:paraId="44514CCA" w14:textId="3F3DCDF6" w:rsidR="0005122C" w:rsidRPr="00215B2F" w:rsidRDefault="00D91782" w:rsidP="003D4DE0">
      <w:pPr>
        <w:pStyle w:val="tevilnatoka"/>
        <w:numPr>
          <w:ilvl w:val="0"/>
          <w:numId w:val="277"/>
        </w:numPr>
        <w:shd w:val="clear" w:color="auto" w:fill="FFFFFF" w:themeFill="background1"/>
        <w:tabs>
          <w:tab w:val="clear" w:pos="425"/>
        </w:tabs>
        <w:rPr>
          <w:rFonts w:cs="Arial"/>
          <w:bCs/>
          <w:sz w:val="20"/>
          <w:szCs w:val="20"/>
        </w:rPr>
      </w:pPr>
      <w:r w:rsidRPr="00215B2F">
        <w:rPr>
          <w:rFonts w:eastAsia="Arial" w:cs="Arial"/>
          <w:sz w:val="20"/>
          <w:szCs w:val="20"/>
        </w:rPr>
        <w:t>neugodn</w:t>
      </w:r>
      <w:r w:rsidR="004C22AB" w:rsidRPr="00215B2F">
        <w:rPr>
          <w:rFonts w:eastAsia="Arial" w:cs="Arial"/>
          <w:sz w:val="20"/>
          <w:szCs w:val="20"/>
        </w:rPr>
        <w:t>em</w:t>
      </w:r>
      <w:r w:rsidRPr="00215B2F">
        <w:rPr>
          <w:rFonts w:eastAsia="Arial" w:cs="Arial"/>
          <w:sz w:val="20"/>
          <w:szCs w:val="20"/>
        </w:rPr>
        <w:t xml:space="preserve"> dogajanj</w:t>
      </w:r>
      <w:r w:rsidR="004C22AB" w:rsidRPr="00215B2F">
        <w:rPr>
          <w:rFonts w:eastAsia="Arial" w:cs="Arial"/>
          <w:sz w:val="20"/>
          <w:szCs w:val="20"/>
        </w:rPr>
        <w:t>u</w:t>
      </w:r>
      <w:r w:rsidRPr="00215B2F">
        <w:rPr>
          <w:rFonts w:eastAsia="Arial" w:cs="Arial"/>
          <w:sz w:val="20"/>
          <w:szCs w:val="20"/>
        </w:rPr>
        <w:t xml:space="preserve"> v banki ali drugih osebah v skupini, ki lahko resno vpliva na druge banke v skupini;</w:t>
      </w:r>
    </w:p>
    <w:p w14:paraId="049F612D" w14:textId="2800705E" w:rsidR="00D91782" w:rsidRPr="00215B2F" w:rsidRDefault="00D91782" w:rsidP="003D4DE0">
      <w:pPr>
        <w:pStyle w:val="tevilnatoka"/>
        <w:numPr>
          <w:ilvl w:val="0"/>
          <w:numId w:val="277"/>
        </w:numPr>
        <w:shd w:val="clear" w:color="auto" w:fill="FFFFFF" w:themeFill="background1"/>
        <w:tabs>
          <w:tab w:val="clear" w:pos="425"/>
        </w:tabs>
        <w:rPr>
          <w:rFonts w:cs="Arial"/>
          <w:bCs/>
          <w:sz w:val="20"/>
          <w:szCs w:val="20"/>
        </w:rPr>
      </w:pPr>
      <w:r w:rsidRPr="00215B2F">
        <w:rPr>
          <w:rFonts w:eastAsia="Arial" w:cs="Arial"/>
          <w:sz w:val="20"/>
          <w:szCs w:val="20"/>
        </w:rPr>
        <w:t xml:space="preserve">pomembnih ukrepih, ki jih je izrekla banki, vključno z zahtevo za zagotovitev kapitala iz 1. točke drugega odstavka </w:t>
      </w:r>
      <w:r w:rsidR="005A78EE" w:rsidRPr="00215B2F">
        <w:rPr>
          <w:rFonts w:eastAsia="Arial" w:cs="Arial"/>
          <w:sz w:val="20"/>
          <w:szCs w:val="20"/>
        </w:rPr>
        <w:t>345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in o vzpostavitvi vsake omejitve za uporabo naprednega pristopa za operativno tveganje.</w:t>
      </w:r>
    </w:p>
    <w:p w14:paraId="715FA54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D5596BF" w14:textId="5C7D6F1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Če Banka Slovenije, kadar je odgovorna za nadzor </w:t>
      </w:r>
      <w:r w:rsidR="007B542E" w:rsidRPr="00215B2F">
        <w:rPr>
          <w:rFonts w:ascii="Arial" w:eastAsia="Arial" w:hAnsi="Arial" w:cs="Arial"/>
          <w:sz w:val="20"/>
          <w:szCs w:val="20"/>
        </w:rPr>
        <w:t xml:space="preserve">nad </w:t>
      </w:r>
      <w:r w:rsidRPr="00215B2F">
        <w:rPr>
          <w:rFonts w:ascii="Arial" w:eastAsia="Arial" w:hAnsi="Arial" w:cs="Arial"/>
          <w:sz w:val="20"/>
          <w:szCs w:val="20"/>
        </w:rPr>
        <w:t>bank</w:t>
      </w:r>
      <w:r w:rsidR="007B542E" w:rsidRPr="00215B2F">
        <w:rPr>
          <w:rFonts w:ascii="Arial" w:eastAsia="Arial" w:hAnsi="Arial" w:cs="Arial"/>
          <w:sz w:val="20"/>
          <w:szCs w:val="20"/>
        </w:rPr>
        <w:t>o</w:t>
      </w:r>
      <w:r w:rsidRPr="00215B2F">
        <w:rPr>
          <w:rFonts w:ascii="Arial" w:eastAsia="Arial" w:hAnsi="Arial" w:cs="Arial"/>
          <w:sz w:val="20"/>
          <w:szCs w:val="20"/>
        </w:rPr>
        <w:t xml:space="preserve">, ki jo obvladuje EU nadrejena kreditna institucija, potrebuje informacije glede uporabe pristopov in metodologij iz tega zakona </w:t>
      </w:r>
      <w:r w:rsidR="007B542E" w:rsidRPr="00215B2F">
        <w:rPr>
          <w:rFonts w:ascii="Arial" w:eastAsia="Arial" w:hAnsi="Arial" w:cs="Arial"/>
          <w:sz w:val="20"/>
          <w:szCs w:val="20"/>
        </w:rPr>
        <w:t xml:space="preserve">ter </w:t>
      </w:r>
      <w:r w:rsidRPr="00215B2F">
        <w:rPr>
          <w:rFonts w:ascii="Arial" w:eastAsia="Arial" w:hAnsi="Arial" w:cs="Arial"/>
          <w:sz w:val="20"/>
          <w:szCs w:val="20"/>
        </w:rPr>
        <w:t>Uredbe 575/2013/EU, preden naslovi na banko zahtevo za predložitev teh informacij, preveri, ali je to mogoče</w:t>
      </w:r>
      <w:r w:rsidR="007B542E" w:rsidRPr="00215B2F">
        <w:rPr>
          <w:rFonts w:ascii="Arial" w:eastAsia="Arial" w:hAnsi="Arial" w:cs="Arial"/>
          <w:sz w:val="20"/>
          <w:szCs w:val="20"/>
        </w:rPr>
        <w:t xml:space="preserve"> in</w:t>
      </w:r>
      <w:r w:rsidRPr="00215B2F">
        <w:rPr>
          <w:rFonts w:ascii="Arial" w:eastAsia="Arial" w:hAnsi="Arial" w:cs="Arial"/>
          <w:sz w:val="20"/>
          <w:szCs w:val="20"/>
        </w:rPr>
        <w:t xml:space="preserve"> ali so te informacije dostopne pri konsolidacijskem nadzorniku.</w:t>
      </w:r>
    </w:p>
    <w:p w14:paraId="57850F8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6B093EB" w14:textId="7EE28F0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konsolidacijski nadzornik ali pristojni organ druge države članice Banki Slovenije ne zagotovi vseh bistvenih informacij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oziroma se na zahtevo po zagotovitvi teh informacij ne odzove v razumnem roku, lahko Banka Slovenije to zadevo predloži Evropskemu bančnemu organu v skladu z 19. členom Uredbe 1093/2010/EU.</w:t>
      </w:r>
    </w:p>
    <w:p w14:paraId="5F275FD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4954B53"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86" w:name="_Ref202968162"/>
      <w:r w:rsidRPr="00215B2F">
        <w:rPr>
          <w:rFonts w:ascii="Arial" w:eastAsia="Arial" w:hAnsi="Arial" w:cs="Arial"/>
          <w:b/>
          <w:bCs/>
          <w:sz w:val="20"/>
          <w:szCs w:val="20"/>
        </w:rPr>
        <w:t>člen</w:t>
      </w:r>
      <w:bookmarkEnd w:id="486"/>
    </w:p>
    <w:p w14:paraId="747CF2C1"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(posvetovanje s pristojnimi organi držav članic, vključenimi v nadzor na konsolidirani podlagi)</w:t>
      </w:r>
    </w:p>
    <w:p w14:paraId="7879C1EF"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7211D65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se mora pred posamezno odločitvijo, ki je pomembna tudi za opravljanje nalog nadzora drugih pristojnih organov držav članic, z njimi posvetovati o:</w:t>
      </w:r>
    </w:p>
    <w:p w14:paraId="3158FD2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C72582A" w14:textId="77777777" w:rsidR="0005122C" w:rsidRPr="00215B2F" w:rsidRDefault="00D91782" w:rsidP="003D4DE0">
      <w:pPr>
        <w:pStyle w:val="tevilnatoka"/>
        <w:numPr>
          <w:ilvl w:val="0"/>
          <w:numId w:val="278"/>
        </w:numPr>
        <w:shd w:val="clear" w:color="auto" w:fill="FFFFFF" w:themeFill="background1"/>
        <w:tabs>
          <w:tab w:val="clear" w:pos="425"/>
        </w:tabs>
        <w:rPr>
          <w:rFonts w:cs="Arial"/>
          <w:bCs/>
          <w:sz w:val="20"/>
          <w:szCs w:val="20"/>
        </w:rPr>
      </w:pPr>
      <w:r w:rsidRPr="00215B2F">
        <w:rPr>
          <w:rFonts w:eastAsia="Arial" w:cs="Arial"/>
          <w:sz w:val="20"/>
          <w:szCs w:val="20"/>
        </w:rPr>
        <w:t>spremembah delničarske, organizacijske ali upravljavske strukture banke v skupini, za katere je treba pridobiti dovoljenje pristojnega organa;</w:t>
      </w:r>
    </w:p>
    <w:p w14:paraId="7257A36C" w14:textId="33E3999F" w:rsidR="00D91782" w:rsidRPr="00215B2F" w:rsidRDefault="00D91782" w:rsidP="003D4DE0">
      <w:pPr>
        <w:pStyle w:val="tevilnatoka"/>
        <w:numPr>
          <w:ilvl w:val="0"/>
          <w:numId w:val="278"/>
        </w:numPr>
        <w:shd w:val="clear" w:color="auto" w:fill="FFFFFF" w:themeFill="background1"/>
        <w:tabs>
          <w:tab w:val="clear" w:pos="425"/>
        </w:tabs>
        <w:rPr>
          <w:rFonts w:cs="Arial"/>
          <w:bCs/>
          <w:sz w:val="20"/>
          <w:szCs w:val="20"/>
        </w:rPr>
      </w:pPr>
      <w:r w:rsidRPr="00215B2F">
        <w:rPr>
          <w:rFonts w:eastAsia="Arial" w:cs="Arial"/>
          <w:sz w:val="20"/>
          <w:szCs w:val="20"/>
        </w:rPr>
        <w:t xml:space="preserve">pomembnih ukrepih, ki jih namerava izreči banki, vključno z zahtevo za zagotovitev kapitala na podlagi zahteve iz tretjega odstavka </w:t>
      </w:r>
      <w:r w:rsidR="005A78EE" w:rsidRPr="00215B2F">
        <w:rPr>
          <w:rFonts w:eastAsia="Arial" w:cs="Arial"/>
          <w:sz w:val="20"/>
          <w:szCs w:val="20"/>
        </w:rPr>
        <w:t>345</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in o vzpostavitvi vsake omejitve za uporabo naprednega pristopa za operativno tveganje v skladu z drugim odstavkom 312. člena Uredbe 575/2013/EU.</w:t>
      </w:r>
    </w:p>
    <w:p w14:paraId="272554E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E3706B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V primerih iz 2. točke prejšnjega odstavka se mora Banka Slovenije vedno posvetovati s konsolidacijskim nadzornikom.</w:t>
      </w:r>
    </w:p>
    <w:p w14:paraId="0008C04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AC4D63B" w14:textId="0E3FFFF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Ne glede na prvi in drugi </w:t>
      </w:r>
      <w:r w:rsidR="00746E88" w:rsidRPr="00215B2F">
        <w:rPr>
          <w:rFonts w:ascii="Arial" w:eastAsia="Arial" w:hAnsi="Arial" w:cs="Arial"/>
          <w:sz w:val="20"/>
          <w:szCs w:val="20"/>
        </w:rPr>
        <w:t>odstavek tega člena</w:t>
      </w:r>
      <w:r w:rsidRPr="00215B2F">
        <w:rPr>
          <w:rFonts w:ascii="Arial" w:eastAsia="Arial" w:hAnsi="Arial" w:cs="Arial"/>
          <w:sz w:val="20"/>
          <w:szCs w:val="20"/>
        </w:rPr>
        <w:t xml:space="preserve"> se Bank</w:t>
      </w:r>
      <w:r w:rsidR="007B542E" w:rsidRPr="00215B2F">
        <w:rPr>
          <w:rFonts w:ascii="Arial" w:eastAsia="Arial" w:hAnsi="Arial" w:cs="Arial"/>
          <w:sz w:val="20"/>
          <w:szCs w:val="20"/>
        </w:rPr>
        <w:t>i</w:t>
      </w:r>
      <w:r w:rsidRPr="00215B2F">
        <w:rPr>
          <w:rFonts w:ascii="Arial" w:eastAsia="Arial" w:hAnsi="Arial" w:cs="Arial"/>
          <w:sz w:val="20"/>
          <w:szCs w:val="20"/>
        </w:rPr>
        <w:t xml:space="preserve"> Slovenije ni </w:t>
      </w:r>
      <w:r w:rsidR="007B542E" w:rsidRPr="00215B2F">
        <w:rPr>
          <w:rFonts w:ascii="Arial" w:eastAsia="Arial" w:hAnsi="Arial" w:cs="Arial"/>
          <w:sz w:val="20"/>
          <w:szCs w:val="20"/>
        </w:rPr>
        <w:t>treba</w:t>
      </w:r>
      <w:r w:rsidRPr="00215B2F">
        <w:rPr>
          <w:rFonts w:ascii="Arial" w:eastAsia="Arial" w:hAnsi="Arial" w:cs="Arial"/>
          <w:sz w:val="20"/>
          <w:szCs w:val="20"/>
        </w:rPr>
        <w:t xml:space="preserve"> predhodno posvetovati, če je izvedba ukrepa nujna ali če bi postopek posvetovanja lahko ogrozil učinkovitost predvidenih ukrepov. V teh primerih mora Banka Slovenije obvestiti pristojni organ države članice nemudoma po sprejetju ukrepa.</w:t>
      </w:r>
    </w:p>
    <w:p w14:paraId="1C5B73F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B7DC7BD"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87" w:name="_Ref202968172"/>
      <w:r w:rsidRPr="00215B2F">
        <w:rPr>
          <w:rFonts w:ascii="Arial" w:eastAsia="Arial" w:hAnsi="Arial" w:cs="Arial"/>
          <w:b/>
          <w:bCs/>
          <w:sz w:val="20"/>
          <w:szCs w:val="20"/>
        </w:rPr>
        <w:t>člen</w:t>
      </w:r>
      <w:bookmarkEnd w:id="487"/>
    </w:p>
    <w:p w14:paraId="63FAF09F"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(obveznosti podrejenih družb in nadrejenega finančnega holdinga ali nadrejenega mešanega finančnega holdinga glede nadzora na konsolidirani podlagi)</w:t>
      </w:r>
    </w:p>
    <w:p w14:paraId="2CEDF667"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4012A3D0" w14:textId="484BAE6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(1) Podrejene družbe morajo nadrejeni banki v bančni skupini oziroma banki, ki jo obvladuje nadrejeni finančni holding ali nadrejeni mešani finančni holding, pos</w:t>
      </w:r>
      <w:r w:rsidR="007B542E" w:rsidRPr="00215B2F">
        <w:rPr>
          <w:rFonts w:ascii="Arial" w:eastAsia="Arial" w:hAnsi="Arial" w:cs="Arial"/>
          <w:sz w:val="20"/>
          <w:szCs w:val="20"/>
        </w:rPr>
        <w:t>l</w:t>
      </w:r>
      <w:r w:rsidRPr="00215B2F">
        <w:rPr>
          <w:rFonts w:ascii="Arial" w:eastAsia="Arial" w:hAnsi="Arial" w:cs="Arial"/>
          <w:sz w:val="20"/>
          <w:szCs w:val="20"/>
        </w:rPr>
        <w:t>ati vse informacije, ki jih ta potrebuje za izpolnitev obveznosti na konsolidirani podlagi.</w:t>
      </w:r>
    </w:p>
    <w:p w14:paraId="2623269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D8C92BA" w14:textId="1A6F639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Nadrejeni finančni holding ali nadrejeni mešani finančni holding mora svoji podrejeni banki pos</w:t>
      </w:r>
      <w:r w:rsidR="007B542E" w:rsidRPr="00215B2F">
        <w:rPr>
          <w:rFonts w:ascii="Arial" w:eastAsia="Arial" w:hAnsi="Arial" w:cs="Arial"/>
          <w:sz w:val="20"/>
          <w:szCs w:val="20"/>
        </w:rPr>
        <w:t>l</w:t>
      </w:r>
      <w:r w:rsidRPr="00215B2F">
        <w:rPr>
          <w:rFonts w:ascii="Arial" w:eastAsia="Arial" w:hAnsi="Arial" w:cs="Arial"/>
          <w:sz w:val="20"/>
          <w:szCs w:val="20"/>
        </w:rPr>
        <w:t>ati vse informacije, ki jih ta potrebuje za izpolnitev obveznosti na konsolidirani podlagi.</w:t>
      </w:r>
    </w:p>
    <w:p w14:paraId="04E5A69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933B69B" w14:textId="3E4B6E9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Če nadrejeni finančni holding ali nadrejeni mešani finančni holding banki ne po</w:t>
      </w:r>
      <w:r w:rsidR="007B542E" w:rsidRPr="00215B2F">
        <w:rPr>
          <w:rFonts w:ascii="Arial" w:eastAsia="Arial" w:hAnsi="Arial" w:cs="Arial"/>
          <w:sz w:val="20"/>
          <w:szCs w:val="20"/>
        </w:rPr>
        <w:t>šl</w:t>
      </w:r>
      <w:r w:rsidRPr="00215B2F">
        <w:rPr>
          <w:rFonts w:ascii="Arial" w:eastAsia="Arial" w:hAnsi="Arial" w:cs="Arial"/>
          <w:sz w:val="20"/>
          <w:szCs w:val="20"/>
        </w:rPr>
        <w:t>je informacij iz prejšnjega odstavka, mora banka o tem takoj obvestiti Banko Slovenije.</w:t>
      </w:r>
    </w:p>
    <w:p w14:paraId="4FF13F6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51A7695" w14:textId="1C21B5E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Podrejene družbe in nadrejeni finančni holding ali nadrejeni mešani finančni holding morajo Banki Slovenije oziroma drugemu pristojnemu organu, pristojnemu in odgovornemu za nadzor na konsolidirani podlagi, omogočiti, da opravi pregled poslovanja zaradi preveritve informacij iz prvega oziroma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1344315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A265A62" w14:textId="5D5D2BA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Obveznosti iz prvega do četrtega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obstajajo tudi, če nadrejena banka, nadrejeni finančni holding, nadrejeni mešani finančni holding ali banka, ki je podrejena nadrejenemu finančnemu holdingu ali mešanemu finančnemu holdingu, nima sedeža v Republiki Sloveniji.</w:t>
      </w:r>
    </w:p>
    <w:p w14:paraId="6C6631C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7906068" w14:textId="0531562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Družba, ki je podrejena banki, finančnemu holdingu ali mešanemu finančnemu holdingu, vendar ni vključena v nadzor na konsolidirani podlagi te banke, finančnega holdinga oziroma mešanega finančnega holdinga, mora pristojnemu organu, pristojnemu za nadzor na konsolidirani podlagi </w:t>
      </w:r>
      <w:r w:rsidR="007B542E" w:rsidRPr="00215B2F">
        <w:rPr>
          <w:rFonts w:ascii="Arial" w:eastAsia="Arial" w:hAnsi="Arial" w:cs="Arial"/>
          <w:sz w:val="20"/>
          <w:szCs w:val="20"/>
        </w:rPr>
        <w:t xml:space="preserve">nad </w:t>
      </w:r>
      <w:r w:rsidRPr="00215B2F">
        <w:rPr>
          <w:rFonts w:ascii="Arial" w:eastAsia="Arial" w:hAnsi="Arial" w:cs="Arial"/>
          <w:sz w:val="20"/>
          <w:szCs w:val="20"/>
        </w:rPr>
        <w:t>t</w:t>
      </w:r>
      <w:r w:rsidR="007B542E" w:rsidRPr="00215B2F">
        <w:rPr>
          <w:rFonts w:ascii="Arial" w:eastAsia="Arial" w:hAnsi="Arial" w:cs="Arial"/>
          <w:sz w:val="20"/>
          <w:szCs w:val="20"/>
        </w:rPr>
        <w:t>o</w:t>
      </w:r>
      <w:r w:rsidRPr="00215B2F">
        <w:rPr>
          <w:rFonts w:ascii="Arial" w:eastAsia="Arial" w:hAnsi="Arial" w:cs="Arial"/>
          <w:sz w:val="20"/>
          <w:szCs w:val="20"/>
        </w:rPr>
        <w:t xml:space="preserve"> bank</w:t>
      </w:r>
      <w:r w:rsidR="00475A69" w:rsidRPr="00215B2F">
        <w:rPr>
          <w:rFonts w:ascii="Arial" w:eastAsia="Arial" w:hAnsi="Arial" w:cs="Arial"/>
          <w:sz w:val="20"/>
          <w:szCs w:val="20"/>
        </w:rPr>
        <w:t>o</w:t>
      </w:r>
      <w:r w:rsidRPr="00215B2F">
        <w:rPr>
          <w:rFonts w:ascii="Arial" w:eastAsia="Arial" w:hAnsi="Arial" w:cs="Arial"/>
          <w:sz w:val="20"/>
          <w:szCs w:val="20"/>
        </w:rPr>
        <w:t>, finančn</w:t>
      </w:r>
      <w:r w:rsidR="00475A69" w:rsidRPr="00215B2F">
        <w:rPr>
          <w:rFonts w:ascii="Arial" w:eastAsia="Arial" w:hAnsi="Arial" w:cs="Arial"/>
          <w:sz w:val="20"/>
          <w:szCs w:val="20"/>
        </w:rPr>
        <w:t>im</w:t>
      </w:r>
      <w:r w:rsidRPr="00215B2F">
        <w:rPr>
          <w:rFonts w:ascii="Arial" w:eastAsia="Arial" w:hAnsi="Arial" w:cs="Arial"/>
          <w:sz w:val="20"/>
          <w:szCs w:val="20"/>
        </w:rPr>
        <w:t xml:space="preserve"> holding</w:t>
      </w:r>
      <w:r w:rsidR="00475A69" w:rsidRPr="00215B2F">
        <w:rPr>
          <w:rFonts w:ascii="Arial" w:eastAsia="Arial" w:hAnsi="Arial" w:cs="Arial"/>
          <w:sz w:val="20"/>
          <w:szCs w:val="20"/>
        </w:rPr>
        <w:t>om</w:t>
      </w:r>
      <w:r w:rsidRPr="00215B2F">
        <w:rPr>
          <w:rFonts w:ascii="Arial" w:eastAsia="Arial" w:hAnsi="Arial" w:cs="Arial"/>
          <w:sz w:val="20"/>
          <w:szCs w:val="20"/>
        </w:rPr>
        <w:t xml:space="preserve"> oziroma mešan</w:t>
      </w:r>
      <w:r w:rsidR="00475A69" w:rsidRPr="00215B2F">
        <w:rPr>
          <w:rFonts w:ascii="Arial" w:eastAsia="Arial" w:hAnsi="Arial" w:cs="Arial"/>
          <w:sz w:val="20"/>
          <w:szCs w:val="20"/>
        </w:rPr>
        <w:t>im</w:t>
      </w:r>
      <w:r w:rsidRPr="00215B2F">
        <w:rPr>
          <w:rFonts w:ascii="Arial" w:eastAsia="Arial" w:hAnsi="Arial" w:cs="Arial"/>
          <w:sz w:val="20"/>
          <w:szCs w:val="20"/>
        </w:rPr>
        <w:t xml:space="preserve"> finančn</w:t>
      </w:r>
      <w:r w:rsidR="00475A69" w:rsidRPr="00215B2F">
        <w:rPr>
          <w:rFonts w:ascii="Arial" w:eastAsia="Arial" w:hAnsi="Arial" w:cs="Arial"/>
          <w:sz w:val="20"/>
          <w:szCs w:val="20"/>
        </w:rPr>
        <w:t>im</w:t>
      </w:r>
      <w:r w:rsidRPr="00215B2F">
        <w:rPr>
          <w:rFonts w:ascii="Arial" w:eastAsia="Arial" w:hAnsi="Arial" w:cs="Arial"/>
          <w:sz w:val="20"/>
          <w:szCs w:val="20"/>
        </w:rPr>
        <w:t xml:space="preserve"> holding</w:t>
      </w:r>
      <w:r w:rsidR="00475A69" w:rsidRPr="00215B2F">
        <w:rPr>
          <w:rFonts w:ascii="Arial" w:eastAsia="Arial" w:hAnsi="Arial" w:cs="Arial"/>
          <w:sz w:val="20"/>
          <w:szCs w:val="20"/>
        </w:rPr>
        <w:t>om</w:t>
      </w:r>
      <w:r w:rsidRPr="00215B2F">
        <w:rPr>
          <w:rFonts w:ascii="Arial" w:eastAsia="Arial" w:hAnsi="Arial" w:cs="Arial"/>
          <w:sz w:val="20"/>
          <w:szCs w:val="20"/>
        </w:rPr>
        <w:t>:</w:t>
      </w:r>
    </w:p>
    <w:p w14:paraId="68CF49C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9BA0AAC" w14:textId="667A94FA" w:rsidR="0005122C" w:rsidRPr="00215B2F" w:rsidRDefault="00D91782" w:rsidP="003D4DE0">
      <w:pPr>
        <w:pStyle w:val="tevilnatoka"/>
        <w:numPr>
          <w:ilvl w:val="0"/>
          <w:numId w:val="279"/>
        </w:numPr>
        <w:shd w:val="clear" w:color="auto" w:fill="FFFFFF" w:themeFill="background1"/>
        <w:tabs>
          <w:tab w:val="clear" w:pos="425"/>
        </w:tabs>
        <w:rPr>
          <w:rFonts w:cs="Arial"/>
          <w:bCs/>
          <w:sz w:val="20"/>
          <w:szCs w:val="20"/>
        </w:rPr>
      </w:pPr>
      <w:r w:rsidRPr="00215B2F">
        <w:rPr>
          <w:rFonts w:eastAsia="Arial" w:cs="Arial"/>
          <w:sz w:val="20"/>
          <w:szCs w:val="20"/>
        </w:rPr>
        <w:t>na njegovo zahtevo pos</w:t>
      </w:r>
      <w:r w:rsidR="00475A69" w:rsidRPr="00215B2F">
        <w:rPr>
          <w:rFonts w:eastAsia="Arial" w:cs="Arial"/>
          <w:sz w:val="20"/>
          <w:szCs w:val="20"/>
        </w:rPr>
        <w:t>l</w:t>
      </w:r>
      <w:r w:rsidRPr="00215B2F">
        <w:rPr>
          <w:rFonts w:eastAsia="Arial" w:cs="Arial"/>
          <w:sz w:val="20"/>
          <w:szCs w:val="20"/>
        </w:rPr>
        <w:t xml:space="preserve">ati vse informacije, potrebne za nadzor </w:t>
      </w:r>
      <w:r w:rsidR="001E611A" w:rsidRPr="00215B2F">
        <w:rPr>
          <w:rFonts w:eastAsia="Arial" w:cs="Arial"/>
          <w:sz w:val="20"/>
          <w:szCs w:val="20"/>
        </w:rPr>
        <w:t xml:space="preserve">nad </w:t>
      </w:r>
      <w:r w:rsidRPr="00215B2F">
        <w:rPr>
          <w:rFonts w:eastAsia="Arial" w:cs="Arial"/>
          <w:sz w:val="20"/>
          <w:szCs w:val="20"/>
        </w:rPr>
        <w:t>posamezni</w:t>
      </w:r>
      <w:r w:rsidR="001E611A" w:rsidRPr="00215B2F">
        <w:rPr>
          <w:rFonts w:eastAsia="Arial" w:cs="Arial"/>
          <w:sz w:val="20"/>
          <w:szCs w:val="20"/>
        </w:rPr>
        <w:t>mi</w:t>
      </w:r>
      <w:r w:rsidRPr="00215B2F">
        <w:rPr>
          <w:rFonts w:eastAsia="Arial" w:cs="Arial"/>
          <w:sz w:val="20"/>
          <w:szCs w:val="20"/>
        </w:rPr>
        <w:t xml:space="preserve"> bank</w:t>
      </w:r>
      <w:r w:rsidR="001E611A" w:rsidRPr="00215B2F">
        <w:rPr>
          <w:rFonts w:eastAsia="Arial" w:cs="Arial"/>
          <w:sz w:val="20"/>
          <w:szCs w:val="20"/>
        </w:rPr>
        <w:t>ami</w:t>
      </w:r>
      <w:r w:rsidRPr="00215B2F">
        <w:rPr>
          <w:rFonts w:eastAsia="Arial" w:cs="Arial"/>
          <w:sz w:val="20"/>
          <w:szCs w:val="20"/>
        </w:rPr>
        <w:t xml:space="preserve"> v bančni skupini;</w:t>
      </w:r>
    </w:p>
    <w:p w14:paraId="178F303F" w14:textId="1CE8CAD5" w:rsidR="00D91782" w:rsidRPr="00215B2F" w:rsidRDefault="00D91782" w:rsidP="003D4DE0">
      <w:pPr>
        <w:pStyle w:val="tevilnatoka"/>
        <w:numPr>
          <w:ilvl w:val="0"/>
          <w:numId w:val="279"/>
        </w:numPr>
        <w:shd w:val="clear" w:color="auto" w:fill="FFFFFF" w:themeFill="background1"/>
        <w:tabs>
          <w:tab w:val="clear" w:pos="425"/>
        </w:tabs>
        <w:rPr>
          <w:rFonts w:cs="Arial"/>
          <w:bCs/>
          <w:sz w:val="20"/>
          <w:szCs w:val="20"/>
        </w:rPr>
      </w:pPr>
      <w:r w:rsidRPr="00215B2F">
        <w:rPr>
          <w:rFonts w:eastAsia="Arial" w:cs="Arial"/>
          <w:sz w:val="20"/>
          <w:szCs w:val="20"/>
        </w:rPr>
        <w:t>omogočiti, da opravi pregled poslovanja zaradi preveritve informacij iz prejšnje točke.</w:t>
      </w:r>
    </w:p>
    <w:p w14:paraId="6B3A91F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0FE8999" w14:textId="3D89299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Če je družba iz prejšnjega odstavka zavarovalnica ali investicijsko podjetje, se pridobivanje oziroma preverjanje informacij lahko opravi tudi po postopku sodelovanja z nadzornimi organi iz </w:t>
      </w:r>
      <w:r w:rsidR="00576A49" w:rsidRPr="00215B2F">
        <w:rPr>
          <w:rFonts w:ascii="Arial" w:eastAsia="Arial" w:hAnsi="Arial" w:cs="Arial"/>
          <w:sz w:val="20"/>
          <w:szCs w:val="20"/>
        </w:rPr>
        <w:t>426</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7FF1768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D5D82AB" w14:textId="520CCAD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(8) Če ima družba iz šestega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sedež v drugi državi članici, se pregled poslovanja iz 2. točke šestega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lahko opravi tudi na način iz </w:t>
      </w:r>
      <w:r w:rsidR="00576A49" w:rsidRPr="00215B2F">
        <w:rPr>
          <w:rFonts w:ascii="Arial" w:eastAsia="Arial" w:hAnsi="Arial" w:cs="Arial"/>
          <w:sz w:val="20"/>
          <w:szCs w:val="20"/>
        </w:rPr>
        <w:t>428</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376AC1B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5979E5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(9) V primeru podrejene banke, ki ni vključena v nadzor na konsolidirani podlagi v skladu z enim od primerov iz 19. člena Uredbe 575/2013/EU, lahko Banka Slovenije od nadrejene osebe zahteva informacije, ki bi olajšale nadzor nad to podrejeno banko.</w:t>
      </w:r>
    </w:p>
    <w:p w14:paraId="74A172C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0BCFE9A"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88" w:name="_Ref202968182"/>
      <w:r w:rsidRPr="00215B2F">
        <w:rPr>
          <w:rFonts w:ascii="Arial" w:eastAsia="Arial" w:hAnsi="Arial" w:cs="Arial"/>
          <w:b/>
          <w:bCs/>
          <w:sz w:val="20"/>
          <w:szCs w:val="20"/>
        </w:rPr>
        <w:t>člen</w:t>
      </w:r>
      <w:bookmarkEnd w:id="488"/>
    </w:p>
    <w:p w14:paraId="5EA505D8"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(izpolnjevanje obveznosti na konsolidirani podlagi v zvezi z mešanim finančnim holdingom)</w:t>
      </w:r>
    </w:p>
    <w:p w14:paraId="7BDE245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4259EB0" w14:textId="7BA7701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za mešani finančni holding veljajo enakovredne določbe po tem zakonu in ZFK, zlasti glede nadzora nad upravljanjem tveganj, lahko Banka Slovenije kot konsolidacijski nadzornik po posvetovanju z drugimi pristojnimi ali nadzornimi organi, pristojnimi za nadzor </w:t>
      </w:r>
      <w:r w:rsidR="001E611A" w:rsidRPr="00215B2F">
        <w:rPr>
          <w:rFonts w:ascii="Arial" w:eastAsia="Arial" w:hAnsi="Arial" w:cs="Arial"/>
          <w:sz w:val="20"/>
          <w:szCs w:val="20"/>
        </w:rPr>
        <w:t xml:space="preserve">nad </w:t>
      </w:r>
      <w:r w:rsidRPr="00215B2F">
        <w:rPr>
          <w:rFonts w:ascii="Arial" w:eastAsia="Arial" w:hAnsi="Arial" w:cs="Arial"/>
          <w:sz w:val="20"/>
          <w:szCs w:val="20"/>
        </w:rPr>
        <w:t>podrejeni</w:t>
      </w:r>
      <w:r w:rsidR="001E611A" w:rsidRPr="00215B2F">
        <w:rPr>
          <w:rFonts w:ascii="Arial" w:eastAsia="Arial" w:hAnsi="Arial" w:cs="Arial"/>
          <w:sz w:val="20"/>
          <w:szCs w:val="20"/>
        </w:rPr>
        <w:t>mi</w:t>
      </w:r>
      <w:r w:rsidRPr="00215B2F">
        <w:rPr>
          <w:rFonts w:ascii="Arial" w:eastAsia="Arial" w:hAnsi="Arial" w:cs="Arial"/>
          <w:sz w:val="20"/>
          <w:szCs w:val="20"/>
        </w:rPr>
        <w:t xml:space="preserve"> oseb</w:t>
      </w:r>
      <w:r w:rsidR="001E611A" w:rsidRPr="00215B2F">
        <w:rPr>
          <w:rFonts w:ascii="Arial" w:eastAsia="Arial" w:hAnsi="Arial" w:cs="Arial"/>
          <w:sz w:val="20"/>
          <w:szCs w:val="20"/>
        </w:rPr>
        <w:t>ami</w:t>
      </w:r>
      <w:r w:rsidRPr="00215B2F">
        <w:rPr>
          <w:rFonts w:ascii="Arial" w:eastAsia="Arial" w:hAnsi="Arial" w:cs="Arial"/>
          <w:sz w:val="20"/>
          <w:szCs w:val="20"/>
        </w:rPr>
        <w:t>, za ta mešani finančni holding uporabi samo ustrezne določbe ZFK.</w:t>
      </w:r>
    </w:p>
    <w:p w14:paraId="0245818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F861B36" w14:textId="512AAE3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Če za mešani finančni holding veljajo enakovredne določbe po tem zakonu in zakonu, ki ureja zavarovalništvo, zlasti glede nadzora nad upravljanjem tveganj, lahko Banka Slovenije kot konsolidacijski nadzornik v dogovoru z nadzornim organom, pristojnim za nadzor </w:t>
      </w:r>
      <w:r w:rsidR="001E611A" w:rsidRPr="00215B2F">
        <w:rPr>
          <w:rFonts w:ascii="Arial" w:eastAsia="Arial" w:hAnsi="Arial" w:cs="Arial"/>
          <w:sz w:val="20"/>
          <w:szCs w:val="20"/>
        </w:rPr>
        <w:t xml:space="preserve">nad </w:t>
      </w:r>
      <w:r w:rsidRPr="00215B2F">
        <w:rPr>
          <w:rFonts w:ascii="Arial" w:eastAsia="Arial" w:hAnsi="Arial" w:cs="Arial"/>
          <w:sz w:val="20"/>
          <w:szCs w:val="20"/>
        </w:rPr>
        <w:t>zavarovalnišk</w:t>
      </w:r>
      <w:r w:rsidR="001E611A" w:rsidRPr="00215B2F">
        <w:rPr>
          <w:rFonts w:ascii="Arial" w:eastAsia="Arial" w:hAnsi="Arial" w:cs="Arial"/>
          <w:sz w:val="20"/>
          <w:szCs w:val="20"/>
        </w:rPr>
        <w:t>o</w:t>
      </w:r>
      <w:r w:rsidRPr="00215B2F">
        <w:rPr>
          <w:rFonts w:ascii="Arial" w:eastAsia="Arial" w:hAnsi="Arial" w:cs="Arial"/>
          <w:sz w:val="20"/>
          <w:szCs w:val="20"/>
        </w:rPr>
        <w:t xml:space="preserve"> skupin</w:t>
      </w:r>
      <w:r w:rsidR="001E611A" w:rsidRPr="00215B2F">
        <w:rPr>
          <w:rFonts w:ascii="Arial" w:eastAsia="Arial" w:hAnsi="Arial" w:cs="Arial"/>
          <w:sz w:val="20"/>
          <w:szCs w:val="20"/>
        </w:rPr>
        <w:t>o</w:t>
      </w:r>
      <w:r w:rsidRPr="00215B2F">
        <w:rPr>
          <w:rFonts w:ascii="Arial" w:eastAsia="Arial" w:hAnsi="Arial" w:cs="Arial"/>
          <w:sz w:val="20"/>
          <w:szCs w:val="20"/>
        </w:rPr>
        <w:t>, za ta mešani finančni holding uporabi samo določbe tega zakona, ki veljajo za bančni sektor kot najpomembnejši v finančnem sektorju finančnega konglomerata, k</w:t>
      </w:r>
      <w:r w:rsidR="00EB484E" w:rsidRPr="00215B2F">
        <w:rPr>
          <w:rFonts w:ascii="Arial" w:eastAsia="Arial" w:hAnsi="Arial" w:cs="Arial"/>
          <w:sz w:val="20"/>
          <w:szCs w:val="20"/>
        </w:rPr>
        <w:t>akor</w:t>
      </w:r>
      <w:r w:rsidRPr="00215B2F">
        <w:rPr>
          <w:rFonts w:ascii="Arial" w:eastAsia="Arial" w:hAnsi="Arial" w:cs="Arial"/>
          <w:sz w:val="20"/>
          <w:szCs w:val="20"/>
        </w:rPr>
        <w:t xml:space="preserve"> je opredeljen v 9. in 10. členu ZFK.</w:t>
      </w:r>
    </w:p>
    <w:p w14:paraId="16CECF4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6F35793" w14:textId="3DF069F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Banka Slovenije kot konsolidacijski nadzornik obvesti Evropski bančni organ in Evropski organ za zavarovanja in poklicne pokojnine o sklepih, sprejetih na podlagi prvega in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1073686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6786A78"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89" w:name="_Ref202968187"/>
      <w:r w:rsidRPr="00215B2F">
        <w:rPr>
          <w:rFonts w:ascii="Arial" w:eastAsia="Arial" w:hAnsi="Arial" w:cs="Arial"/>
          <w:b/>
          <w:bCs/>
          <w:sz w:val="20"/>
          <w:szCs w:val="20"/>
        </w:rPr>
        <w:t>člen</w:t>
      </w:r>
      <w:bookmarkEnd w:id="489"/>
    </w:p>
    <w:p w14:paraId="469A1314"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(obveznosti mešanega poslovnega holdinga in njegovih podrejenih družb glede nadzora)</w:t>
      </w:r>
    </w:p>
    <w:p w14:paraId="1FDABE89"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25CC4033" w14:textId="6A2DC96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(1) Če je družba, ki je nadrejena eni ali več bankam, mešani poslovni holding, morajo mešani poslovni holding in njegove podrejene družbe podrejenim bankam oziroma Banki Slovenije in drugim pristojnim organom pos</w:t>
      </w:r>
      <w:r w:rsidR="008B437C" w:rsidRPr="00215B2F">
        <w:rPr>
          <w:rFonts w:ascii="Arial" w:eastAsia="Arial" w:hAnsi="Arial" w:cs="Arial"/>
          <w:sz w:val="20"/>
          <w:szCs w:val="20"/>
        </w:rPr>
        <w:t>l</w:t>
      </w:r>
      <w:r w:rsidRPr="00215B2F">
        <w:rPr>
          <w:rFonts w:ascii="Arial" w:eastAsia="Arial" w:hAnsi="Arial" w:cs="Arial"/>
          <w:sz w:val="20"/>
          <w:szCs w:val="20"/>
        </w:rPr>
        <w:t>ati vse informacije, ki so pomembne za nadzor</w:t>
      </w:r>
      <w:r w:rsidR="008B437C" w:rsidRPr="00215B2F">
        <w:rPr>
          <w:rFonts w:ascii="Arial" w:eastAsia="Arial" w:hAnsi="Arial" w:cs="Arial"/>
          <w:sz w:val="20"/>
          <w:szCs w:val="20"/>
        </w:rPr>
        <w:t xml:space="preserve"> nad</w:t>
      </w:r>
      <w:r w:rsidRPr="00215B2F">
        <w:rPr>
          <w:rFonts w:ascii="Arial" w:eastAsia="Arial" w:hAnsi="Arial" w:cs="Arial"/>
          <w:sz w:val="20"/>
          <w:szCs w:val="20"/>
        </w:rPr>
        <w:t xml:space="preserve"> te</w:t>
      </w:r>
      <w:r w:rsidR="008B437C" w:rsidRPr="00215B2F">
        <w:rPr>
          <w:rFonts w:ascii="Arial" w:eastAsia="Arial" w:hAnsi="Arial" w:cs="Arial"/>
          <w:sz w:val="20"/>
          <w:szCs w:val="20"/>
        </w:rPr>
        <w:t>mi</w:t>
      </w:r>
      <w:r w:rsidRPr="00215B2F">
        <w:rPr>
          <w:rFonts w:ascii="Arial" w:eastAsia="Arial" w:hAnsi="Arial" w:cs="Arial"/>
          <w:sz w:val="20"/>
          <w:szCs w:val="20"/>
        </w:rPr>
        <w:t xml:space="preserve"> podrejeni</w:t>
      </w:r>
      <w:r w:rsidR="008B437C" w:rsidRPr="00215B2F">
        <w:rPr>
          <w:rFonts w:ascii="Arial" w:eastAsia="Arial" w:hAnsi="Arial" w:cs="Arial"/>
          <w:sz w:val="20"/>
          <w:szCs w:val="20"/>
        </w:rPr>
        <w:t>mi</w:t>
      </w:r>
      <w:r w:rsidRPr="00215B2F">
        <w:rPr>
          <w:rFonts w:ascii="Arial" w:eastAsia="Arial" w:hAnsi="Arial" w:cs="Arial"/>
          <w:sz w:val="20"/>
          <w:szCs w:val="20"/>
        </w:rPr>
        <w:t xml:space="preserve"> bank</w:t>
      </w:r>
      <w:r w:rsidR="008B437C" w:rsidRPr="00215B2F">
        <w:rPr>
          <w:rFonts w:ascii="Arial" w:eastAsia="Arial" w:hAnsi="Arial" w:cs="Arial"/>
          <w:sz w:val="20"/>
          <w:szCs w:val="20"/>
        </w:rPr>
        <w:t>ami</w:t>
      </w:r>
      <w:r w:rsidRPr="00215B2F">
        <w:rPr>
          <w:rFonts w:ascii="Arial" w:eastAsia="Arial" w:hAnsi="Arial" w:cs="Arial"/>
          <w:sz w:val="20"/>
          <w:szCs w:val="20"/>
        </w:rPr>
        <w:t>.</w:t>
      </w:r>
    </w:p>
    <w:p w14:paraId="27C7A15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0867FDF" w14:textId="79956B8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Nadrejeni mešani poslovni holding in njegove podrejene družbe morajo Banki Slovenije oziroma drugemu pristojnemu organu, pristojnemu in odgovornemu za nadzor </w:t>
      </w:r>
      <w:r w:rsidR="008B437C" w:rsidRPr="00215B2F">
        <w:rPr>
          <w:rFonts w:ascii="Arial" w:eastAsia="Arial" w:hAnsi="Arial" w:cs="Arial"/>
          <w:sz w:val="20"/>
          <w:szCs w:val="20"/>
        </w:rPr>
        <w:t xml:space="preserve">nad </w:t>
      </w:r>
      <w:r w:rsidRPr="00215B2F">
        <w:rPr>
          <w:rFonts w:ascii="Arial" w:eastAsia="Arial" w:hAnsi="Arial" w:cs="Arial"/>
          <w:sz w:val="20"/>
          <w:szCs w:val="20"/>
        </w:rPr>
        <w:t>podrejeni</w:t>
      </w:r>
      <w:r w:rsidR="008B437C" w:rsidRPr="00215B2F">
        <w:rPr>
          <w:rFonts w:ascii="Arial" w:eastAsia="Arial" w:hAnsi="Arial" w:cs="Arial"/>
          <w:sz w:val="20"/>
          <w:szCs w:val="20"/>
        </w:rPr>
        <w:t>mi</w:t>
      </w:r>
      <w:r w:rsidRPr="00215B2F">
        <w:rPr>
          <w:rFonts w:ascii="Arial" w:eastAsia="Arial" w:hAnsi="Arial" w:cs="Arial"/>
          <w:sz w:val="20"/>
          <w:szCs w:val="20"/>
        </w:rPr>
        <w:t xml:space="preserve"> bank</w:t>
      </w:r>
      <w:r w:rsidR="008B437C" w:rsidRPr="00215B2F">
        <w:rPr>
          <w:rFonts w:ascii="Arial" w:eastAsia="Arial" w:hAnsi="Arial" w:cs="Arial"/>
          <w:sz w:val="20"/>
          <w:szCs w:val="20"/>
        </w:rPr>
        <w:t>ami</w:t>
      </w:r>
      <w:r w:rsidRPr="00215B2F">
        <w:rPr>
          <w:rFonts w:ascii="Arial" w:eastAsia="Arial" w:hAnsi="Arial" w:cs="Arial"/>
          <w:sz w:val="20"/>
          <w:szCs w:val="20"/>
        </w:rPr>
        <w:t>, omogočiti, da opravi pregled poslovanja zaradi preveritve informacij iz prejšnjega odstavka.</w:t>
      </w:r>
    </w:p>
    <w:p w14:paraId="32E456F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CEA24F6" w14:textId="4FCD624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V primeru, ko ima mešani poslovni holding ali ena od njegovih podrejenih družb sedež v drugi državi članici, se preverjanje informacij opravi v skladu s </w:t>
      </w:r>
      <w:r w:rsidR="00576A49" w:rsidRPr="00215B2F">
        <w:rPr>
          <w:rFonts w:ascii="Arial" w:eastAsia="Arial" w:hAnsi="Arial" w:cs="Arial"/>
          <w:sz w:val="20"/>
          <w:szCs w:val="20"/>
        </w:rPr>
        <w:t>428</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3D98F7A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061153D"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90" w:name="_Ref202968194"/>
      <w:r w:rsidRPr="00215B2F">
        <w:rPr>
          <w:rFonts w:ascii="Arial" w:eastAsia="Arial" w:hAnsi="Arial" w:cs="Arial"/>
          <w:b/>
          <w:bCs/>
          <w:sz w:val="20"/>
          <w:szCs w:val="20"/>
        </w:rPr>
        <w:t>člen</w:t>
      </w:r>
      <w:bookmarkEnd w:id="490"/>
    </w:p>
    <w:p w14:paraId="055F63E1"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(nadzor nad posli med mešanim poslovnim holdingom in podrejenimi družbami)</w:t>
      </w:r>
    </w:p>
    <w:p w14:paraId="378769C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0F1FC9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Če je družba, ki je nadrejena eni ali več bankam, mešani poslovni holding, je Banka Slovenije v okviru svojih pristojnosti in odgovornosti za nadzor nad temi bankami pristojna in odgovorna tudi za nadzor nad posli med temi bankami in mešanim poslovnim holdingom ter njegovimi drugimi podrejenimi družbami.</w:t>
      </w:r>
    </w:p>
    <w:p w14:paraId="3E740C0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4FDC32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V primeru iz prejšnjega odstavka mora banka vzpostaviti in dosledno uresničevati primerne notranje postopke za upravljanje tveganj in mehanizme notranjih kontrol, vključno z zanesljivimi postopki poročanja ter računovodskimi postopki, z namenom ugotavljanja, merjenja, spremljanja in nadzora poslov z njenim nadrejenim mešanim poslovnim holdingom in njegovimi podrejenimi družbami.</w:t>
      </w:r>
    </w:p>
    <w:p w14:paraId="163496D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A8CAB7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mora Banki Slovenije poročati o vseh pomembnih poslih z mešanim poslovnim holdingom in njegovimi drugimi podrejenimi družbami, ki niso vključeni v poročanje na podlagi 394. člena Uredbe 575/2013/EU.</w:t>
      </w:r>
    </w:p>
    <w:p w14:paraId="019B1F3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7096E4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lahko podrobneje predpiše način, vsebino in pogostost poročanja iz prejšnjega odstavka.</w:t>
      </w:r>
    </w:p>
    <w:p w14:paraId="7E8CAAEB" w14:textId="77777777" w:rsidR="000865CC" w:rsidRPr="00215B2F" w:rsidRDefault="000865CC" w:rsidP="00FD5520">
      <w:pPr>
        <w:shd w:val="clear" w:color="auto" w:fill="FFFFFF" w:themeFill="background1"/>
        <w:spacing w:after="0" w:line="240" w:lineRule="auto"/>
        <w:jc w:val="both"/>
        <w:rPr>
          <w:rFonts w:ascii="Arial" w:eastAsia="Arial" w:hAnsi="Arial" w:cs="Arial"/>
          <w:sz w:val="20"/>
          <w:szCs w:val="20"/>
        </w:rPr>
      </w:pPr>
    </w:p>
    <w:p w14:paraId="278CBA07" w14:textId="77777777" w:rsidR="000865CC" w:rsidRPr="00215B2F" w:rsidRDefault="000865CC"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91" w:name="_Ref202968200"/>
      <w:r w:rsidRPr="00215B2F">
        <w:rPr>
          <w:rFonts w:ascii="Arial" w:eastAsia="Arial" w:hAnsi="Arial" w:cs="Arial"/>
          <w:b/>
          <w:bCs/>
          <w:sz w:val="20"/>
          <w:szCs w:val="20"/>
        </w:rPr>
        <w:t>člen</w:t>
      </w:r>
      <w:bookmarkEnd w:id="491"/>
    </w:p>
    <w:p w14:paraId="506B7CCB"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(izmenjava informacij za namen nadzora na konsolidirani podlagi)</w:t>
      </w:r>
    </w:p>
    <w:p w14:paraId="469F52C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937B718" w14:textId="4B14E9B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Če imata nadrejena družba in </w:t>
      </w:r>
      <w:r w:rsidR="00D93142" w:rsidRPr="00215B2F">
        <w:rPr>
          <w:rFonts w:ascii="Arial" w:eastAsia="Arial" w:hAnsi="Arial" w:cs="Arial"/>
          <w:sz w:val="20"/>
          <w:szCs w:val="20"/>
        </w:rPr>
        <w:t xml:space="preserve">katera koli </w:t>
      </w:r>
      <w:r w:rsidRPr="00215B2F">
        <w:rPr>
          <w:rFonts w:ascii="Arial" w:eastAsia="Arial" w:hAnsi="Arial" w:cs="Arial"/>
          <w:sz w:val="20"/>
          <w:szCs w:val="20"/>
        </w:rPr>
        <w:t>banka, ki ji je podrejena, sedeža v različnih državah članicah, si mora Banka Slovenije s pristojnimi organi teh držav članic izmenjevati vse pomembne informacije, ki lahko omogočijo izvajanje nadzora na konsolidirani podlagi ali k temu pripomorejo.</w:t>
      </w:r>
    </w:p>
    <w:p w14:paraId="1977F7E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A6E06C7"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92" w:name="_Ref202968205"/>
      <w:r w:rsidRPr="00215B2F">
        <w:rPr>
          <w:rFonts w:ascii="Arial" w:eastAsia="Arial" w:hAnsi="Arial" w:cs="Arial"/>
          <w:b/>
          <w:bCs/>
          <w:sz w:val="20"/>
          <w:szCs w:val="20"/>
        </w:rPr>
        <w:t>člen</w:t>
      </w:r>
      <w:bookmarkEnd w:id="492"/>
    </w:p>
    <w:p w14:paraId="4F1CD360"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(sodelovanje med nadzornimi organi, če je ena od podrejenih družb zavarovalnica ali investicijsko podjetje)</w:t>
      </w:r>
    </w:p>
    <w:p w14:paraId="1FE5E25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129F77B" w14:textId="5F6B6E8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Če banka, finančni holding, mešani finančni holding ali mešani poslovni holding obvladuje eno ali več podrejenih družb, ki imajo položaj zavarovalnice</w:t>
      </w:r>
      <w:r w:rsidR="008B437C" w:rsidRPr="00215B2F">
        <w:rPr>
          <w:rFonts w:ascii="Arial" w:eastAsia="Arial" w:hAnsi="Arial" w:cs="Arial"/>
          <w:sz w:val="20"/>
          <w:szCs w:val="20"/>
        </w:rPr>
        <w:t>,</w:t>
      </w:r>
      <w:r w:rsidRPr="00215B2F">
        <w:rPr>
          <w:rFonts w:ascii="Arial" w:eastAsia="Arial" w:hAnsi="Arial" w:cs="Arial"/>
          <w:sz w:val="20"/>
          <w:szCs w:val="20"/>
        </w:rPr>
        <w:t xml:space="preserve"> ali druge družbe za investicijske storitve, ki so pridobile dovoljenje za opravljanje storitev, Banka Slovenije sodeluje tudi z nadzornimi organi, pristojnimi za nadzor </w:t>
      </w:r>
      <w:r w:rsidR="008B437C" w:rsidRPr="00215B2F">
        <w:rPr>
          <w:rFonts w:ascii="Arial" w:eastAsia="Arial" w:hAnsi="Arial" w:cs="Arial"/>
          <w:sz w:val="20"/>
          <w:szCs w:val="20"/>
        </w:rPr>
        <w:t xml:space="preserve">nad </w:t>
      </w:r>
      <w:r w:rsidRPr="00215B2F">
        <w:rPr>
          <w:rFonts w:ascii="Arial" w:eastAsia="Arial" w:hAnsi="Arial" w:cs="Arial"/>
          <w:sz w:val="20"/>
          <w:szCs w:val="20"/>
        </w:rPr>
        <w:t>te</w:t>
      </w:r>
      <w:r w:rsidR="008B437C" w:rsidRPr="00215B2F">
        <w:rPr>
          <w:rFonts w:ascii="Arial" w:eastAsia="Arial" w:hAnsi="Arial" w:cs="Arial"/>
          <w:sz w:val="20"/>
          <w:szCs w:val="20"/>
        </w:rPr>
        <w:t>mi</w:t>
      </w:r>
      <w:r w:rsidRPr="00215B2F">
        <w:rPr>
          <w:rFonts w:ascii="Arial" w:eastAsia="Arial" w:hAnsi="Arial" w:cs="Arial"/>
          <w:sz w:val="20"/>
          <w:szCs w:val="20"/>
        </w:rPr>
        <w:t xml:space="preserve"> družb</w:t>
      </w:r>
      <w:r w:rsidR="008B437C" w:rsidRPr="00215B2F">
        <w:rPr>
          <w:rFonts w:ascii="Arial" w:eastAsia="Arial" w:hAnsi="Arial" w:cs="Arial"/>
          <w:sz w:val="20"/>
          <w:szCs w:val="20"/>
        </w:rPr>
        <w:t>ami</w:t>
      </w:r>
      <w:r w:rsidRPr="00215B2F">
        <w:rPr>
          <w:rFonts w:ascii="Arial" w:eastAsia="Arial" w:hAnsi="Arial" w:cs="Arial"/>
          <w:sz w:val="20"/>
          <w:szCs w:val="20"/>
        </w:rPr>
        <w:t>.</w:t>
      </w:r>
    </w:p>
    <w:p w14:paraId="5208008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809028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si mora z nadzornimi organi iz prejšnjega odstavka izmenjevati vse informacije, ki lahko olajšajo njihove naloge in jim omogočijo nadzor nad poslovanjem in splošnim finančnim položajem družb, ki jih nadzorujejo.</w:t>
      </w:r>
    </w:p>
    <w:p w14:paraId="2CB2B37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E9B751B" w14:textId="377BE6C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je mešani poslovni holding ali njegova podrejena družba zavarovalnica, se pregled poslovanja iz drugega odstavka </w:t>
      </w:r>
      <w:r w:rsidR="00576A49" w:rsidRPr="00215B2F">
        <w:rPr>
          <w:rFonts w:ascii="Arial" w:eastAsia="Arial" w:hAnsi="Arial" w:cs="Arial"/>
          <w:sz w:val="20"/>
          <w:szCs w:val="20"/>
        </w:rPr>
        <w:t>423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lahko opravi v sodelovanju z nadzornim organom, pristojnim za nadzor </w:t>
      </w:r>
      <w:r w:rsidR="008B437C" w:rsidRPr="00215B2F">
        <w:rPr>
          <w:rFonts w:ascii="Arial" w:eastAsia="Arial" w:hAnsi="Arial" w:cs="Arial"/>
          <w:sz w:val="20"/>
          <w:szCs w:val="20"/>
        </w:rPr>
        <w:t xml:space="preserve">nad </w:t>
      </w:r>
      <w:r w:rsidRPr="00215B2F">
        <w:rPr>
          <w:rFonts w:ascii="Arial" w:eastAsia="Arial" w:hAnsi="Arial" w:cs="Arial"/>
          <w:sz w:val="20"/>
          <w:szCs w:val="20"/>
        </w:rPr>
        <w:t>zavarovalnic</w:t>
      </w:r>
      <w:r w:rsidR="008B437C" w:rsidRPr="00215B2F">
        <w:rPr>
          <w:rFonts w:ascii="Arial" w:eastAsia="Arial" w:hAnsi="Arial" w:cs="Arial"/>
          <w:sz w:val="20"/>
          <w:szCs w:val="20"/>
        </w:rPr>
        <w:t>o</w:t>
      </w:r>
      <w:r w:rsidRPr="00215B2F">
        <w:rPr>
          <w:rFonts w:ascii="Arial" w:eastAsia="Arial" w:hAnsi="Arial" w:cs="Arial"/>
          <w:sz w:val="20"/>
          <w:szCs w:val="20"/>
        </w:rPr>
        <w:t>.</w:t>
      </w:r>
    </w:p>
    <w:p w14:paraId="0CE8725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C772BCD" w14:textId="2750D01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Za informacije, pridobljene v okviru nadzora na konsolidirani podlagi, zlasti za vsako izmenjavo informacij med pristojnimi organi, veljajo zahteve glede varovanja poklicne skrivnosti, ki so vsaj enakovredne tistim iz 14.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v skladu s predpisi, ki urejajo bonitetni nadzor investicijskih podjetij, oziroma 15. členom Direktive 2019/2034/EU.</w:t>
      </w:r>
    </w:p>
    <w:p w14:paraId="12D83A28"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0C3BCC7A"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93" w:name="_Ref202968210"/>
      <w:r w:rsidRPr="00215B2F">
        <w:rPr>
          <w:rFonts w:ascii="Arial" w:eastAsia="Arial" w:hAnsi="Arial" w:cs="Arial"/>
          <w:b/>
          <w:bCs/>
          <w:sz w:val="20"/>
          <w:szCs w:val="20"/>
        </w:rPr>
        <w:lastRenderedPageBreak/>
        <w:t>člen</w:t>
      </w:r>
      <w:bookmarkEnd w:id="493"/>
    </w:p>
    <w:p w14:paraId="0509AA18"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(seznam nadrejenih finančnih holdingov ali nadrejenih mešanih finančnih holdingov)</w:t>
      </w:r>
    </w:p>
    <w:p w14:paraId="5ECF06B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740F2C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Slovenije oblikuje sezname nadrejenih finančnih holdingov ali nadrejenih mešanih finančnih holdingov Republike Slovenije iz 11. člena Uredbe 575/2013/EU ter jih pošlje pristojnim organom drugih držav članic, Evropskemu bančnemu organu in Komisiji.</w:t>
      </w:r>
    </w:p>
    <w:p w14:paraId="21AE3F1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4B63E4D"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94" w:name="_Ref202968215"/>
      <w:r w:rsidRPr="00215B2F">
        <w:rPr>
          <w:rFonts w:ascii="Arial" w:eastAsia="Arial" w:hAnsi="Arial" w:cs="Arial"/>
          <w:b/>
          <w:bCs/>
          <w:sz w:val="20"/>
          <w:szCs w:val="20"/>
        </w:rPr>
        <w:t>člen</w:t>
      </w:r>
      <w:bookmarkEnd w:id="494"/>
    </w:p>
    <w:p w14:paraId="4182AEA6"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(pregled poslovanja zaradi preveritve informacij)</w:t>
      </w:r>
    </w:p>
    <w:p w14:paraId="4D72FBAF"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4F2E3932" w14:textId="0196A72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želi Banka Slovenije zaradi nadzora, za katerega je pristojna in odgovorna po tem zakonu ali Uredbi 575/2013/EU, preveriti informacije, ki se nanašajo na banko, finančni holding, mešani finančni holding, finančno institucijo, mešani poslovni holding ali podrejeno družbo iz prvega odstavka </w:t>
      </w:r>
      <w:r w:rsidR="00576A49" w:rsidRPr="00215B2F">
        <w:rPr>
          <w:rFonts w:ascii="Arial" w:eastAsia="Arial" w:hAnsi="Arial" w:cs="Arial"/>
          <w:sz w:val="20"/>
          <w:szCs w:val="20"/>
        </w:rPr>
        <w:t>423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ki ima sedež v drugi državi članici, zaprosi pristojni organ te druge države članice, da opravi pregled poslovanja te družbe zaradi preveritve teh informacij ali da ji omogoči, da sama opravi tak pregled poslovanja.</w:t>
      </w:r>
    </w:p>
    <w:p w14:paraId="3B551E1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B70138C" w14:textId="624C930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Pristojni organ, pristojen in odgovoren za nadzor na konsolidirani podlagi ali za nadzor nad banko države članice, lahko na območju Republike Slovenije za namen preveritve informacij, ki se nanašajo na banko, finančni holding, mešani finančni holding, finančno institucijo, mešani poslovni holding ali podrejeno družbo iz prvega odstavka </w:t>
      </w:r>
      <w:r w:rsidR="00576A49" w:rsidRPr="00215B2F">
        <w:rPr>
          <w:rFonts w:ascii="Arial" w:eastAsia="Arial" w:hAnsi="Arial" w:cs="Arial"/>
          <w:sz w:val="20"/>
          <w:szCs w:val="20"/>
        </w:rPr>
        <w:t>423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ki ima sedež v Republiki Sloveniji, opravi pregled poslovanja te družbe. O nameravanem pregledu poslovanja iz prejšnjega stavka mora pristojni organ države članice predhodno obvestiti Banko Slovenije, ki se lahko </w:t>
      </w:r>
      <w:r w:rsidR="008B437C" w:rsidRPr="00215B2F">
        <w:rPr>
          <w:rFonts w:ascii="Arial" w:eastAsia="Arial" w:hAnsi="Arial" w:cs="Arial"/>
          <w:sz w:val="20"/>
          <w:szCs w:val="20"/>
        </w:rPr>
        <w:t xml:space="preserve">udeleži </w:t>
      </w:r>
      <w:r w:rsidRPr="00215B2F">
        <w:rPr>
          <w:rFonts w:ascii="Arial" w:eastAsia="Arial" w:hAnsi="Arial" w:cs="Arial"/>
          <w:sz w:val="20"/>
          <w:szCs w:val="20"/>
        </w:rPr>
        <w:t>pregleda.</w:t>
      </w:r>
    </w:p>
    <w:p w14:paraId="25AACEB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4C9B2DA" w14:textId="7146F5B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V primeru iz prejšnjega odstavka ima pristojni organ države članice oziroma osebe, ki jih pooblasti, enake pristojnosti kot Banka Slovenije na podlagi </w:t>
      </w:r>
      <w:r w:rsidR="00576A49" w:rsidRPr="00215B2F">
        <w:rPr>
          <w:rFonts w:ascii="Arial" w:eastAsia="Arial" w:hAnsi="Arial" w:cs="Arial"/>
          <w:sz w:val="20"/>
          <w:szCs w:val="20"/>
        </w:rPr>
        <w:t>343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68DF23A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3675199" w14:textId="71B0343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Na zaprosilo pristojnega organa države članice mora Banka Slovenije opraviti pregled poslovanja družbe iz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Pristojni organ države članice se lahko, če tako zahteva, udeleži pregleda iz prejšnjega stavka.</w:t>
      </w:r>
    </w:p>
    <w:p w14:paraId="3DB2408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A638FF4"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95" w:name="_Ref202968220"/>
      <w:r w:rsidRPr="00215B2F">
        <w:rPr>
          <w:rFonts w:ascii="Arial" w:eastAsia="Arial" w:hAnsi="Arial" w:cs="Arial"/>
          <w:b/>
          <w:bCs/>
          <w:sz w:val="20"/>
          <w:szCs w:val="20"/>
        </w:rPr>
        <w:t>člen</w:t>
      </w:r>
      <w:bookmarkEnd w:id="495"/>
    </w:p>
    <w:p w14:paraId="1EEB62A3"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(upravljalni organ nadrejenega finančnega holdinga ali nadrejenega mešanega finančnega holdinga)</w:t>
      </w:r>
    </w:p>
    <w:p w14:paraId="4733B884"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263A8DBA" w14:textId="2A42713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Nadrejeni finančni holding ali nadrejeni mešani finančni holding, ki ni pridobil odobritve v skladu s </w:t>
      </w:r>
      <w:r w:rsidR="001611B3" w:rsidRPr="00215B2F">
        <w:rPr>
          <w:rFonts w:ascii="Arial" w:eastAsia="Arial" w:hAnsi="Arial" w:cs="Arial"/>
          <w:sz w:val="20"/>
          <w:szCs w:val="20"/>
        </w:rPr>
        <w:t>108</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mora zagotoviti, da njegov upravljalni organ izpolnjuje pogoje iz </w:t>
      </w:r>
      <w:r w:rsidR="00FE757E" w:rsidRPr="00215B2F">
        <w:rPr>
          <w:rFonts w:ascii="Arial" w:eastAsia="Arial" w:hAnsi="Arial" w:cs="Arial"/>
          <w:sz w:val="20"/>
          <w:szCs w:val="20"/>
        </w:rPr>
        <w:t>47</w:t>
      </w:r>
      <w:r w:rsidRPr="00215B2F">
        <w:rPr>
          <w:rFonts w:ascii="Arial" w:eastAsia="Arial" w:hAnsi="Arial" w:cs="Arial"/>
          <w:sz w:val="20"/>
          <w:szCs w:val="20"/>
        </w:rPr>
        <w:t xml:space="preserve">. in </w:t>
      </w:r>
      <w:r w:rsidR="001611B3" w:rsidRPr="00215B2F">
        <w:rPr>
          <w:rFonts w:ascii="Arial" w:eastAsia="Arial" w:hAnsi="Arial" w:cs="Arial"/>
          <w:sz w:val="20"/>
          <w:szCs w:val="20"/>
        </w:rPr>
        <w:t>62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Za izpolnjevanje navedenih pogojev je primarno odgovoren nadrejeni finančni holding ali nadrejeni mešani finančni holding.</w:t>
      </w:r>
    </w:p>
    <w:p w14:paraId="2F5BD00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048132D" w14:textId="2EB1004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Prejšnji odstavek se</w:t>
      </w:r>
      <w:r w:rsidR="00256D7F" w:rsidRPr="00215B2F">
        <w:rPr>
          <w:rFonts w:ascii="Arial" w:eastAsia="Arial" w:hAnsi="Arial" w:cs="Arial"/>
          <w:sz w:val="20"/>
          <w:szCs w:val="20"/>
        </w:rPr>
        <w:t>, če</w:t>
      </w:r>
      <w:r w:rsidRPr="00215B2F">
        <w:rPr>
          <w:rFonts w:ascii="Arial" w:eastAsia="Arial" w:hAnsi="Arial" w:cs="Arial"/>
          <w:sz w:val="20"/>
          <w:szCs w:val="20"/>
        </w:rPr>
        <w:t xml:space="preserve"> nadrejeni finančni holding ali nadrejeni mešani finančni holding nima upravljalnega organa v smislu 31. točke prvega odstavka 7. </w:t>
      </w:r>
      <w:r w:rsidR="001F2C7A" w:rsidRPr="00215B2F">
        <w:rPr>
          <w:rFonts w:ascii="Arial" w:eastAsia="Arial" w:hAnsi="Arial" w:cs="Arial"/>
          <w:sz w:val="20"/>
          <w:szCs w:val="20"/>
        </w:rPr>
        <w:t>člena tega zakona</w:t>
      </w:r>
      <w:r w:rsidRPr="00215B2F">
        <w:rPr>
          <w:rFonts w:ascii="Arial" w:eastAsia="Arial" w:hAnsi="Arial" w:cs="Arial"/>
          <w:sz w:val="20"/>
          <w:szCs w:val="20"/>
        </w:rPr>
        <w:t>, smiselno uporablja za poslovodstvo oziroma osebe, ki dejansko vodijo finančni holding ali mešani finančni holding.</w:t>
      </w:r>
    </w:p>
    <w:p w14:paraId="18148A8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71232BB"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96" w:name="_Ref202968226"/>
      <w:r w:rsidRPr="00215B2F">
        <w:rPr>
          <w:rFonts w:ascii="Arial" w:eastAsia="Arial" w:hAnsi="Arial" w:cs="Arial"/>
          <w:b/>
          <w:bCs/>
          <w:sz w:val="20"/>
          <w:szCs w:val="20"/>
        </w:rPr>
        <w:t>člen</w:t>
      </w:r>
      <w:bookmarkEnd w:id="496"/>
    </w:p>
    <w:p w14:paraId="351159F0"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(nadzor, če ima nadrejena oseba sedež v tretji državi)</w:t>
      </w:r>
    </w:p>
    <w:p w14:paraId="75B41E02"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19F01A0E" w14:textId="51FEF60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banka, ki je podrejena drugi banki ali finančnemu holdingu ali mešanemu finančnemu holdingu, ki ima sedež v tretji državi, ni subjekt nadzora na konsolidirani podlagi, za katerega je pristojna in odgovorna Banka Slovenije po </w:t>
      </w:r>
      <w:r w:rsidR="00355D35" w:rsidRPr="00215B2F">
        <w:rPr>
          <w:rFonts w:ascii="Arial" w:eastAsia="Arial" w:hAnsi="Arial" w:cs="Arial"/>
          <w:sz w:val="20"/>
          <w:szCs w:val="20"/>
        </w:rPr>
        <w:t>411</w:t>
      </w:r>
      <w:r w:rsidRPr="00215B2F">
        <w:rPr>
          <w:rFonts w:ascii="Arial" w:eastAsia="Arial" w:hAnsi="Arial" w:cs="Arial"/>
          <w:sz w:val="20"/>
          <w:szCs w:val="20"/>
        </w:rPr>
        <w:t xml:space="preserve">. </w:t>
      </w:r>
      <w:r w:rsidR="001F2C7A" w:rsidRPr="00215B2F">
        <w:rPr>
          <w:rFonts w:ascii="Arial" w:eastAsia="Arial" w:hAnsi="Arial" w:cs="Arial"/>
          <w:sz w:val="20"/>
          <w:szCs w:val="20"/>
        </w:rPr>
        <w:t>členu tega zakona</w:t>
      </w:r>
      <w:r w:rsidRPr="00215B2F">
        <w:rPr>
          <w:rFonts w:ascii="Arial" w:eastAsia="Arial" w:hAnsi="Arial" w:cs="Arial"/>
          <w:sz w:val="20"/>
          <w:szCs w:val="20"/>
        </w:rPr>
        <w:t xml:space="preserve"> ali pristojni organ druge države članice, mora Banka Slovenije bodisi na zahtevo nadrejene osebe ali druge nadzorovane osebe v bančni skupini bodisi na lastno pobudo preveriti, ali je ta banka predmet nadzora na konsolidirani podlagi, ki ga opravlja pristojni organ te tretje države in ki je enakovreden nadzoru na konsolidirani podlagi po tem zakonu in 2. poglavju II. naslova 1. dela Uredbe 575/2013/EU.</w:t>
      </w:r>
    </w:p>
    <w:p w14:paraId="2B24512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B49CBEA" w14:textId="57649F5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Pri preverjanju po prejšnjem odstavku mora Banka Slovenije upoštevati morebitne splošne usmeritve glede ureditve razmerij v zvezi z nadzorom na konsolidirani podlagi z nadzornimi organi tretje države, ki jih izda Evropski odbor</w:t>
      </w:r>
      <w:r w:rsidR="000067FA" w:rsidRPr="00215B2F">
        <w:rPr>
          <w:rFonts w:ascii="Arial" w:eastAsia="Arial" w:hAnsi="Arial" w:cs="Arial"/>
          <w:sz w:val="20"/>
          <w:szCs w:val="20"/>
        </w:rPr>
        <w:t xml:space="preserve"> za bančništvo</w:t>
      </w:r>
      <w:r w:rsidRPr="00215B2F">
        <w:rPr>
          <w:rFonts w:ascii="Arial" w:eastAsia="Arial" w:hAnsi="Arial" w:cs="Arial"/>
          <w:sz w:val="20"/>
          <w:szCs w:val="20"/>
        </w:rPr>
        <w:t xml:space="preserve">, in se o tem posvetovati z Evropskim bančnim organom in z drugimi pristojnimi organi držav članic, ki so vključeni v nadzor </w:t>
      </w:r>
      <w:r w:rsidR="00256D7F" w:rsidRPr="00215B2F">
        <w:rPr>
          <w:rFonts w:ascii="Arial" w:eastAsia="Arial" w:hAnsi="Arial" w:cs="Arial"/>
          <w:sz w:val="20"/>
          <w:szCs w:val="20"/>
        </w:rPr>
        <w:t xml:space="preserve">nad </w:t>
      </w:r>
      <w:r w:rsidRPr="00215B2F">
        <w:rPr>
          <w:rFonts w:ascii="Arial" w:eastAsia="Arial" w:hAnsi="Arial" w:cs="Arial"/>
          <w:sz w:val="20"/>
          <w:szCs w:val="20"/>
        </w:rPr>
        <w:t>oseb</w:t>
      </w:r>
      <w:r w:rsidR="00256D7F" w:rsidRPr="00215B2F">
        <w:rPr>
          <w:rFonts w:ascii="Arial" w:eastAsia="Arial" w:hAnsi="Arial" w:cs="Arial"/>
          <w:sz w:val="20"/>
          <w:szCs w:val="20"/>
        </w:rPr>
        <w:t>ami</w:t>
      </w:r>
      <w:r w:rsidRPr="00215B2F">
        <w:rPr>
          <w:rFonts w:ascii="Arial" w:eastAsia="Arial" w:hAnsi="Arial" w:cs="Arial"/>
          <w:sz w:val="20"/>
          <w:szCs w:val="20"/>
        </w:rPr>
        <w:t xml:space="preserve"> v skupini.</w:t>
      </w:r>
    </w:p>
    <w:p w14:paraId="492090D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160A6B4" w14:textId="27AEE06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(3) Če takega enakovrednega nadzora na konsolidirani podlagi v tretji državi ni, se za banko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smiselno uporabijo določbe tega zakona in Uredbe 575/2013/EU ali Banka Slovenije določi in uporabi druge ustrezne nadzorne postopke in ukrepe, ki lahko dosežejo namen nadzora banke na konsolidirani podlagi. Banka Slovenije lahko zlasti zahteva, da se ustanovi finančni holding ali mešani finančni holding s sedežem v Evropski uniji, in uporabi pravila o konsolidiranem nadzoru za konsolidirani položaj tega finančnega holdinga ali mešanega finančnega holdinga.</w:t>
      </w:r>
    </w:p>
    <w:p w14:paraId="73E7F5C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4CC711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O nadzornih postopkih in ukrepih iz prejšnjega odstavka se mora po predhodnem posvetovanju z drugimi pristojnimi organi držav članic, vključenimi v nadzor, strinjati pristojni organ države članice, ki bi bil odgovoren za nadzor na konsolidirani podlagi.</w:t>
      </w:r>
    </w:p>
    <w:p w14:paraId="521C562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421F03C" w14:textId="0A3D420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O nadzornih postopkih in ukrepih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Banka Slovenije obvesti druge sodelujoče pristojne organe držav članic, Evropski bančni organ in Komisijo.</w:t>
      </w:r>
    </w:p>
    <w:p w14:paraId="4509EE0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8FCB61E"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97" w:name="_Ref202968236"/>
      <w:r w:rsidRPr="00215B2F">
        <w:rPr>
          <w:rFonts w:ascii="Arial" w:eastAsia="Arial" w:hAnsi="Arial" w:cs="Arial"/>
          <w:b/>
          <w:bCs/>
          <w:sz w:val="20"/>
          <w:szCs w:val="20"/>
        </w:rPr>
        <w:t>člen</w:t>
      </w:r>
      <w:bookmarkEnd w:id="497"/>
    </w:p>
    <w:p w14:paraId="0CBC9471"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(izključitev odgovornosti za nadzor na posamični podlagi)</w:t>
      </w:r>
    </w:p>
    <w:p w14:paraId="39976794"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006D6FE7" w14:textId="621FEDD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Nobena pristojnost Banke Slovenije, določena v tem oddelku, v razmerju do finančnega holdinga, mešanega finančnega holdinga, finančnih institucij ali drugih družb, ki niso banke, ne pomeni, da je Banka Slovenije odgovorna za nadzor </w:t>
      </w:r>
      <w:r w:rsidR="00CF56EA" w:rsidRPr="00215B2F">
        <w:rPr>
          <w:rFonts w:ascii="Arial" w:eastAsia="Arial" w:hAnsi="Arial" w:cs="Arial"/>
          <w:sz w:val="20"/>
          <w:szCs w:val="20"/>
        </w:rPr>
        <w:t xml:space="preserve">nad </w:t>
      </w:r>
      <w:r w:rsidRPr="00215B2F">
        <w:rPr>
          <w:rFonts w:ascii="Arial" w:eastAsia="Arial" w:hAnsi="Arial" w:cs="Arial"/>
          <w:sz w:val="20"/>
          <w:szCs w:val="20"/>
        </w:rPr>
        <w:t>t</w:t>
      </w:r>
      <w:r w:rsidR="00CF56EA" w:rsidRPr="00215B2F">
        <w:rPr>
          <w:rFonts w:ascii="Arial" w:eastAsia="Arial" w:hAnsi="Arial" w:cs="Arial"/>
          <w:sz w:val="20"/>
          <w:szCs w:val="20"/>
        </w:rPr>
        <w:t>o</w:t>
      </w:r>
      <w:r w:rsidRPr="00215B2F">
        <w:rPr>
          <w:rFonts w:ascii="Arial" w:eastAsia="Arial" w:hAnsi="Arial" w:cs="Arial"/>
          <w:sz w:val="20"/>
          <w:szCs w:val="20"/>
        </w:rPr>
        <w:t xml:space="preserve"> družb</w:t>
      </w:r>
      <w:r w:rsidR="00CF56EA" w:rsidRPr="00215B2F">
        <w:rPr>
          <w:rFonts w:ascii="Arial" w:eastAsia="Arial" w:hAnsi="Arial" w:cs="Arial"/>
          <w:sz w:val="20"/>
          <w:szCs w:val="20"/>
        </w:rPr>
        <w:t>o</w:t>
      </w:r>
      <w:r w:rsidRPr="00215B2F">
        <w:rPr>
          <w:rFonts w:ascii="Arial" w:eastAsia="Arial" w:hAnsi="Arial" w:cs="Arial"/>
          <w:sz w:val="20"/>
          <w:szCs w:val="20"/>
        </w:rPr>
        <w:t xml:space="preserve"> na posamični podlagi.</w:t>
      </w:r>
    </w:p>
    <w:p w14:paraId="59BE8281" w14:textId="77777777" w:rsidR="000865CC" w:rsidRPr="00215B2F" w:rsidRDefault="000865CC" w:rsidP="00FD5520">
      <w:pPr>
        <w:shd w:val="clear" w:color="auto" w:fill="FFFFFF" w:themeFill="background1"/>
        <w:spacing w:after="0" w:line="240" w:lineRule="auto"/>
        <w:jc w:val="both"/>
        <w:rPr>
          <w:rFonts w:ascii="Arial" w:eastAsia="Arial" w:hAnsi="Arial" w:cs="Arial"/>
          <w:sz w:val="20"/>
          <w:szCs w:val="20"/>
        </w:rPr>
      </w:pPr>
    </w:p>
    <w:p w14:paraId="016A9EA1" w14:textId="7DF53B01" w:rsidR="00D91782" w:rsidRPr="00215B2F" w:rsidRDefault="005A6F6E"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12</w:t>
      </w:r>
      <w:r w:rsidR="000865CC" w:rsidRPr="00215B2F">
        <w:rPr>
          <w:rFonts w:ascii="Arial" w:eastAsia="Arial" w:hAnsi="Arial" w:cs="Arial"/>
          <w:b/>
          <w:bCs/>
          <w:sz w:val="20"/>
          <w:szCs w:val="20"/>
        </w:rPr>
        <w:t>.4 NADZOR NAD DRUGIMI OSEBAMI</w:t>
      </w:r>
    </w:p>
    <w:p w14:paraId="72543252"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231B6318"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98" w:name="_Ref202968240"/>
      <w:r w:rsidRPr="00215B2F">
        <w:rPr>
          <w:rFonts w:ascii="Arial" w:eastAsia="Arial" w:hAnsi="Arial" w:cs="Arial"/>
          <w:b/>
          <w:bCs/>
          <w:sz w:val="20"/>
          <w:szCs w:val="20"/>
        </w:rPr>
        <w:t>člen</w:t>
      </w:r>
      <w:bookmarkEnd w:id="498"/>
    </w:p>
    <w:p w14:paraId="0512B679"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(odredba o prenehanju opravljanja dejavnosti sprejemanja depozitov od javnosti in drugih dejavnosti kot banka)</w:t>
      </w:r>
    </w:p>
    <w:p w14:paraId="39EEEC3E"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1DE9C76A" w14:textId="7D51373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oseba v nasprotju s prepovedjo, določeno v </w:t>
      </w:r>
      <w:r w:rsidR="004B5768" w:rsidRPr="00215B2F">
        <w:rPr>
          <w:rFonts w:ascii="Arial" w:eastAsia="Arial" w:hAnsi="Arial" w:cs="Arial"/>
          <w:sz w:val="20"/>
          <w:szCs w:val="20"/>
        </w:rPr>
        <w:t>139</w:t>
      </w:r>
      <w:r w:rsidRPr="00215B2F">
        <w:rPr>
          <w:rFonts w:ascii="Arial" w:eastAsia="Arial" w:hAnsi="Arial" w:cs="Arial"/>
          <w:sz w:val="20"/>
          <w:szCs w:val="20"/>
        </w:rPr>
        <w:t>. </w:t>
      </w:r>
      <w:r w:rsidR="001F2C7A" w:rsidRPr="00215B2F">
        <w:rPr>
          <w:rFonts w:ascii="Arial" w:eastAsia="Arial" w:hAnsi="Arial" w:cs="Arial"/>
          <w:sz w:val="20"/>
          <w:szCs w:val="20"/>
        </w:rPr>
        <w:t>členu tega zakona</w:t>
      </w:r>
      <w:r w:rsidRPr="00215B2F">
        <w:rPr>
          <w:rFonts w:ascii="Arial" w:eastAsia="Arial" w:hAnsi="Arial" w:cs="Arial"/>
          <w:sz w:val="20"/>
          <w:szCs w:val="20"/>
        </w:rPr>
        <w:t xml:space="preserve">, sprejema depozite od javnosti, ji Banka Slovenije izda odredbo, s katero ji naloži, da preneha </w:t>
      </w:r>
      <w:r w:rsidR="00E9444E" w:rsidRPr="00215B2F">
        <w:rPr>
          <w:rFonts w:ascii="Arial" w:eastAsia="Arial" w:hAnsi="Arial" w:cs="Arial"/>
          <w:sz w:val="20"/>
          <w:szCs w:val="20"/>
        </w:rPr>
        <w:t xml:space="preserve">s </w:t>
      </w:r>
      <w:r w:rsidR="00CF56EA" w:rsidRPr="00215B2F">
        <w:rPr>
          <w:rFonts w:ascii="Arial" w:eastAsia="Arial" w:hAnsi="Arial" w:cs="Arial"/>
          <w:sz w:val="20"/>
          <w:szCs w:val="20"/>
        </w:rPr>
        <w:t>tak</w:t>
      </w:r>
      <w:r w:rsidR="00E9444E" w:rsidRPr="00215B2F">
        <w:rPr>
          <w:rFonts w:ascii="Arial" w:eastAsia="Arial" w:hAnsi="Arial" w:cs="Arial"/>
          <w:sz w:val="20"/>
          <w:szCs w:val="20"/>
        </w:rPr>
        <w:t>im</w:t>
      </w:r>
      <w:r w:rsidR="00CF56EA" w:rsidRPr="00215B2F">
        <w:rPr>
          <w:rFonts w:ascii="Arial" w:eastAsia="Arial" w:hAnsi="Arial" w:cs="Arial"/>
          <w:sz w:val="20"/>
          <w:szCs w:val="20"/>
        </w:rPr>
        <w:t xml:space="preserve"> sprejemanje</w:t>
      </w:r>
      <w:r w:rsidR="00E9444E" w:rsidRPr="00215B2F">
        <w:rPr>
          <w:rFonts w:ascii="Arial" w:eastAsia="Arial" w:hAnsi="Arial" w:cs="Arial"/>
          <w:sz w:val="20"/>
          <w:szCs w:val="20"/>
        </w:rPr>
        <w:t>m</w:t>
      </w:r>
      <w:r w:rsidRPr="00215B2F">
        <w:rPr>
          <w:rFonts w:ascii="Arial" w:eastAsia="Arial" w:hAnsi="Arial" w:cs="Arial"/>
          <w:sz w:val="20"/>
          <w:szCs w:val="20"/>
        </w:rPr>
        <w:t xml:space="preserve"> (v nadaljnjem besedilu: odredba o prenehanju sprejemanja depozitov od javnosti).</w:t>
      </w:r>
      <w:r w:rsidR="004B5768" w:rsidRPr="00215B2F">
        <w:rPr>
          <w:rFonts w:ascii="Arial" w:eastAsia="Arial" w:hAnsi="Arial" w:cs="Arial"/>
          <w:sz w:val="20"/>
          <w:szCs w:val="20"/>
        </w:rPr>
        <w:t xml:space="preserve"> </w:t>
      </w:r>
    </w:p>
    <w:p w14:paraId="2C93EC8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1E5A14E" w14:textId="5B84D7F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lahko še pred izdajo odredbe o prenehanju sprejemanja depozitov od javnosti opravi pregled poslovnih knjig in druge dokumentacije osebe, opravi pregled poslovanja in zbere druge dokaze o tem, ali oseba zbira depozite od javnosti. Za zbiranje informacij </w:t>
      </w:r>
      <w:r w:rsidR="00CF56EA" w:rsidRPr="00215B2F">
        <w:rPr>
          <w:rFonts w:ascii="Arial" w:eastAsia="Arial" w:hAnsi="Arial" w:cs="Arial"/>
          <w:sz w:val="20"/>
          <w:szCs w:val="20"/>
        </w:rPr>
        <w:t xml:space="preserve">in </w:t>
      </w:r>
      <w:r w:rsidRPr="00215B2F">
        <w:rPr>
          <w:rFonts w:ascii="Arial" w:eastAsia="Arial" w:hAnsi="Arial" w:cs="Arial"/>
          <w:sz w:val="20"/>
          <w:szCs w:val="20"/>
        </w:rPr>
        <w:t xml:space="preserve">pregled poslovanja pravne osebe se smiselno uporabljajo določbe </w:t>
      </w:r>
      <w:r w:rsidR="004B5768" w:rsidRPr="00215B2F">
        <w:rPr>
          <w:rFonts w:ascii="Arial" w:eastAsia="Arial" w:hAnsi="Arial" w:cs="Arial"/>
          <w:sz w:val="20"/>
          <w:szCs w:val="20"/>
        </w:rPr>
        <w:t>335</w:t>
      </w:r>
      <w:r w:rsidRPr="00215B2F">
        <w:rPr>
          <w:rFonts w:ascii="Arial" w:eastAsia="Arial" w:hAnsi="Arial" w:cs="Arial"/>
          <w:sz w:val="20"/>
          <w:szCs w:val="20"/>
        </w:rPr>
        <w:t xml:space="preserve">. do </w:t>
      </w:r>
      <w:r w:rsidR="00355D35" w:rsidRPr="00215B2F">
        <w:rPr>
          <w:rFonts w:ascii="Arial" w:eastAsia="Arial" w:hAnsi="Arial" w:cs="Arial"/>
          <w:sz w:val="20"/>
          <w:szCs w:val="20"/>
        </w:rPr>
        <w:t>342</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2169F1E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871BFBF" w14:textId="2AF3562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V odredbi o prenehanju sprejemanja depozitov od javnosti Banka Slovenije osebi naloži, da v roku, ki ne sme biti </w:t>
      </w:r>
      <w:r w:rsidR="005147D3" w:rsidRPr="00215B2F">
        <w:rPr>
          <w:rFonts w:ascii="Arial" w:eastAsia="Arial" w:hAnsi="Arial" w:cs="Arial"/>
          <w:sz w:val="20"/>
          <w:szCs w:val="20"/>
        </w:rPr>
        <w:t xml:space="preserve">ne </w:t>
      </w:r>
      <w:r w:rsidRPr="00215B2F">
        <w:rPr>
          <w:rFonts w:ascii="Arial" w:eastAsia="Arial" w:hAnsi="Arial" w:cs="Arial"/>
          <w:sz w:val="20"/>
          <w:szCs w:val="20"/>
        </w:rPr>
        <w:t>krajši od osmih in ne daljši od 15 dni, predloži poročilo, v katerem opiše ukrepe, ki jih je opravila v zvezi s prenehanjem zbiranja depozitov od javnosti, ter v katerem se oseba lahko izjavi o utemeljenosti razlogov za izdajo odredbe. Oseba mora poročilu priložiti dokaze, iz katerih izhaja, da je opravila ukrepe v zvezi s prenehanjem zbiranja depozitov od javnosti.</w:t>
      </w:r>
    </w:p>
    <w:p w14:paraId="3ED5EF4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0488DF8" w14:textId="2AC7DAF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Če se oseba, ki ni pridobila dovoljenja za opravljanje bančnih storitev, pri opravljanju dejavnosti predstavlja kot banka ali opravlja eno od dejavnosti iz podtočke (b) 1. točke prvega odstavka 4. člena Uredbe 575/2013/EU in dosega prag iz navedenega člena brez pridobljenega dovoljenja kot kreditna družba in ne gre za primer iz drugega odstavka </w:t>
      </w:r>
      <w:r w:rsidR="004B5768" w:rsidRPr="00215B2F">
        <w:rPr>
          <w:rFonts w:ascii="Arial" w:eastAsia="Arial" w:hAnsi="Arial" w:cs="Arial"/>
          <w:sz w:val="20"/>
          <w:szCs w:val="20"/>
        </w:rPr>
        <w:t>33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ji Banka Slovenije izda odredbo, s katero ji naloži, da preneha </w:t>
      </w:r>
      <w:r w:rsidR="00CF56EA" w:rsidRPr="00215B2F">
        <w:rPr>
          <w:rFonts w:ascii="Arial" w:eastAsia="Arial" w:hAnsi="Arial" w:cs="Arial"/>
          <w:sz w:val="20"/>
          <w:szCs w:val="20"/>
        </w:rPr>
        <w:t>tako</w:t>
      </w:r>
      <w:r w:rsidRPr="00215B2F">
        <w:rPr>
          <w:rFonts w:ascii="Arial" w:eastAsia="Arial" w:hAnsi="Arial" w:cs="Arial"/>
          <w:sz w:val="20"/>
          <w:szCs w:val="20"/>
        </w:rPr>
        <w:t xml:space="preserve"> ravna</w:t>
      </w:r>
      <w:r w:rsidR="00CF56EA" w:rsidRPr="00215B2F">
        <w:rPr>
          <w:rFonts w:ascii="Arial" w:eastAsia="Arial" w:hAnsi="Arial" w:cs="Arial"/>
          <w:sz w:val="20"/>
          <w:szCs w:val="20"/>
        </w:rPr>
        <w:t>ti</w:t>
      </w:r>
      <w:r w:rsidRPr="00215B2F">
        <w:rPr>
          <w:rFonts w:ascii="Arial" w:eastAsia="Arial" w:hAnsi="Arial" w:cs="Arial"/>
          <w:sz w:val="20"/>
          <w:szCs w:val="20"/>
        </w:rPr>
        <w:t xml:space="preserve"> (v nadaljnjem besedilu: odredba o prenehanju opravljanja dejavnosti kot banka oziroma kreditna družba).</w:t>
      </w:r>
    </w:p>
    <w:p w14:paraId="6A7B388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433D621" w14:textId="6560576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Za odredbo o prenehanju opravljanja dejavnosti kot banka se smiselno uporabljata drugi in tretji </w:t>
      </w:r>
      <w:r w:rsidR="00746E88" w:rsidRPr="00215B2F">
        <w:rPr>
          <w:rFonts w:ascii="Arial" w:eastAsia="Arial" w:hAnsi="Arial" w:cs="Arial"/>
          <w:sz w:val="20"/>
          <w:szCs w:val="20"/>
        </w:rPr>
        <w:t>odstavek tega člena</w:t>
      </w:r>
      <w:r w:rsidRPr="00215B2F">
        <w:rPr>
          <w:rFonts w:ascii="Arial" w:eastAsia="Arial" w:hAnsi="Arial" w:cs="Arial"/>
          <w:sz w:val="20"/>
          <w:szCs w:val="20"/>
        </w:rPr>
        <w:t>.</w:t>
      </w:r>
    </w:p>
    <w:p w14:paraId="23AA6FF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C96A84E" w14:textId="630A79D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Če Banka Slovenije v zvezi z osebo, ki ni pridobila dovoljenja za opravljanje bančnih storitev, ugotovi okoliščine iz prvega ali četrtega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vendar je ta oseba kršitve odpravila pred izdajo odredbe iz prvega ali četrtega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lahko Banka Slovenije pod pogoji iz osmega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izda ugotovitveno odločbo, s katero ugotovi, da je kršila določbe tega zakona in da je ugotovljeno kršitev odpravila.</w:t>
      </w:r>
    </w:p>
    <w:p w14:paraId="1AC3940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C1376C9" w14:textId="453C221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Banka Slovenije izda ugotovitveno odločbo iz prejšnjega odstavka, če lahko glede na naravo in pomen kršitev iz prvega oziroma četrtega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za zagotavljanje pravne varnosti in </w:t>
      </w:r>
      <w:r w:rsidRPr="00215B2F">
        <w:rPr>
          <w:rFonts w:ascii="Arial" w:eastAsia="Arial" w:hAnsi="Arial" w:cs="Arial"/>
          <w:sz w:val="20"/>
          <w:szCs w:val="20"/>
        </w:rPr>
        <w:lastRenderedPageBreak/>
        <w:t xml:space="preserve">zaščite deponentov izdaja take odločbe in objava informacij na podlagi </w:t>
      </w:r>
      <w:r w:rsidR="00FE757E" w:rsidRPr="00215B2F">
        <w:rPr>
          <w:rFonts w:ascii="Arial" w:eastAsia="Arial" w:hAnsi="Arial" w:cs="Arial"/>
          <w:sz w:val="20"/>
          <w:szCs w:val="20"/>
        </w:rPr>
        <w:t>385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pomembno prispeva</w:t>
      </w:r>
      <w:r w:rsidR="00CF56EA" w:rsidRPr="00215B2F">
        <w:rPr>
          <w:rFonts w:ascii="Arial" w:eastAsia="Arial" w:hAnsi="Arial" w:cs="Arial"/>
          <w:sz w:val="20"/>
          <w:szCs w:val="20"/>
        </w:rPr>
        <w:t>ta</w:t>
      </w:r>
      <w:r w:rsidRPr="00215B2F">
        <w:rPr>
          <w:rFonts w:ascii="Arial" w:eastAsia="Arial" w:hAnsi="Arial" w:cs="Arial"/>
          <w:sz w:val="20"/>
          <w:szCs w:val="20"/>
        </w:rPr>
        <w:t xml:space="preserve"> k izboljšanju praks upravljanja bank in k preprečevanju ravnanj</w:t>
      </w:r>
      <w:r w:rsidR="00805CF8" w:rsidRPr="00215B2F">
        <w:rPr>
          <w:rFonts w:ascii="Arial" w:eastAsia="Arial" w:hAnsi="Arial" w:cs="Arial"/>
          <w:sz w:val="20"/>
          <w:szCs w:val="20"/>
        </w:rPr>
        <w:t>a</w:t>
      </w:r>
      <w:r w:rsidRPr="00215B2F">
        <w:rPr>
          <w:rFonts w:ascii="Arial" w:eastAsia="Arial" w:hAnsi="Arial" w:cs="Arial"/>
          <w:sz w:val="20"/>
          <w:szCs w:val="20"/>
        </w:rPr>
        <w:t>, ki pomeni kršitev dolžnosti članov upravljalnih organov bank.</w:t>
      </w:r>
    </w:p>
    <w:p w14:paraId="71C0E27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FBD138D" w14:textId="527CA1C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(8) Banka Slovenije pred izdajo ugotovitvene odločbe iz šestega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kršitelja pisno obvesti o ugotovitvah v zvezi s kršitvami iz prvega ali četrtega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in o nameri, da bo izdala ugotovitveno odločbo o odpravljenih kršitvah, ter ga pozove, da se izjavi o dejstvih in okoliščinah, ki so pomembne za odločitev o izdaji ugotovitvene odločbe o odpravi kršitev.</w:t>
      </w:r>
    </w:p>
    <w:p w14:paraId="63A3C8B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D58BD33"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499" w:name="_Ref202968246"/>
      <w:r w:rsidRPr="00215B2F">
        <w:rPr>
          <w:rFonts w:ascii="Arial" w:eastAsia="Arial" w:hAnsi="Arial" w:cs="Arial"/>
          <w:b/>
          <w:bCs/>
          <w:sz w:val="20"/>
          <w:szCs w:val="20"/>
        </w:rPr>
        <w:t>člen</w:t>
      </w:r>
      <w:bookmarkEnd w:id="499"/>
    </w:p>
    <w:p w14:paraId="096B4162"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(odločba o ugotovitvi razlogov za prisilno likvidacijo pravne osebe)</w:t>
      </w:r>
    </w:p>
    <w:p w14:paraId="72B7F330"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15F9672F" w14:textId="2EF44FF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pravna oseba ne ravna po odredbi iz prvega ali četrtega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Banka Slovenije </w:t>
      </w:r>
      <w:r w:rsidR="00CF56EA" w:rsidRPr="00215B2F">
        <w:rPr>
          <w:rFonts w:ascii="Arial" w:eastAsia="Arial" w:hAnsi="Arial" w:cs="Arial"/>
          <w:sz w:val="20"/>
          <w:szCs w:val="20"/>
        </w:rPr>
        <w:t xml:space="preserve">izda </w:t>
      </w:r>
      <w:r w:rsidRPr="00215B2F">
        <w:rPr>
          <w:rFonts w:ascii="Arial" w:eastAsia="Arial" w:hAnsi="Arial" w:cs="Arial"/>
          <w:sz w:val="20"/>
          <w:szCs w:val="20"/>
        </w:rPr>
        <w:t xml:space="preserve">odločbo, s katero ugotovi, da obstaja razlog za prisilno likvidacijo te osebe (v nadaljnjem besedilu: odločba o ugotovitvi razloga za prisilno likvidacijo). Banka Slovenije lahko izda odločbo iz prejšnjega stavka tudi, če pravna oseba pooblaščeni osebi Banke Slovenije ne omogoči pregleda ali če kako drugače ovira opravljanje nadzora iz drugega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w:t>
      </w:r>
    </w:p>
    <w:p w14:paraId="1BF83B8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D10B8D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Odločba o ugotovitvi razloga za prisilno likvidacijo mora biti obrazložena.</w:t>
      </w:r>
    </w:p>
    <w:p w14:paraId="25908B5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53E640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na podlagi dokončne odločbe o ugotovitvi razloga za prisilno likvidacijo predlaga pristojnemu sodišču, da v skladu z zakonom, ki ureja prisilno prenehanje gospodarskih družb, zoper pravno osebo začne postopek prisilne likvidacije.</w:t>
      </w:r>
    </w:p>
    <w:p w14:paraId="65A62BAF" w14:textId="77777777" w:rsidR="000865CC" w:rsidRPr="00215B2F" w:rsidRDefault="000865CC" w:rsidP="00FD5520">
      <w:pPr>
        <w:shd w:val="clear" w:color="auto" w:fill="FFFFFF" w:themeFill="background1"/>
        <w:spacing w:after="0" w:line="240" w:lineRule="auto"/>
        <w:jc w:val="both"/>
        <w:rPr>
          <w:rFonts w:ascii="Arial" w:eastAsia="Arial" w:hAnsi="Arial" w:cs="Arial"/>
          <w:sz w:val="20"/>
          <w:szCs w:val="20"/>
        </w:rPr>
      </w:pPr>
    </w:p>
    <w:p w14:paraId="358FDE5F" w14:textId="71FBD84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Sodišče izda sklep o začetku postopka prisilne likvidacije pravne osebe na podlagi predloga Banke </w:t>
      </w:r>
    </w:p>
    <w:p w14:paraId="6B52B21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Slovenije iz prejšnjega odstavka brez ponovnega preizkusa pogojev za začetek tega postopka v treh delovnih dneh od vložitve predloga.</w:t>
      </w:r>
    </w:p>
    <w:p w14:paraId="5E86CC1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450369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Proti sklepu o začetku postopka prisilne likvidacije iz prejšnjega odstavka ni pritožbe.</w:t>
      </w:r>
    </w:p>
    <w:p w14:paraId="444B2D7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31B7284" w14:textId="1316D38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Banka Slovenije je oproščena plačila taks v postopku prisilne likvidacije, ki ga sodišče začne na njen predlog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1F04EE5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B388F3F" w14:textId="2F1BF1F0" w:rsidR="00D91782" w:rsidRPr="00215B2F" w:rsidRDefault="005A6F6E" w:rsidP="00FD5520">
      <w:pPr>
        <w:shd w:val="clear" w:color="auto" w:fill="FFFFFF" w:themeFill="background1"/>
        <w:spacing w:after="0" w:line="240" w:lineRule="auto"/>
        <w:jc w:val="center"/>
        <w:rPr>
          <w:rFonts w:ascii="Arial" w:eastAsia="Arial" w:hAnsi="Arial" w:cs="Arial"/>
          <w:sz w:val="20"/>
          <w:szCs w:val="20"/>
        </w:rPr>
      </w:pPr>
      <w:r w:rsidRPr="00215B2F">
        <w:rPr>
          <w:rFonts w:ascii="Arial" w:eastAsia="Arial" w:hAnsi="Arial" w:cs="Arial"/>
          <w:sz w:val="20"/>
          <w:szCs w:val="20"/>
        </w:rPr>
        <w:t>13</w:t>
      </w:r>
      <w:r w:rsidR="00D91782" w:rsidRPr="00215B2F">
        <w:rPr>
          <w:rFonts w:ascii="Arial" w:eastAsia="Arial" w:hAnsi="Arial" w:cs="Arial"/>
          <w:sz w:val="20"/>
          <w:szCs w:val="20"/>
        </w:rPr>
        <w:t xml:space="preserve">. POGLAVJE: </w:t>
      </w:r>
      <w:r w:rsidR="00D91782" w:rsidRPr="00215B2F">
        <w:rPr>
          <w:rFonts w:ascii="Arial" w:eastAsia="Arial" w:hAnsi="Arial" w:cs="Arial"/>
          <w:sz w:val="20"/>
          <w:szCs w:val="20"/>
        </w:rPr>
        <w:br/>
        <w:t>HRANILNICE</w:t>
      </w:r>
    </w:p>
    <w:p w14:paraId="63DC1F3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EA6EEE2"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00" w:name="_Ref202968252"/>
      <w:r w:rsidRPr="00215B2F">
        <w:rPr>
          <w:rFonts w:ascii="Arial" w:eastAsia="Arial" w:hAnsi="Arial" w:cs="Arial"/>
          <w:b/>
          <w:bCs/>
          <w:sz w:val="20"/>
          <w:szCs w:val="20"/>
        </w:rPr>
        <w:t>člen</w:t>
      </w:r>
      <w:bookmarkEnd w:id="500"/>
    </w:p>
    <w:p w14:paraId="33AE3DB5"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(uporaba določb o bankah)</w:t>
      </w:r>
    </w:p>
    <w:p w14:paraId="3E82225E"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216D5348" w14:textId="24EBCEC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Za hranilnice se uporabljajo določbe drugih poglavij tega zakona, ki se nanašajo na banke, če ni v tem poglavju določeno</w:t>
      </w:r>
      <w:r w:rsidR="00DA4946" w:rsidRPr="00215B2F">
        <w:rPr>
          <w:rFonts w:ascii="Arial" w:eastAsia="Arial" w:hAnsi="Arial" w:cs="Arial"/>
          <w:sz w:val="20"/>
          <w:szCs w:val="20"/>
        </w:rPr>
        <w:t xml:space="preserve"> drugače</w:t>
      </w:r>
      <w:r w:rsidRPr="00215B2F">
        <w:rPr>
          <w:rFonts w:ascii="Arial" w:eastAsia="Arial" w:hAnsi="Arial" w:cs="Arial"/>
          <w:sz w:val="20"/>
          <w:szCs w:val="20"/>
        </w:rPr>
        <w:t>.</w:t>
      </w:r>
    </w:p>
    <w:p w14:paraId="4F9B2EC2"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0F5DB2E1"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01" w:name="_Ref203556709"/>
      <w:r w:rsidRPr="00215B2F">
        <w:rPr>
          <w:rFonts w:ascii="Arial" w:eastAsia="Arial" w:hAnsi="Arial" w:cs="Arial"/>
          <w:b/>
          <w:bCs/>
          <w:sz w:val="20"/>
          <w:szCs w:val="20"/>
        </w:rPr>
        <w:t>člen</w:t>
      </w:r>
      <w:bookmarkEnd w:id="501"/>
    </w:p>
    <w:p w14:paraId="6967354E"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(dejavnosti hranilnice)</w:t>
      </w:r>
    </w:p>
    <w:p w14:paraId="3774EBFF"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1B8E5661" w14:textId="6DB0B44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Hranilnica sme začeti opravlja</w:t>
      </w:r>
      <w:r w:rsidR="00DA4946" w:rsidRPr="00215B2F">
        <w:rPr>
          <w:rFonts w:ascii="Arial" w:eastAsia="Arial" w:hAnsi="Arial" w:cs="Arial"/>
          <w:sz w:val="20"/>
          <w:szCs w:val="20"/>
        </w:rPr>
        <w:t>ti</w:t>
      </w:r>
      <w:r w:rsidRPr="00215B2F">
        <w:rPr>
          <w:rFonts w:ascii="Arial" w:eastAsia="Arial" w:hAnsi="Arial" w:cs="Arial"/>
          <w:sz w:val="20"/>
          <w:szCs w:val="20"/>
        </w:rPr>
        <w:t xml:space="preserve"> posl</w:t>
      </w:r>
      <w:r w:rsidR="00DA4946" w:rsidRPr="00215B2F">
        <w:rPr>
          <w:rFonts w:ascii="Arial" w:eastAsia="Arial" w:hAnsi="Arial" w:cs="Arial"/>
          <w:sz w:val="20"/>
          <w:szCs w:val="20"/>
        </w:rPr>
        <w:t>e</w:t>
      </w:r>
      <w:r w:rsidRPr="00215B2F">
        <w:rPr>
          <w:rFonts w:ascii="Arial" w:eastAsia="Arial" w:hAnsi="Arial" w:cs="Arial"/>
          <w:sz w:val="20"/>
          <w:szCs w:val="20"/>
        </w:rPr>
        <w:t xml:space="preserve"> v tujih valutah, če pridobi dovoljenje za opravljanje teh poslov v skladu s tem zakonom.</w:t>
      </w:r>
    </w:p>
    <w:p w14:paraId="3E94785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0D8944A"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02" w:name="_Ref203556714"/>
      <w:r w:rsidRPr="00215B2F">
        <w:rPr>
          <w:rFonts w:ascii="Arial" w:eastAsia="Arial" w:hAnsi="Arial" w:cs="Arial"/>
          <w:b/>
          <w:bCs/>
          <w:sz w:val="20"/>
          <w:szCs w:val="20"/>
        </w:rPr>
        <w:t>člen</w:t>
      </w:r>
      <w:bookmarkEnd w:id="502"/>
    </w:p>
    <w:p w14:paraId="5E3D92AF"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(ustanovni kapital)</w:t>
      </w:r>
    </w:p>
    <w:p w14:paraId="7B31334A"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2989976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Najnižji znesek ustanovnega kapitala hranilnice, ki vključuje eno ali več postavk iz točk (a) do (e) prvega odstavka 26. člena Uredbe 575/2013/EU, je 1.000.000 eurov.</w:t>
      </w:r>
    </w:p>
    <w:p w14:paraId="1E82AF5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68CD99F"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03" w:name="_Ref202968288"/>
      <w:r w:rsidRPr="00215B2F">
        <w:rPr>
          <w:rFonts w:ascii="Arial" w:eastAsia="Arial" w:hAnsi="Arial" w:cs="Arial"/>
          <w:b/>
          <w:bCs/>
          <w:sz w:val="20"/>
          <w:szCs w:val="20"/>
        </w:rPr>
        <w:t>člen</w:t>
      </w:r>
      <w:bookmarkEnd w:id="503"/>
    </w:p>
    <w:p w14:paraId="7EB6F938"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(preoblikovanje v banko)</w:t>
      </w:r>
    </w:p>
    <w:p w14:paraId="4C83E370"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7AB9108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Hranilnica, ki se želi preoblikovati v banko, mora pred tem pridobiti dovoljenje za preoblikovanje v banko. </w:t>
      </w:r>
    </w:p>
    <w:p w14:paraId="28BC313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6B9A024" w14:textId="3714D2F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(2) </w:t>
      </w:r>
      <w:r w:rsidR="00DA4946" w:rsidRPr="00215B2F">
        <w:rPr>
          <w:rFonts w:ascii="Arial" w:eastAsia="Arial" w:hAnsi="Arial" w:cs="Arial"/>
          <w:sz w:val="20"/>
          <w:szCs w:val="20"/>
        </w:rPr>
        <w:t>Hranilnica z</w:t>
      </w:r>
      <w:r w:rsidRPr="00215B2F">
        <w:rPr>
          <w:rFonts w:ascii="Arial" w:eastAsia="Arial" w:hAnsi="Arial" w:cs="Arial"/>
          <w:sz w:val="20"/>
          <w:szCs w:val="20"/>
        </w:rPr>
        <w:t xml:space="preserve">ahtevo za izdajo dovoljenja za preoblikovanje v banko vloži pri Banki Slovenije. </w:t>
      </w:r>
    </w:p>
    <w:p w14:paraId="2A415AA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83F566B" w14:textId="1A017AF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Zahtevi za izdajo dovoljenja za preoblikovanje v banko mora hranilnica priložiti dokumentacijo iz </w:t>
      </w:r>
      <w:r w:rsidR="004B5768" w:rsidRPr="00215B2F">
        <w:rPr>
          <w:rFonts w:ascii="Arial" w:eastAsia="Arial" w:hAnsi="Arial" w:cs="Arial"/>
          <w:sz w:val="20"/>
          <w:szCs w:val="20"/>
        </w:rPr>
        <w:t>144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v smiselnem obsegu za namen presoje izpolnjevanja pogojev iz </w:t>
      </w:r>
      <w:r w:rsidR="004B5768" w:rsidRPr="00215B2F">
        <w:rPr>
          <w:rFonts w:ascii="Arial" w:eastAsia="Arial" w:hAnsi="Arial" w:cs="Arial"/>
          <w:sz w:val="20"/>
          <w:szCs w:val="20"/>
        </w:rPr>
        <w:t>34</w:t>
      </w:r>
      <w:r w:rsidRPr="00215B2F">
        <w:rPr>
          <w:rFonts w:ascii="Arial" w:eastAsia="Arial" w:hAnsi="Arial" w:cs="Arial"/>
          <w:sz w:val="20"/>
          <w:szCs w:val="20"/>
        </w:rPr>
        <w:t xml:space="preserve">. člena, </w:t>
      </w:r>
      <w:r w:rsidR="004B5768" w:rsidRPr="00215B2F">
        <w:rPr>
          <w:rFonts w:ascii="Arial" w:eastAsia="Arial" w:hAnsi="Arial" w:cs="Arial"/>
          <w:sz w:val="20"/>
          <w:szCs w:val="20"/>
        </w:rPr>
        <w:t>190</w:t>
      </w:r>
      <w:r w:rsidRPr="00215B2F">
        <w:rPr>
          <w:rFonts w:ascii="Arial" w:eastAsia="Arial" w:hAnsi="Arial" w:cs="Arial"/>
          <w:sz w:val="20"/>
          <w:szCs w:val="20"/>
        </w:rPr>
        <w:t>.</w:t>
      </w:r>
      <w:r w:rsidR="00DA4946" w:rsidRPr="00215B2F">
        <w:rPr>
          <w:rFonts w:ascii="Arial" w:eastAsia="Arial" w:hAnsi="Arial" w:cs="Arial"/>
          <w:sz w:val="20"/>
          <w:szCs w:val="20"/>
        </w:rPr>
        <w:t> </w:t>
      </w:r>
      <w:r w:rsidRPr="00215B2F">
        <w:rPr>
          <w:rFonts w:ascii="Arial" w:eastAsia="Arial" w:hAnsi="Arial" w:cs="Arial"/>
          <w:sz w:val="20"/>
          <w:szCs w:val="20"/>
        </w:rPr>
        <w:t xml:space="preserve">člena in </w:t>
      </w:r>
      <w:r w:rsidR="004B5768" w:rsidRPr="00215B2F">
        <w:rPr>
          <w:rFonts w:ascii="Arial" w:eastAsia="Arial" w:hAnsi="Arial" w:cs="Arial"/>
          <w:sz w:val="20"/>
          <w:szCs w:val="20"/>
        </w:rPr>
        <w:t>435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p>
    <w:p w14:paraId="20E2FE9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F4ED2A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Banka Slovenije zavrne zahtevo za izdajo dovoljenja za preoblikovanje v banko, če niso izpolnjene zahteve glede:</w:t>
      </w:r>
    </w:p>
    <w:p w14:paraId="4DF3658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D8A82E6" w14:textId="213F95E5" w:rsidR="00D91782" w:rsidRPr="00215B2F" w:rsidRDefault="00D91782" w:rsidP="003D4DE0">
      <w:pPr>
        <w:pStyle w:val="tevilnatoka"/>
        <w:numPr>
          <w:ilvl w:val="0"/>
          <w:numId w:val="280"/>
        </w:numPr>
        <w:shd w:val="clear" w:color="auto" w:fill="FFFFFF" w:themeFill="background1"/>
        <w:tabs>
          <w:tab w:val="clear" w:pos="425"/>
        </w:tabs>
        <w:rPr>
          <w:rFonts w:cs="Arial"/>
          <w:bCs/>
          <w:sz w:val="20"/>
          <w:szCs w:val="20"/>
        </w:rPr>
      </w:pPr>
      <w:r w:rsidRPr="00215B2F">
        <w:rPr>
          <w:rFonts w:eastAsia="Arial" w:cs="Arial"/>
          <w:sz w:val="20"/>
          <w:szCs w:val="20"/>
        </w:rPr>
        <w:t xml:space="preserve">višine ustanovnega kapitala iz </w:t>
      </w:r>
      <w:r w:rsidR="004B5768" w:rsidRPr="00215B2F">
        <w:rPr>
          <w:rFonts w:eastAsia="Arial" w:cs="Arial"/>
          <w:sz w:val="20"/>
          <w:szCs w:val="20"/>
        </w:rPr>
        <w:t>34</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15CC7465" w14:textId="1F663CF9" w:rsidR="00D91782" w:rsidRPr="00215B2F" w:rsidRDefault="00D91782" w:rsidP="00D46384">
      <w:pPr>
        <w:numPr>
          <w:ilvl w:val="0"/>
          <w:numId w:val="18"/>
        </w:numPr>
        <w:shd w:val="clear" w:color="auto" w:fill="FFFFFF" w:themeFill="background1"/>
        <w:tabs>
          <w:tab w:val="clear" w:pos="425"/>
        </w:tabs>
        <w:spacing w:after="0" w:line="240" w:lineRule="auto"/>
        <w:jc w:val="both"/>
        <w:rPr>
          <w:rFonts w:ascii="Arial" w:eastAsia="Arial" w:hAnsi="Arial" w:cs="Arial"/>
          <w:bCs/>
          <w:sz w:val="20"/>
          <w:szCs w:val="20"/>
        </w:rPr>
      </w:pPr>
      <w:r w:rsidRPr="00215B2F">
        <w:rPr>
          <w:rFonts w:ascii="Arial" w:eastAsia="Arial" w:hAnsi="Arial" w:cs="Arial"/>
          <w:sz w:val="20"/>
          <w:szCs w:val="20"/>
        </w:rPr>
        <w:t xml:space="preserve">funkcije notranje revizije iz </w:t>
      </w:r>
      <w:r w:rsidR="004B5768" w:rsidRPr="00215B2F">
        <w:rPr>
          <w:rFonts w:ascii="Arial" w:eastAsia="Arial" w:hAnsi="Arial" w:cs="Arial"/>
          <w:sz w:val="20"/>
          <w:szCs w:val="20"/>
        </w:rPr>
        <w:t>190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5F99FB11" w14:textId="303DDA93" w:rsidR="00D91782" w:rsidRPr="00215B2F" w:rsidRDefault="00D91782" w:rsidP="00D46384">
      <w:pPr>
        <w:numPr>
          <w:ilvl w:val="0"/>
          <w:numId w:val="18"/>
        </w:numPr>
        <w:shd w:val="clear" w:color="auto" w:fill="FFFFFF" w:themeFill="background1"/>
        <w:tabs>
          <w:tab w:val="clear" w:pos="425"/>
        </w:tabs>
        <w:spacing w:after="0" w:line="240" w:lineRule="auto"/>
        <w:jc w:val="both"/>
        <w:rPr>
          <w:rFonts w:ascii="Arial" w:eastAsia="Arial" w:hAnsi="Arial" w:cs="Arial"/>
          <w:bCs/>
          <w:sz w:val="20"/>
          <w:szCs w:val="20"/>
        </w:rPr>
      </w:pPr>
      <w:r w:rsidRPr="00215B2F">
        <w:rPr>
          <w:rFonts w:ascii="Arial" w:eastAsia="Arial" w:hAnsi="Arial" w:cs="Arial"/>
          <w:sz w:val="20"/>
          <w:szCs w:val="20"/>
        </w:rPr>
        <w:t xml:space="preserve">opravljanja poslov v tujih valutah iz </w:t>
      </w:r>
      <w:r w:rsidR="004B5768" w:rsidRPr="00215B2F">
        <w:rPr>
          <w:rFonts w:ascii="Arial" w:eastAsia="Arial" w:hAnsi="Arial" w:cs="Arial"/>
          <w:sz w:val="20"/>
          <w:szCs w:val="20"/>
        </w:rPr>
        <w:t>435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314193B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BCDAE53" w14:textId="34ED6A6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v primeru izdaje dovoljenja za preoblikovanje v banko zagotovi, da je postopek čim </w:t>
      </w:r>
      <w:r w:rsidR="00DA4946" w:rsidRPr="00215B2F">
        <w:rPr>
          <w:rFonts w:ascii="Arial" w:eastAsia="Arial" w:hAnsi="Arial" w:cs="Arial"/>
          <w:sz w:val="20"/>
          <w:szCs w:val="20"/>
        </w:rPr>
        <w:t xml:space="preserve">gospodarnejši </w:t>
      </w:r>
      <w:r w:rsidRPr="00215B2F">
        <w:rPr>
          <w:rFonts w:ascii="Arial" w:eastAsia="Arial" w:hAnsi="Arial" w:cs="Arial"/>
          <w:sz w:val="20"/>
          <w:szCs w:val="20"/>
        </w:rPr>
        <w:t xml:space="preserve">in da se upoštevajo informacije iz veljavnih dovoljenj za opravljanje storitev, s katerimi Banka Slovenije že razpolaga. </w:t>
      </w:r>
    </w:p>
    <w:p w14:paraId="5CA578D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BA545B1" w14:textId="4FF70322" w:rsidR="00D91782" w:rsidRPr="00215B2F" w:rsidRDefault="005A6F6E" w:rsidP="00FD5520">
      <w:pPr>
        <w:shd w:val="clear" w:color="auto" w:fill="FFFFFF" w:themeFill="background1"/>
        <w:spacing w:after="0" w:line="240" w:lineRule="auto"/>
        <w:jc w:val="center"/>
        <w:rPr>
          <w:rFonts w:ascii="Arial" w:eastAsia="Arial" w:hAnsi="Arial" w:cs="Arial"/>
          <w:sz w:val="20"/>
          <w:szCs w:val="20"/>
        </w:rPr>
      </w:pPr>
      <w:r w:rsidRPr="00215B2F">
        <w:rPr>
          <w:rFonts w:ascii="Arial" w:eastAsia="Arial" w:hAnsi="Arial" w:cs="Arial"/>
          <w:sz w:val="20"/>
          <w:szCs w:val="20"/>
        </w:rPr>
        <w:t>14.</w:t>
      </w:r>
      <w:r w:rsidR="00D91782" w:rsidRPr="00215B2F">
        <w:rPr>
          <w:rFonts w:ascii="Arial" w:eastAsia="Arial" w:hAnsi="Arial" w:cs="Arial"/>
          <w:sz w:val="20"/>
          <w:szCs w:val="20"/>
        </w:rPr>
        <w:t xml:space="preserve"> POGLAVJE: KREDITNE DRUŽBE</w:t>
      </w:r>
    </w:p>
    <w:p w14:paraId="1E6F684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3011303"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04" w:name="_Ref202968297"/>
      <w:r w:rsidRPr="00215B2F">
        <w:rPr>
          <w:rFonts w:ascii="Arial" w:eastAsia="Arial" w:hAnsi="Arial" w:cs="Arial"/>
          <w:b/>
          <w:bCs/>
          <w:sz w:val="20"/>
          <w:szCs w:val="20"/>
        </w:rPr>
        <w:t>člen</w:t>
      </w:r>
      <w:bookmarkEnd w:id="504"/>
    </w:p>
    <w:p w14:paraId="6A3D9960"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(uporaba določb o kreditnih družbah)</w:t>
      </w:r>
    </w:p>
    <w:p w14:paraId="5831E38C"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0CF34C6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Za kreditne družbe se uporabljajo določbe tega zakona, ki se nanašajo na banke, če ta zakon ne določa drugače. </w:t>
      </w:r>
    </w:p>
    <w:p w14:paraId="6CC5C28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9C4DC6E"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05" w:name="_Ref202968308"/>
      <w:r w:rsidRPr="00215B2F">
        <w:rPr>
          <w:rFonts w:ascii="Arial" w:eastAsia="Arial" w:hAnsi="Arial" w:cs="Arial"/>
          <w:b/>
          <w:bCs/>
          <w:sz w:val="20"/>
          <w:szCs w:val="20"/>
        </w:rPr>
        <w:t>člen</w:t>
      </w:r>
      <w:bookmarkEnd w:id="505"/>
    </w:p>
    <w:p w14:paraId="69F772F8"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(opravljanje storitev kreditne družbe)</w:t>
      </w:r>
    </w:p>
    <w:p w14:paraId="55028B87"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5DAFA86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Kreditna družba lahko opravlja finančne storitve in dodatne finančne storitve.</w:t>
      </w:r>
    </w:p>
    <w:p w14:paraId="36DCB35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BD8D95C" w14:textId="5E2E023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Kreditna družba lahko začne opravljati storitve iz prejšnjega odstavka, </w:t>
      </w:r>
      <w:r w:rsidR="00DA4946" w:rsidRPr="00215B2F">
        <w:rPr>
          <w:rFonts w:ascii="Arial" w:eastAsia="Arial" w:hAnsi="Arial" w:cs="Arial"/>
          <w:sz w:val="20"/>
          <w:szCs w:val="20"/>
        </w:rPr>
        <w:t xml:space="preserve">potem </w:t>
      </w:r>
      <w:r w:rsidRPr="00215B2F">
        <w:rPr>
          <w:rFonts w:ascii="Arial" w:eastAsia="Arial" w:hAnsi="Arial" w:cs="Arial"/>
          <w:sz w:val="20"/>
          <w:szCs w:val="20"/>
        </w:rPr>
        <w:t xml:space="preserve">ko pridobi dovoljenje za opravljanje teh storitev v skladu s tem zakonom. </w:t>
      </w:r>
    </w:p>
    <w:p w14:paraId="5917869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6927B4F" w14:textId="158C782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Kreditna družba ne sme opravljati drugih dejavnosti in storitev, razen storitev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w:t>
      </w:r>
    </w:p>
    <w:p w14:paraId="71A2E8A8" w14:textId="77777777" w:rsidR="004F7AAE" w:rsidRPr="00215B2F" w:rsidRDefault="004F7AAE" w:rsidP="00FD5520">
      <w:pPr>
        <w:shd w:val="clear" w:color="auto" w:fill="FFFFFF" w:themeFill="background1"/>
        <w:spacing w:after="0" w:line="240" w:lineRule="auto"/>
        <w:jc w:val="both"/>
        <w:rPr>
          <w:rFonts w:ascii="Arial" w:eastAsia="Arial" w:hAnsi="Arial" w:cs="Arial"/>
          <w:sz w:val="20"/>
          <w:szCs w:val="20"/>
        </w:rPr>
      </w:pPr>
    </w:p>
    <w:p w14:paraId="6C917198" w14:textId="523FFF00" w:rsidR="00D91782" w:rsidRPr="00215B2F" w:rsidRDefault="005A6F6E" w:rsidP="00FD5520">
      <w:pPr>
        <w:shd w:val="clear" w:color="auto" w:fill="FFFFFF" w:themeFill="background1"/>
        <w:spacing w:after="0" w:line="240" w:lineRule="auto"/>
        <w:jc w:val="center"/>
        <w:rPr>
          <w:rFonts w:ascii="Arial" w:eastAsia="Arial" w:hAnsi="Arial" w:cs="Arial"/>
          <w:sz w:val="20"/>
          <w:szCs w:val="20"/>
        </w:rPr>
      </w:pPr>
      <w:r w:rsidRPr="00215B2F">
        <w:rPr>
          <w:rFonts w:ascii="Arial" w:eastAsia="Arial" w:hAnsi="Arial" w:cs="Arial"/>
          <w:sz w:val="20"/>
          <w:szCs w:val="20"/>
        </w:rPr>
        <w:t>15</w:t>
      </w:r>
      <w:r w:rsidR="00D91782" w:rsidRPr="00215B2F">
        <w:rPr>
          <w:rFonts w:ascii="Arial" w:eastAsia="Arial" w:hAnsi="Arial" w:cs="Arial"/>
          <w:sz w:val="20"/>
          <w:szCs w:val="20"/>
        </w:rPr>
        <w:t xml:space="preserve">. POGLAVJE: </w:t>
      </w:r>
      <w:r w:rsidR="00D91782" w:rsidRPr="00215B2F">
        <w:rPr>
          <w:rFonts w:ascii="Arial" w:eastAsia="Arial" w:hAnsi="Arial" w:cs="Arial"/>
          <w:sz w:val="20"/>
          <w:szCs w:val="20"/>
        </w:rPr>
        <w:br/>
        <w:t>IZVENSODNO REŠEVANJE SPOROV</w:t>
      </w:r>
    </w:p>
    <w:p w14:paraId="22BFC3A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1C121F4"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06" w:name="_Ref202968313"/>
      <w:r w:rsidRPr="00215B2F">
        <w:rPr>
          <w:rFonts w:ascii="Arial" w:eastAsia="Arial" w:hAnsi="Arial" w:cs="Arial"/>
          <w:b/>
          <w:bCs/>
          <w:sz w:val="20"/>
          <w:szCs w:val="20"/>
        </w:rPr>
        <w:t>člen</w:t>
      </w:r>
      <w:bookmarkEnd w:id="506"/>
    </w:p>
    <w:p w14:paraId="1264FE2F"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(reševanje sporov med ponudniki storitev in potrošniki)</w:t>
      </w:r>
    </w:p>
    <w:p w14:paraId="47780C6B"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6381395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Banke morajo potrošnikom omogočiti izvensodno reševanje sporov v zvezi z bančnimi storitvami pred neodvisnim subjektom.</w:t>
      </w:r>
    </w:p>
    <w:p w14:paraId="6F80A71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5975FA5" w14:textId="6B73FA9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ki pooblasti neodvisni subjekt za odločanje o sporih v skladu s prejšnjim odstavkom, na svojih spletnih straneh in v vseh prostorih, v katerih posluje s strankami, na vidnem mestu objavi informacijo o pooblaščeni instituciji za reševanje sporov, o obliki in sestavi organa, ki v okviru pooblaščenega subjekta odloča v sporu, </w:t>
      </w:r>
      <w:r w:rsidR="00673530" w:rsidRPr="00215B2F">
        <w:rPr>
          <w:rFonts w:ascii="Arial" w:eastAsia="Arial" w:hAnsi="Arial" w:cs="Arial"/>
          <w:sz w:val="20"/>
          <w:szCs w:val="20"/>
        </w:rPr>
        <w:t xml:space="preserve">ter </w:t>
      </w:r>
      <w:r w:rsidRPr="00215B2F">
        <w:rPr>
          <w:rFonts w:ascii="Arial" w:eastAsia="Arial" w:hAnsi="Arial" w:cs="Arial"/>
          <w:sz w:val="20"/>
          <w:szCs w:val="20"/>
        </w:rPr>
        <w:t xml:space="preserve">o načinu </w:t>
      </w:r>
      <w:r w:rsidR="00673530" w:rsidRPr="00215B2F">
        <w:rPr>
          <w:rFonts w:ascii="Arial" w:eastAsia="Arial" w:hAnsi="Arial" w:cs="Arial"/>
          <w:sz w:val="20"/>
          <w:szCs w:val="20"/>
        </w:rPr>
        <w:t xml:space="preserve">in </w:t>
      </w:r>
      <w:r w:rsidRPr="00215B2F">
        <w:rPr>
          <w:rFonts w:ascii="Arial" w:eastAsia="Arial" w:hAnsi="Arial" w:cs="Arial"/>
          <w:sz w:val="20"/>
          <w:szCs w:val="20"/>
        </w:rPr>
        <w:t>postopku odločanja tega organa.</w:t>
      </w:r>
    </w:p>
    <w:p w14:paraId="0B3D16A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19A0896" w14:textId="7C26800F" w:rsidR="00D91782" w:rsidRPr="00215B2F" w:rsidRDefault="005A6F6E" w:rsidP="00FD5520">
      <w:pPr>
        <w:shd w:val="clear" w:color="auto" w:fill="FFFFFF" w:themeFill="background1"/>
        <w:spacing w:after="0" w:line="240" w:lineRule="auto"/>
        <w:jc w:val="center"/>
        <w:rPr>
          <w:rFonts w:ascii="Arial" w:eastAsia="Arial" w:hAnsi="Arial" w:cs="Arial"/>
          <w:sz w:val="20"/>
          <w:szCs w:val="20"/>
        </w:rPr>
      </w:pPr>
      <w:r w:rsidRPr="00215B2F">
        <w:rPr>
          <w:rFonts w:ascii="Arial" w:eastAsia="Arial" w:hAnsi="Arial" w:cs="Arial"/>
          <w:sz w:val="20"/>
          <w:szCs w:val="20"/>
        </w:rPr>
        <w:t>16</w:t>
      </w:r>
      <w:r w:rsidR="00D91782" w:rsidRPr="00215B2F">
        <w:rPr>
          <w:rFonts w:ascii="Arial" w:eastAsia="Arial" w:hAnsi="Arial" w:cs="Arial"/>
          <w:sz w:val="20"/>
          <w:szCs w:val="20"/>
        </w:rPr>
        <w:t xml:space="preserve">. POGLAVJE: </w:t>
      </w:r>
      <w:r w:rsidR="00D91782" w:rsidRPr="00215B2F">
        <w:rPr>
          <w:rFonts w:ascii="Arial" w:eastAsia="Arial" w:hAnsi="Arial" w:cs="Arial"/>
          <w:sz w:val="20"/>
          <w:szCs w:val="20"/>
        </w:rPr>
        <w:br/>
        <w:t>POSTOPEK ODLOČANJA BANKE SLOVENIJE V POSAMIČNIH ZADEVAH IN POSTOPEK SODNEGA VARSTVA</w:t>
      </w:r>
    </w:p>
    <w:p w14:paraId="4D484420"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86A4D19" w14:textId="5B610177" w:rsidR="00D91782" w:rsidRPr="00215B2F" w:rsidRDefault="005A6F6E"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16</w:t>
      </w:r>
      <w:r w:rsidR="00D91782" w:rsidRPr="00215B2F">
        <w:rPr>
          <w:rFonts w:ascii="Arial" w:eastAsia="Arial" w:hAnsi="Arial" w:cs="Arial"/>
          <w:b/>
          <w:bCs/>
          <w:sz w:val="20"/>
          <w:szCs w:val="20"/>
        </w:rPr>
        <w:t>.1 SPLOŠNE DOLOČBE</w:t>
      </w:r>
    </w:p>
    <w:p w14:paraId="511CB13E"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4C86659"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07" w:name="_Ref202968320"/>
      <w:r w:rsidRPr="00215B2F">
        <w:rPr>
          <w:rFonts w:ascii="Arial" w:eastAsia="Arial" w:hAnsi="Arial" w:cs="Arial"/>
          <w:b/>
          <w:bCs/>
          <w:sz w:val="20"/>
          <w:szCs w:val="20"/>
        </w:rPr>
        <w:t>člen</w:t>
      </w:r>
      <w:bookmarkEnd w:id="507"/>
    </w:p>
    <w:p w14:paraId="75DB69F7"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(uporaba določb o postopku)</w:t>
      </w:r>
    </w:p>
    <w:p w14:paraId="7D7D0C9B"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41599B75" w14:textId="1774160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(1) Banka Slovenije odloča o posamičnih zadevah, za katere je pristojna po tem zakonu in Uredbi 1024/2013/EU, ter opravlja procesna dejanja v postopkih, za katere je v skladu z Uredbo 1024/2013/EU pristojna Evropska centralna banka, po postopku, določenem v </w:t>
      </w:r>
      <w:r w:rsidR="004B5768" w:rsidRPr="00215B2F">
        <w:rPr>
          <w:rFonts w:ascii="Arial" w:eastAsia="Arial" w:hAnsi="Arial" w:cs="Arial"/>
          <w:sz w:val="20"/>
          <w:szCs w:val="20"/>
        </w:rPr>
        <w:t>16</w:t>
      </w:r>
      <w:r w:rsidRPr="00215B2F">
        <w:rPr>
          <w:rFonts w:ascii="Arial" w:eastAsia="Arial" w:hAnsi="Arial" w:cs="Arial"/>
          <w:sz w:val="20"/>
          <w:szCs w:val="20"/>
        </w:rPr>
        <w:t xml:space="preserve">. </w:t>
      </w:r>
      <w:r w:rsidR="001F2C7A" w:rsidRPr="00215B2F">
        <w:rPr>
          <w:rFonts w:ascii="Arial" w:eastAsia="Arial" w:hAnsi="Arial" w:cs="Arial"/>
          <w:sz w:val="20"/>
          <w:szCs w:val="20"/>
        </w:rPr>
        <w:t>poglavju tega zakona</w:t>
      </w:r>
      <w:r w:rsidRPr="00215B2F">
        <w:rPr>
          <w:rFonts w:ascii="Arial" w:eastAsia="Arial" w:hAnsi="Arial" w:cs="Arial"/>
          <w:sz w:val="20"/>
          <w:szCs w:val="20"/>
        </w:rPr>
        <w:t>, če ta zakon, Uredba 1024/2013/EU ali predpis, izdan na njeni podlagi, za posamezno vrsto postopka ne določa drugače.</w:t>
      </w:r>
    </w:p>
    <w:p w14:paraId="25ADA8C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2319D6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Če ni v tem zakonu drugače določeno, se za postopek odločanja Banke Slovenije uporabljajo določbe ZUP.</w:t>
      </w:r>
    </w:p>
    <w:p w14:paraId="146F9B6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8AABB35"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08" w:name="_Ref202968328"/>
      <w:r w:rsidRPr="00215B2F">
        <w:rPr>
          <w:rFonts w:ascii="Arial" w:eastAsia="Arial" w:hAnsi="Arial" w:cs="Arial"/>
          <w:b/>
          <w:bCs/>
          <w:sz w:val="20"/>
          <w:szCs w:val="20"/>
        </w:rPr>
        <w:t>člen</w:t>
      </w:r>
      <w:bookmarkEnd w:id="508"/>
    </w:p>
    <w:p w14:paraId="71ABF823"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(vodenje postopka in pooblastila za odločanje)</w:t>
      </w:r>
    </w:p>
    <w:p w14:paraId="6D5B483B"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61EEE07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O posamičnih zadevah po tem zakonu ali Uredbi 1024/2013/EU, za katere je pristojna Banka Slovenije, odloča Svet Banke Slovenije kot kolegijski organ.</w:t>
      </w:r>
    </w:p>
    <w:p w14:paraId="242617C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46A683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Postopek do izdaje odločitve vodi strokovni delavec Banke Slovenije, ki izpolnjuje pogoje iz 31. člena ZUP in ki ga za to pooblasti guverner Banke Slovenije.</w:t>
      </w:r>
    </w:p>
    <w:p w14:paraId="612CA75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91BEE7A"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09" w:name="_Ref202968344"/>
      <w:r w:rsidRPr="00215B2F">
        <w:rPr>
          <w:rFonts w:ascii="Arial" w:eastAsia="Arial" w:hAnsi="Arial" w:cs="Arial"/>
          <w:b/>
          <w:bCs/>
          <w:sz w:val="20"/>
          <w:szCs w:val="20"/>
        </w:rPr>
        <w:t>člen</w:t>
      </w:r>
      <w:bookmarkEnd w:id="509"/>
    </w:p>
    <w:p w14:paraId="663B71D0"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(elektronske vloge)</w:t>
      </w:r>
    </w:p>
    <w:p w14:paraId="118A32EC"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7DD052F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Vloga v elektronski obliki se vloži tako, da se po elektronski poti pošlje informacijskemu sistemu Banke Slovenije. </w:t>
      </w:r>
    </w:p>
    <w:p w14:paraId="3C0B8F4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28507B1" w14:textId="2182C44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Vloge v postopkih, v katerih pristojnosti in naloge nadzora iz točke (e) prvega odstavka 4. člena Uredbe 1024/2013/EU v zvezi s to banko izvaja Evropska centralna banka, v skladu z določbami Uredbe 468/20147EU in tega zakona pa se vložijo pri Banki Slovenije, se v elektronski obliki lahko pošljejo tudi </w:t>
      </w:r>
      <w:r w:rsidR="00673530" w:rsidRPr="00215B2F">
        <w:rPr>
          <w:rFonts w:ascii="Arial" w:eastAsia="Arial" w:hAnsi="Arial" w:cs="Arial"/>
          <w:sz w:val="20"/>
          <w:szCs w:val="20"/>
        </w:rPr>
        <w:t xml:space="preserve">v </w:t>
      </w:r>
      <w:r w:rsidRPr="00215B2F">
        <w:rPr>
          <w:rFonts w:ascii="Arial" w:eastAsia="Arial" w:hAnsi="Arial" w:cs="Arial"/>
          <w:sz w:val="20"/>
          <w:szCs w:val="20"/>
        </w:rPr>
        <w:t>informacijsk</w:t>
      </w:r>
      <w:r w:rsidR="00673530" w:rsidRPr="00215B2F">
        <w:rPr>
          <w:rFonts w:ascii="Arial" w:eastAsia="Arial" w:hAnsi="Arial" w:cs="Arial"/>
          <w:sz w:val="20"/>
          <w:szCs w:val="20"/>
        </w:rPr>
        <w:t>i</w:t>
      </w:r>
      <w:r w:rsidRPr="00215B2F">
        <w:rPr>
          <w:rFonts w:ascii="Arial" w:eastAsia="Arial" w:hAnsi="Arial" w:cs="Arial"/>
          <w:sz w:val="20"/>
          <w:szCs w:val="20"/>
        </w:rPr>
        <w:t xml:space="preserve"> sistem Evropske centralne banke.</w:t>
      </w:r>
    </w:p>
    <w:p w14:paraId="519C3DCE" w14:textId="77777777" w:rsidR="000865CC" w:rsidRPr="00215B2F" w:rsidRDefault="000865CC" w:rsidP="00FD5520">
      <w:pPr>
        <w:shd w:val="clear" w:color="auto" w:fill="FFFFFF" w:themeFill="background1"/>
        <w:spacing w:after="0" w:line="240" w:lineRule="auto"/>
        <w:jc w:val="both"/>
        <w:rPr>
          <w:rFonts w:ascii="Arial" w:eastAsia="Arial" w:hAnsi="Arial" w:cs="Arial"/>
          <w:sz w:val="20"/>
          <w:szCs w:val="20"/>
        </w:rPr>
      </w:pPr>
    </w:p>
    <w:p w14:paraId="6484C3CD" w14:textId="53511F1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Vloge v skupnih postopkih Banke Slovenije in Evropske centralne banke, k</w:t>
      </w:r>
      <w:r w:rsidR="006B0B0E" w:rsidRPr="00215B2F">
        <w:rPr>
          <w:rFonts w:ascii="Arial" w:eastAsia="Arial" w:hAnsi="Arial" w:cs="Arial"/>
          <w:sz w:val="20"/>
          <w:szCs w:val="20"/>
        </w:rPr>
        <w:t>akor</w:t>
      </w:r>
      <w:r w:rsidRPr="00215B2F">
        <w:rPr>
          <w:rFonts w:ascii="Arial" w:eastAsia="Arial" w:hAnsi="Arial" w:cs="Arial"/>
          <w:sz w:val="20"/>
          <w:szCs w:val="20"/>
        </w:rPr>
        <w:t xml:space="preserve"> so opredeljeni v V. delu Uredbe 468/2014/EU, ki se v skladu z določbami tega zakona vložijo pri Banki Slovenije, se v elektronski obliki lahko pošljejo tudi </w:t>
      </w:r>
      <w:r w:rsidR="00673530" w:rsidRPr="00215B2F">
        <w:rPr>
          <w:rFonts w:ascii="Arial" w:eastAsia="Arial" w:hAnsi="Arial" w:cs="Arial"/>
          <w:sz w:val="20"/>
          <w:szCs w:val="20"/>
        </w:rPr>
        <w:t xml:space="preserve">v </w:t>
      </w:r>
      <w:r w:rsidRPr="00215B2F">
        <w:rPr>
          <w:rFonts w:ascii="Arial" w:eastAsia="Arial" w:hAnsi="Arial" w:cs="Arial"/>
          <w:sz w:val="20"/>
          <w:szCs w:val="20"/>
        </w:rPr>
        <w:t>informacijsk</w:t>
      </w:r>
      <w:r w:rsidR="00673530" w:rsidRPr="00215B2F">
        <w:rPr>
          <w:rFonts w:ascii="Arial" w:eastAsia="Arial" w:hAnsi="Arial" w:cs="Arial"/>
          <w:sz w:val="20"/>
          <w:szCs w:val="20"/>
        </w:rPr>
        <w:t>i</w:t>
      </w:r>
      <w:r w:rsidRPr="00215B2F">
        <w:rPr>
          <w:rFonts w:ascii="Arial" w:eastAsia="Arial" w:hAnsi="Arial" w:cs="Arial"/>
          <w:sz w:val="20"/>
          <w:szCs w:val="20"/>
        </w:rPr>
        <w:t xml:space="preserve"> sistem Evropske centralne banke. </w:t>
      </w:r>
    </w:p>
    <w:p w14:paraId="545879A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13F978A" w14:textId="397C4CD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1011F5" w:rsidRPr="00215B2F">
        <w:rPr>
          <w:rFonts w:ascii="Arial" w:eastAsia="Arial" w:hAnsi="Arial" w:cs="Arial"/>
          <w:sz w:val="20"/>
          <w:szCs w:val="20"/>
        </w:rPr>
        <w:t>4</w:t>
      </w:r>
      <w:r w:rsidRPr="00215B2F">
        <w:rPr>
          <w:rFonts w:ascii="Arial" w:eastAsia="Arial" w:hAnsi="Arial" w:cs="Arial"/>
          <w:sz w:val="20"/>
          <w:szCs w:val="20"/>
        </w:rPr>
        <w:t>) Pogoje in način vložitve vlog v elektronski obliki oziroma po elektronski poti pri Banki Slovenije določi Banka Slovenije s podzakonskim predpisom.</w:t>
      </w:r>
    </w:p>
    <w:p w14:paraId="5FA578D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A1A165D"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10" w:name="_Ref202968353"/>
      <w:r w:rsidRPr="00215B2F">
        <w:rPr>
          <w:rFonts w:ascii="Arial" w:eastAsia="Arial" w:hAnsi="Arial" w:cs="Arial"/>
          <w:b/>
          <w:bCs/>
          <w:sz w:val="20"/>
          <w:szCs w:val="20"/>
        </w:rPr>
        <w:t>člen</w:t>
      </w:r>
      <w:bookmarkEnd w:id="510"/>
    </w:p>
    <w:p w14:paraId="6C012DAB"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(izjave strank)</w:t>
      </w:r>
    </w:p>
    <w:p w14:paraId="0441F2BC"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7109C24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Stranke dajejo svoje izjave pisno.</w:t>
      </w:r>
    </w:p>
    <w:p w14:paraId="1E6F0F8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5B3CA6C" w14:textId="5B7EFC7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V primeru iz drugega odstavka </w:t>
      </w:r>
      <w:r w:rsidR="004B5768" w:rsidRPr="00215B2F">
        <w:rPr>
          <w:rFonts w:ascii="Arial" w:eastAsia="Arial" w:hAnsi="Arial" w:cs="Arial"/>
          <w:sz w:val="20"/>
          <w:szCs w:val="20"/>
        </w:rPr>
        <w:t>447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lahko stranke dajejo svoje izjave tudi ustno na obravnavi.</w:t>
      </w:r>
    </w:p>
    <w:p w14:paraId="7D6947E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AF9663A"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11" w:name="_Ref202968361"/>
      <w:r w:rsidRPr="00215B2F">
        <w:rPr>
          <w:rFonts w:ascii="Arial" w:eastAsia="Arial" w:hAnsi="Arial" w:cs="Arial"/>
          <w:b/>
          <w:bCs/>
          <w:sz w:val="20"/>
          <w:szCs w:val="20"/>
        </w:rPr>
        <w:t>člen</w:t>
      </w:r>
      <w:bookmarkEnd w:id="511"/>
    </w:p>
    <w:p w14:paraId="3EC01BBF"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(možnost izjave)</w:t>
      </w:r>
    </w:p>
    <w:p w14:paraId="6AF5380A"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5C73C6A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mora pred izdajo odločbe, ki jo izda po uradni dolžnosti, stranko pozvati, da se izjavi o dejstvih in okoliščinah, ki so pomembne za odločitev, če v posameznem primeru stranki ni bila zagotovljena drugačna možnost, da se izjavi o teh dejstvih ali okoliščinah.</w:t>
      </w:r>
    </w:p>
    <w:p w14:paraId="6099BC2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4D508AE" w14:textId="5FA5AC8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Poziv iz prejšnjega odstavka mora </w:t>
      </w:r>
      <w:r w:rsidR="00E9444E" w:rsidRPr="00215B2F">
        <w:rPr>
          <w:rFonts w:ascii="Arial" w:eastAsia="Arial" w:hAnsi="Arial" w:cs="Arial"/>
          <w:sz w:val="20"/>
          <w:szCs w:val="20"/>
        </w:rPr>
        <w:t>vključevati</w:t>
      </w:r>
      <w:r w:rsidRPr="00215B2F">
        <w:rPr>
          <w:rFonts w:ascii="Arial" w:eastAsia="Arial" w:hAnsi="Arial" w:cs="Arial"/>
          <w:sz w:val="20"/>
          <w:szCs w:val="20"/>
        </w:rPr>
        <w:t>:</w:t>
      </w:r>
    </w:p>
    <w:p w14:paraId="7BBAB82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5F4139C" w14:textId="77777777" w:rsidR="0005122C" w:rsidRPr="00215B2F" w:rsidRDefault="00D91782" w:rsidP="003D4DE0">
      <w:pPr>
        <w:pStyle w:val="tevilnatoka"/>
        <w:numPr>
          <w:ilvl w:val="0"/>
          <w:numId w:val="281"/>
        </w:numPr>
        <w:shd w:val="clear" w:color="auto" w:fill="FFFFFF" w:themeFill="background1"/>
        <w:tabs>
          <w:tab w:val="clear" w:pos="425"/>
        </w:tabs>
        <w:rPr>
          <w:rFonts w:cs="Arial"/>
          <w:bCs/>
          <w:sz w:val="20"/>
          <w:szCs w:val="20"/>
        </w:rPr>
      </w:pPr>
      <w:r w:rsidRPr="00215B2F">
        <w:rPr>
          <w:rFonts w:eastAsia="Arial" w:cs="Arial"/>
          <w:sz w:val="20"/>
          <w:szCs w:val="20"/>
        </w:rPr>
        <w:t>določno navedbo dejstev in okoliščin, o katerih naj se stranka izjavi, in dokazov, iz katerih ta dejstva izhajajo;</w:t>
      </w:r>
    </w:p>
    <w:p w14:paraId="4AC37152" w14:textId="77777777" w:rsidR="0005122C" w:rsidRPr="00215B2F" w:rsidRDefault="00D91782" w:rsidP="003D4DE0">
      <w:pPr>
        <w:pStyle w:val="tevilnatoka"/>
        <w:numPr>
          <w:ilvl w:val="0"/>
          <w:numId w:val="281"/>
        </w:numPr>
        <w:shd w:val="clear" w:color="auto" w:fill="FFFFFF" w:themeFill="background1"/>
        <w:tabs>
          <w:tab w:val="clear" w:pos="425"/>
        </w:tabs>
        <w:rPr>
          <w:rFonts w:cs="Arial"/>
          <w:bCs/>
          <w:sz w:val="20"/>
          <w:szCs w:val="20"/>
        </w:rPr>
      </w:pPr>
      <w:r w:rsidRPr="00215B2F">
        <w:rPr>
          <w:rFonts w:eastAsia="Arial" w:cs="Arial"/>
          <w:sz w:val="20"/>
          <w:szCs w:val="20"/>
        </w:rPr>
        <w:t>rok za izjavo, ki ne sme biti krajši od osmih dni;</w:t>
      </w:r>
    </w:p>
    <w:p w14:paraId="73EB9E95" w14:textId="56A9CA51" w:rsidR="00D91782" w:rsidRPr="00215B2F" w:rsidRDefault="00D91782" w:rsidP="003D4DE0">
      <w:pPr>
        <w:pStyle w:val="tevilnatoka"/>
        <w:numPr>
          <w:ilvl w:val="0"/>
          <w:numId w:val="281"/>
        </w:numPr>
        <w:shd w:val="clear" w:color="auto" w:fill="FFFFFF" w:themeFill="background1"/>
        <w:tabs>
          <w:tab w:val="clear" w:pos="425"/>
        </w:tabs>
        <w:rPr>
          <w:rFonts w:cs="Arial"/>
          <w:bCs/>
          <w:sz w:val="20"/>
          <w:szCs w:val="20"/>
        </w:rPr>
      </w:pPr>
      <w:r w:rsidRPr="00215B2F">
        <w:rPr>
          <w:rFonts w:eastAsia="Arial" w:cs="Arial"/>
          <w:sz w:val="20"/>
          <w:szCs w:val="20"/>
        </w:rPr>
        <w:t>pouk stranki, da mora izjavi priložiti listinske dokaze, če se nanje sklicuje, in da po preteku roka za izjavo ne bo imela pravice navajati novih dejstev in predlagati novih dokazov.</w:t>
      </w:r>
    </w:p>
    <w:p w14:paraId="312FBCE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F6DDC3B" w14:textId="4E2DD45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(3) V izjavi lahko stranka navaja dejstva, iz katerih izhaja, da dejstva in okoliščine, navedene v pozivu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n</w:t>
      </w:r>
      <w:r w:rsidR="00330C80" w:rsidRPr="00215B2F">
        <w:rPr>
          <w:rFonts w:ascii="Arial" w:eastAsia="Arial" w:hAnsi="Arial" w:cs="Arial"/>
          <w:sz w:val="20"/>
          <w:szCs w:val="20"/>
        </w:rPr>
        <w:t>e obstajajo</w:t>
      </w:r>
      <w:r w:rsidRPr="00215B2F">
        <w:rPr>
          <w:rFonts w:ascii="Arial" w:eastAsia="Arial" w:hAnsi="Arial" w:cs="Arial"/>
          <w:sz w:val="20"/>
          <w:szCs w:val="20"/>
        </w:rPr>
        <w:t>, in predlaga dokaze, s katerimi dokazuje obstoj zatrjevanih dejstev. Če se stranka v izjavi sklicuje na listinske dokaze, mora te dokaze izjavi priložiti.</w:t>
      </w:r>
    </w:p>
    <w:p w14:paraId="04A68AC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426580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Če stranka izjavi ne priloži listinskih dokazov, se ne uporabljajo določbe o nepopolnih vlogah, temveč Banka Slovenije pri odločanju upošteva zgolj tiste dokaze, ki so izjavi priloženi.</w:t>
      </w:r>
    </w:p>
    <w:p w14:paraId="4E0C8BD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25D9BE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Po izteku roka za izjavo stranka nima pravice navajati novih dejstev in predlagati novih dokazov.</w:t>
      </w:r>
    </w:p>
    <w:p w14:paraId="6C3212B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80468EB"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12" w:name="_Ref202968366"/>
      <w:r w:rsidRPr="00215B2F">
        <w:rPr>
          <w:rFonts w:ascii="Arial" w:eastAsia="Arial" w:hAnsi="Arial" w:cs="Arial"/>
          <w:b/>
          <w:bCs/>
          <w:sz w:val="20"/>
          <w:szCs w:val="20"/>
        </w:rPr>
        <w:t>člen</w:t>
      </w:r>
      <w:bookmarkEnd w:id="512"/>
    </w:p>
    <w:p w14:paraId="1306B604"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(vročanje)</w:t>
      </w:r>
    </w:p>
    <w:p w14:paraId="03816F47"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1796B6A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V postopkih po tem zakonu se vročitve pravni osebi ali samostojnemu podjetniku posamezniku opravijo tako, da se dokumenti izročijo osebi, ki je pooblaščena za sprejem, ali če te osebe ni, drugemu zaposlenemu, ki se najde v pisarni oziroma poslovnem prostoru.</w:t>
      </w:r>
    </w:p>
    <w:p w14:paraId="0BE9356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CB26E03" w14:textId="7550000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Vročitve članom uprave in članom </w:t>
      </w:r>
      <w:r w:rsidR="00354135" w:rsidRPr="00215B2F">
        <w:rPr>
          <w:rFonts w:ascii="Arial" w:eastAsia="Arial" w:hAnsi="Arial" w:cs="Arial"/>
          <w:sz w:val="20"/>
          <w:szCs w:val="20"/>
        </w:rPr>
        <w:t>nadzornega sveta</w:t>
      </w:r>
      <w:r w:rsidRPr="00215B2F">
        <w:rPr>
          <w:rFonts w:ascii="Arial" w:eastAsia="Arial" w:hAnsi="Arial" w:cs="Arial"/>
          <w:sz w:val="20"/>
          <w:szCs w:val="20"/>
        </w:rPr>
        <w:t xml:space="preserve"> se opravljajo z vročanjem banki. Šteje se, da je z vročitvijo banki opravljena tudi vročitev članom uprave oziroma članom nadzornega sveta.</w:t>
      </w:r>
    </w:p>
    <w:p w14:paraId="3433286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9A1E3E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Vročitve kandidatom za člana uprave in člane nadzornega sveta se opravljajo z vročanjem banki, razen če ta zakon določa drugače. </w:t>
      </w:r>
    </w:p>
    <w:p w14:paraId="42B1627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A1A9279" w14:textId="2B0D311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Ne glede na prejšnji odstavek se v odločbi, s katero se konča postopek odločanja Banke Slovenije in </w:t>
      </w:r>
      <w:r w:rsidR="003238AD" w:rsidRPr="00215B2F">
        <w:rPr>
          <w:rFonts w:ascii="Arial" w:eastAsia="Arial" w:hAnsi="Arial" w:cs="Arial"/>
          <w:sz w:val="20"/>
          <w:szCs w:val="20"/>
        </w:rPr>
        <w:t xml:space="preserve">ki </w:t>
      </w:r>
      <w:r w:rsidRPr="00215B2F">
        <w:rPr>
          <w:rFonts w:ascii="Arial" w:eastAsia="Arial" w:hAnsi="Arial" w:cs="Arial"/>
          <w:sz w:val="20"/>
          <w:szCs w:val="20"/>
        </w:rPr>
        <w:t>se vroči banki, podatki in informacije, ki jih banka ni upravičena pridobiti, prekrijejo. Odločba, s katero se konča postopek odločanja Banke Slovenije, se vroči tudi kandidatu za člana uprave ali člana nadzornega sveta.</w:t>
      </w:r>
    </w:p>
    <w:p w14:paraId="5871E46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4532E7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Kadar stranko v postopku zastopa odvetnik, se šteje, da je vročitev stranki opravljena, če je dokument vročen odvetniku oziroma zaposlenemu v odvetniški pisarni.</w:t>
      </w:r>
    </w:p>
    <w:p w14:paraId="262A3AD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D1EFE27"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13" w:name="_Ref202968373"/>
      <w:r w:rsidRPr="00215B2F">
        <w:rPr>
          <w:rFonts w:ascii="Arial" w:eastAsia="Arial" w:hAnsi="Arial" w:cs="Arial"/>
          <w:b/>
          <w:bCs/>
          <w:sz w:val="20"/>
          <w:szCs w:val="20"/>
        </w:rPr>
        <w:t>člen</w:t>
      </w:r>
      <w:bookmarkEnd w:id="513"/>
    </w:p>
    <w:p w14:paraId="15AC9298"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(obravnava)</w:t>
      </w:r>
    </w:p>
    <w:p w14:paraId="18809448"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17C5577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obravnava zadeve brez naroka.</w:t>
      </w:r>
    </w:p>
    <w:p w14:paraId="3F4D85A3" w14:textId="77777777" w:rsidR="001D7B9B" w:rsidRPr="00215B2F" w:rsidRDefault="001D7B9B" w:rsidP="00FD5520">
      <w:pPr>
        <w:shd w:val="clear" w:color="auto" w:fill="FFFFFF" w:themeFill="background1"/>
        <w:spacing w:after="0" w:line="240" w:lineRule="auto"/>
        <w:jc w:val="both"/>
        <w:rPr>
          <w:rFonts w:ascii="Arial" w:eastAsia="Arial" w:hAnsi="Arial" w:cs="Arial"/>
          <w:sz w:val="20"/>
          <w:szCs w:val="20"/>
        </w:rPr>
      </w:pPr>
    </w:p>
    <w:p w14:paraId="1D120D41" w14:textId="515B86C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Ne glede na prejšnji odstavek Banka Slovenije razpiše ustno obravnavo:</w:t>
      </w:r>
    </w:p>
    <w:p w14:paraId="58933EC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DCE9A65" w14:textId="77777777" w:rsidR="0005122C" w:rsidRPr="00215B2F" w:rsidRDefault="00D91782" w:rsidP="003D4DE0">
      <w:pPr>
        <w:pStyle w:val="tevilnatoka"/>
        <w:numPr>
          <w:ilvl w:val="0"/>
          <w:numId w:val="282"/>
        </w:numPr>
        <w:shd w:val="clear" w:color="auto" w:fill="FFFFFF" w:themeFill="background1"/>
        <w:tabs>
          <w:tab w:val="clear" w:pos="425"/>
        </w:tabs>
        <w:rPr>
          <w:rFonts w:cs="Arial"/>
          <w:bCs/>
          <w:sz w:val="20"/>
          <w:szCs w:val="20"/>
        </w:rPr>
      </w:pPr>
      <w:r w:rsidRPr="00215B2F">
        <w:rPr>
          <w:rFonts w:eastAsia="Arial" w:cs="Arial"/>
          <w:sz w:val="20"/>
          <w:szCs w:val="20"/>
        </w:rPr>
        <w:t>če je treba zaslišati priče ali izvedence,</w:t>
      </w:r>
    </w:p>
    <w:p w14:paraId="32D55D73" w14:textId="77777777" w:rsidR="0005122C" w:rsidRPr="00215B2F" w:rsidRDefault="00D91782" w:rsidP="003D4DE0">
      <w:pPr>
        <w:pStyle w:val="tevilnatoka"/>
        <w:numPr>
          <w:ilvl w:val="0"/>
          <w:numId w:val="282"/>
        </w:numPr>
        <w:shd w:val="clear" w:color="auto" w:fill="FFFFFF" w:themeFill="background1"/>
        <w:tabs>
          <w:tab w:val="clear" w:pos="425"/>
        </w:tabs>
        <w:rPr>
          <w:rFonts w:cs="Arial"/>
          <w:bCs/>
          <w:sz w:val="20"/>
          <w:szCs w:val="20"/>
        </w:rPr>
      </w:pPr>
      <w:r w:rsidRPr="00215B2F">
        <w:rPr>
          <w:rFonts w:eastAsia="Arial" w:cs="Arial"/>
          <w:sz w:val="20"/>
          <w:szCs w:val="20"/>
        </w:rPr>
        <w:t>če sta v postopku udeleženi dve ali več strank z nasprotujočimi si interesi,</w:t>
      </w:r>
    </w:p>
    <w:p w14:paraId="4C1B6CFA" w14:textId="31A831DB" w:rsidR="0005122C" w:rsidRPr="00215B2F" w:rsidRDefault="00D91782" w:rsidP="003D4DE0">
      <w:pPr>
        <w:pStyle w:val="tevilnatoka"/>
        <w:numPr>
          <w:ilvl w:val="0"/>
          <w:numId w:val="282"/>
        </w:numPr>
        <w:shd w:val="clear" w:color="auto" w:fill="FFFFFF" w:themeFill="background1"/>
        <w:tabs>
          <w:tab w:val="clear" w:pos="425"/>
        </w:tabs>
        <w:rPr>
          <w:rFonts w:cs="Arial"/>
          <w:bCs/>
          <w:sz w:val="20"/>
          <w:szCs w:val="20"/>
        </w:rPr>
      </w:pPr>
      <w:r w:rsidRPr="00215B2F">
        <w:rPr>
          <w:rFonts w:eastAsia="Arial" w:cs="Arial"/>
          <w:sz w:val="20"/>
          <w:szCs w:val="20"/>
        </w:rPr>
        <w:t xml:space="preserve">če je treba opraviti ustni razgovor po </w:t>
      </w:r>
      <w:r w:rsidR="004B5768" w:rsidRPr="00215B2F">
        <w:rPr>
          <w:rFonts w:eastAsia="Arial" w:cs="Arial"/>
          <w:sz w:val="20"/>
          <w:szCs w:val="20"/>
        </w:rPr>
        <w:t>50</w:t>
      </w:r>
      <w:r w:rsidRPr="00215B2F">
        <w:rPr>
          <w:rFonts w:eastAsia="Arial" w:cs="Arial"/>
          <w:sz w:val="20"/>
          <w:szCs w:val="20"/>
        </w:rPr>
        <w:t xml:space="preserve">. </w:t>
      </w:r>
      <w:r w:rsidR="001F2C7A" w:rsidRPr="00215B2F">
        <w:rPr>
          <w:rFonts w:eastAsia="Arial" w:cs="Arial"/>
          <w:sz w:val="20"/>
          <w:szCs w:val="20"/>
        </w:rPr>
        <w:t>členu tega zakona</w:t>
      </w:r>
      <w:r w:rsidRPr="00215B2F">
        <w:rPr>
          <w:rFonts w:eastAsia="Arial" w:cs="Arial"/>
          <w:sz w:val="20"/>
          <w:szCs w:val="20"/>
        </w:rPr>
        <w:t xml:space="preserve"> ali</w:t>
      </w:r>
    </w:p>
    <w:p w14:paraId="42311E51" w14:textId="386D1716" w:rsidR="00D91782" w:rsidRPr="00215B2F" w:rsidRDefault="00D91782" w:rsidP="003D4DE0">
      <w:pPr>
        <w:pStyle w:val="tevilnatoka"/>
        <w:numPr>
          <w:ilvl w:val="0"/>
          <w:numId w:val="282"/>
        </w:numPr>
        <w:shd w:val="clear" w:color="auto" w:fill="FFFFFF" w:themeFill="background1"/>
        <w:tabs>
          <w:tab w:val="clear" w:pos="425"/>
        </w:tabs>
        <w:rPr>
          <w:rFonts w:cs="Arial"/>
          <w:bCs/>
          <w:sz w:val="20"/>
          <w:szCs w:val="20"/>
        </w:rPr>
      </w:pPr>
      <w:r w:rsidRPr="00215B2F">
        <w:rPr>
          <w:rFonts w:eastAsia="Arial" w:cs="Arial"/>
          <w:sz w:val="20"/>
          <w:szCs w:val="20"/>
        </w:rPr>
        <w:t>v drugih primerih, če presodi, da je to koristno za razjasnitev zadeve.</w:t>
      </w:r>
    </w:p>
    <w:p w14:paraId="7164F27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8B6FF1F"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14" w:name="_Ref202968379"/>
      <w:r w:rsidRPr="00215B2F">
        <w:rPr>
          <w:rFonts w:ascii="Arial" w:eastAsia="Arial" w:hAnsi="Arial" w:cs="Arial"/>
          <w:b/>
          <w:bCs/>
          <w:sz w:val="20"/>
          <w:szCs w:val="20"/>
        </w:rPr>
        <w:t>člen</w:t>
      </w:r>
      <w:bookmarkEnd w:id="514"/>
    </w:p>
    <w:p w14:paraId="7D4544F5"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(odločanje)</w:t>
      </w:r>
    </w:p>
    <w:p w14:paraId="65736702"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1743A93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odloča v obliki odločb, sklepov in odredb (v nadaljnjem besedilu: akti).</w:t>
      </w:r>
    </w:p>
    <w:p w14:paraId="19C0907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B739A2D" w14:textId="2059991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Z odločbo Banka Slovenije odloča o izdaji in odvzemu dovoljenj, zahtevah za oceno primernosti, </w:t>
      </w:r>
      <w:r w:rsidR="001011F5" w:rsidRPr="00215B2F">
        <w:rPr>
          <w:rFonts w:ascii="Arial" w:eastAsia="Arial" w:hAnsi="Arial" w:cs="Arial"/>
          <w:sz w:val="20"/>
          <w:szCs w:val="20"/>
        </w:rPr>
        <w:t>ustreznosti</w:t>
      </w:r>
      <w:r w:rsidRPr="00215B2F">
        <w:rPr>
          <w:rFonts w:ascii="Arial" w:eastAsia="Arial" w:hAnsi="Arial" w:cs="Arial"/>
          <w:sz w:val="20"/>
          <w:szCs w:val="20"/>
        </w:rPr>
        <w:t>, odobritvah, izvzetjih in opustitvah ter o drugih zadevah, razen o tistih, za katere zakon določa, da o njih odloča s sklepom ali z odredbo.</w:t>
      </w:r>
    </w:p>
    <w:p w14:paraId="6CEE5B8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F3955AF" w14:textId="43C47F9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S sklepom Banka Slovenije odloča o vprašanjih, ki se </w:t>
      </w:r>
      <w:r w:rsidR="00763234" w:rsidRPr="00215B2F">
        <w:rPr>
          <w:rFonts w:ascii="Arial" w:eastAsia="Arial" w:hAnsi="Arial" w:cs="Arial"/>
          <w:sz w:val="20"/>
          <w:szCs w:val="20"/>
        </w:rPr>
        <w:t xml:space="preserve">nanašajo na </w:t>
      </w:r>
      <w:r w:rsidRPr="00215B2F">
        <w:rPr>
          <w:rFonts w:ascii="Arial" w:eastAsia="Arial" w:hAnsi="Arial" w:cs="Arial"/>
          <w:sz w:val="20"/>
          <w:szCs w:val="20"/>
        </w:rPr>
        <w:t>postop</w:t>
      </w:r>
      <w:r w:rsidR="00763234" w:rsidRPr="00215B2F">
        <w:rPr>
          <w:rFonts w:ascii="Arial" w:eastAsia="Arial" w:hAnsi="Arial" w:cs="Arial"/>
          <w:sz w:val="20"/>
          <w:szCs w:val="20"/>
        </w:rPr>
        <w:t>e</w:t>
      </w:r>
      <w:r w:rsidRPr="00215B2F">
        <w:rPr>
          <w:rFonts w:ascii="Arial" w:eastAsia="Arial" w:hAnsi="Arial" w:cs="Arial"/>
          <w:sz w:val="20"/>
          <w:szCs w:val="20"/>
        </w:rPr>
        <w:t>k ali se pojavijo v zvezi z izvedbo postopka.</w:t>
      </w:r>
    </w:p>
    <w:p w14:paraId="2598CAC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1A7201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Akti Banke Slovenije morajo biti obrazloženi, če ta ali drug zakon ne določa drugače.</w:t>
      </w:r>
    </w:p>
    <w:p w14:paraId="3386BAE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2BCA102" w14:textId="1BA8C14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Izrek akta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mora </w:t>
      </w:r>
      <w:r w:rsidR="00E9444E" w:rsidRPr="00215B2F">
        <w:rPr>
          <w:rFonts w:ascii="Arial" w:eastAsia="Arial" w:hAnsi="Arial" w:cs="Arial"/>
          <w:sz w:val="20"/>
          <w:szCs w:val="20"/>
        </w:rPr>
        <w:t>vključevati</w:t>
      </w:r>
      <w:r w:rsidRPr="00215B2F">
        <w:rPr>
          <w:rFonts w:ascii="Arial" w:eastAsia="Arial" w:hAnsi="Arial" w:cs="Arial"/>
          <w:sz w:val="20"/>
          <w:szCs w:val="20"/>
        </w:rPr>
        <w:t>:</w:t>
      </w:r>
    </w:p>
    <w:p w14:paraId="29799DF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EAD043D" w14:textId="340C8023" w:rsidR="0005122C" w:rsidRPr="00215B2F" w:rsidRDefault="00D91782" w:rsidP="003D4DE0">
      <w:pPr>
        <w:pStyle w:val="tevilnatoka"/>
        <w:numPr>
          <w:ilvl w:val="0"/>
          <w:numId w:val="283"/>
        </w:numPr>
        <w:shd w:val="clear" w:color="auto" w:fill="FFFFFF" w:themeFill="background1"/>
        <w:tabs>
          <w:tab w:val="clear" w:pos="425"/>
        </w:tabs>
        <w:rPr>
          <w:rFonts w:cs="Arial"/>
          <w:bCs/>
          <w:sz w:val="20"/>
          <w:szCs w:val="20"/>
        </w:rPr>
      </w:pPr>
      <w:r w:rsidRPr="00215B2F">
        <w:rPr>
          <w:rFonts w:eastAsia="Arial" w:cs="Arial"/>
          <w:sz w:val="20"/>
          <w:szCs w:val="20"/>
        </w:rPr>
        <w:t xml:space="preserve">osebne podatke subjekta nadzora, ki je fizična oseba (osebno ime, EMŠO, če je fizična oseba tujec, pa njene rojstne podatke, državljanstvo, stalno oziroma začasno prebivališče), za pravno osebo pa </w:t>
      </w:r>
      <w:r w:rsidR="00E9444E" w:rsidRPr="00215B2F">
        <w:rPr>
          <w:rFonts w:eastAsia="Arial" w:cs="Arial"/>
          <w:sz w:val="20"/>
          <w:szCs w:val="20"/>
        </w:rPr>
        <w:lastRenderedPageBreak/>
        <w:t xml:space="preserve">naziv </w:t>
      </w:r>
      <w:r w:rsidRPr="00215B2F">
        <w:rPr>
          <w:rFonts w:eastAsia="Arial" w:cs="Arial"/>
          <w:sz w:val="20"/>
          <w:szCs w:val="20"/>
        </w:rPr>
        <w:t>in sedež ter matično številko, če teh podatkov ni, pa podatke o subjektu nadzora, ki so bili navedeni oziroma ugotovljeni v postopku;</w:t>
      </w:r>
    </w:p>
    <w:p w14:paraId="43A600EC" w14:textId="7A542359" w:rsidR="00D91782" w:rsidRPr="00215B2F" w:rsidRDefault="00D91782" w:rsidP="003D4DE0">
      <w:pPr>
        <w:pStyle w:val="tevilnatoka"/>
        <w:numPr>
          <w:ilvl w:val="0"/>
          <w:numId w:val="283"/>
        </w:numPr>
        <w:shd w:val="clear" w:color="auto" w:fill="FFFFFF" w:themeFill="background1"/>
        <w:tabs>
          <w:tab w:val="clear" w:pos="425"/>
        </w:tabs>
        <w:rPr>
          <w:rFonts w:cs="Arial"/>
          <w:bCs/>
          <w:sz w:val="20"/>
          <w:szCs w:val="20"/>
        </w:rPr>
      </w:pPr>
      <w:r w:rsidRPr="00215B2F">
        <w:rPr>
          <w:rFonts w:eastAsia="Arial" w:cs="Arial"/>
          <w:sz w:val="20"/>
          <w:szCs w:val="20"/>
        </w:rPr>
        <w:t>kratek opis dejstev in okoliščin, pomembnih za odločitev (kraj in čas storitve, način storitve ter odločilne okoliščine), z navedbo predpisa, ki določa obveznost ali zahtevo, ki je bila kršena</w:t>
      </w:r>
      <w:r w:rsidR="00267025" w:rsidRPr="00215B2F">
        <w:rPr>
          <w:rFonts w:eastAsia="Arial" w:cs="Arial"/>
          <w:sz w:val="20"/>
          <w:szCs w:val="20"/>
        </w:rPr>
        <w:t>,</w:t>
      </w:r>
      <w:r w:rsidRPr="00215B2F">
        <w:rPr>
          <w:rFonts w:eastAsia="Arial" w:cs="Arial"/>
          <w:sz w:val="20"/>
          <w:szCs w:val="20"/>
        </w:rPr>
        <w:t xml:space="preserve"> oziroma podlago za odločitev.</w:t>
      </w:r>
    </w:p>
    <w:p w14:paraId="527E363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EF31667" w14:textId="488CFB1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V obrazložitvi odločbe ali sklepa, s katerim se konča postopek odločanja Banke Slovenije, je treba kratko navesti izjavo subjekta nadzora o dejanju, kadar je v skladu s tem zakonom subjekt pozvan, da da izjavo, ter dejstva in dokaze, na katere je oprta odločitev.</w:t>
      </w:r>
    </w:p>
    <w:p w14:paraId="5EAF444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4DA85D3" w14:textId="3975872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Pravni pouk </w:t>
      </w:r>
      <w:r w:rsidR="00E9444E" w:rsidRPr="00215B2F">
        <w:rPr>
          <w:rFonts w:ascii="Arial" w:eastAsia="Arial" w:hAnsi="Arial" w:cs="Arial"/>
          <w:sz w:val="20"/>
          <w:szCs w:val="20"/>
        </w:rPr>
        <w:t xml:space="preserve">vključuje </w:t>
      </w:r>
      <w:r w:rsidRPr="00215B2F">
        <w:rPr>
          <w:rFonts w:ascii="Arial" w:eastAsia="Arial" w:hAnsi="Arial" w:cs="Arial"/>
          <w:sz w:val="20"/>
          <w:szCs w:val="20"/>
        </w:rPr>
        <w:t>pouk o pravici do pravnega sredstva, roku in načinu vložitve ter navedbo organa, pri katerem se pravno sredstvo vloži.</w:t>
      </w:r>
    </w:p>
    <w:p w14:paraId="4E4CAE11"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EBEA7C7"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15" w:name="_Ref202968385"/>
      <w:r w:rsidRPr="00215B2F">
        <w:rPr>
          <w:rFonts w:ascii="Arial" w:eastAsia="Arial" w:hAnsi="Arial" w:cs="Arial"/>
          <w:b/>
          <w:bCs/>
          <w:sz w:val="20"/>
          <w:szCs w:val="20"/>
        </w:rPr>
        <w:t>člen</w:t>
      </w:r>
      <w:bookmarkEnd w:id="515"/>
    </w:p>
    <w:p w14:paraId="1ED6F0ED"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(pravna sredstva v postopku Banke Slovenije)</w:t>
      </w:r>
    </w:p>
    <w:p w14:paraId="36E57762"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1C21C8CA" w14:textId="58C1DE9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Proti odredbam je dopusten ugovor v primerih in pod pogoji, </w:t>
      </w:r>
      <w:r w:rsidR="006E5B21" w:rsidRPr="00215B2F">
        <w:rPr>
          <w:rFonts w:ascii="Arial" w:eastAsia="Arial" w:hAnsi="Arial" w:cs="Arial"/>
          <w:sz w:val="20"/>
          <w:szCs w:val="20"/>
        </w:rPr>
        <w:t xml:space="preserve">ki so </w:t>
      </w:r>
      <w:r w:rsidRPr="00215B2F">
        <w:rPr>
          <w:rFonts w:ascii="Arial" w:eastAsia="Arial" w:hAnsi="Arial" w:cs="Arial"/>
          <w:sz w:val="20"/>
          <w:szCs w:val="20"/>
        </w:rPr>
        <w:t>določeni v tem zakonu.</w:t>
      </w:r>
    </w:p>
    <w:p w14:paraId="5720AD3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BA2344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Proti aktom, ki jih izda Banke Slovenije v skladu s tem zakonom, ni pritožbe.</w:t>
      </w:r>
    </w:p>
    <w:p w14:paraId="38BB859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CFFF15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V postopku odločanja Banke Slovenije ni mogoče zahtevati vrnitve v prejšnje stanje.</w:t>
      </w:r>
    </w:p>
    <w:p w14:paraId="51DAF63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823903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Sodno varstvo proti aktom, ki jih izda Banka Slovenije v skladu s tem zakonom, se zagotavlja v postopku, določenem s tem zakonom (v nadaljnjem besedilu: postopek sodnega varstva).</w:t>
      </w:r>
    </w:p>
    <w:p w14:paraId="6761573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C5BB7C4"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16" w:name="_Ref202968390"/>
      <w:r w:rsidRPr="00215B2F">
        <w:rPr>
          <w:rFonts w:ascii="Arial" w:eastAsia="Arial" w:hAnsi="Arial" w:cs="Arial"/>
          <w:b/>
          <w:bCs/>
          <w:sz w:val="20"/>
          <w:szCs w:val="20"/>
        </w:rPr>
        <w:t>člen</w:t>
      </w:r>
      <w:bookmarkEnd w:id="516"/>
    </w:p>
    <w:p w14:paraId="3FAE4A8A"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(izvršljivost)</w:t>
      </w:r>
    </w:p>
    <w:p w14:paraId="1C6E7716"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54DB507F" w14:textId="4A9430B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517" w:name="_Hlk203571640"/>
      <w:r w:rsidRPr="00215B2F">
        <w:rPr>
          <w:rFonts w:ascii="Arial" w:eastAsia="Arial" w:hAnsi="Arial" w:cs="Arial"/>
          <w:sz w:val="20"/>
          <w:szCs w:val="20"/>
        </w:rPr>
        <w:t>(1) Odločbe Banke Slovenije postanejo izvršljive z njihovo dokončnostjo, odločbe, s katerimi se določi denarna obveznost, pa postanejo izvršljive z njihovo pravnomočnostjo.</w:t>
      </w:r>
    </w:p>
    <w:p w14:paraId="7CABF93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C85A8F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Odredbe Banke Slovenije ni mogoče prisilno izvršiti.</w:t>
      </w:r>
    </w:p>
    <w:bookmarkEnd w:id="517"/>
    <w:p w14:paraId="5EAF3BA1"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038F891A"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18" w:name="_Ref202968396"/>
      <w:r w:rsidRPr="00215B2F">
        <w:rPr>
          <w:rFonts w:ascii="Arial" w:eastAsia="Arial" w:hAnsi="Arial" w:cs="Arial"/>
          <w:b/>
          <w:bCs/>
          <w:sz w:val="20"/>
          <w:szCs w:val="20"/>
        </w:rPr>
        <w:t>člen</w:t>
      </w:r>
      <w:bookmarkEnd w:id="518"/>
    </w:p>
    <w:p w14:paraId="607CA577"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(pregled dokumentov in dostop do zaupnih informacij)</w:t>
      </w:r>
    </w:p>
    <w:p w14:paraId="28E4C037"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6AAECCBA" w14:textId="4409221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Subjekt nadzora ima pravico pregledovati dokumente zadeve v postopku odločanja Banke Slovenije in na svoje stroške prepisati ali preslikati dokumente v fizični ali elektronski obliki. Pregledovanje, prepisovanje in preslikovanje dokumentov nadzoruje </w:t>
      </w:r>
      <w:r w:rsidR="006E5B21" w:rsidRPr="00215B2F">
        <w:rPr>
          <w:rFonts w:ascii="Arial" w:eastAsia="Arial" w:hAnsi="Arial" w:cs="Arial"/>
          <w:sz w:val="20"/>
          <w:szCs w:val="20"/>
        </w:rPr>
        <w:t xml:space="preserve">za to </w:t>
      </w:r>
      <w:r w:rsidRPr="00215B2F">
        <w:rPr>
          <w:rFonts w:ascii="Arial" w:eastAsia="Arial" w:hAnsi="Arial" w:cs="Arial"/>
          <w:sz w:val="20"/>
          <w:szCs w:val="20"/>
        </w:rPr>
        <w:t>določena uradna oseba.</w:t>
      </w:r>
    </w:p>
    <w:p w14:paraId="4EF0F81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D6AD2F1" w14:textId="10E787F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Pravico iz prejšnjega odstavka ima tudi vsakdo drug, ki verjetno izkaže, da ima od tega pravno korist.</w:t>
      </w:r>
    </w:p>
    <w:p w14:paraId="562B24B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02B7C88" w14:textId="20849A0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Pregled in prepis dokumentov na podlagi prvega in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se zahteva</w:t>
      </w:r>
      <w:r w:rsidR="006E5B21" w:rsidRPr="00215B2F">
        <w:rPr>
          <w:rFonts w:ascii="Arial" w:eastAsia="Arial" w:hAnsi="Arial" w:cs="Arial"/>
          <w:sz w:val="20"/>
          <w:szCs w:val="20"/>
        </w:rPr>
        <w:t>ta</w:t>
      </w:r>
      <w:r w:rsidRPr="00215B2F">
        <w:rPr>
          <w:rFonts w:ascii="Arial" w:eastAsia="Arial" w:hAnsi="Arial" w:cs="Arial"/>
          <w:sz w:val="20"/>
          <w:szCs w:val="20"/>
        </w:rPr>
        <w:t xml:space="preserve"> pisno. Od osebe iz prejšnjega odstavka lahko Banka Slovenije v primeru dvoma zahteva, naj pisno obrazloži svojo pravno korist </w:t>
      </w:r>
      <w:r w:rsidR="006E5B21" w:rsidRPr="00215B2F">
        <w:rPr>
          <w:rFonts w:ascii="Arial" w:eastAsia="Arial" w:hAnsi="Arial" w:cs="Arial"/>
          <w:sz w:val="20"/>
          <w:szCs w:val="20"/>
        </w:rPr>
        <w:t xml:space="preserve">in </w:t>
      </w:r>
      <w:r w:rsidRPr="00215B2F">
        <w:rPr>
          <w:rFonts w:ascii="Arial" w:eastAsia="Arial" w:hAnsi="Arial" w:cs="Arial"/>
          <w:sz w:val="20"/>
          <w:szCs w:val="20"/>
        </w:rPr>
        <w:t>predloži ustrezna dokazila.</w:t>
      </w:r>
    </w:p>
    <w:p w14:paraId="2F554C4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65BA4E4" w14:textId="7207551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Če so bili v postopku uporabljeni dokumenti, ki vsebujejo podatke, ki se štejejo kot poslovna skrivnost osebe, ki ni subjekt nadzora v predmetnem postopku, Banka Slovenije pozove osebo, na katero se nanašajo podatki, da v določenem roku v dokumentu označi podatke, ki jih šteje kot zaupne, in p</w:t>
      </w:r>
      <w:r w:rsidR="006E5B21" w:rsidRPr="00215B2F">
        <w:rPr>
          <w:rFonts w:ascii="Arial" w:eastAsia="Arial" w:hAnsi="Arial" w:cs="Arial"/>
          <w:sz w:val="20"/>
          <w:szCs w:val="20"/>
        </w:rPr>
        <w:t>redloži</w:t>
      </w:r>
      <w:r w:rsidRPr="00215B2F">
        <w:rPr>
          <w:rFonts w:ascii="Arial" w:eastAsia="Arial" w:hAnsi="Arial" w:cs="Arial"/>
          <w:sz w:val="20"/>
          <w:szCs w:val="20"/>
        </w:rPr>
        <w:t xml:space="preserve"> utemeljitev v zvezi z zaupnostjo teh podatkov. Pred razkritjem dokumentov Banka Slovenije prekrije osebne podatke </w:t>
      </w:r>
      <w:r w:rsidR="006E5B21" w:rsidRPr="00215B2F">
        <w:rPr>
          <w:rFonts w:ascii="Arial" w:eastAsia="Arial" w:hAnsi="Arial" w:cs="Arial"/>
          <w:sz w:val="20"/>
          <w:szCs w:val="20"/>
        </w:rPr>
        <w:t xml:space="preserve">in </w:t>
      </w:r>
      <w:r w:rsidRPr="00215B2F">
        <w:rPr>
          <w:rFonts w:ascii="Arial" w:eastAsia="Arial" w:hAnsi="Arial" w:cs="Arial"/>
          <w:sz w:val="20"/>
          <w:szCs w:val="20"/>
        </w:rPr>
        <w:t>druge zaupne podatke iz prejšnjega stavka.</w:t>
      </w:r>
    </w:p>
    <w:p w14:paraId="34D1B70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C66D56A" w14:textId="1E58F2B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Dokument se razkrije osebi iz prvega in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brez osebnih in drugih zaupnih podatkov iz prejšnjega odstavka v obsegu, ki upošteva zakoniti interes oseb, ki niso subjekti nadzora v postopku Banke Slovenije. Pravica iz prvega in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ne vključuje pravice dostopa do zaupnih informacij, razen če so glede razkritja in uporabe zaupnih informacij osebi iz prvega in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izpolnjeni pogoji iz pod</w:t>
      </w:r>
      <w:r w:rsidR="005B0CC7" w:rsidRPr="00215B2F">
        <w:rPr>
          <w:rFonts w:ascii="Arial" w:eastAsia="Arial" w:hAnsi="Arial" w:cs="Arial"/>
          <w:sz w:val="20"/>
          <w:szCs w:val="20"/>
        </w:rPr>
        <w:t>o</w:t>
      </w:r>
      <w:r w:rsidR="001F2C7A" w:rsidRPr="00215B2F">
        <w:rPr>
          <w:rFonts w:ascii="Arial" w:eastAsia="Arial" w:hAnsi="Arial" w:cs="Arial"/>
          <w:sz w:val="20"/>
          <w:szCs w:val="20"/>
        </w:rPr>
        <w:t>ddelka</w:t>
      </w:r>
      <w:r w:rsidRPr="00215B2F">
        <w:rPr>
          <w:rFonts w:ascii="Arial" w:eastAsia="Arial" w:hAnsi="Arial" w:cs="Arial"/>
          <w:sz w:val="20"/>
          <w:szCs w:val="20"/>
        </w:rPr>
        <w:t xml:space="preserve"> 2.2.1 tega zakona.</w:t>
      </w:r>
    </w:p>
    <w:p w14:paraId="40162FD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E36B136" w14:textId="30D9100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Če v zvezi z zahtevo subjekta nadzora ali druge osebe za pregled dokumentov zadeve niso izpolnjeni pogoji iz prvega do petega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Banka Slovenije z odločbo zavrne zahtevo. Zoper </w:t>
      </w:r>
      <w:r w:rsidRPr="00215B2F">
        <w:rPr>
          <w:rFonts w:ascii="Arial" w:eastAsia="Arial" w:hAnsi="Arial" w:cs="Arial"/>
          <w:sz w:val="20"/>
          <w:szCs w:val="20"/>
        </w:rPr>
        <w:lastRenderedPageBreak/>
        <w:t>odločbo o zavrnitvi zahteve lahko subjekt nadzora ali druga oseba, ki je zahtevala pregled dokumentov v zadevi, začne postopek sodnega varstva po tem zakonu.</w:t>
      </w:r>
    </w:p>
    <w:p w14:paraId="0339377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5128C34" w14:textId="71C92AC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Banka Slovenije v tarifi določi nadomestila, ki se zaračunajo osebi iz prvega in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za pregledovanje, prepisovanje in preslikovanje dokumentov </w:t>
      </w:r>
      <w:r w:rsidR="00381969" w:rsidRPr="00215B2F">
        <w:rPr>
          <w:rFonts w:ascii="Arial" w:eastAsia="Arial" w:hAnsi="Arial" w:cs="Arial"/>
          <w:sz w:val="20"/>
          <w:szCs w:val="20"/>
        </w:rPr>
        <w:t xml:space="preserve">ter </w:t>
      </w:r>
      <w:r w:rsidRPr="00215B2F">
        <w:rPr>
          <w:rFonts w:ascii="Arial" w:eastAsia="Arial" w:hAnsi="Arial" w:cs="Arial"/>
          <w:sz w:val="20"/>
          <w:szCs w:val="20"/>
        </w:rPr>
        <w:t>odražajo dejanske stroške, ki nastanejo v zvezi s temi dejanji.</w:t>
      </w:r>
    </w:p>
    <w:p w14:paraId="73997FE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2CCD007" w14:textId="4D7B6DF6" w:rsidR="00D91782" w:rsidRPr="00215B2F" w:rsidRDefault="005A6F6E"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16</w:t>
      </w:r>
      <w:r w:rsidR="00D91782" w:rsidRPr="00215B2F">
        <w:rPr>
          <w:rFonts w:ascii="Arial" w:eastAsia="Arial" w:hAnsi="Arial" w:cs="Arial"/>
          <w:b/>
          <w:bCs/>
          <w:sz w:val="20"/>
          <w:szCs w:val="20"/>
        </w:rPr>
        <w:t>.2 POSTOPEK ODLOČANJA O IZDAJI DOVOLJENJ IN SOGLASIJ, ZAHTEVAH ZA OCENO PRIMERNOSTI TER ODOBRITVAH, IZVZETJIH IN OPUSTITVAH</w:t>
      </w:r>
    </w:p>
    <w:p w14:paraId="66559A58"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48796556"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19" w:name="_Ref202968416"/>
      <w:r w:rsidRPr="00215B2F">
        <w:rPr>
          <w:rFonts w:ascii="Arial" w:eastAsia="Arial" w:hAnsi="Arial" w:cs="Arial"/>
          <w:b/>
          <w:bCs/>
          <w:sz w:val="20"/>
          <w:szCs w:val="20"/>
        </w:rPr>
        <w:t>člen</w:t>
      </w:r>
      <w:bookmarkEnd w:id="519"/>
    </w:p>
    <w:p w14:paraId="299213B2"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(uporaba določb)</w:t>
      </w:r>
    </w:p>
    <w:p w14:paraId="640A62B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D79D228" w14:textId="17F8A91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520" w:name="_Hlk203561636"/>
      <w:r w:rsidRPr="00215B2F">
        <w:rPr>
          <w:rFonts w:ascii="Arial" w:eastAsia="Arial" w:hAnsi="Arial" w:cs="Arial"/>
          <w:sz w:val="20"/>
          <w:szCs w:val="20"/>
        </w:rPr>
        <w:t xml:space="preserve">(1) Določbe tega </w:t>
      </w:r>
      <w:r w:rsidR="005B0CC7" w:rsidRPr="00215B2F">
        <w:rPr>
          <w:rFonts w:ascii="Arial" w:eastAsia="Arial" w:hAnsi="Arial" w:cs="Arial"/>
          <w:sz w:val="20"/>
          <w:szCs w:val="20"/>
        </w:rPr>
        <w:t>o</w:t>
      </w:r>
      <w:r w:rsidR="001F2C7A" w:rsidRPr="00215B2F">
        <w:rPr>
          <w:rFonts w:ascii="Arial" w:eastAsia="Arial" w:hAnsi="Arial" w:cs="Arial"/>
          <w:sz w:val="20"/>
          <w:szCs w:val="20"/>
        </w:rPr>
        <w:t>ddelka</w:t>
      </w:r>
      <w:r w:rsidRPr="00215B2F">
        <w:rPr>
          <w:rFonts w:ascii="Arial" w:eastAsia="Arial" w:hAnsi="Arial" w:cs="Arial"/>
          <w:sz w:val="20"/>
          <w:szCs w:val="20"/>
        </w:rPr>
        <w:t xml:space="preserve"> se uporabljajo v postopku odločanja o izdaji dovoljenj ali soglasij (v nadaljnjem besedilu: dovoljenja), o katerih na podlagi tega zakona in Uredbe 1024/2013/EU odloča Banka Slovenije, če ta zakon za posamezni postopek izdaje dovoljenja ne določa drugače.</w:t>
      </w:r>
    </w:p>
    <w:p w14:paraId="458033E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25409F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Določbe tega poglavja o dovoljenjih se smiselno uporabljajo tudi za zahteve za oceno primernosti ali ustreznosti ter odobritve, izvzetja in opustitve, če ta zakon ne določa drugače. </w:t>
      </w:r>
    </w:p>
    <w:p w14:paraId="4D1056C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6DCD8CC" w14:textId="1336437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V postopku odločanja o izdaji dovoljenj se uporabljajo določbe </w:t>
      </w:r>
      <w:r w:rsidR="005B0CC7" w:rsidRPr="00215B2F">
        <w:rPr>
          <w:rFonts w:ascii="Arial" w:eastAsia="Arial" w:hAnsi="Arial" w:cs="Arial"/>
          <w:sz w:val="20"/>
          <w:szCs w:val="20"/>
        </w:rPr>
        <w:t>o</w:t>
      </w:r>
      <w:r w:rsidR="001F2C7A" w:rsidRPr="00215B2F">
        <w:rPr>
          <w:rFonts w:ascii="Arial" w:eastAsia="Arial" w:hAnsi="Arial" w:cs="Arial"/>
          <w:sz w:val="20"/>
          <w:szCs w:val="20"/>
        </w:rPr>
        <w:t>ddelka</w:t>
      </w:r>
      <w:r w:rsidRPr="00215B2F">
        <w:rPr>
          <w:rFonts w:ascii="Arial" w:eastAsia="Arial" w:hAnsi="Arial" w:cs="Arial"/>
          <w:sz w:val="20"/>
          <w:szCs w:val="20"/>
        </w:rPr>
        <w:t xml:space="preserve"> </w:t>
      </w:r>
      <w:r w:rsidR="004B5768" w:rsidRPr="00215B2F">
        <w:rPr>
          <w:rFonts w:ascii="Arial" w:eastAsia="Arial" w:hAnsi="Arial" w:cs="Arial"/>
          <w:sz w:val="20"/>
          <w:szCs w:val="20"/>
        </w:rPr>
        <w:t>16</w:t>
      </w:r>
      <w:r w:rsidRPr="00215B2F">
        <w:rPr>
          <w:rFonts w:ascii="Arial" w:eastAsia="Arial" w:hAnsi="Arial" w:cs="Arial"/>
          <w:sz w:val="20"/>
          <w:szCs w:val="20"/>
        </w:rPr>
        <w:t>.1 tega zakona, če ni v tem oddelku določeno drugače.</w:t>
      </w:r>
    </w:p>
    <w:bookmarkEnd w:id="520"/>
    <w:p w14:paraId="6175C3C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DE58A6D"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21" w:name="_Ref202968437"/>
      <w:r w:rsidRPr="00215B2F">
        <w:rPr>
          <w:rFonts w:ascii="Arial" w:eastAsia="Arial" w:hAnsi="Arial" w:cs="Arial"/>
          <w:b/>
          <w:bCs/>
          <w:sz w:val="20"/>
          <w:szCs w:val="20"/>
        </w:rPr>
        <w:t>člen</w:t>
      </w:r>
      <w:bookmarkEnd w:id="521"/>
    </w:p>
    <w:p w14:paraId="15F7205D"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(taksa za odločanje)</w:t>
      </w:r>
    </w:p>
    <w:p w14:paraId="44A143C9"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79B2521A" w14:textId="5C42183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Za odločanje o zahtevah za izdajo dovoljenj, ki se izdajo na podlagi tega zakona ali Uredbe 575/2013/EU in vložijo pri Banki Slovenije, ter za odločanje o izdaji dovoljenj, ki jih Banka Slovenije izdaja po uradni dolžnosti, morajo vložniki oziroma prejemniki dovoljenj plačati takso, določeno s tarifo Banke Slovenije.</w:t>
      </w:r>
    </w:p>
    <w:p w14:paraId="4904B8B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52F155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Kadar je Banka Slovenije pristojna za posamezna dejanja v postopku odločanja o zadevah, za katere je na podlagi Uredbe 1024/2013/EU pristojna Evropska centralna banka, Banka Slovenije s tarifo določi takso, ki jo za opravljena dejanja Banke Slovenije v tem postopku opravi Banka Slovenije.</w:t>
      </w:r>
    </w:p>
    <w:p w14:paraId="0A5210F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9624261" w14:textId="6EA8B3F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Za obravnavo uradnih obvestil in za odločanje o zahtevah za izdajo dovoljenj, vloženih pri Banki Slovenije</w:t>
      </w:r>
      <w:r w:rsidR="005F187A" w:rsidRPr="00215B2F">
        <w:rPr>
          <w:rFonts w:ascii="Arial" w:eastAsia="Arial" w:hAnsi="Arial" w:cs="Arial"/>
          <w:sz w:val="20"/>
          <w:szCs w:val="20"/>
        </w:rPr>
        <w:t>,</w:t>
      </w:r>
      <w:r w:rsidRPr="00215B2F">
        <w:rPr>
          <w:rFonts w:ascii="Arial" w:eastAsia="Arial" w:hAnsi="Arial" w:cs="Arial"/>
          <w:sz w:val="20"/>
          <w:szCs w:val="20"/>
        </w:rPr>
        <w:t xml:space="preserve"> oziroma za odvzem dovoljenj na podlagi Uredbe 648/2012/EU ter pravnih aktov, sprejetih na njeni podlagi, morajo vložniki uradnih obvestil in zahtev za izdajo dovoljenj oziroma osebe, k</w:t>
      </w:r>
      <w:r w:rsidR="00DA634B" w:rsidRPr="00215B2F">
        <w:rPr>
          <w:rFonts w:ascii="Arial" w:eastAsia="Arial" w:hAnsi="Arial" w:cs="Arial"/>
          <w:sz w:val="20"/>
          <w:szCs w:val="20"/>
        </w:rPr>
        <w:t>i</w:t>
      </w:r>
      <w:r w:rsidRPr="00215B2F">
        <w:rPr>
          <w:rFonts w:ascii="Arial" w:eastAsia="Arial" w:hAnsi="Arial" w:cs="Arial"/>
          <w:sz w:val="20"/>
          <w:szCs w:val="20"/>
        </w:rPr>
        <w:t xml:space="preserve"> se</w:t>
      </w:r>
      <w:r w:rsidR="00DA634B" w:rsidRPr="00215B2F">
        <w:rPr>
          <w:rFonts w:ascii="Arial" w:eastAsia="Arial" w:hAnsi="Arial" w:cs="Arial"/>
          <w:sz w:val="20"/>
          <w:szCs w:val="20"/>
        </w:rPr>
        <w:t xml:space="preserve"> jim</w:t>
      </w:r>
      <w:r w:rsidRPr="00215B2F">
        <w:rPr>
          <w:rFonts w:ascii="Arial" w:eastAsia="Arial" w:hAnsi="Arial" w:cs="Arial"/>
          <w:sz w:val="20"/>
          <w:szCs w:val="20"/>
        </w:rPr>
        <w:t xml:space="preserve"> dovoljenje odvzame, plačati takso, določeno s tarifo Banke Slovenije.</w:t>
      </w:r>
    </w:p>
    <w:p w14:paraId="19994ADF" w14:textId="3BEFC985" w:rsidR="00D91782" w:rsidRPr="00215B2F" w:rsidRDefault="00D91782" w:rsidP="008675D3">
      <w:pPr>
        <w:shd w:val="clear" w:color="auto" w:fill="FFFFFF" w:themeFill="background1"/>
        <w:spacing w:after="0" w:line="240" w:lineRule="auto"/>
        <w:jc w:val="both"/>
        <w:rPr>
          <w:rFonts w:ascii="Arial" w:eastAsia="Arial" w:hAnsi="Arial" w:cs="Arial"/>
          <w:sz w:val="20"/>
          <w:szCs w:val="20"/>
        </w:rPr>
      </w:pPr>
    </w:p>
    <w:p w14:paraId="11A12488" w14:textId="77777777" w:rsidR="008675D3" w:rsidRPr="00215B2F" w:rsidRDefault="008675D3" w:rsidP="008675D3">
      <w:pPr>
        <w:spacing w:after="0" w:line="240" w:lineRule="auto"/>
        <w:rPr>
          <w:rFonts w:ascii="Arial" w:hAnsi="Arial" w:cs="Arial"/>
          <w:sz w:val="20"/>
          <w:szCs w:val="20"/>
        </w:rPr>
      </w:pPr>
      <w:r w:rsidRPr="00215B2F">
        <w:rPr>
          <w:rFonts w:ascii="Arial" w:hAnsi="Arial" w:cs="Arial"/>
          <w:sz w:val="20"/>
          <w:szCs w:val="20"/>
        </w:rPr>
        <w:t xml:space="preserve">(4) Ta člen se smiselno uporablja tudi za takse za odločanje v postopkih na zahtevo subjektov nadzora po tem zakonu, o katerih Banka Slovenije odloča na podlagi drugih zakonov. </w:t>
      </w:r>
    </w:p>
    <w:p w14:paraId="362BD79D" w14:textId="77777777" w:rsidR="008675D3" w:rsidRPr="00215B2F" w:rsidRDefault="008675D3" w:rsidP="00FD5520">
      <w:pPr>
        <w:shd w:val="clear" w:color="auto" w:fill="FFFFFF" w:themeFill="background1"/>
        <w:spacing w:after="0" w:line="240" w:lineRule="auto"/>
        <w:jc w:val="both"/>
        <w:rPr>
          <w:rFonts w:ascii="Arial" w:eastAsia="Arial" w:hAnsi="Arial" w:cs="Arial"/>
          <w:sz w:val="20"/>
          <w:szCs w:val="20"/>
        </w:rPr>
      </w:pPr>
    </w:p>
    <w:p w14:paraId="28DA195E"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22" w:name="_Ref202968444"/>
      <w:r w:rsidRPr="00215B2F">
        <w:rPr>
          <w:rFonts w:ascii="Arial" w:eastAsia="Arial" w:hAnsi="Arial" w:cs="Arial"/>
          <w:b/>
          <w:bCs/>
          <w:sz w:val="20"/>
          <w:szCs w:val="20"/>
        </w:rPr>
        <w:t>člen</w:t>
      </w:r>
      <w:bookmarkEnd w:id="522"/>
    </w:p>
    <w:p w14:paraId="2CEF8BB8"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(udeleženci v postopku odločanja o zahtevi za izdajo dovoljenja)</w:t>
      </w:r>
    </w:p>
    <w:p w14:paraId="7CCFE95B"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4F384E4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Stranka v postopku je vložnik zahteve za izdajo dovoljenja (v nadaljnjem besedilu: vložnik).</w:t>
      </w:r>
    </w:p>
    <w:p w14:paraId="3E1EF9B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55FB79A" w14:textId="6CB5963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V postopku z zahtevo za izdajo dovoljenja banki lahko sodelujejo tudi člani </w:t>
      </w:r>
      <w:r w:rsidR="00354135" w:rsidRPr="00215B2F">
        <w:rPr>
          <w:rFonts w:ascii="Arial" w:eastAsia="Arial" w:hAnsi="Arial" w:cs="Arial"/>
          <w:sz w:val="20"/>
          <w:szCs w:val="20"/>
        </w:rPr>
        <w:t>nadzornega sveta</w:t>
      </w:r>
      <w:r w:rsidRPr="00215B2F">
        <w:rPr>
          <w:rFonts w:ascii="Arial" w:eastAsia="Arial" w:hAnsi="Arial" w:cs="Arial"/>
          <w:sz w:val="20"/>
          <w:szCs w:val="20"/>
        </w:rPr>
        <w:t xml:space="preserve"> </w:t>
      </w:r>
      <w:r w:rsidR="003C5B7A" w:rsidRPr="00215B2F">
        <w:rPr>
          <w:rFonts w:ascii="Arial" w:eastAsia="Arial" w:hAnsi="Arial" w:cs="Arial"/>
          <w:sz w:val="20"/>
          <w:szCs w:val="20"/>
        </w:rPr>
        <w:t xml:space="preserve">in </w:t>
      </w:r>
      <w:r w:rsidRPr="00215B2F">
        <w:rPr>
          <w:rFonts w:ascii="Arial" w:eastAsia="Arial" w:hAnsi="Arial" w:cs="Arial"/>
          <w:sz w:val="20"/>
          <w:szCs w:val="20"/>
        </w:rPr>
        <w:t>imetniki kvalificiranih deležev, če tako odloči Banka Slovenije, ker je sodelovanje nujno ali ustrezno za doseganje ciljev nadzora nad banko v skladu s tem zakonom in Uredbo 1024/2013/EU, in če na podlagi poziva Banke Slovenije ta</w:t>
      </w:r>
      <w:r w:rsidR="003C5B7A" w:rsidRPr="00215B2F">
        <w:rPr>
          <w:rFonts w:ascii="Arial" w:eastAsia="Arial" w:hAnsi="Arial" w:cs="Arial"/>
          <w:sz w:val="20"/>
          <w:szCs w:val="20"/>
        </w:rPr>
        <w:t>ka</w:t>
      </w:r>
      <w:r w:rsidRPr="00215B2F">
        <w:rPr>
          <w:rFonts w:ascii="Arial" w:eastAsia="Arial" w:hAnsi="Arial" w:cs="Arial"/>
          <w:sz w:val="20"/>
          <w:szCs w:val="20"/>
        </w:rPr>
        <w:t xml:space="preserve"> oseba v določenem roku pisno potrdi svoje sodelovanje v postopku. Član nadzornega sveta ali kvalificirani imetnik, ki je v skladu s tem zakonom upravičen sodelovati v postopku, lahko prisostvuje </w:t>
      </w:r>
      <w:r w:rsidR="003C5B7A" w:rsidRPr="00215B2F">
        <w:rPr>
          <w:rFonts w:ascii="Arial" w:eastAsia="Arial" w:hAnsi="Arial" w:cs="Arial"/>
          <w:sz w:val="20"/>
          <w:szCs w:val="20"/>
        </w:rPr>
        <w:t xml:space="preserve">postopku </w:t>
      </w:r>
      <w:r w:rsidRPr="00215B2F">
        <w:rPr>
          <w:rFonts w:ascii="Arial" w:eastAsia="Arial" w:hAnsi="Arial" w:cs="Arial"/>
          <w:sz w:val="20"/>
          <w:szCs w:val="20"/>
        </w:rPr>
        <w:t>ali je seznanjen z dejanji v postopku, ni pa upravičen samostojno opravljati dejanj v postopku.</w:t>
      </w:r>
    </w:p>
    <w:p w14:paraId="0413770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9C9E01E" w14:textId="75FC75E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V postopku z zahtevo za izdajo dovoljenja članu uprave, članu nadzornega sveta ali imetniku kvalificiranega deleža lahko sodeluje tudi banka, (drug) član uprave, (drug) član nadzornega sveta in (drug) kvalificirani imetnik, če tako odloči Banka Slovenije, ker je sodelovanje nujno ali ustrezno za doseganje ciljev nadzora nad banko v skladu s tem zakonom in Uredbo 1024/2013/EU, in če na podlagi </w:t>
      </w:r>
      <w:r w:rsidRPr="00215B2F">
        <w:rPr>
          <w:rFonts w:ascii="Arial" w:eastAsia="Arial" w:hAnsi="Arial" w:cs="Arial"/>
          <w:sz w:val="20"/>
          <w:szCs w:val="20"/>
        </w:rPr>
        <w:lastRenderedPageBreak/>
        <w:t>poziva Banke Slovenije ta</w:t>
      </w:r>
      <w:r w:rsidR="003C5B7A" w:rsidRPr="00215B2F">
        <w:rPr>
          <w:rFonts w:ascii="Arial" w:eastAsia="Arial" w:hAnsi="Arial" w:cs="Arial"/>
          <w:sz w:val="20"/>
          <w:szCs w:val="20"/>
        </w:rPr>
        <w:t>ka</w:t>
      </w:r>
      <w:r w:rsidRPr="00215B2F">
        <w:rPr>
          <w:rFonts w:ascii="Arial" w:eastAsia="Arial" w:hAnsi="Arial" w:cs="Arial"/>
          <w:sz w:val="20"/>
          <w:szCs w:val="20"/>
        </w:rPr>
        <w:t xml:space="preserve"> oseba v določenem roku pisno potrdi svoje sodelovanje v postopku. Oseba, ki je v skladu s tem zakonom upravičena sodelovati v postopku, lahko prisostvuje </w:t>
      </w:r>
      <w:r w:rsidR="003C5B7A" w:rsidRPr="00215B2F">
        <w:rPr>
          <w:rFonts w:ascii="Arial" w:eastAsia="Arial" w:hAnsi="Arial" w:cs="Arial"/>
          <w:sz w:val="20"/>
          <w:szCs w:val="20"/>
        </w:rPr>
        <w:t xml:space="preserve">postopku </w:t>
      </w:r>
      <w:r w:rsidRPr="00215B2F">
        <w:rPr>
          <w:rFonts w:ascii="Arial" w:eastAsia="Arial" w:hAnsi="Arial" w:cs="Arial"/>
          <w:sz w:val="20"/>
          <w:szCs w:val="20"/>
        </w:rPr>
        <w:t>ali je seznanjena z dejanji v postopku, ni pa upravičena samostojno opravljati dejanj v postopku.</w:t>
      </w:r>
    </w:p>
    <w:p w14:paraId="50A7CEE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0B9D620" w14:textId="769F33F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Udeleženec v postopku izdaje dovoljenja je lahko poleg subjekta nadzora in oseb iz drugega in tretjega </w:t>
      </w:r>
      <w:r w:rsidR="00746E88" w:rsidRPr="00215B2F">
        <w:rPr>
          <w:rFonts w:ascii="Arial" w:eastAsia="Arial" w:hAnsi="Arial" w:cs="Arial"/>
          <w:sz w:val="20"/>
          <w:szCs w:val="20"/>
        </w:rPr>
        <w:t>odstavka</w:t>
      </w:r>
      <w:r w:rsidR="002A0E3E" w:rsidRPr="00215B2F">
        <w:rPr>
          <w:rFonts w:ascii="Arial" w:eastAsia="Arial" w:hAnsi="Arial" w:cs="Arial"/>
          <w:sz w:val="20"/>
          <w:szCs w:val="20"/>
        </w:rPr>
        <w:t xml:space="preserve"> </w:t>
      </w:r>
      <w:r w:rsidR="00746E88" w:rsidRPr="00215B2F">
        <w:rPr>
          <w:rFonts w:ascii="Arial" w:eastAsia="Arial" w:hAnsi="Arial" w:cs="Arial"/>
          <w:sz w:val="20"/>
          <w:szCs w:val="20"/>
        </w:rPr>
        <w:t>tega člena</w:t>
      </w:r>
      <w:r w:rsidRPr="00215B2F">
        <w:rPr>
          <w:rFonts w:ascii="Arial" w:eastAsia="Arial" w:hAnsi="Arial" w:cs="Arial"/>
          <w:sz w:val="20"/>
          <w:szCs w:val="20"/>
        </w:rPr>
        <w:t xml:space="preserve"> tudi oseba, ki jo Banka Slovenije na podlagi predloga subjekta nadzora povabi k sodelovanju v postopku, če ugotovi, da utegne biti pravni interes te osebe z izdajo dovoljenja prizadet. Oseba, ki je v skladu s tem odstavkom upravičena sodelovati v postopku izdaje dovoljenja, lahko v postopku daj</w:t>
      </w:r>
      <w:r w:rsidR="00BE5D01" w:rsidRPr="00215B2F">
        <w:rPr>
          <w:rFonts w:ascii="Arial" w:eastAsia="Arial" w:hAnsi="Arial" w:cs="Arial"/>
          <w:sz w:val="20"/>
          <w:szCs w:val="20"/>
        </w:rPr>
        <w:t>e</w:t>
      </w:r>
      <w:r w:rsidRPr="00215B2F">
        <w:rPr>
          <w:rFonts w:ascii="Arial" w:eastAsia="Arial" w:hAnsi="Arial" w:cs="Arial"/>
          <w:sz w:val="20"/>
          <w:szCs w:val="20"/>
        </w:rPr>
        <w:t xml:space="preserve"> pisne izjave, ni pa upravičena samostojno opravljati drugih procesnih dejanj v postopku do izdaje odločbe o zahtevi za izdajo dovoljenja.</w:t>
      </w:r>
    </w:p>
    <w:p w14:paraId="7491EF56" w14:textId="77777777" w:rsidR="003C5B7A" w:rsidRPr="00215B2F" w:rsidRDefault="003C5B7A" w:rsidP="00FD5520">
      <w:pPr>
        <w:shd w:val="clear" w:color="auto" w:fill="FFFFFF" w:themeFill="background1"/>
        <w:spacing w:after="0" w:line="240" w:lineRule="auto"/>
        <w:jc w:val="both"/>
        <w:rPr>
          <w:rFonts w:ascii="Arial" w:eastAsia="Arial" w:hAnsi="Arial" w:cs="Arial"/>
          <w:sz w:val="20"/>
          <w:szCs w:val="20"/>
        </w:rPr>
      </w:pPr>
    </w:p>
    <w:p w14:paraId="045871C7" w14:textId="7C52D1E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V postopku nadzora in </w:t>
      </w:r>
      <w:r w:rsidR="00BE5D01" w:rsidRPr="00215B2F">
        <w:rPr>
          <w:rFonts w:ascii="Arial" w:eastAsia="Arial" w:hAnsi="Arial" w:cs="Arial"/>
          <w:sz w:val="20"/>
          <w:szCs w:val="20"/>
        </w:rPr>
        <w:t xml:space="preserve">v </w:t>
      </w:r>
      <w:r w:rsidRPr="00215B2F">
        <w:rPr>
          <w:rFonts w:ascii="Arial" w:eastAsia="Arial" w:hAnsi="Arial" w:cs="Arial"/>
          <w:sz w:val="20"/>
          <w:szCs w:val="20"/>
        </w:rPr>
        <w:t>postopku izdaje ukrepa nadzora se glede udeležencev ne uporabljajo določbe 43., 44., 45., 142. in 143. člena ZUP.</w:t>
      </w:r>
    </w:p>
    <w:p w14:paraId="5011A53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FFB816C" w14:textId="49BD748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3C5B7A" w:rsidRPr="00215B2F">
        <w:rPr>
          <w:rFonts w:ascii="Arial" w:eastAsia="Arial" w:hAnsi="Arial" w:cs="Arial"/>
          <w:sz w:val="20"/>
          <w:szCs w:val="20"/>
        </w:rPr>
        <w:t>6</w:t>
      </w:r>
      <w:r w:rsidR="002A0E3E" w:rsidRPr="00215B2F">
        <w:rPr>
          <w:rFonts w:ascii="Arial" w:eastAsia="Arial" w:hAnsi="Arial" w:cs="Arial"/>
          <w:sz w:val="20"/>
          <w:szCs w:val="20"/>
        </w:rPr>
        <w:t>)</w:t>
      </w:r>
      <w:r w:rsidRPr="00215B2F">
        <w:rPr>
          <w:rFonts w:ascii="Arial" w:eastAsia="Arial" w:hAnsi="Arial" w:cs="Arial"/>
          <w:sz w:val="20"/>
          <w:szCs w:val="20"/>
        </w:rPr>
        <w:t xml:space="preserve"> Za osebe iz drugega do četrtega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se glede pregleda dokumentov v zadevi in dostopa do zaupnih informacij ter zaupnih podatkov uporablja </w:t>
      </w:r>
      <w:r w:rsidR="004B5768" w:rsidRPr="00215B2F">
        <w:rPr>
          <w:rFonts w:ascii="Arial" w:eastAsia="Arial" w:hAnsi="Arial" w:cs="Arial"/>
          <w:sz w:val="20"/>
          <w:szCs w:val="20"/>
        </w:rPr>
        <w:t>451</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 xml:space="preserve">. Odločba ali sklep, s katerim se konča postopek odločanja Banke Slovenije, se tem osebam vroči </w:t>
      </w:r>
      <w:r w:rsidR="00BE5D01" w:rsidRPr="00215B2F">
        <w:rPr>
          <w:rFonts w:ascii="Arial" w:eastAsia="Arial" w:hAnsi="Arial" w:cs="Arial"/>
          <w:sz w:val="20"/>
          <w:szCs w:val="20"/>
        </w:rPr>
        <w:t>tako</w:t>
      </w:r>
      <w:r w:rsidRPr="00215B2F">
        <w:rPr>
          <w:rFonts w:ascii="Arial" w:eastAsia="Arial" w:hAnsi="Arial" w:cs="Arial"/>
          <w:sz w:val="20"/>
          <w:szCs w:val="20"/>
        </w:rPr>
        <w:t>, da se podatki in informacije, ki jih ta oseba ni upravičena pridobiti, prekrijejo.</w:t>
      </w:r>
    </w:p>
    <w:p w14:paraId="7EA0FBA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0E31355" w14:textId="508F2BA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3C5B7A" w:rsidRPr="00215B2F">
        <w:rPr>
          <w:rFonts w:ascii="Arial" w:eastAsia="Arial" w:hAnsi="Arial" w:cs="Arial"/>
          <w:sz w:val="20"/>
          <w:szCs w:val="20"/>
        </w:rPr>
        <w:t>7</w:t>
      </w:r>
      <w:r w:rsidRPr="00215B2F">
        <w:rPr>
          <w:rFonts w:ascii="Arial" w:eastAsia="Arial" w:hAnsi="Arial" w:cs="Arial"/>
          <w:sz w:val="20"/>
          <w:szCs w:val="20"/>
        </w:rPr>
        <w:t>) Vsak</w:t>
      </w:r>
      <w:r w:rsidR="00DD1D70" w:rsidRPr="00215B2F">
        <w:rPr>
          <w:rFonts w:ascii="Arial" w:eastAsia="Arial" w:hAnsi="Arial" w:cs="Arial"/>
          <w:sz w:val="20"/>
          <w:szCs w:val="20"/>
        </w:rPr>
        <w:t>a</w:t>
      </w:r>
      <w:r w:rsidRPr="00215B2F">
        <w:rPr>
          <w:rFonts w:ascii="Arial" w:eastAsia="Arial" w:hAnsi="Arial" w:cs="Arial"/>
          <w:sz w:val="20"/>
          <w:szCs w:val="20"/>
        </w:rPr>
        <w:t xml:space="preserve"> stranka in </w:t>
      </w:r>
      <w:r w:rsidR="00BE5D01" w:rsidRPr="00215B2F">
        <w:rPr>
          <w:rFonts w:ascii="Arial" w:eastAsia="Arial" w:hAnsi="Arial" w:cs="Arial"/>
          <w:sz w:val="20"/>
          <w:szCs w:val="20"/>
        </w:rPr>
        <w:t xml:space="preserve">vsak </w:t>
      </w:r>
      <w:r w:rsidRPr="00215B2F">
        <w:rPr>
          <w:rFonts w:ascii="Arial" w:eastAsia="Arial" w:hAnsi="Arial" w:cs="Arial"/>
          <w:sz w:val="20"/>
          <w:szCs w:val="20"/>
        </w:rPr>
        <w:t xml:space="preserve">udeleženec v postopku </w:t>
      </w:r>
      <w:r w:rsidR="00BE5D01" w:rsidRPr="00215B2F">
        <w:rPr>
          <w:rFonts w:ascii="Arial" w:eastAsia="Arial" w:hAnsi="Arial" w:cs="Arial"/>
          <w:sz w:val="20"/>
          <w:szCs w:val="20"/>
        </w:rPr>
        <w:t>poravna</w:t>
      </w:r>
      <w:r w:rsidRPr="00215B2F">
        <w:rPr>
          <w:rFonts w:ascii="Arial" w:eastAsia="Arial" w:hAnsi="Arial" w:cs="Arial"/>
          <w:sz w:val="20"/>
          <w:szCs w:val="20"/>
        </w:rPr>
        <w:t xml:space="preserve"> svoje stroške postopka.</w:t>
      </w:r>
    </w:p>
    <w:p w14:paraId="2269597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E998C1C"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23" w:name="_Ref202968454"/>
      <w:r w:rsidRPr="00215B2F">
        <w:rPr>
          <w:rFonts w:ascii="Arial" w:eastAsia="Arial" w:hAnsi="Arial" w:cs="Arial"/>
          <w:b/>
          <w:bCs/>
          <w:sz w:val="20"/>
          <w:szCs w:val="20"/>
        </w:rPr>
        <w:t>člen</w:t>
      </w:r>
      <w:bookmarkEnd w:id="523"/>
    </w:p>
    <w:p w14:paraId="708E0A3D"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(začetek postopka)</w:t>
      </w:r>
    </w:p>
    <w:p w14:paraId="142BB97A"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36BCAF92" w14:textId="15C4F92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Postopek odločanja Banke Slovenije se začne z vložitvijo zahteve za izdajo dovoljenja, zahteve za oceno primernosti, zahteve za oceno ustreznosti, zahteve za odobritev, zahteve za izvzetje ali zahteve za opustitev pri Banki Slovenije (v nadaljnjem besedilu: zahteva).</w:t>
      </w:r>
    </w:p>
    <w:p w14:paraId="7FA84A9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642081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Po uradni dolžnosti ali na predlog drugega pristojnega organa začne Banka Slovenije postopek za izdajo dovoljenja samo, kadar tako določa zakon, Uredba 575/2013/EU, Uredba 1024/2013/EU ali drug predpis Evropske unije.</w:t>
      </w:r>
    </w:p>
    <w:p w14:paraId="5E3D9C7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CA97FE3"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24" w:name="_Ref202968475"/>
      <w:r w:rsidRPr="00215B2F">
        <w:rPr>
          <w:rFonts w:ascii="Arial" w:eastAsia="Arial" w:hAnsi="Arial" w:cs="Arial"/>
          <w:b/>
          <w:bCs/>
          <w:sz w:val="20"/>
          <w:szCs w:val="20"/>
        </w:rPr>
        <w:t>člen</w:t>
      </w:r>
      <w:bookmarkEnd w:id="524"/>
    </w:p>
    <w:p w14:paraId="3896D4DE"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(vsebina zahteve)</w:t>
      </w:r>
    </w:p>
    <w:p w14:paraId="0D712B1C"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498F7836" w14:textId="420F9AF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525" w:name="_Hlk203562133"/>
      <w:r w:rsidRPr="00215B2F">
        <w:rPr>
          <w:rFonts w:ascii="Arial" w:eastAsia="Arial" w:hAnsi="Arial" w:cs="Arial"/>
          <w:sz w:val="20"/>
          <w:szCs w:val="20"/>
        </w:rPr>
        <w:t xml:space="preserve">(1) Zahteva za izdajo dovoljenja, ki se vloži pri Banki Slovenije, mora </w:t>
      </w:r>
      <w:r w:rsidR="00E9444E" w:rsidRPr="00215B2F">
        <w:rPr>
          <w:rFonts w:ascii="Arial" w:eastAsia="Arial" w:hAnsi="Arial" w:cs="Arial"/>
          <w:sz w:val="20"/>
          <w:szCs w:val="20"/>
        </w:rPr>
        <w:t>vključevati</w:t>
      </w:r>
      <w:r w:rsidRPr="00215B2F">
        <w:rPr>
          <w:rFonts w:ascii="Arial" w:eastAsia="Arial" w:hAnsi="Arial" w:cs="Arial"/>
          <w:sz w:val="20"/>
          <w:szCs w:val="20"/>
        </w:rPr>
        <w:t>:</w:t>
      </w:r>
    </w:p>
    <w:p w14:paraId="20037B7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9FF7D15" w14:textId="77777777" w:rsidR="0018349C" w:rsidRPr="00215B2F" w:rsidRDefault="00D91782" w:rsidP="003D4DE0">
      <w:pPr>
        <w:pStyle w:val="tevilnatoka"/>
        <w:numPr>
          <w:ilvl w:val="0"/>
          <w:numId w:val="284"/>
        </w:numPr>
        <w:shd w:val="clear" w:color="auto" w:fill="FFFFFF" w:themeFill="background1"/>
        <w:tabs>
          <w:tab w:val="clear" w:pos="425"/>
        </w:tabs>
        <w:rPr>
          <w:rFonts w:cs="Arial"/>
          <w:bCs/>
          <w:sz w:val="20"/>
          <w:szCs w:val="20"/>
        </w:rPr>
      </w:pPr>
      <w:r w:rsidRPr="00215B2F">
        <w:rPr>
          <w:rFonts w:eastAsia="Arial" w:cs="Arial"/>
          <w:sz w:val="20"/>
          <w:szCs w:val="20"/>
        </w:rPr>
        <w:t>osebne podatke vložnika;</w:t>
      </w:r>
    </w:p>
    <w:p w14:paraId="185D8998" w14:textId="477888FA" w:rsidR="0018349C" w:rsidRPr="00215B2F" w:rsidRDefault="00D91782" w:rsidP="003D4DE0">
      <w:pPr>
        <w:pStyle w:val="tevilnatoka"/>
        <w:numPr>
          <w:ilvl w:val="0"/>
          <w:numId w:val="284"/>
        </w:numPr>
        <w:shd w:val="clear" w:color="auto" w:fill="FFFFFF" w:themeFill="background1"/>
        <w:tabs>
          <w:tab w:val="clear" w:pos="425"/>
        </w:tabs>
        <w:rPr>
          <w:rFonts w:cs="Arial"/>
          <w:bCs/>
          <w:sz w:val="20"/>
          <w:szCs w:val="20"/>
        </w:rPr>
      </w:pPr>
      <w:r w:rsidRPr="00215B2F">
        <w:rPr>
          <w:rFonts w:eastAsia="Arial" w:cs="Arial"/>
          <w:sz w:val="20"/>
          <w:szCs w:val="20"/>
        </w:rPr>
        <w:t>zahtevek za izdajo dovoljenja oziroma soglasja;</w:t>
      </w:r>
    </w:p>
    <w:p w14:paraId="1852BCF9" w14:textId="31EB2760" w:rsidR="00D91782" w:rsidRPr="00215B2F" w:rsidRDefault="00D91782" w:rsidP="003D4DE0">
      <w:pPr>
        <w:pStyle w:val="tevilnatoka"/>
        <w:numPr>
          <w:ilvl w:val="0"/>
          <w:numId w:val="284"/>
        </w:numPr>
        <w:shd w:val="clear" w:color="auto" w:fill="FFFFFF" w:themeFill="background1"/>
        <w:tabs>
          <w:tab w:val="clear" w:pos="425"/>
        </w:tabs>
        <w:rPr>
          <w:rFonts w:cs="Arial"/>
          <w:bCs/>
          <w:sz w:val="20"/>
          <w:szCs w:val="20"/>
        </w:rPr>
      </w:pPr>
      <w:r w:rsidRPr="00215B2F">
        <w:rPr>
          <w:rFonts w:eastAsia="Arial" w:cs="Arial"/>
          <w:sz w:val="20"/>
          <w:szCs w:val="20"/>
        </w:rPr>
        <w:t>druge podatke, določene z zakonom, Uredbo 575/2013/EU ali Uredbo 1024/2013/EU in predpisi, izdanimi na njihovi podlagi</w:t>
      </w:r>
      <w:r w:rsidR="00BE5D01" w:rsidRPr="00215B2F">
        <w:rPr>
          <w:rFonts w:eastAsia="Arial" w:cs="Arial"/>
          <w:sz w:val="20"/>
          <w:szCs w:val="20"/>
        </w:rPr>
        <w:t>,</w:t>
      </w:r>
      <w:r w:rsidRPr="00215B2F">
        <w:rPr>
          <w:rFonts w:eastAsia="Arial" w:cs="Arial"/>
          <w:sz w:val="20"/>
          <w:szCs w:val="20"/>
        </w:rPr>
        <w:t xml:space="preserve"> ter drugimi pravni akti iz 9. </w:t>
      </w:r>
      <w:r w:rsidR="001F2C7A" w:rsidRPr="00215B2F">
        <w:rPr>
          <w:rFonts w:eastAsia="Arial" w:cs="Arial"/>
          <w:sz w:val="20"/>
          <w:szCs w:val="20"/>
        </w:rPr>
        <w:t>člena tega zakona</w:t>
      </w:r>
      <w:r w:rsidRPr="00215B2F">
        <w:rPr>
          <w:rFonts w:eastAsia="Arial" w:cs="Arial"/>
          <w:sz w:val="20"/>
          <w:szCs w:val="20"/>
        </w:rPr>
        <w:t>.</w:t>
      </w:r>
    </w:p>
    <w:p w14:paraId="3928483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96742D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Zahtevi je treba priložiti listine, določene z zakonom ali uredbo Evropske unije, in druge listine, iz katerih izhaja utemeljenost zahtevka za izdajo dovoljenja, ter dokaz o plačilu takse za odločitev o zahtevi.</w:t>
      </w:r>
    </w:p>
    <w:bookmarkEnd w:id="525"/>
    <w:p w14:paraId="697B27C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4B23E62"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26" w:name="_Ref202968481"/>
      <w:r w:rsidRPr="00215B2F">
        <w:rPr>
          <w:rFonts w:ascii="Arial" w:eastAsia="Arial" w:hAnsi="Arial" w:cs="Arial"/>
          <w:b/>
          <w:bCs/>
          <w:sz w:val="20"/>
          <w:szCs w:val="20"/>
        </w:rPr>
        <w:t>člen</w:t>
      </w:r>
      <w:bookmarkEnd w:id="526"/>
    </w:p>
    <w:p w14:paraId="44AE8DE7"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(procesne predpostavke za odločanje)</w:t>
      </w:r>
    </w:p>
    <w:p w14:paraId="7786B6AC"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061AE9E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527" w:name="_Hlk203562252"/>
      <w:r w:rsidRPr="00215B2F">
        <w:rPr>
          <w:rFonts w:ascii="Arial" w:eastAsia="Arial" w:hAnsi="Arial" w:cs="Arial"/>
          <w:sz w:val="20"/>
          <w:szCs w:val="20"/>
        </w:rPr>
        <w:t>(1) V postopku predhodnega preizkusa zahteve Banka Slovenije preizkusi, ali so izpolnjene naslednje procesne predpostavke za odločanje o zahtevi:</w:t>
      </w:r>
    </w:p>
    <w:p w14:paraId="518D3CA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5AD3BFC" w14:textId="1CE97C26" w:rsidR="0018349C" w:rsidRPr="00215B2F" w:rsidRDefault="00D91782" w:rsidP="003D4DE0">
      <w:pPr>
        <w:pStyle w:val="tevilnatoka"/>
        <w:numPr>
          <w:ilvl w:val="0"/>
          <w:numId w:val="285"/>
        </w:numPr>
        <w:shd w:val="clear" w:color="auto" w:fill="FFFFFF" w:themeFill="background1"/>
        <w:tabs>
          <w:tab w:val="clear" w:pos="425"/>
        </w:tabs>
        <w:rPr>
          <w:rFonts w:cs="Arial"/>
          <w:bCs/>
          <w:sz w:val="20"/>
          <w:szCs w:val="20"/>
        </w:rPr>
      </w:pPr>
      <w:r w:rsidRPr="00215B2F">
        <w:rPr>
          <w:rFonts w:eastAsia="Arial" w:cs="Arial"/>
          <w:sz w:val="20"/>
          <w:szCs w:val="20"/>
        </w:rPr>
        <w:t xml:space="preserve">zahtevo </w:t>
      </w:r>
      <w:r w:rsidR="000711B9" w:rsidRPr="00215B2F">
        <w:rPr>
          <w:rFonts w:eastAsia="Arial" w:cs="Arial"/>
          <w:sz w:val="20"/>
          <w:szCs w:val="20"/>
        </w:rPr>
        <w:t xml:space="preserve">je </w:t>
      </w:r>
      <w:r w:rsidRPr="00215B2F">
        <w:rPr>
          <w:rFonts w:eastAsia="Arial" w:cs="Arial"/>
          <w:sz w:val="20"/>
          <w:szCs w:val="20"/>
        </w:rPr>
        <w:t>vložila upravičena oseba;</w:t>
      </w:r>
    </w:p>
    <w:p w14:paraId="53983707" w14:textId="1405DE54" w:rsidR="0018349C" w:rsidRPr="00215B2F" w:rsidRDefault="00D91782" w:rsidP="003D4DE0">
      <w:pPr>
        <w:pStyle w:val="tevilnatoka"/>
        <w:numPr>
          <w:ilvl w:val="0"/>
          <w:numId w:val="285"/>
        </w:numPr>
        <w:shd w:val="clear" w:color="auto" w:fill="FFFFFF" w:themeFill="background1"/>
        <w:tabs>
          <w:tab w:val="clear" w:pos="425"/>
        </w:tabs>
        <w:rPr>
          <w:rFonts w:cs="Arial"/>
          <w:bCs/>
          <w:sz w:val="20"/>
          <w:szCs w:val="20"/>
        </w:rPr>
      </w:pPr>
      <w:r w:rsidRPr="00215B2F">
        <w:rPr>
          <w:rFonts w:eastAsia="Arial" w:cs="Arial"/>
          <w:sz w:val="20"/>
          <w:szCs w:val="20"/>
        </w:rPr>
        <w:t xml:space="preserve">zahteva </w:t>
      </w:r>
      <w:r w:rsidR="00E9444E" w:rsidRPr="00215B2F">
        <w:rPr>
          <w:rFonts w:eastAsia="Arial" w:cs="Arial"/>
          <w:sz w:val="20"/>
          <w:szCs w:val="20"/>
        </w:rPr>
        <w:t xml:space="preserve">vključuje vse </w:t>
      </w:r>
      <w:r w:rsidRPr="00215B2F">
        <w:rPr>
          <w:rFonts w:eastAsia="Arial" w:cs="Arial"/>
          <w:sz w:val="20"/>
          <w:szCs w:val="20"/>
        </w:rPr>
        <w:t xml:space="preserve">podatke, ki jih mora </w:t>
      </w:r>
      <w:r w:rsidR="00E9444E" w:rsidRPr="00215B2F">
        <w:rPr>
          <w:rFonts w:eastAsia="Arial" w:cs="Arial"/>
          <w:sz w:val="20"/>
          <w:szCs w:val="20"/>
        </w:rPr>
        <w:t>vključevati</w:t>
      </w:r>
      <w:r w:rsidRPr="00215B2F">
        <w:rPr>
          <w:rFonts w:eastAsia="Arial" w:cs="Arial"/>
          <w:sz w:val="20"/>
          <w:szCs w:val="20"/>
        </w:rPr>
        <w:t>;</w:t>
      </w:r>
    </w:p>
    <w:p w14:paraId="536C043C" w14:textId="724B6EC7" w:rsidR="0018349C" w:rsidRPr="00215B2F" w:rsidRDefault="00D91782" w:rsidP="003D4DE0">
      <w:pPr>
        <w:pStyle w:val="tevilnatoka"/>
        <w:numPr>
          <w:ilvl w:val="0"/>
          <w:numId w:val="285"/>
        </w:numPr>
        <w:shd w:val="clear" w:color="auto" w:fill="FFFFFF" w:themeFill="background1"/>
        <w:tabs>
          <w:tab w:val="clear" w:pos="425"/>
        </w:tabs>
        <w:rPr>
          <w:rFonts w:cs="Arial"/>
          <w:bCs/>
          <w:sz w:val="20"/>
          <w:szCs w:val="20"/>
        </w:rPr>
      </w:pPr>
      <w:r w:rsidRPr="00215B2F">
        <w:rPr>
          <w:rFonts w:eastAsia="Arial" w:cs="Arial"/>
          <w:sz w:val="20"/>
          <w:szCs w:val="20"/>
        </w:rPr>
        <w:t xml:space="preserve">zahtevi </w:t>
      </w:r>
      <w:r w:rsidR="000711B9" w:rsidRPr="00215B2F">
        <w:rPr>
          <w:rFonts w:eastAsia="Arial" w:cs="Arial"/>
          <w:sz w:val="20"/>
          <w:szCs w:val="20"/>
        </w:rPr>
        <w:t xml:space="preserve">so </w:t>
      </w:r>
      <w:r w:rsidRPr="00215B2F">
        <w:rPr>
          <w:rFonts w:eastAsia="Arial" w:cs="Arial"/>
          <w:sz w:val="20"/>
          <w:szCs w:val="20"/>
        </w:rPr>
        <w:t>priložene predpisane listine;</w:t>
      </w:r>
    </w:p>
    <w:p w14:paraId="3FDED53F" w14:textId="52E5C2CD" w:rsidR="0018349C" w:rsidRPr="00215B2F" w:rsidRDefault="00D91782" w:rsidP="003D4DE0">
      <w:pPr>
        <w:pStyle w:val="tevilnatoka"/>
        <w:numPr>
          <w:ilvl w:val="0"/>
          <w:numId w:val="285"/>
        </w:numPr>
        <w:shd w:val="clear" w:color="auto" w:fill="FFFFFF" w:themeFill="background1"/>
        <w:tabs>
          <w:tab w:val="clear" w:pos="425"/>
        </w:tabs>
        <w:rPr>
          <w:rFonts w:cs="Arial"/>
          <w:bCs/>
          <w:sz w:val="20"/>
          <w:szCs w:val="20"/>
        </w:rPr>
      </w:pPr>
      <w:r w:rsidRPr="00215B2F">
        <w:rPr>
          <w:rFonts w:eastAsia="Arial" w:cs="Arial"/>
          <w:sz w:val="20"/>
          <w:szCs w:val="20"/>
        </w:rPr>
        <w:t xml:space="preserve">zahtevi </w:t>
      </w:r>
      <w:r w:rsidR="000711B9" w:rsidRPr="00215B2F">
        <w:rPr>
          <w:rFonts w:eastAsia="Arial" w:cs="Arial"/>
          <w:sz w:val="20"/>
          <w:szCs w:val="20"/>
        </w:rPr>
        <w:t xml:space="preserve">je </w:t>
      </w:r>
      <w:r w:rsidRPr="00215B2F">
        <w:rPr>
          <w:rFonts w:eastAsia="Arial" w:cs="Arial"/>
          <w:sz w:val="20"/>
          <w:szCs w:val="20"/>
        </w:rPr>
        <w:t>priložen dokaz o plačilu takse oziroma nadomestila za delo Banke Slovenije;</w:t>
      </w:r>
    </w:p>
    <w:p w14:paraId="1DC52B27" w14:textId="536F0BB6" w:rsidR="00D91782" w:rsidRPr="00215B2F" w:rsidRDefault="00D91782" w:rsidP="003D4DE0">
      <w:pPr>
        <w:pStyle w:val="tevilnatoka"/>
        <w:numPr>
          <w:ilvl w:val="0"/>
          <w:numId w:val="285"/>
        </w:numPr>
        <w:shd w:val="clear" w:color="auto" w:fill="FFFFFF" w:themeFill="background1"/>
        <w:tabs>
          <w:tab w:val="clear" w:pos="425"/>
        </w:tabs>
        <w:rPr>
          <w:rFonts w:cs="Arial"/>
          <w:bCs/>
          <w:sz w:val="20"/>
          <w:szCs w:val="20"/>
        </w:rPr>
      </w:pPr>
      <w:r w:rsidRPr="00215B2F">
        <w:rPr>
          <w:rFonts w:eastAsia="Arial" w:cs="Arial"/>
          <w:sz w:val="20"/>
          <w:szCs w:val="20"/>
        </w:rPr>
        <w:t xml:space="preserve">izpolnjene </w:t>
      </w:r>
      <w:r w:rsidR="000711B9" w:rsidRPr="00215B2F">
        <w:rPr>
          <w:rFonts w:eastAsia="Arial" w:cs="Arial"/>
          <w:sz w:val="20"/>
          <w:szCs w:val="20"/>
        </w:rPr>
        <w:t xml:space="preserve">so </w:t>
      </w:r>
      <w:r w:rsidRPr="00215B2F">
        <w:rPr>
          <w:rFonts w:eastAsia="Arial" w:cs="Arial"/>
          <w:sz w:val="20"/>
          <w:szCs w:val="20"/>
        </w:rPr>
        <w:t>druge procesne predpostavke, ki morajo biti izpolnjene za odločanje o vsaki vlogi.</w:t>
      </w:r>
    </w:p>
    <w:p w14:paraId="3015489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B8F99E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Če Banka Slovenije ugotovi, da procesne predpostavke za odločanje o zahtevi niso izpolnjene in pomanjkljivosti ni mogoče odpraviti, s sklepom zavrže zahtevo.</w:t>
      </w:r>
    </w:p>
    <w:p w14:paraId="0F0F4DB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92449EE" w14:textId="66212BC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Banka Slovenije ugotovi, da procesne predpostavke za odločanje o zahtevi niso izpolnjene in je pomanjkljivosti mogoče odpraviti, pozove vložnika, da pomanjkljivosti odpravi v roku, ki ne sme biti </w:t>
      </w:r>
      <w:r w:rsidR="005147D3" w:rsidRPr="00215B2F">
        <w:rPr>
          <w:rFonts w:ascii="Arial" w:eastAsia="Arial" w:hAnsi="Arial" w:cs="Arial"/>
          <w:sz w:val="20"/>
          <w:szCs w:val="20"/>
        </w:rPr>
        <w:t xml:space="preserve">ne </w:t>
      </w:r>
      <w:r w:rsidRPr="00215B2F">
        <w:rPr>
          <w:rFonts w:ascii="Arial" w:eastAsia="Arial" w:hAnsi="Arial" w:cs="Arial"/>
          <w:sz w:val="20"/>
          <w:szCs w:val="20"/>
        </w:rPr>
        <w:t xml:space="preserve">krajši od osmih in ne daljši </w:t>
      </w:r>
      <w:r w:rsidR="00BE5D01" w:rsidRPr="00215B2F">
        <w:rPr>
          <w:rFonts w:ascii="Arial" w:eastAsia="Arial" w:hAnsi="Arial" w:cs="Arial"/>
          <w:sz w:val="20"/>
          <w:szCs w:val="20"/>
        </w:rPr>
        <w:t xml:space="preserve">od </w:t>
      </w:r>
      <w:r w:rsidRPr="00215B2F">
        <w:rPr>
          <w:rFonts w:ascii="Arial" w:eastAsia="Arial" w:hAnsi="Arial" w:cs="Arial"/>
          <w:sz w:val="20"/>
          <w:szCs w:val="20"/>
        </w:rPr>
        <w:t>15 dni.</w:t>
      </w:r>
    </w:p>
    <w:p w14:paraId="6035060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D342655" w14:textId="0484778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Če vložnik pomanjkljivosti v roku, določenem s sklepom o odpravi pomanjkljivosti, ne odpravi, Banka Slovenije s sklepom zavrže zahtevo. Sklep o zavrženju zahteve Banka Slovenije izda v </w:t>
      </w:r>
      <w:r w:rsidR="00BE5D01" w:rsidRPr="00215B2F">
        <w:rPr>
          <w:rFonts w:ascii="Arial" w:eastAsia="Arial" w:hAnsi="Arial" w:cs="Arial"/>
          <w:sz w:val="20"/>
          <w:szCs w:val="20"/>
        </w:rPr>
        <w:t>dveh</w:t>
      </w:r>
      <w:r w:rsidRPr="00215B2F">
        <w:rPr>
          <w:rFonts w:ascii="Arial" w:eastAsia="Arial" w:hAnsi="Arial" w:cs="Arial"/>
          <w:sz w:val="20"/>
          <w:szCs w:val="20"/>
        </w:rPr>
        <w:t xml:space="preserve"> mesec</w:t>
      </w:r>
      <w:r w:rsidR="00BE5D01" w:rsidRPr="00215B2F">
        <w:rPr>
          <w:rFonts w:ascii="Arial" w:eastAsia="Arial" w:hAnsi="Arial" w:cs="Arial"/>
          <w:sz w:val="20"/>
          <w:szCs w:val="20"/>
        </w:rPr>
        <w:t>ih</w:t>
      </w:r>
      <w:r w:rsidRPr="00215B2F">
        <w:rPr>
          <w:rFonts w:ascii="Arial" w:eastAsia="Arial" w:hAnsi="Arial" w:cs="Arial"/>
          <w:sz w:val="20"/>
          <w:szCs w:val="20"/>
        </w:rPr>
        <w:t xml:space="preserve">. </w:t>
      </w:r>
    </w:p>
    <w:p w14:paraId="04AF802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BD3C94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Proti sklepu o odpravi pomanjkljivosti ni posebnega postopka sodnega varstva.</w:t>
      </w:r>
    </w:p>
    <w:p w14:paraId="66DCBD3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D53074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(6) Če se zahteva nanaša na izdajo dovoljenja za opravljanje bančnih storitev, dovoljenje za kreditno družbo ali za združitev oziroma delitev, mora Banka Slovenije izdati sklep o odpravi pomanjkljivosti v dveh mesecih od prejema zahteve, v drugih primerih pa v enem mesecu od prejema zahteve, razen če ta zakon določa drugače.</w:t>
      </w:r>
    </w:p>
    <w:bookmarkEnd w:id="527"/>
    <w:p w14:paraId="354BCA2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797D27A"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28" w:name="_Ref202968488"/>
      <w:r w:rsidRPr="00215B2F">
        <w:rPr>
          <w:rFonts w:ascii="Arial" w:eastAsia="Arial" w:hAnsi="Arial" w:cs="Arial"/>
          <w:b/>
          <w:bCs/>
          <w:sz w:val="20"/>
          <w:szCs w:val="20"/>
        </w:rPr>
        <w:t>člen</w:t>
      </w:r>
      <w:bookmarkEnd w:id="528"/>
    </w:p>
    <w:p w14:paraId="7BE63282"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(izvajanje dokazov in odločanje)</w:t>
      </w:r>
    </w:p>
    <w:p w14:paraId="492C9312"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4E12FE7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V postopku odločanja o zahtevi lahko Banka Slovenije izvede tudi dokaze, ki jih vložnik ni predlagal, če so ti potrebni za ugotovitev dejstev, ki so pomembna za odločitev o zahtevi. Pri tem lahko Banka Slovenije od vložnika zahteva, da ji:</w:t>
      </w:r>
    </w:p>
    <w:p w14:paraId="49B90EC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B4CEE03" w14:textId="77777777" w:rsidR="0018349C" w:rsidRPr="00215B2F" w:rsidRDefault="00D91782" w:rsidP="003D4DE0">
      <w:pPr>
        <w:pStyle w:val="tevilnatoka"/>
        <w:numPr>
          <w:ilvl w:val="0"/>
          <w:numId w:val="286"/>
        </w:numPr>
        <w:shd w:val="clear" w:color="auto" w:fill="FFFFFF" w:themeFill="background1"/>
        <w:tabs>
          <w:tab w:val="clear" w:pos="425"/>
        </w:tabs>
        <w:rPr>
          <w:rFonts w:cs="Arial"/>
          <w:bCs/>
          <w:sz w:val="20"/>
          <w:szCs w:val="20"/>
        </w:rPr>
      </w:pPr>
      <w:r w:rsidRPr="00215B2F">
        <w:rPr>
          <w:rFonts w:eastAsia="Arial" w:cs="Arial"/>
          <w:sz w:val="20"/>
          <w:szCs w:val="20"/>
        </w:rPr>
        <w:t>v roku, ki ne sme biti krajši od osmih dni, predloži dodatne podatke oziroma listine;</w:t>
      </w:r>
    </w:p>
    <w:p w14:paraId="37C12281" w14:textId="5B104C53" w:rsidR="00D91782" w:rsidRPr="00215B2F" w:rsidRDefault="00D91782" w:rsidP="003D4DE0">
      <w:pPr>
        <w:pStyle w:val="tevilnatoka"/>
        <w:numPr>
          <w:ilvl w:val="0"/>
          <w:numId w:val="286"/>
        </w:numPr>
        <w:shd w:val="clear" w:color="auto" w:fill="FFFFFF" w:themeFill="background1"/>
        <w:tabs>
          <w:tab w:val="clear" w:pos="425"/>
        </w:tabs>
        <w:rPr>
          <w:rFonts w:cs="Arial"/>
          <w:bCs/>
          <w:sz w:val="20"/>
          <w:szCs w:val="20"/>
        </w:rPr>
      </w:pPr>
      <w:r w:rsidRPr="00215B2F">
        <w:rPr>
          <w:rFonts w:eastAsia="Arial" w:cs="Arial"/>
          <w:sz w:val="20"/>
          <w:szCs w:val="20"/>
        </w:rPr>
        <w:t>omogoči, da opravi pregled njegovega poslovanja.</w:t>
      </w:r>
    </w:p>
    <w:p w14:paraId="07558A8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7AF2FF5" w14:textId="00CE979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Za pregled poslovanja iz 2. točke prejšnjega odstavka se smiselno uporabljajo </w:t>
      </w:r>
      <w:r w:rsidR="00355D35" w:rsidRPr="00215B2F">
        <w:rPr>
          <w:rFonts w:ascii="Arial" w:eastAsia="Arial" w:hAnsi="Arial" w:cs="Arial"/>
          <w:sz w:val="20"/>
          <w:szCs w:val="20"/>
        </w:rPr>
        <w:t>337</w:t>
      </w:r>
      <w:r w:rsidRPr="00215B2F">
        <w:rPr>
          <w:rFonts w:ascii="Arial" w:eastAsia="Arial" w:hAnsi="Arial" w:cs="Arial"/>
          <w:sz w:val="20"/>
          <w:szCs w:val="20"/>
        </w:rPr>
        <w:t xml:space="preserve">. do </w:t>
      </w:r>
      <w:r w:rsidR="00355D35" w:rsidRPr="00215B2F">
        <w:rPr>
          <w:rFonts w:ascii="Arial" w:eastAsia="Arial" w:hAnsi="Arial" w:cs="Arial"/>
          <w:sz w:val="20"/>
          <w:szCs w:val="20"/>
        </w:rPr>
        <w:t>342</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w:t>
      </w:r>
    </w:p>
    <w:p w14:paraId="16CFB39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9290C0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zavrne zahtevo, če vložnik:</w:t>
      </w:r>
    </w:p>
    <w:p w14:paraId="76C0666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A3E06E4" w14:textId="57BE1189" w:rsidR="0018349C" w:rsidRPr="00215B2F" w:rsidRDefault="00D91782" w:rsidP="003D4DE0">
      <w:pPr>
        <w:pStyle w:val="tevilnatoka"/>
        <w:numPr>
          <w:ilvl w:val="0"/>
          <w:numId w:val="287"/>
        </w:numPr>
        <w:shd w:val="clear" w:color="auto" w:fill="FFFFFF" w:themeFill="background1"/>
        <w:tabs>
          <w:tab w:val="clear" w:pos="425"/>
        </w:tabs>
        <w:rPr>
          <w:rFonts w:cs="Arial"/>
          <w:bCs/>
          <w:sz w:val="20"/>
          <w:szCs w:val="20"/>
        </w:rPr>
      </w:pPr>
      <w:r w:rsidRPr="00215B2F">
        <w:rPr>
          <w:rFonts w:eastAsia="Arial" w:cs="Arial"/>
          <w:sz w:val="20"/>
          <w:szCs w:val="20"/>
        </w:rPr>
        <w:t xml:space="preserve">v roku, določenem v zahtevi iz 1. točke prvega </w:t>
      </w:r>
      <w:r w:rsidR="00746E88" w:rsidRPr="00215B2F">
        <w:rPr>
          <w:rFonts w:eastAsia="Arial" w:cs="Arial"/>
          <w:sz w:val="20"/>
          <w:szCs w:val="20"/>
        </w:rPr>
        <w:t>odstavka tega člena</w:t>
      </w:r>
      <w:r w:rsidRPr="00215B2F">
        <w:rPr>
          <w:rFonts w:eastAsia="Arial" w:cs="Arial"/>
          <w:sz w:val="20"/>
          <w:szCs w:val="20"/>
        </w:rPr>
        <w:t>, Banki Slovenije ne predloži zahtevanih podatkov oziroma listin ali</w:t>
      </w:r>
    </w:p>
    <w:p w14:paraId="6501F5CE" w14:textId="4FFFCD84" w:rsidR="00D91782" w:rsidRPr="00215B2F" w:rsidRDefault="00D91782" w:rsidP="003D4DE0">
      <w:pPr>
        <w:pStyle w:val="tevilnatoka"/>
        <w:numPr>
          <w:ilvl w:val="0"/>
          <w:numId w:val="287"/>
        </w:numPr>
        <w:shd w:val="clear" w:color="auto" w:fill="FFFFFF" w:themeFill="background1"/>
        <w:tabs>
          <w:tab w:val="clear" w:pos="425"/>
        </w:tabs>
        <w:rPr>
          <w:rFonts w:cs="Arial"/>
          <w:bCs/>
          <w:sz w:val="20"/>
          <w:szCs w:val="20"/>
        </w:rPr>
      </w:pPr>
      <w:r w:rsidRPr="00215B2F">
        <w:rPr>
          <w:rFonts w:eastAsia="Arial" w:cs="Arial"/>
          <w:sz w:val="20"/>
          <w:szCs w:val="20"/>
        </w:rPr>
        <w:t xml:space="preserve">odkloni zahtevo Banke Slovenije iz 2. točke prvega </w:t>
      </w:r>
      <w:r w:rsidR="00746E88" w:rsidRPr="00215B2F">
        <w:rPr>
          <w:rFonts w:eastAsia="Arial" w:cs="Arial"/>
          <w:sz w:val="20"/>
          <w:szCs w:val="20"/>
        </w:rPr>
        <w:t>odstavka tega člena</w:t>
      </w:r>
      <w:r w:rsidRPr="00215B2F">
        <w:rPr>
          <w:rFonts w:eastAsia="Arial" w:cs="Arial"/>
          <w:sz w:val="20"/>
          <w:szCs w:val="20"/>
        </w:rPr>
        <w:t xml:space="preserve"> oziroma kako drugače ovira izvedbo pregleda poslovanja.</w:t>
      </w:r>
    </w:p>
    <w:p w14:paraId="173FDD9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823D593"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29" w:name="_Ref202968496"/>
      <w:r w:rsidRPr="00215B2F">
        <w:rPr>
          <w:rFonts w:ascii="Arial" w:eastAsia="Arial" w:hAnsi="Arial" w:cs="Arial"/>
          <w:b/>
          <w:bCs/>
          <w:sz w:val="20"/>
          <w:szCs w:val="20"/>
        </w:rPr>
        <w:t>člen</w:t>
      </w:r>
      <w:bookmarkEnd w:id="529"/>
    </w:p>
    <w:p w14:paraId="64DC151A"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(možnost izjave o zavrnitvi zahteve za izdajo dovoljenja)</w:t>
      </w:r>
    </w:p>
    <w:p w14:paraId="6A2279AF"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47A3165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Če namerava Banka Slovenije zavrniti zahtevo za izdajo dovoljenja na podlagi dejstev ali dokazov, ki jih ni predlagal vložnik, mora pred izdajo odločbe o zavrnitvi zahteve vložniku dati možnost, da se izjavi o dejstvih in okoliščinah, ki so pomembni za to odločitev.</w:t>
      </w:r>
    </w:p>
    <w:p w14:paraId="569D442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A4B59C3" w14:textId="109B6DD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Za možnost izjave iz prejšnjega odstavka se smiselno uporabljajo prvi do peti odstavek </w:t>
      </w:r>
      <w:r w:rsidR="00FA74E6" w:rsidRPr="00215B2F">
        <w:rPr>
          <w:rFonts w:ascii="Arial" w:eastAsia="Arial" w:hAnsi="Arial" w:cs="Arial"/>
          <w:sz w:val="20"/>
          <w:szCs w:val="20"/>
        </w:rPr>
        <w:t>445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le da rok za izjavo stranke ne sme biti krajši od 15 dni.</w:t>
      </w:r>
    </w:p>
    <w:p w14:paraId="67BF7B6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7ED4DDF" w14:textId="35D21BC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Ne glede na tretji odstavek </w:t>
      </w:r>
      <w:r w:rsidR="004B5768" w:rsidRPr="00215B2F">
        <w:rPr>
          <w:rFonts w:ascii="Arial" w:eastAsia="Arial" w:hAnsi="Arial" w:cs="Arial"/>
          <w:sz w:val="20"/>
          <w:szCs w:val="20"/>
        </w:rPr>
        <w:t>446</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se poziv k izjavi pred zavrnitvijo zahteve za izdajo dovoljenja vroči kandidatu.</w:t>
      </w:r>
    </w:p>
    <w:p w14:paraId="25D133B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5BA9753"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30" w:name="_Ref202968501"/>
      <w:r w:rsidRPr="00215B2F">
        <w:rPr>
          <w:rFonts w:ascii="Arial" w:eastAsia="Arial" w:hAnsi="Arial" w:cs="Arial"/>
          <w:b/>
          <w:bCs/>
          <w:sz w:val="20"/>
          <w:szCs w:val="20"/>
        </w:rPr>
        <w:t>člen</w:t>
      </w:r>
      <w:bookmarkEnd w:id="530"/>
    </w:p>
    <w:p w14:paraId="0105757D"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(rok za odločitev)</w:t>
      </w:r>
    </w:p>
    <w:p w14:paraId="4978F0DC"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3FBD0775" w14:textId="2E71E26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531" w:name="_Hlk203646563"/>
      <w:r w:rsidRPr="00215B2F">
        <w:rPr>
          <w:rFonts w:ascii="Arial" w:eastAsia="Arial" w:hAnsi="Arial" w:cs="Arial"/>
          <w:sz w:val="20"/>
          <w:szCs w:val="20"/>
        </w:rPr>
        <w:t>(1) Banka Slovenije o naslednjih zahtevah odloči v šestih mesecih od prejema popolne zahteve:</w:t>
      </w:r>
    </w:p>
    <w:p w14:paraId="51D3E92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789714D" w14:textId="77777777" w:rsidR="0018349C" w:rsidRPr="00215B2F" w:rsidRDefault="00D91782" w:rsidP="003D4DE0">
      <w:pPr>
        <w:pStyle w:val="tevilnatoka"/>
        <w:numPr>
          <w:ilvl w:val="0"/>
          <w:numId w:val="288"/>
        </w:numPr>
        <w:shd w:val="clear" w:color="auto" w:fill="FFFFFF" w:themeFill="background1"/>
        <w:tabs>
          <w:tab w:val="clear" w:pos="425"/>
        </w:tabs>
        <w:rPr>
          <w:rFonts w:cs="Arial"/>
          <w:bCs/>
          <w:sz w:val="20"/>
          <w:szCs w:val="20"/>
        </w:rPr>
      </w:pPr>
      <w:r w:rsidRPr="00215B2F">
        <w:rPr>
          <w:rFonts w:eastAsia="Arial" w:cs="Arial"/>
          <w:sz w:val="20"/>
          <w:szCs w:val="20"/>
        </w:rPr>
        <w:t>za izdajo dovoljenja za opravljanje bančnih, finančnih in dodatnih finančnih storitev ter dovoljenja za kreditno družbo,</w:t>
      </w:r>
    </w:p>
    <w:p w14:paraId="4F26B6DB" w14:textId="3B0771F0" w:rsidR="0018349C" w:rsidRPr="00215B2F" w:rsidRDefault="00D91782" w:rsidP="003D4DE0">
      <w:pPr>
        <w:pStyle w:val="tevilnatoka"/>
        <w:numPr>
          <w:ilvl w:val="0"/>
          <w:numId w:val="288"/>
        </w:numPr>
        <w:shd w:val="clear" w:color="auto" w:fill="FFFFFF" w:themeFill="background1"/>
        <w:tabs>
          <w:tab w:val="clear" w:pos="425"/>
        </w:tabs>
        <w:rPr>
          <w:rFonts w:cs="Arial"/>
          <w:bCs/>
          <w:sz w:val="20"/>
          <w:szCs w:val="20"/>
        </w:rPr>
      </w:pPr>
      <w:r w:rsidRPr="00215B2F">
        <w:rPr>
          <w:rFonts w:eastAsia="Arial" w:cs="Arial"/>
          <w:sz w:val="20"/>
          <w:szCs w:val="20"/>
        </w:rPr>
        <w:t>za oceno združitve oziroma delitve, če finančni deležniki niso iz iste skupine,</w:t>
      </w:r>
    </w:p>
    <w:p w14:paraId="079412F8" w14:textId="50AE70B5" w:rsidR="00D91782" w:rsidRPr="00215B2F" w:rsidRDefault="00D91782" w:rsidP="003D4DE0">
      <w:pPr>
        <w:pStyle w:val="tevilnatoka"/>
        <w:numPr>
          <w:ilvl w:val="0"/>
          <w:numId w:val="288"/>
        </w:numPr>
        <w:shd w:val="clear" w:color="auto" w:fill="FFFFFF" w:themeFill="background1"/>
        <w:tabs>
          <w:tab w:val="clear" w:pos="425"/>
        </w:tabs>
        <w:rPr>
          <w:rFonts w:cs="Arial"/>
          <w:bCs/>
          <w:sz w:val="20"/>
          <w:szCs w:val="20"/>
        </w:rPr>
      </w:pPr>
      <w:r w:rsidRPr="00215B2F">
        <w:rPr>
          <w:rFonts w:eastAsia="Arial" w:cs="Arial"/>
          <w:sz w:val="20"/>
          <w:szCs w:val="20"/>
        </w:rPr>
        <w:t>za izdajo dovoljenja za podružnico iz tretje države.</w:t>
      </w:r>
    </w:p>
    <w:p w14:paraId="56A85EE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44CACB7" w14:textId="27AAD99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(2) O zahtevi za izdajo drugih dovoljenj in soglasij mora Banka Slovenije odločiti v štirih mesecih od prejema zahteve, razen če za odločanje o posameznem dovoljenju ali soglasju ta zakon, Uredba 575/2013/EU ali drug predpis izrecno določa drugačen rok.</w:t>
      </w:r>
    </w:p>
    <w:p w14:paraId="5C8AAD3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F22F9EE" w14:textId="6CC05C8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je Banka Slovenije pozvala stranko, naj odpravi pomanjkljivosti, rok iz prvega oziroma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teče od trenutka, ko so bile pomanjkljivosti odpravljene.</w:t>
      </w:r>
    </w:p>
    <w:p w14:paraId="0BDB041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C38BE05" w14:textId="2DF8803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Če je Banka Slovenije pred iztekom roka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v skladu s prejšnjim členom vložnika pozvala, da se izja</w:t>
      </w:r>
      <w:r w:rsidR="00055668" w:rsidRPr="00215B2F">
        <w:rPr>
          <w:rFonts w:ascii="Arial" w:eastAsia="Arial" w:hAnsi="Arial" w:cs="Arial"/>
          <w:sz w:val="20"/>
          <w:szCs w:val="20"/>
        </w:rPr>
        <w:t>v</w:t>
      </w:r>
      <w:r w:rsidRPr="00215B2F">
        <w:rPr>
          <w:rFonts w:ascii="Arial" w:eastAsia="Arial" w:hAnsi="Arial" w:cs="Arial"/>
          <w:sz w:val="20"/>
          <w:szCs w:val="20"/>
        </w:rPr>
        <w:t xml:space="preserve">i o razlogih za zavrnitev zahteve, rok iz prvega oziroma drugega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ne teče od vročitve poziva do izteka roka za izjavo oziroma do prejema izjave, če je bila ta pos</w:t>
      </w:r>
      <w:r w:rsidR="00133763" w:rsidRPr="00215B2F">
        <w:rPr>
          <w:rFonts w:ascii="Arial" w:eastAsia="Arial" w:hAnsi="Arial" w:cs="Arial"/>
          <w:sz w:val="20"/>
          <w:szCs w:val="20"/>
        </w:rPr>
        <w:t>l</w:t>
      </w:r>
      <w:r w:rsidRPr="00215B2F">
        <w:rPr>
          <w:rFonts w:ascii="Arial" w:eastAsia="Arial" w:hAnsi="Arial" w:cs="Arial"/>
          <w:sz w:val="20"/>
          <w:szCs w:val="20"/>
        </w:rPr>
        <w:t>ana v roku, določenem s pozivom.</w:t>
      </w:r>
    </w:p>
    <w:bookmarkEnd w:id="531"/>
    <w:p w14:paraId="57DEB39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59C5F61" w14:textId="773D2A51" w:rsidR="00D91782" w:rsidRPr="00215B2F" w:rsidRDefault="005A6F6E"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16</w:t>
      </w:r>
      <w:r w:rsidR="00D91782" w:rsidRPr="00215B2F">
        <w:rPr>
          <w:rFonts w:ascii="Arial" w:eastAsia="Arial" w:hAnsi="Arial" w:cs="Arial"/>
          <w:b/>
          <w:bCs/>
          <w:sz w:val="20"/>
          <w:szCs w:val="20"/>
        </w:rPr>
        <w:t>.3 POSTOPEK NADZORA</w:t>
      </w:r>
    </w:p>
    <w:p w14:paraId="2B03D692" w14:textId="77777777" w:rsidR="00D91782" w:rsidRPr="00215B2F" w:rsidRDefault="00D91782" w:rsidP="00FD5520">
      <w:pPr>
        <w:shd w:val="clear" w:color="auto" w:fill="FFFFFF" w:themeFill="background1"/>
        <w:spacing w:after="0" w:line="240" w:lineRule="auto"/>
        <w:jc w:val="center"/>
        <w:rPr>
          <w:rFonts w:ascii="Arial" w:eastAsia="Arial" w:hAnsi="Arial" w:cs="Arial"/>
          <w:i/>
          <w:iCs/>
          <w:sz w:val="20"/>
          <w:szCs w:val="20"/>
        </w:rPr>
      </w:pPr>
    </w:p>
    <w:p w14:paraId="4D4B59B5" w14:textId="008D5992" w:rsidR="00D91782" w:rsidRPr="00215B2F" w:rsidRDefault="005A6F6E"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16</w:t>
      </w:r>
      <w:r w:rsidR="00D91782" w:rsidRPr="00215B2F">
        <w:rPr>
          <w:rFonts w:ascii="Arial" w:eastAsia="Arial" w:hAnsi="Arial" w:cs="Arial"/>
          <w:i/>
          <w:iCs/>
          <w:sz w:val="20"/>
          <w:szCs w:val="20"/>
        </w:rPr>
        <w:t>.3.1 Splošne določbe</w:t>
      </w:r>
    </w:p>
    <w:p w14:paraId="5EBD5735" w14:textId="77777777" w:rsidR="00D91782" w:rsidRPr="00215B2F" w:rsidRDefault="00D91782" w:rsidP="00FD5520">
      <w:pPr>
        <w:shd w:val="clear" w:color="auto" w:fill="FFFFFF" w:themeFill="background1"/>
        <w:spacing w:after="0" w:line="240" w:lineRule="auto"/>
        <w:jc w:val="both"/>
        <w:rPr>
          <w:rFonts w:ascii="Arial" w:eastAsia="Arial" w:hAnsi="Arial" w:cs="Arial"/>
          <w:i/>
          <w:iCs/>
          <w:sz w:val="20"/>
          <w:szCs w:val="20"/>
        </w:rPr>
      </w:pPr>
    </w:p>
    <w:p w14:paraId="20C78005"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32" w:name="_Ref202968506"/>
      <w:r w:rsidRPr="00215B2F">
        <w:rPr>
          <w:rFonts w:ascii="Arial" w:eastAsia="Arial" w:hAnsi="Arial" w:cs="Arial"/>
          <w:b/>
          <w:bCs/>
          <w:sz w:val="20"/>
          <w:szCs w:val="20"/>
        </w:rPr>
        <w:t>člen</w:t>
      </w:r>
      <w:bookmarkEnd w:id="532"/>
    </w:p>
    <w:p w14:paraId="77D68BE2"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(uporaba določb)</w:t>
      </w:r>
    </w:p>
    <w:p w14:paraId="7CC16039"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2195661E" w14:textId="46BD5CA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Določbe </w:t>
      </w:r>
      <w:r w:rsidR="005B0CC7" w:rsidRPr="00215B2F">
        <w:rPr>
          <w:rFonts w:ascii="Arial" w:eastAsia="Arial" w:hAnsi="Arial" w:cs="Arial"/>
          <w:sz w:val="20"/>
          <w:szCs w:val="20"/>
        </w:rPr>
        <w:t>o</w:t>
      </w:r>
      <w:r w:rsidR="001F2C7A" w:rsidRPr="00215B2F">
        <w:rPr>
          <w:rFonts w:ascii="Arial" w:eastAsia="Arial" w:hAnsi="Arial" w:cs="Arial"/>
          <w:sz w:val="20"/>
          <w:szCs w:val="20"/>
        </w:rPr>
        <w:t>ddelka</w:t>
      </w:r>
      <w:r w:rsidRPr="00215B2F">
        <w:rPr>
          <w:rFonts w:ascii="Arial" w:eastAsia="Arial" w:hAnsi="Arial" w:cs="Arial"/>
          <w:sz w:val="20"/>
          <w:szCs w:val="20"/>
        </w:rPr>
        <w:t xml:space="preserve"> </w:t>
      </w:r>
      <w:r w:rsidR="004B5768" w:rsidRPr="00215B2F">
        <w:rPr>
          <w:rFonts w:ascii="Arial" w:eastAsia="Arial" w:hAnsi="Arial" w:cs="Arial"/>
          <w:sz w:val="20"/>
          <w:szCs w:val="20"/>
        </w:rPr>
        <w:t>16</w:t>
      </w:r>
      <w:r w:rsidRPr="00215B2F">
        <w:rPr>
          <w:rFonts w:ascii="Arial" w:eastAsia="Arial" w:hAnsi="Arial" w:cs="Arial"/>
          <w:sz w:val="20"/>
          <w:szCs w:val="20"/>
        </w:rPr>
        <w:t>.3 tega zakona o postopku nadzora se uporabljajo v vseh postopkih nadzora, ki ga opravlja Banka Slovenije po tem ali drugem zakonu, če zakon za posamezn</w:t>
      </w:r>
      <w:r w:rsidR="00133763" w:rsidRPr="00215B2F">
        <w:rPr>
          <w:rFonts w:ascii="Arial" w:eastAsia="Arial" w:hAnsi="Arial" w:cs="Arial"/>
          <w:sz w:val="20"/>
          <w:szCs w:val="20"/>
        </w:rPr>
        <w:t>i</w:t>
      </w:r>
      <w:r w:rsidRPr="00215B2F">
        <w:rPr>
          <w:rFonts w:ascii="Arial" w:eastAsia="Arial" w:hAnsi="Arial" w:cs="Arial"/>
          <w:sz w:val="20"/>
          <w:szCs w:val="20"/>
        </w:rPr>
        <w:t xml:space="preserve"> postopek nadzora ne določa drugače.</w:t>
      </w:r>
    </w:p>
    <w:p w14:paraId="7B7B46A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352E9AF" w14:textId="7171085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V postopku nadzora se uporabljajo določbe </w:t>
      </w:r>
      <w:r w:rsidR="005B0CC7" w:rsidRPr="00215B2F">
        <w:rPr>
          <w:rFonts w:ascii="Arial" w:eastAsia="Arial" w:hAnsi="Arial" w:cs="Arial"/>
          <w:sz w:val="20"/>
          <w:szCs w:val="20"/>
        </w:rPr>
        <w:t>o</w:t>
      </w:r>
      <w:r w:rsidR="001F2C7A" w:rsidRPr="00215B2F">
        <w:rPr>
          <w:rFonts w:ascii="Arial" w:eastAsia="Arial" w:hAnsi="Arial" w:cs="Arial"/>
          <w:sz w:val="20"/>
          <w:szCs w:val="20"/>
        </w:rPr>
        <w:t>ddelka</w:t>
      </w:r>
      <w:r w:rsidRPr="00215B2F">
        <w:rPr>
          <w:rFonts w:ascii="Arial" w:eastAsia="Arial" w:hAnsi="Arial" w:cs="Arial"/>
          <w:sz w:val="20"/>
          <w:szCs w:val="20"/>
        </w:rPr>
        <w:t xml:space="preserve"> </w:t>
      </w:r>
      <w:r w:rsidR="004B5768" w:rsidRPr="00215B2F">
        <w:rPr>
          <w:rFonts w:ascii="Arial" w:eastAsia="Arial" w:hAnsi="Arial" w:cs="Arial"/>
          <w:sz w:val="20"/>
          <w:szCs w:val="20"/>
        </w:rPr>
        <w:t>16</w:t>
      </w:r>
      <w:r w:rsidRPr="00215B2F">
        <w:rPr>
          <w:rFonts w:ascii="Arial" w:eastAsia="Arial" w:hAnsi="Arial" w:cs="Arial"/>
          <w:sz w:val="20"/>
          <w:szCs w:val="20"/>
        </w:rPr>
        <w:t xml:space="preserve">.1 tega zakona, če ni v oddelku </w:t>
      </w:r>
      <w:r w:rsidR="004B5768" w:rsidRPr="00215B2F">
        <w:rPr>
          <w:rFonts w:ascii="Arial" w:eastAsia="Arial" w:hAnsi="Arial" w:cs="Arial"/>
          <w:sz w:val="20"/>
          <w:szCs w:val="20"/>
        </w:rPr>
        <w:t>16</w:t>
      </w:r>
      <w:r w:rsidRPr="00215B2F">
        <w:rPr>
          <w:rFonts w:ascii="Arial" w:eastAsia="Arial" w:hAnsi="Arial" w:cs="Arial"/>
          <w:sz w:val="20"/>
          <w:szCs w:val="20"/>
        </w:rPr>
        <w:t>.3 tega zakona določeno drugače.</w:t>
      </w:r>
    </w:p>
    <w:p w14:paraId="5EDBB73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E108E4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V postopku nadzora se smiselno uporabljajo tretji odstavek 20. člena ter drugi in tretji odstavek 23. člena ZIN.</w:t>
      </w:r>
    </w:p>
    <w:p w14:paraId="4C2DFBD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B23A26E"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33" w:name="_Ref202968513"/>
      <w:r w:rsidRPr="00215B2F">
        <w:rPr>
          <w:rFonts w:ascii="Arial" w:eastAsia="Arial" w:hAnsi="Arial" w:cs="Arial"/>
          <w:b/>
          <w:bCs/>
          <w:sz w:val="20"/>
          <w:szCs w:val="20"/>
        </w:rPr>
        <w:t>člen</w:t>
      </w:r>
      <w:bookmarkEnd w:id="533"/>
    </w:p>
    <w:p w14:paraId="45DB58A2"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(udeleženci postopka nadzora in postopka izdaje ukrepa nadzora)</w:t>
      </w:r>
    </w:p>
    <w:p w14:paraId="0AE42821"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6DE4355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Stranka v postopku nadzora in v postopku izdaje ukrepa nadzora je subjekt nadzora, nad katerim Banka Slovenije opravlja nadzor v skladu s tem zakonom in Uredbo 1024/2013/EU.</w:t>
      </w:r>
    </w:p>
    <w:p w14:paraId="766F266F" w14:textId="77777777" w:rsidR="00B014B5" w:rsidRPr="00215B2F" w:rsidRDefault="00B014B5" w:rsidP="00FD5520">
      <w:pPr>
        <w:shd w:val="clear" w:color="auto" w:fill="FFFFFF" w:themeFill="background1"/>
        <w:spacing w:after="0" w:line="240" w:lineRule="auto"/>
        <w:jc w:val="both"/>
        <w:rPr>
          <w:rFonts w:ascii="Arial" w:eastAsia="Arial" w:hAnsi="Arial" w:cs="Arial"/>
          <w:sz w:val="20"/>
          <w:szCs w:val="20"/>
        </w:rPr>
      </w:pPr>
    </w:p>
    <w:p w14:paraId="66DED252" w14:textId="61CA7F4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V postopku nadzora nad banko lahko poleg stranke sodelujejo tudi član</w:t>
      </w:r>
      <w:r w:rsidR="00E94559" w:rsidRPr="00215B2F">
        <w:rPr>
          <w:rFonts w:ascii="Arial" w:eastAsia="Arial" w:hAnsi="Arial" w:cs="Arial"/>
          <w:sz w:val="20"/>
          <w:szCs w:val="20"/>
        </w:rPr>
        <w:t>i</w:t>
      </w:r>
      <w:r w:rsidRPr="00215B2F">
        <w:rPr>
          <w:rFonts w:ascii="Arial" w:eastAsia="Arial" w:hAnsi="Arial" w:cs="Arial"/>
          <w:sz w:val="20"/>
          <w:szCs w:val="20"/>
        </w:rPr>
        <w:t xml:space="preserve"> </w:t>
      </w:r>
      <w:r w:rsidR="00354135" w:rsidRPr="00215B2F">
        <w:rPr>
          <w:rFonts w:ascii="Arial" w:eastAsia="Arial" w:hAnsi="Arial" w:cs="Arial"/>
          <w:sz w:val="20"/>
          <w:szCs w:val="20"/>
        </w:rPr>
        <w:t>nadzornega sveta</w:t>
      </w:r>
      <w:r w:rsidRPr="00215B2F">
        <w:rPr>
          <w:rFonts w:ascii="Arial" w:eastAsia="Arial" w:hAnsi="Arial" w:cs="Arial"/>
          <w:sz w:val="20"/>
          <w:szCs w:val="20"/>
        </w:rPr>
        <w:t>, če tako odloči Banka Slovenije, ker je sodelovanje nujno ali ustrezno za doseganje ciljev nadzora nad banko v skladu s tem zakonom in Uredbo 1024/2013/EU, in če na podlagi poziva Banke Slovenije ta</w:t>
      </w:r>
      <w:r w:rsidR="00E94559" w:rsidRPr="00215B2F">
        <w:rPr>
          <w:rFonts w:ascii="Arial" w:eastAsia="Arial" w:hAnsi="Arial" w:cs="Arial"/>
          <w:sz w:val="20"/>
          <w:szCs w:val="20"/>
        </w:rPr>
        <w:t>ka</w:t>
      </w:r>
      <w:r w:rsidRPr="00215B2F">
        <w:rPr>
          <w:rFonts w:ascii="Arial" w:eastAsia="Arial" w:hAnsi="Arial" w:cs="Arial"/>
          <w:sz w:val="20"/>
          <w:szCs w:val="20"/>
        </w:rPr>
        <w:t xml:space="preserve"> oseba v določenem roku pisno potrdi svoje sodelovanje v postopku. Član nadzornega sveta, ki je v skladu s tem zakonom upravičen sodelovati v postopku nadzora, lahko prisostvuje </w:t>
      </w:r>
      <w:r w:rsidR="00E94559" w:rsidRPr="00215B2F">
        <w:rPr>
          <w:rFonts w:ascii="Arial" w:eastAsia="Arial" w:hAnsi="Arial" w:cs="Arial"/>
          <w:sz w:val="20"/>
          <w:szCs w:val="20"/>
        </w:rPr>
        <w:t xml:space="preserve">postopku </w:t>
      </w:r>
      <w:r w:rsidRPr="00215B2F">
        <w:rPr>
          <w:rFonts w:ascii="Arial" w:eastAsia="Arial" w:hAnsi="Arial" w:cs="Arial"/>
          <w:sz w:val="20"/>
          <w:szCs w:val="20"/>
        </w:rPr>
        <w:t>ali je seznanjen z dejanji v postopku nadzora, daj</w:t>
      </w:r>
      <w:r w:rsidR="00E94559" w:rsidRPr="00215B2F">
        <w:rPr>
          <w:rFonts w:ascii="Arial" w:eastAsia="Arial" w:hAnsi="Arial" w:cs="Arial"/>
          <w:sz w:val="20"/>
          <w:szCs w:val="20"/>
        </w:rPr>
        <w:t>e</w:t>
      </w:r>
      <w:r w:rsidRPr="00215B2F">
        <w:rPr>
          <w:rFonts w:ascii="Arial" w:eastAsia="Arial" w:hAnsi="Arial" w:cs="Arial"/>
          <w:sz w:val="20"/>
          <w:szCs w:val="20"/>
        </w:rPr>
        <w:t xml:space="preserve"> pisne izjave in predlaga dokaze, ni pa upravičen samostojno opravljati dejanj v postopku nadzora.</w:t>
      </w:r>
    </w:p>
    <w:p w14:paraId="0D3788E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68BDC16" w14:textId="718157C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Udeleženec v postopku izdaje ukrepa nadzora Banke Slovenije je lahko poleg subjekta nadzora in oseb iz prejšnjega odstavka tudi oseba, ki jo Banka Slovenije na podlagi zahteve subjekta nadzora povabi k sodelovanju v postopku, če ugotovi, da utegne biti pravni interes te osebe z ukrepom nadzora prizadet. Oseba, ki je v skladu s tem odstavkom upravičena sodelovati v postopku izdaje ukrepa nadzora, lahko daj</w:t>
      </w:r>
      <w:r w:rsidR="00E94559" w:rsidRPr="00215B2F">
        <w:rPr>
          <w:rFonts w:ascii="Arial" w:eastAsia="Arial" w:hAnsi="Arial" w:cs="Arial"/>
          <w:sz w:val="20"/>
          <w:szCs w:val="20"/>
        </w:rPr>
        <w:t>e</w:t>
      </w:r>
      <w:r w:rsidRPr="00215B2F">
        <w:rPr>
          <w:rFonts w:ascii="Arial" w:eastAsia="Arial" w:hAnsi="Arial" w:cs="Arial"/>
          <w:sz w:val="20"/>
          <w:szCs w:val="20"/>
        </w:rPr>
        <w:t xml:space="preserve"> pisne izjave in predlaga dokaze, ni pa upravičena samostojno opravljati drugih procesnih dejanj do izdaje akta Banke Slovenije, s katerim se izreče ukrep nadzora.</w:t>
      </w:r>
    </w:p>
    <w:p w14:paraId="5E870D7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E1D318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V postopku nadzora in postopku izdaje ukrepa nadzora se glede udeležencev ne uporabljajo določbe 43., 44., 45., 142. in 143. člena ZUP.</w:t>
      </w:r>
    </w:p>
    <w:p w14:paraId="33D5F69A" w14:textId="77777777" w:rsidR="00E94559" w:rsidRPr="00215B2F" w:rsidRDefault="00E94559" w:rsidP="00FD5520">
      <w:pPr>
        <w:shd w:val="clear" w:color="auto" w:fill="FFFFFF" w:themeFill="background1"/>
        <w:spacing w:after="0" w:line="240" w:lineRule="auto"/>
        <w:jc w:val="both"/>
        <w:rPr>
          <w:rFonts w:ascii="Arial" w:eastAsia="Arial" w:hAnsi="Arial" w:cs="Arial"/>
          <w:sz w:val="20"/>
          <w:szCs w:val="20"/>
        </w:rPr>
      </w:pPr>
    </w:p>
    <w:p w14:paraId="4102D074" w14:textId="0A1096F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Za osebe iz drugega, tretjega in četrtega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se glede pregleda dokumentov v zadevi in dostopa do zaupnih informacij in zaupnih podatkov uporablja </w:t>
      </w:r>
      <w:r w:rsidR="004B5768" w:rsidRPr="00215B2F">
        <w:rPr>
          <w:rFonts w:ascii="Arial" w:eastAsia="Arial" w:hAnsi="Arial" w:cs="Arial"/>
          <w:sz w:val="20"/>
          <w:szCs w:val="20"/>
        </w:rPr>
        <w:t>451</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 xml:space="preserve">. Akti, izdani v postopku izdaje ukrepa nadzora, se tem osebam vročijo </w:t>
      </w:r>
      <w:r w:rsidR="00E94559" w:rsidRPr="00215B2F">
        <w:rPr>
          <w:rFonts w:ascii="Arial" w:eastAsia="Arial" w:hAnsi="Arial" w:cs="Arial"/>
          <w:sz w:val="20"/>
          <w:szCs w:val="20"/>
        </w:rPr>
        <w:t>tako</w:t>
      </w:r>
      <w:r w:rsidRPr="00215B2F">
        <w:rPr>
          <w:rFonts w:ascii="Arial" w:eastAsia="Arial" w:hAnsi="Arial" w:cs="Arial"/>
          <w:sz w:val="20"/>
          <w:szCs w:val="20"/>
        </w:rPr>
        <w:t>, da se podatki in informacije, ki jih ta oseba ni upravičena pridobiti, prekrijejo.</w:t>
      </w:r>
    </w:p>
    <w:p w14:paraId="2403D11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178A510"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34" w:name="_Ref202968519"/>
      <w:r w:rsidRPr="00215B2F">
        <w:rPr>
          <w:rFonts w:ascii="Arial" w:eastAsia="Arial" w:hAnsi="Arial" w:cs="Arial"/>
          <w:b/>
          <w:bCs/>
          <w:sz w:val="20"/>
          <w:szCs w:val="20"/>
        </w:rPr>
        <w:t>člen</w:t>
      </w:r>
      <w:bookmarkEnd w:id="534"/>
    </w:p>
    <w:p w14:paraId="45C29D4A"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(vodenje postopka in izrekanje ukrepov nadzora)</w:t>
      </w:r>
    </w:p>
    <w:p w14:paraId="561908B5"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196FE60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vodi postopek nadzora in izreka ukrepe nadzora po uradni dolžnosti.</w:t>
      </w:r>
    </w:p>
    <w:p w14:paraId="74D7EE4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ADC4CC5" w14:textId="397CC51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začne postopek nadzora nad drugo osebo iz 12.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na podlagi prijave tržnega inšpektorja oziroma drugega pristojnega državnega organa, po uradni dolžnosti pa takrat, kadar iz informacij, ki jih pridobi pri opravljanju nadzora nad bankami ali v zvezi z izvrševanjem svojih </w:t>
      </w:r>
      <w:r w:rsidR="00E94559" w:rsidRPr="00215B2F">
        <w:rPr>
          <w:rFonts w:ascii="Arial" w:eastAsia="Arial" w:hAnsi="Arial" w:cs="Arial"/>
          <w:sz w:val="20"/>
          <w:szCs w:val="20"/>
        </w:rPr>
        <w:t xml:space="preserve">drugih </w:t>
      </w:r>
      <w:r w:rsidRPr="00215B2F">
        <w:rPr>
          <w:rFonts w:ascii="Arial" w:eastAsia="Arial" w:hAnsi="Arial" w:cs="Arial"/>
          <w:sz w:val="20"/>
          <w:szCs w:val="20"/>
        </w:rPr>
        <w:t>pristojnosti, izhaja, da obstajajo razlogi za tak nadzor.</w:t>
      </w:r>
    </w:p>
    <w:p w14:paraId="704E7D7B" w14:textId="77777777" w:rsidR="005A6F6E" w:rsidRPr="00215B2F" w:rsidRDefault="005A6F6E" w:rsidP="00FD5520">
      <w:pPr>
        <w:shd w:val="clear" w:color="auto" w:fill="FFFFFF" w:themeFill="background1"/>
        <w:spacing w:after="0" w:line="240" w:lineRule="auto"/>
        <w:jc w:val="both"/>
        <w:rPr>
          <w:rFonts w:ascii="Arial" w:eastAsia="Arial" w:hAnsi="Arial" w:cs="Arial"/>
          <w:sz w:val="20"/>
          <w:szCs w:val="20"/>
        </w:rPr>
      </w:pPr>
    </w:p>
    <w:p w14:paraId="1079DF89" w14:textId="02A10BA0" w:rsidR="00D91782" w:rsidRPr="00215B2F" w:rsidRDefault="005A6F6E"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16</w:t>
      </w:r>
      <w:r w:rsidR="00D91782" w:rsidRPr="00215B2F">
        <w:rPr>
          <w:rFonts w:ascii="Arial" w:eastAsia="Arial" w:hAnsi="Arial" w:cs="Arial"/>
          <w:i/>
          <w:iCs/>
          <w:sz w:val="20"/>
          <w:szCs w:val="20"/>
        </w:rPr>
        <w:t>.3.2 Odredba</w:t>
      </w:r>
    </w:p>
    <w:p w14:paraId="2E814690" w14:textId="77777777" w:rsidR="00D91782" w:rsidRPr="00215B2F" w:rsidRDefault="00D91782" w:rsidP="00FD5520">
      <w:pPr>
        <w:shd w:val="clear" w:color="auto" w:fill="FFFFFF" w:themeFill="background1"/>
        <w:spacing w:after="0" w:line="240" w:lineRule="auto"/>
        <w:jc w:val="both"/>
        <w:rPr>
          <w:rFonts w:ascii="Arial" w:eastAsia="Arial" w:hAnsi="Arial" w:cs="Arial"/>
          <w:i/>
          <w:iCs/>
          <w:sz w:val="20"/>
          <w:szCs w:val="20"/>
        </w:rPr>
      </w:pPr>
    </w:p>
    <w:p w14:paraId="307CDA34"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35" w:name="_Ref202968525"/>
      <w:r w:rsidRPr="00215B2F">
        <w:rPr>
          <w:rFonts w:ascii="Arial" w:eastAsia="Arial" w:hAnsi="Arial" w:cs="Arial"/>
          <w:b/>
          <w:bCs/>
          <w:sz w:val="20"/>
          <w:szCs w:val="20"/>
        </w:rPr>
        <w:t>člen</w:t>
      </w:r>
      <w:bookmarkEnd w:id="535"/>
    </w:p>
    <w:p w14:paraId="67587156"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(uporaba določb o odredbi)</w:t>
      </w:r>
    </w:p>
    <w:p w14:paraId="4700DB17"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06E1DBF3" w14:textId="7747A28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536" w:name="_Hlk203571859"/>
      <w:r w:rsidRPr="00215B2F">
        <w:rPr>
          <w:rFonts w:ascii="Arial" w:eastAsia="Arial" w:hAnsi="Arial" w:cs="Arial"/>
          <w:sz w:val="20"/>
          <w:szCs w:val="20"/>
        </w:rPr>
        <w:t>Določbe tega pod</w:t>
      </w:r>
      <w:r w:rsidR="005B0CC7" w:rsidRPr="00215B2F">
        <w:rPr>
          <w:rFonts w:ascii="Arial" w:eastAsia="Arial" w:hAnsi="Arial" w:cs="Arial"/>
          <w:sz w:val="20"/>
          <w:szCs w:val="20"/>
        </w:rPr>
        <w:t>o</w:t>
      </w:r>
      <w:r w:rsidR="001F2C7A" w:rsidRPr="00215B2F">
        <w:rPr>
          <w:rFonts w:ascii="Arial" w:eastAsia="Arial" w:hAnsi="Arial" w:cs="Arial"/>
          <w:sz w:val="20"/>
          <w:szCs w:val="20"/>
        </w:rPr>
        <w:t>ddelka</w:t>
      </w:r>
      <w:r w:rsidRPr="00215B2F">
        <w:rPr>
          <w:rFonts w:ascii="Arial" w:eastAsia="Arial" w:hAnsi="Arial" w:cs="Arial"/>
          <w:sz w:val="20"/>
          <w:szCs w:val="20"/>
        </w:rPr>
        <w:t xml:space="preserve"> se uporabljajo, kadar ta zakon določa, da Banka Slovenije odloča z odredbo, razen če je za </w:t>
      </w:r>
      <w:r w:rsidR="00E94559" w:rsidRPr="00215B2F">
        <w:rPr>
          <w:rFonts w:ascii="Arial" w:eastAsia="Arial" w:hAnsi="Arial" w:cs="Arial"/>
          <w:sz w:val="20"/>
          <w:szCs w:val="20"/>
        </w:rPr>
        <w:t>posamez</w:t>
      </w:r>
      <w:r w:rsidRPr="00215B2F">
        <w:rPr>
          <w:rFonts w:ascii="Arial" w:eastAsia="Arial" w:hAnsi="Arial" w:cs="Arial"/>
          <w:sz w:val="20"/>
          <w:szCs w:val="20"/>
        </w:rPr>
        <w:t>no odredbo v tem zakonu določeno drugače.</w:t>
      </w:r>
    </w:p>
    <w:bookmarkEnd w:id="536"/>
    <w:p w14:paraId="21BF9D8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F0BB40A"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37" w:name="_Ref202968545"/>
      <w:r w:rsidRPr="00215B2F">
        <w:rPr>
          <w:rFonts w:ascii="Arial" w:eastAsia="Arial" w:hAnsi="Arial" w:cs="Arial"/>
          <w:b/>
          <w:bCs/>
          <w:sz w:val="20"/>
          <w:szCs w:val="20"/>
        </w:rPr>
        <w:t>člen</w:t>
      </w:r>
      <w:bookmarkEnd w:id="537"/>
    </w:p>
    <w:p w14:paraId="0F71CA36"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(vsebina odredbe)</w:t>
      </w:r>
    </w:p>
    <w:p w14:paraId="1B67375C"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61C391AC" w14:textId="6A4F160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Izrek odredbe mora </w:t>
      </w:r>
      <w:r w:rsidR="00E9444E" w:rsidRPr="00215B2F">
        <w:rPr>
          <w:rFonts w:ascii="Arial" w:eastAsia="Arial" w:hAnsi="Arial" w:cs="Arial"/>
          <w:sz w:val="20"/>
          <w:szCs w:val="20"/>
        </w:rPr>
        <w:t>vključevati</w:t>
      </w:r>
      <w:r w:rsidRPr="00215B2F">
        <w:rPr>
          <w:rFonts w:ascii="Arial" w:eastAsia="Arial" w:hAnsi="Arial" w:cs="Arial"/>
          <w:sz w:val="20"/>
          <w:szCs w:val="20"/>
        </w:rPr>
        <w:t>:</w:t>
      </w:r>
    </w:p>
    <w:p w14:paraId="26B857B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AAEFAC0" w14:textId="6DC8F1AB" w:rsidR="0018349C" w:rsidRPr="00215B2F" w:rsidRDefault="00D91782" w:rsidP="003D4DE0">
      <w:pPr>
        <w:pStyle w:val="tevilnatoka"/>
        <w:numPr>
          <w:ilvl w:val="0"/>
          <w:numId w:val="289"/>
        </w:numPr>
        <w:shd w:val="clear" w:color="auto" w:fill="FFFFFF" w:themeFill="background1"/>
        <w:tabs>
          <w:tab w:val="clear" w:pos="425"/>
        </w:tabs>
        <w:rPr>
          <w:rFonts w:cs="Arial"/>
          <w:bCs/>
          <w:sz w:val="20"/>
          <w:szCs w:val="20"/>
        </w:rPr>
      </w:pPr>
      <w:r w:rsidRPr="00215B2F">
        <w:rPr>
          <w:rFonts w:eastAsia="Arial" w:cs="Arial"/>
          <w:sz w:val="20"/>
          <w:szCs w:val="20"/>
        </w:rPr>
        <w:t>opis kršitev, katerih odprava je z odredbo naložena;</w:t>
      </w:r>
    </w:p>
    <w:p w14:paraId="031F4C9A" w14:textId="77777777" w:rsidR="0018349C" w:rsidRPr="00215B2F" w:rsidRDefault="00D91782" w:rsidP="003D4DE0">
      <w:pPr>
        <w:pStyle w:val="tevilnatoka"/>
        <w:numPr>
          <w:ilvl w:val="0"/>
          <w:numId w:val="289"/>
        </w:numPr>
        <w:shd w:val="clear" w:color="auto" w:fill="FFFFFF" w:themeFill="background1"/>
        <w:tabs>
          <w:tab w:val="clear" w:pos="425"/>
        </w:tabs>
        <w:rPr>
          <w:rFonts w:cs="Arial"/>
          <w:bCs/>
          <w:sz w:val="20"/>
          <w:szCs w:val="20"/>
        </w:rPr>
      </w:pPr>
      <w:r w:rsidRPr="00215B2F">
        <w:rPr>
          <w:rFonts w:eastAsia="Arial" w:cs="Arial"/>
          <w:sz w:val="20"/>
          <w:szCs w:val="20"/>
        </w:rPr>
        <w:t>rok, v katerem mora subjekt nadzora odpraviti kršitve in predložiti poročilo o odpravi kršitev;</w:t>
      </w:r>
    </w:p>
    <w:p w14:paraId="1416C194" w14:textId="2FE57F26" w:rsidR="0018349C" w:rsidRPr="00215B2F" w:rsidRDefault="00D91782" w:rsidP="003D4DE0">
      <w:pPr>
        <w:pStyle w:val="tevilnatoka"/>
        <w:numPr>
          <w:ilvl w:val="0"/>
          <w:numId w:val="289"/>
        </w:numPr>
        <w:shd w:val="clear" w:color="auto" w:fill="FFFFFF" w:themeFill="background1"/>
        <w:tabs>
          <w:tab w:val="clear" w:pos="425"/>
        </w:tabs>
        <w:rPr>
          <w:rFonts w:cs="Arial"/>
          <w:bCs/>
          <w:sz w:val="20"/>
          <w:szCs w:val="20"/>
        </w:rPr>
      </w:pPr>
      <w:r w:rsidRPr="00215B2F">
        <w:rPr>
          <w:rFonts w:eastAsia="Arial" w:cs="Arial"/>
          <w:sz w:val="20"/>
          <w:szCs w:val="20"/>
        </w:rPr>
        <w:t>način odprave kršitve, kadar Banka Slovenije subjektu nadzora naloži dodatne ukrepe, s katerimi se kršitve odpravijo na določen</w:t>
      </w:r>
      <w:r w:rsidR="00E94559" w:rsidRPr="00215B2F">
        <w:rPr>
          <w:rFonts w:eastAsia="Arial" w:cs="Arial"/>
          <w:sz w:val="20"/>
          <w:szCs w:val="20"/>
        </w:rPr>
        <w:t>i</w:t>
      </w:r>
      <w:r w:rsidRPr="00215B2F">
        <w:rPr>
          <w:rFonts w:eastAsia="Arial" w:cs="Arial"/>
          <w:sz w:val="20"/>
          <w:szCs w:val="20"/>
        </w:rPr>
        <w:t xml:space="preserve"> način;</w:t>
      </w:r>
    </w:p>
    <w:p w14:paraId="191CC4D4" w14:textId="700F3FFD" w:rsidR="00D91782" w:rsidRPr="00215B2F" w:rsidRDefault="00D91782" w:rsidP="003D4DE0">
      <w:pPr>
        <w:pStyle w:val="tevilnatoka"/>
        <w:numPr>
          <w:ilvl w:val="0"/>
          <w:numId w:val="289"/>
        </w:numPr>
        <w:shd w:val="clear" w:color="auto" w:fill="FFFFFF" w:themeFill="background1"/>
        <w:tabs>
          <w:tab w:val="clear" w:pos="425"/>
        </w:tabs>
        <w:rPr>
          <w:rFonts w:cs="Arial"/>
          <w:bCs/>
          <w:sz w:val="20"/>
          <w:szCs w:val="20"/>
        </w:rPr>
      </w:pPr>
      <w:r w:rsidRPr="00215B2F">
        <w:rPr>
          <w:rFonts w:eastAsia="Arial" w:cs="Arial"/>
          <w:sz w:val="20"/>
          <w:szCs w:val="20"/>
        </w:rPr>
        <w:t>listine oziroma dokaze o odpravi kršitev, kadar Banka Slovenije subjektu nadzora naloži, da o odpravi kršitev predloži določene listine oziroma druge dokaze.</w:t>
      </w:r>
    </w:p>
    <w:p w14:paraId="7FB7B2C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552A495"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38" w:name="_Ref202968551"/>
      <w:r w:rsidRPr="00215B2F">
        <w:rPr>
          <w:rFonts w:ascii="Arial" w:eastAsia="Arial" w:hAnsi="Arial" w:cs="Arial"/>
          <w:b/>
          <w:bCs/>
          <w:sz w:val="20"/>
          <w:szCs w:val="20"/>
        </w:rPr>
        <w:t>člen</w:t>
      </w:r>
      <w:bookmarkEnd w:id="538"/>
    </w:p>
    <w:p w14:paraId="7C701AD5"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(ugovor proti odredbi)</w:t>
      </w:r>
    </w:p>
    <w:p w14:paraId="73C25257"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00DDC247" w14:textId="7A7DD85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Proti odredbi ima</w:t>
      </w:r>
      <w:r w:rsidR="00E94559" w:rsidRPr="00215B2F">
        <w:rPr>
          <w:rFonts w:ascii="Arial" w:eastAsia="Arial" w:hAnsi="Arial" w:cs="Arial"/>
          <w:sz w:val="20"/>
          <w:szCs w:val="20"/>
        </w:rPr>
        <w:t>ta</w:t>
      </w:r>
      <w:r w:rsidRPr="00215B2F">
        <w:rPr>
          <w:rFonts w:ascii="Arial" w:eastAsia="Arial" w:hAnsi="Arial" w:cs="Arial"/>
          <w:sz w:val="20"/>
          <w:szCs w:val="20"/>
        </w:rPr>
        <w:t xml:space="preserve"> subjekt nadzora in druga oseba, ki je v skladu s tem zakonom sodelovala v postopku izdaje ukrepa nadzora, pravico vložiti ugovor v osmih dneh od vročitve.</w:t>
      </w:r>
    </w:p>
    <w:p w14:paraId="5672DC3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F76C2D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Če je upravičena oseba pravočasno vložila ugovor, se rok za odpravo kršitev, določen z odredbo, podaljša za čas od vložitve ugovora do vročitve odločbe o ugovoru.</w:t>
      </w:r>
    </w:p>
    <w:p w14:paraId="5A1E3C8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505C3C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Ne glede na prejšnji odstavek lahko Banka Slovenije z odredbo odloči, da ugovor ne zadrži izvršitve, če zaradi narave kršitve z izvršitvijo odredbe ni mogoče odlašati.</w:t>
      </w:r>
    </w:p>
    <w:p w14:paraId="5934082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C2A753F"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39" w:name="_Ref202968559"/>
      <w:r w:rsidRPr="00215B2F">
        <w:rPr>
          <w:rFonts w:ascii="Arial" w:eastAsia="Arial" w:hAnsi="Arial" w:cs="Arial"/>
          <w:b/>
          <w:bCs/>
          <w:sz w:val="20"/>
          <w:szCs w:val="20"/>
        </w:rPr>
        <w:t>člen</w:t>
      </w:r>
      <w:bookmarkEnd w:id="539"/>
    </w:p>
    <w:p w14:paraId="237E3E87"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(razlogi za ugovor)</w:t>
      </w:r>
    </w:p>
    <w:p w14:paraId="3D317EEF"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2EDF720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Ugovor je dopusten, če:</w:t>
      </w:r>
    </w:p>
    <w:p w14:paraId="4D25B91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174B88C" w14:textId="0B62E95C" w:rsidR="0018349C" w:rsidRPr="00215B2F" w:rsidRDefault="00D91782" w:rsidP="003D4DE0">
      <w:pPr>
        <w:pStyle w:val="tevilnatoka"/>
        <w:numPr>
          <w:ilvl w:val="0"/>
          <w:numId w:val="290"/>
        </w:numPr>
        <w:shd w:val="clear" w:color="auto" w:fill="FFFFFF" w:themeFill="background1"/>
        <w:tabs>
          <w:tab w:val="clear" w:pos="425"/>
        </w:tabs>
        <w:rPr>
          <w:rFonts w:cs="Arial"/>
          <w:bCs/>
          <w:sz w:val="20"/>
          <w:szCs w:val="20"/>
        </w:rPr>
      </w:pPr>
      <w:r w:rsidRPr="00215B2F">
        <w:rPr>
          <w:rFonts w:eastAsia="Arial" w:cs="Arial"/>
          <w:sz w:val="20"/>
          <w:szCs w:val="20"/>
        </w:rPr>
        <w:t xml:space="preserve">kršitev, katere odprava je z odredbo naložena, ni </w:t>
      </w:r>
      <w:r w:rsidR="0012782F" w:rsidRPr="00215B2F">
        <w:rPr>
          <w:rFonts w:eastAsia="Arial" w:cs="Arial"/>
          <w:sz w:val="20"/>
          <w:szCs w:val="20"/>
        </w:rPr>
        <w:t>podana</w:t>
      </w:r>
      <w:r w:rsidRPr="00215B2F">
        <w:rPr>
          <w:rFonts w:eastAsia="Arial" w:cs="Arial"/>
          <w:sz w:val="20"/>
          <w:szCs w:val="20"/>
        </w:rPr>
        <w:t>;</w:t>
      </w:r>
    </w:p>
    <w:p w14:paraId="68905969" w14:textId="5F0F048F" w:rsidR="0018349C" w:rsidRPr="00215B2F" w:rsidRDefault="00D91782" w:rsidP="003D4DE0">
      <w:pPr>
        <w:pStyle w:val="tevilnatoka"/>
        <w:numPr>
          <w:ilvl w:val="0"/>
          <w:numId w:val="290"/>
        </w:numPr>
        <w:shd w:val="clear" w:color="auto" w:fill="FFFFFF" w:themeFill="background1"/>
        <w:tabs>
          <w:tab w:val="clear" w:pos="425"/>
        </w:tabs>
        <w:rPr>
          <w:rFonts w:cs="Arial"/>
          <w:bCs/>
          <w:sz w:val="20"/>
          <w:szCs w:val="20"/>
        </w:rPr>
      </w:pPr>
      <w:r w:rsidRPr="00215B2F">
        <w:rPr>
          <w:rFonts w:eastAsia="Arial" w:cs="Arial"/>
          <w:sz w:val="20"/>
          <w:szCs w:val="20"/>
        </w:rPr>
        <w:t>dejanje oziroma opustitev, ki je bilo</w:t>
      </w:r>
      <w:r w:rsidR="00E94559" w:rsidRPr="00215B2F">
        <w:rPr>
          <w:rFonts w:eastAsia="Arial" w:cs="Arial"/>
          <w:sz w:val="20"/>
          <w:szCs w:val="20"/>
        </w:rPr>
        <w:t xml:space="preserve"> oziroma bila</w:t>
      </w:r>
      <w:r w:rsidRPr="00215B2F">
        <w:rPr>
          <w:rFonts w:eastAsia="Arial" w:cs="Arial"/>
          <w:sz w:val="20"/>
          <w:szCs w:val="20"/>
        </w:rPr>
        <w:t xml:space="preserve"> razlog za izdajo odredbe, nima znakov kršitve;</w:t>
      </w:r>
    </w:p>
    <w:p w14:paraId="141442F5" w14:textId="77777777" w:rsidR="0018349C" w:rsidRPr="00215B2F" w:rsidRDefault="00D91782" w:rsidP="003D4DE0">
      <w:pPr>
        <w:pStyle w:val="tevilnatoka"/>
        <w:numPr>
          <w:ilvl w:val="0"/>
          <w:numId w:val="290"/>
        </w:numPr>
        <w:shd w:val="clear" w:color="auto" w:fill="FFFFFF" w:themeFill="background1"/>
        <w:tabs>
          <w:tab w:val="clear" w:pos="425"/>
        </w:tabs>
        <w:rPr>
          <w:rFonts w:cs="Arial"/>
          <w:bCs/>
          <w:sz w:val="20"/>
          <w:szCs w:val="20"/>
        </w:rPr>
      </w:pPr>
      <w:r w:rsidRPr="00215B2F">
        <w:rPr>
          <w:rFonts w:eastAsia="Arial" w:cs="Arial"/>
          <w:sz w:val="20"/>
          <w:szCs w:val="20"/>
        </w:rPr>
        <w:t>odredbe ni mogoče izvršiti ali je ni mogoče izvršiti v roku ali na način, določen z odredbo;</w:t>
      </w:r>
    </w:p>
    <w:p w14:paraId="28FF717B" w14:textId="5B483FE4" w:rsidR="0018349C" w:rsidRPr="00215B2F" w:rsidRDefault="00D91782" w:rsidP="003D4DE0">
      <w:pPr>
        <w:pStyle w:val="tevilnatoka"/>
        <w:numPr>
          <w:ilvl w:val="0"/>
          <w:numId w:val="290"/>
        </w:numPr>
        <w:shd w:val="clear" w:color="auto" w:fill="FFFFFF" w:themeFill="background1"/>
        <w:tabs>
          <w:tab w:val="clear" w:pos="425"/>
        </w:tabs>
        <w:rPr>
          <w:rFonts w:cs="Arial"/>
          <w:bCs/>
          <w:sz w:val="20"/>
          <w:szCs w:val="20"/>
        </w:rPr>
      </w:pPr>
      <w:r w:rsidRPr="00215B2F">
        <w:rPr>
          <w:rFonts w:eastAsia="Arial" w:cs="Arial"/>
          <w:sz w:val="20"/>
          <w:szCs w:val="20"/>
        </w:rPr>
        <w:t>bi izvršitev odredbe povzročila kako dejanje, ki je v nasprotju s prisilnimi predpisi;</w:t>
      </w:r>
    </w:p>
    <w:p w14:paraId="04DD72C8" w14:textId="77777777" w:rsidR="0018349C" w:rsidRPr="00215B2F" w:rsidRDefault="00D91782" w:rsidP="003D4DE0">
      <w:pPr>
        <w:pStyle w:val="tevilnatoka"/>
        <w:numPr>
          <w:ilvl w:val="0"/>
          <w:numId w:val="290"/>
        </w:numPr>
        <w:shd w:val="clear" w:color="auto" w:fill="FFFFFF" w:themeFill="background1"/>
        <w:tabs>
          <w:tab w:val="clear" w:pos="425"/>
        </w:tabs>
        <w:rPr>
          <w:rFonts w:cs="Arial"/>
          <w:bCs/>
          <w:sz w:val="20"/>
          <w:szCs w:val="20"/>
        </w:rPr>
      </w:pPr>
      <w:r w:rsidRPr="00215B2F">
        <w:rPr>
          <w:rFonts w:eastAsia="Arial" w:cs="Arial"/>
          <w:sz w:val="20"/>
          <w:szCs w:val="20"/>
        </w:rPr>
        <w:t>je bila z odredbo naložena odprava kršitev osebi, nad katero Banka Slovenije ni pristojna opravljati nadzora;</w:t>
      </w:r>
    </w:p>
    <w:p w14:paraId="6B2EF729" w14:textId="7DC7E1D2" w:rsidR="0018349C" w:rsidRPr="00215B2F" w:rsidRDefault="00D91782" w:rsidP="003D4DE0">
      <w:pPr>
        <w:pStyle w:val="tevilnatoka"/>
        <w:numPr>
          <w:ilvl w:val="0"/>
          <w:numId w:val="290"/>
        </w:numPr>
        <w:shd w:val="clear" w:color="auto" w:fill="FFFFFF" w:themeFill="background1"/>
        <w:tabs>
          <w:tab w:val="clear" w:pos="425"/>
        </w:tabs>
        <w:rPr>
          <w:rFonts w:cs="Arial"/>
          <w:bCs/>
          <w:sz w:val="20"/>
          <w:szCs w:val="20"/>
        </w:rPr>
      </w:pPr>
      <w:r w:rsidRPr="00215B2F">
        <w:rPr>
          <w:rFonts w:eastAsia="Arial" w:cs="Arial"/>
          <w:sz w:val="20"/>
          <w:szCs w:val="20"/>
        </w:rPr>
        <w:t>je v odredbi zmotno ali nepopolno ugotovljeno dejansko stanje ali</w:t>
      </w:r>
    </w:p>
    <w:p w14:paraId="674237D9" w14:textId="0AFBEFDF" w:rsidR="00D91782" w:rsidRPr="00215B2F" w:rsidRDefault="00D91782" w:rsidP="003D4DE0">
      <w:pPr>
        <w:pStyle w:val="tevilnatoka"/>
        <w:numPr>
          <w:ilvl w:val="0"/>
          <w:numId w:val="290"/>
        </w:numPr>
        <w:shd w:val="clear" w:color="auto" w:fill="FFFFFF" w:themeFill="background1"/>
        <w:tabs>
          <w:tab w:val="clear" w:pos="425"/>
        </w:tabs>
        <w:rPr>
          <w:rFonts w:cs="Arial"/>
          <w:bCs/>
          <w:sz w:val="20"/>
          <w:szCs w:val="20"/>
        </w:rPr>
      </w:pPr>
      <w:r w:rsidRPr="00215B2F">
        <w:rPr>
          <w:rFonts w:eastAsia="Arial" w:cs="Arial"/>
          <w:sz w:val="20"/>
          <w:szCs w:val="20"/>
        </w:rPr>
        <w:t xml:space="preserve">je </w:t>
      </w:r>
      <w:r w:rsidR="00B110D1" w:rsidRPr="00215B2F">
        <w:rPr>
          <w:rFonts w:eastAsia="Arial" w:cs="Arial"/>
          <w:sz w:val="20"/>
          <w:szCs w:val="20"/>
        </w:rPr>
        <w:t xml:space="preserve">podana </w:t>
      </w:r>
      <w:r w:rsidRPr="00215B2F">
        <w:rPr>
          <w:rFonts w:eastAsia="Arial" w:cs="Arial"/>
          <w:sz w:val="20"/>
          <w:szCs w:val="20"/>
        </w:rPr>
        <w:t>kršitev pravil postopka.</w:t>
      </w:r>
    </w:p>
    <w:p w14:paraId="7265680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755D45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Za bistveno kršitev pravil postopka se po tem zakonu šteje, če:</w:t>
      </w:r>
    </w:p>
    <w:p w14:paraId="72BF5C1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36A8AEB" w14:textId="77777777" w:rsidR="0018349C" w:rsidRPr="00215B2F" w:rsidRDefault="00D91782" w:rsidP="003D4DE0">
      <w:pPr>
        <w:pStyle w:val="tevilnatoka"/>
        <w:numPr>
          <w:ilvl w:val="0"/>
          <w:numId w:val="291"/>
        </w:numPr>
        <w:shd w:val="clear" w:color="auto" w:fill="FFFFFF" w:themeFill="background1"/>
        <w:tabs>
          <w:tab w:val="clear" w:pos="425"/>
        </w:tabs>
        <w:rPr>
          <w:rFonts w:cs="Arial"/>
          <w:bCs/>
          <w:sz w:val="20"/>
          <w:szCs w:val="20"/>
        </w:rPr>
      </w:pPr>
      <w:r w:rsidRPr="00215B2F">
        <w:rPr>
          <w:rFonts w:eastAsia="Arial" w:cs="Arial"/>
          <w:sz w:val="20"/>
          <w:szCs w:val="20"/>
        </w:rPr>
        <w:t>je odredbo izdala oseba ali organ Banke Slovenije, ki ni pristojen za izdajo odredbe;</w:t>
      </w:r>
    </w:p>
    <w:p w14:paraId="267BD3AC" w14:textId="77777777" w:rsidR="0018349C" w:rsidRPr="00215B2F" w:rsidRDefault="00D91782" w:rsidP="003D4DE0">
      <w:pPr>
        <w:pStyle w:val="tevilnatoka"/>
        <w:numPr>
          <w:ilvl w:val="0"/>
          <w:numId w:val="291"/>
        </w:numPr>
        <w:shd w:val="clear" w:color="auto" w:fill="FFFFFF" w:themeFill="background1"/>
        <w:tabs>
          <w:tab w:val="clear" w:pos="425"/>
        </w:tabs>
        <w:rPr>
          <w:rFonts w:cs="Arial"/>
          <w:bCs/>
          <w:sz w:val="20"/>
          <w:szCs w:val="20"/>
        </w:rPr>
      </w:pPr>
      <w:r w:rsidRPr="00215B2F">
        <w:rPr>
          <w:rFonts w:eastAsia="Arial" w:cs="Arial"/>
          <w:sz w:val="20"/>
          <w:szCs w:val="20"/>
        </w:rPr>
        <w:t>je kot stranka nastopal nekdo, ki ni subjekt nadzora;</w:t>
      </w:r>
    </w:p>
    <w:p w14:paraId="43BDCD3A" w14:textId="43F36DAA" w:rsidR="0018349C" w:rsidRPr="00215B2F" w:rsidRDefault="00D91782" w:rsidP="003D4DE0">
      <w:pPr>
        <w:pStyle w:val="tevilnatoka"/>
        <w:numPr>
          <w:ilvl w:val="0"/>
          <w:numId w:val="291"/>
        </w:numPr>
        <w:shd w:val="clear" w:color="auto" w:fill="FFFFFF" w:themeFill="background1"/>
        <w:tabs>
          <w:tab w:val="clear" w:pos="425"/>
        </w:tabs>
        <w:rPr>
          <w:rFonts w:cs="Arial"/>
          <w:bCs/>
          <w:sz w:val="20"/>
          <w:szCs w:val="20"/>
        </w:rPr>
      </w:pPr>
      <w:r w:rsidRPr="00215B2F">
        <w:rPr>
          <w:rFonts w:eastAsia="Arial" w:cs="Arial"/>
          <w:sz w:val="20"/>
          <w:szCs w:val="20"/>
        </w:rPr>
        <w:t>je pri odločanju ali vodenju postopka sodelovala oseba, ki bi po zakonu morala biti izločena</w:t>
      </w:r>
      <w:r w:rsidR="00E94559" w:rsidRPr="00215B2F">
        <w:rPr>
          <w:rFonts w:eastAsia="Arial" w:cs="Arial"/>
          <w:sz w:val="20"/>
          <w:szCs w:val="20"/>
        </w:rPr>
        <w:t>,</w:t>
      </w:r>
      <w:r w:rsidRPr="00215B2F">
        <w:rPr>
          <w:rFonts w:eastAsia="Arial" w:cs="Arial"/>
          <w:sz w:val="20"/>
          <w:szCs w:val="20"/>
        </w:rPr>
        <w:t xml:space="preserve"> ali</w:t>
      </w:r>
    </w:p>
    <w:p w14:paraId="104F2A39" w14:textId="453CA712" w:rsidR="00D91782" w:rsidRPr="00215B2F" w:rsidRDefault="00D91782" w:rsidP="003D4DE0">
      <w:pPr>
        <w:pStyle w:val="tevilnatoka"/>
        <w:numPr>
          <w:ilvl w:val="0"/>
          <w:numId w:val="291"/>
        </w:numPr>
        <w:shd w:val="clear" w:color="auto" w:fill="FFFFFF" w:themeFill="background1"/>
        <w:tabs>
          <w:tab w:val="clear" w:pos="425"/>
        </w:tabs>
        <w:rPr>
          <w:rFonts w:cs="Arial"/>
          <w:bCs/>
          <w:sz w:val="20"/>
          <w:szCs w:val="20"/>
        </w:rPr>
      </w:pPr>
      <w:r w:rsidRPr="00215B2F">
        <w:rPr>
          <w:rFonts w:eastAsia="Arial" w:cs="Arial"/>
          <w:sz w:val="20"/>
          <w:szCs w:val="20"/>
        </w:rPr>
        <w:t>odredbe n</w:t>
      </w:r>
      <w:r w:rsidR="00E94559" w:rsidRPr="00215B2F">
        <w:rPr>
          <w:rFonts w:eastAsia="Arial" w:cs="Arial"/>
          <w:sz w:val="20"/>
          <w:szCs w:val="20"/>
        </w:rPr>
        <w:t>i mogoče</w:t>
      </w:r>
      <w:r w:rsidRPr="00215B2F">
        <w:rPr>
          <w:rFonts w:eastAsia="Arial" w:cs="Arial"/>
          <w:sz w:val="20"/>
          <w:szCs w:val="20"/>
        </w:rPr>
        <w:t xml:space="preserve"> preizkusiti.</w:t>
      </w:r>
    </w:p>
    <w:p w14:paraId="481373F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D54D1D4" w14:textId="036A1BD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Oseba, ki je v skladu s tem zakonom sodelovala v postopku izdaje ukrepa, </w:t>
      </w:r>
      <w:r w:rsidR="00E94559" w:rsidRPr="00215B2F">
        <w:rPr>
          <w:rFonts w:ascii="Arial" w:eastAsia="Arial" w:hAnsi="Arial" w:cs="Arial"/>
          <w:sz w:val="20"/>
          <w:szCs w:val="20"/>
        </w:rPr>
        <w:t xml:space="preserve">in </w:t>
      </w:r>
      <w:r w:rsidRPr="00215B2F">
        <w:rPr>
          <w:rFonts w:ascii="Arial" w:eastAsia="Arial" w:hAnsi="Arial" w:cs="Arial"/>
          <w:sz w:val="20"/>
          <w:szCs w:val="20"/>
        </w:rPr>
        <w:t xml:space="preserve">upravičena oseba na podlagi drugega odstavka </w:t>
      </w:r>
      <w:r w:rsidR="004B5768" w:rsidRPr="00215B2F">
        <w:rPr>
          <w:rFonts w:ascii="Arial" w:eastAsia="Arial" w:hAnsi="Arial" w:cs="Arial"/>
          <w:sz w:val="20"/>
          <w:szCs w:val="20"/>
        </w:rPr>
        <w:t>466</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lahko vloži</w:t>
      </w:r>
      <w:r w:rsidR="00E94559" w:rsidRPr="00215B2F">
        <w:rPr>
          <w:rFonts w:ascii="Arial" w:eastAsia="Arial" w:hAnsi="Arial" w:cs="Arial"/>
          <w:sz w:val="20"/>
          <w:szCs w:val="20"/>
        </w:rPr>
        <w:t>ta</w:t>
      </w:r>
      <w:r w:rsidRPr="00215B2F">
        <w:rPr>
          <w:rFonts w:ascii="Arial" w:eastAsia="Arial" w:hAnsi="Arial" w:cs="Arial"/>
          <w:sz w:val="20"/>
          <w:szCs w:val="20"/>
        </w:rPr>
        <w:t xml:space="preserve"> ugovor zoper odredbo le, če je zaradi razlogov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prizadet nj</w:t>
      </w:r>
      <w:r w:rsidR="00E94559" w:rsidRPr="00215B2F">
        <w:rPr>
          <w:rFonts w:ascii="Arial" w:eastAsia="Arial" w:hAnsi="Arial" w:cs="Arial"/>
          <w:sz w:val="20"/>
          <w:szCs w:val="20"/>
        </w:rPr>
        <w:t>u</w:t>
      </w:r>
      <w:r w:rsidRPr="00215B2F">
        <w:rPr>
          <w:rFonts w:ascii="Arial" w:eastAsia="Arial" w:hAnsi="Arial" w:cs="Arial"/>
          <w:sz w:val="20"/>
          <w:szCs w:val="20"/>
        </w:rPr>
        <w:t>n pravni interes.</w:t>
      </w:r>
    </w:p>
    <w:p w14:paraId="2A02789A"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3BD96378"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40" w:name="_Ref202968570"/>
      <w:r w:rsidRPr="00215B2F">
        <w:rPr>
          <w:rFonts w:ascii="Arial" w:eastAsia="Arial" w:hAnsi="Arial" w:cs="Arial"/>
          <w:b/>
          <w:bCs/>
          <w:sz w:val="20"/>
          <w:szCs w:val="20"/>
        </w:rPr>
        <w:t>člen</w:t>
      </w:r>
      <w:bookmarkEnd w:id="540"/>
    </w:p>
    <w:p w14:paraId="5F618AC4"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(vsebina ugovora)</w:t>
      </w:r>
    </w:p>
    <w:p w14:paraId="3C1563A9"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1B9D17CC" w14:textId="7C9888B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Ugovor mora </w:t>
      </w:r>
      <w:r w:rsidR="00B110D1" w:rsidRPr="00215B2F">
        <w:rPr>
          <w:rFonts w:ascii="Arial" w:eastAsia="Arial" w:hAnsi="Arial" w:cs="Arial"/>
          <w:sz w:val="20"/>
          <w:szCs w:val="20"/>
        </w:rPr>
        <w:t>vključevati</w:t>
      </w:r>
      <w:r w:rsidRPr="00215B2F">
        <w:rPr>
          <w:rFonts w:ascii="Arial" w:eastAsia="Arial" w:hAnsi="Arial" w:cs="Arial"/>
          <w:sz w:val="20"/>
          <w:szCs w:val="20"/>
        </w:rPr>
        <w:t>:</w:t>
      </w:r>
    </w:p>
    <w:p w14:paraId="4D9C7DD1" w14:textId="77777777" w:rsidR="000865CC" w:rsidRPr="00215B2F" w:rsidRDefault="000865CC" w:rsidP="00FD5520">
      <w:pPr>
        <w:shd w:val="clear" w:color="auto" w:fill="FFFFFF" w:themeFill="background1"/>
        <w:spacing w:after="0" w:line="240" w:lineRule="auto"/>
        <w:jc w:val="both"/>
        <w:rPr>
          <w:rFonts w:ascii="Arial" w:eastAsia="Arial" w:hAnsi="Arial" w:cs="Arial"/>
          <w:sz w:val="20"/>
          <w:szCs w:val="20"/>
        </w:rPr>
      </w:pPr>
    </w:p>
    <w:p w14:paraId="4C37FE3A" w14:textId="77777777" w:rsidR="0018349C" w:rsidRPr="00215B2F" w:rsidRDefault="00D91782" w:rsidP="003D4DE0">
      <w:pPr>
        <w:pStyle w:val="tevilnatoka"/>
        <w:numPr>
          <w:ilvl w:val="0"/>
          <w:numId w:val="292"/>
        </w:numPr>
        <w:shd w:val="clear" w:color="auto" w:fill="FFFFFF" w:themeFill="background1"/>
        <w:tabs>
          <w:tab w:val="clear" w:pos="425"/>
        </w:tabs>
        <w:rPr>
          <w:rFonts w:cs="Arial"/>
          <w:bCs/>
          <w:sz w:val="20"/>
          <w:szCs w:val="20"/>
        </w:rPr>
      </w:pPr>
      <w:r w:rsidRPr="00215B2F">
        <w:rPr>
          <w:rFonts w:eastAsia="Arial" w:cs="Arial"/>
          <w:sz w:val="20"/>
          <w:szCs w:val="20"/>
        </w:rPr>
        <w:t>navedbo odredbe, proti kateri se vlaga;</w:t>
      </w:r>
    </w:p>
    <w:p w14:paraId="6F90DF7F" w14:textId="77777777" w:rsidR="0018349C" w:rsidRPr="00215B2F" w:rsidRDefault="00D91782" w:rsidP="003D4DE0">
      <w:pPr>
        <w:pStyle w:val="tevilnatoka"/>
        <w:numPr>
          <w:ilvl w:val="0"/>
          <w:numId w:val="292"/>
        </w:numPr>
        <w:shd w:val="clear" w:color="auto" w:fill="FFFFFF" w:themeFill="background1"/>
        <w:tabs>
          <w:tab w:val="clear" w:pos="425"/>
        </w:tabs>
        <w:rPr>
          <w:rFonts w:cs="Arial"/>
          <w:bCs/>
          <w:sz w:val="20"/>
          <w:szCs w:val="20"/>
        </w:rPr>
      </w:pPr>
      <w:r w:rsidRPr="00215B2F">
        <w:rPr>
          <w:rFonts w:eastAsia="Arial" w:cs="Arial"/>
          <w:sz w:val="20"/>
          <w:szCs w:val="20"/>
        </w:rPr>
        <w:t>izjavo, da se odredba izpodbija v celoti ali v določenem delu;</w:t>
      </w:r>
    </w:p>
    <w:p w14:paraId="2851BB12" w14:textId="77777777" w:rsidR="0018349C" w:rsidRPr="00215B2F" w:rsidRDefault="00D91782" w:rsidP="003D4DE0">
      <w:pPr>
        <w:pStyle w:val="tevilnatoka"/>
        <w:numPr>
          <w:ilvl w:val="0"/>
          <w:numId w:val="292"/>
        </w:numPr>
        <w:shd w:val="clear" w:color="auto" w:fill="FFFFFF" w:themeFill="background1"/>
        <w:tabs>
          <w:tab w:val="clear" w:pos="425"/>
        </w:tabs>
        <w:rPr>
          <w:rFonts w:cs="Arial"/>
          <w:bCs/>
          <w:sz w:val="20"/>
          <w:szCs w:val="20"/>
        </w:rPr>
      </w:pPr>
      <w:r w:rsidRPr="00215B2F">
        <w:rPr>
          <w:rFonts w:eastAsia="Arial" w:cs="Arial"/>
          <w:sz w:val="20"/>
          <w:szCs w:val="20"/>
        </w:rPr>
        <w:t>razloge za ugovor;</w:t>
      </w:r>
    </w:p>
    <w:p w14:paraId="5E6A404C" w14:textId="61370D40" w:rsidR="00D91782" w:rsidRPr="00215B2F" w:rsidRDefault="00D91782" w:rsidP="003D4DE0">
      <w:pPr>
        <w:pStyle w:val="tevilnatoka"/>
        <w:numPr>
          <w:ilvl w:val="0"/>
          <w:numId w:val="292"/>
        </w:numPr>
        <w:shd w:val="clear" w:color="auto" w:fill="FFFFFF" w:themeFill="background1"/>
        <w:tabs>
          <w:tab w:val="clear" w:pos="425"/>
        </w:tabs>
        <w:rPr>
          <w:rFonts w:cs="Arial"/>
          <w:bCs/>
          <w:sz w:val="20"/>
          <w:szCs w:val="20"/>
        </w:rPr>
      </w:pPr>
      <w:r w:rsidRPr="00215B2F">
        <w:rPr>
          <w:rFonts w:eastAsia="Arial" w:cs="Arial"/>
          <w:sz w:val="20"/>
          <w:szCs w:val="20"/>
        </w:rPr>
        <w:t xml:space="preserve">druge podatke, ki jih mora </w:t>
      </w:r>
      <w:r w:rsidR="00B110D1" w:rsidRPr="00215B2F">
        <w:rPr>
          <w:rFonts w:eastAsia="Arial" w:cs="Arial"/>
          <w:sz w:val="20"/>
          <w:szCs w:val="20"/>
        </w:rPr>
        <w:t xml:space="preserve">vključevati </w:t>
      </w:r>
      <w:r w:rsidRPr="00215B2F">
        <w:rPr>
          <w:rFonts w:eastAsia="Arial" w:cs="Arial"/>
          <w:sz w:val="20"/>
          <w:szCs w:val="20"/>
        </w:rPr>
        <w:t>vsaka vloga.</w:t>
      </w:r>
    </w:p>
    <w:p w14:paraId="2D3197F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2A008A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Za odločanje o ugovoru mora vložnik plačati takso, določeno s tarifo Banke Slovenije.</w:t>
      </w:r>
    </w:p>
    <w:p w14:paraId="3079607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B766EA0" w14:textId="75679F2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V ugovoru lahko subjekt nadzora navaja dejstva, iz katerih izhaja, da kršitve, katerih odprava mu je bila z odredbo naložena, niso </w:t>
      </w:r>
      <w:r w:rsidR="00B110D1" w:rsidRPr="00215B2F">
        <w:rPr>
          <w:rFonts w:ascii="Arial" w:eastAsia="Arial" w:hAnsi="Arial" w:cs="Arial"/>
          <w:sz w:val="20"/>
          <w:szCs w:val="20"/>
        </w:rPr>
        <w:t>podane</w:t>
      </w:r>
      <w:r w:rsidRPr="00215B2F">
        <w:rPr>
          <w:rFonts w:ascii="Arial" w:eastAsia="Arial" w:hAnsi="Arial" w:cs="Arial"/>
          <w:sz w:val="20"/>
          <w:szCs w:val="20"/>
        </w:rPr>
        <w:t>, in predlaga dokaze, s katerimi dokazuje obstoj zatrjevanih dejstev. Če se subjekt nadzora v izjavi sklicuje na listinske dokaze, mora te dokaze priložiti ugovoru.</w:t>
      </w:r>
    </w:p>
    <w:p w14:paraId="497ECF3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0E0115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Če subjekt nadzora ugovoru ne priloži listinskih dokazov, se ne uporabljajo določbe o nepopolnih vlogah, temveč Banka Slovenije pri odločanju upošteva zgolj tiste dokaze, ki so priloženi ugovoru.</w:t>
      </w:r>
    </w:p>
    <w:p w14:paraId="4F066F2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4E3139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Po izteku roka za ugovor subjekt nadzora nima pravice navajati novih dejstev in predlagati novih dokazov.</w:t>
      </w:r>
    </w:p>
    <w:p w14:paraId="5674762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CE69E1F"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člen</w:t>
      </w:r>
    </w:p>
    <w:p w14:paraId="1273404A"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(meje preizkusa odredbe)</w:t>
      </w:r>
    </w:p>
    <w:p w14:paraId="6A76069C"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4CE8838F" w14:textId="3D5E992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Slovenije preizkusi odredbo v tistem delu, v katerem se</w:t>
      </w:r>
      <w:r w:rsidR="00E94559" w:rsidRPr="00215B2F">
        <w:rPr>
          <w:rFonts w:ascii="Arial" w:eastAsia="Arial" w:hAnsi="Arial" w:cs="Arial"/>
          <w:sz w:val="20"/>
          <w:szCs w:val="20"/>
        </w:rPr>
        <w:t xml:space="preserve"> ta</w:t>
      </w:r>
      <w:r w:rsidRPr="00215B2F">
        <w:rPr>
          <w:rFonts w:ascii="Arial" w:eastAsia="Arial" w:hAnsi="Arial" w:cs="Arial"/>
          <w:sz w:val="20"/>
          <w:szCs w:val="20"/>
        </w:rPr>
        <w:t xml:space="preserve"> izpodbija z ugovorom</w:t>
      </w:r>
      <w:r w:rsidR="00E94559" w:rsidRPr="00215B2F">
        <w:rPr>
          <w:rFonts w:ascii="Arial" w:eastAsia="Arial" w:hAnsi="Arial" w:cs="Arial"/>
          <w:sz w:val="20"/>
          <w:szCs w:val="20"/>
        </w:rPr>
        <w:t>,</w:t>
      </w:r>
      <w:r w:rsidRPr="00215B2F">
        <w:rPr>
          <w:rFonts w:ascii="Arial" w:eastAsia="Arial" w:hAnsi="Arial" w:cs="Arial"/>
          <w:sz w:val="20"/>
          <w:szCs w:val="20"/>
        </w:rPr>
        <w:t xml:space="preserve"> in v mejah razlogov, navedenih in obrazloženih v ugovoru.</w:t>
      </w:r>
    </w:p>
    <w:p w14:paraId="0F0BEC94"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p>
    <w:p w14:paraId="577FA542"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41" w:name="_Ref202968580"/>
      <w:r w:rsidRPr="00215B2F">
        <w:rPr>
          <w:rFonts w:ascii="Arial" w:eastAsia="Arial" w:hAnsi="Arial" w:cs="Arial"/>
          <w:b/>
          <w:bCs/>
          <w:sz w:val="20"/>
          <w:szCs w:val="20"/>
        </w:rPr>
        <w:t>člen</w:t>
      </w:r>
      <w:bookmarkEnd w:id="541"/>
    </w:p>
    <w:p w14:paraId="5ECE0ADA"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(odločanje o ugovoru)</w:t>
      </w:r>
    </w:p>
    <w:p w14:paraId="21834382"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43C1A4C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O ugovoru odloča Svet Banke Slovenije z odločbo.</w:t>
      </w:r>
    </w:p>
    <w:p w14:paraId="76DC066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1EE13D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Pri odločanju o ugovoru lahko Svet Banke Slovenije ugovor zavrže ali zavrne ali pa spremeni odredbo ali jo odpravi.</w:t>
      </w:r>
    </w:p>
    <w:p w14:paraId="557B7C4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D5B04D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Svet Banke Slovenije ugovor zavrže, če ugovor ni dovoljen, če je prepozen ali če ga je vložila neupravičena oseba.</w:t>
      </w:r>
    </w:p>
    <w:p w14:paraId="27D642B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1C940F6" w14:textId="4CB748B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Če Svet Banke Slovenije ugotovi, da je podan razlog iz 1., 2. ali 5. točke prvega odstavka </w:t>
      </w:r>
      <w:r w:rsidR="004B5768" w:rsidRPr="00215B2F">
        <w:rPr>
          <w:rFonts w:ascii="Arial" w:eastAsia="Arial" w:hAnsi="Arial" w:cs="Arial"/>
          <w:sz w:val="20"/>
          <w:szCs w:val="20"/>
        </w:rPr>
        <w:t>467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odpravi odredbo.</w:t>
      </w:r>
    </w:p>
    <w:p w14:paraId="00CE143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50ADA2D" w14:textId="2E6E248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Če Svet Banke Slovenije ugotovi, da je podan razlog iz 3., 4., 6. ali 7. točke prvega odstavka </w:t>
      </w:r>
      <w:r w:rsidR="004B5768" w:rsidRPr="00215B2F">
        <w:rPr>
          <w:rFonts w:ascii="Arial" w:eastAsia="Arial" w:hAnsi="Arial" w:cs="Arial"/>
          <w:sz w:val="20"/>
          <w:szCs w:val="20"/>
        </w:rPr>
        <w:t>467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glede na naravo kršitve odpravi odredbo ali jo spremeni.</w:t>
      </w:r>
    </w:p>
    <w:p w14:paraId="2972F322" w14:textId="77777777" w:rsidR="001011F5" w:rsidRPr="00215B2F" w:rsidRDefault="001011F5" w:rsidP="00FD5520">
      <w:pPr>
        <w:shd w:val="clear" w:color="auto" w:fill="FFFFFF" w:themeFill="background1"/>
        <w:spacing w:after="0" w:line="240" w:lineRule="auto"/>
        <w:jc w:val="both"/>
        <w:rPr>
          <w:rFonts w:ascii="Arial" w:eastAsia="Arial" w:hAnsi="Arial" w:cs="Arial"/>
          <w:sz w:val="20"/>
          <w:szCs w:val="20"/>
        </w:rPr>
      </w:pPr>
    </w:p>
    <w:p w14:paraId="7C60C1A4" w14:textId="739482E2" w:rsidR="00D91782" w:rsidRPr="00215B2F" w:rsidRDefault="005A6F6E"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16</w:t>
      </w:r>
      <w:r w:rsidR="00D91782" w:rsidRPr="00215B2F">
        <w:rPr>
          <w:rFonts w:ascii="Arial" w:eastAsia="Arial" w:hAnsi="Arial" w:cs="Arial"/>
          <w:i/>
          <w:iCs/>
          <w:sz w:val="20"/>
          <w:szCs w:val="20"/>
        </w:rPr>
        <w:t>.3.3 Odvzem dovoljenja</w:t>
      </w:r>
    </w:p>
    <w:p w14:paraId="26F1B3DB" w14:textId="77777777" w:rsidR="00D91782" w:rsidRPr="00215B2F" w:rsidRDefault="00D91782" w:rsidP="00FD5520">
      <w:pPr>
        <w:shd w:val="clear" w:color="auto" w:fill="FFFFFF" w:themeFill="background1"/>
        <w:spacing w:after="0" w:line="240" w:lineRule="auto"/>
        <w:jc w:val="both"/>
        <w:rPr>
          <w:rFonts w:ascii="Arial" w:eastAsia="Arial" w:hAnsi="Arial" w:cs="Arial"/>
          <w:i/>
          <w:iCs/>
          <w:sz w:val="20"/>
          <w:szCs w:val="20"/>
        </w:rPr>
      </w:pPr>
    </w:p>
    <w:p w14:paraId="218D9507"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42" w:name="_Ref202968585"/>
      <w:r w:rsidRPr="00215B2F">
        <w:rPr>
          <w:rFonts w:ascii="Arial" w:eastAsia="Arial" w:hAnsi="Arial" w:cs="Arial"/>
          <w:b/>
          <w:bCs/>
          <w:sz w:val="20"/>
          <w:szCs w:val="20"/>
        </w:rPr>
        <w:t>člen</w:t>
      </w:r>
      <w:bookmarkEnd w:id="542"/>
    </w:p>
    <w:p w14:paraId="0712C7D3"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(začetek postopka za odvzem dovoljenja)</w:t>
      </w:r>
    </w:p>
    <w:p w14:paraId="7688981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1403553" w14:textId="7514484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začne postopek za odvzem dovoljenja, če iz podatkov, s katerimi razpolaga, izhaja utemeljen</w:t>
      </w:r>
      <w:r w:rsidR="00F41E28" w:rsidRPr="00215B2F">
        <w:rPr>
          <w:rFonts w:ascii="Arial" w:eastAsia="Arial" w:hAnsi="Arial" w:cs="Arial"/>
          <w:sz w:val="20"/>
          <w:szCs w:val="20"/>
        </w:rPr>
        <w:t>i</w:t>
      </w:r>
      <w:r w:rsidRPr="00215B2F">
        <w:rPr>
          <w:rFonts w:ascii="Arial" w:eastAsia="Arial" w:hAnsi="Arial" w:cs="Arial"/>
          <w:sz w:val="20"/>
          <w:szCs w:val="20"/>
        </w:rPr>
        <w:t xml:space="preserve"> sum, da je podan kateri od razlogov za odvzem dovoljenja, določen s tem zakonom, razen če je za odločanje o odvzemu posameznega dovoljenja pri opravljanju nadzora nad banko v skladu z Uredbo 1024/2013/EU pristojna Evropska centralna banka.</w:t>
      </w:r>
    </w:p>
    <w:p w14:paraId="474A922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2D6F79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(2) O začetku postopka za odvzem dovoljenja odloči Banka Slovenije z odločbo (v nadaljnjem besedilu: odločba o začetku postopka za odvzem dovoljenja).</w:t>
      </w:r>
    </w:p>
    <w:p w14:paraId="5BE5C9A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976DFEC" w14:textId="0C66616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Odločba o začetku postopka za odvzem dovoljenja mora </w:t>
      </w:r>
      <w:r w:rsidR="00B110D1" w:rsidRPr="00215B2F">
        <w:rPr>
          <w:rFonts w:ascii="Arial" w:eastAsia="Arial" w:hAnsi="Arial" w:cs="Arial"/>
          <w:sz w:val="20"/>
          <w:szCs w:val="20"/>
        </w:rPr>
        <w:t>vključevati</w:t>
      </w:r>
      <w:r w:rsidRPr="00215B2F">
        <w:rPr>
          <w:rFonts w:ascii="Arial" w:eastAsia="Arial" w:hAnsi="Arial" w:cs="Arial"/>
          <w:sz w:val="20"/>
          <w:szCs w:val="20"/>
        </w:rPr>
        <w:t>:</w:t>
      </w:r>
    </w:p>
    <w:p w14:paraId="00790DB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CA85E6B" w14:textId="7E08C4A6" w:rsidR="00EA4B78" w:rsidRPr="00215B2F" w:rsidRDefault="00D91782" w:rsidP="003D4DE0">
      <w:pPr>
        <w:pStyle w:val="tevilnatoka"/>
        <w:numPr>
          <w:ilvl w:val="0"/>
          <w:numId w:val="383"/>
        </w:numPr>
        <w:shd w:val="clear" w:color="auto" w:fill="FFFFFF" w:themeFill="background1"/>
        <w:rPr>
          <w:rFonts w:cs="Arial"/>
          <w:bCs/>
          <w:sz w:val="20"/>
          <w:szCs w:val="20"/>
        </w:rPr>
      </w:pPr>
      <w:r w:rsidRPr="00215B2F">
        <w:rPr>
          <w:rFonts w:eastAsia="Arial" w:cs="Arial"/>
          <w:sz w:val="20"/>
          <w:szCs w:val="20"/>
        </w:rPr>
        <w:t>opis dejanja, ravnanj</w:t>
      </w:r>
      <w:r w:rsidR="00F41E28" w:rsidRPr="00215B2F">
        <w:rPr>
          <w:rFonts w:eastAsia="Arial" w:cs="Arial"/>
          <w:sz w:val="20"/>
          <w:szCs w:val="20"/>
        </w:rPr>
        <w:t>a</w:t>
      </w:r>
      <w:r w:rsidRPr="00215B2F">
        <w:rPr>
          <w:rFonts w:eastAsia="Arial" w:cs="Arial"/>
          <w:sz w:val="20"/>
          <w:szCs w:val="20"/>
        </w:rPr>
        <w:t xml:space="preserve"> ali okoliščin, ki so razlog za začetek postopka;</w:t>
      </w:r>
    </w:p>
    <w:p w14:paraId="6748EDC1" w14:textId="512B9F91" w:rsidR="00EA4B78" w:rsidRPr="00215B2F" w:rsidRDefault="00D91782" w:rsidP="003D4DE0">
      <w:pPr>
        <w:pStyle w:val="tevilnatoka"/>
        <w:numPr>
          <w:ilvl w:val="0"/>
          <w:numId w:val="293"/>
        </w:numPr>
        <w:shd w:val="clear" w:color="auto" w:fill="FFFFFF" w:themeFill="background1"/>
        <w:tabs>
          <w:tab w:val="clear" w:pos="425"/>
        </w:tabs>
        <w:rPr>
          <w:rFonts w:cs="Arial"/>
          <w:bCs/>
          <w:sz w:val="20"/>
          <w:szCs w:val="20"/>
        </w:rPr>
      </w:pPr>
      <w:r w:rsidRPr="00215B2F">
        <w:rPr>
          <w:rFonts w:eastAsia="Arial" w:cs="Arial"/>
          <w:sz w:val="20"/>
          <w:szCs w:val="20"/>
        </w:rPr>
        <w:t xml:space="preserve">navedbo listin in drugih dokazov, na podlagi katerih je Banka Slovenije </w:t>
      </w:r>
      <w:r w:rsidR="00F41E28" w:rsidRPr="00215B2F">
        <w:rPr>
          <w:rFonts w:eastAsia="Arial" w:cs="Arial"/>
          <w:sz w:val="20"/>
          <w:szCs w:val="20"/>
        </w:rPr>
        <w:t>ugotov</w:t>
      </w:r>
      <w:r w:rsidRPr="00215B2F">
        <w:rPr>
          <w:rFonts w:eastAsia="Arial" w:cs="Arial"/>
          <w:sz w:val="20"/>
          <w:szCs w:val="20"/>
        </w:rPr>
        <w:t>ila, da obstaja utemeljen</w:t>
      </w:r>
      <w:r w:rsidR="00F41E28" w:rsidRPr="00215B2F">
        <w:rPr>
          <w:rFonts w:eastAsia="Arial" w:cs="Arial"/>
          <w:sz w:val="20"/>
          <w:szCs w:val="20"/>
        </w:rPr>
        <w:t>i</w:t>
      </w:r>
      <w:r w:rsidRPr="00215B2F">
        <w:rPr>
          <w:rFonts w:eastAsia="Arial" w:cs="Arial"/>
          <w:sz w:val="20"/>
          <w:szCs w:val="20"/>
        </w:rPr>
        <w:t xml:space="preserve"> sum iz prvega </w:t>
      </w:r>
      <w:r w:rsidR="00746E88" w:rsidRPr="00215B2F">
        <w:rPr>
          <w:rFonts w:eastAsia="Arial" w:cs="Arial"/>
          <w:sz w:val="20"/>
          <w:szCs w:val="20"/>
        </w:rPr>
        <w:t>odstavka tega člena</w:t>
      </w:r>
      <w:r w:rsidRPr="00215B2F">
        <w:rPr>
          <w:rFonts w:eastAsia="Arial" w:cs="Arial"/>
          <w:sz w:val="20"/>
          <w:szCs w:val="20"/>
        </w:rPr>
        <w:t>;</w:t>
      </w:r>
    </w:p>
    <w:p w14:paraId="01E79A7B" w14:textId="2F8A4A16" w:rsidR="00D91782" w:rsidRPr="00215B2F" w:rsidRDefault="00D91782" w:rsidP="003D4DE0">
      <w:pPr>
        <w:pStyle w:val="tevilnatoka"/>
        <w:numPr>
          <w:ilvl w:val="0"/>
          <w:numId w:val="293"/>
        </w:numPr>
        <w:shd w:val="clear" w:color="auto" w:fill="FFFFFF" w:themeFill="background1"/>
        <w:tabs>
          <w:tab w:val="clear" w:pos="425"/>
        </w:tabs>
        <w:rPr>
          <w:rFonts w:cs="Arial"/>
          <w:bCs/>
          <w:sz w:val="20"/>
          <w:szCs w:val="20"/>
        </w:rPr>
      </w:pPr>
      <w:r w:rsidRPr="00215B2F">
        <w:rPr>
          <w:rFonts w:eastAsia="Arial" w:cs="Arial"/>
          <w:sz w:val="20"/>
          <w:szCs w:val="20"/>
        </w:rPr>
        <w:t>obrazložitev odločitve o začetku postopka.</w:t>
      </w:r>
    </w:p>
    <w:p w14:paraId="2D1E23E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853DF68" w14:textId="611E3A5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V odločbi o začetku postopka za odvzem dovoljenja Banka Slovenije določi tudi rok, ki ne sme biti</w:t>
      </w:r>
      <w:r w:rsidR="005147D3" w:rsidRPr="00215B2F">
        <w:rPr>
          <w:rFonts w:ascii="Arial" w:eastAsia="Arial" w:hAnsi="Arial" w:cs="Arial"/>
          <w:sz w:val="20"/>
          <w:szCs w:val="20"/>
        </w:rPr>
        <w:t xml:space="preserve"> ne</w:t>
      </w:r>
      <w:r w:rsidRPr="00215B2F">
        <w:rPr>
          <w:rFonts w:ascii="Arial" w:eastAsia="Arial" w:hAnsi="Arial" w:cs="Arial"/>
          <w:sz w:val="20"/>
          <w:szCs w:val="20"/>
        </w:rPr>
        <w:t xml:space="preserve"> krajši od 15 dni in ne daljši od 30 dni, šteto od dneva vročitve odločbe subjektu nadzora, v katerem se subjekt nadzora lahko izjavi o razlogih za začetek postopka (v nadaljnjem besedilu: izjava o razlogih za odvzem dovoljenja).</w:t>
      </w:r>
    </w:p>
    <w:p w14:paraId="44AE9A1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95AEB6D"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43" w:name="_Ref203647338"/>
      <w:r w:rsidRPr="00215B2F">
        <w:rPr>
          <w:rFonts w:ascii="Arial" w:eastAsia="Arial" w:hAnsi="Arial" w:cs="Arial"/>
          <w:b/>
          <w:bCs/>
          <w:sz w:val="20"/>
          <w:szCs w:val="20"/>
        </w:rPr>
        <w:t>člen</w:t>
      </w:r>
      <w:bookmarkEnd w:id="543"/>
    </w:p>
    <w:p w14:paraId="0AD49F80"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(izjava o razlogih za odvzem dovoljenja)</w:t>
      </w:r>
    </w:p>
    <w:p w14:paraId="19F7971E"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4A6D146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544" w:name="_Hlk203561347"/>
      <w:r w:rsidRPr="00215B2F">
        <w:rPr>
          <w:rFonts w:ascii="Arial" w:eastAsia="Arial" w:hAnsi="Arial" w:cs="Arial"/>
          <w:sz w:val="20"/>
          <w:szCs w:val="20"/>
        </w:rPr>
        <w:t>(1) V izjavi o razlogih za odvzem dovoljenja lahko subjekt nadzora navaja dejstva, iz katerih izhaja, da odvzem dovoljenja ni utemeljen, in predlaga dokaze, s katerimi dokazuje obstoj zatrjevanih dejstev. Če se subjekt nadzora v izjavi sklicuje na listinske dokaze, mora te dokaze priložiti izjavi.</w:t>
      </w:r>
    </w:p>
    <w:p w14:paraId="55B5216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0CECEF9" w14:textId="749DA99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Če subjekt nadzora izjavi o razlogih za odvzem dovoljenja ne priloži listinskih dokazov, se ne uporabljajo določbe </w:t>
      </w:r>
      <w:r w:rsidR="005552C0" w:rsidRPr="00215B2F">
        <w:rPr>
          <w:rFonts w:ascii="Arial" w:eastAsia="Arial" w:hAnsi="Arial" w:cs="Arial"/>
          <w:sz w:val="20"/>
          <w:szCs w:val="20"/>
        </w:rPr>
        <w:t>zakona, ki ureja splošni upravni postopek,</w:t>
      </w:r>
      <w:r w:rsidRPr="00215B2F">
        <w:rPr>
          <w:rFonts w:ascii="Arial" w:eastAsia="Arial" w:hAnsi="Arial" w:cs="Arial"/>
          <w:sz w:val="20"/>
          <w:szCs w:val="20"/>
        </w:rPr>
        <w:t xml:space="preserve"> o nepopolnih vlogah, temveč Banka Slovenije pri odločanju upošteva zgolj tiste dokaze, ki so izjavi priloženi.</w:t>
      </w:r>
    </w:p>
    <w:p w14:paraId="38E6F18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ECCEEC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Po izteku roka za izjavo o razlogih za odvzem dovoljenja subjekt nadzora nima pravice navajati novih dejstev in predlagati novih dokazov.</w:t>
      </w:r>
    </w:p>
    <w:bookmarkEnd w:id="544"/>
    <w:p w14:paraId="66F0681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FD5E524"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45" w:name="_Ref203647343"/>
      <w:r w:rsidRPr="00215B2F">
        <w:rPr>
          <w:rFonts w:ascii="Arial" w:eastAsia="Arial" w:hAnsi="Arial" w:cs="Arial"/>
          <w:b/>
          <w:bCs/>
          <w:sz w:val="20"/>
          <w:szCs w:val="20"/>
        </w:rPr>
        <w:t>člen</w:t>
      </w:r>
      <w:bookmarkEnd w:id="545"/>
    </w:p>
    <w:p w14:paraId="78658ECB"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(odločanje o odvzemu dovoljenja)</w:t>
      </w:r>
    </w:p>
    <w:p w14:paraId="6B23F13D"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5CEA95CA" w14:textId="2C140A0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Banka Slovenije odloči o odvzemu dovoljenja v 30 dneh od prejema izjave o razlogih za odvzem dovoljenja in izvedenih dokazih oziroma od izteka roka za tako izjavo.</w:t>
      </w:r>
    </w:p>
    <w:p w14:paraId="2E813E2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F392000" w14:textId="7FD5E38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sme odločati o odvzemu dovoljenja samo zaradi tistih dejanj, ravnanj</w:t>
      </w:r>
      <w:r w:rsidR="00805CF8" w:rsidRPr="00215B2F">
        <w:rPr>
          <w:rFonts w:ascii="Arial" w:eastAsia="Arial" w:hAnsi="Arial" w:cs="Arial"/>
          <w:sz w:val="20"/>
          <w:szCs w:val="20"/>
        </w:rPr>
        <w:t>a</w:t>
      </w:r>
      <w:r w:rsidRPr="00215B2F">
        <w:rPr>
          <w:rFonts w:ascii="Arial" w:eastAsia="Arial" w:hAnsi="Arial" w:cs="Arial"/>
          <w:sz w:val="20"/>
          <w:szCs w:val="20"/>
        </w:rPr>
        <w:t xml:space="preserve"> ali okoliščin, zaradi katerih je izdala odločbo o začetku postopka za odvzem dovoljenja, in samo na podlagi tistih listin in drugih dokazov, ki so bili navedeni v odločbi o začetku postopka in ki jih je v izjavi o razlogih za odvzem dovoljenja predlagal ali priložil subjekt nadzora.</w:t>
      </w:r>
    </w:p>
    <w:p w14:paraId="3D8D79B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7823F08"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46" w:name="_Ref202968600"/>
      <w:r w:rsidRPr="00215B2F">
        <w:rPr>
          <w:rFonts w:ascii="Arial" w:eastAsia="Arial" w:hAnsi="Arial" w:cs="Arial"/>
          <w:b/>
          <w:bCs/>
          <w:sz w:val="20"/>
          <w:szCs w:val="20"/>
        </w:rPr>
        <w:t>člen</w:t>
      </w:r>
      <w:bookmarkEnd w:id="546"/>
    </w:p>
    <w:p w14:paraId="0ABCF479"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(ustavitev postopka)</w:t>
      </w:r>
    </w:p>
    <w:p w14:paraId="0DFB795C"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036B8921" w14:textId="50D30EE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Banka Slovenije ustavi postopek za odvzem dovoljenja, če na podlagi dokazov iz drugega </w:t>
      </w:r>
      <w:r w:rsidR="00746E88" w:rsidRPr="00215B2F">
        <w:rPr>
          <w:rFonts w:ascii="Arial" w:eastAsia="Arial" w:hAnsi="Arial" w:cs="Arial"/>
          <w:sz w:val="20"/>
          <w:szCs w:val="20"/>
        </w:rPr>
        <w:t>odstavka prejšnjega člena</w:t>
      </w:r>
      <w:r w:rsidRPr="00215B2F">
        <w:rPr>
          <w:rFonts w:ascii="Arial" w:eastAsia="Arial" w:hAnsi="Arial" w:cs="Arial"/>
          <w:sz w:val="20"/>
          <w:szCs w:val="20"/>
        </w:rPr>
        <w:t xml:space="preserve"> ugotovi, da dejanje, ravnanje oziroma okoliščine, zaradi katerih je izdala odločbo o začetku postopka za odvzem dovoljenja, nimajo znakov razloga za odvzem dovoljenja.</w:t>
      </w:r>
    </w:p>
    <w:p w14:paraId="4F786E2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A260290"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47" w:name="_Ref203383907"/>
      <w:r w:rsidRPr="00215B2F">
        <w:rPr>
          <w:rFonts w:ascii="Arial" w:eastAsia="Arial" w:hAnsi="Arial" w:cs="Arial"/>
          <w:b/>
          <w:bCs/>
          <w:sz w:val="20"/>
          <w:szCs w:val="20"/>
        </w:rPr>
        <w:t>člen</w:t>
      </w:r>
      <w:bookmarkEnd w:id="547"/>
    </w:p>
    <w:p w14:paraId="6C64A1DC"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(odločba o odvzemu dovoljenja)</w:t>
      </w:r>
    </w:p>
    <w:p w14:paraId="6BA25401"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4D7D9789" w14:textId="3F31A29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Izrek odločbe o odvzemu dovoljenja mora </w:t>
      </w:r>
      <w:r w:rsidR="00B110D1" w:rsidRPr="00215B2F">
        <w:rPr>
          <w:rFonts w:ascii="Arial" w:eastAsia="Arial" w:hAnsi="Arial" w:cs="Arial"/>
          <w:sz w:val="20"/>
          <w:szCs w:val="20"/>
        </w:rPr>
        <w:t>vključevati</w:t>
      </w:r>
      <w:r w:rsidRPr="00215B2F">
        <w:rPr>
          <w:rFonts w:ascii="Arial" w:eastAsia="Arial" w:hAnsi="Arial" w:cs="Arial"/>
          <w:sz w:val="20"/>
          <w:szCs w:val="20"/>
        </w:rPr>
        <w:t>:</w:t>
      </w:r>
    </w:p>
    <w:p w14:paraId="662B2F4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C2C0110" w14:textId="77777777" w:rsidR="00EA4B78" w:rsidRPr="00215B2F" w:rsidRDefault="00D91782" w:rsidP="003D4DE0">
      <w:pPr>
        <w:pStyle w:val="tevilnatoka"/>
        <w:numPr>
          <w:ilvl w:val="0"/>
          <w:numId w:val="384"/>
        </w:numPr>
        <w:shd w:val="clear" w:color="auto" w:fill="FFFFFF" w:themeFill="background1"/>
        <w:rPr>
          <w:rFonts w:cs="Arial"/>
          <w:bCs/>
          <w:sz w:val="20"/>
          <w:szCs w:val="20"/>
        </w:rPr>
      </w:pPr>
      <w:r w:rsidRPr="00215B2F">
        <w:rPr>
          <w:rFonts w:eastAsia="Arial" w:cs="Arial"/>
          <w:sz w:val="20"/>
          <w:szCs w:val="20"/>
        </w:rPr>
        <w:t>odločitev o odvzemu dovoljenja z navedbo številke in datuma izdaje dovoljenja;</w:t>
      </w:r>
    </w:p>
    <w:p w14:paraId="2E471910" w14:textId="77777777" w:rsidR="00EA4B78" w:rsidRPr="00215B2F" w:rsidRDefault="00D91782" w:rsidP="003D4DE0">
      <w:pPr>
        <w:pStyle w:val="tevilnatoka"/>
        <w:numPr>
          <w:ilvl w:val="0"/>
          <w:numId w:val="294"/>
        </w:numPr>
        <w:shd w:val="clear" w:color="auto" w:fill="FFFFFF" w:themeFill="background1"/>
        <w:tabs>
          <w:tab w:val="clear" w:pos="425"/>
        </w:tabs>
        <w:rPr>
          <w:rFonts w:cs="Arial"/>
          <w:bCs/>
          <w:sz w:val="20"/>
          <w:szCs w:val="20"/>
        </w:rPr>
      </w:pPr>
      <w:r w:rsidRPr="00215B2F">
        <w:rPr>
          <w:rFonts w:eastAsia="Arial" w:cs="Arial"/>
          <w:sz w:val="20"/>
          <w:szCs w:val="20"/>
        </w:rPr>
        <w:t>firmo in sedež oziroma ime in priimek ter datum rojstva subjekta nadzora, ki mu je dovoljenje odvzeto;</w:t>
      </w:r>
    </w:p>
    <w:p w14:paraId="15E3868F" w14:textId="5CBC40EC" w:rsidR="00D91782" w:rsidRPr="00215B2F" w:rsidRDefault="00D91782" w:rsidP="003D4DE0">
      <w:pPr>
        <w:pStyle w:val="tevilnatoka"/>
        <w:numPr>
          <w:ilvl w:val="0"/>
          <w:numId w:val="294"/>
        </w:numPr>
        <w:shd w:val="clear" w:color="auto" w:fill="FFFFFF" w:themeFill="background1"/>
        <w:tabs>
          <w:tab w:val="clear" w:pos="425"/>
        </w:tabs>
        <w:rPr>
          <w:rFonts w:cs="Arial"/>
          <w:bCs/>
          <w:sz w:val="20"/>
          <w:szCs w:val="20"/>
        </w:rPr>
      </w:pPr>
      <w:r w:rsidRPr="00215B2F">
        <w:rPr>
          <w:rFonts w:eastAsia="Arial" w:cs="Arial"/>
          <w:sz w:val="20"/>
          <w:szCs w:val="20"/>
        </w:rPr>
        <w:t>opis dejanja, ravnanj</w:t>
      </w:r>
      <w:r w:rsidR="00805CF8" w:rsidRPr="00215B2F">
        <w:rPr>
          <w:rFonts w:eastAsia="Arial" w:cs="Arial"/>
          <w:sz w:val="20"/>
          <w:szCs w:val="20"/>
        </w:rPr>
        <w:t>a</w:t>
      </w:r>
      <w:r w:rsidRPr="00215B2F">
        <w:rPr>
          <w:rFonts w:eastAsia="Arial" w:cs="Arial"/>
          <w:sz w:val="20"/>
          <w:szCs w:val="20"/>
        </w:rPr>
        <w:t xml:space="preserve"> ali okoliščin, ki so razlog za odvzem dovoljenja.</w:t>
      </w:r>
    </w:p>
    <w:p w14:paraId="54ADCE6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AD31C1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Odločba o odvzemu dovoljenja mora biti obrazložena.</w:t>
      </w:r>
    </w:p>
    <w:p w14:paraId="7FE917F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C4A0DE4"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48" w:name="_Ref202968613"/>
      <w:r w:rsidRPr="00215B2F">
        <w:rPr>
          <w:rFonts w:ascii="Arial" w:eastAsia="Arial" w:hAnsi="Arial" w:cs="Arial"/>
          <w:b/>
          <w:bCs/>
          <w:sz w:val="20"/>
          <w:szCs w:val="20"/>
        </w:rPr>
        <w:t>člen</w:t>
      </w:r>
      <w:bookmarkEnd w:id="548"/>
    </w:p>
    <w:p w14:paraId="1A1D1FF8"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lastRenderedPageBreak/>
        <w:t>(uporaba določb o postopku za odvzem dovoljenja)</w:t>
      </w:r>
    </w:p>
    <w:p w14:paraId="6A602B82"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0671FFD5" w14:textId="4D252B1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Določbe tega pod</w:t>
      </w:r>
      <w:r w:rsidR="005B0CC7" w:rsidRPr="00215B2F">
        <w:rPr>
          <w:rFonts w:ascii="Arial" w:eastAsia="Arial" w:hAnsi="Arial" w:cs="Arial"/>
          <w:sz w:val="20"/>
          <w:szCs w:val="20"/>
        </w:rPr>
        <w:t>o</w:t>
      </w:r>
      <w:r w:rsidR="001F2C7A" w:rsidRPr="00215B2F">
        <w:rPr>
          <w:rFonts w:ascii="Arial" w:eastAsia="Arial" w:hAnsi="Arial" w:cs="Arial"/>
          <w:sz w:val="20"/>
          <w:szCs w:val="20"/>
        </w:rPr>
        <w:t>ddelka</w:t>
      </w:r>
      <w:r w:rsidRPr="00215B2F">
        <w:rPr>
          <w:rFonts w:ascii="Arial" w:eastAsia="Arial" w:hAnsi="Arial" w:cs="Arial"/>
          <w:sz w:val="20"/>
          <w:szCs w:val="20"/>
        </w:rPr>
        <w:t xml:space="preserve"> se smiselno uporabljajo tudi za:</w:t>
      </w:r>
    </w:p>
    <w:p w14:paraId="5E704D8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73E9E59" w14:textId="77777777" w:rsidR="00EA4B78" w:rsidRPr="00215B2F" w:rsidRDefault="00D91782" w:rsidP="003D4DE0">
      <w:pPr>
        <w:pStyle w:val="tevilnatoka"/>
        <w:numPr>
          <w:ilvl w:val="0"/>
          <w:numId w:val="385"/>
        </w:numPr>
        <w:shd w:val="clear" w:color="auto" w:fill="FFFFFF" w:themeFill="background1"/>
        <w:rPr>
          <w:rFonts w:cs="Arial"/>
          <w:bCs/>
          <w:sz w:val="20"/>
          <w:szCs w:val="20"/>
        </w:rPr>
      </w:pPr>
      <w:r w:rsidRPr="00215B2F">
        <w:rPr>
          <w:rFonts w:eastAsia="Arial" w:cs="Arial"/>
          <w:sz w:val="20"/>
          <w:szCs w:val="20"/>
        </w:rPr>
        <w:t>postopek preklica pogojnega odvzema dovoljenja in</w:t>
      </w:r>
    </w:p>
    <w:p w14:paraId="78E477C3" w14:textId="17912B80" w:rsidR="00D91782" w:rsidRPr="00215B2F" w:rsidRDefault="00D91782" w:rsidP="003D4DE0">
      <w:pPr>
        <w:pStyle w:val="tevilnatoka"/>
        <w:numPr>
          <w:ilvl w:val="0"/>
          <w:numId w:val="295"/>
        </w:numPr>
        <w:shd w:val="clear" w:color="auto" w:fill="FFFFFF" w:themeFill="background1"/>
        <w:tabs>
          <w:tab w:val="clear" w:pos="425"/>
        </w:tabs>
        <w:rPr>
          <w:rFonts w:cs="Arial"/>
          <w:bCs/>
          <w:sz w:val="20"/>
          <w:szCs w:val="20"/>
        </w:rPr>
      </w:pPr>
      <w:r w:rsidRPr="00215B2F">
        <w:rPr>
          <w:rFonts w:eastAsia="Arial" w:cs="Arial"/>
          <w:sz w:val="20"/>
          <w:szCs w:val="20"/>
        </w:rPr>
        <w:t>preklic soglasja, ki ga je izdala Banka Slovenije.</w:t>
      </w:r>
    </w:p>
    <w:p w14:paraId="6FD37C8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F5C6D0E" w14:textId="2E0F1921" w:rsidR="00D91782" w:rsidRPr="00215B2F" w:rsidRDefault="005F0814"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16</w:t>
      </w:r>
      <w:r w:rsidR="00D91782" w:rsidRPr="00215B2F">
        <w:rPr>
          <w:rFonts w:ascii="Arial" w:eastAsia="Arial" w:hAnsi="Arial" w:cs="Arial"/>
          <w:b/>
          <w:bCs/>
          <w:sz w:val="20"/>
          <w:szCs w:val="20"/>
        </w:rPr>
        <w:t>.</w:t>
      </w:r>
      <w:r w:rsidRPr="00215B2F">
        <w:rPr>
          <w:rFonts w:ascii="Arial" w:eastAsia="Arial" w:hAnsi="Arial" w:cs="Arial"/>
          <w:b/>
          <w:bCs/>
          <w:sz w:val="20"/>
          <w:szCs w:val="20"/>
        </w:rPr>
        <w:t>4</w:t>
      </w:r>
      <w:r w:rsidR="00D91782" w:rsidRPr="00215B2F">
        <w:rPr>
          <w:rFonts w:ascii="Arial" w:eastAsia="Arial" w:hAnsi="Arial" w:cs="Arial"/>
          <w:b/>
          <w:bCs/>
          <w:sz w:val="20"/>
          <w:szCs w:val="20"/>
        </w:rPr>
        <w:t xml:space="preserve"> POSTOPEK Z ADMINISTRATIVNIMI UKREPI</w:t>
      </w:r>
    </w:p>
    <w:p w14:paraId="37D0863B"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5BA5E99" w14:textId="4EE6EB62" w:rsidR="00D91782" w:rsidRPr="00215B2F" w:rsidRDefault="005F0814"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16</w:t>
      </w:r>
      <w:r w:rsidR="00D91782" w:rsidRPr="00215B2F">
        <w:rPr>
          <w:rFonts w:ascii="Arial" w:eastAsia="Arial" w:hAnsi="Arial" w:cs="Arial"/>
          <w:i/>
          <w:iCs/>
          <w:sz w:val="20"/>
          <w:szCs w:val="20"/>
        </w:rPr>
        <w:t>.</w:t>
      </w:r>
      <w:r w:rsidRPr="00215B2F">
        <w:rPr>
          <w:rFonts w:ascii="Arial" w:eastAsia="Arial" w:hAnsi="Arial" w:cs="Arial"/>
          <w:i/>
          <w:iCs/>
          <w:sz w:val="20"/>
          <w:szCs w:val="20"/>
        </w:rPr>
        <w:t>4</w:t>
      </w:r>
      <w:r w:rsidR="00D91782" w:rsidRPr="00215B2F">
        <w:rPr>
          <w:rFonts w:ascii="Arial" w:eastAsia="Arial" w:hAnsi="Arial" w:cs="Arial"/>
          <w:i/>
          <w:iCs/>
          <w:sz w:val="20"/>
          <w:szCs w:val="20"/>
        </w:rPr>
        <w:t>.1 Postopek za periodične denarne kazni</w:t>
      </w:r>
    </w:p>
    <w:p w14:paraId="68867293" w14:textId="77777777" w:rsidR="00540952" w:rsidRPr="00215B2F" w:rsidRDefault="00540952" w:rsidP="00FD5520">
      <w:pPr>
        <w:shd w:val="clear" w:color="auto" w:fill="FFFFFF" w:themeFill="background1"/>
        <w:spacing w:after="0" w:line="240" w:lineRule="auto"/>
        <w:jc w:val="center"/>
        <w:rPr>
          <w:rFonts w:ascii="Arial" w:eastAsia="Arial" w:hAnsi="Arial" w:cs="Arial"/>
          <w:i/>
          <w:iCs/>
          <w:sz w:val="20"/>
          <w:szCs w:val="20"/>
        </w:rPr>
      </w:pPr>
    </w:p>
    <w:p w14:paraId="2217A74D" w14:textId="77777777" w:rsidR="00540952" w:rsidRPr="00215B2F" w:rsidRDefault="0054095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49" w:name="_Ref203139305"/>
      <w:r w:rsidRPr="00215B2F">
        <w:rPr>
          <w:rFonts w:ascii="Arial" w:eastAsia="Arial" w:hAnsi="Arial" w:cs="Arial"/>
          <w:b/>
          <w:bCs/>
          <w:sz w:val="20"/>
          <w:szCs w:val="20"/>
        </w:rPr>
        <w:t>člen</w:t>
      </w:r>
      <w:bookmarkEnd w:id="549"/>
    </w:p>
    <w:p w14:paraId="50404FD1"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(odredba o periodični denarni kazni)</w:t>
      </w:r>
    </w:p>
    <w:p w14:paraId="4E42F62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9E9AE86" w14:textId="335440B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Izrek odredbe o periodični denarni kazni </w:t>
      </w:r>
      <w:r w:rsidR="00B110D1" w:rsidRPr="00215B2F">
        <w:rPr>
          <w:rFonts w:ascii="Arial" w:eastAsia="Arial" w:hAnsi="Arial" w:cs="Arial"/>
          <w:sz w:val="20"/>
          <w:szCs w:val="20"/>
        </w:rPr>
        <w:t>vključuje</w:t>
      </w:r>
      <w:r w:rsidRPr="00215B2F">
        <w:rPr>
          <w:rFonts w:ascii="Arial" w:eastAsia="Arial" w:hAnsi="Arial" w:cs="Arial"/>
          <w:sz w:val="20"/>
          <w:szCs w:val="20"/>
        </w:rPr>
        <w:t>:</w:t>
      </w:r>
    </w:p>
    <w:p w14:paraId="14D936A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D0C63BD" w14:textId="015CCA52" w:rsidR="00EA4B78" w:rsidRPr="00215B2F" w:rsidRDefault="00D91782" w:rsidP="003D4DE0">
      <w:pPr>
        <w:pStyle w:val="tevilnatoka"/>
        <w:numPr>
          <w:ilvl w:val="0"/>
          <w:numId w:val="386"/>
        </w:numPr>
        <w:shd w:val="clear" w:color="auto" w:fill="FFFFFF" w:themeFill="background1"/>
        <w:rPr>
          <w:rFonts w:cs="Arial"/>
          <w:bCs/>
          <w:sz w:val="20"/>
          <w:szCs w:val="20"/>
        </w:rPr>
      </w:pPr>
      <w:r w:rsidRPr="00215B2F">
        <w:rPr>
          <w:rFonts w:eastAsia="Arial" w:cs="Arial"/>
          <w:sz w:val="20"/>
          <w:szCs w:val="20"/>
        </w:rPr>
        <w:t xml:space="preserve">navedbo odločitve Banke Slovenije ali Evropske centralne banke, ki jo </w:t>
      </w:r>
      <w:r w:rsidR="00537447" w:rsidRPr="00215B2F">
        <w:rPr>
          <w:rFonts w:eastAsia="Arial" w:cs="Arial"/>
          <w:sz w:val="20"/>
          <w:szCs w:val="20"/>
        </w:rPr>
        <w:t xml:space="preserve">krši </w:t>
      </w:r>
      <w:r w:rsidRPr="00215B2F">
        <w:rPr>
          <w:rFonts w:eastAsia="Arial" w:cs="Arial"/>
          <w:sz w:val="20"/>
          <w:szCs w:val="20"/>
        </w:rPr>
        <w:t>subjekt nadzora,</w:t>
      </w:r>
    </w:p>
    <w:p w14:paraId="62B570A7" w14:textId="77777777" w:rsidR="00EA4B78" w:rsidRPr="00215B2F" w:rsidRDefault="00D91782" w:rsidP="003D4DE0">
      <w:pPr>
        <w:pStyle w:val="tevilnatoka"/>
        <w:numPr>
          <w:ilvl w:val="0"/>
          <w:numId w:val="296"/>
        </w:numPr>
        <w:shd w:val="clear" w:color="auto" w:fill="FFFFFF" w:themeFill="background1"/>
        <w:tabs>
          <w:tab w:val="clear" w:pos="425"/>
        </w:tabs>
        <w:rPr>
          <w:rFonts w:cs="Arial"/>
          <w:bCs/>
          <w:sz w:val="20"/>
          <w:szCs w:val="20"/>
        </w:rPr>
      </w:pPr>
      <w:r w:rsidRPr="00215B2F">
        <w:rPr>
          <w:rFonts w:eastAsia="Arial" w:cs="Arial"/>
          <w:sz w:val="20"/>
          <w:szCs w:val="20"/>
        </w:rPr>
        <w:t>višino dnevnega zneska,</w:t>
      </w:r>
    </w:p>
    <w:p w14:paraId="44FC1528" w14:textId="6DF81E75" w:rsidR="00D91782" w:rsidRPr="00215B2F" w:rsidRDefault="00D91782" w:rsidP="003D4DE0">
      <w:pPr>
        <w:pStyle w:val="tevilnatoka"/>
        <w:numPr>
          <w:ilvl w:val="0"/>
          <w:numId w:val="296"/>
        </w:numPr>
        <w:shd w:val="clear" w:color="auto" w:fill="FFFFFF" w:themeFill="background1"/>
        <w:tabs>
          <w:tab w:val="clear" w:pos="425"/>
        </w:tabs>
        <w:rPr>
          <w:rFonts w:cs="Arial"/>
          <w:bCs/>
          <w:sz w:val="20"/>
          <w:szCs w:val="20"/>
        </w:rPr>
      </w:pPr>
      <w:r w:rsidRPr="00215B2F">
        <w:rPr>
          <w:rFonts w:eastAsia="Arial" w:cs="Arial"/>
          <w:sz w:val="20"/>
          <w:szCs w:val="20"/>
        </w:rPr>
        <w:t xml:space="preserve">datum, s katerim se začne uporabljati periodična denarna kazen. </w:t>
      </w:r>
    </w:p>
    <w:p w14:paraId="15C489C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FE686DD"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50" w:name="_Ref202968644"/>
      <w:r w:rsidRPr="00215B2F">
        <w:rPr>
          <w:rFonts w:ascii="Arial" w:eastAsia="Arial" w:hAnsi="Arial" w:cs="Arial"/>
          <w:b/>
          <w:bCs/>
          <w:sz w:val="20"/>
          <w:szCs w:val="20"/>
        </w:rPr>
        <w:t>člen</w:t>
      </w:r>
      <w:bookmarkEnd w:id="550"/>
    </w:p>
    <w:p w14:paraId="116B6EDD"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(ugovor zoper odredbo o periodični denarni kazni)</w:t>
      </w:r>
    </w:p>
    <w:p w14:paraId="6188DC11"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5A6F527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Ugovor zoper odredbo o periodični denarni kazni je dopusten, če:</w:t>
      </w:r>
    </w:p>
    <w:p w14:paraId="7BBB745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EA4E48D" w14:textId="1DA31034" w:rsidR="00EA4B78" w:rsidRPr="00215B2F" w:rsidRDefault="00B110D1" w:rsidP="003D4DE0">
      <w:pPr>
        <w:pStyle w:val="tevilnatoka"/>
        <w:numPr>
          <w:ilvl w:val="0"/>
          <w:numId w:val="387"/>
        </w:numPr>
        <w:shd w:val="clear" w:color="auto" w:fill="FFFFFF" w:themeFill="background1"/>
        <w:rPr>
          <w:rFonts w:cs="Arial"/>
          <w:bCs/>
          <w:sz w:val="20"/>
          <w:szCs w:val="20"/>
        </w:rPr>
      </w:pPr>
      <w:r w:rsidRPr="00215B2F">
        <w:rPr>
          <w:rFonts w:eastAsia="Arial" w:cs="Arial"/>
          <w:sz w:val="20"/>
          <w:szCs w:val="20"/>
        </w:rPr>
        <w:t xml:space="preserve">ne gre za </w:t>
      </w:r>
      <w:r w:rsidR="00D91782" w:rsidRPr="00215B2F">
        <w:rPr>
          <w:rFonts w:eastAsia="Arial" w:cs="Arial"/>
          <w:sz w:val="20"/>
          <w:szCs w:val="20"/>
        </w:rPr>
        <w:t>kršitev odločitve Banke Slovenije ali Evropske centralne banke;</w:t>
      </w:r>
    </w:p>
    <w:p w14:paraId="746DB622" w14:textId="4DE04D1F" w:rsidR="00EA4B78" w:rsidRPr="00215B2F" w:rsidRDefault="00D91782" w:rsidP="00AB65A6">
      <w:pPr>
        <w:pStyle w:val="tevilnatoka"/>
        <w:shd w:val="clear" w:color="auto" w:fill="FFFFFF" w:themeFill="background1"/>
        <w:tabs>
          <w:tab w:val="clear" w:pos="425"/>
        </w:tabs>
        <w:rPr>
          <w:rFonts w:cs="Arial"/>
          <w:bCs/>
          <w:sz w:val="20"/>
          <w:szCs w:val="20"/>
        </w:rPr>
      </w:pPr>
      <w:r w:rsidRPr="00215B2F">
        <w:rPr>
          <w:rFonts w:eastAsia="Arial" w:cs="Arial"/>
          <w:sz w:val="20"/>
          <w:szCs w:val="20"/>
        </w:rPr>
        <w:t xml:space="preserve">odmera višine določenega dnevnega zneska ni v skladu s </w:t>
      </w:r>
      <w:r w:rsidR="00DB2AA9" w:rsidRPr="00215B2F">
        <w:rPr>
          <w:rFonts w:eastAsia="Arial" w:cs="Arial"/>
          <w:sz w:val="20"/>
          <w:szCs w:val="20"/>
        </w:rPr>
        <w:t>390</w:t>
      </w:r>
      <w:r w:rsidRPr="00215B2F">
        <w:rPr>
          <w:rFonts w:eastAsia="Arial" w:cs="Arial"/>
          <w:sz w:val="20"/>
          <w:szCs w:val="20"/>
        </w:rPr>
        <w:t xml:space="preserve">. </w:t>
      </w:r>
      <w:r w:rsidR="001F2C7A" w:rsidRPr="00215B2F">
        <w:rPr>
          <w:rFonts w:eastAsia="Arial" w:cs="Arial"/>
          <w:sz w:val="20"/>
          <w:szCs w:val="20"/>
        </w:rPr>
        <w:t>členom tega zakona</w:t>
      </w:r>
      <w:r w:rsidRPr="00215B2F">
        <w:rPr>
          <w:rFonts w:eastAsia="Arial" w:cs="Arial"/>
          <w:sz w:val="20"/>
          <w:szCs w:val="20"/>
        </w:rPr>
        <w:t>;</w:t>
      </w:r>
    </w:p>
    <w:p w14:paraId="374EE7D1" w14:textId="14C3B4C5" w:rsidR="00EA4B78" w:rsidRPr="00215B2F" w:rsidRDefault="003E6AA3" w:rsidP="00AB65A6">
      <w:pPr>
        <w:pStyle w:val="tevilnatoka"/>
        <w:shd w:val="clear" w:color="auto" w:fill="FFFFFF" w:themeFill="background1"/>
        <w:tabs>
          <w:tab w:val="clear" w:pos="425"/>
        </w:tabs>
        <w:rPr>
          <w:rFonts w:cs="Arial"/>
          <w:bCs/>
          <w:sz w:val="20"/>
          <w:szCs w:val="20"/>
        </w:rPr>
      </w:pPr>
      <w:r w:rsidRPr="00215B2F">
        <w:rPr>
          <w:rFonts w:eastAsia="Arial" w:cs="Arial"/>
          <w:sz w:val="20"/>
          <w:szCs w:val="20"/>
        </w:rPr>
        <w:t xml:space="preserve">se pri </w:t>
      </w:r>
      <w:r w:rsidR="00D91782" w:rsidRPr="00215B2F">
        <w:rPr>
          <w:rFonts w:eastAsia="Arial" w:cs="Arial"/>
          <w:sz w:val="20"/>
          <w:szCs w:val="20"/>
        </w:rPr>
        <w:t>datum</w:t>
      </w:r>
      <w:r w:rsidRPr="00215B2F">
        <w:rPr>
          <w:rFonts w:eastAsia="Arial" w:cs="Arial"/>
          <w:sz w:val="20"/>
          <w:szCs w:val="20"/>
        </w:rPr>
        <w:t>u</w:t>
      </w:r>
      <w:r w:rsidR="00D91782" w:rsidRPr="00215B2F">
        <w:rPr>
          <w:rFonts w:eastAsia="Arial" w:cs="Arial"/>
          <w:sz w:val="20"/>
          <w:szCs w:val="20"/>
        </w:rPr>
        <w:t>, s katerim se začne uporabljati periodična denarna kazen</w:t>
      </w:r>
      <w:r w:rsidRPr="00215B2F">
        <w:rPr>
          <w:rFonts w:eastAsia="Arial" w:cs="Arial"/>
          <w:sz w:val="20"/>
          <w:szCs w:val="20"/>
        </w:rPr>
        <w:t>,</w:t>
      </w:r>
      <w:r w:rsidR="00D91782" w:rsidRPr="00215B2F">
        <w:rPr>
          <w:rFonts w:eastAsia="Arial" w:cs="Arial"/>
          <w:sz w:val="20"/>
          <w:szCs w:val="20"/>
        </w:rPr>
        <w:t xml:space="preserve"> ne upošteva rok iz odločitve Banke Slovenije ali Evropske centralne banke</w:t>
      </w:r>
      <w:r w:rsidRPr="00215B2F">
        <w:rPr>
          <w:rFonts w:eastAsia="Arial" w:cs="Arial"/>
          <w:sz w:val="20"/>
          <w:szCs w:val="20"/>
        </w:rPr>
        <w:t xml:space="preserve"> glede</w:t>
      </w:r>
      <w:r w:rsidR="00D91782" w:rsidRPr="00215B2F">
        <w:rPr>
          <w:rFonts w:eastAsia="Arial" w:cs="Arial"/>
          <w:sz w:val="20"/>
          <w:szCs w:val="20"/>
        </w:rPr>
        <w:t xml:space="preserve"> kršitv</w:t>
      </w:r>
      <w:r w:rsidRPr="00215B2F">
        <w:rPr>
          <w:rFonts w:eastAsia="Arial" w:cs="Arial"/>
          <w:sz w:val="20"/>
          <w:szCs w:val="20"/>
        </w:rPr>
        <w:t>e, ki</w:t>
      </w:r>
      <w:r w:rsidR="00D91782" w:rsidRPr="00215B2F">
        <w:rPr>
          <w:rFonts w:eastAsia="Arial" w:cs="Arial"/>
          <w:sz w:val="20"/>
          <w:szCs w:val="20"/>
        </w:rPr>
        <w:t xml:space="preserve"> je razlog za periodično denarno kazen; </w:t>
      </w:r>
    </w:p>
    <w:p w14:paraId="0742268E" w14:textId="77777777" w:rsidR="00EA4B78" w:rsidRPr="00215B2F" w:rsidRDefault="00D91782" w:rsidP="00AB65A6">
      <w:pPr>
        <w:pStyle w:val="tevilnatoka"/>
        <w:shd w:val="clear" w:color="auto" w:fill="FFFFFF" w:themeFill="background1"/>
        <w:tabs>
          <w:tab w:val="clear" w:pos="425"/>
        </w:tabs>
        <w:rPr>
          <w:rFonts w:cs="Arial"/>
          <w:bCs/>
          <w:sz w:val="20"/>
          <w:szCs w:val="20"/>
        </w:rPr>
      </w:pPr>
      <w:r w:rsidRPr="00215B2F">
        <w:rPr>
          <w:rFonts w:eastAsia="Arial" w:cs="Arial"/>
          <w:sz w:val="20"/>
          <w:szCs w:val="20"/>
        </w:rPr>
        <w:t>je bila z odredbo naložena periodična denarna kazen subjektu nadzora, nad katerim Banka Slovenije ni pristojna opravljati nadzora;</w:t>
      </w:r>
    </w:p>
    <w:p w14:paraId="7C74243D" w14:textId="32FAB6BE" w:rsidR="00EA4B78" w:rsidRPr="00215B2F" w:rsidRDefault="00D91782" w:rsidP="00AB65A6">
      <w:pPr>
        <w:pStyle w:val="tevilnatoka"/>
        <w:shd w:val="clear" w:color="auto" w:fill="FFFFFF" w:themeFill="background1"/>
        <w:tabs>
          <w:tab w:val="clear" w:pos="425"/>
        </w:tabs>
        <w:rPr>
          <w:rFonts w:cs="Arial"/>
          <w:bCs/>
          <w:sz w:val="20"/>
          <w:szCs w:val="20"/>
        </w:rPr>
      </w:pPr>
      <w:r w:rsidRPr="00215B2F">
        <w:rPr>
          <w:rFonts w:eastAsia="Arial" w:cs="Arial"/>
          <w:sz w:val="20"/>
          <w:szCs w:val="20"/>
        </w:rPr>
        <w:t xml:space="preserve">je v odredbi zmotno ali nepopolno ugotovljeno dejansko stanje ali </w:t>
      </w:r>
    </w:p>
    <w:p w14:paraId="6AECDC6C" w14:textId="5741744F" w:rsidR="00D91782" w:rsidRPr="00215B2F" w:rsidRDefault="00D91782" w:rsidP="00AB65A6">
      <w:pPr>
        <w:pStyle w:val="tevilnatoka"/>
        <w:shd w:val="clear" w:color="auto" w:fill="FFFFFF" w:themeFill="background1"/>
        <w:tabs>
          <w:tab w:val="clear" w:pos="425"/>
        </w:tabs>
        <w:rPr>
          <w:rFonts w:cs="Arial"/>
          <w:bCs/>
          <w:sz w:val="20"/>
          <w:szCs w:val="20"/>
        </w:rPr>
      </w:pPr>
      <w:r w:rsidRPr="00215B2F">
        <w:rPr>
          <w:rFonts w:eastAsia="Arial" w:cs="Arial"/>
          <w:sz w:val="20"/>
          <w:szCs w:val="20"/>
        </w:rPr>
        <w:t xml:space="preserve">je </w:t>
      </w:r>
      <w:r w:rsidR="00330C80" w:rsidRPr="00215B2F">
        <w:rPr>
          <w:rFonts w:eastAsia="Arial" w:cs="Arial"/>
          <w:sz w:val="20"/>
          <w:szCs w:val="20"/>
        </w:rPr>
        <w:t>ugotovlje</w:t>
      </w:r>
      <w:r w:rsidRPr="00215B2F">
        <w:rPr>
          <w:rFonts w:eastAsia="Arial" w:cs="Arial"/>
          <w:sz w:val="20"/>
          <w:szCs w:val="20"/>
        </w:rPr>
        <w:t xml:space="preserve">na kršitev pravil postopka. </w:t>
      </w:r>
    </w:p>
    <w:p w14:paraId="1BD0FF0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BD4FA6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Ugovor zoper odredbo o periodični denarni kazni ne zadrži datuma, s katerim se začne uporabljati periodična denarna kazen. </w:t>
      </w:r>
    </w:p>
    <w:p w14:paraId="7496033F"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3A0787F1"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51" w:name="_Ref202968653"/>
      <w:r w:rsidRPr="00215B2F">
        <w:rPr>
          <w:rFonts w:ascii="Arial" w:eastAsia="Arial" w:hAnsi="Arial" w:cs="Arial"/>
          <w:b/>
          <w:bCs/>
          <w:sz w:val="20"/>
          <w:szCs w:val="20"/>
        </w:rPr>
        <w:t>člen</w:t>
      </w:r>
      <w:bookmarkEnd w:id="551"/>
    </w:p>
    <w:p w14:paraId="14D66E06"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(sestavljena odredba)</w:t>
      </w:r>
    </w:p>
    <w:p w14:paraId="0147A58A"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34A64BF1" w14:textId="444C7CD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Če Banka Slovenije o periodični denarni kazni odloči skupaj z odredbo o odpravi kršitev, v izreku sestavljene odločitve navede vse elemente iz </w:t>
      </w:r>
      <w:r w:rsidR="004B5768" w:rsidRPr="00215B2F">
        <w:rPr>
          <w:rFonts w:ascii="Arial" w:eastAsia="Arial" w:hAnsi="Arial" w:cs="Arial"/>
          <w:sz w:val="20"/>
          <w:szCs w:val="20"/>
        </w:rPr>
        <w:t>465</w:t>
      </w:r>
      <w:r w:rsidRPr="00215B2F">
        <w:rPr>
          <w:rFonts w:ascii="Arial" w:eastAsia="Arial" w:hAnsi="Arial" w:cs="Arial"/>
          <w:sz w:val="20"/>
          <w:szCs w:val="20"/>
        </w:rPr>
        <w:t xml:space="preserve">. </w:t>
      </w:r>
      <w:r w:rsidR="003E6AA3" w:rsidRPr="00215B2F">
        <w:rPr>
          <w:rFonts w:ascii="Arial" w:eastAsia="Arial" w:hAnsi="Arial" w:cs="Arial"/>
          <w:sz w:val="20"/>
          <w:szCs w:val="20"/>
        </w:rPr>
        <w:t xml:space="preserve">člena </w:t>
      </w:r>
      <w:r w:rsidRPr="00215B2F">
        <w:rPr>
          <w:rFonts w:ascii="Arial" w:eastAsia="Arial" w:hAnsi="Arial" w:cs="Arial"/>
          <w:sz w:val="20"/>
          <w:szCs w:val="20"/>
        </w:rPr>
        <w:t xml:space="preserve">in iz 2. in 3. točke </w:t>
      </w:r>
      <w:r w:rsidR="004B5768" w:rsidRPr="00215B2F">
        <w:rPr>
          <w:rFonts w:ascii="Arial" w:eastAsia="Arial" w:hAnsi="Arial" w:cs="Arial"/>
          <w:sz w:val="20"/>
          <w:szCs w:val="20"/>
        </w:rPr>
        <w:t>477</w:t>
      </w:r>
      <w:r w:rsidRPr="00215B2F">
        <w:rPr>
          <w:rFonts w:ascii="Arial" w:eastAsia="Arial" w:hAnsi="Arial" w:cs="Arial"/>
          <w:sz w:val="20"/>
          <w:szCs w:val="20"/>
        </w:rPr>
        <w:t xml:space="preserve">. člena </w:t>
      </w:r>
      <w:r w:rsidR="005A6EA0" w:rsidRPr="00215B2F">
        <w:rPr>
          <w:rFonts w:ascii="Arial" w:eastAsia="Arial" w:hAnsi="Arial" w:cs="Arial"/>
          <w:sz w:val="20"/>
          <w:szCs w:val="20"/>
        </w:rPr>
        <w:t xml:space="preserve">tega </w:t>
      </w:r>
      <w:r w:rsidRPr="00215B2F">
        <w:rPr>
          <w:rFonts w:ascii="Arial" w:eastAsia="Arial" w:hAnsi="Arial" w:cs="Arial"/>
          <w:sz w:val="20"/>
          <w:szCs w:val="20"/>
        </w:rPr>
        <w:t>zakona.</w:t>
      </w:r>
    </w:p>
    <w:p w14:paraId="6ABC27D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F51D097" w14:textId="0517DA0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Ugovor zoper sestavljeno odredbo se lahko </w:t>
      </w:r>
      <w:r w:rsidR="003E6AA3" w:rsidRPr="00215B2F">
        <w:rPr>
          <w:rFonts w:ascii="Arial" w:eastAsia="Arial" w:hAnsi="Arial" w:cs="Arial"/>
          <w:sz w:val="20"/>
          <w:szCs w:val="20"/>
        </w:rPr>
        <w:t>vloži</w:t>
      </w:r>
      <w:r w:rsidRPr="00215B2F">
        <w:rPr>
          <w:rFonts w:ascii="Arial" w:eastAsia="Arial" w:hAnsi="Arial" w:cs="Arial"/>
          <w:sz w:val="20"/>
          <w:szCs w:val="20"/>
        </w:rPr>
        <w:t xml:space="preserve"> iz katerega koli razloga iz </w:t>
      </w:r>
      <w:r w:rsidR="004B5768" w:rsidRPr="00215B2F">
        <w:rPr>
          <w:rFonts w:ascii="Arial" w:eastAsia="Arial" w:hAnsi="Arial" w:cs="Arial"/>
          <w:sz w:val="20"/>
          <w:szCs w:val="20"/>
        </w:rPr>
        <w:t>467</w:t>
      </w:r>
      <w:r w:rsidRPr="00215B2F">
        <w:rPr>
          <w:rFonts w:ascii="Arial" w:eastAsia="Arial" w:hAnsi="Arial" w:cs="Arial"/>
          <w:sz w:val="20"/>
          <w:szCs w:val="20"/>
        </w:rPr>
        <w:t xml:space="preserve">. ali </w:t>
      </w:r>
      <w:r w:rsidR="004B5768" w:rsidRPr="00215B2F">
        <w:rPr>
          <w:rFonts w:ascii="Arial" w:eastAsia="Arial" w:hAnsi="Arial" w:cs="Arial"/>
          <w:sz w:val="20"/>
          <w:szCs w:val="20"/>
        </w:rPr>
        <w:t>479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w:t>
      </w:r>
    </w:p>
    <w:p w14:paraId="10BC12B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A26B28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Če subjekt nadzora zoper sestavljeno odredbo ugovarja samo v delu glede periodične denarne kazni, se rok za odpravo kršitev ne podaljša za čas od vložitve ugovora do vročitve odločbe o ugovoru. </w:t>
      </w:r>
    </w:p>
    <w:p w14:paraId="599A9EE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BD006C6"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52" w:name="_Ref202968657"/>
      <w:r w:rsidRPr="00215B2F">
        <w:rPr>
          <w:rFonts w:ascii="Arial" w:eastAsia="Arial" w:hAnsi="Arial" w:cs="Arial"/>
          <w:b/>
          <w:bCs/>
          <w:sz w:val="20"/>
          <w:szCs w:val="20"/>
        </w:rPr>
        <w:t>člen</w:t>
      </w:r>
      <w:bookmarkEnd w:id="552"/>
    </w:p>
    <w:p w14:paraId="2D068AC9"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(vsebina odločbe o skupnem znesku periodične denarne kazni)</w:t>
      </w:r>
    </w:p>
    <w:p w14:paraId="6F070427"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7B3742C7" w14:textId="166E22E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Izrek odločbe o skupnem znesku periodične denarne kazni </w:t>
      </w:r>
      <w:r w:rsidR="00B110D1" w:rsidRPr="00215B2F">
        <w:rPr>
          <w:rFonts w:ascii="Arial" w:eastAsia="Arial" w:hAnsi="Arial" w:cs="Arial"/>
          <w:sz w:val="20"/>
          <w:szCs w:val="20"/>
        </w:rPr>
        <w:t>vključuje</w:t>
      </w:r>
      <w:r w:rsidRPr="00215B2F">
        <w:rPr>
          <w:rFonts w:ascii="Arial" w:eastAsia="Arial" w:hAnsi="Arial" w:cs="Arial"/>
          <w:sz w:val="20"/>
          <w:szCs w:val="20"/>
        </w:rPr>
        <w:t xml:space="preserve">: </w:t>
      </w:r>
    </w:p>
    <w:p w14:paraId="1209BAD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7E04044" w14:textId="24311140" w:rsidR="00EA4B78" w:rsidRPr="00215B2F" w:rsidRDefault="00D91782" w:rsidP="003D4DE0">
      <w:pPr>
        <w:pStyle w:val="tevilnatoka"/>
        <w:numPr>
          <w:ilvl w:val="0"/>
          <w:numId w:val="388"/>
        </w:numPr>
        <w:shd w:val="clear" w:color="auto" w:fill="FFFFFF" w:themeFill="background1"/>
        <w:rPr>
          <w:rFonts w:cs="Arial"/>
          <w:bCs/>
          <w:sz w:val="20"/>
          <w:szCs w:val="20"/>
        </w:rPr>
      </w:pPr>
      <w:r w:rsidRPr="00215B2F">
        <w:rPr>
          <w:rFonts w:eastAsia="Arial" w:cs="Arial"/>
          <w:sz w:val="20"/>
          <w:szCs w:val="20"/>
        </w:rPr>
        <w:t xml:space="preserve">navedbo odredbe o periodični denarni kazni ali sestavljene odredbe, s katero je bila </w:t>
      </w:r>
      <w:r w:rsidR="00D43233" w:rsidRPr="00215B2F">
        <w:rPr>
          <w:rFonts w:eastAsia="Arial" w:cs="Arial"/>
          <w:sz w:val="20"/>
          <w:szCs w:val="20"/>
        </w:rPr>
        <w:t xml:space="preserve">naložena </w:t>
      </w:r>
      <w:r w:rsidRPr="00215B2F">
        <w:rPr>
          <w:rFonts w:eastAsia="Arial" w:cs="Arial"/>
          <w:sz w:val="20"/>
          <w:szCs w:val="20"/>
        </w:rPr>
        <w:t>periodična denarna kazen</w:t>
      </w:r>
      <w:r w:rsidR="00D43233" w:rsidRPr="00215B2F">
        <w:rPr>
          <w:rFonts w:eastAsia="Arial" w:cs="Arial"/>
          <w:sz w:val="20"/>
          <w:szCs w:val="20"/>
        </w:rPr>
        <w:t>,</w:t>
      </w:r>
      <w:r w:rsidRPr="00215B2F">
        <w:rPr>
          <w:rFonts w:eastAsia="Arial" w:cs="Arial"/>
          <w:sz w:val="20"/>
          <w:szCs w:val="20"/>
        </w:rPr>
        <w:t xml:space="preserve"> </w:t>
      </w:r>
      <w:r w:rsidR="00D43233" w:rsidRPr="00215B2F">
        <w:rPr>
          <w:rFonts w:eastAsia="Arial" w:cs="Arial"/>
          <w:sz w:val="20"/>
          <w:szCs w:val="20"/>
        </w:rPr>
        <w:t xml:space="preserve">in </w:t>
      </w:r>
      <w:r w:rsidRPr="00215B2F">
        <w:rPr>
          <w:rFonts w:eastAsia="Arial" w:cs="Arial"/>
          <w:sz w:val="20"/>
          <w:szCs w:val="20"/>
        </w:rPr>
        <w:t>višino dnevnega zneska iz te odredbe;</w:t>
      </w:r>
    </w:p>
    <w:p w14:paraId="36B61A9E" w14:textId="40BA35F2" w:rsidR="00EA4B78" w:rsidRPr="00215B2F" w:rsidRDefault="00D91782" w:rsidP="00AB65A6">
      <w:pPr>
        <w:pStyle w:val="tevilnatoka"/>
        <w:shd w:val="clear" w:color="auto" w:fill="FFFFFF" w:themeFill="background1"/>
        <w:tabs>
          <w:tab w:val="clear" w:pos="425"/>
        </w:tabs>
        <w:rPr>
          <w:rFonts w:cs="Arial"/>
          <w:bCs/>
          <w:sz w:val="20"/>
          <w:szCs w:val="20"/>
        </w:rPr>
      </w:pPr>
      <w:r w:rsidRPr="00215B2F">
        <w:rPr>
          <w:rFonts w:eastAsia="Arial" w:cs="Arial"/>
          <w:sz w:val="20"/>
          <w:szCs w:val="20"/>
        </w:rPr>
        <w:t>informacijo o odpravi kršitev oziroma ponovni vzpostavitvi skladnosti z obveznostmi</w:t>
      </w:r>
      <w:r w:rsidR="00D43233" w:rsidRPr="00215B2F">
        <w:rPr>
          <w:rFonts w:eastAsia="Arial" w:cs="Arial"/>
          <w:sz w:val="20"/>
          <w:szCs w:val="20"/>
        </w:rPr>
        <w:t>;</w:t>
      </w:r>
    </w:p>
    <w:p w14:paraId="653F62B8" w14:textId="096F830B" w:rsidR="00EA4B78" w:rsidRPr="00215B2F" w:rsidRDefault="00D91782" w:rsidP="00AB65A6">
      <w:pPr>
        <w:pStyle w:val="tevilnatoka"/>
        <w:shd w:val="clear" w:color="auto" w:fill="FFFFFF" w:themeFill="background1"/>
        <w:tabs>
          <w:tab w:val="clear" w:pos="425"/>
        </w:tabs>
        <w:rPr>
          <w:rFonts w:cs="Arial"/>
          <w:bCs/>
          <w:sz w:val="20"/>
          <w:szCs w:val="20"/>
        </w:rPr>
      </w:pPr>
      <w:r w:rsidRPr="00215B2F">
        <w:rPr>
          <w:rFonts w:eastAsia="Arial" w:cs="Arial"/>
          <w:sz w:val="20"/>
          <w:szCs w:val="20"/>
        </w:rPr>
        <w:t>obdobje</w:t>
      </w:r>
      <w:r w:rsidR="00D43233" w:rsidRPr="00215B2F">
        <w:rPr>
          <w:rFonts w:eastAsia="Arial" w:cs="Arial"/>
          <w:sz w:val="20"/>
          <w:szCs w:val="20"/>
        </w:rPr>
        <w:t>,</w:t>
      </w:r>
      <w:r w:rsidRPr="00215B2F">
        <w:rPr>
          <w:rFonts w:eastAsia="Arial" w:cs="Arial"/>
          <w:sz w:val="20"/>
          <w:szCs w:val="20"/>
        </w:rPr>
        <w:t xml:space="preserve"> za kater</w:t>
      </w:r>
      <w:r w:rsidR="00D43233" w:rsidRPr="00215B2F">
        <w:rPr>
          <w:rFonts w:eastAsia="Arial" w:cs="Arial"/>
          <w:sz w:val="20"/>
          <w:szCs w:val="20"/>
        </w:rPr>
        <w:t>o</w:t>
      </w:r>
      <w:r w:rsidRPr="00215B2F">
        <w:rPr>
          <w:rFonts w:eastAsia="Arial" w:cs="Arial"/>
          <w:sz w:val="20"/>
          <w:szCs w:val="20"/>
        </w:rPr>
        <w:t xml:space="preserve"> se je periodična denarna kazen uporabljala</w:t>
      </w:r>
      <w:r w:rsidR="00D43233" w:rsidRPr="00215B2F">
        <w:rPr>
          <w:rFonts w:eastAsia="Arial" w:cs="Arial"/>
          <w:sz w:val="20"/>
          <w:szCs w:val="20"/>
        </w:rPr>
        <w:t>,</w:t>
      </w:r>
      <w:r w:rsidRPr="00215B2F">
        <w:rPr>
          <w:rFonts w:eastAsia="Arial" w:cs="Arial"/>
          <w:sz w:val="20"/>
          <w:szCs w:val="20"/>
        </w:rPr>
        <w:t xml:space="preserve"> in </w:t>
      </w:r>
      <w:r w:rsidR="00D43233" w:rsidRPr="00215B2F">
        <w:rPr>
          <w:rFonts w:eastAsia="Arial" w:cs="Arial"/>
          <w:sz w:val="20"/>
          <w:szCs w:val="20"/>
        </w:rPr>
        <w:t xml:space="preserve">posebej </w:t>
      </w:r>
      <w:r w:rsidRPr="00215B2F">
        <w:rPr>
          <w:rFonts w:eastAsia="Arial" w:cs="Arial"/>
          <w:sz w:val="20"/>
          <w:szCs w:val="20"/>
        </w:rPr>
        <w:t>število dni</w:t>
      </w:r>
      <w:r w:rsidR="00D43233" w:rsidRPr="00215B2F">
        <w:rPr>
          <w:rFonts w:eastAsia="Arial" w:cs="Arial"/>
          <w:sz w:val="20"/>
          <w:szCs w:val="20"/>
        </w:rPr>
        <w:t xml:space="preserve"> tega obdobja</w:t>
      </w:r>
      <w:r w:rsidRPr="00215B2F">
        <w:rPr>
          <w:rFonts w:eastAsia="Arial" w:cs="Arial"/>
          <w:sz w:val="20"/>
          <w:szCs w:val="20"/>
        </w:rPr>
        <w:t>;</w:t>
      </w:r>
    </w:p>
    <w:p w14:paraId="0C77C40C" w14:textId="77777777" w:rsidR="00EA4B78" w:rsidRPr="00215B2F" w:rsidRDefault="00D91782" w:rsidP="00AB65A6">
      <w:pPr>
        <w:pStyle w:val="tevilnatoka"/>
        <w:shd w:val="clear" w:color="auto" w:fill="FFFFFF" w:themeFill="background1"/>
        <w:tabs>
          <w:tab w:val="clear" w:pos="425"/>
        </w:tabs>
        <w:rPr>
          <w:rFonts w:cs="Arial"/>
          <w:bCs/>
          <w:sz w:val="20"/>
          <w:szCs w:val="20"/>
        </w:rPr>
      </w:pPr>
      <w:r w:rsidRPr="00215B2F">
        <w:rPr>
          <w:rFonts w:eastAsia="Arial" w:cs="Arial"/>
          <w:sz w:val="20"/>
          <w:szCs w:val="20"/>
        </w:rPr>
        <w:t>skupni znesek periodične denarne kazni;</w:t>
      </w:r>
    </w:p>
    <w:p w14:paraId="4848B407" w14:textId="1602F8B8" w:rsidR="00D91782" w:rsidRPr="00215B2F" w:rsidRDefault="00D91782" w:rsidP="00AB65A6">
      <w:pPr>
        <w:pStyle w:val="tevilnatoka"/>
        <w:shd w:val="clear" w:color="auto" w:fill="FFFFFF" w:themeFill="background1"/>
        <w:tabs>
          <w:tab w:val="clear" w:pos="425"/>
        </w:tabs>
        <w:rPr>
          <w:rFonts w:cs="Arial"/>
          <w:bCs/>
          <w:sz w:val="20"/>
          <w:szCs w:val="20"/>
        </w:rPr>
      </w:pPr>
      <w:r w:rsidRPr="00215B2F">
        <w:rPr>
          <w:rFonts w:eastAsia="Arial" w:cs="Arial"/>
          <w:sz w:val="20"/>
          <w:szCs w:val="20"/>
        </w:rPr>
        <w:lastRenderedPageBreak/>
        <w:t xml:space="preserve">rok za plačilo skupnega zneska periodične denarne kazni, ki ne sme biti krajši </w:t>
      </w:r>
      <w:r w:rsidR="00D43233" w:rsidRPr="00215B2F">
        <w:rPr>
          <w:rFonts w:eastAsia="Arial" w:cs="Arial"/>
          <w:sz w:val="20"/>
          <w:szCs w:val="20"/>
        </w:rPr>
        <w:t xml:space="preserve">od </w:t>
      </w:r>
      <w:r w:rsidRPr="00215B2F">
        <w:rPr>
          <w:rFonts w:eastAsia="Arial" w:cs="Arial"/>
          <w:sz w:val="20"/>
          <w:szCs w:val="20"/>
        </w:rPr>
        <w:t xml:space="preserve">15 dni. </w:t>
      </w:r>
    </w:p>
    <w:p w14:paraId="282F4F1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9FA7B20" w14:textId="3C5CC3B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Izrek ugotovitvene odločbe iz drugega odstavka </w:t>
      </w:r>
      <w:r w:rsidR="00DB2AA9" w:rsidRPr="00215B2F">
        <w:rPr>
          <w:rFonts w:ascii="Arial" w:eastAsia="Arial" w:hAnsi="Arial" w:cs="Arial"/>
          <w:sz w:val="20"/>
          <w:szCs w:val="20"/>
        </w:rPr>
        <w:t>390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obsega 1., 2. in 3. točko prejšnjega odstavka. </w:t>
      </w:r>
    </w:p>
    <w:p w14:paraId="59525CE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7C3FC4A" w14:textId="4DCC11F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V primeru sestavljene odredbe je ugotovitev iz prejšnjega odstavka sestavni del ugotovitvene odločbe iz </w:t>
      </w:r>
      <w:r w:rsidR="004B5768" w:rsidRPr="00215B2F">
        <w:rPr>
          <w:rFonts w:ascii="Arial" w:eastAsia="Arial" w:hAnsi="Arial" w:cs="Arial"/>
          <w:sz w:val="20"/>
          <w:szCs w:val="20"/>
        </w:rPr>
        <w:t>347</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44B276F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D8A40D7" w14:textId="5F50425E" w:rsidR="00D91782" w:rsidRPr="00215B2F" w:rsidRDefault="005F0814"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16</w:t>
      </w:r>
      <w:r w:rsidR="00D91782" w:rsidRPr="00215B2F">
        <w:rPr>
          <w:rFonts w:ascii="Arial" w:eastAsia="Arial" w:hAnsi="Arial" w:cs="Arial"/>
          <w:i/>
          <w:iCs/>
          <w:sz w:val="20"/>
          <w:szCs w:val="20"/>
        </w:rPr>
        <w:t>.</w:t>
      </w:r>
      <w:r w:rsidRPr="00215B2F">
        <w:rPr>
          <w:rFonts w:ascii="Arial" w:eastAsia="Arial" w:hAnsi="Arial" w:cs="Arial"/>
          <w:i/>
          <w:iCs/>
          <w:sz w:val="20"/>
          <w:szCs w:val="20"/>
        </w:rPr>
        <w:t>4</w:t>
      </w:r>
      <w:r w:rsidR="00D91782" w:rsidRPr="00215B2F">
        <w:rPr>
          <w:rFonts w:ascii="Arial" w:eastAsia="Arial" w:hAnsi="Arial" w:cs="Arial"/>
          <w:i/>
          <w:iCs/>
          <w:sz w:val="20"/>
          <w:szCs w:val="20"/>
        </w:rPr>
        <w:t>.2 Postopek za administrativne sankcije</w:t>
      </w:r>
    </w:p>
    <w:p w14:paraId="0BE6358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9A1139A"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53" w:name="_Ref202968662"/>
      <w:r w:rsidRPr="00215B2F">
        <w:rPr>
          <w:rFonts w:ascii="Arial" w:eastAsia="Arial" w:hAnsi="Arial" w:cs="Arial"/>
          <w:b/>
          <w:bCs/>
          <w:sz w:val="20"/>
          <w:szCs w:val="20"/>
        </w:rPr>
        <w:t>člen</w:t>
      </w:r>
      <w:bookmarkEnd w:id="553"/>
    </w:p>
    <w:p w14:paraId="022D287B"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(začetek postopka administrativne sankcije)</w:t>
      </w:r>
    </w:p>
    <w:p w14:paraId="1976BA6C"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7ADA7C8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Banka Slovenije vodi postopek in izreka administrativne sankcije po uradni dolžnosti. </w:t>
      </w:r>
    </w:p>
    <w:p w14:paraId="2AE7455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55C0AC7" w14:textId="250F0AB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o začetku postopka administrativne sankcije pisno obvesti pravno osebo. Pisno obvestilo o začetku postopka ne šteje kot možnost izjave po </w:t>
      </w:r>
      <w:r w:rsidR="00FA74E6" w:rsidRPr="00215B2F">
        <w:rPr>
          <w:rFonts w:ascii="Arial" w:eastAsia="Arial" w:hAnsi="Arial" w:cs="Arial"/>
          <w:sz w:val="20"/>
          <w:szCs w:val="20"/>
        </w:rPr>
        <w:t>445</w:t>
      </w:r>
      <w:r w:rsidRPr="00215B2F">
        <w:rPr>
          <w:rFonts w:ascii="Arial" w:eastAsia="Arial" w:hAnsi="Arial" w:cs="Arial"/>
          <w:sz w:val="20"/>
          <w:szCs w:val="20"/>
        </w:rPr>
        <w:t xml:space="preserve">. </w:t>
      </w:r>
      <w:r w:rsidR="001F2C7A" w:rsidRPr="00215B2F">
        <w:rPr>
          <w:rFonts w:ascii="Arial" w:eastAsia="Arial" w:hAnsi="Arial" w:cs="Arial"/>
          <w:sz w:val="20"/>
          <w:szCs w:val="20"/>
        </w:rPr>
        <w:t>členu tega zakona</w:t>
      </w:r>
      <w:r w:rsidRPr="00215B2F">
        <w:rPr>
          <w:rFonts w:ascii="Arial" w:eastAsia="Arial" w:hAnsi="Arial" w:cs="Arial"/>
          <w:sz w:val="20"/>
          <w:szCs w:val="20"/>
        </w:rPr>
        <w:t xml:space="preserve">. </w:t>
      </w:r>
    </w:p>
    <w:p w14:paraId="3716248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784E7CC" w14:textId="343FCFB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V postopku administrativne sankcije Banka Slovenije v pozivu k izjavi iz </w:t>
      </w:r>
      <w:r w:rsidR="00FA74E6" w:rsidRPr="00215B2F">
        <w:rPr>
          <w:rFonts w:ascii="Arial" w:eastAsia="Arial" w:hAnsi="Arial" w:cs="Arial"/>
          <w:sz w:val="20"/>
          <w:szCs w:val="20"/>
        </w:rPr>
        <w:t>445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navede tudi predvideno višino administrativne sankcije.</w:t>
      </w:r>
    </w:p>
    <w:p w14:paraId="70BD6E4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E3B71BB" w14:textId="7F8C749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V primeru iz tretjega odstavka </w:t>
      </w:r>
      <w:r w:rsidR="004B5768" w:rsidRPr="00215B2F">
        <w:rPr>
          <w:rFonts w:ascii="Arial" w:eastAsia="Arial" w:hAnsi="Arial" w:cs="Arial"/>
          <w:sz w:val="20"/>
          <w:szCs w:val="20"/>
        </w:rPr>
        <w:t>393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Banka Slovenije v pozivu k izjavi iz</w:t>
      </w:r>
      <w:r w:rsidR="00D43233" w:rsidRPr="00215B2F">
        <w:rPr>
          <w:rFonts w:ascii="Arial" w:eastAsia="Arial" w:hAnsi="Arial" w:cs="Arial"/>
          <w:sz w:val="20"/>
          <w:szCs w:val="20"/>
        </w:rPr>
        <w:t xml:space="preserve"> </w:t>
      </w:r>
      <w:r w:rsidR="00FA74E6" w:rsidRPr="00215B2F">
        <w:rPr>
          <w:rFonts w:ascii="Arial" w:eastAsia="Arial" w:hAnsi="Arial" w:cs="Arial"/>
          <w:sz w:val="20"/>
          <w:szCs w:val="20"/>
        </w:rPr>
        <w:t>445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navede oznako odredbe za odpravo kršitev, s katero je bila kršitev ugotovljena</w:t>
      </w:r>
      <w:r w:rsidR="00D43233" w:rsidRPr="00215B2F">
        <w:rPr>
          <w:rFonts w:ascii="Arial" w:eastAsia="Arial" w:hAnsi="Arial" w:cs="Arial"/>
          <w:sz w:val="20"/>
          <w:szCs w:val="20"/>
        </w:rPr>
        <w:t>,</w:t>
      </w:r>
      <w:r w:rsidRPr="00215B2F">
        <w:rPr>
          <w:rFonts w:ascii="Arial" w:eastAsia="Arial" w:hAnsi="Arial" w:cs="Arial"/>
          <w:sz w:val="20"/>
          <w:szCs w:val="20"/>
        </w:rPr>
        <w:t xml:space="preserve"> ter predvideno višino administrative sankcije in okoliščine, ki jih je pri odmeri upoštevala.</w:t>
      </w:r>
    </w:p>
    <w:p w14:paraId="36D5F378" w14:textId="77777777" w:rsidR="002C1D95" w:rsidRPr="00215B2F" w:rsidRDefault="002C1D95" w:rsidP="00FD5520">
      <w:pPr>
        <w:shd w:val="clear" w:color="auto" w:fill="FFFFFF" w:themeFill="background1"/>
        <w:spacing w:after="0" w:line="240" w:lineRule="auto"/>
        <w:jc w:val="both"/>
        <w:rPr>
          <w:rFonts w:ascii="Arial" w:eastAsia="Arial" w:hAnsi="Arial" w:cs="Arial"/>
          <w:sz w:val="20"/>
          <w:szCs w:val="20"/>
        </w:rPr>
      </w:pPr>
    </w:p>
    <w:p w14:paraId="58A4FC3F" w14:textId="0E267FEF" w:rsidR="002C1D95" w:rsidRPr="00215B2F" w:rsidRDefault="002C1D95"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Banka Slovenije postopka administrativne sankcije ne začne oziroma ga ustavi, če je bila pravni osebi za isto kršitev s pravnomočno odločbo Banke Slovenije ali pravnomočno sodbo sodišča že izrečena administrativna sankcija. </w:t>
      </w:r>
    </w:p>
    <w:p w14:paraId="3986DCB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5CF1548"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54" w:name="_Ref202968669"/>
      <w:r w:rsidRPr="00215B2F">
        <w:rPr>
          <w:rFonts w:ascii="Arial" w:eastAsia="Arial" w:hAnsi="Arial" w:cs="Arial"/>
          <w:b/>
          <w:bCs/>
          <w:sz w:val="20"/>
          <w:szCs w:val="20"/>
        </w:rPr>
        <w:t>člen</w:t>
      </w:r>
      <w:bookmarkEnd w:id="554"/>
    </w:p>
    <w:p w14:paraId="0C318014"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(vsebina odločbe o administrativni sankciji)</w:t>
      </w:r>
    </w:p>
    <w:p w14:paraId="620B3D87"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64446212" w14:textId="6B585D9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w:t>
      </w:r>
      <w:r w:rsidR="00AB65A6" w:rsidRPr="00215B2F">
        <w:rPr>
          <w:rFonts w:ascii="Arial" w:eastAsia="Arial" w:hAnsi="Arial" w:cs="Arial"/>
          <w:sz w:val="20"/>
          <w:szCs w:val="20"/>
        </w:rPr>
        <w:t xml:space="preserve"> </w:t>
      </w:r>
      <w:r w:rsidRPr="00215B2F">
        <w:rPr>
          <w:rFonts w:ascii="Arial" w:eastAsia="Arial" w:hAnsi="Arial" w:cs="Arial"/>
          <w:sz w:val="20"/>
          <w:szCs w:val="20"/>
        </w:rPr>
        <w:t xml:space="preserve">Izrek odločbe o administrativni sankciji </w:t>
      </w:r>
      <w:r w:rsidR="00B110D1" w:rsidRPr="00215B2F">
        <w:rPr>
          <w:rFonts w:ascii="Arial" w:eastAsia="Arial" w:hAnsi="Arial" w:cs="Arial"/>
          <w:sz w:val="20"/>
          <w:szCs w:val="20"/>
        </w:rPr>
        <w:t>vključuje</w:t>
      </w:r>
      <w:r w:rsidRPr="00215B2F">
        <w:rPr>
          <w:rFonts w:ascii="Arial" w:eastAsia="Arial" w:hAnsi="Arial" w:cs="Arial"/>
          <w:sz w:val="20"/>
          <w:szCs w:val="20"/>
        </w:rPr>
        <w:t>:</w:t>
      </w:r>
    </w:p>
    <w:p w14:paraId="590E96EF" w14:textId="77777777" w:rsidR="001D7B9B" w:rsidRPr="00215B2F" w:rsidRDefault="001D7B9B" w:rsidP="00FD5520">
      <w:pPr>
        <w:shd w:val="clear" w:color="auto" w:fill="FFFFFF" w:themeFill="background1"/>
        <w:spacing w:after="0" w:line="240" w:lineRule="auto"/>
        <w:jc w:val="both"/>
        <w:rPr>
          <w:rFonts w:ascii="Arial" w:eastAsia="Arial" w:hAnsi="Arial" w:cs="Arial"/>
          <w:sz w:val="20"/>
          <w:szCs w:val="20"/>
        </w:rPr>
      </w:pPr>
    </w:p>
    <w:p w14:paraId="4C7E37A5" w14:textId="4FD338D5" w:rsidR="00EA4B78" w:rsidRPr="00215B2F" w:rsidRDefault="00E44600">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navedbo </w:t>
      </w:r>
      <w:r w:rsidR="00D91782" w:rsidRPr="00215B2F">
        <w:rPr>
          <w:rFonts w:ascii="Arial" w:eastAsia="Arial" w:hAnsi="Arial" w:cs="Arial"/>
          <w:sz w:val="20"/>
          <w:szCs w:val="20"/>
        </w:rPr>
        <w:t>pravn</w:t>
      </w:r>
      <w:r w:rsidRPr="00215B2F">
        <w:rPr>
          <w:rFonts w:ascii="Arial" w:eastAsia="Arial" w:hAnsi="Arial" w:cs="Arial"/>
          <w:sz w:val="20"/>
          <w:szCs w:val="20"/>
        </w:rPr>
        <w:t>e</w:t>
      </w:r>
      <w:r w:rsidR="00D91782" w:rsidRPr="00215B2F">
        <w:rPr>
          <w:rFonts w:ascii="Arial" w:eastAsia="Arial" w:hAnsi="Arial" w:cs="Arial"/>
          <w:sz w:val="20"/>
          <w:szCs w:val="20"/>
        </w:rPr>
        <w:t xml:space="preserve"> oseb</w:t>
      </w:r>
      <w:r w:rsidRPr="00215B2F">
        <w:rPr>
          <w:rFonts w:ascii="Arial" w:eastAsia="Arial" w:hAnsi="Arial" w:cs="Arial"/>
          <w:sz w:val="20"/>
          <w:szCs w:val="20"/>
        </w:rPr>
        <w:t>e</w:t>
      </w:r>
      <w:r w:rsidR="00D91782" w:rsidRPr="00215B2F">
        <w:rPr>
          <w:rFonts w:ascii="Arial" w:eastAsia="Arial" w:hAnsi="Arial" w:cs="Arial"/>
          <w:sz w:val="20"/>
          <w:szCs w:val="20"/>
        </w:rPr>
        <w:t xml:space="preserve">, ki je storila kršitev iz </w:t>
      </w:r>
      <w:r w:rsidR="00962F2A" w:rsidRPr="00215B2F">
        <w:rPr>
          <w:rFonts w:ascii="Arial" w:eastAsia="Arial" w:hAnsi="Arial" w:cs="Arial"/>
          <w:sz w:val="20"/>
          <w:szCs w:val="20"/>
        </w:rPr>
        <w:t>389</w:t>
      </w:r>
      <w:r w:rsidR="00D91782"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00D91782" w:rsidRPr="00215B2F">
        <w:rPr>
          <w:rFonts w:ascii="Arial" w:eastAsia="Arial" w:hAnsi="Arial" w:cs="Arial"/>
          <w:sz w:val="20"/>
          <w:szCs w:val="20"/>
        </w:rPr>
        <w:t xml:space="preserve">, </w:t>
      </w:r>
    </w:p>
    <w:p w14:paraId="2AA8A155" w14:textId="1AC55A4E" w:rsidR="00EA4B78"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kratek opis kršitve iz </w:t>
      </w:r>
      <w:r w:rsidR="00962F2A" w:rsidRPr="00215B2F">
        <w:rPr>
          <w:rFonts w:ascii="Arial" w:eastAsia="Arial" w:hAnsi="Arial" w:cs="Arial"/>
          <w:sz w:val="20"/>
          <w:szCs w:val="20"/>
        </w:rPr>
        <w:t>389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ali oznako odredbe za odpravo kršitev, s katero je bila kršitev iz </w:t>
      </w:r>
      <w:r w:rsidR="00962F2A" w:rsidRPr="00215B2F">
        <w:rPr>
          <w:rFonts w:ascii="Arial" w:eastAsia="Arial" w:hAnsi="Arial" w:cs="Arial"/>
          <w:sz w:val="20"/>
          <w:szCs w:val="20"/>
        </w:rPr>
        <w:t>389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ugotovljena, </w:t>
      </w:r>
    </w:p>
    <w:p w14:paraId="7022238A" w14:textId="77777777" w:rsidR="00EA4B78"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višino administrativne sankcije in</w:t>
      </w:r>
    </w:p>
    <w:p w14:paraId="4FA7196E" w14:textId="0EC329AA"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rok za plačilo administrativne sankcije.</w:t>
      </w:r>
    </w:p>
    <w:p w14:paraId="5887733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F5AFDA9" w14:textId="4308E6A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Izrek odločbe o opominu </w:t>
      </w:r>
      <w:r w:rsidR="00B110D1" w:rsidRPr="00215B2F">
        <w:rPr>
          <w:rFonts w:ascii="Arial" w:eastAsia="Arial" w:hAnsi="Arial" w:cs="Arial"/>
          <w:sz w:val="20"/>
          <w:szCs w:val="20"/>
        </w:rPr>
        <w:t>vključuje</w:t>
      </w:r>
      <w:r w:rsidRPr="00215B2F">
        <w:rPr>
          <w:rFonts w:ascii="Arial" w:eastAsia="Arial" w:hAnsi="Arial" w:cs="Arial"/>
          <w:sz w:val="20"/>
          <w:szCs w:val="20"/>
        </w:rPr>
        <w:t xml:space="preserve">: </w:t>
      </w:r>
    </w:p>
    <w:p w14:paraId="509D62F0" w14:textId="77777777" w:rsidR="001D7B9B" w:rsidRPr="00215B2F" w:rsidRDefault="001D7B9B" w:rsidP="00FD5520">
      <w:pPr>
        <w:shd w:val="clear" w:color="auto" w:fill="FFFFFF" w:themeFill="background1"/>
        <w:spacing w:after="0" w:line="240" w:lineRule="auto"/>
        <w:jc w:val="both"/>
        <w:rPr>
          <w:rFonts w:ascii="Arial" w:eastAsia="Arial" w:hAnsi="Arial" w:cs="Arial"/>
          <w:sz w:val="20"/>
          <w:szCs w:val="20"/>
        </w:rPr>
      </w:pPr>
    </w:p>
    <w:p w14:paraId="0F44DAD5" w14:textId="4686F9F1" w:rsidR="00EA4B78" w:rsidRPr="00215B2F" w:rsidRDefault="00E44600">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navedbo </w:t>
      </w:r>
      <w:r w:rsidR="00D91782" w:rsidRPr="00215B2F">
        <w:rPr>
          <w:rFonts w:ascii="Arial" w:eastAsia="Arial" w:hAnsi="Arial" w:cs="Arial"/>
          <w:sz w:val="20"/>
          <w:szCs w:val="20"/>
        </w:rPr>
        <w:t>pravn</w:t>
      </w:r>
      <w:r w:rsidRPr="00215B2F">
        <w:rPr>
          <w:rFonts w:ascii="Arial" w:eastAsia="Arial" w:hAnsi="Arial" w:cs="Arial"/>
          <w:sz w:val="20"/>
          <w:szCs w:val="20"/>
        </w:rPr>
        <w:t>e</w:t>
      </w:r>
      <w:r w:rsidR="00D91782" w:rsidRPr="00215B2F">
        <w:rPr>
          <w:rFonts w:ascii="Arial" w:eastAsia="Arial" w:hAnsi="Arial" w:cs="Arial"/>
          <w:sz w:val="20"/>
          <w:szCs w:val="20"/>
        </w:rPr>
        <w:t xml:space="preserve"> oseb</w:t>
      </w:r>
      <w:r w:rsidRPr="00215B2F">
        <w:rPr>
          <w:rFonts w:ascii="Arial" w:eastAsia="Arial" w:hAnsi="Arial" w:cs="Arial"/>
          <w:sz w:val="20"/>
          <w:szCs w:val="20"/>
        </w:rPr>
        <w:t>e</w:t>
      </w:r>
      <w:r w:rsidR="00D91782" w:rsidRPr="00215B2F">
        <w:rPr>
          <w:rFonts w:ascii="Arial" w:eastAsia="Arial" w:hAnsi="Arial" w:cs="Arial"/>
          <w:sz w:val="20"/>
          <w:szCs w:val="20"/>
        </w:rPr>
        <w:t xml:space="preserve">, ki je storila kršitev iz </w:t>
      </w:r>
      <w:r w:rsidR="00962F2A" w:rsidRPr="00215B2F">
        <w:rPr>
          <w:rFonts w:ascii="Arial" w:eastAsia="Arial" w:hAnsi="Arial" w:cs="Arial"/>
          <w:sz w:val="20"/>
          <w:szCs w:val="20"/>
        </w:rPr>
        <w:t>389</w:t>
      </w:r>
      <w:r w:rsidR="00D91782"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00D91782" w:rsidRPr="00215B2F">
        <w:rPr>
          <w:rFonts w:ascii="Arial" w:eastAsia="Arial" w:hAnsi="Arial" w:cs="Arial"/>
          <w:sz w:val="20"/>
          <w:szCs w:val="20"/>
        </w:rPr>
        <w:t xml:space="preserve">, </w:t>
      </w:r>
    </w:p>
    <w:p w14:paraId="5B37FF18" w14:textId="28A52D59" w:rsidR="00EA4B78"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kratek opis kršitve iz </w:t>
      </w:r>
      <w:r w:rsidR="00962F2A" w:rsidRPr="00215B2F">
        <w:rPr>
          <w:rFonts w:ascii="Arial" w:eastAsia="Arial" w:hAnsi="Arial" w:cs="Arial"/>
          <w:sz w:val="20"/>
          <w:szCs w:val="20"/>
        </w:rPr>
        <w:t>389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ali oznako odredbe za odpravo kršitev, s katero je bila kršitev iz </w:t>
      </w:r>
      <w:r w:rsidR="00962F2A" w:rsidRPr="00215B2F">
        <w:rPr>
          <w:rFonts w:ascii="Arial" w:eastAsia="Arial" w:hAnsi="Arial" w:cs="Arial"/>
          <w:sz w:val="20"/>
          <w:szCs w:val="20"/>
        </w:rPr>
        <w:t>389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ugotovljena, </w:t>
      </w:r>
    </w:p>
    <w:p w14:paraId="41593464" w14:textId="4F2F0DFA" w:rsidR="00D91782" w:rsidRPr="00215B2F" w:rsidRDefault="00D91782">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navedbo, da se pravni osebi izreka opomin.</w:t>
      </w:r>
    </w:p>
    <w:p w14:paraId="163BA66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96AF770" w14:textId="304C6E0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w:t>
      </w:r>
      <w:r w:rsidR="001D7B9B" w:rsidRPr="00215B2F">
        <w:rPr>
          <w:rFonts w:ascii="Arial" w:eastAsia="Arial" w:hAnsi="Arial" w:cs="Arial"/>
          <w:sz w:val="20"/>
          <w:szCs w:val="20"/>
        </w:rPr>
        <w:t xml:space="preserve"> </w:t>
      </w:r>
      <w:r w:rsidRPr="00215B2F">
        <w:rPr>
          <w:rFonts w:ascii="Arial" w:eastAsia="Arial" w:hAnsi="Arial" w:cs="Arial"/>
          <w:sz w:val="20"/>
          <w:szCs w:val="20"/>
        </w:rPr>
        <w:t xml:space="preserve">V primeru iz tretjega odstavka </w:t>
      </w:r>
      <w:r w:rsidR="004B5768" w:rsidRPr="00215B2F">
        <w:rPr>
          <w:rFonts w:ascii="Arial" w:eastAsia="Arial" w:hAnsi="Arial" w:cs="Arial"/>
          <w:sz w:val="20"/>
          <w:szCs w:val="20"/>
        </w:rPr>
        <w:t>393</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Banka Slovenije </w:t>
      </w:r>
      <w:r w:rsidR="007F080E" w:rsidRPr="00215B2F">
        <w:rPr>
          <w:rFonts w:ascii="Arial" w:eastAsia="Arial" w:hAnsi="Arial" w:cs="Arial"/>
          <w:sz w:val="20"/>
          <w:szCs w:val="20"/>
        </w:rPr>
        <w:t xml:space="preserve">v </w:t>
      </w:r>
      <w:r w:rsidRPr="00215B2F">
        <w:rPr>
          <w:rFonts w:ascii="Arial" w:eastAsia="Arial" w:hAnsi="Arial" w:cs="Arial"/>
          <w:sz w:val="20"/>
          <w:szCs w:val="20"/>
        </w:rPr>
        <w:t>izreku odločbe o administrativni sankciji navede tudi oznako odredbe za odpravo kršitev, s katero je bila kršitev ugotovljena</w:t>
      </w:r>
      <w:r w:rsidR="007F080E" w:rsidRPr="00215B2F">
        <w:rPr>
          <w:rFonts w:ascii="Arial" w:eastAsia="Arial" w:hAnsi="Arial" w:cs="Arial"/>
          <w:sz w:val="20"/>
          <w:szCs w:val="20"/>
        </w:rPr>
        <w:t>,</w:t>
      </w:r>
      <w:r w:rsidRPr="00215B2F">
        <w:rPr>
          <w:rFonts w:ascii="Arial" w:eastAsia="Arial" w:hAnsi="Arial" w:cs="Arial"/>
          <w:sz w:val="20"/>
          <w:szCs w:val="20"/>
        </w:rPr>
        <w:t xml:space="preserve"> in okoliščine, ki jih je pri odmeri upoštevala.</w:t>
      </w:r>
    </w:p>
    <w:p w14:paraId="67A3448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D87C0E8" w14:textId="39EFEF86" w:rsidR="00D91782" w:rsidRPr="00215B2F" w:rsidRDefault="005F0814" w:rsidP="00FD5520">
      <w:pPr>
        <w:shd w:val="clear" w:color="auto" w:fill="FFFFFF" w:themeFill="background1"/>
        <w:spacing w:after="0" w:line="240" w:lineRule="auto"/>
        <w:jc w:val="center"/>
        <w:rPr>
          <w:rFonts w:ascii="Arial" w:eastAsia="Arial" w:hAnsi="Arial" w:cs="Arial"/>
          <w:i/>
          <w:iCs/>
          <w:sz w:val="20"/>
          <w:szCs w:val="20"/>
        </w:rPr>
      </w:pPr>
      <w:r w:rsidRPr="00215B2F">
        <w:rPr>
          <w:rFonts w:ascii="Arial" w:eastAsia="Arial" w:hAnsi="Arial" w:cs="Arial"/>
          <w:i/>
          <w:iCs/>
          <w:sz w:val="20"/>
          <w:szCs w:val="20"/>
        </w:rPr>
        <w:t>16</w:t>
      </w:r>
      <w:r w:rsidR="00D91782" w:rsidRPr="00215B2F">
        <w:rPr>
          <w:rFonts w:ascii="Arial" w:eastAsia="Arial" w:hAnsi="Arial" w:cs="Arial"/>
          <w:i/>
          <w:iCs/>
          <w:sz w:val="20"/>
          <w:szCs w:val="20"/>
        </w:rPr>
        <w:t>.</w:t>
      </w:r>
      <w:r w:rsidRPr="00215B2F">
        <w:rPr>
          <w:rFonts w:ascii="Arial" w:eastAsia="Arial" w:hAnsi="Arial" w:cs="Arial"/>
          <w:i/>
          <w:iCs/>
          <w:sz w:val="20"/>
          <w:szCs w:val="20"/>
        </w:rPr>
        <w:t>4</w:t>
      </w:r>
      <w:r w:rsidR="00D91782" w:rsidRPr="00215B2F">
        <w:rPr>
          <w:rFonts w:ascii="Arial" w:eastAsia="Arial" w:hAnsi="Arial" w:cs="Arial"/>
          <w:i/>
          <w:iCs/>
          <w:sz w:val="20"/>
          <w:szCs w:val="20"/>
        </w:rPr>
        <w:t>.3 Zastaranje administrativnih ukrepov</w:t>
      </w:r>
    </w:p>
    <w:p w14:paraId="5C007F63"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1A23E397"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55" w:name="_Ref202968672"/>
      <w:r w:rsidRPr="00215B2F">
        <w:rPr>
          <w:rFonts w:ascii="Arial" w:eastAsia="Arial" w:hAnsi="Arial" w:cs="Arial"/>
          <w:b/>
          <w:bCs/>
          <w:sz w:val="20"/>
          <w:szCs w:val="20"/>
        </w:rPr>
        <w:t>člen</w:t>
      </w:r>
      <w:bookmarkEnd w:id="555"/>
    </w:p>
    <w:p w14:paraId="19E5CE21"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(zastaranje administrativnih ukrepov)</w:t>
      </w:r>
    </w:p>
    <w:p w14:paraId="2021771F"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3EE39D67" w14:textId="0C75347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Postopek za naložitev periodične denarne kazni ali administrativne sankcije ni dopusten, če je od dneva storitve kršitve preteklo več kot </w:t>
      </w:r>
      <w:r w:rsidR="007F080E" w:rsidRPr="00215B2F">
        <w:rPr>
          <w:rFonts w:ascii="Arial" w:eastAsia="Arial" w:hAnsi="Arial" w:cs="Arial"/>
          <w:sz w:val="20"/>
          <w:szCs w:val="20"/>
        </w:rPr>
        <w:t xml:space="preserve">pet </w:t>
      </w:r>
      <w:r w:rsidRPr="00215B2F">
        <w:rPr>
          <w:rFonts w:ascii="Arial" w:eastAsia="Arial" w:hAnsi="Arial" w:cs="Arial"/>
          <w:sz w:val="20"/>
          <w:szCs w:val="20"/>
        </w:rPr>
        <w:t xml:space="preserve">let. V primeru nadaljevanih ali ponavljajočih se kršitev začne zastaralni rok teči na dan prenehanja zadnje kršitve. </w:t>
      </w:r>
    </w:p>
    <w:p w14:paraId="3D1A5AA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714712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(2) Zastaranje pretrga vsako dejanje Banke Slovenije, ki ga izvede v okviru postopka naložitve periodične denarne kazni ali administrativne sankcije. Po vsakem pretrganju začne zastaranje teči znova. </w:t>
      </w:r>
    </w:p>
    <w:p w14:paraId="2646307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DBD7D99" w14:textId="076AFA4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Ne glede na prejšnji odstavek administrativne sankcije ni mogoče izreči, ko poteče dvakrat toliko časa, k</w:t>
      </w:r>
      <w:r w:rsidR="006B0B0E" w:rsidRPr="00215B2F">
        <w:rPr>
          <w:rFonts w:ascii="Arial" w:eastAsia="Arial" w:hAnsi="Arial" w:cs="Arial"/>
          <w:sz w:val="20"/>
          <w:szCs w:val="20"/>
        </w:rPr>
        <w:t>akor</w:t>
      </w:r>
      <w:r w:rsidRPr="00215B2F">
        <w:rPr>
          <w:rFonts w:ascii="Arial" w:eastAsia="Arial" w:hAnsi="Arial" w:cs="Arial"/>
          <w:sz w:val="20"/>
          <w:szCs w:val="20"/>
        </w:rPr>
        <w:t xml:space="preserve"> je določeno v prvem odstavku tega člena. </w:t>
      </w:r>
    </w:p>
    <w:p w14:paraId="19883DE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ABBD9B5" w14:textId="523A0202"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Zastaranje ne teče, ko je odločitev o periodični denarni kazni ali administrativni sankciji predmet rednega ali izrednega sodnega varstva in se nadaljuje po pravnomočnosti sodnega akta. Zastaranje ne teče med kazenskim postopkom, ki temelji na istem dejanskem stanju kot administrativna sankcija zoper isto pravno osebo in se nadaljuje po pravnomočnosti odločitve v kazenskem postopku.</w:t>
      </w:r>
    </w:p>
    <w:p w14:paraId="339BA1D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49D5C18" w14:textId="2FC2EB3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Če je pravnomočna odločba ali sodba o periodični denarni kazni ali administrativni sankciji v postopku z izrednim pravnim sredstvom razveljavljena in se je zastaranje iz tretjega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izteklo ali bi se izteklo v roku</w:t>
      </w:r>
      <w:r w:rsidR="007F080E" w:rsidRPr="00215B2F">
        <w:rPr>
          <w:rFonts w:ascii="Arial" w:eastAsia="Arial" w:hAnsi="Arial" w:cs="Arial"/>
          <w:sz w:val="20"/>
          <w:szCs w:val="20"/>
        </w:rPr>
        <w:t>,</w:t>
      </w:r>
      <w:r w:rsidRPr="00215B2F">
        <w:rPr>
          <w:rFonts w:ascii="Arial" w:eastAsia="Arial" w:hAnsi="Arial" w:cs="Arial"/>
          <w:sz w:val="20"/>
          <w:szCs w:val="20"/>
        </w:rPr>
        <w:t xml:space="preserve"> krajšem od dveh let, je v novem postopku odločanja o periodični denarni kazni ali administrativni sankciji pred Banko Slovenije zastaralni rok dve leti. </w:t>
      </w:r>
    </w:p>
    <w:p w14:paraId="53E3097E"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47EFFB84"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56" w:name="_Ref202968678"/>
      <w:r w:rsidRPr="00215B2F">
        <w:rPr>
          <w:rFonts w:ascii="Arial" w:eastAsia="Arial" w:hAnsi="Arial" w:cs="Arial"/>
          <w:b/>
          <w:bCs/>
          <w:sz w:val="20"/>
          <w:szCs w:val="20"/>
        </w:rPr>
        <w:t>člen</w:t>
      </w:r>
      <w:bookmarkEnd w:id="556"/>
    </w:p>
    <w:p w14:paraId="3D27D094"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(izvršba administrativnih ukrepov in zavarovanje)</w:t>
      </w:r>
    </w:p>
    <w:p w14:paraId="3B7998E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2EAC4C8" w14:textId="348ECA7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Izvršbo periodične denarne kazni ali administrativne sankcije opravi pristojni davčni organ po postopku, predpisanem za izvršbo davčnih obveznosti, na predlog Banke Slovenije. </w:t>
      </w:r>
    </w:p>
    <w:p w14:paraId="438C0CB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ED09D12" w14:textId="7AB93E2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lahko pred</w:t>
      </w:r>
      <w:r w:rsidR="007F080E" w:rsidRPr="00215B2F">
        <w:rPr>
          <w:rFonts w:ascii="Arial" w:eastAsia="Arial" w:hAnsi="Arial" w:cs="Arial"/>
          <w:sz w:val="20"/>
          <w:szCs w:val="20"/>
        </w:rPr>
        <w:t xml:space="preserve"> izdajo</w:t>
      </w:r>
      <w:r w:rsidRPr="00215B2F">
        <w:rPr>
          <w:rFonts w:ascii="Arial" w:eastAsia="Arial" w:hAnsi="Arial" w:cs="Arial"/>
          <w:sz w:val="20"/>
          <w:szCs w:val="20"/>
        </w:rPr>
        <w:t>, ob</w:t>
      </w:r>
      <w:r w:rsidR="007F080E" w:rsidRPr="00215B2F">
        <w:rPr>
          <w:rFonts w:ascii="Arial" w:eastAsia="Arial" w:hAnsi="Arial" w:cs="Arial"/>
          <w:sz w:val="20"/>
          <w:szCs w:val="20"/>
        </w:rPr>
        <w:t xml:space="preserve"> izdaji</w:t>
      </w:r>
      <w:r w:rsidRPr="00215B2F">
        <w:rPr>
          <w:rFonts w:ascii="Arial" w:eastAsia="Arial" w:hAnsi="Arial" w:cs="Arial"/>
          <w:sz w:val="20"/>
          <w:szCs w:val="20"/>
        </w:rPr>
        <w:t xml:space="preserve"> ali po izdaji odločbe, vse do njene pravnomočnosti, izvede ukrepe za zavarovanje izvršbe in za zavarovanje izpolnitve obveznosti iz naslova periodične denarne kazni ali administrativne sankcije </w:t>
      </w:r>
      <w:r w:rsidR="007F080E" w:rsidRPr="00215B2F">
        <w:rPr>
          <w:rFonts w:ascii="Arial" w:eastAsia="Arial" w:hAnsi="Arial" w:cs="Arial"/>
          <w:sz w:val="20"/>
          <w:szCs w:val="20"/>
        </w:rPr>
        <w:t xml:space="preserve">ter </w:t>
      </w:r>
      <w:r w:rsidRPr="00215B2F">
        <w:rPr>
          <w:rFonts w:ascii="Arial" w:eastAsia="Arial" w:hAnsi="Arial" w:cs="Arial"/>
          <w:sz w:val="20"/>
          <w:szCs w:val="20"/>
        </w:rPr>
        <w:t>s tem povezanih stroškov. V tem postopku se smiselno uporabljajo določbe zakona, ki ureja davčni postopek, o zavarovanju izpolnitve in plačila davčne obveznosti.</w:t>
      </w:r>
    </w:p>
    <w:p w14:paraId="5426BE8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D6794E8"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57" w:name="_Ref202968682"/>
      <w:r w:rsidRPr="00215B2F">
        <w:rPr>
          <w:rFonts w:ascii="Arial" w:eastAsia="Arial" w:hAnsi="Arial" w:cs="Arial"/>
          <w:b/>
          <w:bCs/>
          <w:sz w:val="20"/>
          <w:szCs w:val="20"/>
        </w:rPr>
        <w:t>člen</w:t>
      </w:r>
      <w:bookmarkEnd w:id="557"/>
    </w:p>
    <w:p w14:paraId="5D3CEDF6"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(zastaranje izvršitve administrativnih ukrepov)</w:t>
      </w:r>
    </w:p>
    <w:p w14:paraId="0581E73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38FCB3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Izrečene periodične denarne kazni ali administrativne sankcije se ne smejo začeti izvrševati, če pretečeta dve leti od dneva, ko je odločba, s katero je bil izrečen skupni znesek periodične denarne kazni ali administrativna sankcija, postala pravnomočna.</w:t>
      </w:r>
    </w:p>
    <w:p w14:paraId="1E7423E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892E2E2" w14:textId="2F91CA0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Zastaranje ne teče v času, ko se periodične denarne kazni ali administrativne sankcije ne morejo izvrševati</w:t>
      </w:r>
      <w:r w:rsidR="00657650" w:rsidRPr="00215B2F">
        <w:rPr>
          <w:rFonts w:ascii="Arial" w:eastAsia="Arial" w:hAnsi="Arial" w:cs="Arial"/>
          <w:sz w:val="20"/>
          <w:szCs w:val="20"/>
        </w:rPr>
        <w:t xml:space="preserve"> po zakonu</w:t>
      </w:r>
      <w:r w:rsidRPr="00215B2F">
        <w:rPr>
          <w:rFonts w:ascii="Arial" w:eastAsia="Arial" w:hAnsi="Arial" w:cs="Arial"/>
          <w:sz w:val="20"/>
          <w:szCs w:val="20"/>
        </w:rPr>
        <w:t>.</w:t>
      </w:r>
    </w:p>
    <w:p w14:paraId="6616E33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718DE5A" w14:textId="2862DC0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Zastaranje pretrga vsako dejanje Banke Slovenije ali pristojnega davčnega organa, ki meri na izvršitev periodične denarne kazni ali administrativne sankcije. Po vsakem pretrganju začne teči zastaranje znova, vendar pa se periodične denarne kazni ali administrativne sankcije ne smejo začeti izvrševati po preteku štirih let od dneva, ko je odločba,</w:t>
      </w:r>
      <w:r w:rsidR="00657650" w:rsidRPr="00215B2F">
        <w:rPr>
          <w:rFonts w:ascii="Arial" w:eastAsia="Arial" w:hAnsi="Arial" w:cs="Arial"/>
          <w:sz w:val="20"/>
          <w:szCs w:val="20"/>
        </w:rPr>
        <w:t xml:space="preserve"> s katero</w:t>
      </w:r>
      <w:r w:rsidRPr="00215B2F">
        <w:rPr>
          <w:rFonts w:ascii="Arial" w:eastAsia="Arial" w:hAnsi="Arial" w:cs="Arial"/>
          <w:sz w:val="20"/>
          <w:szCs w:val="20"/>
        </w:rPr>
        <w:t xml:space="preserve"> je bil izrečen skupni znesek periodične denarne kazni ali administrativna sankcija, postala pravnomočna.</w:t>
      </w:r>
    </w:p>
    <w:p w14:paraId="3016DCD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822FC2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Periodične denarne kazni ali administrativne sankcije ni dopustno več izvrševati po poteku zastaralnih rokov, ki jih določa zakon, ki ureja davčno izvršbo.</w:t>
      </w:r>
    </w:p>
    <w:p w14:paraId="713001B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9BDACA8" w14:textId="06FFB454" w:rsidR="00D91782" w:rsidRPr="00215B2F" w:rsidRDefault="005F0814"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16</w:t>
      </w:r>
      <w:r w:rsidR="00D91782" w:rsidRPr="00215B2F">
        <w:rPr>
          <w:rFonts w:ascii="Arial" w:eastAsia="Arial" w:hAnsi="Arial" w:cs="Arial"/>
          <w:b/>
          <w:bCs/>
          <w:sz w:val="20"/>
          <w:szCs w:val="20"/>
        </w:rPr>
        <w:t>.</w:t>
      </w:r>
      <w:r w:rsidRPr="00215B2F">
        <w:rPr>
          <w:rFonts w:ascii="Arial" w:eastAsia="Arial" w:hAnsi="Arial" w:cs="Arial"/>
          <w:b/>
          <w:bCs/>
          <w:sz w:val="20"/>
          <w:szCs w:val="20"/>
        </w:rPr>
        <w:t>5</w:t>
      </w:r>
      <w:r w:rsidR="00D91782" w:rsidRPr="00215B2F">
        <w:rPr>
          <w:rFonts w:ascii="Arial" w:eastAsia="Arial" w:hAnsi="Arial" w:cs="Arial"/>
          <w:b/>
          <w:bCs/>
          <w:sz w:val="20"/>
          <w:szCs w:val="20"/>
        </w:rPr>
        <w:t xml:space="preserve"> POSTOPEK SODNEGA VARSTVA</w:t>
      </w:r>
    </w:p>
    <w:p w14:paraId="5C957C46"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DCD8210"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58" w:name="_Ref202968688"/>
      <w:r w:rsidRPr="00215B2F">
        <w:rPr>
          <w:rFonts w:ascii="Arial" w:eastAsia="Arial" w:hAnsi="Arial" w:cs="Arial"/>
          <w:b/>
          <w:bCs/>
          <w:sz w:val="20"/>
          <w:szCs w:val="20"/>
        </w:rPr>
        <w:t>člen</w:t>
      </w:r>
      <w:bookmarkEnd w:id="558"/>
    </w:p>
    <w:p w14:paraId="22E87030"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(postopek sodnega varstva)</w:t>
      </w:r>
    </w:p>
    <w:p w14:paraId="4A24B728"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7D93596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Za postopek sodnega varstva proti odločbam, ki jih izda Banka Slovenije, se uporabljajo določbe ZUS-1, če ni s tem zakonom določeno drugače.</w:t>
      </w:r>
    </w:p>
    <w:p w14:paraId="18D99AB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F1201B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V postopku sodnega varstva zoper odločbo Banke Slovenije odloča Upravno sodišče Republike Slovenije v senatu treh sodnikov.</w:t>
      </w:r>
    </w:p>
    <w:p w14:paraId="20D917D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3742982"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59" w:name="_Ref202968695"/>
      <w:r w:rsidRPr="00215B2F">
        <w:rPr>
          <w:rFonts w:ascii="Arial" w:eastAsia="Arial" w:hAnsi="Arial" w:cs="Arial"/>
          <w:b/>
          <w:bCs/>
          <w:sz w:val="20"/>
          <w:szCs w:val="20"/>
        </w:rPr>
        <w:t>člen</w:t>
      </w:r>
      <w:bookmarkEnd w:id="559"/>
    </w:p>
    <w:p w14:paraId="13AE7B4A"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lastRenderedPageBreak/>
        <w:t>(pravica do sodnega varstva)</w:t>
      </w:r>
    </w:p>
    <w:p w14:paraId="27BC75D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401762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Tožbo zoper akte, ki jih v postopku nadzora izda Banka Slovenije, lahko pod pogoji, določenimi v tem zakonu, vloži le subjekt nadzora.</w:t>
      </w:r>
    </w:p>
    <w:p w14:paraId="471F513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77CC0D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V postopku sodnega varstva po tem zakonu lahko stranka, ki nima opravljenega pravniškega državnega izpita, opravlja dejanja v postopku samo po pooblaščencu, ki ima opravljen pravniški državni izpit.</w:t>
      </w:r>
    </w:p>
    <w:p w14:paraId="27FFDC7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DB99694"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60" w:name="_Ref202968703"/>
      <w:r w:rsidRPr="00215B2F">
        <w:rPr>
          <w:rFonts w:ascii="Arial" w:eastAsia="Arial" w:hAnsi="Arial" w:cs="Arial"/>
          <w:b/>
          <w:bCs/>
          <w:sz w:val="20"/>
          <w:szCs w:val="20"/>
        </w:rPr>
        <w:t>člen</w:t>
      </w:r>
      <w:bookmarkEnd w:id="560"/>
    </w:p>
    <w:p w14:paraId="67F8C691"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(izpodbijanje aktov Banke Slovenije)</w:t>
      </w:r>
    </w:p>
    <w:p w14:paraId="4DE686DC"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1FD08C2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Postopek sodnega varstva je mogoče začeti z vložitvijo tožbe proti odločbi Banke Slovenije, če ta zakon ne določa drugače.</w:t>
      </w:r>
    </w:p>
    <w:p w14:paraId="1E9C782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47EE1DB" w14:textId="739FA8B8"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Ne glede na prejšnji odstavek proti odločbi, s katero Banka Slovenije začne postopek za odvzem dovoljenja</w:t>
      </w:r>
      <w:r w:rsidR="00657650" w:rsidRPr="00215B2F">
        <w:rPr>
          <w:rFonts w:ascii="Arial" w:eastAsia="Arial" w:hAnsi="Arial" w:cs="Arial"/>
          <w:sz w:val="20"/>
          <w:szCs w:val="20"/>
        </w:rPr>
        <w:t>,</w:t>
      </w:r>
      <w:r w:rsidRPr="00215B2F">
        <w:rPr>
          <w:rFonts w:ascii="Arial" w:eastAsia="Arial" w:hAnsi="Arial" w:cs="Arial"/>
          <w:sz w:val="20"/>
          <w:szCs w:val="20"/>
        </w:rPr>
        <w:t xml:space="preserve"> ni postopka sodnega varstva.</w:t>
      </w:r>
    </w:p>
    <w:p w14:paraId="35F6158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CA503CF" w14:textId="1175A1D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Odločba iz prejšnjega odstavka se lahko izpodbija s tožbo v postopku sodnega varstva proti odločbi o odvzemu dovoljenja.</w:t>
      </w:r>
    </w:p>
    <w:p w14:paraId="1AC92BE5"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2A5A9F6" w14:textId="1AB5A8D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Postopek sodnega varstva je mogoče začeti zoper sklep, s katerim se konča postopek odločanja, začet na zahtevo stranke</w:t>
      </w:r>
      <w:r w:rsidR="00657650" w:rsidRPr="00215B2F">
        <w:rPr>
          <w:rFonts w:ascii="Arial" w:eastAsia="Arial" w:hAnsi="Arial" w:cs="Arial"/>
          <w:sz w:val="20"/>
          <w:szCs w:val="20"/>
        </w:rPr>
        <w:t>,</w:t>
      </w:r>
      <w:r w:rsidRPr="00215B2F">
        <w:rPr>
          <w:rFonts w:ascii="Arial" w:eastAsia="Arial" w:hAnsi="Arial" w:cs="Arial"/>
          <w:sz w:val="20"/>
          <w:szCs w:val="20"/>
        </w:rPr>
        <w:t xml:space="preserve"> in v drugih primerih, ko ta zakon izrecno določa, da je zoper sklep dopusten posebn</w:t>
      </w:r>
      <w:r w:rsidR="00657650" w:rsidRPr="00215B2F">
        <w:rPr>
          <w:rFonts w:ascii="Arial" w:eastAsia="Arial" w:hAnsi="Arial" w:cs="Arial"/>
          <w:sz w:val="20"/>
          <w:szCs w:val="20"/>
        </w:rPr>
        <w:t>i</w:t>
      </w:r>
      <w:r w:rsidRPr="00215B2F">
        <w:rPr>
          <w:rFonts w:ascii="Arial" w:eastAsia="Arial" w:hAnsi="Arial" w:cs="Arial"/>
          <w:sz w:val="20"/>
          <w:szCs w:val="20"/>
        </w:rPr>
        <w:t xml:space="preserve"> postopek sodnega varstva.</w:t>
      </w:r>
    </w:p>
    <w:p w14:paraId="18761DE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6670BF5" w14:textId="07AA157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Zoper odredbo, ki jo izda Banka Slovenije, ni posebnega postopka sodnega varstva.</w:t>
      </w:r>
    </w:p>
    <w:p w14:paraId="3A4256F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E0F654D"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61" w:name="_Ref202968709"/>
      <w:r w:rsidRPr="00215B2F">
        <w:rPr>
          <w:rFonts w:ascii="Arial" w:eastAsia="Arial" w:hAnsi="Arial" w:cs="Arial"/>
          <w:b/>
          <w:bCs/>
          <w:sz w:val="20"/>
          <w:szCs w:val="20"/>
        </w:rPr>
        <w:t>člen</w:t>
      </w:r>
      <w:bookmarkEnd w:id="561"/>
    </w:p>
    <w:p w14:paraId="61A100EB"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(prednostno odločanje)</w:t>
      </w:r>
    </w:p>
    <w:p w14:paraId="78AD1CF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43D61F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Zadeve v postopku sodnega varstva po tem zakonu so nujne in o njih sodišče odloča prednostno.</w:t>
      </w:r>
    </w:p>
    <w:p w14:paraId="61E4DF2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452D15D"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62" w:name="_Ref202968717"/>
      <w:r w:rsidRPr="00215B2F">
        <w:rPr>
          <w:rFonts w:ascii="Arial" w:eastAsia="Arial" w:hAnsi="Arial" w:cs="Arial"/>
          <w:b/>
          <w:bCs/>
          <w:sz w:val="20"/>
          <w:szCs w:val="20"/>
        </w:rPr>
        <w:t>člen</w:t>
      </w:r>
      <w:bookmarkEnd w:id="562"/>
    </w:p>
    <w:p w14:paraId="00EFE484"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(tožba in odgovor na tožbo)</w:t>
      </w:r>
    </w:p>
    <w:p w14:paraId="0E1E4624"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3A7590A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Tožbo v postopku sodnega varstva je treba vložiti v 15 dneh.</w:t>
      </w:r>
    </w:p>
    <w:p w14:paraId="4B3BE14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33F1BCA" w14:textId="461A63D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Rok iz prejšnjega odstavka teče od vročitve odločbe. Če tožniku odločba ni bila vročena, rok iz prejšnjega odstavka </w:t>
      </w:r>
      <w:r w:rsidR="00657650" w:rsidRPr="00215B2F">
        <w:rPr>
          <w:rFonts w:ascii="Arial" w:eastAsia="Arial" w:hAnsi="Arial" w:cs="Arial"/>
          <w:sz w:val="20"/>
          <w:szCs w:val="20"/>
        </w:rPr>
        <w:t xml:space="preserve">teče </w:t>
      </w:r>
      <w:r w:rsidRPr="00215B2F">
        <w:rPr>
          <w:rFonts w:ascii="Arial" w:eastAsia="Arial" w:hAnsi="Arial" w:cs="Arial"/>
          <w:sz w:val="20"/>
          <w:szCs w:val="20"/>
        </w:rPr>
        <w:t xml:space="preserve">od objave odločbe v skladu s </w:t>
      </w:r>
      <w:r w:rsidR="004B5768" w:rsidRPr="00215B2F">
        <w:rPr>
          <w:rFonts w:ascii="Arial" w:eastAsia="Arial" w:hAnsi="Arial" w:cs="Arial"/>
          <w:sz w:val="20"/>
          <w:szCs w:val="20"/>
        </w:rPr>
        <w:t>384</w:t>
      </w:r>
      <w:r w:rsidRPr="00215B2F">
        <w:rPr>
          <w:rFonts w:ascii="Arial" w:eastAsia="Arial" w:hAnsi="Arial" w:cs="Arial"/>
          <w:sz w:val="20"/>
          <w:szCs w:val="20"/>
        </w:rPr>
        <w:t xml:space="preserve">. in </w:t>
      </w:r>
      <w:r w:rsidR="00FE757E" w:rsidRPr="00215B2F">
        <w:rPr>
          <w:rFonts w:ascii="Arial" w:eastAsia="Arial" w:hAnsi="Arial" w:cs="Arial"/>
          <w:sz w:val="20"/>
          <w:szCs w:val="20"/>
        </w:rPr>
        <w:t>385</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w:t>
      </w:r>
    </w:p>
    <w:p w14:paraId="371A05E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C61298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Tožba v postopku sodnega varstva zoper odločbo Banke Slovenije ne zadrži izvršitve odločbe.</w:t>
      </w:r>
    </w:p>
    <w:p w14:paraId="3682621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2F96AD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Ne glede na prejšnji odstavek lahko Banka Slovenije po uradni dolžnosti s sklepom odloči, da se izvršitev odločbe, zoper katero se vložena tožba v postopku sodnega varstva, odloži. Zoper ta sklep ni sodnega varstva.</w:t>
      </w:r>
    </w:p>
    <w:p w14:paraId="758572B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B8E5C1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Rok za odgovor na tožbo je 15 dni.</w:t>
      </w:r>
    </w:p>
    <w:p w14:paraId="3F701CE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B117A06"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63" w:name="_Ref202968721"/>
      <w:r w:rsidRPr="00215B2F">
        <w:rPr>
          <w:rFonts w:ascii="Arial" w:eastAsia="Arial" w:hAnsi="Arial" w:cs="Arial"/>
          <w:b/>
          <w:bCs/>
          <w:sz w:val="20"/>
          <w:szCs w:val="20"/>
        </w:rPr>
        <w:t>člen</w:t>
      </w:r>
      <w:bookmarkEnd w:id="563"/>
    </w:p>
    <w:p w14:paraId="551DF518"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(nova dejstva in dokazi)</w:t>
      </w:r>
    </w:p>
    <w:p w14:paraId="79507D72"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1FE9758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Tožnik v postopku sodnega varstva ne more navajati novih dejstev in predlagati novih dokazov, razen če izkaže, da jih brez svoje krivde ni mogel uveljaviti v postopku pred Banko Slovenije.</w:t>
      </w:r>
    </w:p>
    <w:p w14:paraId="5A4F74D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5434FE7"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64" w:name="_Ref202968739"/>
      <w:r w:rsidRPr="00215B2F">
        <w:rPr>
          <w:rFonts w:ascii="Arial" w:eastAsia="Arial" w:hAnsi="Arial" w:cs="Arial"/>
          <w:b/>
          <w:bCs/>
          <w:sz w:val="20"/>
          <w:szCs w:val="20"/>
        </w:rPr>
        <w:t>člen</w:t>
      </w:r>
      <w:bookmarkEnd w:id="564"/>
    </w:p>
    <w:p w14:paraId="77391472"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(meje preizkusa)</w:t>
      </w:r>
    </w:p>
    <w:p w14:paraId="63D24456"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149478E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Sodišče preizkusi odločbo Banke Slovenije v mejah tožbenega zahtevka in v mejah razlogov, ki so navedeni v tožbi, pri tem pa pazi po uradni dolžnosti na bistvene kršitve določb postopka.</w:t>
      </w:r>
    </w:p>
    <w:p w14:paraId="1EEDF6D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A23DBF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(2) Za bistveno kršitev pravil postopka izdaje odločbe Banke Slovenije se šteje, če:</w:t>
      </w:r>
    </w:p>
    <w:p w14:paraId="3CBB6E1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5081685" w14:textId="77777777" w:rsidR="00EA4B78" w:rsidRPr="00215B2F" w:rsidRDefault="00D91782" w:rsidP="003D4DE0">
      <w:pPr>
        <w:pStyle w:val="tevilnatoka"/>
        <w:numPr>
          <w:ilvl w:val="0"/>
          <w:numId w:val="373"/>
        </w:numPr>
        <w:shd w:val="clear" w:color="auto" w:fill="FFFFFF" w:themeFill="background1"/>
        <w:rPr>
          <w:rFonts w:cs="Arial"/>
          <w:bCs/>
          <w:sz w:val="20"/>
          <w:szCs w:val="20"/>
        </w:rPr>
      </w:pPr>
      <w:r w:rsidRPr="00215B2F">
        <w:rPr>
          <w:rFonts w:eastAsia="Arial" w:cs="Arial"/>
          <w:sz w:val="20"/>
          <w:szCs w:val="20"/>
        </w:rPr>
        <w:t>je odločbo izdala oseba ali organ Banke Slovenije, ki ni pristojen za izdajo odločbe;</w:t>
      </w:r>
    </w:p>
    <w:p w14:paraId="686795A3" w14:textId="77777777" w:rsidR="00EA4B78" w:rsidRPr="00215B2F" w:rsidRDefault="00D91782" w:rsidP="00AB65A6">
      <w:pPr>
        <w:pStyle w:val="tevilnatoka"/>
        <w:shd w:val="clear" w:color="auto" w:fill="FFFFFF" w:themeFill="background1"/>
        <w:tabs>
          <w:tab w:val="clear" w:pos="425"/>
        </w:tabs>
        <w:rPr>
          <w:rFonts w:cs="Arial"/>
          <w:bCs/>
          <w:sz w:val="20"/>
          <w:szCs w:val="20"/>
        </w:rPr>
      </w:pPr>
      <w:r w:rsidRPr="00215B2F">
        <w:rPr>
          <w:rFonts w:eastAsia="Arial" w:cs="Arial"/>
          <w:sz w:val="20"/>
          <w:szCs w:val="20"/>
        </w:rPr>
        <w:t>subjektu nadzora ni bila dana možnost, da se izjavi o dejstvih in okoliščinah, pomembnih za izdajo odločbe, razen če zakon tako določa;</w:t>
      </w:r>
    </w:p>
    <w:p w14:paraId="70856DC0" w14:textId="77777777" w:rsidR="00EA4B78" w:rsidRPr="00215B2F" w:rsidRDefault="00D91782" w:rsidP="00AB65A6">
      <w:pPr>
        <w:pStyle w:val="tevilnatoka"/>
        <w:shd w:val="clear" w:color="auto" w:fill="FFFFFF" w:themeFill="background1"/>
        <w:tabs>
          <w:tab w:val="clear" w:pos="425"/>
        </w:tabs>
        <w:rPr>
          <w:rFonts w:cs="Arial"/>
          <w:bCs/>
          <w:sz w:val="20"/>
          <w:szCs w:val="20"/>
        </w:rPr>
      </w:pPr>
      <w:r w:rsidRPr="00215B2F">
        <w:rPr>
          <w:rFonts w:eastAsia="Arial" w:cs="Arial"/>
          <w:sz w:val="20"/>
          <w:szCs w:val="20"/>
        </w:rPr>
        <w:t>je kot stranka nastopal nekdo, ki ni subjekt nadzora;</w:t>
      </w:r>
    </w:p>
    <w:p w14:paraId="6FB639FC" w14:textId="7D7624D8" w:rsidR="00EA4B78" w:rsidRPr="00215B2F" w:rsidRDefault="00D91782" w:rsidP="00AB65A6">
      <w:pPr>
        <w:pStyle w:val="tevilnatoka"/>
        <w:shd w:val="clear" w:color="auto" w:fill="FFFFFF" w:themeFill="background1"/>
        <w:tabs>
          <w:tab w:val="clear" w:pos="425"/>
        </w:tabs>
        <w:rPr>
          <w:rFonts w:cs="Arial"/>
          <w:bCs/>
          <w:sz w:val="20"/>
          <w:szCs w:val="20"/>
        </w:rPr>
      </w:pPr>
      <w:r w:rsidRPr="00215B2F">
        <w:rPr>
          <w:rFonts w:eastAsia="Arial" w:cs="Arial"/>
          <w:sz w:val="20"/>
          <w:szCs w:val="20"/>
        </w:rPr>
        <w:t>subjekta nadzora ni zastopal zakoniti zastopnik oziroma če pooblaščenec ni imel ustreznega pooblastila;</w:t>
      </w:r>
    </w:p>
    <w:p w14:paraId="37FE3A23" w14:textId="38707392" w:rsidR="00EA4B78" w:rsidRPr="00215B2F" w:rsidRDefault="00D91782" w:rsidP="00AB65A6">
      <w:pPr>
        <w:pStyle w:val="tevilnatoka"/>
        <w:shd w:val="clear" w:color="auto" w:fill="FFFFFF" w:themeFill="background1"/>
        <w:tabs>
          <w:tab w:val="clear" w:pos="425"/>
        </w:tabs>
        <w:rPr>
          <w:rFonts w:cs="Arial"/>
          <w:bCs/>
          <w:sz w:val="20"/>
          <w:szCs w:val="20"/>
        </w:rPr>
      </w:pPr>
      <w:r w:rsidRPr="00215B2F">
        <w:rPr>
          <w:rFonts w:eastAsia="Arial" w:cs="Arial"/>
          <w:sz w:val="20"/>
          <w:szCs w:val="20"/>
        </w:rPr>
        <w:t>je pri odločanju ali vodenju postopka sodelovala oseba, ki bi po zakonu morala biti izločena</w:t>
      </w:r>
      <w:r w:rsidR="004D2AF5" w:rsidRPr="00215B2F">
        <w:rPr>
          <w:rFonts w:eastAsia="Arial" w:cs="Arial"/>
          <w:sz w:val="20"/>
          <w:szCs w:val="20"/>
        </w:rPr>
        <w:t>,</w:t>
      </w:r>
      <w:r w:rsidRPr="00215B2F">
        <w:rPr>
          <w:rFonts w:eastAsia="Arial" w:cs="Arial"/>
          <w:sz w:val="20"/>
          <w:szCs w:val="20"/>
        </w:rPr>
        <w:t xml:space="preserve"> ali</w:t>
      </w:r>
    </w:p>
    <w:p w14:paraId="4E48B5C7" w14:textId="406B687B" w:rsidR="00D91782" w:rsidRPr="00215B2F" w:rsidRDefault="00D91782" w:rsidP="00AB65A6">
      <w:pPr>
        <w:pStyle w:val="tevilnatoka"/>
        <w:shd w:val="clear" w:color="auto" w:fill="FFFFFF" w:themeFill="background1"/>
        <w:tabs>
          <w:tab w:val="clear" w:pos="425"/>
        </w:tabs>
        <w:rPr>
          <w:rFonts w:cs="Arial"/>
          <w:bCs/>
          <w:sz w:val="20"/>
          <w:szCs w:val="20"/>
        </w:rPr>
      </w:pPr>
      <w:r w:rsidRPr="00215B2F">
        <w:rPr>
          <w:rFonts w:eastAsia="Arial" w:cs="Arial"/>
          <w:sz w:val="20"/>
          <w:szCs w:val="20"/>
        </w:rPr>
        <w:t>odločbe n</w:t>
      </w:r>
      <w:r w:rsidR="004D2AF5" w:rsidRPr="00215B2F">
        <w:rPr>
          <w:rFonts w:eastAsia="Arial" w:cs="Arial"/>
          <w:sz w:val="20"/>
          <w:szCs w:val="20"/>
        </w:rPr>
        <w:t>i mogoče</w:t>
      </w:r>
      <w:r w:rsidRPr="00215B2F">
        <w:rPr>
          <w:rFonts w:eastAsia="Arial" w:cs="Arial"/>
          <w:sz w:val="20"/>
          <w:szCs w:val="20"/>
        </w:rPr>
        <w:t xml:space="preserve"> preizkusiti.</w:t>
      </w:r>
    </w:p>
    <w:p w14:paraId="4862575A" w14:textId="77777777" w:rsidR="001D7B9B" w:rsidRPr="00215B2F" w:rsidRDefault="001D7B9B" w:rsidP="00FD5520">
      <w:pPr>
        <w:shd w:val="clear" w:color="auto" w:fill="FFFFFF" w:themeFill="background1"/>
        <w:spacing w:after="0" w:line="240" w:lineRule="auto"/>
        <w:jc w:val="both"/>
        <w:rPr>
          <w:rFonts w:ascii="Arial" w:eastAsia="Arial" w:hAnsi="Arial" w:cs="Arial"/>
          <w:sz w:val="20"/>
          <w:szCs w:val="20"/>
        </w:rPr>
      </w:pPr>
    </w:p>
    <w:p w14:paraId="567272D3"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65" w:name="_Ref202968763"/>
      <w:r w:rsidRPr="00215B2F">
        <w:rPr>
          <w:rFonts w:ascii="Arial" w:eastAsia="Arial" w:hAnsi="Arial" w:cs="Arial"/>
          <w:b/>
          <w:bCs/>
          <w:sz w:val="20"/>
          <w:szCs w:val="20"/>
        </w:rPr>
        <w:t>člen</w:t>
      </w:r>
      <w:bookmarkEnd w:id="565"/>
    </w:p>
    <w:p w14:paraId="0383C643"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(seja)</w:t>
      </w:r>
    </w:p>
    <w:p w14:paraId="7159BCBF" w14:textId="77777777" w:rsidR="00D91782" w:rsidRPr="00215B2F" w:rsidRDefault="00D91782" w:rsidP="00FD5520">
      <w:pPr>
        <w:shd w:val="clear" w:color="auto" w:fill="FFFFFF" w:themeFill="background1"/>
        <w:spacing w:after="0" w:line="240" w:lineRule="auto"/>
        <w:jc w:val="both"/>
        <w:rPr>
          <w:rFonts w:ascii="Arial" w:eastAsia="Arial" w:hAnsi="Arial" w:cs="Arial"/>
          <w:b/>
          <w:bCs/>
          <w:sz w:val="20"/>
          <w:szCs w:val="20"/>
        </w:rPr>
      </w:pPr>
    </w:p>
    <w:p w14:paraId="1AAAE55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Sodišče lahko odloči brez glavne obravnave, če dejansko stanje, ki je bilo podlaga za izdajo odločbe, med tožnikom in Banko Slovenije ni sporno.</w:t>
      </w:r>
    </w:p>
    <w:p w14:paraId="292E3C4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DCAAC81" w14:textId="109B89C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Stranke se glavni obravnavi </w:t>
      </w:r>
      <w:r w:rsidR="004D2AF5" w:rsidRPr="00215B2F">
        <w:rPr>
          <w:rFonts w:ascii="Arial" w:eastAsia="Arial" w:hAnsi="Arial" w:cs="Arial"/>
          <w:sz w:val="20"/>
          <w:szCs w:val="20"/>
        </w:rPr>
        <w:t xml:space="preserve">lahko </w:t>
      </w:r>
      <w:r w:rsidRPr="00215B2F">
        <w:rPr>
          <w:rFonts w:ascii="Arial" w:eastAsia="Arial" w:hAnsi="Arial" w:cs="Arial"/>
          <w:sz w:val="20"/>
          <w:szCs w:val="20"/>
        </w:rPr>
        <w:t>tudi odpovedo. V tem primeru sodišče odloči na seji in pri tem upošteva dejansko stanje, k</w:t>
      </w:r>
      <w:r w:rsidR="004D2AF5" w:rsidRPr="00215B2F">
        <w:rPr>
          <w:rFonts w:ascii="Arial" w:eastAsia="Arial" w:hAnsi="Arial" w:cs="Arial"/>
          <w:sz w:val="20"/>
          <w:szCs w:val="20"/>
        </w:rPr>
        <w:t>akor</w:t>
      </w:r>
      <w:r w:rsidRPr="00215B2F">
        <w:rPr>
          <w:rFonts w:ascii="Arial" w:eastAsia="Arial" w:hAnsi="Arial" w:cs="Arial"/>
          <w:sz w:val="20"/>
          <w:szCs w:val="20"/>
        </w:rPr>
        <w:t xml:space="preserve"> je bilo ugotovljeno v postopku izdaje upravnega akta</w:t>
      </w:r>
      <w:r w:rsidR="004D2AF5" w:rsidRPr="00215B2F">
        <w:rPr>
          <w:rFonts w:ascii="Arial" w:eastAsia="Arial" w:hAnsi="Arial" w:cs="Arial"/>
          <w:sz w:val="20"/>
          <w:szCs w:val="20"/>
        </w:rPr>
        <w:t>,</w:t>
      </w:r>
      <w:r w:rsidRPr="00215B2F">
        <w:rPr>
          <w:rFonts w:ascii="Arial" w:eastAsia="Arial" w:hAnsi="Arial" w:cs="Arial"/>
          <w:sz w:val="20"/>
          <w:szCs w:val="20"/>
        </w:rPr>
        <w:t xml:space="preserve"> ter morebitna nova dejstva in dokaze, ki jih predložijo stranke in jih sodišče v skladu s tem zakonom lahko upošteva v skladu s </w:t>
      </w:r>
      <w:r w:rsidR="001D7104" w:rsidRPr="00215B2F">
        <w:rPr>
          <w:rFonts w:ascii="Arial" w:eastAsia="Arial" w:hAnsi="Arial" w:cs="Arial"/>
          <w:sz w:val="20"/>
          <w:szCs w:val="20"/>
        </w:rPr>
        <w:t>491</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p>
    <w:p w14:paraId="1348CCB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AE2926C"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66" w:name="_Ref202968775"/>
      <w:r w:rsidRPr="00215B2F">
        <w:rPr>
          <w:rFonts w:ascii="Arial" w:eastAsia="Arial" w:hAnsi="Arial" w:cs="Arial"/>
          <w:b/>
          <w:bCs/>
          <w:sz w:val="20"/>
          <w:szCs w:val="20"/>
        </w:rPr>
        <w:t>člen</w:t>
      </w:r>
      <w:bookmarkEnd w:id="566"/>
    </w:p>
    <w:p w14:paraId="70605960"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(odločitev sodišča)</w:t>
      </w:r>
    </w:p>
    <w:p w14:paraId="424793DE" w14:textId="77777777" w:rsidR="00F2737A" w:rsidRPr="00215B2F" w:rsidRDefault="00F2737A" w:rsidP="00FD5520">
      <w:pPr>
        <w:shd w:val="clear" w:color="auto" w:fill="FFFFFF" w:themeFill="background1"/>
        <w:spacing w:after="0" w:line="240" w:lineRule="auto"/>
        <w:jc w:val="both"/>
        <w:rPr>
          <w:rFonts w:ascii="Arial" w:eastAsia="Arial" w:hAnsi="Arial" w:cs="Arial"/>
          <w:b/>
          <w:bCs/>
          <w:sz w:val="20"/>
          <w:szCs w:val="20"/>
        </w:rPr>
      </w:pPr>
    </w:p>
    <w:p w14:paraId="3B51AC8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Če je subjekt nadzora pretežno ali v celoti izvršil odločbo, ki jo je izdala Banka Slovenije, sodišče v primeru, ko v postopku sodnega varstva ugotovi razloge, zaradi katerih se izpodbijani akt lahko odpravi ali izreče za ničnega, izpodbijanega akta ne odpravi, ampak zgolj ugotovi njegovo nezakonitost.</w:t>
      </w:r>
    </w:p>
    <w:p w14:paraId="4754FCE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278054A" w14:textId="45CD2BD0" w:rsidR="00D91782" w:rsidRPr="00215B2F" w:rsidRDefault="005F0814" w:rsidP="00FD5520">
      <w:pPr>
        <w:shd w:val="clear" w:color="auto" w:fill="FFFFFF" w:themeFill="background1"/>
        <w:spacing w:after="0" w:line="240" w:lineRule="auto"/>
        <w:jc w:val="center"/>
        <w:rPr>
          <w:rFonts w:ascii="Arial" w:eastAsia="Arial" w:hAnsi="Arial" w:cs="Arial"/>
          <w:sz w:val="20"/>
          <w:szCs w:val="20"/>
        </w:rPr>
      </w:pPr>
      <w:r w:rsidRPr="00215B2F">
        <w:rPr>
          <w:rFonts w:ascii="Arial" w:eastAsia="Arial" w:hAnsi="Arial" w:cs="Arial"/>
          <w:sz w:val="20"/>
          <w:szCs w:val="20"/>
        </w:rPr>
        <w:t>17</w:t>
      </w:r>
      <w:r w:rsidR="00D91782" w:rsidRPr="00215B2F">
        <w:rPr>
          <w:rFonts w:ascii="Arial" w:eastAsia="Arial" w:hAnsi="Arial" w:cs="Arial"/>
          <w:sz w:val="20"/>
          <w:szCs w:val="20"/>
        </w:rPr>
        <w:t xml:space="preserve">. POGLAVJE: </w:t>
      </w:r>
      <w:r w:rsidR="00D91782" w:rsidRPr="00215B2F">
        <w:rPr>
          <w:rFonts w:ascii="Arial" w:eastAsia="Arial" w:hAnsi="Arial" w:cs="Arial"/>
          <w:sz w:val="20"/>
          <w:szCs w:val="20"/>
        </w:rPr>
        <w:br/>
        <w:t>IZVAJANJE IZREDNIH UKREPOV BANKE SLOVENIJE</w:t>
      </w:r>
    </w:p>
    <w:p w14:paraId="716F9EA7"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p>
    <w:p w14:paraId="62266467"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67" w:name="_Ref202968787"/>
      <w:r w:rsidRPr="00215B2F">
        <w:rPr>
          <w:rFonts w:ascii="Arial" w:eastAsia="Arial" w:hAnsi="Arial" w:cs="Arial"/>
          <w:b/>
          <w:bCs/>
          <w:sz w:val="20"/>
          <w:szCs w:val="20"/>
        </w:rPr>
        <w:t>člen</w:t>
      </w:r>
      <w:bookmarkEnd w:id="567"/>
    </w:p>
    <w:p w14:paraId="2CB2AD10"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(uporaba predpisov glede izvajanja izrednih ukrepov)</w:t>
      </w:r>
    </w:p>
    <w:p w14:paraId="5DA600F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4803935" w14:textId="47850F6C"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Za izvajanje izrednih ukrepov za zagotovitev stabilnosti finančnega sistema se uporabljajo določbe 7.7. </w:t>
      </w:r>
      <w:r w:rsidR="005B0CC7" w:rsidRPr="00215B2F">
        <w:rPr>
          <w:rFonts w:ascii="Arial" w:eastAsia="Arial" w:hAnsi="Arial" w:cs="Arial"/>
          <w:sz w:val="20"/>
          <w:szCs w:val="20"/>
        </w:rPr>
        <w:t>o</w:t>
      </w:r>
      <w:r w:rsidR="001F2C7A" w:rsidRPr="00215B2F">
        <w:rPr>
          <w:rFonts w:ascii="Arial" w:eastAsia="Arial" w:hAnsi="Arial" w:cs="Arial"/>
          <w:sz w:val="20"/>
          <w:szCs w:val="20"/>
        </w:rPr>
        <w:t>ddelka</w:t>
      </w:r>
      <w:r w:rsidRPr="00215B2F">
        <w:rPr>
          <w:rFonts w:ascii="Arial" w:eastAsia="Arial" w:hAnsi="Arial" w:cs="Arial"/>
          <w:sz w:val="20"/>
          <w:szCs w:val="20"/>
        </w:rPr>
        <w:t xml:space="preserve"> Zakona o bančništvu (Uradni list RS, št. 99/10 – uradno prečiščeno besedilo, 9/11 – ZPlaSS-B, 35/11, 59/11, 85/11, 48/12, 105/12, 56/13, 63/13 – ZS-K, 96/13, 25/15 – ZBan-2, 27/16 – ZSJV, 44/16 – ZRPPB) in tega zakona.</w:t>
      </w:r>
    </w:p>
    <w:p w14:paraId="061F7D8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1202ECB" w14:textId="6B169257" w:rsidR="00D91782" w:rsidRPr="00215B2F" w:rsidRDefault="005F0814" w:rsidP="00FD5520">
      <w:pPr>
        <w:shd w:val="clear" w:color="auto" w:fill="FFFFFF" w:themeFill="background1"/>
        <w:spacing w:after="0" w:line="240" w:lineRule="auto"/>
        <w:jc w:val="center"/>
        <w:rPr>
          <w:rFonts w:ascii="Arial" w:eastAsia="Arial" w:hAnsi="Arial" w:cs="Arial"/>
          <w:sz w:val="20"/>
          <w:szCs w:val="20"/>
        </w:rPr>
      </w:pPr>
      <w:r w:rsidRPr="00215B2F">
        <w:rPr>
          <w:rFonts w:ascii="Arial" w:eastAsia="Arial" w:hAnsi="Arial" w:cs="Arial"/>
          <w:sz w:val="20"/>
          <w:szCs w:val="20"/>
        </w:rPr>
        <w:t>18</w:t>
      </w:r>
      <w:r w:rsidR="00D91782" w:rsidRPr="00215B2F">
        <w:rPr>
          <w:rFonts w:ascii="Arial" w:eastAsia="Arial" w:hAnsi="Arial" w:cs="Arial"/>
          <w:sz w:val="20"/>
          <w:szCs w:val="20"/>
        </w:rPr>
        <w:t xml:space="preserve">. POGLAVJE: </w:t>
      </w:r>
      <w:r w:rsidR="00D91782" w:rsidRPr="00215B2F">
        <w:rPr>
          <w:rFonts w:ascii="Arial" w:eastAsia="Arial" w:hAnsi="Arial" w:cs="Arial"/>
          <w:sz w:val="20"/>
          <w:szCs w:val="20"/>
        </w:rPr>
        <w:br/>
        <w:t>KAZENSKE DOLOČBE</w:t>
      </w:r>
    </w:p>
    <w:p w14:paraId="4AAFC76F"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5482D52D"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68" w:name="_Ref202968795"/>
      <w:r w:rsidRPr="00215B2F">
        <w:rPr>
          <w:rFonts w:ascii="Arial" w:eastAsia="Arial" w:hAnsi="Arial" w:cs="Arial"/>
          <w:b/>
          <w:bCs/>
          <w:sz w:val="20"/>
          <w:szCs w:val="20"/>
        </w:rPr>
        <w:t>člen</w:t>
      </w:r>
      <w:bookmarkEnd w:id="568"/>
    </w:p>
    <w:p w14:paraId="370A149E" w14:textId="218372E1"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(globa za kršitev odgovorne osebe banke)</w:t>
      </w:r>
    </w:p>
    <w:p w14:paraId="18C5CE9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7940F02" w14:textId="76A9606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bookmarkStart w:id="569" w:name="_Hlk203647540"/>
      <w:r w:rsidRPr="00215B2F">
        <w:rPr>
          <w:rFonts w:ascii="Arial" w:eastAsia="Arial" w:hAnsi="Arial" w:cs="Arial"/>
          <w:sz w:val="20"/>
          <w:szCs w:val="20"/>
        </w:rPr>
        <w:t xml:space="preserve">(1) Z globo od 2.500 do 10.000 eurov se za prekršek kaznuje član uprave, ki naklepno ali iz </w:t>
      </w:r>
      <w:r w:rsidR="000F7B1D" w:rsidRPr="00215B2F">
        <w:rPr>
          <w:rFonts w:ascii="Arial" w:eastAsia="Arial" w:hAnsi="Arial" w:cs="Arial"/>
          <w:sz w:val="20"/>
          <w:szCs w:val="20"/>
        </w:rPr>
        <w:t>zavestne</w:t>
      </w:r>
      <w:r w:rsidRPr="00215B2F">
        <w:rPr>
          <w:rFonts w:ascii="Arial" w:eastAsia="Arial" w:hAnsi="Arial" w:cs="Arial"/>
          <w:sz w:val="20"/>
          <w:szCs w:val="20"/>
        </w:rPr>
        <w:t xml:space="preserve"> malomarnosti krši dolžnost člana uprave iz prvega ali tretjega odstavka </w:t>
      </w:r>
      <w:r w:rsidR="00FE757E" w:rsidRPr="00215B2F">
        <w:rPr>
          <w:rFonts w:ascii="Arial" w:eastAsia="Arial" w:hAnsi="Arial" w:cs="Arial"/>
          <w:sz w:val="20"/>
          <w:szCs w:val="20"/>
        </w:rPr>
        <w:t>54</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00F46384" w:rsidRPr="00215B2F">
        <w:rPr>
          <w:rFonts w:ascii="Arial" w:eastAsia="Arial" w:hAnsi="Arial" w:cs="Arial"/>
          <w:sz w:val="20"/>
          <w:szCs w:val="20"/>
        </w:rPr>
        <w:t>,</w:t>
      </w:r>
      <w:r w:rsidRPr="00215B2F">
        <w:rPr>
          <w:rFonts w:ascii="Arial" w:eastAsia="Arial" w:hAnsi="Arial" w:cs="Arial"/>
          <w:sz w:val="20"/>
          <w:szCs w:val="20"/>
        </w:rPr>
        <w:t xml:space="preserve"> ali član nadzornega sveta, ki naklepno ali iz </w:t>
      </w:r>
      <w:r w:rsidR="000F7B1D" w:rsidRPr="00215B2F">
        <w:rPr>
          <w:rFonts w:ascii="Arial" w:eastAsia="Arial" w:hAnsi="Arial" w:cs="Arial"/>
          <w:sz w:val="20"/>
          <w:szCs w:val="20"/>
        </w:rPr>
        <w:t xml:space="preserve">zavestne </w:t>
      </w:r>
      <w:r w:rsidRPr="00215B2F">
        <w:rPr>
          <w:rFonts w:ascii="Arial" w:eastAsia="Arial" w:hAnsi="Arial" w:cs="Arial"/>
          <w:sz w:val="20"/>
          <w:szCs w:val="20"/>
        </w:rPr>
        <w:t xml:space="preserve">malomarnosti krši dolžnost člana nadzornega sveta iz prvega odstavka </w:t>
      </w:r>
      <w:r w:rsidR="00FE757E" w:rsidRPr="00215B2F">
        <w:rPr>
          <w:rFonts w:ascii="Arial" w:eastAsia="Arial" w:hAnsi="Arial" w:cs="Arial"/>
          <w:sz w:val="20"/>
          <w:szCs w:val="20"/>
        </w:rPr>
        <w:t>69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in je zato pri banki </w:t>
      </w:r>
      <w:r w:rsidR="00330C80" w:rsidRPr="00215B2F">
        <w:rPr>
          <w:rFonts w:ascii="Arial" w:eastAsia="Arial" w:hAnsi="Arial" w:cs="Arial"/>
          <w:sz w:val="20"/>
          <w:szCs w:val="20"/>
        </w:rPr>
        <w:t>ugotovlje</w:t>
      </w:r>
      <w:r w:rsidRPr="00215B2F">
        <w:rPr>
          <w:rFonts w:ascii="Arial" w:eastAsia="Arial" w:hAnsi="Arial" w:cs="Arial"/>
          <w:sz w:val="20"/>
          <w:szCs w:val="20"/>
        </w:rPr>
        <w:t>na katera</w:t>
      </w:r>
      <w:r w:rsidR="00F46384" w:rsidRPr="00215B2F">
        <w:rPr>
          <w:rFonts w:ascii="Arial" w:eastAsia="Arial" w:hAnsi="Arial" w:cs="Arial"/>
          <w:sz w:val="20"/>
          <w:szCs w:val="20"/>
        </w:rPr>
        <w:t xml:space="preserve"> </w:t>
      </w:r>
      <w:r w:rsidR="0069341E" w:rsidRPr="00215B2F">
        <w:rPr>
          <w:rFonts w:ascii="Arial" w:eastAsia="Arial" w:hAnsi="Arial" w:cs="Arial"/>
          <w:sz w:val="20"/>
          <w:szCs w:val="20"/>
        </w:rPr>
        <w:t xml:space="preserve">od </w:t>
      </w:r>
      <w:r w:rsidRPr="00215B2F">
        <w:rPr>
          <w:rFonts w:ascii="Arial" w:eastAsia="Arial" w:hAnsi="Arial" w:cs="Arial"/>
          <w:sz w:val="20"/>
          <w:szCs w:val="20"/>
        </w:rPr>
        <w:t xml:space="preserve">kršitev iz </w:t>
      </w:r>
      <w:r w:rsidR="00962F2A" w:rsidRPr="00215B2F">
        <w:rPr>
          <w:rFonts w:ascii="Arial" w:eastAsia="Arial" w:hAnsi="Arial" w:cs="Arial"/>
          <w:sz w:val="20"/>
          <w:szCs w:val="20"/>
        </w:rPr>
        <w:t>389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7E52E6B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D69E2EE" w14:textId="78137FBA"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Če je narava storjenega prekrška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posebno huda zaradi višine povzročene škode oziroma višine pridobljene protipravne premoženjske koristi ali zaradi storilčevega namena koristoljubnosti, se član uprave ali nadzornega sveta kaznuje z globo do višine 5.000.000 eurov.</w:t>
      </w:r>
    </w:p>
    <w:p w14:paraId="7233A66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28333AD" w14:textId="5431840D"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Odgovorna oseba banke, ki ni član uprave ali nadzornega sveta in naklepno ali iz </w:t>
      </w:r>
      <w:r w:rsidR="000F7B1D" w:rsidRPr="00215B2F">
        <w:rPr>
          <w:rFonts w:ascii="Arial" w:eastAsia="Arial" w:hAnsi="Arial" w:cs="Arial"/>
          <w:sz w:val="20"/>
          <w:szCs w:val="20"/>
        </w:rPr>
        <w:t>zavestne</w:t>
      </w:r>
      <w:r w:rsidRPr="00215B2F">
        <w:rPr>
          <w:rFonts w:ascii="Arial" w:eastAsia="Arial" w:hAnsi="Arial" w:cs="Arial"/>
          <w:sz w:val="20"/>
          <w:szCs w:val="20"/>
        </w:rPr>
        <w:t xml:space="preserve"> malomarnosti povzroči, da </w:t>
      </w:r>
      <w:r w:rsidR="00F46384" w:rsidRPr="00215B2F">
        <w:rPr>
          <w:rFonts w:ascii="Arial" w:eastAsia="Arial" w:hAnsi="Arial" w:cs="Arial"/>
          <w:sz w:val="20"/>
          <w:szCs w:val="20"/>
        </w:rPr>
        <w:t xml:space="preserve">se </w:t>
      </w:r>
      <w:r w:rsidRPr="00215B2F">
        <w:rPr>
          <w:rFonts w:ascii="Arial" w:eastAsia="Arial" w:hAnsi="Arial" w:cs="Arial"/>
          <w:sz w:val="20"/>
          <w:szCs w:val="20"/>
        </w:rPr>
        <w:t xml:space="preserve">pri banki </w:t>
      </w:r>
      <w:r w:rsidR="00F46384" w:rsidRPr="00215B2F">
        <w:rPr>
          <w:rFonts w:ascii="Arial" w:eastAsia="Arial" w:hAnsi="Arial" w:cs="Arial"/>
          <w:sz w:val="20"/>
          <w:szCs w:val="20"/>
        </w:rPr>
        <w:t>zgodi</w:t>
      </w:r>
      <w:r w:rsidRPr="00215B2F">
        <w:rPr>
          <w:rFonts w:ascii="Arial" w:eastAsia="Arial" w:hAnsi="Arial" w:cs="Arial"/>
          <w:sz w:val="20"/>
          <w:szCs w:val="20"/>
        </w:rPr>
        <w:t xml:space="preserve"> katera</w:t>
      </w:r>
      <w:r w:rsidR="00F46384" w:rsidRPr="00215B2F">
        <w:rPr>
          <w:rFonts w:ascii="Arial" w:eastAsia="Arial" w:hAnsi="Arial" w:cs="Arial"/>
          <w:sz w:val="20"/>
          <w:szCs w:val="20"/>
        </w:rPr>
        <w:t xml:space="preserve"> </w:t>
      </w:r>
      <w:r w:rsidR="0069341E" w:rsidRPr="00215B2F">
        <w:rPr>
          <w:rFonts w:ascii="Arial" w:eastAsia="Arial" w:hAnsi="Arial" w:cs="Arial"/>
          <w:sz w:val="20"/>
          <w:szCs w:val="20"/>
        </w:rPr>
        <w:t xml:space="preserve">od </w:t>
      </w:r>
      <w:r w:rsidRPr="00215B2F">
        <w:rPr>
          <w:rFonts w:ascii="Arial" w:eastAsia="Arial" w:hAnsi="Arial" w:cs="Arial"/>
          <w:sz w:val="20"/>
          <w:szCs w:val="20"/>
        </w:rPr>
        <w:t xml:space="preserve">kršitev iz </w:t>
      </w:r>
      <w:r w:rsidR="00962F2A" w:rsidRPr="00215B2F">
        <w:rPr>
          <w:rFonts w:ascii="Arial" w:eastAsia="Arial" w:hAnsi="Arial" w:cs="Arial"/>
          <w:sz w:val="20"/>
          <w:szCs w:val="20"/>
        </w:rPr>
        <w:t>389</w:t>
      </w:r>
      <w:r w:rsidRPr="00215B2F">
        <w:rPr>
          <w:rFonts w:ascii="Arial" w:eastAsia="Arial" w:hAnsi="Arial" w:cs="Arial"/>
          <w:sz w:val="20"/>
          <w:szCs w:val="20"/>
        </w:rPr>
        <w:t>. člena</w:t>
      </w:r>
      <w:r w:rsidR="005B0CC7" w:rsidRPr="00215B2F">
        <w:rPr>
          <w:rFonts w:ascii="Arial" w:eastAsia="Arial" w:hAnsi="Arial" w:cs="Arial"/>
          <w:sz w:val="20"/>
          <w:szCs w:val="20"/>
        </w:rPr>
        <w:t xml:space="preserve"> tega zakona</w:t>
      </w:r>
      <w:r w:rsidRPr="00215B2F">
        <w:rPr>
          <w:rFonts w:ascii="Arial" w:eastAsia="Arial" w:hAnsi="Arial" w:cs="Arial"/>
          <w:sz w:val="20"/>
          <w:szCs w:val="20"/>
        </w:rPr>
        <w:t xml:space="preserve">, se kaznuje z globo od 800 do 10.000 eurov. Če je narava storjenega prekrška iz prejšnjega stavka posebno huda zaradi višine povzročene škode oziroma višine pridobljene protipravne premoženjske koristi ali zaradi </w:t>
      </w:r>
      <w:r w:rsidRPr="00215B2F">
        <w:rPr>
          <w:rFonts w:ascii="Arial" w:eastAsia="Arial" w:hAnsi="Arial" w:cs="Arial"/>
          <w:sz w:val="20"/>
          <w:szCs w:val="20"/>
        </w:rPr>
        <w:lastRenderedPageBreak/>
        <w:t>storilčevega namena koristoljubnosti, se odgovorna oseba banke kaznuje z globo od 2.500 do 30.000 eurov.</w:t>
      </w:r>
    </w:p>
    <w:bookmarkEnd w:id="569"/>
    <w:p w14:paraId="3E625CA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E8A10BE"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70" w:name="_Ref203647889"/>
      <w:r w:rsidRPr="00215B2F">
        <w:rPr>
          <w:rFonts w:ascii="Arial" w:eastAsia="Arial" w:hAnsi="Arial" w:cs="Arial"/>
          <w:b/>
          <w:bCs/>
          <w:sz w:val="20"/>
          <w:szCs w:val="20"/>
        </w:rPr>
        <w:t>člen</w:t>
      </w:r>
      <w:bookmarkEnd w:id="570"/>
    </w:p>
    <w:p w14:paraId="3678E898" w14:textId="55093C11"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(globa za kršitev imetnika in odgovorne osebe imetnika kvalificiranega deleža)</w:t>
      </w:r>
    </w:p>
    <w:p w14:paraId="577FCD2F"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CEF663B" w14:textId="362B794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Odgovorna oseba pravne osebe, ki kot imetnik kvalificiranega deleža ne odsvoji deleža v skladu z odredbo o odsvojitvi deleža iz </w:t>
      </w:r>
      <w:r w:rsidR="001D7104" w:rsidRPr="00215B2F">
        <w:rPr>
          <w:rFonts w:ascii="Arial" w:eastAsia="Arial" w:hAnsi="Arial" w:cs="Arial"/>
          <w:sz w:val="20"/>
          <w:szCs w:val="20"/>
        </w:rPr>
        <w:t>365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se kaznuje z globo v višini od 800 do 10.000 eurov.</w:t>
      </w:r>
    </w:p>
    <w:p w14:paraId="6731BD5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62DA7AD" w14:textId="0E345F6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Če je narava storjenega prekrška iz prejšnjega stavka posebno huda zaradi višine povzročene škode oziroma višine pridobljene protipravne premoženjske koristi ali zaradi storilčevega naklepa oziroma njegovega namena koristoljubnosti, se odgovorna oseba pravne osebe kaznuje z globo od 2.500 do 30.000 eurov</w:t>
      </w:r>
      <w:r w:rsidR="00D142F4" w:rsidRPr="00215B2F">
        <w:rPr>
          <w:rFonts w:ascii="Arial" w:eastAsia="Arial" w:hAnsi="Arial" w:cs="Arial"/>
          <w:sz w:val="20"/>
          <w:szCs w:val="20"/>
        </w:rPr>
        <w:t>.</w:t>
      </w:r>
    </w:p>
    <w:p w14:paraId="4A5BEF01" w14:textId="764A755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3ECCC29" w14:textId="56AD870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w:t>
      </w:r>
      <w:r w:rsidR="000E5AFA" w:rsidRPr="00215B2F">
        <w:rPr>
          <w:rFonts w:ascii="Arial" w:eastAsia="Arial" w:hAnsi="Arial" w:cs="Arial"/>
          <w:sz w:val="20"/>
          <w:szCs w:val="20"/>
        </w:rPr>
        <w:t>Posameznik</w:t>
      </w:r>
      <w:r w:rsidRPr="00215B2F">
        <w:rPr>
          <w:rFonts w:ascii="Arial" w:eastAsia="Arial" w:hAnsi="Arial" w:cs="Arial"/>
          <w:sz w:val="20"/>
          <w:szCs w:val="20"/>
        </w:rPr>
        <w:t xml:space="preserve">, ki kot imetnik kvalificiranega deleža ne odsvoji deleža v skladu z odredbo o odsvojitvi deleža iz </w:t>
      </w:r>
      <w:r w:rsidR="001D7104" w:rsidRPr="00215B2F">
        <w:rPr>
          <w:rFonts w:ascii="Arial" w:eastAsia="Arial" w:hAnsi="Arial" w:cs="Arial"/>
          <w:sz w:val="20"/>
          <w:szCs w:val="20"/>
        </w:rPr>
        <w:t>365</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se kaznuje z globo v višini od 2.500 do 10.000 eurov.</w:t>
      </w:r>
    </w:p>
    <w:p w14:paraId="6E610FB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CA4E2FB" w14:textId="5A2163B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Če je narava storjenega prekrška iz prejšnjega odstavka posebno huda zaradi višine povzročene škode oziroma višine pridobljene protipravne premoženjske koristi ali zaradi storilčevega naklepa oziroma njegovega namena koristoljubnosti, se </w:t>
      </w:r>
      <w:r w:rsidR="000E5AFA" w:rsidRPr="00215B2F">
        <w:rPr>
          <w:rFonts w:ascii="Arial" w:eastAsia="Arial" w:hAnsi="Arial" w:cs="Arial"/>
          <w:sz w:val="20"/>
          <w:szCs w:val="20"/>
        </w:rPr>
        <w:t>posameznik</w:t>
      </w:r>
      <w:r w:rsidRPr="00215B2F">
        <w:rPr>
          <w:rFonts w:ascii="Arial" w:eastAsia="Arial" w:hAnsi="Arial" w:cs="Arial"/>
          <w:sz w:val="20"/>
          <w:szCs w:val="20"/>
        </w:rPr>
        <w:t xml:space="preserve"> kaznuje z globo v višini do:</w:t>
      </w:r>
    </w:p>
    <w:p w14:paraId="7CA488A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A350B4C" w14:textId="77777777" w:rsidR="00EA4B78" w:rsidRPr="00215B2F" w:rsidRDefault="00D91782" w:rsidP="003D4DE0">
      <w:pPr>
        <w:pStyle w:val="tevilnatoka"/>
        <w:numPr>
          <w:ilvl w:val="0"/>
          <w:numId w:val="374"/>
        </w:numPr>
        <w:shd w:val="clear" w:color="auto" w:fill="FFFFFF" w:themeFill="background1"/>
        <w:rPr>
          <w:rFonts w:cs="Arial"/>
          <w:bCs/>
          <w:sz w:val="20"/>
          <w:szCs w:val="20"/>
        </w:rPr>
      </w:pPr>
      <w:r w:rsidRPr="00215B2F">
        <w:rPr>
          <w:rFonts w:eastAsia="Arial" w:cs="Arial"/>
          <w:sz w:val="20"/>
          <w:szCs w:val="20"/>
        </w:rPr>
        <w:t>5.000.000 eurov ali</w:t>
      </w:r>
    </w:p>
    <w:p w14:paraId="44C784FB" w14:textId="757A26F2" w:rsidR="00D91782" w:rsidRPr="00215B2F" w:rsidRDefault="00D91782" w:rsidP="00AB65A6">
      <w:pPr>
        <w:pStyle w:val="tevilnatoka"/>
        <w:shd w:val="clear" w:color="auto" w:fill="FFFFFF" w:themeFill="background1"/>
        <w:tabs>
          <w:tab w:val="clear" w:pos="425"/>
        </w:tabs>
        <w:rPr>
          <w:rFonts w:cs="Arial"/>
          <w:bCs/>
          <w:sz w:val="20"/>
          <w:szCs w:val="20"/>
        </w:rPr>
      </w:pPr>
      <w:r w:rsidRPr="00215B2F">
        <w:rPr>
          <w:rFonts w:eastAsia="Arial" w:cs="Arial"/>
          <w:sz w:val="20"/>
          <w:szCs w:val="20"/>
        </w:rPr>
        <w:t>dvakratnega zneska dobička, pridobljenega s kršitvijo, ali izgube, preprečene s kršitvijo, če ju je mogoče opredeliti, in če dvakratni znesek ugotovljenega dobička ali izgube presega znesek iz prejšnje točke.</w:t>
      </w:r>
    </w:p>
    <w:p w14:paraId="0E25FA7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205AF45"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71" w:name="_Ref202968815"/>
      <w:r w:rsidRPr="00215B2F">
        <w:rPr>
          <w:rFonts w:ascii="Arial" w:eastAsia="Arial" w:hAnsi="Arial" w:cs="Arial"/>
          <w:b/>
          <w:bCs/>
          <w:sz w:val="20"/>
          <w:szCs w:val="20"/>
        </w:rPr>
        <w:t>člen</w:t>
      </w:r>
      <w:bookmarkEnd w:id="571"/>
    </w:p>
    <w:p w14:paraId="1E820027"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(globa za kršitev odgovorne osebe finančnega holdinga ali mešanega finančnega holdinga)</w:t>
      </w:r>
    </w:p>
    <w:p w14:paraId="7C4C993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1EAE0B5" w14:textId="4DFA62D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Z globo od 2.500 do 10.000 eurov se za prekršek kaznuje član upravljalnega organa finančnega holdinga ali mešanega finančnega holdinga, ki naklepno ali iz </w:t>
      </w:r>
      <w:r w:rsidR="000F7B1D" w:rsidRPr="00215B2F">
        <w:rPr>
          <w:rFonts w:ascii="Arial" w:eastAsia="Arial" w:hAnsi="Arial" w:cs="Arial"/>
          <w:sz w:val="20"/>
          <w:szCs w:val="20"/>
        </w:rPr>
        <w:t xml:space="preserve">zavestne </w:t>
      </w:r>
      <w:r w:rsidRPr="00215B2F">
        <w:rPr>
          <w:rFonts w:ascii="Arial" w:eastAsia="Arial" w:hAnsi="Arial" w:cs="Arial"/>
          <w:sz w:val="20"/>
          <w:szCs w:val="20"/>
        </w:rPr>
        <w:t xml:space="preserve">malomarnosti krši dolžnost člana upravljalnega organa iz </w:t>
      </w:r>
      <w:r w:rsidR="00FE757E" w:rsidRPr="00215B2F">
        <w:rPr>
          <w:rFonts w:ascii="Arial" w:eastAsia="Arial" w:hAnsi="Arial" w:cs="Arial"/>
          <w:sz w:val="20"/>
          <w:szCs w:val="20"/>
        </w:rPr>
        <w:t>54</w:t>
      </w:r>
      <w:r w:rsidRPr="00215B2F">
        <w:rPr>
          <w:rFonts w:ascii="Arial" w:eastAsia="Arial" w:hAnsi="Arial" w:cs="Arial"/>
          <w:sz w:val="20"/>
          <w:szCs w:val="20"/>
        </w:rPr>
        <w:t xml:space="preserve">. ali </w:t>
      </w:r>
      <w:r w:rsidR="00FE757E" w:rsidRPr="00215B2F">
        <w:rPr>
          <w:rFonts w:ascii="Arial" w:eastAsia="Arial" w:hAnsi="Arial" w:cs="Arial"/>
          <w:sz w:val="20"/>
          <w:szCs w:val="20"/>
        </w:rPr>
        <w:t>69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v povezavi </w:t>
      </w:r>
      <w:r w:rsidR="00F46384" w:rsidRPr="00215B2F">
        <w:rPr>
          <w:rFonts w:ascii="Arial" w:eastAsia="Arial" w:hAnsi="Arial" w:cs="Arial"/>
          <w:sz w:val="20"/>
          <w:szCs w:val="20"/>
        </w:rPr>
        <w:t xml:space="preserve">z </w:t>
      </w:r>
      <w:r w:rsidR="001D7104" w:rsidRPr="00215B2F">
        <w:rPr>
          <w:rFonts w:ascii="Arial" w:eastAsia="Arial" w:hAnsi="Arial" w:cs="Arial"/>
          <w:sz w:val="20"/>
          <w:szCs w:val="20"/>
        </w:rPr>
        <w:t>79</w:t>
      </w:r>
      <w:r w:rsidRPr="00215B2F">
        <w:rPr>
          <w:rFonts w:ascii="Arial" w:eastAsia="Arial" w:hAnsi="Arial" w:cs="Arial"/>
          <w:sz w:val="20"/>
          <w:szCs w:val="20"/>
        </w:rPr>
        <w:t xml:space="preserve">. </w:t>
      </w:r>
      <w:r w:rsidR="001F2C7A" w:rsidRPr="00215B2F">
        <w:rPr>
          <w:rFonts w:ascii="Arial" w:eastAsia="Arial" w:hAnsi="Arial" w:cs="Arial"/>
          <w:sz w:val="20"/>
          <w:szCs w:val="20"/>
        </w:rPr>
        <w:t>členom tega zakona</w:t>
      </w:r>
      <w:r w:rsidRPr="00215B2F">
        <w:rPr>
          <w:rFonts w:ascii="Arial" w:eastAsia="Arial" w:hAnsi="Arial" w:cs="Arial"/>
          <w:sz w:val="20"/>
          <w:szCs w:val="20"/>
        </w:rPr>
        <w:t xml:space="preserve"> in </w:t>
      </w:r>
      <w:r w:rsidR="00F46384" w:rsidRPr="00215B2F">
        <w:rPr>
          <w:rFonts w:ascii="Arial" w:eastAsia="Arial" w:hAnsi="Arial" w:cs="Arial"/>
          <w:sz w:val="20"/>
          <w:szCs w:val="20"/>
        </w:rPr>
        <w:t xml:space="preserve">se </w:t>
      </w:r>
      <w:r w:rsidRPr="00215B2F">
        <w:rPr>
          <w:rFonts w:ascii="Arial" w:eastAsia="Arial" w:hAnsi="Arial" w:cs="Arial"/>
          <w:sz w:val="20"/>
          <w:szCs w:val="20"/>
        </w:rPr>
        <w:t xml:space="preserve">je zato pri finančnem holdingu ali mešanem finančnem holdingu </w:t>
      </w:r>
      <w:r w:rsidR="00F46384" w:rsidRPr="00215B2F">
        <w:rPr>
          <w:rFonts w:ascii="Arial" w:eastAsia="Arial" w:hAnsi="Arial" w:cs="Arial"/>
          <w:sz w:val="20"/>
          <w:szCs w:val="20"/>
        </w:rPr>
        <w:t>zgodila</w:t>
      </w:r>
      <w:r w:rsidRPr="00215B2F">
        <w:rPr>
          <w:rFonts w:ascii="Arial" w:eastAsia="Arial" w:hAnsi="Arial" w:cs="Arial"/>
          <w:sz w:val="20"/>
          <w:szCs w:val="20"/>
        </w:rPr>
        <w:t xml:space="preserve"> katera</w:t>
      </w:r>
      <w:r w:rsidR="00F46384" w:rsidRPr="00215B2F">
        <w:rPr>
          <w:rFonts w:ascii="Arial" w:eastAsia="Arial" w:hAnsi="Arial" w:cs="Arial"/>
          <w:sz w:val="20"/>
          <w:szCs w:val="20"/>
        </w:rPr>
        <w:t xml:space="preserve"> </w:t>
      </w:r>
      <w:r w:rsidR="0069341E" w:rsidRPr="00215B2F">
        <w:rPr>
          <w:rFonts w:ascii="Arial" w:eastAsia="Arial" w:hAnsi="Arial" w:cs="Arial"/>
          <w:sz w:val="20"/>
          <w:szCs w:val="20"/>
        </w:rPr>
        <w:t xml:space="preserve">od </w:t>
      </w:r>
      <w:r w:rsidRPr="00215B2F">
        <w:rPr>
          <w:rFonts w:ascii="Arial" w:eastAsia="Arial" w:hAnsi="Arial" w:cs="Arial"/>
          <w:sz w:val="20"/>
          <w:szCs w:val="20"/>
        </w:rPr>
        <w:t xml:space="preserve">kršitev iz </w:t>
      </w:r>
      <w:r w:rsidR="00962F2A" w:rsidRPr="00215B2F">
        <w:rPr>
          <w:rFonts w:ascii="Arial" w:eastAsia="Arial" w:hAnsi="Arial" w:cs="Arial"/>
          <w:sz w:val="20"/>
          <w:szCs w:val="20"/>
        </w:rPr>
        <w:t>389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5A195BF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9EAB7B4" w14:textId="63482CA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Če je narava storjenega prekrška iz prejšnjega odstavka posebno huda zaradi višine povzročene škode oziroma pridobljene protipravne premoženjske koristi ali zaradi storilčevega koristoljubnosti, se član upravljalnega organa kaznuje z globo do 5.000.000 eurov.</w:t>
      </w:r>
    </w:p>
    <w:p w14:paraId="5C96301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8C07319" w14:textId="356E4AB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Odgovorna oseba finančnega holdinga ali mešanega finančnega holdinga, ki ni član upravljalnega organa in naklepno ali iz </w:t>
      </w:r>
      <w:r w:rsidR="000F7B1D" w:rsidRPr="00215B2F">
        <w:rPr>
          <w:rFonts w:ascii="Arial" w:eastAsia="Arial" w:hAnsi="Arial" w:cs="Arial"/>
          <w:sz w:val="20"/>
          <w:szCs w:val="20"/>
        </w:rPr>
        <w:t>zavestne</w:t>
      </w:r>
      <w:r w:rsidR="000F7B1D" w:rsidRPr="00215B2F" w:rsidDel="000F7B1D">
        <w:rPr>
          <w:rFonts w:ascii="Arial" w:eastAsia="Arial" w:hAnsi="Arial" w:cs="Arial"/>
          <w:sz w:val="20"/>
          <w:szCs w:val="20"/>
        </w:rPr>
        <w:t xml:space="preserve"> </w:t>
      </w:r>
      <w:r w:rsidRPr="00215B2F">
        <w:rPr>
          <w:rFonts w:ascii="Arial" w:eastAsia="Arial" w:hAnsi="Arial" w:cs="Arial"/>
          <w:sz w:val="20"/>
          <w:szCs w:val="20"/>
        </w:rPr>
        <w:t xml:space="preserve">malomarnosti povzroči, da </w:t>
      </w:r>
      <w:r w:rsidR="00F46384" w:rsidRPr="00215B2F">
        <w:rPr>
          <w:rFonts w:ascii="Arial" w:eastAsia="Arial" w:hAnsi="Arial" w:cs="Arial"/>
          <w:sz w:val="20"/>
          <w:szCs w:val="20"/>
        </w:rPr>
        <w:t>s</w:t>
      </w:r>
      <w:r w:rsidRPr="00215B2F">
        <w:rPr>
          <w:rFonts w:ascii="Arial" w:eastAsia="Arial" w:hAnsi="Arial" w:cs="Arial"/>
          <w:sz w:val="20"/>
          <w:szCs w:val="20"/>
        </w:rPr>
        <w:t xml:space="preserve">e pri finančnem holdingu ali mešanem finančnem holdingu </w:t>
      </w:r>
      <w:r w:rsidR="00F46384" w:rsidRPr="00215B2F">
        <w:rPr>
          <w:rFonts w:ascii="Arial" w:eastAsia="Arial" w:hAnsi="Arial" w:cs="Arial"/>
          <w:sz w:val="20"/>
          <w:szCs w:val="20"/>
        </w:rPr>
        <w:t>zgodi</w:t>
      </w:r>
      <w:r w:rsidRPr="00215B2F">
        <w:rPr>
          <w:rFonts w:ascii="Arial" w:eastAsia="Arial" w:hAnsi="Arial" w:cs="Arial"/>
          <w:sz w:val="20"/>
          <w:szCs w:val="20"/>
        </w:rPr>
        <w:t xml:space="preserve"> katera</w:t>
      </w:r>
      <w:r w:rsidR="00F46384" w:rsidRPr="00215B2F">
        <w:rPr>
          <w:rFonts w:ascii="Arial" w:eastAsia="Arial" w:hAnsi="Arial" w:cs="Arial"/>
          <w:sz w:val="20"/>
          <w:szCs w:val="20"/>
        </w:rPr>
        <w:t xml:space="preserve"> </w:t>
      </w:r>
      <w:r w:rsidR="0069341E" w:rsidRPr="00215B2F">
        <w:rPr>
          <w:rFonts w:ascii="Arial" w:eastAsia="Arial" w:hAnsi="Arial" w:cs="Arial"/>
          <w:sz w:val="20"/>
          <w:szCs w:val="20"/>
        </w:rPr>
        <w:t xml:space="preserve">od </w:t>
      </w:r>
      <w:r w:rsidRPr="00215B2F">
        <w:rPr>
          <w:rFonts w:ascii="Arial" w:eastAsia="Arial" w:hAnsi="Arial" w:cs="Arial"/>
          <w:sz w:val="20"/>
          <w:szCs w:val="20"/>
        </w:rPr>
        <w:t xml:space="preserve">kršitev iz </w:t>
      </w:r>
      <w:r w:rsidR="00962F2A" w:rsidRPr="00215B2F">
        <w:rPr>
          <w:rFonts w:ascii="Arial" w:eastAsia="Arial" w:hAnsi="Arial" w:cs="Arial"/>
          <w:sz w:val="20"/>
          <w:szCs w:val="20"/>
        </w:rPr>
        <w:t>389</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00F46384" w:rsidRPr="00215B2F">
        <w:rPr>
          <w:rFonts w:ascii="Arial" w:eastAsia="Arial" w:hAnsi="Arial" w:cs="Arial"/>
          <w:sz w:val="20"/>
          <w:szCs w:val="20"/>
        </w:rPr>
        <w:t>,</w:t>
      </w:r>
      <w:r w:rsidRPr="00215B2F">
        <w:rPr>
          <w:rFonts w:ascii="Arial" w:eastAsia="Arial" w:hAnsi="Arial" w:cs="Arial"/>
          <w:sz w:val="20"/>
          <w:szCs w:val="20"/>
        </w:rPr>
        <w:t xml:space="preserve"> se kaznuje z globo od 800 do 10.000 eurov. Če je narava storjenega prekrška iz prejšnjega stavka posebno huda zaradi višine povzročene škode oziroma pridobljene protipravne premoženjske koristi ali zaradi storilčevega namena koristoljubnosti, se odgovorna oseba finančnega holdinga ali mešanega finančnega holdinga, ki ni član upravljalnega organa finančnega holdinga</w:t>
      </w:r>
      <w:r w:rsidR="00F46384" w:rsidRPr="00215B2F">
        <w:rPr>
          <w:rFonts w:ascii="Arial" w:eastAsia="Arial" w:hAnsi="Arial" w:cs="Arial"/>
          <w:sz w:val="20"/>
          <w:szCs w:val="20"/>
        </w:rPr>
        <w:t>,</w:t>
      </w:r>
      <w:r w:rsidRPr="00215B2F">
        <w:rPr>
          <w:rFonts w:ascii="Arial" w:eastAsia="Arial" w:hAnsi="Arial" w:cs="Arial"/>
          <w:sz w:val="20"/>
          <w:szCs w:val="20"/>
        </w:rPr>
        <w:t xml:space="preserve"> kaznuje z globo od 2.500 do 30.000 eurov.</w:t>
      </w:r>
    </w:p>
    <w:p w14:paraId="5A0C402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305E93E"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72" w:name="_Ref202968830"/>
      <w:r w:rsidRPr="00215B2F">
        <w:rPr>
          <w:rFonts w:ascii="Arial" w:eastAsia="Arial" w:hAnsi="Arial" w:cs="Arial"/>
          <w:b/>
          <w:bCs/>
          <w:sz w:val="20"/>
          <w:szCs w:val="20"/>
        </w:rPr>
        <w:t>člen</w:t>
      </w:r>
      <w:bookmarkEnd w:id="572"/>
    </w:p>
    <w:p w14:paraId="6C7AA53C"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(kršitve drugih oseb)</w:t>
      </w:r>
    </w:p>
    <w:p w14:paraId="3821DDE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64B423D" w14:textId="1E18CB7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Z globo od 2.500 do 10.000 eurov se za prekršek kaznuje odgovorna oseba pravne osebe</w:t>
      </w:r>
      <w:r w:rsidR="008838C6" w:rsidRPr="00215B2F">
        <w:rPr>
          <w:rFonts w:ascii="Arial" w:eastAsia="Arial" w:hAnsi="Arial" w:cs="Arial"/>
          <w:sz w:val="20"/>
          <w:szCs w:val="20"/>
        </w:rPr>
        <w:t xml:space="preserve"> ali odgovorna oseba samostojnega podjetnika posameznika</w:t>
      </w:r>
      <w:r w:rsidRPr="00215B2F">
        <w:rPr>
          <w:rFonts w:ascii="Arial" w:eastAsia="Arial" w:hAnsi="Arial" w:cs="Arial"/>
          <w:sz w:val="20"/>
          <w:szCs w:val="20"/>
        </w:rPr>
        <w:t xml:space="preserve">, ki naklepno ali iz </w:t>
      </w:r>
      <w:r w:rsidR="000F7B1D" w:rsidRPr="00215B2F">
        <w:rPr>
          <w:rFonts w:ascii="Arial" w:eastAsia="Arial" w:hAnsi="Arial" w:cs="Arial"/>
          <w:sz w:val="20"/>
          <w:szCs w:val="20"/>
        </w:rPr>
        <w:t>zavestne</w:t>
      </w:r>
      <w:r w:rsidR="000F7B1D" w:rsidRPr="00215B2F" w:rsidDel="000F7B1D">
        <w:rPr>
          <w:rFonts w:ascii="Arial" w:eastAsia="Arial" w:hAnsi="Arial" w:cs="Arial"/>
          <w:sz w:val="20"/>
          <w:szCs w:val="20"/>
        </w:rPr>
        <w:t xml:space="preserve"> </w:t>
      </w:r>
      <w:r w:rsidRPr="00215B2F">
        <w:rPr>
          <w:rFonts w:ascii="Arial" w:eastAsia="Arial" w:hAnsi="Arial" w:cs="Arial"/>
          <w:sz w:val="20"/>
          <w:szCs w:val="20"/>
        </w:rPr>
        <w:t>malomarnosti:</w:t>
      </w:r>
    </w:p>
    <w:p w14:paraId="1038C4A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768A2B3" w14:textId="3C499F69" w:rsidR="00EA4B78" w:rsidRPr="00215B2F" w:rsidRDefault="00D91782" w:rsidP="003D4DE0">
      <w:pPr>
        <w:pStyle w:val="tevilnatoka"/>
        <w:numPr>
          <w:ilvl w:val="0"/>
          <w:numId w:val="375"/>
        </w:numPr>
        <w:shd w:val="clear" w:color="auto" w:fill="FFFFFF" w:themeFill="background1"/>
        <w:rPr>
          <w:rFonts w:cs="Arial"/>
          <w:bCs/>
          <w:sz w:val="20"/>
          <w:szCs w:val="20"/>
        </w:rPr>
      </w:pPr>
      <w:r w:rsidRPr="00215B2F">
        <w:rPr>
          <w:rFonts w:eastAsia="Arial" w:cs="Arial"/>
          <w:sz w:val="20"/>
          <w:szCs w:val="20"/>
        </w:rPr>
        <w:t xml:space="preserve">sprejema depozite od javnosti v nasprotju s prepovedjo iz </w:t>
      </w:r>
      <w:r w:rsidR="004B5768" w:rsidRPr="00215B2F">
        <w:rPr>
          <w:rFonts w:eastAsia="Arial" w:cs="Arial"/>
          <w:sz w:val="20"/>
          <w:szCs w:val="20"/>
        </w:rPr>
        <w:t>139</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 xml:space="preserve"> ali</w:t>
      </w:r>
    </w:p>
    <w:p w14:paraId="173DEDC6" w14:textId="64B7FA96" w:rsidR="00D91782" w:rsidRPr="00215B2F" w:rsidRDefault="00D91782" w:rsidP="003D4DE0">
      <w:pPr>
        <w:pStyle w:val="tevilnatoka"/>
        <w:numPr>
          <w:ilvl w:val="0"/>
          <w:numId w:val="293"/>
        </w:numPr>
        <w:shd w:val="clear" w:color="auto" w:fill="FFFFFF" w:themeFill="background1"/>
        <w:tabs>
          <w:tab w:val="clear" w:pos="425"/>
        </w:tabs>
        <w:rPr>
          <w:rFonts w:cs="Arial"/>
          <w:bCs/>
          <w:sz w:val="20"/>
          <w:szCs w:val="20"/>
        </w:rPr>
      </w:pPr>
      <w:r w:rsidRPr="00215B2F">
        <w:rPr>
          <w:rFonts w:eastAsia="Arial" w:cs="Arial"/>
          <w:sz w:val="20"/>
          <w:szCs w:val="20"/>
        </w:rPr>
        <w:t xml:space="preserve">pooblaščeni osebi Banke Slovenije ne predloži informacij ali omogoči pregleda poslovanja na način, določen v </w:t>
      </w:r>
      <w:r w:rsidR="00355D35" w:rsidRPr="00215B2F">
        <w:rPr>
          <w:rFonts w:eastAsia="Arial" w:cs="Arial"/>
          <w:sz w:val="20"/>
          <w:szCs w:val="20"/>
        </w:rPr>
        <w:t>337</w:t>
      </w:r>
      <w:r w:rsidRPr="00215B2F">
        <w:rPr>
          <w:rFonts w:eastAsia="Arial" w:cs="Arial"/>
          <w:sz w:val="20"/>
          <w:szCs w:val="20"/>
        </w:rPr>
        <w:t xml:space="preserve">., </w:t>
      </w:r>
      <w:r w:rsidR="001D7104" w:rsidRPr="00215B2F">
        <w:rPr>
          <w:rFonts w:eastAsia="Arial" w:cs="Arial"/>
          <w:sz w:val="20"/>
          <w:szCs w:val="20"/>
        </w:rPr>
        <w:t>340</w:t>
      </w:r>
      <w:r w:rsidRPr="00215B2F">
        <w:rPr>
          <w:rFonts w:eastAsia="Arial" w:cs="Arial"/>
          <w:sz w:val="20"/>
          <w:szCs w:val="20"/>
        </w:rPr>
        <w:t xml:space="preserve">., </w:t>
      </w:r>
      <w:r w:rsidR="001D7104" w:rsidRPr="00215B2F">
        <w:rPr>
          <w:rFonts w:eastAsia="Arial" w:cs="Arial"/>
          <w:sz w:val="20"/>
          <w:szCs w:val="20"/>
        </w:rPr>
        <w:t>341</w:t>
      </w:r>
      <w:r w:rsidRPr="00215B2F">
        <w:rPr>
          <w:rFonts w:eastAsia="Arial" w:cs="Arial"/>
          <w:sz w:val="20"/>
          <w:szCs w:val="20"/>
        </w:rPr>
        <w:t xml:space="preserve">., </w:t>
      </w:r>
      <w:r w:rsidR="00355D35" w:rsidRPr="00215B2F">
        <w:rPr>
          <w:rFonts w:eastAsia="Arial" w:cs="Arial"/>
          <w:sz w:val="20"/>
          <w:szCs w:val="20"/>
        </w:rPr>
        <w:t>342</w:t>
      </w:r>
      <w:r w:rsidRPr="00215B2F">
        <w:rPr>
          <w:rFonts w:eastAsia="Arial" w:cs="Arial"/>
          <w:sz w:val="20"/>
          <w:szCs w:val="20"/>
        </w:rPr>
        <w:t xml:space="preserve">. in </w:t>
      </w:r>
      <w:r w:rsidR="00576A49" w:rsidRPr="00215B2F">
        <w:rPr>
          <w:rFonts w:eastAsia="Arial" w:cs="Arial"/>
          <w:sz w:val="20"/>
          <w:szCs w:val="20"/>
        </w:rPr>
        <w:t>343</w:t>
      </w:r>
      <w:r w:rsidRPr="00215B2F">
        <w:rPr>
          <w:rFonts w:eastAsia="Arial" w:cs="Arial"/>
          <w:sz w:val="20"/>
          <w:szCs w:val="20"/>
        </w:rPr>
        <w:t xml:space="preserve">. </w:t>
      </w:r>
      <w:r w:rsidR="001F2C7A" w:rsidRPr="00215B2F">
        <w:rPr>
          <w:rFonts w:eastAsia="Arial" w:cs="Arial"/>
          <w:sz w:val="20"/>
          <w:szCs w:val="20"/>
        </w:rPr>
        <w:t>členu tega zakona</w:t>
      </w:r>
      <w:r w:rsidRPr="00215B2F">
        <w:rPr>
          <w:rFonts w:eastAsia="Arial" w:cs="Arial"/>
          <w:sz w:val="20"/>
          <w:szCs w:val="20"/>
        </w:rPr>
        <w:t xml:space="preserve">, ali kako drugače ovira nadzor iz drugega odstavka </w:t>
      </w:r>
      <w:r w:rsidR="001D7104" w:rsidRPr="00215B2F">
        <w:rPr>
          <w:rFonts w:eastAsia="Arial" w:cs="Arial"/>
          <w:sz w:val="20"/>
          <w:szCs w:val="20"/>
        </w:rPr>
        <w:t>432</w:t>
      </w:r>
      <w:r w:rsidRPr="00215B2F">
        <w:rPr>
          <w:rFonts w:eastAsia="Arial" w:cs="Arial"/>
          <w:sz w:val="20"/>
          <w:szCs w:val="20"/>
        </w:rPr>
        <w:t xml:space="preserve">. </w:t>
      </w:r>
      <w:r w:rsidR="001F2C7A" w:rsidRPr="00215B2F">
        <w:rPr>
          <w:rFonts w:eastAsia="Arial" w:cs="Arial"/>
          <w:sz w:val="20"/>
          <w:szCs w:val="20"/>
        </w:rPr>
        <w:t>člena tega zakona</w:t>
      </w:r>
    </w:p>
    <w:p w14:paraId="0E98861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C5D1672" w14:textId="60A3F05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(2) Z globo od 400 do 150.000 eurov se za prekršek kaznuje samostojni podjetnik posameznik ali posameznik, ki samostojno opravlja dejavnost:</w:t>
      </w:r>
    </w:p>
    <w:p w14:paraId="6A32D11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6793E10" w14:textId="0115273C" w:rsidR="00EA4B78" w:rsidRPr="00215B2F" w:rsidRDefault="00D91782" w:rsidP="003D4DE0">
      <w:pPr>
        <w:pStyle w:val="tevilnatoka"/>
        <w:numPr>
          <w:ilvl w:val="0"/>
          <w:numId w:val="376"/>
        </w:numPr>
        <w:shd w:val="clear" w:color="auto" w:fill="FFFFFF" w:themeFill="background1"/>
        <w:rPr>
          <w:rFonts w:cs="Arial"/>
          <w:bCs/>
          <w:sz w:val="20"/>
          <w:szCs w:val="20"/>
        </w:rPr>
      </w:pPr>
      <w:r w:rsidRPr="00215B2F">
        <w:rPr>
          <w:rFonts w:eastAsia="Arial" w:cs="Arial"/>
          <w:sz w:val="20"/>
          <w:szCs w:val="20"/>
        </w:rPr>
        <w:t xml:space="preserve">ki sprejema depozite od javnosti v nasprotju s prepovedjo iz </w:t>
      </w:r>
      <w:r w:rsidR="004B5768" w:rsidRPr="00215B2F">
        <w:rPr>
          <w:rFonts w:eastAsia="Arial" w:cs="Arial"/>
          <w:sz w:val="20"/>
          <w:szCs w:val="20"/>
        </w:rPr>
        <w:t>139</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220D4B06" w14:textId="7B87A37E" w:rsidR="00D91782" w:rsidRPr="00215B2F" w:rsidRDefault="00D91782" w:rsidP="003D4DE0">
      <w:pPr>
        <w:pStyle w:val="tevilnatoka"/>
        <w:numPr>
          <w:ilvl w:val="0"/>
          <w:numId w:val="294"/>
        </w:numPr>
        <w:shd w:val="clear" w:color="auto" w:fill="FFFFFF" w:themeFill="background1"/>
        <w:tabs>
          <w:tab w:val="clear" w:pos="425"/>
        </w:tabs>
        <w:rPr>
          <w:rFonts w:cs="Arial"/>
          <w:bCs/>
          <w:sz w:val="20"/>
          <w:szCs w:val="20"/>
        </w:rPr>
      </w:pPr>
      <w:r w:rsidRPr="00215B2F">
        <w:rPr>
          <w:rFonts w:eastAsia="Arial" w:cs="Arial"/>
          <w:sz w:val="20"/>
          <w:szCs w:val="20"/>
        </w:rPr>
        <w:t xml:space="preserve">če pooblaščeni osebi Banke Slovenije ne predloži informacij ali omogoči pregleda poslovanja na način, določen v </w:t>
      </w:r>
      <w:r w:rsidR="00355D35" w:rsidRPr="00215B2F">
        <w:rPr>
          <w:rFonts w:eastAsia="Arial" w:cs="Arial"/>
          <w:sz w:val="20"/>
          <w:szCs w:val="20"/>
        </w:rPr>
        <w:t>337</w:t>
      </w:r>
      <w:r w:rsidRPr="00215B2F">
        <w:rPr>
          <w:rFonts w:eastAsia="Arial" w:cs="Arial"/>
          <w:sz w:val="20"/>
          <w:szCs w:val="20"/>
        </w:rPr>
        <w:t xml:space="preserve">., </w:t>
      </w:r>
      <w:r w:rsidR="001D7104" w:rsidRPr="00215B2F">
        <w:rPr>
          <w:rFonts w:eastAsia="Arial" w:cs="Arial"/>
          <w:sz w:val="20"/>
          <w:szCs w:val="20"/>
        </w:rPr>
        <w:t>340</w:t>
      </w:r>
      <w:r w:rsidRPr="00215B2F">
        <w:rPr>
          <w:rFonts w:eastAsia="Arial" w:cs="Arial"/>
          <w:sz w:val="20"/>
          <w:szCs w:val="20"/>
        </w:rPr>
        <w:t xml:space="preserve">., </w:t>
      </w:r>
      <w:r w:rsidR="001D7104" w:rsidRPr="00215B2F">
        <w:rPr>
          <w:rFonts w:eastAsia="Arial" w:cs="Arial"/>
          <w:sz w:val="20"/>
          <w:szCs w:val="20"/>
        </w:rPr>
        <w:t>341</w:t>
      </w:r>
      <w:r w:rsidRPr="00215B2F">
        <w:rPr>
          <w:rFonts w:eastAsia="Arial" w:cs="Arial"/>
          <w:sz w:val="20"/>
          <w:szCs w:val="20"/>
        </w:rPr>
        <w:t xml:space="preserve">., </w:t>
      </w:r>
      <w:r w:rsidR="00355D35" w:rsidRPr="00215B2F">
        <w:rPr>
          <w:rFonts w:eastAsia="Arial" w:cs="Arial"/>
          <w:sz w:val="20"/>
          <w:szCs w:val="20"/>
        </w:rPr>
        <w:t>342</w:t>
      </w:r>
      <w:r w:rsidRPr="00215B2F">
        <w:rPr>
          <w:rFonts w:eastAsia="Arial" w:cs="Arial"/>
          <w:sz w:val="20"/>
          <w:szCs w:val="20"/>
        </w:rPr>
        <w:t xml:space="preserve">. in </w:t>
      </w:r>
      <w:r w:rsidR="00576A49" w:rsidRPr="00215B2F">
        <w:rPr>
          <w:rFonts w:eastAsia="Arial" w:cs="Arial"/>
          <w:sz w:val="20"/>
          <w:szCs w:val="20"/>
        </w:rPr>
        <w:t>343</w:t>
      </w:r>
      <w:r w:rsidRPr="00215B2F">
        <w:rPr>
          <w:rFonts w:eastAsia="Arial" w:cs="Arial"/>
          <w:sz w:val="20"/>
          <w:szCs w:val="20"/>
        </w:rPr>
        <w:t xml:space="preserve">. </w:t>
      </w:r>
      <w:r w:rsidR="001F2C7A" w:rsidRPr="00215B2F">
        <w:rPr>
          <w:rFonts w:eastAsia="Arial" w:cs="Arial"/>
          <w:sz w:val="20"/>
          <w:szCs w:val="20"/>
        </w:rPr>
        <w:t>členu tega zakona</w:t>
      </w:r>
      <w:r w:rsidRPr="00215B2F">
        <w:rPr>
          <w:rFonts w:eastAsia="Arial" w:cs="Arial"/>
          <w:sz w:val="20"/>
          <w:szCs w:val="20"/>
        </w:rPr>
        <w:t xml:space="preserve">, ali kako drugače ovira nadzor iz drugega odstavka </w:t>
      </w:r>
      <w:r w:rsidR="001D7104" w:rsidRPr="00215B2F">
        <w:rPr>
          <w:rFonts w:eastAsia="Arial" w:cs="Arial"/>
          <w:sz w:val="20"/>
          <w:szCs w:val="20"/>
        </w:rPr>
        <w:t>432</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7303D9A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5C0D505" w14:textId="0C470C7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Z globo od 400 do 5.000 eurov se za prekršek kaznuje posameznik:</w:t>
      </w:r>
    </w:p>
    <w:p w14:paraId="01B9117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11CCEBF" w14:textId="1D980FE9" w:rsidR="00EA4B78" w:rsidRPr="00215B2F" w:rsidRDefault="00D91782" w:rsidP="003D4DE0">
      <w:pPr>
        <w:pStyle w:val="tevilnatoka"/>
        <w:numPr>
          <w:ilvl w:val="0"/>
          <w:numId w:val="377"/>
        </w:numPr>
        <w:shd w:val="clear" w:color="auto" w:fill="FFFFFF" w:themeFill="background1"/>
        <w:rPr>
          <w:rFonts w:cs="Arial"/>
          <w:bCs/>
          <w:sz w:val="20"/>
          <w:szCs w:val="20"/>
        </w:rPr>
      </w:pPr>
      <w:r w:rsidRPr="00215B2F">
        <w:rPr>
          <w:rFonts w:eastAsia="Arial" w:cs="Arial"/>
          <w:sz w:val="20"/>
          <w:szCs w:val="20"/>
        </w:rPr>
        <w:t xml:space="preserve">ki sprejema depozite od javnosti v nasprotju s prepovedjo iz </w:t>
      </w:r>
      <w:r w:rsidR="004B5768" w:rsidRPr="00215B2F">
        <w:rPr>
          <w:rFonts w:eastAsia="Arial" w:cs="Arial"/>
          <w:sz w:val="20"/>
          <w:szCs w:val="20"/>
        </w:rPr>
        <w:t>139</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0018016B" w14:textId="4070EC44" w:rsidR="00D91782" w:rsidRPr="00215B2F" w:rsidRDefault="00D91782" w:rsidP="003D4DE0">
      <w:pPr>
        <w:pStyle w:val="tevilnatoka"/>
        <w:numPr>
          <w:ilvl w:val="0"/>
          <w:numId w:val="295"/>
        </w:numPr>
        <w:shd w:val="clear" w:color="auto" w:fill="FFFFFF" w:themeFill="background1"/>
        <w:tabs>
          <w:tab w:val="clear" w:pos="425"/>
        </w:tabs>
        <w:rPr>
          <w:rFonts w:cs="Arial"/>
          <w:bCs/>
          <w:sz w:val="20"/>
          <w:szCs w:val="20"/>
        </w:rPr>
      </w:pPr>
      <w:r w:rsidRPr="00215B2F">
        <w:rPr>
          <w:rFonts w:eastAsia="Arial" w:cs="Arial"/>
          <w:sz w:val="20"/>
          <w:szCs w:val="20"/>
        </w:rPr>
        <w:t xml:space="preserve">če pooblaščeni osebi Banke Slovenije ne predloži informacij ali omogoči pregleda poslovanja na način, določen v </w:t>
      </w:r>
      <w:r w:rsidR="00355D35" w:rsidRPr="00215B2F">
        <w:rPr>
          <w:rFonts w:eastAsia="Arial" w:cs="Arial"/>
          <w:sz w:val="20"/>
          <w:szCs w:val="20"/>
        </w:rPr>
        <w:t>337</w:t>
      </w:r>
      <w:r w:rsidRPr="00215B2F">
        <w:rPr>
          <w:rFonts w:eastAsia="Arial" w:cs="Arial"/>
          <w:sz w:val="20"/>
          <w:szCs w:val="20"/>
        </w:rPr>
        <w:t xml:space="preserve">., </w:t>
      </w:r>
      <w:r w:rsidR="001D7104" w:rsidRPr="00215B2F">
        <w:rPr>
          <w:rFonts w:eastAsia="Arial" w:cs="Arial"/>
          <w:sz w:val="20"/>
          <w:szCs w:val="20"/>
        </w:rPr>
        <w:t>340</w:t>
      </w:r>
      <w:r w:rsidRPr="00215B2F">
        <w:rPr>
          <w:rFonts w:eastAsia="Arial" w:cs="Arial"/>
          <w:sz w:val="20"/>
          <w:szCs w:val="20"/>
        </w:rPr>
        <w:t xml:space="preserve">., </w:t>
      </w:r>
      <w:r w:rsidR="001D7104" w:rsidRPr="00215B2F">
        <w:rPr>
          <w:rFonts w:eastAsia="Arial" w:cs="Arial"/>
          <w:sz w:val="20"/>
          <w:szCs w:val="20"/>
        </w:rPr>
        <w:t>341</w:t>
      </w:r>
      <w:r w:rsidRPr="00215B2F">
        <w:rPr>
          <w:rFonts w:eastAsia="Arial" w:cs="Arial"/>
          <w:sz w:val="20"/>
          <w:szCs w:val="20"/>
        </w:rPr>
        <w:t xml:space="preserve">., </w:t>
      </w:r>
      <w:r w:rsidR="00355D35" w:rsidRPr="00215B2F">
        <w:rPr>
          <w:rFonts w:eastAsia="Arial" w:cs="Arial"/>
          <w:sz w:val="20"/>
          <w:szCs w:val="20"/>
        </w:rPr>
        <w:t>342</w:t>
      </w:r>
      <w:r w:rsidRPr="00215B2F">
        <w:rPr>
          <w:rFonts w:eastAsia="Arial" w:cs="Arial"/>
          <w:sz w:val="20"/>
          <w:szCs w:val="20"/>
        </w:rPr>
        <w:t xml:space="preserve">. in </w:t>
      </w:r>
      <w:r w:rsidR="00576A49" w:rsidRPr="00215B2F">
        <w:rPr>
          <w:rFonts w:eastAsia="Arial" w:cs="Arial"/>
          <w:sz w:val="20"/>
          <w:szCs w:val="20"/>
        </w:rPr>
        <w:t>343</w:t>
      </w:r>
      <w:r w:rsidRPr="00215B2F">
        <w:rPr>
          <w:rFonts w:eastAsia="Arial" w:cs="Arial"/>
          <w:sz w:val="20"/>
          <w:szCs w:val="20"/>
        </w:rPr>
        <w:t xml:space="preserve">. </w:t>
      </w:r>
      <w:r w:rsidR="001F2C7A" w:rsidRPr="00215B2F">
        <w:rPr>
          <w:rFonts w:eastAsia="Arial" w:cs="Arial"/>
          <w:sz w:val="20"/>
          <w:szCs w:val="20"/>
        </w:rPr>
        <w:t>členu tega zakona</w:t>
      </w:r>
      <w:r w:rsidRPr="00215B2F">
        <w:rPr>
          <w:rFonts w:eastAsia="Arial" w:cs="Arial"/>
          <w:sz w:val="20"/>
          <w:szCs w:val="20"/>
        </w:rPr>
        <w:t xml:space="preserve">, ali kako drugače ovira nadzor iz drugega odstavka </w:t>
      </w:r>
      <w:r w:rsidR="001D7104" w:rsidRPr="00215B2F">
        <w:rPr>
          <w:rFonts w:eastAsia="Arial" w:cs="Arial"/>
          <w:sz w:val="20"/>
          <w:szCs w:val="20"/>
        </w:rPr>
        <w:t>432</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33FB1F6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3F11288" w14:textId="27D3B1B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Z globo od 2.500 do 10.000 eurov se za prekršek kaznuje odgovorna oseba pravne osebe, ki naklepno ali iz </w:t>
      </w:r>
      <w:r w:rsidR="000F7B1D" w:rsidRPr="00215B2F">
        <w:rPr>
          <w:rFonts w:ascii="Arial" w:eastAsia="Arial" w:hAnsi="Arial" w:cs="Arial"/>
          <w:sz w:val="20"/>
          <w:szCs w:val="20"/>
        </w:rPr>
        <w:t>zavestne</w:t>
      </w:r>
      <w:r w:rsidR="000F7B1D" w:rsidRPr="00215B2F" w:rsidDel="000F7B1D">
        <w:rPr>
          <w:rFonts w:ascii="Arial" w:eastAsia="Arial" w:hAnsi="Arial" w:cs="Arial"/>
          <w:sz w:val="20"/>
          <w:szCs w:val="20"/>
        </w:rPr>
        <w:t xml:space="preserve"> </w:t>
      </w:r>
      <w:r w:rsidRPr="00215B2F">
        <w:rPr>
          <w:rFonts w:ascii="Arial" w:eastAsia="Arial" w:hAnsi="Arial" w:cs="Arial"/>
          <w:sz w:val="20"/>
          <w:szCs w:val="20"/>
        </w:rPr>
        <w:t>malomarnosti</w:t>
      </w:r>
      <w:r w:rsidR="00F46384" w:rsidRPr="00215B2F">
        <w:rPr>
          <w:rFonts w:ascii="Arial" w:eastAsia="Arial" w:hAnsi="Arial" w:cs="Arial"/>
          <w:sz w:val="20"/>
          <w:szCs w:val="20"/>
        </w:rPr>
        <w:t>:</w:t>
      </w:r>
      <w:r w:rsidRPr="00215B2F">
        <w:rPr>
          <w:rFonts w:ascii="Arial" w:eastAsia="Arial" w:hAnsi="Arial" w:cs="Arial"/>
          <w:sz w:val="20"/>
          <w:szCs w:val="20"/>
        </w:rPr>
        <w:t xml:space="preserve"> </w:t>
      </w:r>
    </w:p>
    <w:p w14:paraId="58D170F6" w14:textId="77777777" w:rsidR="000865CC" w:rsidRPr="00215B2F" w:rsidRDefault="000865CC" w:rsidP="00FD5520">
      <w:pPr>
        <w:shd w:val="clear" w:color="auto" w:fill="FFFFFF" w:themeFill="background1"/>
        <w:spacing w:after="0" w:line="240" w:lineRule="auto"/>
        <w:jc w:val="both"/>
        <w:rPr>
          <w:rFonts w:ascii="Arial" w:eastAsia="Arial" w:hAnsi="Arial" w:cs="Arial"/>
          <w:sz w:val="20"/>
          <w:szCs w:val="20"/>
        </w:rPr>
      </w:pPr>
    </w:p>
    <w:p w14:paraId="4547B0A5" w14:textId="7F555739" w:rsidR="00EA4B78" w:rsidRPr="00215B2F" w:rsidRDefault="00D91782" w:rsidP="003D4DE0">
      <w:pPr>
        <w:pStyle w:val="tevilnatoka"/>
        <w:numPr>
          <w:ilvl w:val="0"/>
          <w:numId w:val="378"/>
        </w:numPr>
        <w:shd w:val="clear" w:color="auto" w:fill="FFFFFF" w:themeFill="background1"/>
        <w:rPr>
          <w:rFonts w:cs="Arial"/>
          <w:bCs/>
          <w:sz w:val="20"/>
          <w:szCs w:val="20"/>
        </w:rPr>
      </w:pPr>
      <w:r w:rsidRPr="00215B2F">
        <w:rPr>
          <w:rFonts w:eastAsia="Arial" w:cs="Arial"/>
          <w:sz w:val="20"/>
          <w:szCs w:val="20"/>
        </w:rPr>
        <w:t>pridobi kvalificiran</w:t>
      </w:r>
      <w:r w:rsidR="00F46384" w:rsidRPr="00215B2F">
        <w:rPr>
          <w:rFonts w:eastAsia="Arial" w:cs="Arial"/>
          <w:sz w:val="20"/>
          <w:szCs w:val="20"/>
        </w:rPr>
        <w:t>i</w:t>
      </w:r>
      <w:r w:rsidRPr="00215B2F">
        <w:rPr>
          <w:rFonts w:eastAsia="Arial" w:cs="Arial"/>
          <w:sz w:val="20"/>
          <w:szCs w:val="20"/>
        </w:rPr>
        <w:t xml:space="preserve"> delež banke, ne da bi pred tem pridobil</w:t>
      </w:r>
      <w:r w:rsidR="00F46384" w:rsidRPr="00215B2F">
        <w:rPr>
          <w:rFonts w:eastAsia="Arial" w:cs="Arial"/>
          <w:sz w:val="20"/>
          <w:szCs w:val="20"/>
        </w:rPr>
        <w:t>a</w:t>
      </w:r>
      <w:r w:rsidRPr="00215B2F">
        <w:rPr>
          <w:rFonts w:eastAsia="Arial" w:cs="Arial"/>
          <w:sz w:val="20"/>
          <w:szCs w:val="20"/>
        </w:rPr>
        <w:t xml:space="preserve"> </w:t>
      </w:r>
      <w:r w:rsidR="00096536" w:rsidRPr="00215B2F">
        <w:rPr>
          <w:rFonts w:eastAsia="Arial" w:cs="Arial"/>
          <w:sz w:val="20"/>
          <w:szCs w:val="20"/>
        </w:rPr>
        <w:t xml:space="preserve">odločitev o nenasprotovanju </w:t>
      </w:r>
      <w:r w:rsidRPr="00215B2F">
        <w:rPr>
          <w:rFonts w:eastAsia="Arial" w:cs="Arial"/>
          <w:sz w:val="20"/>
          <w:szCs w:val="20"/>
        </w:rPr>
        <w:t xml:space="preserve">iz prvega odstavka </w:t>
      </w:r>
      <w:r w:rsidR="00BC4E51" w:rsidRPr="00215B2F">
        <w:rPr>
          <w:rFonts w:eastAsia="Arial" w:cs="Arial"/>
          <w:sz w:val="20"/>
          <w:szCs w:val="20"/>
        </w:rPr>
        <w:t>91</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236DCB3A" w14:textId="08002A2F" w:rsidR="00D91782" w:rsidRPr="00215B2F" w:rsidRDefault="00D91782" w:rsidP="003D4DE0">
      <w:pPr>
        <w:pStyle w:val="tevilnatoka"/>
        <w:numPr>
          <w:ilvl w:val="0"/>
          <w:numId w:val="296"/>
        </w:numPr>
        <w:shd w:val="clear" w:color="auto" w:fill="FFFFFF" w:themeFill="background1"/>
        <w:tabs>
          <w:tab w:val="clear" w:pos="425"/>
        </w:tabs>
        <w:rPr>
          <w:rFonts w:cs="Arial"/>
          <w:bCs/>
          <w:sz w:val="20"/>
          <w:szCs w:val="20"/>
        </w:rPr>
      </w:pPr>
      <w:r w:rsidRPr="00215B2F">
        <w:rPr>
          <w:rFonts w:eastAsia="Arial" w:cs="Arial"/>
          <w:sz w:val="20"/>
          <w:szCs w:val="20"/>
        </w:rPr>
        <w:t xml:space="preserve">ne obvesti Banke Slovenije o sklenitvi delničarskega sporazuma iz </w:t>
      </w:r>
      <w:r w:rsidR="001D7104" w:rsidRPr="00215B2F">
        <w:rPr>
          <w:rFonts w:eastAsia="Arial" w:cs="Arial"/>
          <w:sz w:val="20"/>
          <w:szCs w:val="20"/>
        </w:rPr>
        <w:t>8</w:t>
      </w:r>
      <w:r w:rsidR="00096536" w:rsidRPr="00215B2F">
        <w:rPr>
          <w:rFonts w:eastAsia="Arial" w:cs="Arial"/>
          <w:sz w:val="20"/>
          <w:szCs w:val="20"/>
        </w:rPr>
        <w:t>0</w:t>
      </w:r>
      <w:r w:rsidRPr="00215B2F">
        <w:rPr>
          <w:rFonts w:eastAsia="Arial" w:cs="Arial"/>
          <w:sz w:val="20"/>
          <w:szCs w:val="20"/>
        </w:rPr>
        <w:t xml:space="preserve">. </w:t>
      </w:r>
      <w:r w:rsidR="001F2C7A" w:rsidRPr="00215B2F">
        <w:rPr>
          <w:rFonts w:eastAsia="Arial" w:cs="Arial"/>
          <w:sz w:val="20"/>
          <w:szCs w:val="20"/>
        </w:rPr>
        <w:t xml:space="preserve">člena </w:t>
      </w:r>
      <w:r w:rsidR="00096536" w:rsidRPr="00215B2F">
        <w:rPr>
          <w:rFonts w:eastAsia="Arial" w:cs="Arial"/>
          <w:sz w:val="20"/>
          <w:szCs w:val="20"/>
        </w:rPr>
        <w:t xml:space="preserve">ali kvalificiranega delničarskega sporazuma iz 81. člena </w:t>
      </w:r>
      <w:r w:rsidR="001F2C7A" w:rsidRPr="00215B2F">
        <w:rPr>
          <w:rFonts w:eastAsia="Arial" w:cs="Arial"/>
          <w:sz w:val="20"/>
          <w:szCs w:val="20"/>
        </w:rPr>
        <w:t>tega zakona</w:t>
      </w:r>
      <w:r w:rsidRPr="00215B2F">
        <w:rPr>
          <w:rFonts w:eastAsia="Arial" w:cs="Arial"/>
          <w:sz w:val="20"/>
          <w:szCs w:val="20"/>
        </w:rPr>
        <w:t>.</w:t>
      </w:r>
    </w:p>
    <w:p w14:paraId="0317BB9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0850073" w14:textId="02D4DCB6"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(5) Z globo od 400 do 3.500 eurov se za prekršek kaznuje posameznik, ki stori prekršek iz </w:t>
      </w:r>
      <w:r w:rsidR="00245BF4" w:rsidRPr="00215B2F">
        <w:rPr>
          <w:rFonts w:ascii="Arial" w:eastAsia="Arial" w:hAnsi="Arial" w:cs="Arial"/>
          <w:sz w:val="20"/>
          <w:szCs w:val="20"/>
        </w:rPr>
        <w:t xml:space="preserve">prejšnjega </w:t>
      </w:r>
      <w:r w:rsidR="00746E88" w:rsidRPr="00215B2F">
        <w:rPr>
          <w:rFonts w:ascii="Arial" w:eastAsia="Arial" w:hAnsi="Arial" w:cs="Arial"/>
          <w:sz w:val="20"/>
          <w:szCs w:val="20"/>
        </w:rPr>
        <w:t>odstavka</w:t>
      </w:r>
      <w:r w:rsidRPr="00215B2F">
        <w:rPr>
          <w:rFonts w:ascii="Arial" w:eastAsia="Arial" w:hAnsi="Arial" w:cs="Arial"/>
          <w:sz w:val="20"/>
          <w:szCs w:val="20"/>
        </w:rPr>
        <w:t>.</w:t>
      </w:r>
    </w:p>
    <w:p w14:paraId="496F1F2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70A46A6" w14:textId="6D790F6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Z globo od 2.500 do 10.000 eurov se za prekršek kaznuje odgovorna oseba pravne osebe, ki naklepno ali iz </w:t>
      </w:r>
      <w:r w:rsidR="000F7B1D" w:rsidRPr="00215B2F">
        <w:rPr>
          <w:rFonts w:ascii="Arial" w:eastAsia="Arial" w:hAnsi="Arial" w:cs="Arial"/>
          <w:sz w:val="20"/>
          <w:szCs w:val="20"/>
        </w:rPr>
        <w:t>zavestne</w:t>
      </w:r>
      <w:r w:rsidR="000F7B1D" w:rsidRPr="00215B2F" w:rsidDel="000F7B1D">
        <w:rPr>
          <w:rFonts w:ascii="Arial" w:eastAsia="Arial" w:hAnsi="Arial" w:cs="Arial"/>
          <w:sz w:val="20"/>
          <w:szCs w:val="20"/>
        </w:rPr>
        <w:t xml:space="preserve"> </w:t>
      </w:r>
      <w:r w:rsidRPr="00215B2F">
        <w:rPr>
          <w:rFonts w:ascii="Arial" w:eastAsia="Arial" w:hAnsi="Arial" w:cs="Arial"/>
          <w:sz w:val="20"/>
          <w:szCs w:val="20"/>
        </w:rPr>
        <w:t xml:space="preserve">malomarnosti sklene podjetniško pogodbo korporacijskega prava ali drug pravni posel, na podlagi katerega pravna oseba pridobi položaj nadrejene osebe banke oziroma hranilnice, ne da bi pred sklenitvijo pridobila dovoljenje Banke Slovenije iz </w:t>
      </w:r>
      <w:r w:rsidR="00BC4E51" w:rsidRPr="00215B2F">
        <w:rPr>
          <w:rFonts w:ascii="Arial" w:eastAsia="Arial" w:hAnsi="Arial" w:cs="Arial"/>
          <w:sz w:val="20"/>
          <w:szCs w:val="20"/>
        </w:rPr>
        <w:t>91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w:t>
      </w:r>
    </w:p>
    <w:p w14:paraId="70452C56"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ACCE859" w14:textId="26433ABE"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(7) Z globo od 400 do 3.500 eurov se za prekršek kaznuje posameznik, ki stori prekršek iz </w:t>
      </w:r>
      <w:r w:rsidR="00560B0F" w:rsidRPr="00215B2F">
        <w:rPr>
          <w:rFonts w:ascii="Arial" w:eastAsia="Arial" w:hAnsi="Arial" w:cs="Arial"/>
          <w:sz w:val="20"/>
          <w:szCs w:val="20"/>
        </w:rPr>
        <w:t xml:space="preserve">prejšnjega </w:t>
      </w:r>
      <w:r w:rsidR="00746E88" w:rsidRPr="00215B2F">
        <w:rPr>
          <w:rFonts w:ascii="Arial" w:eastAsia="Arial" w:hAnsi="Arial" w:cs="Arial"/>
          <w:sz w:val="20"/>
          <w:szCs w:val="20"/>
        </w:rPr>
        <w:t>odstavka</w:t>
      </w:r>
      <w:r w:rsidRPr="00215B2F">
        <w:rPr>
          <w:rFonts w:ascii="Arial" w:eastAsia="Arial" w:hAnsi="Arial" w:cs="Arial"/>
          <w:sz w:val="20"/>
          <w:szCs w:val="20"/>
        </w:rPr>
        <w:t>.</w:t>
      </w:r>
    </w:p>
    <w:p w14:paraId="21FA8E6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5C13B2E" w14:textId="07E0DFA5"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w:t>
      </w:r>
      <w:r w:rsidR="001011F5" w:rsidRPr="00215B2F">
        <w:rPr>
          <w:rFonts w:ascii="Arial" w:eastAsia="Arial" w:hAnsi="Arial" w:cs="Arial"/>
          <w:sz w:val="20"/>
          <w:szCs w:val="20"/>
        </w:rPr>
        <w:t>8</w:t>
      </w:r>
      <w:r w:rsidRPr="00215B2F">
        <w:rPr>
          <w:rFonts w:ascii="Arial" w:eastAsia="Arial" w:hAnsi="Arial" w:cs="Arial"/>
          <w:sz w:val="20"/>
          <w:szCs w:val="20"/>
        </w:rPr>
        <w:t xml:space="preserve">) Če je narava storjenega prekrška iz prejšnjih odstavkov posebno huda zaradi višine povzročene škode oziroma višine pridobljene protipravne premoženjske koristi ali zaradi storilčevega namena koristoljubnosti, se odgovorna oseba pravne osebe </w:t>
      </w:r>
      <w:r w:rsidR="00F46384" w:rsidRPr="00215B2F">
        <w:rPr>
          <w:rFonts w:ascii="Arial" w:eastAsia="Arial" w:hAnsi="Arial" w:cs="Arial"/>
          <w:sz w:val="20"/>
          <w:szCs w:val="20"/>
        </w:rPr>
        <w:t>kazn</w:t>
      </w:r>
      <w:r w:rsidR="00825E5B" w:rsidRPr="00215B2F">
        <w:rPr>
          <w:rFonts w:ascii="Arial" w:eastAsia="Arial" w:hAnsi="Arial" w:cs="Arial"/>
          <w:sz w:val="20"/>
          <w:szCs w:val="20"/>
        </w:rPr>
        <w:t>u</w:t>
      </w:r>
      <w:r w:rsidR="00F46384" w:rsidRPr="00215B2F">
        <w:rPr>
          <w:rFonts w:ascii="Arial" w:eastAsia="Arial" w:hAnsi="Arial" w:cs="Arial"/>
          <w:sz w:val="20"/>
          <w:szCs w:val="20"/>
        </w:rPr>
        <w:t xml:space="preserve">je </w:t>
      </w:r>
      <w:r w:rsidRPr="00215B2F">
        <w:rPr>
          <w:rFonts w:ascii="Arial" w:eastAsia="Arial" w:hAnsi="Arial" w:cs="Arial"/>
          <w:sz w:val="20"/>
          <w:szCs w:val="20"/>
        </w:rPr>
        <w:t>z globo od 2.500 do 30.000 eurov, posameznik pa z globo od 400 do 15.000 eurov.</w:t>
      </w:r>
    </w:p>
    <w:p w14:paraId="0108120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DA95B5C"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73" w:name="_Ref202968841"/>
      <w:r w:rsidRPr="00215B2F">
        <w:rPr>
          <w:rFonts w:ascii="Arial" w:eastAsia="Arial" w:hAnsi="Arial" w:cs="Arial"/>
          <w:b/>
          <w:bCs/>
          <w:sz w:val="20"/>
          <w:szCs w:val="20"/>
        </w:rPr>
        <w:t>člen</w:t>
      </w:r>
      <w:bookmarkEnd w:id="573"/>
    </w:p>
    <w:p w14:paraId="2BBC5871"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(globa za kršitve odgovornih oseb v zvezi z obveščanjem agencije, pristojne za finančne trge)</w:t>
      </w:r>
    </w:p>
    <w:p w14:paraId="7399B59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AD7B007" w14:textId="18B9E5B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Z globo od 1.000 do 10.000 eurov se za prekršek kaznuje odgovorna oseba banke,</w:t>
      </w:r>
      <w:r w:rsidR="000F7B1D" w:rsidRPr="00215B2F">
        <w:rPr>
          <w:rFonts w:ascii="Arial" w:eastAsia="Arial" w:hAnsi="Arial" w:cs="Arial"/>
          <w:sz w:val="20"/>
          <w:szCs w:val="20"/>
        </w:rPr>
        <w:t xml:space="preserve"> ki naklepno ali iz zavestne malomarnosti,</w:t>
      </w:r>
      <w:r w:rsidRPr="00215B2F">
        <w:rPr>
          <w:rFonts w:ascii="Arial" w:eastAsia="Arial" w:hAnsi="Arial" w:cs="Arial"/>
          <w:sz w:val="20"/>
          <w:szCs w:val="20"/>
        </w:rPr>
        <w:t xml:space="preserve"> v treh delovnih dneh od pridobitve oziroma odsvojitve vrednostnih papirjev ciljne družbe na podlagi prvega odstavka </w:t>
      </w:r>
      <w:r w:rsidR="001D7104" w:rsidRPr="00215B2F">
        <w:rPr>
          <w:rFonts w:ascii="Arial" w:eastAsia="Arial" w:hAnsi="Arial" w:cs="Arial"/>
          <w:sz w:val="20"/>
          <w:szCs w:val="20"/>
        </w:rPr>
        <w:t>121</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o tem dejstvu ne obvesti agencije, pristojne za finančne trge (drugi odstavek </w:t>
      </w:r>
      <w:r w:rsidR="00096536" w:rsidRPr="00215B2F">
        <w:rPr>
          <w:rFonts w:ascii="Arial" w:eastAsia="Arial" w:hAnsi="Arial" w:cs="Arial"/>
          <w:sz w:val="20"/>
          <w:szCs w:val="20"/>
        </w:rPr>
        <w:t>121</w:t>
      </w:r>
      <w:r w:rsidRPr="00215B2F">
        <w:rPr>
          <w:rFonts w:ascii="Arial" w:eastAsia="Arial" w:hAnsi="Arial" w:cs="Arial"/>
          <w:sz w:val="20"/>
          <w:szCs w:val="20"/>
        </w:rPr>
        <w:t>. člena</w:t>
      </w:r>
      <w:r w:rsidR="00825E5B" w:rsidRPr="00215B2F">
        <w:rPr>
          <w:rFonts w:ascii="Arial" w:eastAsia="Arial" w:hAnsi="Arial" w:cs="Arial"/>
          <w:sz w:val="20"/>
          <w:szCs w:val="20"/>
        </w:rPr>
        <w:t xml:space="preserve"> tega zakona</w:t>
      </w:r>
      <w:r w:rsidRPr="00215B2F">
        <w:rPr>
          <w:rFonts w:ascii="Arial" w:eastAsia="Arial" w:hAnsi="Arial" w:cs="Arial"/>
          <w:sz w:val="20"/>
          <w:szCs w:val="20"/>
        </w:rPr>
        <w:t>).</w:t>
      </w:r>
    </w:p>
    <w:p w14:paraId="6F88DE7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7FD3886" w14:textId="624A3B1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Če je narava storjenega prekrška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posebno huda zaradi višine povzročene škode oziroma višine pridobljene protipravne premoženjske koristi ali zaradi storilčevega namena koristoljubnosti, se odgovorna oseba banke </w:t>
      </w:r>
      <w:r w:rsidR="00825E5B" w:rsidRPr="00215B2F">
        <w:rPr>
          <w:rFonts w:ascii="Arial" w:eastAsia="Arial" w:hAnsi="Arial" w:cs="Arial"/>
          <w:sz w:val="20"/>
          <w:szCs w:val="20"/>
        </w:rPr>
        <w:t xml:space="preserve">kaznuje </w:t>
      </w:r>
      <w:r w:rsidRPr="00215B2F">
        <w:rPr>
          <w:rFonts w:ascii="Arial" w:eastAsia="Arial" w:hAnsi="Arial" w:cs="Arial"/>
          <w:sz w:val="20"/>
          <w:szCs w:val="20"/>
        </w:rPr>
        <w:t>z globo od 2.500 do 30.000 eurov.</w:t>
      </w:r>
    </w:p>
    <w:p w14:paraId="386E311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65E12F9" w14:textId="3A62E2F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Glede izreka globe, postopka in zastaranja se uporabljajo določbe ZPre-1.</w:t>
      </w:r>
    </w:p>
    <w:p w14:paraId="120ACF9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3C9EA48"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74" w:name="_Ref202968850"/>
      <w:r w:rsidRPr="00215B2F">
        <w:rPr>
          <w:rFonts w:ascii="Arial" w:eastAsia="Arial" w:hAnsi="Arial" w:cs="Arial"/>
          <w:b/>
          <w:bCs/>
          <w:sz w:val="20"/>
          <w:szCs w:val="20"/>
        </w:rPr>
        <w:t>člen</w:t>
      </w:r>
      <w:bookmarkEnd w:id="574"/>
    </w:p>
    <w:p w14:paraId="56AA94C8"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(kršitve odgovornih oseb v bančni skupini)</w:t>
      </w:r>
    </w:p>
    <w:p w14:paraId="691A9F4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D5CA8AE" w14:textId="54CA7790"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Z globo od 2.500 do 10.000 eurov se za prekršek kaznuje odgovorna oseba pravne osebe, ki naklepno ali iz </w:t>
      </w:r>
      <w:r w:rsidR="000F7B1D" w:rsidRPr="00215B2F">
        <w:rPr>
          <w:rFonts w:ascii="Arial" w:eastAsia="Arial" w:hAnsi="Arial" w:cs="Arial"/>
          <w:sz w:val="20"/>
          <w:szCs w:val="20"/>
        </w:rPr>
        <w:t>zavestne</w:t>
      </w:r>
      <w:r w:rsidRPr="00215B2F">
        <w:rPr>
          <w:rFonts w:ascii="Arial" w:eastAsia="Arial" w:hAnsi="Arial" w:cs="Arial"/>
          <w:sz w:val="20"/>
          <w:szCs w:val="20"/>
        </w:rPr>
        <w:t xml:space="preserve"> malomarnosti povzroči, da:</w:t>
      </w:r>
    </w:p>
    <w:p w14:paraId="26BFDEC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C8CB7C4" w14:textId="5CDAD0FB" w:rsidR="00EA4B78" w:rsidRPr="00215B2F" w:rsidRDefault="00D91782" w:rsidP="003D4DE0">
      <w:pPr>
        <w:pStyle w:val="tevilnatoka"/>
        <w:numPr>
          <w:ilvl w:val="0"/>
          <w:numId w:val="379"/>
        </w:numPr>
        <w:shd w:val="clear" w:color="auto" w:fill="FFFFFF" w:themeFill="background1"/>
        <w:rPr>
          <w:rFonts w:cs="Arial"/>
          <w:bCs/>
          <w:sz w:val="20"/>
          <w:szCs w:val="20"/>
        </w:rPr>
      </w:pPr>
      <w:r w:rsidRPr="00215B2F">
        <w:rPr>
          <w:rFonts w:eastAsia="Arial" w:cs="Arial"/>
          <w:sz w:val="20"/>
          <w:szCs w:val="20"/>
        </w:rPr>
        <w:lastRenderedPageBreak/>
        <w:t>podrejena družba nadrejeni banki v bančni skupini oziroma banki, ki jo obvladuje nadrejeni finančni holding ali nadrejeni mešani finančni holding, ne po</w:t>
      </w:r>
      <w:r w:rsidR="00825E5B" w:rsidRPr="00215B2F">
        <w:rPr>
          <w:rFonts w:eastAsia="Arial" w:cs="Arial"/>
          <w:sz w:val="20"/>
          <w:szCs w:val="20"/>
        </w:rPr>
        <w:t>šl</w:t>
      </w:r>
      <w:r w:rsidRPr="00215B2F">
        <w:rPr>
          <w:rFonts w:eastAsia="Arial" w:cs="Arial"/>
          <w:sz w:val="20"/>
          <w:szCs w:val="20"/>
        </w:rPr>
        <w:t xml:space="preserve">je vseh informacij, ki jih ta potrebuje za izpolnitev obveznosti na konsolidirani podlagi (prvi odstavek </w:t>
      </w:r>
      <w:r w:rsidR="001D7104" w:rsidRPr="00215B2F">
        <w:rPr>
          <w:rFonts w:eastAsia="Arial" w:cs="Arial"/>
          <w:sz w:val="20"/>
          <w:szCs w:val="20"/>
        </w:rPr>
        <w:t>421</w:t>
      </w:r>
      <w:r w:rsidRPr="00215B2F">
        <w:rPr>
          <w:rFonts w:eastAsia="Arial" w:cs="Arial"/>
          <w:sz w:val="20"/>
          <w:szCs w:val="20"/>
        </w:rPr>
        <w:t>. člena</w:t>
      </w:r>
      <w:r w:rsidR="005A6EA0" w:rsidRPr="00215B2F">
        <w:rPr>
          <w:rFonts w:eastAsia="Arial" w:cs="Arial"/>
          <w:sz w:val="20"/>
          <w:szCs w:val="20"/>
        </w:rPr>
        <w:t xml:space="preserve"> tega zakona</w:t>
      </w:r>
      <w:r w:rsidRPr="00215B2F">
        <w:rPr>
          <w:rFonts w:eastAsia="Arial" w:cs="Arial"/>
          <w:sz w:val="20"/>
          <w:szCs w:val="20"/>
        </w:rPr>
        <w:t>);</w:t>
      </w:r>
    </w:p>
    <w:p w14:paraId="3962EAB4" w14:textId="20C5BC2F" w:rsidR="00EA4B78" w:rsidRPr="00215B2F" w:rsidRDefault="00D91782" w:rsidP="00D46384">
      <w:pPr>
        <w:pStyle w:val="tevilnatoka"/>
        <w:shd w:val="clear" w:color="auto" w:fill="FFFFFF" w:themeFill="background1"/>
        <w:tabs>
          <w:tab w:val="clear" w:pos="425"/>
        </w:tabs>
        <w:rPr>
          <w:rFonts w:cs="Arial"/>
          <w:bCs/>
          <w:sz w:val="20"/>
          <w:szCs w:val="20"/>
        </w:rPr>
      </w:pPr>
      <w:r w:rsidRPr="00215B2F">
        <w:rPr>
          <w:rFonts w:eastAsia="Arial" w:cs="Arial"/>
          <w:sz w:val="20"/>
          <w:szCs w:val="20"/>
        </w:rPr>
        <w:t>nadrejeni finančni holding ali nadrejeni mešani finančni holding svoji podrejeni banki ne po</w:t>
      </w:r>
      <w:r w:rsidR="00825E5B" w:rsidRPr="00215B2F">
        <w:rPr>
          <w:rFonts w:eastAsia="Arial" w:cs="Arial"/>
          <w:sz w:val="20"/>
          <w:szCs w:val="20"/>
        </w:rPr>
        <w:t>šl</w:t>
      </w:r>
      <w:r w:rsidRPr="00215B2F">
        <w:rPr>
          <w:rFonts w:eastAsia="Arial" w:cs="Arial"/>
          <w:sz w:val="20"/>
          <w:szCs w:val="20"/>
        </w:rPr>
        <w:t xml:space="preserve">je vseh informacij, ki jih ta potrebuje za izpolnitev obveznosti na konsolidirani podlagi (drugi odstavek </w:t>
      </w:r>
      <w:r w:rsidR="001D7104" w:rsidRPr="00215B2F">
        <w:rPr>
          <w:rFonts w:eastAsia="Arial" w:cs="Arial"/>
          <w:sz w:val="20"/>
          <w:szCs w:val="20"/>
        </w:rPr>
        <w:t>421</w:t>
      </w:r>
      <w:r w:rsidRPr="00215B2F">
        <w:rPr>
          <w:rFonts w:eastAsia="Arial" w:cs="Arial"/>
          <w:sz w:val="20"/>
          <w:szCs w:val="20"/>
        </w:rPr>
        <w:t xml:space="preserve">. </w:t>
      </w:r>
      <w:r w:rsidR="005A6EA0" w:rsidRPr="00215B2F">
        <w:rPr>
          <w:rFonts w:eastAsia="Arial" w:cs="Arial"/>
          <w:sz w:val="20"/>
          <w:szCs w:val="20"/>
        </w:rPr>
        <w:t>člena tega zakona</w:t>
      </w:r>
      <w:r w:rsidRPr="00215B2F">
        <w:rPr>
          <w:rFonts w:eastAsia="Arial" w:cs="Arial"/>
          <w:sz w:val="20"/>
          <w:szCs w:val="20"/>
        </w:rPr>
        <w:t>);</w:t>
      </w:r>
    </w:p>
    <w:p w14:paraId="7D48FE47" w14:textId="5CD12BE4" w:rsidR="00EA4B78" w:rsidRPr="00215B2F" w:rsidRDefault="00D91782" w:rsidP="00D46384">
      <w:pPr>
        <w:pStyle w:val="tevilnatoka"/>
        <w:shd w:val="clear" w:color="auto" w:fill="FFFFFF" w:themeFill="background1"/>
        <w:tabs>
          <w:tab w:val="clear" w:pos="425"/>
        </w:tabs>
        <w:rPr>
          <w:rFonts w:cs="Arial"/>
          <w:bCs/>
          <w:sz w:val="20"/>
          <w:szCs w:val="20"/>
        </w:rPr>
      </w:pPr>
      <w:r w:rsidRPr="00215B2F">
        <w:rPr>
          <w:rFonts w:eastAsia="Arial" w:cs="Arial"/>
          <w:sz w:val="20"/>
          <w:szCs w:val="20"/>
        </w:rPr>
        <w:t xml:space="preserve">podrejena družba, nadrejeni finančni holding ali nadrejeni mešani finančni holding Banki Slovenije oziroma drugemu pristojnemu organu, ki je odgovoren za nadzor na konsolidirani podlagi, ne omogoči, da opravi pregled poslovanja (četrti odstavek </w:t>
      </w:r>
      <w:r w:rsidR="001D7104" w:rsidRPr="00215B2F">
        <w:rPr>
          <w:rFonts w:eastAsia="Arial" w:cs="Arial"/>
          <w:sz w:val="20"/>
          <w:szCs w:val="20"/>
        </w:rPr>
        <w:t>421</w:t>
      </w:r>
      <w:r w:rsidRPr="00215B2F">
        <w:rPr>
          <w:rFonts w:eastAsia="Arial" w:cs="Arial"/>
          <w:sz w:val="20"/>
          <w:szCs w:val="20"/>
        </w:rPr>
        <w:t xml:space="preserve">. </w:t>
      </w:r>
      <w:r w:rsidR="005A6EA0" w:rsidRPr="00215B2F">
        <w:rPr>
          <w:rFonts w:eastAsia="Arial" w:cs="Arial"/>
          <w:sz w:val="20"/>
          <w:szCs w:val="20"/>
        </w:rPr>
        <w:t>člena tega zakona</w:t>
      </w:r>
      <w:r w:rsidRPr="00215B2F">
        <w:rPr>
          <w:rFonts w:eastAsia="Arial" w:cs="Arial"/>
          <w:sz w:val="20"/>
          <w:szCs w:val="20"/>
        </w:rPr>
        <w:t>);</w:t>
      </w:r>
    </w:p>
    <w:p w14:paraId="212948A4" w14:textId="213A92E9" w:rsidR="00EA4B78" w:rsidRPr="00215B2F" w:rsidRDefault="00D91782" w:rsidP="00D46384">
      <w:pPr>
        <w:pStyle w:val="tevilnatoka"/>
        <w:shd w:val="clear" w:color="auto" w:fill="FFFFFF" w:themeFill="background1"/>
        <w:tabs>
          <w:tab w:val="clear" w:pos="425"/>
        </w:tabs>
        <w:rPr>
          <w:rFonts w:cs="Arial"/>
          <w:bCs/>
          <w:sz w:val="20"/>
          <w:szCs w:val="20"/>
        </w:rPr>
      </w:pPr>
      <w:r w:rsidRPr="00215B2F">
        <w:rPr>
          <w:rFonts w:eastAsia="Arial" w:cs="Arial"/>
          <w:sz w:val="20"/>
          <w:szCs w:val="20"/>
        </w:rPr>
        <w:t xml:space="preserve">mešani poslovni holding oziroma njegova podrejena družba podrejenim bankam, Banki Slovenije oziroma drugim organom, pristojnim in odgovornim za nadzor </w:t>
      </w:r>
      <w:r w:rsidR="00951D22" w:rsidRPr="00215B2F">
        <w:rPr>
          <w:rFonts w:eastAsia="Arial" w:cs="Arial"/>
          <w:sz w:val="20"/>
          <w:szCs w:val="20"/>
        </w:rPr>
        <w:t xml:space="preserve">nad </w:t>
      </w:r>
      <w:r w:rsidRPr="00215B2F">
        <w:rPr>
          <w:rFonts w:eastAsia="Arial" w:cs="Arial"/>
          <w:sz w:val="20"/>
          <w:szCs w:val="20"/>
        </w:rPr>
        <w:t>te</w:t>
      </w:r>
      <w:r w:rsidR="00951D22" w:rsidRPr="00215B2F">
        <w:rPr>
          <w:rFonts w:eastAsia="Arial" w:cs="Arial"/>
          <w:sz w:val="20"/>
          <w:szCs w:val="20"/>
        </w:rPr>
        <w:t>mi</w:t>
      </w:r>
      <w:r w:rsidRPr="00215B2F">
        <w:rPr>
          <w:rFonts w:eastAsia="Arial" w:cs="Arial"/>
          <w:sz w:val="20"/>
          <w:szCs w:val="20"/>
        </w:rPr>
        <w:t xml:space="preserve"> bank</w:t>
      </w:r>
      <w:r w:rsidR="00951D22" w:rsidRPr="00215B2F">
        <w:rPr>
          <w:rFonts w:eastAsia="Arial" w:cs="Arial"/>
          <w:sz w:val="20"/>
          <w:szCs w:val="20"/>
        </w:rPr>
        <w:t>ami</w:t>
      </w:r>
      <w:r w:rsidRPr="00215B2F">
        <w:rPr>
          <w:rFonts w:eastAsia="Arial" w:cs="Arial"/>
          <w:sz w:val="20"/>
          <w:szCs w:val="20"/>
        </w:rPr>
        <w:t>, ne po</w:t>
      </w:r>
      <w:r w:rsidR="00951D22" w:rsidRPr="00215B2F">
        <w:rPr>
          <w:rFonts w:eastAsia="Arial" w:cs="Arial"/>
          <w:sz w:val="20"/>
          <w:szCs w:val="20"/>
        </w:rPr>
        <w:t>šl</w:t>
      </w:r>
      <w:r w:rsidRPr="00215B2F">
        <w:rPr>
          <w:rFonts w:eastAsia="Arial" w:cs="Arial"/>
          <w:sz w:val="20"/>
          <w:szCs w:val="20"/>
        </w:rPr>
        <w:t xml:space="preserve">je vseh informacij, ki so pomembne za nadzor </w:t>
      </w:r>
      <w:r w:rsidR="00951D22" w:rsidRPr="00215B2F">
        <w:rPr>
          <w:rFonts w:eastAsia="Arial" w:cs="Arial"/>
          <w:sz w:val="20"/>
          <w:szCs w:val="20"/>
        </w:rPr>
        <w:t xml:space="preserve">nad </w:t>
      </w:r>
      <w:r w:rsidRPr="00215B2F">
        <w:rPr>
          <w:rFonts w:eastAsia="Arial" w:cs="Arial"/>
          <w:sz w:val="20"/>
          <w:szCs w:val="20"/>
        </w:rPr>
        <w:t>te</w:t>
      </w:r>
      <w:r w:rsidR="00951D22" w:rsidRPr="00215B2F">
        <w:rPr>
          <w:rFonts w:eastAsia="Arial" w:cs="Arial"/>
          <w:sz w:val="20"/>
          <w:szCs w:val="20"/>
        </w:rPr>
        <w:t>mi</w:t>
      </w:r>
      <w:r w:rsidRPr="00215B2F">
        <w:rPr>
          <w:rFonts w:eastAsia="Arial" w:cs="Arial"/>
          <w:sz w:val="20"/>
          <w:szCs w:val="20"/>
        </w:rPr>
        <w:t xml:space="preserve"> podrejeni</w:t>
      </w:r>
      <w:r w:rsidR="00951D22" w:rsidRPr="00215B2F">
        <w:rPr>
          <w:rFonts w:eastAsia="Arial" w:cs="Arial"/>
          <w:sz w:val="20"/>
          <w:szCs w:val="20"/>
        </w:rPr>
        <w:t>mi</w:t>
      </w:r>
      <w:r w:rsidRPr="00215B2F">
        <w:rPr>
          <w:rFonts w:eastAsia="Arial" w:cs="Arial"/>
          <w:sz w:val="20"/>
          <w:szCs w:val="20"/>
        </w:rPr>
        <w:t xml:space="preserve"> bank</w:t>
      </w:r>
      <w:r w:rsidR="00951D22" w:rsidRPr="00215B2F">
        <w:rPr>
          <w:rFonts w:eastAsia="Arial" w:cs="Arial"/>
          <w:sz w:val="20"/>
          <w:szCs w:val="20"/>
        </w:rPr>
        <w:t>ami</w:t>
      </w:r>
      <w:r w:rsidRPr="00215B2F">
        <w:rPr>
          <w:rFonts w:eastAsia="Arial" w:cs="Arial"/>
          <w:sz w:val="20"/>
          <w:szCs w:val="20"/>
        </w:rPr>
        <w:t xml:space="preserve"> (prvi odstavek </w:t>
      </w:r>
      <w:r w:rsidR="00576A49" w:rsidRPr="00215B2F">
        <w:rPr>
          <w:rFonts w:eastAsia="Arial" w:cs="Arial"/>
          <w:sz w:val="20"/>
          <w:szCs w:val="20"/>
        </w:rPr>
        <w:t>423</w:t>
      </w:r>
      <w:r w:rsidRPr="00215B2F">
        <w:rPr>
          <w:rFonts w:eastAsia="Arial" w:cs="Arial"/>
          <w:sz w:val="20"/>
          <w:szCs w:val="20"/>
        </w:rPr>
        <w:t xml:space="preserve">. </w:t>
      </w:r>
      <w:r w:rsidR="005A6EA0" w:rsidRPr="00215B2F">
        <w:rPr>
          <w:rFonts w:eastAsia="Arial" w:cs="Arial"/>
          <w:sz w:val="20"/>
          <w:szCs w:val="20"/>
        </w:rPr>
        <w:t>člena tega zakona</w:t>
      </w:r>
      <w:r w:rsidRPr="00215B2F">
        <w:rPr>
          <w:rFonts w:eastAsia="Arial" w:cs="Arial"/>
          <w:sz w:val="20"/>
          <w:szCs w:val="20"/>
        </w:rPr>
        <w:t>);</w:t>
      </w:r>
    </w:p>
    <w:p w14:paraId="1239BED4" w14:textId="513F0BEC" w:rsidR="00D91782" w:rsidRPr="00215B2F" w:rsidRDefault="00D91782" w:rsidP="00D46384">
      <w:pPr>
        <w:pStyle w:val="tevilnatoka"/>
        <w:shd w:val="clear" w:color="auto" w:fill="FFFFFF" w:themeFill="background1"/>
        <w:tabs>
          <w:tab w:val="clear" w:pos="425"/>
        </w:tabs>
        <w:rPr>
          <w:rFonts w:cs="Arial"/>
          <w:bCs/>
          <w:sz w:val="20"/>
          <w:szCs w:val="20"/>
        </w:rPr>
      </w:pPr>
      <w:r w:rsidRPr="00215B2F">
        <w:rPr>
          <w:rFonts w:eastAsia="Arial" w:cs="Arial"/>
          <w:sz w:val="20"/>
          <w:szCs w:val="20"/>
        </w:rPr>
        <w:t xml:space="preserve">podrejena družba oziroma nadrejeni mešani poslovni holding Banki Slovenije oziroma drugemu organu, ki je pristojen in odgovoren za nadzor </w:t>
      </w:r>
      <w:r w:rsidR="00951D22" w:rsidRPr="00215B2F">
        <w:rPr>
          <w:rFonts w:eastAsia="Arial" w:cs="Arial"/>
          <w:sz w:val="20"/>
          <w:szCs w:val="20"/>
        </w:rPr>
        <w:t xml:space="preserve">nad </w:t>
      </w:r>
      <w:r w:rsidRPr="00215B2F">
        <w:rPr>
          <w:rFonts w:eastAsia="Arial" w:cs="Arial"/>
          <w:sz w:val="20"/>
          <w:szCs w:val="20"/>
        </w:rPr>
        <w:t>podrejeni</w:t>
      </w:r>
      <w:r w:rsidR="00951D22" w:rsidRPr="00215B2F">
        <w:rPr>
          <w:rFonts w:eastAsia="Arial" w:cs="Arial"/>
          <w:sz w:val="20"/>
          <w:szCs w:val="20"/>
        </w:rPr>
        <w:t>mi</w:t>
      </w:r>
      <w:r w:rsidRPr="00215B2F">
        <w:rPr>
          <w:rFonts w:eastAsia="Arial" w:cs="Arial"/>
          <w:sz w:val="20"/>
          <w:szCs w:val="20"/>
        </w:rPr>
        <w:t xml:space="preserve"> bank</w:t>
      </w:r>
      <w:r w:rsidR="00951D22" w:rsidRPr="00215B2F">
        <w:rPr>
          <w:rFonts w:eastAsia="Arial" w:cs="Arial"/>
          <w:sz w:val="20"/>
          <w:szCs w:val="20"/>
        </w:rPr>
        <w:t>ami</w:t>
      </w:r>
      <w:r w:rsidRPr="00215B2F">
        <w:rPr>
          <w:rFonts w:eastAsia="Arial" w:cs="Arial"/>
          <w:sz w:val="20"/>
          <w:szCs w:val="20"/>
        </w:rPr>
        <w:t xml:space="preserve">, ne omogoči, da opravi pregled poslovanja (drugi odstavek </w:t>
      </w:r>
      <w:r w:rsidR="00576A49" w:rsidRPr="00215B2F">
        <w:rPr>
          <w:rFonts w:eastAsia="Arial" w:cs="Arial"/>
          <w:sz w:val="20"/>
          <w:szCs w:val="20"/>
        </w:rPr>
        <w:t>423</w:t>
      </w:r>
      <w:r w:rsidRPr="00215B2F">
        <w:rPr>
          <w:rFonts w:eastAsia="Arial" w:cs="Arial"/>
          <w:sz w:val="20"/>
          <w:szCs w:val="20"/>
        </w:rPr>
        <w:t xml:space="preserve">. </w:t>
      </w:r>
      <w:r w:rsidR="005A6EA0" w:rsidRPr="00215B2F">
        <w:rPr>
          <w:rFonts w:eastAsia="Arial" w:cs="Arial"/>
          <w:sz w:val="20"/>
          <w:szCs w:val="20"/>
        </w:rPr>
        <w:t>člena tega zakona</w:t>
      </w:r>
      <w:r w:rsidRPr="00215B2F">
        <w:rPr>
          <w:rFonts w:eastAsia="Arial" w:cs="Arial"/>
          <w:sz w:val="20"/>
          <w:szCs w:val="20"/>
        </w:rPr>
        <w:t>).</w:t>
      </w:r>
    </w:p>
    <w:p w14:paraId="4C5A98A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71FE158" w14:textId="1DFE916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Če je narava storjenega prekrška iz prejšnjega odstavka posebno huda zaradi višine povzročene škode oziroma višine pridobljene protipravne premoženjske koristi ali zaradi storilčevega namena koristoljubnosti, se odgovorna oseba iz prejšnjega odstavka kaznuje z globo od 2.500 do 30.000 eurov.</w:t>
      </w:r>
    </w:p>
    <w:p w14:paraId="2D14CE01"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22FB875"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75" w:name="_Ref202968855"/>
      <w:r w:rsidRPr="00215B2F">
        <w:rPr>
          <w:rFonts w:ascii="Arial" w:eastAsia="Arial" w:hAnsi="Arial" w:cs="Arial"/>
          <w:b/>
          <w:bCs/>
          <w:sz w:val="20"/>
          <w:szCs w:val="20"/>
        </w:rPr>
        <w:t>člen</w:t>
      </w:r>
      <w:bookmarkEnd w:id="575"/>
    </w:p>
    <w:p w14:paraId="4021E91C"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(kršitve odgovornih oseb revizijske družbe in pooblaščenega revizorja)</w:t>
      </w:r>
    </w:p>
    <w:p w14:paraId="6FF8AA1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1A31DA9" w14:textId="5A194ED9"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Z globo od 2.500 do 10.000 eurov se za prekršek kaznuje odgovorna oseba revizijske družbe, ki naklepno ali iz </w:t>
      </w:r>
      <w:r w:rsidR="000F7B1D" w:rsidRPr="00215B2F">
        <w:rPr>
          <w:rFonts w:ascii="Arial" w:eastAsia="Arial" w:hAnsi="Arial" w:cs="Arial"/>
          <w:sz w:val="20"/>
          <w:szCs w:val="20"/>
        </w:rPr>
        <w:t>zavestne</w:t>
      </w:r>
      <w:r w:rsidR="000F7B1D" w:rsidRPr="00215B2F" w:rsidDel="000F7B1D">
        <w:rPr>
          <w:rFonts w:ascii="Arial" w:eastAsia="Arial" w:hAnsi="Arial" w:cs="Arial"/>
          <w:sz w:val="20"/>
          <w:szCs w:val="20"/>
        </w:rPr>
        <w:t xml:space="preserve"> </w:t>
      </w:r>
      <w:r w:rsidRPr="00215B2F">
        <w:rPr>
          <w:rFonts w:ascii="Arial" w:eastAsia="Arial" w:hAnsi="Arial" w:cs="Arial"/>
          <w:sz w:val="20"/>
          <w:szCs w:val="20"/>
        </w:rPr>
        <w:t>malomarnosti:</w:t>
      </w:r>
    </w:p>
    <w:p w14:paraId="59B5B17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5B02269" w14:textId="601B3F9E" w:rsidR="00EA4B78" w:rsidRPr="00215B2F" w:rsidRDefault="00D91782" w:rsidP="003D4DE0">
      <w:pPr>
        <w:pStyle w:val="tevilnatoka"/>
        <w:numPr>
          <w:ilvl w:val="0"/>
          <w:numId w:val="380"/>
        </w:numPr>
        <w:shd w:val="clear" w:color="auto" w:fill="FFFFFF" w:themeFill="background1"/>
        <w:rPr>
          <w:rFonts w:cs="Arial"/>
          <w:bCs/>
          <w:sz w:val="20"/>
          <w:szCs w:val="20"/>
        </w:rPr>
      </w:pPr>
      <w:r w:rsidRPr="00215B2F">
        <w:rPr>
          <w:rFonts w:eastAsia="Arial" w:cs="Arial"/>
          <w:sz w:val="20"/>
          <w:szCs w:val="20"/>
        </w:rPr>
        <w:t xml:space="preserve">ne opravi revizijskega pregleda oziroma ne izdela poročil v skladu s prvim odstavkom </w:t>
      </w:r>
      <w:r w:rsidR="001D7104" w:rsidRPr="00215B2F">
        <w:rPr>
          <w:rFonts w:eastAsia="Arial" w:cs="Arial"/>
          <w:sz w:val="20"/>
          <w:szCs w:val="20"/>
        </w:rPr>
        <w:t>133</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60E0A1B4" w14:textId="106475A1" w:rsidR="00EA4B78" w:rsidRPr="00215B2F" w:rsidRDefault="00D91782" w:rsidP="003D4DE0">
      <w:pPr>
        <w:pStyle w:val="tevilnatoka"/>
        <w:numPr>
          <w:ilvl w:val="0"/>
          <w:numId w:val="298"/>
        </w:numPr>
        <w:shd w:val="clear" w:color="auto" w:fill="FFFFFF" w:themeFill="background1"/>
        <w:tabs>
          <w:tab w:val="clear" w:pos="425"/>
        </w:tabs>
        <w:rPr>
          <w:rFonts w:cs="Arial"/>
          <w:bCs/>
          <w:sz w:val="20"/>
          <w:szCs w:val="20"/>
        </w:rPr>
      </w:pPr>
      <w:r w:rsidRPr="00215B2F">
        <w:rPr>
          <w:rFonts w:eastAsia="Arial" w:cs="Arial"/>
          <w:sz w:val="20"/>
          <w:szCs w:val="20"/>
        </w:rPr>
        <w:t xml:space="preserve">Banki Slovenije na njeno zahtevo ne da dodatnih pojasnil v skladu s tretjim odstavkom </w:t>
      </w:r>
      <w:r w:rsidR="001D7104" w:rsidRPr="00215B2F">
        <w:rPr>
          <w:rFonts w:eastAsia="Arial" w:cs="Arial"/>
          <w:sz w:val="20"/>
          <w:szCs w:val="20"/>
        </w:rPr>
        <w:t>134</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1569C150" w14:textId="7901642C" w:rsidR="00EA4B78" w:rsidRPr="00215B2F" w:rsidRDefault="00D91782" w:rsidP="003D4DE0">
      <w:pPr>
        <w:pStyle w:val="tevilnatoka"/>
        <w:numPr>
          <w:ilvl w:val="0"/>
          <w:numId w:val="298"/>
        </w:numPr>
        <w:shd w:val="clear" w:color="auto" w:fill="FFFFFF" w:themeFill="background1"/>
        <w:tabs>
          <w:tab w:val="clear" w:pos="425"/>
        </w:tabs>
        <w:rPr>
          <w:rFonts w:cs="Arial"/>
          <w:bCs/>
          <w:sz w:val="20"/>
          <w:szCs w:val="20"/>
        </w:rPr>
      </w:pPr>
      <w:r w:rsidRPr="00215B2F">
        <w:rPr>
          <w:rFonts w:eastAsia="Arial" w:cs="Arial"/>
          <w:sz w:val="20"/>
          <w:szCs w:val="20"/>
        </w:rPr>
        <w:t xml:space="preserve">ne popravi oziroma dopolni svojih poročil v skladu z zahtevo Banke Slovenije iz sedmega odstavka </w:t>
      </w:r>
      <w:r w:rsidR="001D7104" w:rsidRPr="00215B2F">
        <w:rPr>
          <w:rFonts w:eastAsia="Arial" w:cs="Arial"/>
          <w:sz w:val="20"/>
          <w:szCs w:val="20"/>
        </w:rPr>
        <w:t>133</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574A6211" w14:textId="456CDF26" w:rsidR="00D91782" w:rsidRPr="00215B2F" w:rsidRDefault="00D91782" w:rsidP="003D4DE0">
      <w:pPr>
        <w:pStyle w:val="tevilnatoka"/>
        <w:numPr>
          <w:ilvl w:val="0"/>
          <w:numId w:val="298"/>
        </w:numPr>
        <w:shd w:val="clear" w:color="auto" w:fill="FFFFFF" w:themeFill="background1"/>
        <w:tabs>
          <w:tab w:val="clear" w:pos="425"/>
        </w:tabs>
        <w:rPr>
          <w:rFonts w:cs="Arial"/>
          <w:bCs/>
          <w:sz w:val="20"/>
          <w:szCs w:val="20"/>
        </w:rPr>
      </w:pPr>
      <w:r w:rsidRPr="00215B2F">
        <w:rPr>
          <w:rFonts w:eastAsia="Arial" w:cs="Arial"/>
          <w:sz w:val="20"/>
          <w:szCs w:val="20"/>
        </w:rPr>
        <w:t xml:space="preserve">ne obvesti nemudoma Banke Slovenije o dejstvih oziroma okoliščinah iz prvega odstavka </w:t>
      </w:r>
      <w:r w:rsidR="001D7104" w:rsidRPr="00215B2F">
        <w:rPr>
          <w:rFonts w:eastAsia="Arial" w:cs="Arial"/>
          <w:sz w:val="20"/>
          <w:szCs w:val="20"/>
        </w:rPr>
        <w:t>134</w:t>
      </w:r>
      <w:r w:rsidRPr="00215B2F">
        <w:rPr>
          <w:rFonts w:eastAsia="Arial" w:cs="Arial"/>
          <w:sz w:val="20"/>
          <w:szCs w:val="20"/>
        </w:rPr>
        <w:t xml:space="preserve">. </w:t>
      </w:r>
      <w:r w:rsidR="001F2C7A" w:rsidRPr="00215B2F">
        <w:rPr>
          <w:rFonts w:eastAsia="Arial" w:cs="Arial"/>
          <w:sz w:val="20"/>
          <w:szCs w:val="20"/>
        </w:rPr>
        <w:t>člena tega zakona</w:t>
      </w:r>
      <w:r w:rsidRPr="00215B2F">
        <w:rPr>
          <w:rFonts w:eastAsia="Arial" w:cs="Arial"/>
          <w:sz w:val="20"/>
          <w:szCs w:val="20"/>
        </w:rPr>
        <w:t>.</w:t>
      </w:r>
    </w:p>
    <w:p w14:paraId="46ACD18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EEFBD0D" w14:textId="541E46C3"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Če je narava storjenega prekrška iz prvega </w:t>
      </w:r>
      <w:r w:rsidR="00746E88" w:rsidRPr="00215B2F">
        <w:rPr>
          <w:rFonts w:ascii="Arial" w:eastAsia="Arial" w:hAnsi="Arial" w:cs="Arial"/>
          <w:sz w:val="20"/>
          <w:szCs w:val="20"/>
        </w:rPr>
        <w:t>odstavka tega člena</w:t>
      </w:r>
      <w:r w:rsidRPr="00215B2F">
        <w:rPr>
          <w:rFonts w:ascii="Arial" w:eastAsia="Arial" w:hAnsi="Arial" w:cs="Arial"/>
          <w:sz w:val="20"/>
          <w:szCs w:val="20"/>
        </w:rPr>
        <w:t xml:space="preserve"> posebno huda zaradi višine povzročene škode oziroma višine pridobljene protipravne premoženjske koristi ali zaradi storilčevega namena koristoljubnosti, se odgovorna oseba revizijske družbe kaznuje z globo od 2.500 do 30.000 eurov.</w:t>
      </w:r>
    </w:p>
    <w:p w14:paraId="7E3489B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0942432"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76" w:name="_Ref202968871"/>
      <w:r w:rsidRPr="00215B2F">
        <w:rPr>
          <w:rFonts w:ascii="Arial" w:eastAsia="Arial" w:hAnsi="Arial" w:cs="Arial"/>
          <w:b/>
          <w:bCs/>
          <w:sz w:val="20"/>
          <w:szCs w:val="20"/>
        </w:rPr>
        <w:t>člen</w:t>
      </w:r>
      <w:bookmarkEnd w:id="576"/>
    </w:p>
    <w:p w14:paraId="65EF2DD3"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(nadaljevani prekršek)</w:t>
      </w:r>
    </w:p>
    <w:p w14:paraId="23BDF16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8E3295A" w14:textId="1479962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Če je odgovorna oseba pravne osebe storila več prekrškov po tem zakonu, ki glede na kraj, način </w:t>
      </w:r>
      <w:r w:rsidR="00951D22" w:rsidRPr="00215B2F">
        <w:rPr>
          <w:rFonts w:ascii="Arial" w:eastAsia="Arial" w:hAnsi="Arial" w:cs="Arial"/>
          <w:sz w:val="20"/>
          <w:szCs w:val="20"/>
        </w:rPr>
        <w:t xml:space="preserve">in </w:t>
      </w:r>
      <w:r w:rsidRPr="00215B2F">
        <w:rPr>
          <w:rFonts w:ascii="Arial" w:eastAsia="Arial" w:hAnsi="Arial" w:cs="Arial"/>
          <w:sz w:val="20"/>
          <w:szCs w:val="20"/>
        </w:rPr>
        <w:t xml:space="preserve">druge okoliščine pomenijo enotno dejavnost ali ravnanje, Banka Slovenije odgovorni osebi izreče eno sankcijo, število prekrškov pa upošteva kot okoliščino pri izbiri in odmeri sankcije. </w:t>
      </w:r>
    </w:p>
    <w:p w14:paraId="4DB6443A" w14:textId="77777777" w:rsidR="00D91782" w:rsidRPr="00215B2F" w:rsidRDefault="00D91782" w:rsidP="00FD5520">
      <w:pPr>
        <w:shd w:val="clear" w:color="auto" w:fill="FFFFFF" w:themeFill="background1"/>
        <w:spacing w:after="0" w:line="240" w:lineRule="auto"/>
        <w:jc w:val="center"/>
        <w:rPr>
          <w:rFonts w:ascii="Arial" w:eastAsia="Arial" w:hAnsi="Arial" w:cs="Arial"/>
          <w:sz w:val="20"/>
          <w:szCs w:val="20"/>
        </w:rPr>
      </w:pPr>
    </w:p>
    <w:p w14:paraId="64643970"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77" w:name="_Ref202968875"/>
      <w:r w:rsidRPr="00215B2F">
        <w:rPr>
          <w:rFonts w:ascii="Arial" w:eastAsia="Arial" w:hAnsi="Arial" w:cs="Arial"/>
          <w:b/>
          <w:bCs/>
          <w:sz w:val="20"/>
          <w:szCs w:val="20"/>
        </w:rPr>
        <w:t>člen</w:t>
      </w:r>
      <w:bookmarkEnd w:id="577"/>
    </w:p>
    <w:p w14:paraId="35BEC4CC"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(opustitev pregona)</w:t>
      </w:r>
    </w:p>
    <w:p w14:paraId="72909F5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2923AB1" w14:textId="09EEE621"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w:t>
      </w:r>
      <w:r w:rsidR="00076199" w:rsidRPr="00215B2F">
        <w:rPr>
          <w:rFonts w:ascii="Arial" w:eastAsia="Arial" w:hAnsi="Arial" w:cs="Arial"/>
          <w:sz w:val="20"/>
          <w:szCs w:val="20"/>
        </w:rPr>
        <w:t>i</w:t>
      </w:r>
      <w:r w:rsidRPr="00215B2F">
        <w:rPr>
          <w:rFonts w:ascii="Arial" w:eastAsia="Arial" w:hAnsi="Arial" w:cs="Arial"/>
          <w:sz w:val="20"/>
          <w:szCs w:val="20"/>
        </w:rPr>
        <w:t xml:space="preserve"> Slovenije zoper odgovorno osebo ni </w:t>
      </w:r>
      <w:r w:rsidR="00076199" w:rsidRPr="00215B2F">
        <w:rPr>
          <w:rFonts w:ascii="Arial" w:eastAsia="Arial" w:hAnsi="Arial" w:cs="Arial"/>
          <w:sz w:val="20"/>
          <w:szCs w:val="20"/>
        </w:rPr>
        <w:t xml:space="preserve">treba </w:t>
      </w:r>
      <w:r w:rsidRPr="00215B2F">
        <w:rPr>
          <w:rFonts w:ascii="Arial" w:eastAsia="Arial" w:hAnsi="Arial" w:cs="Arial"/>
          <w:sz w:val="20"/>
          <w:szCs w:val="20"/>
        </w:rPr>
        <w:t>začeti postopka o prekršku, če gre po naravi in pomenu za kršitev, ki ni pomembno vplivala na varno in skrbno upravljanje pravne osebe</w:t>
      </w:r>
      <w:r w:rsidR="00076199" w:rsidRPr="00215B2F">
        <w:rPr>
          <w:rFonts w:ascii="Arial" w:eastAsia="Arial" w:hAnsi="Arial" w:cs="Arial"/>
          <w:sz w:val="20"/>
          <w:szCs w:val="20"/>
        </w:rPr>
        <w:t>, ter</w:t>
      </w:r>
      <w:r w:rsidRPr="00215B2F">
        <w:rPr>
          <w:rFonts w:ascii="Arial" w:eastAsia="Arial" w:hAnsi="Arial" w:cs="Arial"/>
          <w:sz w:val="20"/>
          <w:szCs w:val="20"/>
        </w:rPr>
        <w:t xml:space="preserve"> zaradi kršitve niso nastale škodljive posledice ali je bila vsa škoda poravnana ali je odgovorna oseba naredila vse</w:t>
      </w:r>
      <w:r w:rsidR="00076199" w:rsidRPr="00215B2F">
        <w:rPr>
          <w:rFonts w:ascii="Arial" w:eastAsia="Arial" w:hAnsi="Arial" w:cs="Arial"/>
          <w:sz w:val="20"/>
          <w:szCs w:val="20"/>
        </w:rPr>
        <w:t>,</w:t>
      </w:r>
      <w:r w:rsidRPr="00215B2F">
        <w:rPr>
          <w:rFonts w:ascii="Arial" w:eastAsia="Arial" w:hAnsi="Arial" w:cs="Arial"/>
          <w:sz w:val="20"/>
          <w:szCs w:val="20"/>
        </w:rPr>
        <w:t xml:space="preserve"> kar je v njeni moči, da je kršitev odpravila</w:t>
      </w:r>
      <w:r w:rsidR="00076199" w:rsidRPr="00215B2F">
        <w:rPr>
          <w:rFonts w:ascii="Arial" w:eastAsia="Arial" w:hAnsi="Arial" w:cs="Arial"/>
          <w:sz w:val="20"/>
          <w:szCs w:val="20"/>
        </w:rPr>
        <w:t>,</w:t>
      </w:r>
      <w:r w:rsidRPr="00215B2F">
        <w:rPr>
          <w:rFonts w:ascii="Arial" w:eastAsia="Arial" w:hAnsi="Arial" w:cs="Arial"/>
          <w:sz w:val="20"/>
          <w:szCs w:val="20"/>
        </w:rPr>
        <w:t xml:space="preserve"> ter </w:t>
      </w:r>
      <w:r w:rsidR="00076199" w:rsidRPr="00215B2F">
        <w:rPr>
          <w:rFonts w:ascii="Arial" w:eastAsia="Arial" w:hAnsi="Arial" w:cs="Arial"/>
          <w:sz w:val="20"/>
          <w:szCs w:val="20"/>
        </w:rPr>
        <w:t xml:space="preserve">Banka Slovenije </w:t>
      </w:r>
      <w:r w:rsidRPr="00215B2F">
        <w:rPr>
          <w:rFonts w:ascii="Arial" w:eastAsia="Arial" w:hAnsi="Arial" w:cs="Arial"/>
          <w:sz w:val="20"/>
          <w:szCs w:val="20"/>
        </w:rPr>
        <w:t xml:space="preserve">glede na okoliščine </w:t>
      </w:r>
      <w:r w:rsidR="00076199" w:rsidRPr="00215B2F">
        <w:rPr>
          <w:rFonts w:ascii="Arial" w:eastAsia="Arial" w:hAnsi="Arial" w:cs="Arial"/>
          <w:sz w:val="20"/>
          <w:szCs w:val="20"/>
        </w:rPr>
        <w:t xml:space="preserve">vsakega posameznega </w:t>
      </w:r>
      <w:r w:rsidRPr="00215B2F">
        <w:rPr>
          <w:rFonts w:ascii="Arial" w:eastAsia="Arial" w:hAnsi="Arial" w:cs="Arial"/>
          <w:sz w:val="20"/>
          <w:szCs w:val="20"/>
        </w:rPr>
        <w:t xml:space="preserve">primera oceni, da sankcija ne bi </w:t>
      </w:r>
      <w:r w:rsidR="00B33C9E" w:rsidRPr="00215B2F">
        <w:rPr>
          <w:rFonts w:ascii="Arial" w:eastAsia="Arial" w:hAnsi="Arial" w:cs="Arial"/>
          <w:sz w:val="20"/>
          <w:szCs w:val="20"/>
        </w:rPr>
        <w:t xml:space="preserve">bila </w:t>
      </w:r>
      <w:r w:rsidRPr="00215B2F">
        <w:rPr>
          <w:rFonts w:ascii="Arial" w:eastAsia="Arial" w:hAnsi="Arial" w:cs="Arial"/>
          <w:sz w:val="20"/>
          <w:szCs w:val="20"/>
        </w:rPr>
        <w:t xml:space="preserve">upravičena. </w:t>
      </w:r>
    </w:p>
    <w:p w14:paraId="5A7547F0" w14:textId="77777777" w:rsidR="00D12A16" w:rsidRPr="00215B2F" w:rsidRDefault="00D12A16" w:rsidP="00FD5520">
      <w:pPr>
        <w:shd w:val="clear" w:color="auto" w:fill="FFFFFF" w:themeFill="background1"/>
        <w:spacing w:after="0" w:line="240" w:lineRule="auto"/>
        <w:jc w:val="both"/>
        <w:rPr>
          <w:rFonts w:ascii="Arial" w:eastAsia="Arial" w:hAnsi="Arial" w:cs="Arial"/>
          <w:sz w:val="20"/>
          <w:szCs w:val="20"/>
        </w:rPr>
      </w:pPr>
    </w:p>
    <w:p w14:paraId="2EE27178"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78" w:name="_Ref202968882"/>
      <w:r w:rsidRPr="00215B2F">
        <w:rPr>
          <w:rFonts w:ascii="Arial" w:eastAsia="Arial" w:hAnsi="Arial" w:cs="Arial"/>
          <w:b/>
          <w:bCs/>
          <w:sz w:val="20"/>
          <w:szCs w:val="20"/>
        </w:rPr>
        <w:t>člen</w:t>
      </w:r>
      <w:bookmarkEnd w:id="578"/>
    </w:p>
    <w:p w14:paraId="5047061F"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(prekrškovni organ)</w:t>
      </w:r>
    </w:p>
    <w:p w14:paraId="4FC2C47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DF867C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(1) Prekrškovni organ, ki odloča o prekrških, storjenih po tem zakonu, in izreka globe po tem zakonu, je v skladu z zakonom, ki ureja prekrške, Banka Slovenije.</w:t>
      </w:r>
    </w:p>
    <w:p w14:paraId="3DB1B62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65A6AC72" w14:textId="7CB995AF"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Ne glede na prejšnji odstavek je za prekrške iz </w:t>
      </w:r>
      <w:r w:rsidR="001D7104" w:rsidRPr="00215B2F">
        <w:rPr>
          <w:rFonts w:ascii="Arial" w:eastAsia="Arial" w:hAnsi="Arial" w:cs="Arial"/>
          <w:sz w:val="20"/>
          <w:szCs w:val="20"/>
        </w:rPr>
        <w:t>500</w:t>
      </w:r>
      <w:r w:rsidRPr="00215B2F">
        <w:rPr>
          <w:rFonts w:ascii="Arial" w:eastAsia="Arial" w:hAnsi="Arial" w:cs="Arial"/>
          <w:sz w:val="20"/>
          <w:szCs w:val="20"/>
        </w:rPr>
        <w:t xml:space="preserve">. </w:t>
      </w:r>
      <w:r w:rsidR="001F2C7A" w:rsidRPr="00215B2F">
        <w:rPr>
          <w:rFonts w:ascii="Arial" w:eastAsia="Arial" w:hAnsi="Arial" w:cs="Arial"/>
          <w:sz w:val="20"/>
          <w:szCs w:val="20"/>
        </w:rPr>
        <w:t>člena tega zakona</w:t>
      </w:r>
      <w:r w:rsidRPr="00215B2F">
        <w:rPr>
          <w:rFonts w:ascii="Arial" w:eastAsia="Arial" w:hAnsi="Arial" w:cs="Arial"/>
          <w:sz w:val="20"/>
          <w:szCs w:val="20"/>
        </w:rPr>
        <w:t xml:space="preserve"> prekrškovni organ agencija, pristojna za finančne trge.</w:t>
      </w:r>
    </w:p>
    <w:p w14:paraId="463271EC"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84942C7"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79" w:name="_Ref202968890"/>
      <w:r w:rsidRPr="00215B2F">
        <w:rPr>
          <w:rFonts w:ascii="Arial" w:eastAsia="Arial" w:hAnsi="Arial" w:cs="Arial"/>
          <w:b/>
          <w:bCs/>
          <w:sz w:val="20"/>
          <w:szCs w:val="20"/>
        </w:rPr>
        <w:t>člen</w:t>
      </w:r>
      <w:bookmarkEnd w:id="579"/>
    </w:p>
    <w:p w14:paraId="310EFDEB" w14:textId="288D78E3"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w:t>
      </w:r>
      <w:r w:rsidR="000F7B1D" w:rsidRPr="00215B2F">
        <w:rPr>
          <w:rFonts w:ascii="Arial" w:eastAsia="Arial" w:hAnsi="Arial" w:cs="Arial"/>
          <w:b/>
          <w:bCs/>
          <w:sz w:val="20"/>
          <w:szCs w:val="20"/>
        </w:rPr>
        <w:t xml:space="preserve">pooblastilo za </w:t>
      </w:r>
      <w:r w:rsidRPr="00215B2F">
        <w:rPr>
          <w:rFonts w:ascii="Arial" w:eastAsia="Arial" w:hAnsi="Arial" w:cs="Arial"/>
          <w:b/>
          <w:bCs/>
          <w:sz w:val="20"/>
          <w:szCs w:val="20"/>
        </w:rPr>
        <w:t xml:space="preserve">postopek </w:t>
      </w:r>
      <w:r w:rsidR="000F7B1D" w:rsidRPr="00215B2F">
        <w:rPr>
          <w:rFonts w:ascii="Arial" w:eastAsia="Arial" w:hAnsi="Arial" w:cs="Arial"/>
          <w:b/>
          <w:bCs/>
          <w:sz w:val="20"/>
          <w:szCs w:val="20"/>
        </w:rPr>
        <w:t xml:space="preserve">in uporaba določb Zakona </w:t>
      </w:r>
      <w:r w:rsidRPr="00215B2F">
        <w:rPr>
          <w:rFonts w:ascii="Arial" w:eastAsia="Arial" w:hAnsi="Arial" w:cs="Arial"/>
          <w:b/>
          <w:bCs/>
          <w:sz w:val="20"/>
          <w:szCs w:val="20"/>
        </w:rPr>
        <w:t>o prekršk</w:t>
      </w:r>
      <w:r w:rsidR="000F7B1D" w:rsidRPr="00215B2F">
        <w:rPr>
          <w:rFonts w:ascii="Arial" w:eastAsia="Arial" w:hAnsi="Arial" w:cs="Arial"/>
          <w:b/>
          <w:bCs/>
          <w:sz w:val="20"/>
          <w:szCs w:val="20"/>
        </w:rPr>
        <w:t>ih</w:t>
      </w:r>
      <w:r w:rsidRPr="00215B2F">
        <w:rPr>
          <w:rFonts w:ascii="Arial" w:eastAsia="Arial" w:hAnsi="Arial" w:cs="Arial"/>
          <w:b/>
          <w:bCs/>
          <w:sz w:val="20"/>
          <w:szCs w:val="20"/>
        </w:rPr>
        <w:t>)</w:t>
      </w:r>
    </w:p>
    <w:p w14:paraId="272FE59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3883EDA"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Postopek o prekršku vodi in v njem odloča pooblaščena uradna oseba Banke Slovenije, ki izpolnjuje pogoje po zakonu, ki ureja prekrške, in na njegovi podlagi izdanih predpisih.</w:t>
      </w:r>
    </w:p>
    <w:p w14:paraId="4CE01F57"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D1F270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Banka Slovenije z notranjim aktom, ki ureja organizacijo in sistemizacijo delovnih mest, podrobneje določi pogoje in način za podelitev in prenehanje pooblastila osebi, ki se šteje za pooblaščeno uradno osebo Banke Slovenije iz prejšnjega odstavka.</w:t>
      </w:r>
    </w:p>
    <w:p w14:paraId="3F29B40D"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3DED3582" w14:textId="76B05574"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(3) Ne glede na </w:t>
      </w:r>
      <w:r w:rsidR="001D7104" w:rsidRPr="00215B2F">
        <w:rPr>
          <w:rFonts w:ascii="Arial" w:eastAsia="Arial" w:hAnsi="Arial" w:cs="Arial"/>
          <w:sz w:val="20"/>
          <w:szCs w:val="20"/>
        </w:rPr>
        <w:t>441</w:t>
      </w:r>
      <w:r w:rsidRPr="00215B2F">
        <w:rPr>
          <w:rFonts w:ascii="Arial" w:eastAsia="Arial" w:hAnsi="Arial" w:cs="Arial"/>
          <w:sz w:val="20"/>
          <w:szCs w:val="20"/>
        </w:rPr>
        <w:t xml:space="preserve">. </w:t>
      </w:r>
      <w:r w:rsidR="001F2C7A" w:rsidRPr="00215B2F">
        <w:rPr>
          <w:rFonts w:ascii="Arial" w:eastAsia="Arial" w:hAnsi="Arial" w:cs="Arial"/>
          <w:sz w:val="20"/>
          <w:szCs w:val="20"/>
        </w:rPr>
        <w:t>člen tega zakona</w:t>
      </w:r>
      <w:r w:rsidRPr="00215B2F">
        <w:rPr>
          <w:rFonts w:ascii="Arial" w:eastAsia="Arial" w:hAnsi="Arial" w:cs="Arial"/>
          <w:sz w:val="20"/>
          <w:szCs w:val="20"/>
        </w:rPr>
        <w:t xml:space="preserve"> se za postopek o prekršku uporablja zakon, ki ureja prekrške.</w:t>
      </w:r>
    </w:p>
    <w:p w14:paraId="63AE603B" w14:textId="77777777" w:rsidR="0047072E" w:rsidRPr="00215B2F" w:rsidRDefault="0047072E" w:rsidP="00FD5520">
      <w:pPr>
        <w:shd w:val="clear" w:color="auto" w:fill="FFFFFF" w:themeFill="background1"/>
        <w:spacing w:after="0" w:line="240" w:lineRule="auto"/>
        <w:jc w:val="both"/>
        <w:rPr>
          <w:rFonts w:ascii="Arial" w:eastAsia="Arial" w:hAnsi="Arial" w:cs="Arial"/>
          <w:sz w:val="20"/>
          <w:szCs w:val="20"/>
        </w:rPr>
      </w:pPr>
    </w:p>
    <w:p w14:paraId="4B9D7560" w14:textId="3D718765" w:rsidR="0047072E" w:rsidRPr="00215B2F" w:rsidRDefault="0047072E"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(4) Ne glede na četrti odstavek 55. člena Zakon o prekrških, lahko Banka Slovenije rok za pisno izjavo o dejstvih in okoliščinah prekrška določenega s tem zakonom, podaljša za največ 30 dni. </w:t>
      </w:r>
    </w:p>
    <w:p w14:paraId="502A8D73"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B814AB9"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80" w:name="_Ref202968900"/>
      <w:r w:rsidRPr="00215B2F">
        <w:rPr>
          <w:rFonts w:ascii="Arial" w:eastAsia="Arial" w:hAnsi="Arial" w:cs="Arial"/>
          <w:b/>
          <w:bCs/>
          <w:sz w:val="20"/>
          <w:szCs w:val="20"/>
        </w:rPr>
        <w:t>člen</w:t>
      </w:r>
      <w:bookmarkEnd w:id="580"/>
    </w:p>
    <w:p w14:paraId="2CFA6A9E"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(izrek globe v hitrem postopku)</w:t>
      </w:r>
    </w:p>
    <w:p w14:paraId="1DD8EA3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259E3060"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Za prekrške iz tega zakona se sme v hitrem postopku izreči globa tudi v znesku, ki je višji od najnižje predpisane globe, določene s tem zakonom.</w:t>
      </w:r>
    </w:p>
    <w:p w14:paraId="40B29809"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1E7F5DD9" w14:textId="77777777" w:rsidR="00D91782" w:rsidRPr="00215B2F" w:rsidRDefault="00D91782" w:rsidP="00D46384">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81" w:name="_Ref202968906"/>
      <w:r w:rsidRPr="00215B2F">
        <w:rPr>
          <w:rFonts w:ascii="Arial" w:eastAsia="Arial" w:hAnsi="Arial" w:cs="Arial"/>
          <w:b/>
          <w:bCs/>
          <w:sz w:val="20"/>
          <w:szCs w:val="20"/>
        </w:rPr>
        <w:t>člen</w:t>
      </w:r>
      <w:bookmarkEnd w:id="581"/>
    </w:p>
    <w:p w14:paraId="11281B37"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(uporaba določb o prekrških)</w:t>
      </w:r>
    </w:p>
    <w:p w14:paraId="4AA8BF42"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46BE1C3F" w14:textId="3971CA91" w:rsidR="00D91782" w:rsidRPr="00215B2F" w:rsidRDefault="0040471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w:t>
      </w:r>
      <w:r w:rsidR="00D91782" w:rsidRPr="00215B2F">
        <w:rPr>
          <w:rFonts w:ascii="Arial" w:eastAsia="Arial" w:hAnsi="Arial" w:cs="Arial"/>
          <w:sz w:val="20"/>
          <w:szCs w:val="20"/>
        </w:rPr>
        <w:t>Višine in razponi glob, določeni v tem zakonu, veljajo in se uporabljajo ne glede na določbe zakona, ki ureja prekrške.</w:t>
      </w:r>
    </w:p>
    <w:p w14:paraId="064E6B7E"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097E62A5" w14:textId="50494B2F" w:rsidR="00D91782" w:rsidRPr="00215B2F" w:rsidRDefault="0040471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w:t>
      </w:r>
      <w:r w:rsidR="00D91782" w:rsidRPr="00215B2F">
        <w:rPr>
          <w:rFonts w:ascii="Arial" w:eastAsia="Arial" w:hAnsi="Arial" w:cs="Arial"/>
          <w:sz w:val="20"/>
          <w:szCs w:val="20"/>
        </w:rPr>
        <w:t>Postopek o prekršku po tem zakonu ni dopusten, če pretečejo tri leta od dneva, ko je bil prekršek storjen. Določba prejšnjega stavka ne posega v pravila zastaranja za hujše kršitve po tem zakonu.</w:t>
      </w:r>
    </w:p>
    <w:p w14:paraId="24285FE9" w14:textId="77777777" w:rsidR="001F700D" w:rsidRPr="00215B2F" w:rsidRDefault="001F700D" w:rsidP="00FD5520">
      <w:pPr>
        <w:shd w:val="clear" w:color="auto" w:fill="FFFFFF" w:themeFill="background1"/>
        <w:spacing w:after="0" w:line="240" w:lineRule="auto"/>
        <w:jc w:val="both"/>
        <w:rPr>
          <w:rFonts w:ascii="Arial" w:eastAsia="Arial" w:hAnsi="Arial" w:cs="Arial"/>
          <w:sz w:val="20"/>
          <w:szCs w:val="20"/>
        </w:rPr>
      </w:pPr>
    </w:p>
    <w:p w14:paraId="390925DF" w14:textId="65CB3F25" w:rsidR="00467A8D" w:rsidRPr="00215B2F" w:rsidRDefault="005F0814" w:rsidP="00FD5520">
      <w:pPr>
        <w:shd w:val="clear" w:color="auto" w:fill="FFFFFF" w:themeFill="background1"/>
        <w:spacing w:after="0" w:line="240" w:lineRule="auto"/>
        <w:jc w:val="center"/>
        <w:rPr>
          <w:rFonts w:ascii="Arial" w:eastAsia="Arial" w:hAnsi="Arial" w:cs="Arial"/>
          <w:sz w:val="20"/>
          <w:szCs w:val="20"/>
        </w:rPr>
      </w:pPr>
      <w:r w:rsidRPr="00215B2F">
        <w:rPr>
          <w:rFonts w:ascii="Arial" w:eastAsia="Arial" w:hAnsi="Arial" w:cs="Arial"/>
          <w:sz w:val="20"/>
          <w:szCs w:val="20"/>
        </w:rPr>
        <w:t>19</w:t>
      </w:r>
      <w:r w:rsidR="00D91782" w:rsidRPr="00215B2F">
        <w:rPr>
          <w:rFonts w:ascii="Arial" w:eastAsia="Arial" w:hAnsi="Arial" w:cs="Arial"/>
          <w:sz w:val="20"/>
          <w:szCs w:val="20"/>
        </w:rPr>
        <w:t xml:space="preserve">. POGLAVJE: </w:t>
      </w:r>
      <w:r w:rsidR="00D91782" w:rsidRPr="00215B2F">
        <w:rPr>
          <w:rFonts w:ascii="Arial" w:eastAsia="Arial" w:hAnsi="Arial" w:cs="Arial"/>
          <w:sz w:val="20"/>
          <w:szCs w:val="20"/>
        </w:rPr>
        <w:br/>
        <w:t>PREHODNE DOLOČBE</w:t>
      </w:r>
    </w:p>
    <w:p w14:paraId="70B587EC" w14:textId="77777777" w:rsidR="002C3AFC" w:rsidRPr="00215B2F" w:rsidRDefault="002C3AFC" w:rsidP="0012782F">
      <w:pPr>
        <w:shd w:val="clear" w:color="auto" w:fill="FFFFFF" w:themeFill="background1"/>
        <w:spacing w:after="0" w:line="240" w:lineRule="auto"/>
        <w:jc w:val="center"/>
        <w:rPr>
          <w:rFonts w:ascii="Arial" w:eastAsia="Arial" w:hAnsi="Arial" w:cs="Arial"/>
          <w:sz w:val="20"/>
          <w:szCs w:val="20"/>
        </w:rPr>
      </w:pPr>
    </w:p>
    <w:p w14:paraId="3866F22D" w14:textId="77777777" w:rsidR="004B77AB" w:rsidRPr="00215B2F" w:rsidRDefault="004B77AB" w:rsidP="004B77AB">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82" w:name="_Ref212194761"/>
      <w:r w:rsidRPr="00215B2F">
        <w:rPr>
          <w:rFonts w:ascii="Arial" w:eastAsia="Arial" w:hAnsi="Arial" w:cs="Arial"/>
          <w:b/>
          <w:bCs/>
          <w:sz w:val="20"/>
          <w:szCs w:val="20"/>
        </w:rPr>
        <w:t>člen</w:t>
      </w:r>
      <w:bookmarkEnd w:id="582"/>
    </w:p>
    <w:p w14:paraId="606576DF" w14:textId="77777777" w:rsidR="004B77AB" w:rsidRPr="00215B2F" w:rsidRDefault="004B77AB" w:rsidP="004B77AB">
      <w:pPr>
        <w:shd w:val="clear" w:color="auto" w:fill="FFFFFF"/>
        <w:spacing w:after="0" w:line="240" w:lineRule="auto"/>
        <w:jc w:val="center"/>
        <w:rPr>
          <w:rFonts w:ascii="Arial" w:hAnsi="Arial" w:cs="Arial"/>
          <w:b/>
          <w:bCs/>
          <w:color w:val="212529"/>
          <w:sz w:val="20"/>
          <w:szCs w:val="20"/>
        </w:rPr>
      </w:pPr>
      <w:r w:rsidRPr="00215B2F">
        <w:rPr>
          <w:rFonts w:ascii="Arial" w:hAnsi="Arial" w:cs="Arial"/>
          <w:b/>
          <w:bCs/>
          <w:color w:val="212529"/>
          <w:sz w:val="20"/>
          <w:szCs w:val="20"/>
        </w:rPr>
        <w:t>(ohranitev veljavnosti dovoljenj)</w:t>
      </w:r>
    </w:p>
    <w:p w14:paraId="2F8E30A4" w14:textId="77777777" w:rsidR="004B77AB" w:rsidRPr="00215B2F" w:rsidRDefault="004B77AB" w:rsidP="004B77AB">
      <w:pPr>
        <w:shd w:val="clear" w:color="auto" w:fill="FFFFFF"/>
        <w:spacing w:after="0" w:line="240" w:lineRule="auto"/>
        <w:jc w:val="both"/>
        <w:rPr>
          <w:rFonts w:ascii="Arial" w:hAnsi="Arial" w:cs="Arial"/>
          <w:color w:val="212529"/>
          <w:sz w:val="20"/>
          <w:szCs w:val="20"/>
        </w:rPr>
      </w:pPr>
    </w:p>
    <w:p w14:paraId="7CECBF11" w14:textId="77777777" w:rsidR="004B77AB" w:rsidRPr="00215B2F" w:rsidRDefault="004B77AB" w:rsidP="004B77AB">
      <w:pPr>
        <w:shd w:val="clear" w:color="auto" w:fill="FFFFFF"/>
        <w:spacing w:after="0" w:line="240" w:lineRule="auto"/>
        <w:jc w:val="both"/>
        <w:rPr>
          <w:rFonts w:ascii="Arial" w:hAnsi="Arial" w:cs="Arial"/>
          <w:color w:val="212529"/>
          <w:sz w:val="20"/>
          <w:szCs w:val="20"/>
        </w:rPr>
      </w:pPr>
      <w:r w:rsidRPr="00215B2F">
        <w:rPr>
          <w:rFonts w:ascii="Arial" w:hAnsi="Arial" w:cs="Arial"/>
          <w:color w:val="212529"/>
          <w:sz w:val="20"/>
          <w:szCs w:val="20"/>
        </w:rPr>
        <w:t>(1) Dovoljenja za opravljanje bančnih ali drugih storitev bank, za opravljanje funkcije člana uprave banke, za pridobitev kvalificiranega deleža ter druga dovoljenja in soglasja, ki na podlagi Zakona o bančništvu (Uradni list RS,</w:t>
      </w:r>
      <w:r w:rsidRPr="00215B2F">
        <w:rPr>
          <w:rFonts w:ascii="Arial" w:hAnsi="Arial" w:cs="Arial"/>
          <w:sz w:val="20"/>
          <w:szCs w:val="20"/>
        </w:rPr>
        <w:t xml:space="preserve"> št. 92/21, 123/21 – ZBNIP, 2/25 – odl. US in 17/25; v nadaljnjem besedilu: ZBan-3</w:t>
      </w:r>
      <w:r w:rsidRPr="00215B2F">
        <w:rPr>
          <w:rFonts w:ascii="Arial" w:hAnsi="Arial" w:cs="Arial"/>
          <w:color w:val="212529"/>
          <w:sz w:val="20"/>
          <w:szCs w:val="20"/>
        </w:rPr>
        <w:t>) veljajo ob uveljavitvi tega zakona, se z dnem uveljavitve tega zakona štejejo za dovoljenja in soglasja, izdana po tem zakonu ali Uredbi 575/2013/EU.</w:t>
      </w:r>
      <w:r w:rsidRPr="00215B2F">
        <w:rPr>
          <w:rFonts w:ascii="Arial" w:hAnsi="Arial" w:cs="Arial"/>
          <w:color w:val="212529"/>
          <w:sz w:val="23"/>
          <w:szCs w:val="23"/>
          <w:shd w:val="clear" w:color="auto" w:fill="FFFFFF"/>
        </w:rPr>
        <w:t xml:space="preserve"> </w:t>
      </w:r>
      <w:r w:rsidRPr="00215B2F">
        <w:rPr>
          <w:rFonts w:ascii="Arial" w:hAnsi="Arial" w:cs="Arial"/>
          <w:color w:val="212529"/>
          <w:sz w:val="20"/>
          <w:szCs w:val="20"/>
        </w:rPr>
        <w:t>Če niso izpolnjeni pogoji za ohranitev dovoljenja ali soglasja, kot jih določa ta zakon ali Uredba 575/2013/EU, se dovoljenje ali soglasje odvzame oziroma prekliče v skladu z določbami tega zakona.</w:t>
      </w:r>
    </w:p>
    <w:p w14:paraId="216AF7EC" w14:textId="77777777" w:rsidR="004B77AB" w:rsidRPr="00215B2F" w:rsidRDefault="004B77AB" w:rsidP="004B77AB">
      <w:pPr>
        <w:shd w:val="clear" w:color="auto" w:fill="FFFFFF"/>
        <w:spacing w:after="0" w:line="240" w:lineRule="auto"/>
        <w:jc w:val="both"/>
        <w:rPr>
          <w:rFonts w:ascii="Arial" w:hAnsi="Arial" w:cs="Arial"/>
          <w:color w:val="212529"/>
          <w:sz w:val="20"/>
          <w:szCs w:val="20"/>
        </w:rPr>
      </w:pPr>
    </w:p>
    <w:p w14:paraId="1FB5DF3F" w14:textId="77777777" w:rsidR="004B77AB" w:rsidRPr="00215B2F" w:rsidRDefault="004B77AB" w:rsidP="004B77AB">
      <w:pPr>
        <w:shd w:val="clear" w:color="auto" w:fill="FFFFFF"/>
        <w:spacing w:after="0" w:line="240" w:lineRule="auto"/>
        <w:jc w:val="both"/>
        <w:rPr>
          <w:rFonts w:ascii="Arial" w:hAnsi="Arial" w:cs="Arial"/>
          <w:color w:val="212529"/>
          <w:sz w:val="20"/>
          <w:szCs w:val="20"/>
        </w:rPr>
      </w:pPr>
      <w:r w:rsidRPr="00215B2F">
        <w:rPr>
          <w:rFonts w:ascii="Arial" w:hAnsi="Arial" w:cs="Arial"/>
          <w:color w:val="212529"/>
          <w:sz w:val="20"/>
          <w:szCs w:val="20"/>
        </w:rPr>
        <w:t xml:space="preserve">(2) Odločbe Banke Slovenije glede statusnih značilnosti ali položaja banke, zlasti glede opredelitve banke kot pomembne, druge sistemsko pomembne ter majhne in nekompleksne banke oziroma v zvezi z uveljavitvijo poenostavljenih obveznosti za načrte sanacije, ki jih določa ZBan-3 ali Uredba 575/2013/EU, in na podlagi ZBan-3 veljajo ob uveljavitvi tega zakona, se z dnem uveljavitve tega zakona štejejo za odločbe, izdane po tem zakonu ali Uredbi 575/2013/EU. Če niso izpolnjeni pogoji za ohranitev statusnih značilnosti ali položaja banke, kot jih določa ta zakon ali Uredba 575/2013/EU, se odločba odvzame ali prekliče v skladu z določbami tega zakona. </w:t>
      </w:r>
    </w:p>
    <w:p w14:paraId="633AE72A"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65C3103F" w14:textId="77777777" w:rsidR="004B77AB" w:rsidRPr="00215B2F" w:rsidRDefault="004B77AB" w:rsidP="004B77AB">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83" w:name="_Ref202969087"/>
      <w:r w:rsidRPr="00215B2F">
        <w:rPr>
          <w:rFonts w:ascii="Arial" w:eastAsia="Arial" w:hAnsi="Arial" w:cs="Arial"/>
          <w:b/>
          <w:bCs/>
          <w:sz w:val="20"/>
          <w:szCs w:val="20"/>
        </w:rPr>
        <w:t>člen</w:t>
      </w:r>
      <w:bookmarkEnd w:id="583"/>
    </w:p>
    <w:p w14:paraId="07532080" w14:textId="77777777" w:rsidR="004B77AB" w:rsidRPr="00215B2F" w:rsidRDefault="004B77AB" w:rsidP="004B77AB">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(prehodna določba za pridobivanje podatkov o okoljskih, družbenih in upravljavskih tveganjih)</w:t>
      </w:r>
    </w:p>
    <w:p w14:paraId="1B127949"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2EC3B47F"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Četrti in peti odstavek 202. člena tega zakona se začneta uporabljati, ko Banka Slovenije vzpostavi možnost izmenjave informacij o okoljskih, družbenih in upravljavskih tveganjih poslovnih subjektov v sistemu izmenjave informacij o zadolženosti poslovnih subjektov.</w:t>
      </w:r>
    </w:p>
    <w:p w14:paraId="24F030D9"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2D8EBDF7" w14:textId="77777777" w:rsidR="004B77AB" w:rsidRPr="00215B2F" w:rsidRDefault="004B77AB" w:rsidP="004B77AB">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84" w:name="_Ref202969083"/>
      <w:r w:rsidRPr="00215B2F">
        <w:rPr>
          <w:rFonts w:ascii="Arial" w:eastAsia="Arial" w:hAnsi="Arial" w:cs="Arial"/>
          <w:b/>
          <w:bCs/>
          <w:sz w:val="20"/>
          <w:szCs w:val="20"/>
        </w:rPr>
        <w:t>člen</w:t>
      </w:r>
      <w:bookmarkEnd w:id="584"/>
    </w:p>
    <w:p w14:paraId="581A6AFF" w14:textId="77777777" w:rsidR="004B77AB" w:rsidRPr="00215B2F" w:rsidRDefault="004B77AB" w:rsidP="004B77AB">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(prehodna določba za nosilce ključnih funkcij)</w:t>
      </w:r>
    </w:p>
    <w:p w14:paraId="0887904E"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53B7C7BE"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Banke za obstoječe nosilce ključnih funkcij ocenijo njihovo primernost v skladu s 73. členom tega zakona najpozneje v šestih mesecih od uveljavitve tega zakona in o tem v skladu s 74. členom tega zakona obvestijo Banko Slovenije. </w:t>
      </w:r>
    </w:p>
    <w:p w14:paraId="4C76A1D5"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7E2B5219" w14:textId="77777777" w:rsidR="004B77AB" w:rsidRPr="00215B2F" w:rsidRDefault="004B77AB" w:rsidP="004B77AB">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85" w:name="_Ref204075507"/>
      <w:r w:rsidRPr="00215B2F">
        <w:rPr>
          <w:rFonts w:ascii="Arial" w:eastAsia="Arial" w:hAnsi="Arial" w:cs="Arial"/>
          <w:b/>
          <w:bCs/>
          <w:sz w:val="20"/>
          <w:szCs w:val="20"/>
        </w:rPr>
        <w:t>člen</w:t>
      </w:r>
      <w:bookmarkEnd w:id="585"/>
    </w:p>
    <w:p w14:paraId="5EF99499" w14:textId="77777777" w:rsidR="004B77AB" w:rsidRPr="00215B2F" w:rsidRDefault="004B77AB" w:rsidP="004B77AB">
      <w:pPr>
        <w:shd w:val="clear" w:color="auto" w:fill="FFFFFF" w:themeFill="background1"/>
        <w:spacing w:after="0" w:line="240" w:lineRule="auto"/>
        <w:jc w:val="center"/>
        <w:rPr>
          <w:rFonts w:ascii="Arial" w:hAnsi="Arial" w:cs="Arial"/>
          <w:b/>
          <w:bCs/>
          <w:sz w:val="20"/>
          <w:szCs w:val="20"/>
        </w:rPr>
      </w:pPr>
      <w:r w:rsidRPr="00215B2F">
        <w:rPr>
          <w:rFonts w:ascii="Arial" w:hAnsi="Arial" w:cs="Arial"/>
          <w:b/>
          <w:bCs/>
          <w:sz w:val="20"/>
          <w:szCs w:val="20"/>
        </w:rPr>
        <w:t>(prehodna določba glede notranje revizije hranilnic)</w:t>
      </w:r>
    </w:p>
    <w:p w14:paraId="27C693D1"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p>
    <w:p w14:paraId="0821716D"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Hranilnice morajo ureditev notranje revizije iz drugega odstavka 347. člena ZBan-3 prilagoditi tako, da opravljanje nalog notranjega revidiranja ni s pogodbo preneseno na osebo, ki izpolnjuje pogoje za opravljanje teh nalog, najpozneje v dveh letih po začetku veljavnosti tega zakona. </w:t>
      </w:r>
    </w:p>
    <w:p w14:paraId="05EC4500" w14:textId="77777777" w:rsidR="004B77AB" w:rsidRPr="00215B2F" w:rsidRDefault="004B77AB" w:rsidP="0012782F">
      <w:pPr>
        <w:shd w:val="clear" w:color="auto" w:fill="FFFFFF" w:themeFill="background1"/>
        <w:spacing w:after="0" w:line="240" w:lineRule="auto"/>
        <w:jc w:val="center"/>
        <w:rPr>
          <w:rFonts w:ascii="Arial" w:eastAsia="Arial" w:hAnsi="Arial" w:cs="Arial"/>
          <w:sz w:val="20"/>
          <w:szCs w:val="20"/>
        </w:rPr>
      </w:pPr>
    </w:p>
    <w:p w14:paraId="6A7CD4A2" w14:textId="77777777" w:rsidR="004B77AB" w:rsidRPr="00215B2F" w:rsidRDefault="004B77AB" w:rsidP="004B77AB">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86" w:name="_Ref212194840"/>
      <w:r w:rsidRPr="00215B2F">
        <w:rPr>
          <w:rFonts w:ascii="Arial" w:eastAsia="Arial" w:hAnsi="Arial" w:cs="Arial"/>
          <w:b/>
          <w:bCs/>
          <w:sz w:val="20"/>
          <w:szCs w:val="20"/>
        </w:rPr>
        <w:t>člen</w:t>
      </w:r>
      <w:bookmarkEnd w:id="586"/>
    </w:p>
    <w:p w14:paraId="51F62C8F" w14:textId="77777777" w:rsidR="004B77AB" w:rsidRPr="00215B2F" w:rsidRDefault="004B77AB" w:rsidP="004B77AB">
      <w:pPr>
        <w:shd w:val="clear" w:color="auto" w:fill="FFFFFF"/>
        <w:spacing w:after="0" w:line="240" w:lineRule="auto"/>
        <w:jc w:val="center"/>
        <w:rPr>
          <w:rFonts w:ascii="Arial" w:eastAsia="Times New Roman" w:hAnsi="Arial" w:cs="Arial"/>
          <w:b/>
          <w:bCs/>
          <w:color w:val="212529"/>
          <w:kern w:val="0"/>
          <w:sz w:val="20"/>
          <w:szCs w:val="20"/>
          <w:lang w:eastAsia="sl-SI"/>
          <w14:ligatures w14:val="none"/>
        </w:rPr>
      </w:pPr>
      <w:r w:rsidRPr="00215B2F">
        <w:rPr>
          <w:rFonts w:ascii="Arial" w:eastAsia="Times New Roman" w:hAnsi="Arial" w:cs="Arial"/>
          <w:b/>
          <w:bCs/>
          <w:color w:val="212529"/>
          <w:kern w:val="0"/>
          <w:sz w:val="20"/>
          <w:szCs w:val="20"/>
          <w:lang w:eastAsia="sl-SI"/>
          <w14:ligatures w14:val="none"/>
        </w:rPr>
        <w:t>(postopki v teku)</w:t>
      </w:r>
    </w:p>
    <w:p w14:paraId="6C183E64" w14:textId="77777777" w:rsidR="004B77AB" w:rsidRPr="00215B2F" w:rsidRDefault="004B77AB" w:rsidP="004B77AB">
      <w:pPr>
        <w:shd w:val="clear" w:color="auto" w:fill="FFFFFF"/>
        <w:spacing w:after="0" w:line="240" w:lineRule="auto"/>
        <w:jc w:val="center"/>
        <w:rPr>
          <w:rFonts w:ascii="Arial" w:eastAsia="Times New Roman" w:hAnsi="Arial" w:cs="Arial"/>
          <w:b/>
          <w:bCs/>
          <w:color w:val="212529"/>
          <w:kern w:val="0"/>
          <w:sz w:val="20"/>
          <w:szCs w:val="20"/>
          <w:lang w:eastAsia="sl-SI"/>
          <w14:ligatures w14:val="none"/>
        </w:rPr>
      </w:pPr>
    </w:p>
    <w:p w14:paraId="791E775D" w14:textId="77777777" w:rsidR="004B77AB" w:rsidRPr="00215B2F" w:rsidRDefault="004B77AB" w:rsidP="004B77AB">
      <w:pPr>
        <w:shd w:val="clear" w:color="auto" w:fill="FFFFFF"/>
        <w:spacing w:after="0" w:line="240" w:lineRule="auto"/>
        <w:jc w:val="both"/>
        <w:rPr>
          <w:rFonts w:ascii="Arial" w:eastAsia="Times New Roman" w:hAnsi="Arial" w:cs="Arial"/>
          <w:color w:val="212529"/>
          <w:kern w:val="0"/>
          <w:sz w:val="20"/>
          <w:szCs w:val="20"/>
          <w:lang w:eastAsia="sl-SI"/>
          <w14:ligatures w14:val="none"/>
        </w:rPr>
      </w:pPr>
      <w:r w:rsidRPr="00215B2F">
        <w:rPr>
          <w:rFonts w:ascii="Arial" w:eastAsia="Times New Roman" w:hAnsi="Arial" w:cs="Arial"/>
          <w:color w:val="212529"/>
          <w:kern w:val="0"/>
          <w:sz w:val="20"/>
          <w:szCs w:val="20"/>
          <w:lang w:eastAsia="sl-SI"/>
          <w14:ligatures w14:val="none"/>
        </w:rPr>
        <w:t>(1) Postopki za izdajo dovoljenja in drugi postopki, ki so se začeli na zahtevo stranke in v katerih Banka Slovenije do uveljavitve tega zakona še ni odločila, se končajo po določbah ZBan-3.</w:t>
      </w:r>
    </w:p>
    <w:p w14:paraId="20D62080" w14:textId="77777777" w:rsidR="004B77AB" w:rsidRPr="00215B2F" w:rsidRDefault="004B77AB" w:rsidP="004B77AB">
      <w:pPr>
        <w:shd w:val="clear" w:color="auto" w:fill="FFFFFF"/>
        <w:spacing w:after="0" w:line="240" w:lineRule="auto"/>
        <w:ind w:firstLine="1021"/>
        <w:jc w:val="both"/>
        <w:rPr>
          <w:rFonts w:ascii="Arial" w:eastAsia="Times New Roman" w:hAnsi="Arial" w:cs="Arial"/>
          <w:color w:val="212529"/>
          <w:kern w:val="0"/>
          <w:sz w:val="20"/>
          <w:szCs w:val="20"/>
          <w:lang w:eastAsia="sl-SI"/>
          <w14:ligatures w14:val="none"/>
        </w:rPr>
      </w:pPr>
    </w:p>
    <w:p w14:paraId="51A98FC3" w14:textId="77777777" w:rsidR="004B77AB" w:rsidRPr="00215B2F" w:rsidRDefault="004B77AB" w:rsidP="004B77AB">
      <w:pPr>
        <w:shd w:val="clear" w:color="auto" w:fill="FFFFFF"/>
        <w:spacing w:after="0" w:line="240" w:lineRule="auto"/>
        <w:jc w:val="both"/>
        <w:rPr>
          <w:rFonts w:ascii="Arial" w:eastAsia="Times New Roman" w:hAnsi="Arial" w:cs="Arial"/>
          <w:color w:val="212529"/>
          <w:kern w:val="0"/>
          <w:sz w:val="20"/>
          <w:szCs w:val="20"/>
          <w:lang w:eastAsia="sl-SI"/>
          <w14:ligatures w14:val="none"/>
        </w:rPr>
      </w:pPr>
      <w:r w:rsidRPr="00215B2F">
        <w:rPr>
          <w:rFonts w:ascii="Arial" w:eastAsia="Times New Roman" w:hAnsi="Arial" w:cs="Arial"/>
          <w:color w:val="212529"/>
          <w:kern w:val="0"/>
          <w:sz w:val="20"/>
          <w:szCs w:val="20"/>
          <w:lang w:eastAsia="sl-SI"/>
          <w14:ligatures w14:val="none"/>
        </w:rPr>
        <w:t>(2) Drugi postopki Banke Slovenije, ki so se začeli pred uveljavitvijo tega zakona in v katerih Banka Slovenije do uveljavitve tega zakona še ni odločila, se končajo po določbah tega zakona.</w:t>
      </w:r>
    </w:p>
    <w:p w14:paraId="70FD0DB2" w14:textId="77777777" w:rsidR="004B77AB" w:rsidRPr="00215B2F" w:rsidRDefault="004B77AB" w:rsidP="004B77AB">
      <w:pPr>
        <w:shd w:val="clear" w:color="auto" w:fill="FFFFFF"/>
        <w:spacing w:after="0" w:line="240" w:lineRule="auto"/>
        <w:ind w:firstLine="1021"/>
        <w:jc w:val="both"/>
        <w:rPr>
          <w:rFonts w:ascii="Arial" w:eastAsia="Times New Roman" w:hAnsi="Arial" w:cs="Arial"/>
          <w:color w:val="212529"/>
          <w:kern w:val="0"/>
          <w:sz w:val="20"/>
          <w:szCs w:val="20"/>
          <w:lang w:eastAsia="sl-SI"/>
          <w14:ligatures w14:val="none"/>
        </w:rPr>
      </w:pPr>
    </w:p>
    <w:p w14:paraId="3703480C" w14:textId="77777777" w:rsidR="004B77AB" w:rsidRPr="00215B2F" w:rsidRDefault="004B77AB" w:rsidP="004B77AB">
      <w:pPr>
        <w:shd w:val="clear" w:color="auto" w:fill="FFFFFF"/>
        <w:spacing w:after="0" w:line="240" w:lineRule="auto"/>
        <w:jc w:val="both"/>
        <w:rPr>
          <w:rFonts w:ascii="Arial" w:eastAsia="Times New Roman" w:hAnsi="Arial" w:cs="Arial"/>
          <w:color w:val="212529"/>
          <w:kern w:val="0"/>
          <w:sz w:val="20"/>
          <w:szCs w:val="20"/>
          <w:lang w:eastAsia="sl-SI"/>
          <w14:ligatures w14:val="none"/>
        </w:rPr>
      </w:pPr>
      <w:r w:rsidRPr="00215B2F">
        <w:rPr>
          <w:rFonts w:ascii="Arial" w:eastAsia="Times New Roman" w:hAnsi="Arial" w:cs="Arial"/>
          <w:color w:val="212529"/>
          <w:kern w:val="0"/>
          <w:sz w:val="20"/>
          <w:szCs w:val="20"/>
          <w:lang w:eastAsia="sl-SI"/>
          <w14:ligatures w14:val="none"/>
        </w:rPr>
        <w:t>(3) Postopki sodnega varstva zoper odločbe Banke Slovenije, ki so bile izdane pred uveljavitvijo tega zakona, se končajo po določbah tega zakona.</w:t>
      </w:r>
    </w:p>
    <w:p w14:paraId="78189954" w14:textId="77777777" w:rsidR="00F72999" w:rsidRPr="00215B2F" w:rsidRDefault="00F72999" w:rsidP="004B77AB">
      <w:pPr>
        <w:shd w:val="clear" w:color="auto" w:fill="FFFFFF"/>
        <w:spacing w:after="0" w:line="240" w:lineRule="auto"/>
        <w:jc w:val="both"/>
        <w:rPr>
          <w:rFonts w:ascii="Arial" w:eastAsia="Times New Roman" w:hAnsi="Arial" w:cs="Arial"/>
          <w:color w:val="212529"/>
          <w:kern w:val="0"/>
          <w:sz w:val="20"/>
          <w:szCs w:val="20"/>
          <w:lang w:eastAsia="sl-SI"/>
          <w14:ligatures w14:val="none"/>
        </w:rPr>
      </w:pPr>
    </w:p>
    <w:p w14:paraId="797A682B" w14:textId="77777777" w:rsidR="00F72999" w:rsidRPr="00215B2F" w:rsidRDefault="00F72999" w:rsidP="00F72999">
      <w:pPr>
        <w:numPr>
          <w:ilvl w:val="0"/>
          <w:numId w:val="1"/>
        </w:num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člen</w:t>
      </w:r>
    </w:p>
    <w:p w14:paraId="1647A9AD" w14:textId="608EDD09" w:rsidR="00F72999" w:rsidRPr="00215B2F" w:rsidRDefault="00F72999" w:rsidP="00F72999">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(postopki imenovanj za člane Sveta Banke Slovenije)</w:t>
      </w:r>
    </w:p>
    <w:p w14:paraId="1A593CD8" w14:textId="77777777" w:rsidR="004B77AB" w:rsidRPr="00215B2F" w:rsidRDefault="004B77AB" w:rsidP="004B77AB">
      <w:pPr>
        <w:shd w:val="clear" w:color="auto" w:fill="FFFFFF"/>
        <w:spacing w:after="0" w:line="240" w:lineRule="auto"/>
        <w:jc w:val="both"/>
        <w:rPr>
          <w:rFonts w:ascii="Arial" w:eastAsia="Times New Roman" w:hAnsi="Arial" w:cs="Arial"/>
          <w:color w:val="212529"/>
          <w:kern w:val="0"/>
          <w:sz w:val="20"/>
          <w:szCs w:val="20"/>
          <w:lang w:eastAsia="sl-SI"/>
          <w14:ligatures w14:val="none"/>
        </w:rPr>
      </w:pPr>
    </w:p>
    <w:p w14:paraId="53D5EE76" w14:textId="3C10D6F1" w:rsidR="00F72999" w:rsidRPr="00215B2F" w:rsidRDefault="00F72999" w:rsidP="00F72999">
      <w:pPr>
        <w:shd w:val="clear" w:color="auto" w:fill="FFFFFF"/>
        <w:spacing w:after="0" w:line="240" w:lineRule="auto"/>
        <w:jc w:val="both"/>
        <w:rPr>
          <w:rFonts w:ascii="Arial" w:eastAsia="Times New Roman" w:hAnsi="Arial" w:cs="Arial"/>
          <w:color w:val="212529"/>
          <w:kern w:val="0"/>
          <w:sz w:val="20"/>
          <w:szCs w:val="20"/>
          <w:lang w:eastAsia="sl-SI"/>
          <w14:ligatures w14:val="none"/>
        </w:rPr>
      </w:pPr>
      <w:r w:rsidRPr="00215B2F">
        <w:rPr>
          <w:rFonts w:ascii="Arial" w:eastAsia="Times New Roman" w:hAnsi="Arial" w:cs="Arial"/>
          <w:color w:val="212529"/>
          <w:kern w:val="0"/>
          <w:sz w:val="20"/>
          <w:szCs w:val="20"/>
          <w:lang w:eastAsia="sl-SI"/>
          <w14:ligatures w14:val="none"/>
        </w:rPr>
        <w:t>Ne glede na 522. člen tega zakona se postopki imenovanj za člane Sveta Banke Slovenije, ki do uveljavitve tega zakona še niso bili zaključeni, končajo v skladu z dosedanjimi predpisi.</w:t>
      </w:r>
    </w:p>
    <w:p w14:paraId="0E234789" w14:textId="77777777" w:rsidR="00F72999" w:rsidRPr="00215B2F" w:rsidRDefault="00F72999" w:rsidP="004B77AB">
      <w:pPr>
        <w:shd w:val="clear" w:color="auto" w:fill="FFFFFF"/>
        <w:spacing w:after="0" w:line="240" w:lineRule="auto"/>
        <w:jc w:val="both"/>
        <w:rPr>
          <w:rFonts w:ascii="Arial" w:eastAsia="Times New Roman" w:hAnsi="Arial" w:cs="Arial"/>
          <w:color w:val="212529"/>
          <w:kern w:val="0"/>
          <w:sz w:val="20"/>
          <w:szCs w:val="20"/>
          <w:lang w:eastAsia="sl-SI"/>
          <w14:ligatures w14:val="none"/>
        </w:rPr>
      </w:pPr>
    </w:p>
    <w:p w14:paraId="07A7AF4D" w14:textId="77777777" w:rsidR="004B77AB" w:rsidRPr="00215B2F" w:rsidRDefault="004B77AB" w:rsidP="004B77AB">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87" w:name="_Ref212194854"/>
      <w:bookmarkStart w:id="588" w:name="_Hlk215772260"/>
      <w:r w:rsidRPr="00215B2F">
        <w:rPr>
          <w:rFonts w:ascii="Arial" w:eastAsia="Arial" w:hAnsi="Arial" w:cs="Arial"/>
          <w:b/>
          <w:bCs/>
          <w:sz w:val="20"/>
          <w:szCs w:val="20"/>
        </w:rPr>
        <w:t>člen</w:t>
      </w:r>
      <w:bookmarkEnd w:id="587"/>
    </w:p>
    <w:p w14:paraId="46FCE0DC" w14:textId="77777777" w:rsidR="004B77AB" w:rsidRPr="00215B2F" w:rsidRDefault="004B77AB" w:rsidP="004B77AB">
      <w:pPr>
        <w:shd w:val="clear" w:color="auto" w:fill="FFFFFF"/>
        <w:spacing w:after="0" w:line="240" w:lineRule="auto"/>
        <w:jc w:val="center"/>
        <w:rPr>
          <w:rFonts w:ascii="Arial" w:eastAsia="Times New Roman" w:hAnsi="Arial" w:cs="Arial"/>
          <w:b/>
          <w:bCs/>
          <w:color w:val="212529"/>
          <w:kern w:val="0"/>
          <w:sz w:val="20"/>
          <w:szCs w:val="20"/>
          <w:lang w:eastAsia="sl-SI"/>
          <w14:ligatures w14:val="none"/>
        </w:rPr>
      </w:pPr>
      <w:r w:rsidRPr="00215B2F">
        <w:rPr>
          <w:rFonts w:ascii="Arial" w:eastAsia="Times New Roman" w:hAnsi="Arial" w:cs="Arial"/>
          <w:b/>
          <w:bCs/>
          <w:color w:val="212529"/>
          <w:kern w:val="0"/>
          <w:sz w:val="20"/>
          <w:szCs w:val="20"/>
          <w:lang w:eastAsia="sl-SI"/>
          <w14:ligatures w14:val="none"/>
        </w:rPr>
        <w:t>(uporaba zakona za kršitve in dokončanje postopkov, začetih pred uporabo tega zakona)</w:t>
      </w:r>
    </w:p>
    <w:p w14:paraId="6E4B2120" w14:textId="77777777" w:rsidR="004B77AB" w:rsidRPr="00215B2F" w:rsidRDefault="004B77AB" w:rsidP="004B77AB">
      <w:pPr>
        <w:shd w:val="clear" w:color="auto" w:fill="FFFFFF"/>
        <w:spacing w:after="0" w:line="240" w:lineRule="auto"/>
        <w:jc w:val="center"/>
        <w:rPr>
          <w:rFonts w:ascii="Arial" w:eastAsia="Times New Roman" w:hAnsi="Arial" w:cs="Arial"/>
          <w:b/>
          <w:bCs/>
          <w:color w:val="212529"/>
          <w:kern w:val="0"/>
          <w:sz w:val="20"/>
          <w:szCs w:val="20"/>
          <w:lang w:eastAsia="sl-SI"/>
          <w14:ligatures w14:val="none"/>
        </w:rPr>
      </w:pPr>
    </w:p>
    <w:p w14:paraId="5342B439" w14:textId="77777777" w:rsidR="004B77AB" w:rsidRPr="00215B2F" w:rsidRDefault="004B77AB" w:rsidP="004B77AB">
      <w:pPr>
        <w:shd w:val="clear" w:color="auto" w:fill="FFFFFF"/>
        <w:spacing w:after="0" w:line="240" w:lineRule="auto"/>
        <w:jc w:val="both"/>
        <w:rPr>
          <w:rFonts w:ascii="Arial" w:eastAsia="Times New Roman" w:hAnsi="Arial" w:cs="Arial"/>
          <w:color w:val="212529"/>
          <w:kern w:val="0"/>
          <w:sz w:val="20"/>
          <w:szCs w:val="20"/>
          <w:lang w:eastAsia="sl-SI"/>
          <w14:ligatures w14:val="none"/>
        </w:rPr>
      </w:pPr>
      <w:r w:rsidRPr="00215B2F">
        <w:rPr>
          <w:rFonts w:ascii="Arial" w:eastAsia="Times New Roman" w:hAnsi="Arial" w:cs="Arial"/>
          <w:color w:val="212529"/>
          <w:kern w:val="0"/>
          <w:sz w:val="20"/>
          <w:szCs w:val="20"/>
          <w:lang w:eastAsia="sl-SI"/>
          <w14:ligatures w14:val="none"/>
        </w:rPr>
        <w:t>(1) Določbe o administrativnih sankcijah iz tega zakona se uporabljajo za kršitve iz 389. člena tega zakona, ki so storjene po začetku uporabe tega zakona.</w:t>
      </w:r>
    </w:p>
    <w:p w14:paraId="4108C241" w14:textId="77777777" w:rsidR="004B77AB" w:rsidRPr="00215B2F" w:rsidRDefault="004B77AB" w:rsidP="004B77AB">
      <w:pPr>
        <w:shd w:val="clear" w:color="auto" w:fill="FFFFFF"/>
        <w:spacing w:after="0" w:line="240" w:lineRule="auto"/>
        <w:ind w:firstLine="1021"/>
        <w:jc w:val="both"/>
        <w:rPr>
          <w:rFonts w:ascii="Arial" w:eastAsia="Times New Roman" w:hAnsi="Arial" w:cs="Arial"/>
          <w:color w:val="212529"/>
          <w:kern w:val="0"/>
          <w:sz w:val="20"/>
          <w:szCs w:val="20"/>
          <w:lang w:eastAsia="sl-SI"/>
          <w14:ligatures w14:val="none"/>
        </w:rPr>
      </w:pPr>
    </w:p>
    <w:p w14:paraId="0810FF66" w14:textId="77777777" w:rsidR="004B77AB" w:rsidRPr="00215B2F" w:rsidRDefault="004B77AB" w:rsidP="004B77AB">
      <w:pPr>
        <w:shd w:val="clear" w:color="auto" w:fill="FFFFFF"/>
        <w:spacing w:after="0" w:line="240" w:lineRule="auto"/>
        <w:jc w:val="both"/>
        <w:rPr>
          <w:rFonts w:ascii="Arial" w:eastAsia="Times New Roman" w:hAnsi="Arial" w:cs="Arial"/>
          <w:color w:val="212529"/>
          <w:kern w:val="0"/>
          <w:sz w:val="20"/>
          <w:szCs w:val="20"/>
          <w:lang w:eastAsia="sl-SI"/>
          <w14:ligatures w14:val="none"/>
        </w:rPr>
      </w:pPr>
      <w:r w:rsidRPr="00215B2F">
        <w:rPr>
          <w:rFonts w:ascii="Arial" w:eastAsia="Times New Roman" w:hAnsi="Arial" w:cs="Arial"/>
          <w:color w:val="212529"/>
          <w:kern w:val="0"/>
          <w:sz w:val="20"/>
          <w:szCs w:val="20"/>
          <w:lang w:eastAsia="sl-SI"/>
          <w14:ligatures w14:val="none"/>
        </w:rPr>
        <w:t>(2) Postopki o prekršku zoper pravne osebe, ki do začetka uporabe tega zakona še niso bili pravnomočno končani, se končajo po dosedanjih predpisih.</w:t>
      </w:r>
    </w:p>
    <w:p w14:paraId="0F229FFC" w14:textId="77777777" w:rsidR="004B77AB" w:rsidRPr="00215B2F" w:rsidRDefault="004B77AB" w:rsidP="004B77AB">
      <w:pPr>
        <w:shd w:val="clear" w:color="auto" w:fill="FFFFFF"/>
        <w:spacing w:after="0" w:line="240" w:lineRule="auto"/>
        <w:ind w:firstLine="1021"/>
        <w:jc w:val="both"/>
        <w:rPr>
          <w:rFonts w:ascii="Arial" w:eastAsia="Times New Roman" w:hAnsi="Arial" w:cs="Arial"/>
          <w:color w:val="212529"/>
          <w:kern w:val="0"/>
          <w:sz w:val="20"/>
          <w:szCs w:val="20"/>
          <w:lang w:eastAsia="sl-SI"/>
          <w14:ligatures w14:val="none"/>
        </w:rPr>
      </w:pPr>
    </w:p>
    <w:p w14:paraId="3E60354D" w14:textId="77777777" w:rsidR="004B77AB" w:rsidRPr="00215B2F" w:rsidRDefault="004B77AB" w:rsidP="004B77AB">
      <w:pPr>
        <w:shd w:val="clear" w:color="auto" w:fill="FFFFFF"/>
        <w:spacing w:after="0" w:line="240" w:lineRule="auto"/>
        <w:jc w:val="both"/>
        <w:rPr>
          <w:rFonts w:ascii="Arial" w:eastAsia="Times New Roman" w:hAnsi="Arial" w:cs="Arial"/>
          <w:color w:val="212529"/>
          <w:kern w:val="0"/>
          <w:sz w:val="20"/>
          <w:szCs w:val="20"/>
          <w:lang w:eastAsia="sl-SI"/>
          <w14:ligatures w14:val="none"/>
        </w:rPr>
      </w:pPr>
      <w:r w:rsidRPr="00215B2F">
        <w:rPr>
          <w:rFonts w:ascii="Arial" w:eastAsia="Times New Roman" w:hAnsi="Arial" w:cs="Arial"/>
          <w:color w:val="212529"/>
          <w:kern w:val="0"/>
          <w:sz w:val="20"/>
          <w:szCs w:val="20"/>
          <w:lang w:eastAsia="sl-SI"/>
          <w14:ligatures w14:val="none"/>
        </w:rPr>
        <w:t>(3) Ne glede na prvi in drugi odstavek tega člena se določbe o administrativnih sankcijah in kazenske določbe iz tega zakona lahko uporabljajo za kršitve, ki so bile storjene pred začetkom uporabe tega zakona, če je obravnava po tem zakonu za kršitelja milejša.</w:t>
      </w:r>
    </w:p>
    <w:bookmarkEnd w:id="588"/>
    <w:p w14:paraId="16B6D508" w14:textId="77777777" w:rsidR="004B77AB" w:rsidRPr="00215B2F" w:rsidRDefault="004B77AB" w:rsidP="004B77AB">
      <w:pPr>
        <w:shd w:val="clear" w:color="auto" w:fill="FFFFFF"/>
        <w:spacing w:after="0" w:line="240" w:lineRule="auto"/>
        <w:jc w:val="both"/>
        <w:rPr>
          <w:rFonts w:ascii="Arial" w:eastAsia="Times New Roman" w:hAnsi="Arial" w:cs="Arial"/>
          <w:color w:val="212529"/>
          <w:kern w:val="0"/>
          <w:sz w:val="20"/>
          <w:szCs w:val="20"/>
          <w:lang w:eastAsia="sl-SI"/>
          <w14:ligatures w14:val="none"/>
        </w:rPr>
      </w:pPr>
    </w:p>
    <w:p w14:paraId="6EE0AD90" w14:textId="77777777" w:rsidR="004B77AB" w:rsidRPr="00215B2F" w:rsidRDefault="004B77AB" w:rsidP="004B77AB">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89" w:name="_Ref202969080"/>
      <w:r w:rsidRPr="00215B2F">
        <w:rPr>
          <w:rFonts w:ascii="Arial" w:eastAsia="Arial" w:hAnsi="Arial" w:cs="Arial"/>
          <w:b/>
          <w:bCs/>
          <w:sz w:val="20"/>
          <w:szCs w:val="20"/>
        </w:rPr>
        <w:t>člen</w:t>
      </w:r>
      <w:bookmarkEnd w:id="589"/>
    </w:p>
    <w:p w14:paraId="3C6F6220" w14:textId="77777777" w:rsidR="004B77AB" w:rsidRPr="00215B2F" w:rsidRDefault="004B77AB" w:rsidP="004B77AB">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(prehodna določba za dovoljenja za kvalificirane naložbe)</w:t>
      </w:r>
    </w:p>
    <w:p w14:paraId="1814465C"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5CDBFE01"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(1) Dovoljenja za kvalificirane naložbe, izdana na podlagi ZBan-3, z dnem uveljavitve tega zakona prenehajo veljati. </w:t>
      </w:r>
    </w:p>
    <w:p w14:paraId="7EAC4A3F"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p>
    <w:p w14:paraId="32A94394"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(2) Določbe oddelka 6.8 o pridobitvah ali odsvojitvah pomembnih deležev se ne uporabljajo za pridobitve in odsvojitve pomembnih deležev pred začetkom uporabe tega zakona. </w:t>
      </w:r>
    </w:p>
    <w:p w14:paraId="49224F28" w14:textId="77777777" w:rsidR="004B77AB" w:rsidRPr="00215B2F" w:rsidRDefault="004B77AB" w:rsidP="0012782F">
      <w:pPr>
        <w:shd w:val="clear" w:color="auto" w:fill="FFFFFF" w:themeFill="background1"/>
        <w:spacing w:after="0" w:line="240" w:lineRule="auto"/>
        <w:jc w:val="center"/>
        <w:rPr>
          <w:rFonts w:ascii="Arial" w:eastAsia="Arial" w:hAnsi="Arial" w:cs="Arial"/>
          <w:sz w:val="20"/>
          <w:szCs w:val="20"/>
        </w:rPr>
      </w:pPr>
    </w:p>
    <w:p w14:paraId="29E41BB1" w14:textId="77777777" w:rsidR="004B77AB" w:rsidRPr="00215B2F" w:rsidRDefault="004B77AB" w:rsidP="004B77AB">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90" w:name="_Ref202969076"/>
      <w:r w:rsidRPr="00215B2F">
        <w:rPr>
          <w:rFonts w:ascii="Arial" w:eastAsia="Arial" w:hAnsi="Arial" w:cs="Arial"/>
          <w:b/>
          <w:bCs/>
          <w:sz w:val="20"/>
          <w:szCs w:val="20"/>
        </w:rPr>
        <w:t>člen</w:t>
      </w:r>
      <w:bookmarkEnd w:id="590"/>
    </w:p>
    <w:p w14:paraId="2F070EB2" w14:textId="77777777" w:rsidR="004B77AB" w:rsidRPr="00215B2F" w:rsidRDefault="004B77AB" w:rsidP="004B77AB">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lastRenderedPageBreak/>
        <w:t>(prehodna določba za podružnice iz tretjih držav)</w:t>
      </w:r>
    </w:p>
    <w:p w14:paraId="3CCBA1C0"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6B09097B"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Zahteve iz 168. člena tega zakona se ne uporabljajo za opravljanje finančnih storitev v zvezi s pogodbami, ki so jih na območju Republike Slovenije sklenile družbe iz tretjih držav pred 11. julijem 2026. </w:t>
      </w:r>
    </w:p>
    <w:p w14:paraId="54BD9F81"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099D0064"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Banka Slovenije lahko odloči, da dovoljenje za ustanovitev podružnice iz tretje države, izdano do 10. januarja 2027, ostane veljavno, če podružnica banke tretje države izpolnjuje minimalne zahteve iz 9. poglavja tega zakona. </w:t>
      </w:r>
    </w:p>
    <w:p w14:paraId="7867053D" w14:textId="77777777" w:rsidR="00BD743D" w:rsidRPr="00215B2F" w:rsidRDefault="00BD743D" w:rsidP="00FD5520">
      <w:pPr>
        <w:shd w:val="clear" w:color="auto" w:fill="FFFFFF" w:themeFill="background1"/>
        <w:spacing w:after="0" w:line="240" w:lineRule="auto"/>
        <w:jc w:val="both"/>
        <w:rPr>
          <w:rFonts w:ascii="Arial" w:eastAsia="Arial" w:hAnsi="Arial" w:cs="Arial"/>
          <w:sz w:val="20"/>
          <w:szCs w:val="20"/>
        </w:rPr>
      </w:pPr>
    </w:p>
    <w:p w14:paraId="3D4FF805" w14:textId="486C2A4E" w:rsidR="00D91782" w:rsidRPr="00215B2F" w:rsidRDefault="005F0814" w:rsidP="00FD5520">
      <w:pPr>
        <w:shd w:val="clear" w:color="auto" w:fill="FFFFFF" w:themeFill="background1"/>
        <w:spacing w:after="0" w:line="240" w:lineRule="auto"/>
        <w:jc w:val="center"/>
        <w:rPr>
          <w:rFonts w:ascii="Arial" w:eastAsia="Arial" w:hAnsi="Arial" w:cs="Arial"/>
          <w:sz w:val="20"/>
          <w:szCs w:val="20"/>
        </w:rPr>
      </w:pPr>
      <w:r w:rsidRPr="00215B2F">
        <w:rPr>
          <w:rFonts w:ascii="Arial" w:eastAsia="Arial" w:hAnsi="Arial" w:cs="Arial"/>
          <w:sz w:val="20"/>
          <w:szCs w:val="20"/>
        </w:rPr>
        <w:t>20</w:t>
      </w:r>
      <w:r w:rsidR="00D91782" w:rsidRPr="00215B2F">
        <w:rPr>
          <w:rFonts w:ascii="Arial" w:eastAsia="Arial" w:hAnsi="Arial" w:cs="Arial"/>
          <w:sz w:val="20"/>
          <w:szCs w:val="20"/>
        </w:rPr>
        <w:t xml:space="preserve">. POGLAVJE: </w:t>
      </w:r>
      <w:r w:rsidR="00D91782" w:rsidRPr="00215B2F">
        <w:rPr>
          <w:rFonts w:ascii="Arial" w:eastAsia="Arial" w:hAnsi="Arial" w:cs="Arial"/>
          <w:sz w:val="20"/>
          <w:szCs w:val="20"/>
        </w:rPr>
        <w:br/>
        <w:t>KONČNE DOLOČBE</w:t>
      </w:r>
    </w:p>
    <w:p w14:paraId="1169776C" w14:textId="77777777" w:rsidR="004B77AB" w:rsidRPr="00215B2F" w:rsidRDefault="004B77AB" w:rsidP="00FD5520">
      <w:pPr>
        <w:shd w:val="clear" w:color="auto" w:fill="FFFFFF" w:themeFill="background1"/>
        <w:spacing w:after="0" w:line="240" w:lineRule="auto"/>
        <w:jc w:val="center"/>
        <w:rPr>
          <w:rFonts w:ascii="Arial" w:eastAsia="Arial" w:hAnsi="Arial" w:cs="Arial"/>
          <w:sz w:val="20"/>
          <w:szCs w:val="20"/>
        </w:rPr>
      </w:pPr>
    </w:p>
    <w:p w14:paraId="63341943" w14:textId="77777777" w:rsidR="004B77AB" w:rsidRPr="00215B2F" w:rsidRDefault="004B77AB" w:rsidP="004B77AB">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91" w:name="_Ref212194879"/>
      <w:r w:rsidRPr="00215B2F">
        <w:rPr>
          <w:rFonts w:ascii="Arial" w:eastAsia="Arial" w:hAnsi="Arial" w:cs="Arial"/>
          <w:b/>
          <w:bCs/>
          <w:sz w:val="20"/>
          <w:szCs w:val="20"/>
        </w:rPr>
        <w:t>člen</w:t>
      </w:r>
      <w:bookmarkEnd w:id="591"/>
    </w:p>
    <w:p w14:paraId="60BA1427" w14:textId="77777777" w:rsidR="004B77AB" w:rsidRPr="00215B2F" w:rsidRDefault="004B77AB" w:rsidP="004B77AB">
      <w:pPr>
        <w:shd w:val="clear" w:color="auto" w:fill="FFFFFF"/>
        <w:spacing w:after="0" w:line="240" w:lineRule="auto"/>
        <w:jc w:val="center"/>
        <w:rPr>
          <w:rFonts w:ascii="Arial" w:eastAsia="Times New Roman" w:hAnsi="Arial" w:cs="Arial"/>
          <w:b/>
          <w:bCs/>
          <w:color w:val="212529"/>
          <w:kern w:val="0"/>
          <w:sz w:val="20"/>
          <w:szCs w:val="20"/>
          <w:lang w:eastAsia="sl-SI"/>
          <w14:ligatures w14:val="none"/>
        </w:rPr>
      </w:pPr>
      <w:r w:rsidRPr="00215B2F">
        <w:rPr>
          <w:rFonts w:ascii="Arial" w:eastAsia="Times New Roman" w:hAnsi="Arial" w:cs="Arial"/>
          <w:b/>
          <w:bCs/>
          <w:color w:val="212529"/>
          <w:kern w:val="0"/>
          <w:sz w:val="20"/>
          <w:szCs w:val="20"/>
          <w:lang w:eastAsia="sl-SI"/>
          <w14:ligatures w14:val="none"/>
        </w:rPr>
        <w:t>(izdaja predpisov)</w:t>
      </w:r>
    </w:p>
    <w:p w14:paraId="5DA3FCD3" w14:textId="77777777" w:rsidR="004B77AB" w:rsidRPr="00215B2F" w:rsidRDefault="004B77AB" w:rsidP="004B77AB">
      <w:pPr>
        <w:shd w:val="clear" w:color="auto" w:fill="FFFFFF"/>
        <w:spacing w:after="0" w:line="240" w:lineRule="auto"/>
        <w:jc w:val="center"/>
        <w:rPr>
          <w:rFonts w:ascii="Arial" w:eastAsia="Times New Roman" w:hAnsi="Arial" w:cs="Arial"/>
          <w:b/>
          <w:bCs/>
          <w:color w:val="212529"/>
          <w:kern w:val="0"/>
          <w:sz w:val="20"/>
          <w:szCs w:val="20"/>
          <w:lang w:eastAsia="sl-SI"/>
          <w14:ligatures w14:val="none"/>
        </w:rPr>
      </w:pPr>
    </w:p>
    <w:p w14:paraId="772710A0" w14:textId="77777777" w:rsidR="004B77AB" w:rsidRPr="00215B2F" w:rsidRDefault="004B77AB" w:rsidP="004B77AB">
      <w:pPr>
        <w:shd w:val="clear" w:color="auto" w:fill="FFFFFF"/>
        <w:spacing w:after="0" w:line="240" w:lineRule="auto"/>
        <w:jc w:val="both"/>
        <w:rPr>
          <w:rFonts w:ascii="Arial" w:eastAsia="Times New Roman" w:hAnsi="Arial" w:cs="Arial"/>
          <w:color w:val="212529"/>
          <w:kern w:val="0"/>
          <w:sz w:val="20"/>
          <w:szCs w:val="20"/>
          <w:lang w:eastAsia="sl-SI"/>
          <w14:ligatures w14:val="none"/>
        </w:rPr>
      </w:pPr>
      <w:r w:rsidRPr="00215B2F">
        <w:rPr>
          <w:rFonts w:ascii="Arial" w:eastAsia="Times New Roman" w:hAnsi="Arial" w:cs="Arial"/>
          <w:color w:val="212529"/>
          <w:kern w:val="0"/>
          <w:sz w:val="20"/>
          <w:szCs w:val="20"/>
          <w:lang w:eastAsia="sl-SI"/>
          <w14:ligatures w14:val="none"/>
        </w:rPr>
        <w:t xml:space="preserve">Banka Slovenije v šestih mesecih od uveljavitve tega zakona izda predpise na njegovi podlagi. </w:t>
      </w:r>
    </w:p>
    <w:p w14:paraId="4B4F4CA6" w14:textId="77777777" w:rsidR="004B77AB" w:rsidRPr="00215B2F" w:rsidRDefault="004B77AB" w:rsidP="00FD5520">
      <w:pPr>
        <w:shd w:val="clear" w:color="auto" w:fill="FFFFFF" w:themeFill="background1"/>
        <w:spacing w:after="0" w:line="240" w:lineRule="auto"/>
        <w:jc w:val="center"/>
        <w:rPr>
          <w:rFonts w:ascii="Arial" w:eastAsia="Arial" w:hAnsi="Arial" w:cs="Arial"/>
          <w:sz w:val="20"/>
          <w:szCs w:val="20"/>
        </w:rPr>
      </w:pPr>
    </w:p>
    <w:p w14:paraId="67992B67" w14:textId="77777777" w:rsidR="004B77AB" w:rsidRPr="00215B2F" w:rsidRDefault="004B77AB" w:rsidP="004B77AB">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92" w:name="_Ref202968994"/>
      <w:r w:rsidRPr="00215B2F">
        <w:rPr>
          <w:rFonts w:ascii="Arial" w:eastAsia="Arial" w:hAnsi="Arial" w:cs="Arial"/>
          <w:b/>
          <w:bCs/>
          <w:sz w:val="20"/>
          <w:szCs w:val="20"/>
        </w:rPr>
        <w:t>člen</w:t>
      </w:r>
      <w:bookmarkEnd w:id="592"/>
    </w:p>
    <w:p w14:paraId="7A2301C5" w14:textId="77777777" w:rsidR="004B77AB" w:rsidRPr="00215B2F" w:rsidRDefault="004B77AB" w:rsidP="004B77AB">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(nadaljnja veljavnost predpisov)</w:t>
      </w:r>
    </w:p>
    <w:p w14:paraId="2C07D894"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440C82E7"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Sklep o merilih za določitev pomembne banke (Uradni list RS, št. 115/21) še naprej velja kot predpis, izdan na podlagi tretjega odstavka 7. člena tega zakona.</w:t>
      </w:r>
    </w:p>
    <w:p w14:paraId="2F06A94B"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2D995FC4"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Sklep o izvajanju opcij in diskrecijskih pravic iz prava Unije (Uradni list RS, št. 105/21, 67/22, 108/24 in 68/25) še naprej velja kot predpis, izdan na podlagi 9. člena tega zakona.</w:t>
      </w:r>
    </w:p>
    <w:p w14:paraId="6FFB9A8C"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2264DD7B"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Sklep o podatkih in informacijah za opredelitev banke kot majhne in nekompleksne (Uradni list RS, št. 21/21 in 92/21 – ZBan-3) še naprej velja kot predpis, izdan na podlagi 9. člena tega zakona.</w:t>
      </w:r>
    </w:p>
    <w:p w14:paraId="12916B76"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6FD4550C"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Sklep o upravljanju kreditnega tveganja v bankah in hranilnicah (Uradni list RS, št.115/21) še naprej velja kot predpis, izdan na podlagi 9. člena, 3. točke 136. člena in 1. točke 184. člena tega zakona.</w:t>
      </w:r>
    </w:p>
    <w:p w14:paraId="3FCF9CA1"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1AB89C4A"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Pravilnik o medsebojnem sodelovanju nadzornih organov na področju mikrobonitetnega nadzora (Uradni list RS, št. 78/15 in 92/21 – ZBan-3) še naprej velja kot predpis, izdan na podlagi petega odstavka 28. člena tega zakona.</w:t>
      </w:r>
    </w:p>
    <w:p w14:paraId="37508785"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276BBB7B"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(6) Sklep o merilih za stvarni vložek pri povečanju osnovnega kapitala bank in hranilnic (Uradni list RS, št. 55/15 in 92/21 </w:t>
      </w:r>
      <w:r w:rsidRPr="00215B2F">
        <w:rPr>
          <w:rFonts w:ascii="Arial" w:hAnsi="Arial" w:cs="Arial"/>
          <w:color w:val="737373"/>
          <w:sz w:val="23"/>
          <w:szCs w:val="23"/>
          <w:shd w:val="clear" w:color="auto" w:fill="FFFFFF"/>
        </w:rPr>
        <w:t xml:space="preserve">– </w:t>
      </w:r>
      <w:r w:rsidRPr="00215B2F">
        <w:rPr>
          <w:rFonts w:ascii="Arial" w:eastAsia="Arial" w:hAnsi="Arial" w:cs="Arial"/>
          <w:sz w:val="20"/>
          <w:szCs w:val="20"/>
        </w:rPr>
        <w:t>ZBan-3) še naprej velja kot predpis, izdan na podlagi sedmega odstavka 35. člena in drugega odstavka 349. člena v zvezi s 351. členom tega zakona.</w:t>
      </w:r>
    </w:p>
    <w:p w14:paraId="6B042011"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184F29D5"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(7) Sklep o ureditvi notranjega upravljanja, upravljalnem organu in procesu ocenjevanja ustreznega notranjega kapitala za banke in hranilnice (Uradni list RS, št. 115/21 in 11/25) še naprej velja kot predpis, izdan na podlagi 1. točke 78. člena ter 1., 2. in 3. točke 184. člena tega zakona.</w:t>
      </w:r>
    </w:p>
    <w:p w14:paraId="30049B62"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3BC9D19F"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(8) Sklep o dokumentaciji za dokazovanje pogojev za imenovanje člana upravljalnega organa banke in hranilnice (Uradni list RS, št. 42/25) še naprej velja kot predpis, izdan na podlagi 2. in 3. točke 78. člena tega zakona.</w:t>
      </w:r>
    </w:p>
    <w:p w14:paraId="487BA47E"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4A62468C"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(9) Sklep o imetnikih kvalificiranih deležev bank in hranilnic (Uradni list RS, št. 50/17 in 92/21 </w:t>
      </w:r>
      <w:r w:rsidRPr="00215B2F">
        <w:rPr>
          <w:rFonts w:ascii="Arial" w:hAnsi="Arial" w:cs="Arial"/>
          <w:color w:val="737373"/>
          <w:sz w:val="23"/>
          <w:szCs w:val="23"/>
          <w:shd w:val="clear" w:color="auto" w:fill="FFFFFF"/>
        </w:rPr>
        <w:t xml:space="preserve">– </w:t>
      </w:r>
      <w:r w:rsidRPr="00215B2F">
        <w:rPr>
          <w:rFonts w:ascii="Arial" w:eastAsia="Arial" w:hAnsi="Arial" w:cs="Arial"/>
          <w:sz w:val="20"/>
          <w:szCs w:val="20"/>
        </w:rPr>
        <w:t>ZBan-3) še naprej velja kot predpis, izdan na podlagi 96. člena tega zakona.</w:t>
      </w:r>
    </w:p>
    <w:p w14:paraId="37393B5B"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29A6EB60"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(10) Sklep o poslovnih knjigah in letnih poročilih bank in hranilnic (Uradni list RS, št. 36/25) še naprej velja kot predpis, izdan na podlagi 136. člena tega zakona.</w:t>
      </w:r>
    </w:p>
    <w:p w14:paraId="03A08923"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40B9AD3A" w14:textId="57574654"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(11) Sklep o poročanju monetarnih finančnih institucij (Uradni list RS, št. 184/21) še naprej velja kot predpis, izdan na podlagi 136. člena tega zakona.</w:t>
      </w:r>
    </w:p>
    <w:p w14:paraId="2E3755AD"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1BDE8BE4" w14:textId="7506E7EB"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(12) Sklep o pogojih za opravljanje storitev potrošniškega kreditiranja za nepremičnino (Uradni list RS, št. 9/17 in 92/21 </w:t>
      </w:r>
      <w:r w:rsidRPr="00215B2F">
        <w:rPr>
          <w:rFonts w:ascii="Arial" w:hAnsi="Arial" w:cs="Arial"/>
          <w:color w:val="737373"/>
          <w:sz w:val="23"/>
          <w:szCs w:val="23"/>
          <w:shd w:val="clear" w:color="auto" w:fill="FFFFFF"/>
        </w:rPr>
        <w:t xml:space="preserve">– </w:t>
      </w:r>
      <w:r w:rsidRPr="00215B2F">
        <w:rPr>
          <w:rFonts w:ascii="Arial" w:eastAsia="Arial" w:hAnsi="Arial" w:cs="Arial"/>
          <w:sz w:val="20"/>
          <w:szCs w:val="20"/>
        </w:rPr>
        <w:t>ZBan-3) še naprej velja kot predpis, izdan na podlagi 151. člena tega zakona.</w:t>
      </w:r>
    </w:p>
    <w:p w14:paraId="43A96C97"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55B7B0A0"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(13) Sklep o dokumentaciji za izdajo dovoljenj za opravljanje bančnih in finančnih storitev (Uradni list RS, št. 55/23 in 58/23 – popr.) še naprej velja kot predpis, izdan na podlagi 151. člena tega zakona.</w:t>
      </w:r>
    </w:p>
    <w:p w14:paraId="02FFC6D1"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297AE77D"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(14) Sklep o dokumentaciji za izdajo dovoljenj za statusna preoblikovanja (Uradni list RS, št. </w:t>
      </w:r>
      <w:hyperlink r:id="rId26" w:tgtFrame="_blank" w:tooltip="Sklep o dokumentaciji za izdajo dovoljenj za statusna preoblikovanja" w:history="1">
        <w:r w:rsidRPr="00215B2F">
          <w:rPr>
            <w:rStyle w:val="Hiperpovezava"/>
            <w:rFonts w:ascii="Arial" w:eastAsia="Arial" w:hAnsi="Arial" w:cs="Arial"/>
            <w:b w:val="0"/>
            <w:color w:val="auto"/>
            <w:sz w:val="20"/>
            <w:szCs w:val="20"/>
            <w:u w:val="none"/>
          </w:rPr>
          <w:t>55/23</w:t>
        </w:r>
      </w:hyperlink>
      <w:r w:rsidRPr="00215B2F">
        <w:rPr>
          <w:rFonts w:ascii="Arial" w:eastAsia="Arial" w:hAnsi="Arial" w:cs="Arial"/>
          <w:sz w:val="20"/>
          <w:szCs w:val="20"/>
        </w:rPr>
        <w:t>) še naprej velja kot predpis, izdan na podlagi 151. člena tega zakona.</w:t>
      </w:r>
    </w:p>
    <w:p w14:paraId="6B0F7CA7"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4C2E0622"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(15) Sklep o poročanju podružnic bank držav članic (Uradni list RS, št. 184/21) še naprej velja kot predpis, izdan na podlagi sedmega odstavka 165. člena tega zakona.</w:t>
      </w:r>
    </w:p>
    <w:p w14:paraId="1CAE1CBF"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5E918F6C"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(16) Sklep o dokumentaciji za izdajo dovoljenja za vključitev kapitalskega instrumenta v izračun kapitala bank in hranilnic ter dokumentaciji o naknadnih izdajah instrumentov (Uradni list RS, št. 21/21) še naprej velja kot predpis, izdan na podlagi četrtega odstavka 178. člena tega zakona.</w:t>
      </w:r>
    </w:p>
    <w:p w14:paraId="1137F961"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2B66BB3B"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(17) Sklep o poročanju posameznih dejstev in okoliščin bank in hranilnic (Uradni list RS, št. 115/21 in 161/22) še naprej velja kot predpis, izdan na podlagi 3. točke 184. člena, četrtega odstavka 199. člena, petega odstavka 200. člena in 270. člena tega zakona.</w:t>
      </w:r>
    </w:p>
    <w:p w14:paraId="1F299ABB"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1A21B8AD"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(18) Sklep o izračunu stopnje posamezni banki lastnega proticikličnega kapitalskega blažilnika za banke in hranilnice (Uradni list RS, št. 55/15, 42/16, 9/17 in 92/21 </w:t>
      </w:r>
      <w:r w:rsidRPr="00215B2F">
        <w:rPr>
          <w:rFonts w:ascii="Arial" w:hAnsi="Arial" w:cs="Arial"/>
          <w:color w:val="737373"/>
          <w:sz w:val="23"/>
          <w:szCs w:val="23"/>
          <w:shd w:val="clear" w:color="auto" w:fill="FFFFFF"/>
        </w:rPr>
        <w:t xml:space="preserve">– </w:t>
      </w:r>
      <w:r w:rsidRPr="00215B2F">
        <w:rPr>
          <w:rFonts w:ascii="Arial" w:eastAsia="Arial" w:hAnsi="Arial" w:cs="Arial"/>
          <w:sz w:val="20"/>
          <w:szCs w:val="20"/>
        </w:rPr>
        <w:t>ZBan-3) še naprej velja kot predpis, izdan na podlagi tretjega odstavka 274. člena in 304. člena tega zakona.</w:t>
      </w:r>
    </w:p>
    <w:p w14:paraId="1AB675EE"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64D6DDF6"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(19) Sklep o letnih nadomestilih za opravljanje nadzora in taksah v zvezi s postopki odločanja Banke Slovenije (Uradni list RS, št. 202/21) še naprej velja kot predpis, izdan na podlagi šestega odstavka 333. člena in 453. člena tega zakona.</w:t>
      </w:r>
    </w:p>
    <w:p w14:paraId="220E108B"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109D66BC"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(20) Sklep o poročanju bank in hranilnic v zvezi s skupino (Uradni list RS, št. 63/15 in 92/21 </w:t>
      </w:r>
      <w:r w:rsidRPr="00215B2F">
        <w:rPr>
          <w:rFonts w:ascii="Arial" w:hAnsi="Arial" w:cs="Arial"/>
          <w:color w:val="737373"/>
          <w:sz w:val="23"/>
          <w:szCs w:val="23"/>
          <w:shd w:val="clear" w:color="auto" w:fill="FFFFFF"/>
        </w:rPr>
        <w:t xml:space="preserve">– </w:t>
      </w:r>
      <w:r w:rsidRPr="00215B2F">
        <w:rPr>
          <w:rFonts w:ascii="Arial" w:eastAsia="Arial" w:hAnsi="Arial" w:cs="Arial"/>
          <w:sz w:val="20"/>
          <w:szCs w:val="20"/>
        </w:rPr>
        <w:t>ZBan-3) še naprej velja kot predpis, izdan na podlagi petega odstavka 413. člena tega zakona.</w:t>
      </w:r>
    </w:p>
    <w:p w14:paraId="017B03A8"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6747F0D6"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(21) Sklep o dokumentaciji v zvezi z zahtevo za odobritev oziroma izvzetje iz odobritve finančnega holdinga ali mešanega finančnega holdinga (Uradni list RS, št. 173/21) še naprej velja kot predpis, izdan na podlagi 118. člena tega zakona.</w:t>
      </w:r>
    </w:p>
    <w:p w14:paraId="4DEF3369"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6C941723"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(22) Sklep o določitvi stopnje proticikličnega blažilnika za Republiko Slovenijo (Uradni list RS, št. 157/22 in 131/23) še naprej velja kot predpis, izdan na podlagi 11. in 275. člena tega zakona.</w:t>
      </w:r>
    </w:p>
    <w:p w14:paraId="08488B4F"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62151742"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(23) Sklep o določitvi zahteve po vzdrževanju blažilnika sistemskih tveganj za banke in hranilnice (Uradni list RS, št. 60/22 in 131/23) še naprej velja kot predpis, izdan na podlagi 11. in 288. člena tega zakona.</w:t>
      </w:r>
    </w:p>
    <w:p w14:paraId="5E2A3CB4"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1567BDA7"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(24) Sklep o pogojih in načinu vložitve vlog v elektronski obliki oziroma elektronski poti (Uradni list RS, št. 42/25) še naprej velja kot predpis, izdan na podlagi 443. člena tega zakona.</w:t>
      </w:r>
    </w:p>
    <w:p w14:paraId="47E37799"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7C7010CE" w14:textId="24FC207A"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(25) Sklepi Banke Slovenije o uporabi smernic ali priporočil evropskega nadzornega organa, izdani na podlagi tretjega odstavka 13. člena ZBan-2 in tretjega odstavka 13. člena ZBan-3, še naprej veljajo kot predpisi, izdani na podlagi tretjega odstavka 13. člena tega zakona.</w:t>
      </w:r>
    </w:p>
    <w:p w14:paraId="1F4D7D96" w14:textId="77777777" w:rsidR="004B77AB" w:rsidRPr="00215B2F" w:rsidRDefault="004B77AB" w:rsidP="00FD5520">
      <w:pPr>
        <w:shd w:val="clear" w:color="auto" w:fill="FFFFFF" w:themeFill="background1"/>
        <w:spacing w:after="0" w:line="240" w:lineRule="auto"/>
        <w:jc w:val="both"/>
        <w:rPr>
          <w:rFonts w:ascii="Arial" w:eastAsia="Arial" w:hAnsi="Arial" w:cs="Arial"/>
          <w:sz w:val="20"/>
          <w:szCs w:val="20"/>
        </w:rPr>
      </w:pPr>
    </w:p>
    <w:p w14:paraId="13CA125F" w14:textId="77777777" w:rsidR="004B77AB" w:rsidRPr="00215B2F" w:rsidRDefault="004B77AB" w:rsidP="004B77AB">
      <w:pPr>
        <w:numPr>
          <w:ilvl w:val="0"/>
          <w:numId w:val="1"/>
        </w:num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člen</w:t>
      </w:r>
    </w:p>
    <w:p w14:paraId="302D7A86" w14:textId="77777777" w:rsidR="0097650F" w:rsidRPr="00215B2F" w:rsidRDefault="0097650F" w:rsidP="0097650F">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(Zakon o trgu finančnih instrumentov)</w:t>
      </w:r>
    </w:p>
    <w:p w14:paraId="668BB2A5" w14:textId="77777777" w:rsidR="0097650F" w:rsidRPr="00215B2F" w:rsidRDefault="0097650F" w:rsidP="00FD5520">
      <w:pPr>
        <w:shd w:val="clear" w:color="auto" w:fill="FFFFFF" w:themeFill="background1"/>
        <w:spacing w:after="0" w:line="240" w:lineRule="auto"/>
        <w:jc w:val="both"/>
        <w:rPr>
          <w:rFonts w:ascii="Arial" w:eastAsia="Arial" w:hAnsi="Arial" w:cs="Arial"/>
          <w:sz w:val="20"/>
          <w:szCs w:val="20"/>
        </w:rPr>
      </w:pPr>
    </w:p>
    <w:p w14:paraId="70957AAD" w14:textId="7776B6C4" w:rsidR="008636F9" w:rsidRPr="00215B2F" w:rsidRDefault="008636F9"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Ne glede na </w:t>
      </w:r>
      <w:r w:rsidR="0062171A" w:rsidRPr="00215B2F">
        <w:rPr>
          <w:rFonts w:ascii="Arial" w:eastAsia="Arial" w:hAnsi="Arial" w:cs="Arial"/>
          <w:sz w:val="20"/>
          <w:szCs w:val="20"/>
        </w:rPr>
        <w:t xml:space="preserve">prvi </w:t>
      </w:r>
      <w:r w:rsidR="00746E88" w:rsidRPr="00215B2F">
        <w:rPr>
          <w:rFonts w:ascii="Arial" w:eastAsia="Arial" w:hAnsi="Arial" w:cs="Arial"/>
          <w:sz w:val="20"/>
          <w:szCs w:val="20"/>
        </w:rPr>
        <w:t>odstavek</w:t>
      </w:r>
      <w:r w:rsidR="0097650F" w:rsidRPr="00215B2F">
        <w:rPr>
          <w:rFonts w:ascii="Arial" w:eastAsia="Arial" w:hAnsi="Arial" w:cs="Arial"/>
          <w:sz w:val="20"/>
          <w:szCs w:val="20"/>
        </w:rPr>
        <w:t xml:space="preserve"> prejšnjega</w:t>
      </w:r>
      <w:r w:rsidR="0062171A" w:rsidRPr="00215B2F">
        <w:rPr>
          <w:rFonts w:ascii="Arial" w:eastAsia="Arial" w:hAnsi="Arial" w:cs="Arial"/>
          <w:sz w:val="20"/>
          <w:szCs w:val="20"/>
        </w:rPr>
        <w:t xml:space="preserve"> člena</w:t>
      </w:r>
      <w:r w:rsidRPr="00215B2F">
        <w:rPr>
          <w:rFonts w:ascii="Arial" w:eastAsia="Arial" w:hAnsi="Arial" w:cs="Arial"/>
          <w:sz w:val="20"/>
          <w:szCs w:val="20"/>
        </w:rPr>
        <w:t xml:space="preserve"> se </w:t>
      </w:r>
      <w:bookmarkStart w:id="593" w:name="_Hlk214885657"/>
      <w:r w:rsidRPr="00215B2F">
        <w:rPr>
          <w:rFonts w:ascii="Arial" w:eastAsia="Arial" w:hAnsi="Arial" w:cs="Arial"/>
          <w:sz w:val="20"/>
          <w:szCs w:val="20"/>
        </w:rPr>
        <w:t>ZBan-</w:t>
      </w:r>
      <w:r w:rsidR="00EC3DFA" w:rsidRPr="00215B2F">
        <w:rPr>
          <w:rFonts w:ascii="Arial" w:eastAsia="Arial" w:hAnsi="Arial" w:cs="Arial"/>
          <w:sz w:val="20"/>
          <w:szCs w:val="20"/>
        </w:rPr>
        <w:t xml:space="preserve">3 </w:t>
      </w:r>
      <w:r w:rsidRPr="00215B2F">
        <w:rPr>
          <w:rFonts w:ascii="Arial" w:eastAsia="Arial" w:hAnsi="Arial" w:cs="Arial"/>
          <w:sz w:val="20"/>
          <w:szCs w:val="20"/>
        </w:rPr>
        <w:t xml:space="preserve">do uveljavitve sprememb in dopolnitev Zakona o trgu finančnih instrumentov </w:t>
      </w:r>
      <w:r w:rsidR="00EC3DFA" w:rsidRPr="00215B2F">
        <w:rPr>
          <w:rFonts w:ascii="Arial" w:eastAsia="Arial" w:hAnsi="Arial" w:cs="Arial"/>
          <w:sz w:val="20"/>
          <w:szCs w:val="20"/>
        </w:rPr>
        <w:t xml:space="preserve">(Uradni list RS, št. 77/18, 17/19 – popr.,66/19 in 123/21 in 45/24) uporabi, kadar se nanj sklicuje </w:t>
      </w:r>
      <w:r w:rsidR="00B905D7" w:rsidRPr="00215B2F">
        <w:rPr>
          <w:rFonts w:ascii="Arial" w:eastAsia="Arial" w:hAnsi="Arial" w:cs="Arial"/>
          <w:sz w:val="20"/>
          <w:szCs w:val="20"/>
        </w:rPr>
        <w:t>Zakon o trgu finančnih instrumentov (Uradni list RS, št. 77/18, 17/19 – popr.,66/19 in 123/21 in 45/24)</w:t>
      </w:r>
      <w:r w:rsidR="00EC3DFA" w:rsidRPr="00215B2F">
        <w:rPr>
          <w:rFonts w:ascii="Arial" w:eastAsia="Arial" w:hAnsi="Arial" w:cs="Arial"/>
          <w:sz w:val="20"/>
          <w:szCs w:val="20"/>
        </w:rPr>
        <w:t>.</w:t>
      </w:r>
      <w:bookmarkEnd w:id="593"/>
    </w:p>
    <w:p w14:paraId="4B099C6C" w14:textId="77777777" w:rsidR="00467A8D" w:rsidRPr="00215B2F" w:rsidRDefault="00467A8D" w:rsidP="00FD5520">
      <w:pPr>
        <w:shd w:val="clear" w:color="auto" w:fill="FFFFFF" w:themeFill="background1"/>
        <w:spacing w:after="0" w:line="240" w:lineRule="auto"/>
        <w:jc w:val="both"/>
        <w:rPr>
          <w:rFonts w:ascii="Arial" w:eastAsia="Arial" w:hAnsi="Arial" w:cs="Arial"/>
          <w:sz w:val="20"/>
          <w:szCs w:val="20"/>
        </w:rPr>
      </w:pPr>
    </w:p>
    <w:p w14:paraId="4D881F9D" w14:textId="77777777" w:rsidR="00D91782" w:rsidRPr="00215B2F" w:rsidRDefault="00D91782" w:rsidP="00F261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94" w:name="_Ref202969003"/>
      <w:r w:rsidRPr="00215B2F">
        <w:rPr>
          <w:rFonts w:ascii="Arial" w:eastAsia="Arial" w:hAnsi="Arial" w:cs="Arial"/>
          <w:b/>
          <w:bCs/>
          <w:sz w:val="20"/>
          <w:szCs w:val="20"/>
        </w:rPr>
        <w:t>člen</w:t>
      </w:r>
      <w:bookmarkEnd w:id="594"/>
    </w:p>
    <w:p w14:paraId="5FEF5CF2" w14:textId="42D475E4"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w:t>
      </w:r>
      <w:r w:rsidR="00E91444" w:rsidRPr="00215B2F">
        <w:rPr>
          <w:rFonts w:ascii="Arial" w:eastAsia="Arial" w:hAnsi="Arial" w:cs="Arial"/>
          <w:b/>
          <w:bCs/>
          <w:sz w:val="20"/>
          <w:szCs w:val="20"/>
        </w:rPr>
        <w:t xml:space="preserve">spremembi </w:t>
      </w:r>
      <w:r w:rsidR="00CE70D5" w:rsidRPr="00215B2F">
        <w:rPr>
          <w:rFonts w:ascii="Arial" w:eastAsia="Arial" w:hAnsi="Arial" w:cs="Arial"/>
          <w:b/>
          <w:bCs/>
          <w:sz w:val="20"/>
          <w:szCs w:val="20"/>
        </w:rPr>
        <w:t>Zakona o potrošnikih kreditih</w:t>
      </w:r>
      <w:r w:rsidRPr="00215B2F">
        <w:rPr>
          <w:rFonts w:ascii="Arial" w:eastAsia="Arial" w:hAnsi="Arial" w:cs="Arial"/>
          <w:b/>
          <w:bCs/>
          <w:sz w:val="20"/>
          <w:szCs w:val="20"/>
        </w:rPr>
        <w:t>)</w:t>
      </w:r>
    </w:p>
    <w:p w14:paraId="7CCDA938"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78E1CC77" w14:textId="6BBB841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V Zakonu o potrošniških kreditih (Uradni list RS, št. 77/16</w:t>
      </w:r>
      <w:r w:rsidR="00C05412" w:rsidRPr="00215B2F">
        <w:rPr>
          <w:rFonts w:ascii="Arial" w:eastAsia="Arial" w:hAnsi="Arial" w:cs="Arial"/>
          <w:sz w:val="20"/>
          <w:szCs w:val="20"/>
        </w:rPr>
        <w:t>, 92/21 – ZBan-3</w:t>
      </w:r>
      <w:r w:rsidR="00331072" w:rsidRPr="00215B2F">
        <w:rPr>
          <w:rFonts w:ascii="Arial" w:eastAsia="Arial" w:hAnsi="Arial" w:cs="Arial"/>
          <w:sz w:val="20"/>
          <w:szCs w:val="20"/>
        </w:rPr>
        <w:t xml:space="preserve"> in</w:t>
      </w:r>
      <w:r w:rsidR="00C05412" w:rsidRPr="00215B2F">
        <w:rPr>
          <w:rFonts w:ascii="Arial" w:eastAsia="Arial" w:hAnsi="Arial" w:cs="Arial"/>
          <w:sz w:val="20"/>
          <w:szCs w:val="20"/>
        </w:rPr>
        <w:t xml:space="preserve"> 12/24 </w:t>
      </w:r>
      <w:r w:rsidR="00041AE2" w:rsidRPr="00215B2F">
        <w:rPr>
          <w:rFonts w:ascii="Arial" w:eastAsia="Arial" w:hAnsi="Arial" w:cs="Arial"/>
          <w:sz w:val="20"/>
          <w:szCs w:val="20"/>
        </w:rPr>
        <w:t>–</w:t>
      </w:r>
      <w:r w:rsidR="00C05412" w:rsidRPr="00215B2F">
        <w:rPr>
          <w:rFonts w:ascii="Arial" w:eastAsia="Arial" w:hAnsi="Arial" w:cs="Arial"/>
          <w:sz w:val="20"/>
          <w:szCs w:val="20"/>
        </w:rPr>
        <w:t xml:space="preserve"> ZKSNKB</w:t>
      </w:r>
      <w:r w:rsidRPr="00215B2F">
        <w:rPr>
          <w:rFonts w:ascii="Arial" w:eastAsia="Arial" w:hAnsi="Arial" w:cs="Arial"/>
          <w:sz w:val="20"/>
          <w:szCs w:val="20"/>
        </w:rPr>
        <w:t>) se v 76. členu besedilo »</w:t>
      </w:r>
      <w:r w:rsidR="00576A49" w:rsidRPr="00215B2F">
        <w:rPr>
          <w:rFonts w:ascii="Arial" w:eastAsia="Arial" w:hAnsi="Arial" w:cs="Arial"/>
          <w:sz w:val="20"/>
          <w:szCs w:val="20"/>
        </w:rPr>
        <w:t>351</w:t>
      </w:r>
      <w:r w:rsidRPr="00215B2F">
        <w:rPr>
          <w:rFonts w:ascii="Arial" w:eastAsia="Arial" w:hAnsi="Arial" w:cs="Arial"/>
          <w:sz w:val="20"/>
          <w:szCs w:val="20"/>
        </w:rPr>
        <w:t xml:space="preserve">. do </w:t>
      </w:r>
      <w:r w:rsidR="00576A49" w:rsidRPr="00215B2F">
        <w:rPr>
          <w:rFonts w:ascii="Arial" w:eastAsia="Arial" w:hAnsi="Arial" w:cs="Arial"/>
          <w:sz w:val="20"/>
          <w:szCs w:val="20"/>
        </w:rPr>
        <w:t>394</w:t>
      </w:r>
      <w:r w:rsidRPr="00215B2F">
        <w:rPr>
          <w:rFonts w:ascii="Arial" w:eastAsia="Arial" w:hAnsi="Arial" w:cs="Arial"/>
          <w:sz w:val="20"/>
          <w:szCs w:val="20"/>
        </w:rPr>
        <w:t>. člen Zakona o bančništvu (Uradni list RS, št. </w:t>
      </w:r>
      <w:r w:rsidR="00C50A99" w:rsidRPr="00215B2F">
        <w:rPr>
          <w:rFonts w:ascii="Arial" w:hAnsi="Arial" w:cs="Arial"/>
          <w:sz w:val="20"/>
          <w:szCs w:val="20"/>
        </w:rPr>
        <w:t xml:space="preserve">92/21; v nadaljnjem </w:t>
      </w:r>
      <w:r w:rsidR="00C50A99" w:rsidRPr="00215B2F">
        <w:rPr>
          <w:rFonts w:ascii="Arial" w:hAnsi="Arial" w:cs="Arial"/>
          <w:sz w:val="20"/>
          <w:szCs w:val="20"/>
        </w:rPr>
        <w:lastRenderedPageBreak/>
        <w:t>besedilu: Zakon o bančništvu</w:t>
      </w:r>
      <w:r w:rsidRPr="00215B2F">
        <w:rPr>
          <w:rFonts w:ascii="Arial" w:eastAsia="Arial" w:hAnsi="Arial" w:cs="Arial"/>
          <w:sz w:val="20"/>
          <w:szCs w:val="20"/>
        </w:rPr>
        <w:t>)« nadomesti z besedilom »</w:t>
      </w:r>
      <w:r w:rsidR="008C61F7" w:rsidRPr="00215B2F">
        <w:rPr>
          <w:rFonts w:ascii="Arial" w:eastAsia="Arial" w:hAnsi="Arial" w:cs="Arial"/>
          <w:sz w:val="20"/>
          <w:szCs w:val="20"/>
        </w:rPr>
        <w:t>441</w:t>
      </w:r>
      <w:r w:rsidRPr="00215B2F">
        <w:rPr>
          <w:rFonts w:ascii="Arial" w:eastAsia="Arial" w:hAnsi="Arial" w:cs="Arial"/>
          <w:sz w:val="20"/>
          <w:szCs w:val="20"/>
        </w:rPr>
        <w:t xml:space="preserve">. do </w:t>
      </w:r>
      <w:r w:rsidR="008C61F7" w:rsidRPr="00215B2F">
        <w:rPr>
          <w:rFonts w:ascii="Arial" w:eastAsia="Arial" w:hAnsi="Arial" w:cs="Arial"/>
          <w:sz w:val="20"/>
          <w:szCs w:val="20"/>
        </w:rPr>
        <w:t>494</w:t>
      </w:r>
      <w:r w:rsidRPr="00215B2F">
        <w:rPr>
          <w:rFonts w:ascii="Arial" w:eastAsia="Arial" w:hAnsi="Arial" w:cs="Arial"/>
          <w:sz w:val="20"/>
          <w:szCs w:val="20"/>
        </w:rPr>
        <w:t>. člen Zakona o bančništvu (Uradni list RS, št</w:t>
      </w:r>
      <w:r w:rsidR="007574A8" w:rsidRPr="00215B2F">
        <w:rPr>
          <w:rFonts w:ascii="Arial" w:eastAsia="Arial" w:hAnsi="Arial" w:cs="Arial"/>
          <w:sz w:val="20"/>
          <w:szCs w:val="20"/>
        </w:rPr>
        <w:t xml:space="preserve">. </w:t>
      </w:r>
      <w:r w:rsidR="000D62DA" w:rsidRPr="00215B2F">
        <w:rPr>
          <w:rFonts w:ascii="Arial" w:eastAsia="Arial" w:hAnsi="Arial" w:cs="Arial"/>
          <w:sz w:val="20"/>
          <w:szCs w:val="20"/>
        </w:rPr>
        <w:t>XX</w:t>
      </w:r>
      <w:r w:rsidRPr="00215B2F">
        <w:rPr>
          <w:rFonts w:ascii="Arial" w:eastAsia="Arial" w:hAnsi="Arial" w:cs="Arial"/>
          <w:sz w:val="20"/>
          <w:szCs w:val="20"/>
        </w:rPr>
        <w:t>/</w:t>
      </w:r>
      <w:r w:rsidR="000D62DA" w:rsidRPr="00215B2F">
        <w:rPr>
          <w:rFonts w:ascii="Arial" w:eastAsia="Arial" w:hAnsi="Arial" w:cs="Arial"/>
          <w:sz w:val="20"/>
          <w:szCs w:val="20"/>
        </w:rPr>
        <w:t>YY</w:t>
      </w:r>
      <w:r w:rsidRPr="00215B2F">
        <w:rPr>
          <w:rFonts w:ascii="Arial" w:eastAsia="Arial" w:hAnsi="Arial" w:cs="Arial"/>
          <w:sz w:val="20"/>
          <w:szCs w:val="20"/>
        </w:rPr>
        <w:t>; v nadaljnjem besedilu: Zakon o bančništvu)«.</w:t>
      </w:r>
    </w:p>
    <w:p w14:paraId="096DECA4"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91C0959" w14:textId="415E757B"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(2) V prvem odstavku 84. člena se besedilo »</w:t>
      </w:r>
      <w:r w:rsidR="00D524A9" w:rsidRPr="00215B2F">
        <w:rPr>
          <w:rFonts w:ascii="Arial" w:eastAsia="Arial" w:hAnsi="Arial" w:cs="Arial"/>
          <w:sz w:val="20"/>
          <w:szCs w:val="20"/>
        </w:rPr>
        <w:t>272</w:t>
      </w:r>
      <w:r w:rsidRPr="00215B2F">
        <w:rPr>
          <w:rFonts w:ascii="Arial" w:eastAsia="Arial" w:hAnsi="Arial" w:cs="Arial"/>
          <w:sz w:val="20"/>
          <w:szCs w:val="20"/>
        </w:rPr>
        <w:t xml:space="preserve">. do </w:t>
      </w:r>
      <w:r w:rsidR="00D524A9" w:rsidRPr="00215B2F">
        <w:rPr>
          <w:rFonts w:ascii="Arial" w:eastAsia="Arial" w:hAnsi="Arial" w:cs="Arial"/>
          <w:sz w:val="20"/>
          <w:szCs w:val="20"/>
        </w:rPr>
        <w:t>277</w:t>
      </w:r>
      <w:r w:rsidRPr="00215B2F">
        <w:rPr>
          <w:rFonts w:ascii="Arial" w:eastAsia="Arial" w:hAnsi="Arial" w:cs="Arial"/>
          <w:sz w:val="20"/>
          <w:szCs w:val="20"/>
        </w:rPr>
        <w:t>. člen« nadomesti z besedilom »</w:t>
      </w:r>
      <w:r w:rsidR="008C61F7" w:rsidRPr="00215B2F">
        <w:rPr>
          <w:rFonts w:ascii="Arial" w:eastAsia="Arial" w:hAnsi="Arial" w:cs="Arial"/>
          <w:sz w:val="20"/>
          <w:szCs w:val="20"/>
        </w:rPr>
        <w:t>337</w:t>
      </w:r>
      <w:r w:rsidRPr="00215B2F">
        <w:rPr>
          <w:rFonts w:ascii="Arial" w:eastAsia="Arial" w:hAnsi="Arial" w:cs="Arial"/>
          <w:sz w:val="20"/>
          <w:szCs w:val="20"/>
        </w:rPr>
        <w:t xml:space="preserve">. do </w:t>
      </w:r>
      <w:r w:rsidR="008C61F7" w:rsidRPr="00215B2F">
        <w:rPr>
          <w:rFonts w:ascii="Arial" w:eastAsia="Arial" w:hAnsi="Arial" w:cs="Arial"/>
          <w:sz w:val="20"/>
          <w:szCs w:val="20"/>
        </w:rPr>
        <w:t>342</w:t>
      </w:r>
      <w:r w:rsidRPr="00215B2F">
        <w:rPr>
          <w:rFonts w:ascii="Arial" w:eastAsia="Arial" w:hAnsi="Arial" w:cs="Arial"/>
          <w:sz w:val="20"/>
          <w:szCs w:val="20"/>
        </w:rPr>
        <w:t>. člen</w:t>
      </w:r>
      <w:r w:rsidR="00041AE2" w:rsidRPr="00215B2F">
        <w:rPr>
          <w:rFonts w:ascii="Arial" w:eastAsia="Arial" w:hAnsi="Arial" w:cs="Arial"/>
          <w:sz w:val="20"/>
          <w:szCs w:val="20"/>
        </w:rPr>
        <w:t>«</w:t>
      </w:r>
      <w:r w:rsidRPr="00215B2F">
        <w:rPr>
          <w:rFonts w:ascii="Arial" w:eastAsia="Arial" w:hAnsi="Arial" w:cs="Arial"/>
          <w:sz w:val="20"/>
          <w:szCs w:val="20"/>
        </w:rPr>
        <w:t>.</w:t>
      </w:r>
    </w:p>
    <w:p w14:paraId="7E15A044" w14:textId="77777777" w:rsidR="00467A8D" w:rsidRPr="00215B2F" w:rsidRDefault="00467A8D" w:rsidP="00FD5520">
      <w:pPr>
        <w:shd w:val="clear" w:color="auto" w:fill="FFFFFF" w:themeFill="background1"/>
        <w:spacing w:after="0" w:line="240" w:lineRule="auto"/>
        <w:jc w:val="both"/>
        <w:rPr>
          <w:rFonts w:ascii="Arial" w:eastAsia="Arial" w:hAnsi="Arial" w:cs="Arial"/>
          <w:sz w:val="20"/>
          <w:szCs w:val="20"/>
        </w:rPr>
      </w:pPr>
    </w:p>
    <w:p w14:paraId="2A31A716" w14:textId="77777777" w:rsidR="00CE70D5" w:rsidRPr="00215B2F" w:rsidRDefault="00CE70D5" w:rsidP="00F261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95" w:name="_Ref202969091"/>
      <w:r w:rsidRPr="00215B2F">
        <w:rPr>
          <w:rFonts w:ascii="Arial" w:eastAsia="Arial" w:hAnsi="Arial" w:cs="Arial"/>
          <w:b/>
          <w:bCs/>
          <w:sz w:val="20"/>
          <w:szCs w:val="20"/>
        </w:rPr>
        <w:t>člen</w:t>
      </w:r>
      <w:bookmarkEnd w:id="595"/>
    </w:p>
    <w:p w14:paraId="361780D7" w14:textId="77777777" w:rsidR="00CE70D5" w:rsidRPr="00215B2F" w:rsidRDefault="00CE70D5" w:rsidP="00FD5520">
      <w:pPr>
        <w:shd w:val="clear" w:color="auto" w:fill="FFFFFF" w:themeFill="background1"/>
        <w:spacing w:after="0" w:line="240" w:lineRule="auto"/>
        <w:jc w:val="center"/>
        <w:rPr>
          <w:rFonts w:ascii="Arial" w:hAnsi="Arial" w:cs="Arial"/>
          <w:b/>
          <w:bCs/>
          <w:sz w:val="20"/>
          <w:szCs w:val="20"/>
        </w:rPr>
      </w:pPr>
      <w:r w:rsidRPr="00215B2F">
        <w:rPr>
          <w:rFonts w:ascii="Arial" w:hAnsi="Arial" w:cs="Arial"/>
          <w:b/>
          <w:bCs/>
          <w:sz w:val="20"/>
          <w:szCs w:val="20"/>
        </w:rPr>
        <w:t>(spremembe Zakona o Banki Slovenije)</w:t>
      </w:r>
    </w:p>
    <w:p w14:paraId="3EB67BD7" w14:textId="77777777" w:rsidR="00CE70D5" w:rsidRPr="00215B2F" w:rsidRDefault="00CE70D5" w:rsidP="00FD5520">
      <w:pPr>
        <w:shd w:val="clear" w:color="auto" w:fill="FFFFFF" w:themeFill="background1"/>
        <w:spacing w:after="0" w:line="240" w:lineRule="auto"/>
        <w:jc w:val="both"/>
        <w:rPr>
          <w:rFonts w:ascii="Arial" w:hAnsi="Arial" w:cs="Arial"/>
          <w:sz w:val="20"/>
          <w:szCs w:val="20"/>
        </w:rPr>
      </w:pPr>
    </w:p>
    <w:p w14:paraId="521B3AC4" w14:textId="66B30992" w:rsidR="00BF372F" w:rsidRPr="00215B2F" w:rsidRDefault="00BF372F"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V Zakonu o Banki Slovenije (Uradni list RS, št. 72/06 – UPB1, 59/11 in 55/17) se v 30. členu za prvim odstavkom dodajo nov</w:t>
      </w:r>
      <w:r w:rsidR="00D2226D" w:rsidRPr="00215B2F">
        <w:rPr>
          <w:rFonts w:ascii="Arial" w:eastAsia="Arial" w:hAnsi="Arial" w:cs="Arial"/>
          <w:sz w:val="20"/>
          <w:szCs w:val="20"/>
        </w:rPr>
        <w:t>i</w:t>
      </w:r>
      <w:r w:rsidRPr="00215B2F">
        <w:rPr>
          <w:rFonts w:ascii="Arial" w:eastAsia="Arial" w:hAnsi="Arial" w:cs="Arial"/>
          <w:sz w:val="20"/>
          <w:szCs w:val="20"/>
        </w:rPr>
        <w:t xml:space="preserve"> drugi, tretji, četrti in peti odstavek, ki se glasijo:</w:t>
      </w:r>
    </w:p>
    <w:p w14:paraId="6756C822" w14:textId="77777777" w:rsidR="00BF372F" w:rsidRPr="00215B2F" w:rsidRDefault="00BF372F" w:rsidP="00FD5520">
      <w:pPr>
        <w:shd w:val="clear" w:color="auto" w:fill="FFFFFF" w:themeFill="background1"/>
        <w:spacing w:after="0" w:line="240" w:lineRule="auto"/>
        <w:jc w:val="both"/>
        <w:rPr>
          <w:rFonts w:ascii="Arial" w:eastAsia="Arial" w:hAnsi="Arial" w:cs="Arial"/>
          <w:sz w:val="20"/>
          <w:szCs w:val="20"/>
        </w:rPr>
      </w:pPr>
    </w:p>
    <w:p w14:paraId="0748B9AA" w14:textId="77777777" w:rsidR="00BF372F" w:rsidRPr="00215B2F" w:rsidRDefault="00BF372F" w:rsidP="00FD5520">
      <w:pPr>
        <w:shd w:val="clear" w:color="auto" w:fill="FFFFFF" w:themeFill="background1"/>
        <w:spacing w:after="0" w:line="240" w:lineRule="auto"/>
        <w:jc w:val="both"/>
        <w:rPr>
          <w:rFonts w:ascii="Arial" w:eastAsia="Arial" w:hAnsi="Arial" w:cs="Arial"/>
          <w:sz w:val="20"/>
          <w:szCs w:val="20"/>
        </w:rPr>
      </w:pPr>
      <w:bookmarkStart w:id="596" w:name="_Hlk212134431"/>
      <w:r w:rsidRPr="00215B2F">
        <w:rPr>
          <w:rFonts w:ascii="Arial" w:eastAsia="Arial" w:hAnsi="Arial" w:cs="Arial"/>
          <w:sz w:val="20"/>
          <w:szCs w:val="20"/>
        </w:rPr>
        <w:t xml:space="preserve">»(2) Za člana Sveta Banke Slovenije je lahko imenovana oseba, ki izpolnjuje vse naslednje pogoje: </w:t>
      </w:r>
    </w:p>
    <w:p w14:paraId="12C0846E" w14:textId="77777777" w:rsidR="00BF372F" w:rsidRPr="00215B2F" w:rsidRDefault="00BF372F" w:rsidP="003D4DE0">
      <w:pPr>
        <w:pStyle w:val="tevilnatoka"/>
        <w:numPr>
          <w:ilvl w:val="0"/>
          <w:numId w:val="381"/>
        </w:numPr>
        <w:rPr>
          <w:rFonts w:eastAsia="Arial" w:cs="Arial"/>
          <w:sz w:val="20"/>
          <w:szCs w:val="20"/>
        </w:rPr>
      </w:pPr>
      <w:r w:rsidRPr="00215B2F">
        <w:rPr>
          <w:rFonts w:eastAsia="Arial" w:cs="Arial"/>
          <w:sz w:val="20"/>
          <w:szCs w:val="20"/>
        </w:rPr>
        <w:t>je državljan Republike Slovenije;</w:t>
      </w:r>
    </w:p>
    <w:bookmarkEnd w:id="596"/>
    <w:p w14:paraId="5C9D415C" w14:textId="747146DE" w:rsidR="00215B2F" w:rsidRPr="00215B2F" w:rsidRDefault="00215B2F" w:rsidP="00215B2F">
      <w:pPr>
        <w:pStyle w:val="tevilnatoka"/>
        <w:rPr>
          <w:rFonts w:eastAsia="Arial" w:cs="Arial"/>
          <w:sz w:val="20"/>
          <w:szCs w:val="20"/>
        </w:rPr>
      </w:pPr>
      <w:r w:rsidRPr="00215B2F">
        <w:rPr>
          <w:rFonts w:eastAsia="Arial" w:cs="Arial"/>
          <w:sz w:val="20"/>
          <w:szCs w:val="20"/>
        </w:rPr>
        <w:t>ima najmanj izobrazbo, pridobljeno po študijskem programu druge stopnje, oziroma izobrazbo, ki ustreza ravni izobrazbe, pridobljene po študijskih programih druge stopnje, in je v skladu z zakonom, ki ureja slovensko ogrodje kvalifikacij, uvrščena na 8. raven slovenskega ogrodja kvalifikacij;</w:t>
      </w:r>
    </w:p>
    <w:p w14:paraId="1F253EAF" w14:textId="1F88DEA5" w:rsidR="00BF372F" w:rsidRPr="00215B2F" w:rsidRDefault="00BF372F" w:rsidP="00F26180">
      <w:pPr>
        <w:pStyle w:val="tevilnatoka"/>
        <w:rPr>
          <w:rFonts w:eastAsia="Arial" w:cs="Arial"/>
          <w:sz w:val="20"/>
          <w:szCs w:val="20"/>
        </w:rPr>
      </w:pPr>
      <w:r w:rsidRPr="00215B2F">
        <w:rPr>
          <w:rFonts w:eastAsia="Arial" w:cs="Arial"/>
          <w:sz w:val="20"/>
          <w:szCs w:val="20"/>
        </w:rPr>
        <w:t>ima ustrezne delovne izkušnje</w:t>
      </w:r>
      <w:r w:rsidR="00023E4C" w:rsidRPr="00215B2F">
        <w:rPr>
          <w:rFonts w:eastAsia="Arial" w:cs="Arial"/>
          <w:sz w:val="20"/>
          <w:szCs w:val="20"/>
        </w:rPr>
        <w:t xml:space="preserve"> na področju denarne politike, bančništva, finančnih trgov, prava ali drugega finančnega področja</w:t>
      </w:r>
      <w:r w:rsidR="00D2226D" w:rsidRPr="00215B2F">
        <w:rPr>
          <w:rFonts w:eastAsia="Arial" w:cs="Arial"/>
          <w:sz w:val="20"/>
          <w:szCs w:val="20"/>
        </w:rPr>
        <w:t>,</w:t>
      </w:r>
      <w:r w:rsidRPr="00215B2F">
        <w:rPr>
          <w:rFonts w:eastAsia="Arial" w:cs="Arial"/>
          <w:sz w:val="20"/>
          <w:szCs w:val="20"/>
        </w:rPr>
        <w:t xml:space="preserve"> potrebne za opravljanje nalog člana Sveta Banke Slovenije;</w:t>
      </w:r>
    </w:p>
    <w:p w14:paraId="72E27525" w14:textId="10B4A8E6" w:rsidR="00BF372F" w:rsidRPr="00215B2F" w:rsidRDefault="00023E4C" w:rsidP="00F26180">
      <w:pPr>
        <w:pStyle w:val="tevilnatoka"/>
        <w:rPr>
          <w:rFonts w:eastAsia="Arial" w:cs="Arial"/>
          <w:sz w:val="20"/>
          <w:szCs w:val="20"/>
        </w:rPr>
      </w:pPr>
      <w:r w:rsidRPr="00215B2F">
        <w:rPr>
          <w:rFonts w:eastAsia="Arial" w:cs="Arial"/>
          <w:sz w:val="20"/>
          <w:szCs w:val="20"/>
        </w:rPr>
        <w:t xml:space="preserve">ni bila obsojena zaradi kaznivega dejanja, ki se preganja po uradni dolžnosti, ali </w:t>
      </w:r>
      <w:r w:rsidR="00BF372F" w:rsidRPr="00215B2F">
        <w:rPr>
          <w:rFonts w:eastAsia="Arial" w:cs="Arial"/>
          <w:sz w:val="20"/>
          <w:szCs w:val="20"/>
        </w:rPr>
        <w:t xml:space="preserve">zoper njo ni vložena pravnomočna obtožnica </w:t>
      </w:r>
      <w:r w:rsidRPr="00215B2F">
        <w:rPr>
          <w:rFonts w:eastAsia="Arial" w:cs="Arial"/>
          <w:sz w:val="20"/>
          <w:szCs w:val="20"/>
        </w:rPr>
        <w:t>za kaznivo dejanje, ki se preganja po uradni dolžnosti</w:t>
      </w:r>
      <w:r w:rsidR="00BF372F" w:rsidRPr="00215B2F">
        <w:rPr>
          <w:rFonts w:eastAsia="Arial" w:cs="Arial"/>
          <w:sz w:val="20"/>
          <w:szCs w:val="20"/>
        </w:rPr>
        <w:t>;</w:t>
      </w:r>
    </w:p>
    <w:p w14:paraId="74B507C5" w14:textId="2B2EAB55" w:rsidR="00BF372F" w:rsidRPr="00215B2F" w:rsidRDefault="00BF372F" w:rsidP="00F26180">
      <w:pPr>
        <w:pStyle w:val="tevilnatoka"/>
        <w:rPr>
          <w:rFonts w:eastAsia="Arial" w:cs="Arial"/>
          <w:sz w:val="20"/>
          <w:szCs w:val="20"/>
        </w:rPr>
      </w:pPr>
      <w:r w:rsidRPr="00215B2F">
        <w:rPr>
          <w:rFonts w:eastAsia="Arial" w:cs="Arial"/>
          <w:sz w:val="20"/>
          <w:szCs w:val="20"/>
        </w:rPr>
        <w:t xml:space="preserve">ima ugled in lastnosti za opravljanje funkcije člana Sveta Banke Slovenije v skladu </w:t>
      </w:r>
      <w:r w:rsidR="00A926FF" w:rsidRPr="00215B2F">
        <w:rPr>
          <w:rFonts w:eastAsia="Arial" w:cs="Arial"/>
          <w:sz w:val="20"/>
          <w:szCs w:val="20"/>
        </w:rPr>
        <w:t xml:space="preserve">z </w:t>
      </w:r>
      <w:r w:rsidRPr="00215B2F">
        <w:rPr>
          <w:rFonts w:eastAsia="Arial" w:cs="Arial"/>
          <w:sz w:val="20"/>
          <w:szCs w:val="20"/>
        </w:rPr>
        <w:t>najvišjimi standardi integritete, etičnega ravnanja ter preprečevanja nasprotja interesov.</w:t>
      </w:r>
    </w:p>
    <w:p w14:paraId="5FF8102B" w14:textId="77777777" w:rsidR="00BF372F" w:rsidRPr="00215B2F" w:rsidRDefault="00BF372F" w:rsidP="00FD5520">
      <w:pPr>
        <w:shd w:val="clear" w:color="auto" w:fill="FFFFFF" w:themeFill="background1"/>
        <w:spacing w:after="0" w:line="240" w:lineRule="auto"/>
        <w:jc w:val="both"/>
        <w:rPr>
          <w:rFonts w:ascii="Arial" w:eastAsia="Arial" w:hAnsi="Arial" w:cs="Arial"/>
          <w:sz w:val="20"/>
          <w:szCs w:val="20"/>
        </w:rPr>
      </w:pPr>
    </w:p>
    <w:p w14:paraId="3399BCD9" w14:textId="0A75F6A5" w:rsidR="00BF372F" w:rsidRPr="00215B2F" w:rsidRDefault="00BF372F"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(3) Banka Slovenije po nastopu funkcije člana Sveta Banke Slovenije izvede vse potrebn</w:t>
      </w:r>
      <w:r w:rsidR="00D2226D" w:rsidRPr="00215B2F">
        <w:rPr>
          <w:rFonts w:ascii="Arial" w:eastAsia="Arial" w:hAnsi="Arial" w:cs="Arial"/>
          <w:sz w:val="20"/>
          <w:szCs w:val="20"/>
        </w:rPr>
        <w:t>o</w:t>
      </w:r>
      <w:r w:rsidRPr="00215B2F">
        <w:rPr>
          <w:rFonts w:ascii="Arial" w:eastAsia="Arial" w:hAnsi="Arial" w:cs="Arial"/>
          <w:sz w:val="20"/>
          <w:szCs w:val="20"/>
        </w:rPr>
        <w:t xml:space="preserve"> za pridobitev dovoljenja za člana Sveta Banke Slovenije za dostop </w:t>
      </w:r>
      <w:r w:rsidR="00D2226D" w:rsidRPr="00215B2F">
        <w:rPr>
          <w:rFonts w:ascii="Arial" w:eastAsia="Arial" w:hAnsi="Arial" w:cs="Arial"/>
          <w:sz w:val="20"/>
          <w:szCs w:val="20"/>
        </w:rPr>
        <w:t xml:space="preserve">do </w:t>
      </w:r>
      <w:r w:rsidRPr="00215B2F">
        <w:rPr>
          <w:rFonts w:ascii="Arial" w:eastAsia="Arial" w:hAnsi="Arial" w:cs="Arial"/>
          <w:sz w:val="20"/>
          <w:szCs w:val="20"/>
        </w:rPr>
        <w:t xml:space="preserve">tajnih podatkov v skladu z zakonom, ki ureja tajne podatke. Pravnomočna odločba o zavrnitvi izdaje dovoljenja za dostop do tajnih podatkov, odvzem dovoljenja za dostop do tajnih podatkov ali nesodelovanje člana Sveta Banke Slovenije v postopku za izdajo dovoljenja za dostop do tajnih podatkov so razlogi za razrešitev člana Sveta Banke Slovenije. </w:t>
      </w:r>
    </w:p>
    <w:p w14:paraId="2BEEB131" w14:textId="77777777" w:rsidR="00BF372F" w:rsidRPr="00215B2F" w:rsidRDefault="00BF372F" w:rsidP="00FD5520">
      <w:pPr>
        <w:shd w:val="clear" w:color="auto" w:fill="FFFFFF" w:themeFill="background1"/>
        <w:spacing w:after="0" w:line="240" w:lineRule="auto"/>
        <w:jc w:val="both"/>
        <w:rPr>
          <w:rFonts w:ascii="Arial" w:eastAsia="Arial" w:hAnsi="Arial" w:cs="Arial"/>
          <w:sz w:val="20"/>
          <w:szCs w:val="20"/>
        </w:rPr>
      </w:pPr>
    </w:p>
    <w:p w14:paraId="7F106EE7" w14:textId="03E3BC8F" w:rsidR="00BF372F" w:rsidRPr="00215B2F" w:rsidRDefault="00BF372F"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(4) Svet Banke Slovenije mora biti sestavljen tako, da ima kot celota ustrezno znanje, veščine in izkušnje, da lahko poglobljeno razume pristojnosti in cilje delovanja Banke Slovenije ter zagotavlja ustrezno raznolikost.</w:t>
      </w:r>
    </w:p>
    <w:p w14:paraId="347B8669" w14:textId="77777777" w:rsidR="00BF372F" w:rsidRPr="00215B2F" w:rsidRDefault="00BF372F" w:rsidP="00FD5520">
      <w:pPr>
        <w:shd w:val="clear" w:color="auto" w:fill="FFFFFF" w:themeFill="background1"/>
        <w:spacing w:after="0" w:line="240" w:lineRule="auto"/>
        <w:jc w:val="both"/>
        <w:rPr>
          <w:rFonts w:ascii="Arial" w:eastAsia="Arial" w:hAnsi="Arial" w:cs="Arial"/>
          <w:sz w:val="20"/>
          <w:szCs w:val="20"/>
        </w:rPr>
      </w:pPr>
    </w:p>
    <w:p w14:paraId="01E0329B" w14:textId="77777777" w:rsidR="00BF372F" w:rsidRPr="00215B2F" w:rsidRDefault="00BF372F"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(5) Član Sveta Banke Slovenije lahko funkcijo člana Sveta Banke Slovenije opravlja skupno, ne glede na morebitne vmesne prekinitve, največ 14 let. Navedena omejitev se upošteva za imenovanja na funkcijo člana Sveta Banke Slovenije po 11. januarju 2026.«.</w:t>
      </w:r>
    </w:p>
    <w:p w14:paraId="11020A3A" w14:textId="77777777" w:rsidR="00BF372F" w:rsidRPr="00215B2F" w:rsidRDefault="00BF372F" w:rsidP="00FD5520">
      <w:pPr>
        <w:shd w:val="clear" w:color="auto" w:fill="FFFFFF" w:themeFill="background1"/>
        <w:spacing w:after="0" w:line="240" w:lineRule="auto"/>
        <w:jc w:val="both"/>
        <w:rPr>
          <w:rFonts w:ascii="Arial" w:eastAsia="Arial" w:hAnsi="Arial" w:cs="Arial"/>
          <w:sz w:val="20"/>
          <w:szCs w:val="20"/>
        </w:rPr>
      </w:pPr>
    </w:p>
    <w:p w14:paraId="164F031B" w14:textId="77777777" w:rsidR="00BF372F" w:rsidRPr="00215B2F" w:rsidRDefault="00BF372F"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Dosedanji drugi in tretji odstavek postaneta šesti in sedmi odstavek.</w:t>
      </w:r>
    </w:p>
    <w:p w14:paraId="316B7EEB" w14:textId="77777777" w:rsidR="004B77AB" w:rsidRPr="00215B2F" w:rsidRDefault="004B77AB" w:rsidP="004B77AB">
      <w:pPr>
        <w:shd w:val="clear" w:color="auto" w:fill="FFFFFF" w:themeFill="background1"/>
        <w:spacing w:after="0" w:line="240" w:lineRule="auto"/>
        <w:jc w:val="center"/>
        <w:rPr>
          <w:rFonts w:ascii="Arial" w:eastAsia="Arial" w:hAnsi="Arial" w:cs="Arial"/>
          <w:sz w:val="20"/>
          <w:szCs w:val="20"/>
        </w:rPr>
      </w:pPr>
    </w:p>
    <w:p w14:paraId="03F0CB13" w14:textId="77777777" w:rsidR="004B77AB" w:rsidRPr="00215B2F" w:rsidRDefault="004B77AB" w:rsidP="004B77AB">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97" w:name="_Ref202968986"/>
      <w:r w:rsidRPr="00215B2F">
        <w:rPr>
          <w:rFonts w:ascii="Arial" w:eastAsia="Arial" w:hAnsi="Arial" w:cs="Arial"/>
          <w:b/>
          <w:bCs/>
          <w:sz w:val="20"/>
          <w:szCs w:val="20"/>
        </w:rPr>
        <w:t>člen</w:t>
      </w:r>
      <w:bookmarkEnd w:id="597"/>
    </w:p>
    <w:p w14:paraId="47AB593D" w14:textId="77777777" w:rsidR="004B77AB" w:rsidRPr="00215B2F" w:rsidRDefault="004B77AB" w:rsidP="004B77AB">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(prenehanje veljavnosti predpisov)</w:t>
      </w:r>
    </w:p>
    <w:p w14:paraId="138B61FD"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653ADECE"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(1) Z dnem uveljavitve tega zakona preneha veljati Zakon o bančništvu (Uradni list RS, št. Uradni list RS, št. 92/21, 123/21 – ZBNIP, 2/25 – odl. US in 17/25).</w:t>
      </w:r>
    </w:p>
    <w:p w14:paraId="1E827202"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0D5C8328"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Z dnem uveljavitve tega zakona prenehajo veljati Sklep o dokumentaciji za izdajo dovoljenja za kvalificirano naložbo banke in hranilnice (Uradni list RS, št. 47/15 in 92/21 </w:t>
      </w:r>
      <w:r w:rsidRPr="00215B2F">
        <w:rPr>
          <w:rFonts w:ascii="Arial" w:hAnsi="Arial" w:cs="Arial"/>
          <w:color w:val="737373"/>
          <w:sz w:val="23"/>
          <w:szCs w:val="23"/>
          <w:shd w:val="clear" w:color="auto" w:fill="FFFFFF"/>
        </w:rPr>
        <w:t xml:space="preserve">– </w:t>
      </w:r>
      <w:r w:rsidRPr="00215B2F">
        <w:rPr>
          <w:rFonts w:ascii="Arial" w:eastAsia="Arial" w:hAnsi="Arial" w:cs="Arial"/>
          <w:sz w:val="20"/>
          <w:szCs w:val="20"/>
        </w:rPr>
        <w:t xml:space="preserve">ZBan-3), Sklep o odlogu in prenehanju obveznosti poročanja bank, hranilnic, podružnic držav članic, plačilnih institucij, družb za izdajo elektronskega denarja, menjalcev in drugih obveznikov (Uradni list RS, št. 49/20, 58/20 in 92/21 </w:t>
      </w:r>
      <w:r w:rsidRPr="00215B2F">
        <w:rPr>
          <w:rFonts w:ascii="Arial" w:hAnsi="Arial" w:cs="Arial"/>
          <w:color w:val="737373"/>
          <w:sz w:val="23"/>
          <w:szCs w:val="23"/>
          <w:shd w:val="clear" w:color="auto" w:fill="FFFFFF"/>
        </w:rPr>
        <w:t xml:space="preserve">– </w:t>
      </w:r>
      <w:r w:rsidRPr="00215B2F">
        <w:rPr>
          <w:rFonts w:ascii="Arial" w:eastAsia="Arial" w:hAnsi="Arial" w:cs="Arial"/>
          <w:sz w:val="20"/>
          <w:szCs w:val="20"/>
        </w:rPr>
        <w:t xml:space="preserve">ZBan-3) ter Sklep o dokumentaciji za izdajo dovoljenja za ustanovitev podružnice banke tretje države (Uradni list RS, št. 73/15 in 92/21 </w:t>
      </w:r>
      <w:r w:rsidRPr="00215B2F">
        <w:rPr>
          <w:rFonts w:ascii="Arial" w:hAnsi="Arial" w:cs="Arial"/>
          <w:color w:val="737373"/>
          <w:sz w:val="23"/>
          <w:szCs w:val="23"/>
          <w:shd w:val="clear" w:color="auto" w:fill="FFFFFF"/>
        </w:rPr>
        <w:t xml:space="preserve">– </w:t>
      </w:r>
      <w:r w:rsidRPr="00215B2F">
        <w:rPr>
          <w:rFonts w:ascii="Arial" w:eastAsia="Arial" w:hAnsi="Arial" w:cs="Arial"/>
          <w:sz w:val="20"/>
          <w:szCs w:val="20"/>
        </w:rPr>
        <w:t xml:space="preserve">ZBan-3). </w:t>
      </w:r>
    </w:p>
    <w:p w14:paraId="140D277A" w14:textId="77777777" w:rsidR="004B77AB" w:rsidRPr="00215B2F" w:rsidRDefault="004B77AB" w:rsidP="004B77AB">
      <w:pPr>
        <w:shd w:val="clear" w:color="auto" w:fill="FFFFFF" w:themeFill="background1"/>
        <w:spacing w:after="0" w:line="240" w:lineRule="auto"/>
        <w:jc w:val="both"/>
        <w:rPr>
          <w:rFonts w:ascii="Arial" w:eastAsia="Arial" w:hAnsi="Arial" w:cs="Arial"/>
          <w:sz w:val="20"/>
          <w:szCs w:val="20"/>
        </w:rPr>
      </w:pPr>
    </w:p>
    <w:p w14:paraId="37A107AF" w14:textId="77777777" w:rsidR="00D91782" w:rsidRPr="00215B2F" w:rsidRDefault="00D91782" w:rsidP="00F26180">
      <w:pPr>
        <w:numPr>
          <w:ilvl w:val="0"/>
          <w:numId w:val="1"/>
        </w:numPr>
        <w:shd w:val="clear" w:color="auto" w:fill="FFFFFF" w:themeFill="background1"/>
        <w:spacing w:after="0" w:line="240" w:lineRule="auto"/>
        <w:jc w:val="center"/>
        <w:rPr>
          <w:rFonts w:ascii="Arial" w:eastAsia="Arial" w:hAnsi="Arial" w:cs="Arial"/>
          <w:b/>
          <w:bCs/>
          <w:sz w:val="20"/>
          <w:szCs w:val="20"/>
        </w:rPr>
      </w:pPr>
      <w:bookmarkStart w:id="598" w:name="_Ref202969013"/>
      <w:r w:rsidRPr="00215B2F">
        <w:rPr>
          <w:rFonts w:ascii="Arial" w:eastAsia="Arial" w:hAnsi="Arial" w:cs="Arial"/>
          <w:b/>
          <w:bCs/>
          <w:sz w:val="20"/>
          <w:szCs w:val="20"/>
        </w:rPr>
        <w:t>člen</w:t>
      </w:r>
      <w:bookmarkEnd w:id="598"/>
    </w:p>
    <w:p w14:paraId="0AF41A20" w14:textId="77777777" w:rsidR="00D91782" w:rsidRPr="00215B2F" w:rsidRDefault="00D91782" w:rsidP="00FD5520">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(začetek veljavnosti)</w:t>
      </w:r>
    </w:p>
    <w:p w14:paraId="519B051B" w14:textId="77777777" w:rsidR="00D91782" w:rsidRPr="00215B2F" w:rsidRDefault="00D91782" w:rsidP="00FD5520">
      <w:pPr>
        <w:shd w:val="clear" w:color="auto" w:fill="FFFFFF" w:themeFill="background1"/>
        <w:spacing w:after="0" w:line="240" w:lineRule="auto"/>
        <w:jc w:val="both"/>
        <w:rPr>
          <w:rFonts w:ascii="Arial" w:eastAsia="Arial" w:hAnsi="Arial" w:cs="Arial"/>
          <w:sz w:val="20"/>
          <w:szCs w:val="20"/>
        </w:rPr>
      </w:pPr>
    </w:p>
    <w:p w14:paraId="5180EF66" w14:textId="27A5F7EA" w:rsidR="00212F4D" w:rsidRPr="00215B2F" w:rsidRDefault="00650B84" w:rsidP="00FD5520">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(1) </w:t>
      </w:r>
      <w:r w:rsidR="00D91782" w:rsidRPr="00215B2F">
        <w:rPr>
          <w:rFonts w:ascii="Arial" w:eastAsia="Arial" w:hAnsi="Arial" w:cs="Arial"/>
          <w:sz w:val="20"/>
          <w:szCs w:val="20"/>
        </w:rPr>
        <w:t>Ta zakon začne veljati petnajsti dan po objavi v Uradnem listu Republike Slovenije.</w:t>
      </w:r>
    </w:p>
    <w:p w14:paraId="6997F320" w14:textId="23B8910D" w:rsidR="0097650F" w:rsidRPr="00215B2F" w:rsidRDefault="0097650F" w:rsidP="00FD5520">
      <w:pPr>
        <w:shd w:val="clear" w:color="auto" w:fill="FFFFFF" w:themeFill="background1"/>
        <w:spacing w:after="0" w:line="240" w:lineRule="auto"/>
        <w:jc w:val="both"/>
        <w:rPr>
          <w:rFonts w:ascii="Arial" w:eastAsia="Arial" w:hAnsi="Arial" w:cs="Arial"/>
          <w:sz w:val="20"/>
          <w:szCs w:val="20"/>
        </w:rPr>
      </w:pPr>
    </w:p>
    <w:p w14:paraId="7674D1CA" w14:textId="6C02C051" w:rsidR="003444B1" w:rsidRPr="00215B2F" w:rsidRDefault="003444B1" w:rsidP="003444B1">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(2) Ne glede na prvi odstavek tega člena se četrti odstavek 252. člena, deseti odstavek 283. člena, sedmi odstavek 284. člena, deveti odstavek 354. člena in sedmi odstavek 385. člena tega zakona začnejo uporabljati 10. januarja 2030. </w:t>
      </w:r>
    </w:p>
    <w:p w14:paraId="2CA9D805" w14:textId="77777777" w:rsidR="003444B1" w:rsidRPr="00215B2F" w:rsidRDefault="003444B1" w:rsidP="00FD5520">
      <w:pPr>
        <w:shd w:val="clear" w:color="auto" w:fill="FFFFFF" w:themeFill="background1"/>
        <w:spacing w:after="0" w:line="240" w:lineRule="auto"/>
        <w:jc w:val="both"/>
        <w:rPr>
          <w:rFonts w:ascii="Arial" w:eastAsia="Arial" w:hAnsi="Arial" w:cs="Arial"/>
          <w:sz w:val="20"/>
          <w:szCs w:val="20"/>
        </w:rPr>
      </w:pPr>
    </w:p>
    <w:p w14:paraId="6DF17592" w14:textId="681F7DD4" w:rsidR="00650B84" w:rsidRPr="00215B2F" w:rsidRDefault="00650B84" w:rsidP="00650B84">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(2) Ne glede prejšnji odstavek se določbe 168. člena ter 9. poglavja tega zakona uporabljajo od 11. januarja 2027. </w:t>
      </w:r>
    </w:p>
    <w:p w14:paraId="6338604B" w14:textId="77777777" w:rsidR="00650B84" w:rsidRPr="00215B2F" w:rsidRDefault="00650B84" w:rsidP="00650B84">
      <w:pPr>
        <w:shd w:val="clear" w:color="auto" w:fill="FFFFFF" w:themeFill="background1"/>
        <w:spacing w:after="0" w:line="240" w:lineRule="auto"/>
        <w:jc w:val="both"/>
        <w:rPr>
          <w:rFonts w:ascii="Arial" w:eastAsia="Arial" w:hAnsi="Arial" w:cs="Arial"/>
          <w:sz w:val="20"/>
          <w:szCs w:val="20"/>
        </w:rPr>
      </w:pPr>
    </w:p>
    <w:p w14:paraId="1501A1D8" w14:textId="77777777" w:rsidR="00650B84" w:rsidRPr="00215B2F" w:rsidRDefault="00650B84" w:rsidP="00650B84">
      <w:pPr>
        <w:shd w:val="clear" w:color="auto" w:fill="FFFFFF" w:themeFill="background1"/>
        <w:spacing w:after="0" w:line="240" w:lineRule="auto"/>
        <w:jc w:val="both"/>
        <w:rPr>
          <w:rFonts w:ascii="Arial" w:eastAsia="Arial" w:hAnsi="Arial" w:cs="Arial"/>
          <w:sz w:val="20"/>
          <w:szCs w:val="20"/>
        </w:rPr>
      </w:pPr>
    </w:p>
    <w:p w14:paraId="04D2F9A3" w14:textId="13622C02" w:rsidR="00650B84" w:rsidRPr="00215B2F" w:rsidRDefault="00650B84" w:rsidP="00650B84">
      <w:pPr>
        <w:shd w:val="clear" w:color="auto" w:fill="FFFFFF" w:themeFill="background1"/>
        <w:spacing w:after="0" w:line="240" w:lineRule="auto"/>
        <w:jc w:val="both"/>
        <w:rPr>
          <w:rFonts w:ascii="Arial" w:eastAsia="Arial" w:hAnsi="Arial" w:cs="Arial"/>
          <w:sz w:val="20"/>
          <w:szCs w:val="20"/>
        </w:rPr>
      </w:pPr>
      <w:bookmarkStart w:id="599" w:name="_Hlk215772228"/>
      <w:r w:rsidRPr="00215B2F">
        <w:rPr>
          <w:rFonts w:ascii="Arial" w:eastAsia="Arial" w:hAnsi="Arial" w:cs="Arial"/>
          <w:sz w:val="20"/>
          <w:szCs w:val="20"/>
        </w:rPr>
        <w:t xml:space="preserve">(4) Ne </w:t>
      </w:r>
      <w:r w:rsidR="002D436C" w:rsidRPr="00215B2F">
        <w:rPr>
          <w:rFonts w:ascii="Arial" w:eastAsia="Arial" w:hAnsi="Arial" w:cs="Arial"/>
          <w:sz w:val="20"/>
          <w:szCs w:val="20"/>
        </w:rPr>
        <w:t xml:space="preserve">glede na prejšnji člen </w:t>
      </w:r>
      <w:r w:rsidRPr="00215B2F">
        <w:rPr>
          <w:rFonts w:ascii="Arial" w:eastAsia="Arial" w:hAnsi="Arial" w:cs="Arial"/>
          <w:sz w:val="20"/>
          <w:szCs w:val="20"/>
        </w:rPr>
        <w:t xml:space="preserve">se glede opravljanja storitev podružnic iz tretjih držav, do 10. januarja 2027 uporabljajo določbe ZBan-3. </w:t>
      </w:r>
    </w:p>
    <w:p w14:paraId="1F6D360D" w14:textId="77777777" w:rsidR="003444B1" w:rsidRPr="00215B2F" w:rsidRDefault="003444B1" w:rsidP="00650B84">
      <w:pPr>
        <w:shd w:val="clear" w:color="auto" w:fill="FFFFFF" w:themeFill="background1"/>
        <w:spacing w:after="0" w:line="240" w:lineRule="auto"/>
        <w:jc w:val="both"/>
        <w:rPr>
          <w:rFonts w:ascii="Arial" w:eastAsia="Arial" w:hAnsi="Arial" w:cs="Arial"/>
          <w:sz w:val="20"/>
          <w:szCs w:val="20"/>
        </w:rPr>
      </w:pPr>
    </w:p>
    <w:p w14:paraId="79C5628D" w14:textId="77777777" w:rsidR="003444B1" w:rsidRPr="00215B2F" w:rsidRDefault="003444B1" w:rsidP="00650B84">
      <w:pPr>
        <w:shd w:val="clear" w:color="auto" w:fill="FFFFFF" w:themeFill="background1"/>
        <w:spacing w:after="0" w:line="240" w:lineRule="auto"/>
        <w:jc w:val="both"/>
        <w:rPr>
          <w:rFonts w:ascii="Arial" w:eastAsia="Arial" w:hAnsi="Arial" w:cs="Arial"/>
          <w:sz w:val="20"/>
          <w:szCs w:val="20"/>
        </w:rPr>
      </w:pPr>
    </w:p>
    <w:p w14:paraId="3505A694"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51F8E090"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50931318"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65802084"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7C26E0BC"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63F5D712"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2851CBF9"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6DDBA355"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486D3BF7"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6BC1DECD"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542B5364"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173635AA"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6D6998EC"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6C35A696"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275B4069"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3395C464"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60735101"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2ADA21E8"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597E9C6F"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7AADF7EC"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323DDB0F"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2ECC3917"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6728A7A9"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41D7996E"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5337DCF5"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0F913F3F"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344CE6F4"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410BE338"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4EFCDCF8"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41BC6C5F"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46B10F0E"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131D75B4"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6787BBFE"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11E3DD11"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5FB8D6B2"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20C84028"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0C2B437D"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1AD26D59"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0E82270C"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2943F10E"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03D58F89"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428FBF8B"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58D36FE1"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0FECEC62"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071AEFBB"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4B722FC4"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57CD9853"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550DC841"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7D5EA6F5"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089103F8"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684300AB"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033AF2D8"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4553583F"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5F29B4CA"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31296EC8"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p w14:paraId="7F3364D5" w14:textId="77777777" w:rsidR="00E40EA5" w:rsidRPr="00215B2F" w:rsidRDefault="00E40EA5" w:rsidP="00650B84">
      <w:pPr>
        <w:shd w:val="clear" w:color="auto" w:fill="FFFFFF" w:themeFill="background1"/>
        <w:spacing w:after="0" w:line="240" w:lineRule="auto"/>
        <w:jc w:val="both"/>
        <w:rPr>
          <w:rFonts w:ascii="Arial" w:eastAsia="Arial" w:hAnsi="Arial" w:cs="Arial"/>
          <w:sz w:val="20"/>
          <w:szCs w:val="20"/>
        </w:rPr>
      </w:pPr>
    </w:p>
    <w:bookmarkEnd w:id="599"/>
    <w:p w14:paraId="1FFB471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III. OBRAZLOŽITVE ČLENOV </w:t>
      </w:r>
    </w:p>
    <w:p w14:paraId="05E3C5E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p>
    <w:p w14:paraId="0E2CFD4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_Ref202959876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w:t>
      </w:r>
      <w:r w:rsidRPr="00215B2F">
        <w:rPr>
          <w:rFonts w:ascii="Arial" w:hAnsi="Arial" w:cs="Arial"/>
          <w:b/>
          <w:bCs/>
          <w:sz w:val="20"/>
          <w:szCs w:val="20"/>
        </w:rPr>
        <w:fldChar w:fldCharType="end"/>
      </w:r>
      <w:r w:rsidRPr="00215B2F">
        <w:rPr>
          <w:rFonts w:ascii="Arial" w:hAnsi="Arial" w:cs="Arial"/>
          <w:b/>
          <w:bCs/>
          <w:sz w:val="20"/>
          <w:szCs w:val="20"/>
        </w:rPr>
        <w:t>. členu (veljavni 1. člen ZBan-3)</w:t>
      </w:r>
    </w:p>
    <w:p w14:paraId="6EFC462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F1C586D"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Zakonom o bančništvu (Uradni list RS, št. 92/21, 123/21 – ZBNIP, 2/25 – odl. US in 17/25; v nadaljnjem besedilu: ZBan-3) ni vsebinskih sprememb. Predlog Zakona o bančništvu (v nadaljnjem besedilu: predlog zakona) v splošnem ureja pogoje za ustanovitev, poslovanje in prenehanje kreditnih institucij s sedežem v Republiki Sloveniji ter kreditnih institucij s sedežem zunaj Republike Slovenije, ki poslujejo na območju Republike Slovenije, pristojne organe, ukrepe in pooblastila za izvajanje nadzora nad njihovim poslovanjem ter ukrepe in pooblastila za obvladovanje makrobonitetnega ali sistemskega tveganja v zvezi s kreditnimi institucijami s sedežem v Republiki Sloveniji. </w:t>
      </w:r>
    </w:p>
    <w:p w14:paraId="5D793D0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F26A01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_Ref202959882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w:t>
      </w:r>
      <w:r w:rsidRPr="00215B2F">
        <w:rPr>
          <w:rFonts w:ascii="Arial" w:hAnsi="Arial" w:cs="Arial"/>
          <w:b/>
          <w:bCs/>
          <w:sz w:val="20"/>
          <w:szCs w:val="20"/>
        </w:rPr>
        <w:fldChar w:fldCharType="end"/>
      </w:r>
      <w:r w:rsidRPr="00215B2F">
        <w:rPr>
          <w:rFonts w:ascii="Arial" w:hAnsi="Arial" w:cs="Arial"/>
          <w:b/>
          <w:bCs/>
          <w:sz w:val="20"/>
          <w:szCs w:val="20"/>
        </w:rPr>
        <w:t>. členu (veljavni 2. člen ZBan-3)</w:t>
      </w:r>
    </w:p>
    <w:p w14:paraId="57D9545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784BB2F" w14:textId="77777777"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r w:rsidRPr="00215B2F">
        <w:rPr>
          <w:rFonts w:ascii="Arial" w:hAnsi="Arial" w:cs="Arial"/>
          <w:sz w:val="20"/>
          <w:szCs w:val="20"/>
        </w:rPr>
        <w:t xml:space="preserve">Naštete so direktive EU, ki se s tem zakonom prenašajo v pravni red Republike Slovenije. V primerjavi z ZBan-3 se v predlogu zakona v 1. točki dopolnjuje sklic na </w:t>
      </w:r>
      <w:r w:rsidRPr="00215B2F">
        <w:rPr>
          <w:rFonts w:ascii="Arial" w:eastAsia="Arial" w:hAnsi="Arial" w:cs="Arial"/>
          <w:sz w:val="20"/>
          <w:szCs w:val="20"/>
        </w:rPr>
        <w:t xml:space="preserve">Direktivo 2013/36/EU Evropskega parlamenta in Sveta z dne 26. junija 2013 o dostopu do dejavnosti kreditnih institucij in bonitetnem nadzoru kreditnih institucij, spremembi Direktive 2002/87/ES in razveljavitvi direktiv 2006/48/ES in 2006/49/ES. </w:t>
      </w:r>
    </w:p>
    <w:p w14:paraId="4A0DDB68" w14:textId="77777777"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p>
    <w:p w14:paraId="10A6FCC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_Ref202959896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w:t>
      </w:r>
      <w:r w:rsidRPr="00215B2F">
        <w:rPr>
          <w:rFonts w:ascii="Arial" w:hAnsi="Arial" w:cs="Arial"/>
          <w:b/>
          <w:bCs/>
          <w:sz w:val="20"/>
          <w:szCs w:val="20"/>
        </w:rPr>
        <w:fldChar w:fldCharType="end"/>
      </w:r>
      <w:r w:rsidRPr="00215B2F">
        <w:rPr>
          <w:rFonts w:ascii="Arial" w:hAnsi="Arial" w:cs="Arial"/>
          <w:b/>
          <w:bCs/>
          <w:sz w:val="20"/>
          <w:szCs w:val="20"/>
        </w:rPr>
        <w:t>. členu (veljavni 3. člen ZBan-3)</w:t>
      </w:r>
    </w:p>
    <w:p w14:paraId="713B0EA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1AE837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Opredelijo se kratice drugih zakonov in predpisov Evropske unije, ki se uporabljajo v tem zakonu. </w:t>
      </w:r>
    </w:p>
    <w:p w14:paraId="1EF597A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EC71F4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so dodatno opredeljene naslednje kratice predpisov Evropske unije: </w:t>
      </w:r>
    </w:p>
    <w:p w14:paraId="4808008C" w14:textId="713EA253"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609CA35" w14:textId="5AA8605E" w:rsidR="0010347E" w:rsidRPr="00215B2F" w:rsidRDefault="00787FDF" w:rsidP="003D4DE0">
      <w:pPr>
        <w:numPr>
          <w:ilvl w:val="0"/>
          <w:numId w:val="34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Uredba 2021/1119/EU je </w:t>
      </w:r>
      <w:r w:rsidR="0010347E" w:rsidRPr="00215B2F">
        <w:rPr>
          <w:rFonts w:ascii="Arial" w:eastAsia="Arial" w:hAnsi="Arial" w:cs="Arial"/>
          <w:sz w:val="20"/>
          <w:szCs w:val="20"/>
        </w:rPr>
        <w:t>Uredba (EU) 2021/1119 Evropskega parlamenta in Sveta z dne 30. junija 2021 o vzpostavitvi okvira za doseganje podnebne nevtralnosti in spremembi Uredb (ES) št. 401/2009 in (EU) 2018/1999;</w:t>
      </w:r>
    </w:p>
    <w:p w14:paraId="709F3ACD" w14:textId="7CDFEB26" w:rsidR="0010347E" w:rsidRPr="00215B2F" w:rsidRDefault="0010347E" w:rsidP="003D4DE0">
      <w:pPr>
        <w:numPr>
          <w:ilvl w:val="0"/>
          <w:numId w:val="34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Uredba 2023/1114/EU je Uredba (EU) 2023/1114 Evropskega parlamenta in Sveta z dne 31. maja 2023 o trgih kriptosredstev in spremembi uredb (EU) št. 1093/2010 in (EU) št. 1095/2010 ter direktiv 2013/36/EU in (EU) 2019/1937 (UL L št. 150 z dne 9. 6. 2023, str. 40), zadnjič spremenjena </w:t>
      </w:r>
      <w:r w:rsidR="009C1354" w:rsidRPr="00215B2F">
        <w:rPr>
          <w:rFonts w:ascii="Arial" w:eastAsia="Arial" w:hAnsi="Arial" w:cs="Arial"/>
          <w:sz w:val="20"/>
          <w:szCs w:val="20"/>
        </w:rPr>
        <w:t xml:space="preserve">s </w:t>
      </w:r>
      <w:r w:rsidR="009C1354" w:rsidRPr="00215B2F">
        <w:rPr>
          <w:rFonts w:ascii="Arial" w:hAnsi="Arial" w:cs="Arial"/>
          <w:sz w:val="20"/>
          <w:szCs w:val="20"/>
        </w:rPr>
        <w:t>Popravkom Uredbe (EU) 2023/1114 Evropskega parlamenta in Sveta z dne 31. maja 2023 o trgih kriptosredstev in spremembi uredb (EU) št. 1093/2010 in (EU) št. 1095/2010 ter direktiv 2013/36/EU in (EU) 2019/1937 (UL L št. 90275 z dne 2. 5. 2024</w:t>
      </w:r>
      <w:r w:rsidRPr="00215B2F">
        <w:rPr>
          <w:rFonts w:ascii="Arial" w:eastAsia="Arial" w:hAnsi="Arial" w:cs="Arial"/>
          <w:sz w:val="20"/>
          <w:szCs w:val="20"/>
        </w:rPr>
        <w:t>;</w:t>
      </w:r>
    </w:p>
    <w:p w14:paraId="279FCBE0" w14:textId="354D1C3F" w:rsidR="0010347E" w:rsidRPr="00215B2F" w:rsidRDefault="0010347E" w:rsidP="003D4DE0">
      <w:pPr>
        <w:numPr>
          <w:ilvl w:val="0"/>
          <w:numId w:val="346"/>
        </w:num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Uredba (EU) 648/2012 Evropskega parlamenta in Sveta z dne 4. julija 2012 o izvedenih finančnih instrumentih OTC, centralnih nasprotnih strank in repozitorijih sklenjenih poslov (UL L št. 201 z dne 27. 7. 2012, str. 1), </w:t>
      </w:r>
      <w:r w:rsidR="009C1354" w:rsidRPr="00215B2F">
        <w:rPr>
          <w:rFonts w:ascii="Arial" w:eastAsia="Arial" w:hAnsi="Arial" w:cs="Arial"/>
          <w:sz w:val="20"/>
          <w:szCs w:val="20"/>
        </w:rPr>
        <w:t xml:space="preserve">z </w:t>
      </w:r>
      <w:r w:rsidR="009C1354" w:rsidRPr="00215B2F">
        <w:rPr>
          <w:rFonts w:ascii="Arial" w:hAnsi="Arial" w:cs="Arial"/>
          <w:sz w:val="20"/>
          <w:szCs w:val="20"/>
        </w:rPr>
        <w:t>Direktivo (EU) 2025/1 Evropskega parlamenta in Sveta z dne 27. novembra 2024 o vzpostavitvi okvira za sanacijo in reševanje zavarovalnic in pozavarovalnic ter spremembi direktiv 2002/47/ES, 2004/25/ES, 2007/36/ES, 2014/59/EU in (EU) 2017/1132 ter uredb (EU) št. 1094/2010, (EU) št. 648/2012, (EU) št. 806/2014 in (EU) 2017/1129 (</w:t>
      </w:r>
      <w:r w:rsidR="009C1354" w:rsidRPr="00215B2F">
        <w:rPr>
          <w:rFonts w:ascii="Arial" w:eastAsiaTheme="majorEastAsia" w:hAnsi="Arial" w:cs="Arial"/>
          <w:sz w:val="20"/>
          <w:szCs w:val="20"/>
        </w:rPr>
        <w:t>UL L</w:t>
      </w:r>
      <w:r w:rsidR="009C1354" w:rsidRPr="00215B2F">
        <w:rPr>
          <w:rFonts w:ascii="Arial" w:hAnsi="Arial" w:cs="Arial"/>
          <w:sz w:val="20"/>
          <w:szCs w:val="20"/>
        </w:rPr>
        <w:t xml:space="preserve"> št.</w:t>
      </w:r>
      <w:r w:rsidR="009C1354" w:rsidRPr="00215B2F">
        <w:rPr>
          <w:rFonts w:ascii="Arial" w:eastAsiaTheme="majorEastAsia" w:hAnsi="Arial" w:cs="Arial"/>
          <w:sz w:val="20"/>
          <w:szCs w:val="20"/>
        </w:rPr>
        <w:t xml:space="preserve"> 2025/1</w:t>
      </w:r>
      <w:r w:rsidR="009C1354" w:rsidRPr="00215B2F">
        <w:rPr>
          <w:rFonts w:ascii="Arial" w:hAnsi="Arial" w:cs="Arial"/>
          <w:sz w:val="20"/>
          <w:szCs w:val="20"/>
        </w:rPr>
        <w:t xml:space="preserve"> z dne</w:t>
      </w:r>
      <w:r w:rsidR="009C1354" w:rsidRPr="00215B2F">
        <w:rPr>
          <w:rFonts w:ascii="Arial" w:eastAsiaTheme="majorEastAsia" w:hAnsi="Arial" w:cs="Arial"/>
          <w:sz w:val="20"/>
          <w:szCs w:val="20"/>
        </w:rPr>
        <w:t xml:space="preserve"> 8. 1. 2025</w:t>
      </w:r>
      <w:r w:rsidR="009C1354" w:rsidRPr="00215B2F">
        <w:rPr>
          <w:rFonts w:ascii="Arial" w:hAnsi="Arial" w:cs="Arial"/>
          <w:sz w:val="20"/>
          <w:szCs w:val="20"/>
        </w:rPr>
        <w:t>)</w:t>
      </w:r>
      <w:r w:rsidRPr="00215B2F">
        <w:rPr>
          <w:rFonts w:ascii="Arial" w:eastAsia="Arial" w:hAnsi="Arial" w:cs="Arial"/>
          <w:sz w:val="20"/>
          <w:szCs w:val="20"/>
        </w:rPr>
        <w:t>.</w:t>
      </w:r>
    </w:p>
    <w:p w14:paraId="385D1E8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768E5D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_Ref202959912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w:t>
      </w:r>
      <w:r w:rsidRPr="00215B2F">
        <w:rPr>
          <w:rFonts w:ascii="Arial" w:hAnsi="Arial" w:cs="Arial"/>
          <w:b/>
          <w:bCs/>
          <w:sz w:val="20"/>
          <w:szCs w:val="20"/>
        </w:rPr>
        <w:fldChar w:fldCharType="end"/>
      </w:r>
      <w:r w:rsidRPr="00215B2F">
        <w:rPr>
          <w:rFonts w:ascii="Arial" w:hAnsi="Arial" w:cs="Arial"/>
          <w:b/>
          <w:bCs/>
          <w:sz w:val="20"/>
          <w:szCs w:val="20"/>
        </w:rPr>
        <w:t>. členu (veljavni 4. člen ZBan-3)</w:t>
      </w:r>
    </w:p>
    <w:p w14:paraId="3E45C61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5CE270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ni vsebinskih sprememb. S tem členom se opredelijo izrazi banka, hranilnica in kreditna družba, pri čemer se kot skupni izraz za vse navedene izraze uporablja izraz kreditna institucija. Opredeli se tudi, da Slovenska izvozna in razvojna banka, ki je ustanovljena s posebnim zakonom, ne sme opravljati dejavnosti sprejemanja depozitov od javnosti in se za namene tega zakona šteje kot finančna institucija. </w:t>
      </w:r>
    </w:p>
    <w:p w14:paraId="20BCA90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0ADA88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_Ref202959921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w:t>
      </w:r>
      <w:r w:rsidRPr="00215B2F">
        <w:rPr>
          <w:rFonts w:ascii="Arial" w:hAnsi="Arial" w:cs="Arial"/>
          <w:b/>
          <w:bCs/>
          <w:sz w:val="20"/>
          <w:szCs w:val="20"/>
        </w:rPr>
        <w:fldChar w:fldCharType="end"/>
      </w:r>
      <w:r w:rsidRPr="00215B2F">
        <w:rPr>
          <w:rFonts w:ascii="Arial" w:hAnsi="Arial" w:cs="Arial"/>
          <w:b/>
          <w:bCs/>
          <w:sz w:val="20"/>
          <w:szCs w:val="20"/>
        </w:rPr>
        <w:t>. členu (veljavni 5. člen ZBan-3)</w:t>
      </w:r>
    </w:p>
    <w:p w14:paraId="2126BF8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68E3CE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(5. člen) ni vsebinskih sprememb. S členom se opredeljujejo bančne in finančne storitve. Navedene so bančne in finančne storitve, pri čemer zakon sledi opredelitvi iz priloge I </w:t>
      </w:r>
      <w:r w:rsidRPr="00215B2F">
        <w:rPr>
          <w:rFonts w:ascii="Arial" w:eastAsia="Arial" w:hAnsi="Arial" w:cs="Arial"/>
          <w:sz w:val="20"/>
          <w:szCs w:val="20"/>
        </w:rPr>
        <w:t>Direktive 2013/36/EU Evropskega parlamenta in Sveta z dne 26. junija 2013 o dostopu do dejavnosti kreditnih institucij in bonitetnem nadzoru kreditnih institucij, spremembi Direktive 2002/87/ES in razveljavitvi direktiv 2006/48/ES in 2006/49/ES (UL L št. 176 z dne 27. 6. 2013, str. 338), zadnjič spremenjene z Direktivo (EU) 2024/2994 Evropskega parlamenta in Sveta z dne 27. novembra 2024 o spremembi direktiv 2009/65/ES, 2013/36/EU in (EU) 2019/2034 glede obravnave tveganja koncentracije, ki izhaja iz izpostavljenosti do centralnih nasprotnih strank, in tveganja nasprotne stranke pri poslih z izvedenimi finančnimi instrumenti s centralnim kliringom (UL L št. 2024/2994 z dne 4. 12. 2024, str. 1; v nadaljnjem besedilu: CRD).</w:t>
      </w:r>
      <w:r w:rsidRPr="00215B2F">
        <w:rPr>
          <w:rFonts w:ascii="Arial" w:hAnsi="Arial" w:cs="Arial"/>
          <w:sz w:val="20"/>
          <w:szCs w:val="20"/>
        </w:rPr>
        <w:t xml:space="preserve"> Bančne storitve po zakonu zajemajo sprejemanje depozitov in drugih vračljivih sredstev od javnosti ter dajanje kreditov za svoj račun, medtem ko finančne storitve vključujejo širši nabor dejavnosti, kot so različne oblike kreditiranja (vključno s faktoringom in forfetiranjem), finančni zakup, plačilne storitve, izdajanje garancij, trgovanje s finančnimi instrumenti, svetovanje podjetjem, upravljanje naložb, hrambo vrednostnih papirjev, kreditne bonitetne storitve, investicijske storitve ter storitve v zvezi z elektronskim denarjem in kriptosredstvi; vse te storitve se štejejo za vzajemno priznane po tem zakonu.</w:t>
      </w:r>
    </w:p>
    <w:p w14:paraId="08138D88" w14:textId="77777777" w:rsidR="005F2EF8" w:rsidRPr="00215B2F" w:rsidRDefault="005F2EF8" w:rsidP="0010347E">
      <w:pPr>
        <w:shd w:val="clear" w:color="auto" w:fill="FFFFFF" w:themeFill="background1"/>
        <w:spacing w:after="0" w:line="240" w:lineRule="auto"/>
        <w:jc w:val="both"/>
        <w:rPr>
          <w:rFonts w:ascii="Arial" w:hAnsi="Arial" w:cs="Arial"/>
          <w:sz w:val="20"/>
          <w:szCs w:val="20"/>
        </w:rPr>
      </w:pPr>
    </w:p>
    <w:p w14:paraId="4EC34294" w14:textId="77777777" w:rsidR="005F2EF8" w:rsidRPr="00215B2F" w:rsidRDefault="005F2EF8" w:rsidP="005F2EF8">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S predlogom zakona se je v primerjavi z ZBan-3 tekom besedila zamenjal termin »posredovanje« v »pošiljanje« (npr. v 13. točki drugega odstavka 5. člena predloga zakona), ki je z vidika lekture ustreznejši izraz. </w:t>
      </w:r>
    </w:p>
    <w:p w14:paraId="0D1A5616" w14:textId="77777777" w:rsidR="00F14B4E" w:rsidRPr="00215B2F" w:rsidRDefault="00F14B4E" w:rsidP="0010347E">
      <w:pPr>
        <w:shd w:val="clear" w:color="auto" w:fill="FFFFFF" w:themeFill="background1"/>
        <w:spacing w:after="0" w:line="240" w:lineRule="auto"/>
        <w:jc w:val="both"/>
        <w:rPr>
          <w:rFonts w:ascii="Arial" w:hAnsi="Arial" w:cs="Arial"/>
          <w:sz w:val="20"/>
          <w:szCs w:val="20"/>
        </w:rPr>
      </w:pPr>
    </w:p>
    <w:p w14:paraId="0A24763E" w14:textId="77777777" w:rsidR="00F14B4E" w:rsidRPr="00215B2F" w:rsidRDefault="00F14B4E" w:rsidP="00F14B4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zvezi s pomenom besedne zveze »upravljanje investicijskih skladov po zakonu, ki ureja upravljanje investicijskih skladov« velja dodatno pojasniti, da je to besedno zvezo potrebno razumeti v širšem smislu in se nanaša na Zakon o investicijskih skladih in družbah za upravljanje (ZISDU-3) in Zakon o upravljavcih alternativnih investicijskih skladov (ZUAIS). V Sloveniji sicer alternativnih investicijskih skladov ni in trenutno tudi niso v postopku ustanovitve. Dodatno velja pojasniti, da se za sheme soudeležbe delavcev pri dobičku ali varčevalne sheme delavcev v skladu z Direktivo 2011/61/EU Evropskega parlamenta in Sveta z dne 8. junija 2011 o upraviteljih alternativnih investicijskih skladov in spremembah direktiv 2003/41/ES in 2009/65/ES ter uredb (ES) št. 1060/2009 in (EU) št. 1095/2010 (AIFMD) uporablja ZUAIS. Agencija za trg vrednostnih papirjev se v dosedanji praksi še ni srečala s primerom, ko bi določena oblika programa udeležbe zaposlenih spadala med alternativne investicijske sklade po ZUAIS. </w:t>
      </w:r>
    </w:p>
    <w:p w14:paraId="2DEAF08D" w14:textId="77777777" w:rsidR="00F14B4E" w:rsidRPr="00215B2F" w:rsidRDefault="00F14B4E" w:rsidP="0010347E">
      <w:pPr>
        <w:shd w:val="clear" w:color="auto" w:fill="FFFFFF" w:themeFill="background1"/>
        <w:spacing w:after="0" w:line="240" w:lineRule="auto"/>
        <w:jc w:val="both"/>
        <w:rPr>
          <w:rFonts w:ascii="Arial" w:hAnsi="Arial" w:cs="Arial"/>
          <w:sz w:val="20"/>
          <w:szCs w:val="20"/>
        </w:rPr>
      </w:pPr>
    </w:p>
    <w:p w14:paraId="65123B8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_Ref203466471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6</w:t>
      </w:r>
      <w:r w:rsidRPr="00215B2F">
        <w:rPr>
          <w:rFonts w:ascii="Arial" w:hAnsi="Arial" w:cs="Arial"/>
          <w:b/>
          <w:bCs/>
          <w:sz w:val="20"/>
          <w:szCs w:val="20"/>
        </w:rPr>
        <w:fldChar w:fldCharType="end"/>
      </w:r>
      <w:r w:rsidRPr="00215B2F">
        <w:rPr>
          <w:rFonts w:ascii="Arial" w:hAnsi="Arial" w:cs="Arial"/>
          <w:b/>
          <w:bCs/>
          <w:sz w:val="20"/>
          <w:szCs w:val="20"/>
        </w:rPr>
        <w:t>. členu (veljavni 6. člen ZBan-3)</w:t>
      </w:r>
    </w:p>
    <w:p w14:paraId="078381B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B15109E" w14:textId="629AC9CE"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ni vsebinskih sprememb. V členu so naštete dodatne in druge finančne storitve. V zvezi z opredelitvijo pomožnih storitev, ki jih sme opravljati banka, je treba upoštevati opredelitev družbe za pomožne storitve, kot je določena v 18. točki prvega odstavka 4. člena Uredbe </w:t>
      </w:r>
      <w:r w:rsidR="00D24496" w:rsidRPr="00215B2F">
        <w:rPr>
          <w:rFonts w:ascii="Arial" w:hAnsi="Arial" w:cs="Arial"/>
          <w:sz w:val="20"/>
          <w:szCs w:val="20"/>
        </w:rPr>
        <w:t>575/2013/EU</w:t>
      </w:r>
      <w:r w:rsidRPr="00215B2F">
        <w:rPr>
          <w:rFonts w:ascii="Arial" w:hAnsi="Arial" w:cs="Arial"/>
          <w:sz w:val="20"/>
          <w:szCs w:val="20"/>
        </w:rPr>
        <w:t xml:space="preserve">. </w:t>
      </w:r>
    </w:p>
    <w:p w14:paraId="522B58E3"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63FDCDF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_Ref202959936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7</w:t>
      </w:r>
      <w:r w:rsidRPr="00215B2F">
        <w:rPr>
          <w:rFonts w:ascii="Arial" w:hAnsi="Arial" w:cs="Arial"/>
          <w:b/>
          <w:bCs/>
          <w:sz w:val="20"/>
          <w:szCs w:val="20"/>
        </w:rPr>
        <w:fldChar w:fldCharType="end"/>
      </w:r>
      <w:r w:rsidRPr="00215B2F">
        <w:rPr>
          <w:rFonts w:ascii="Arial" w:hAnsi="Arial" w:cs="Arial"/>
          <w:b/>
          <w:bCs/>
          <w:sz w:val="20"/>
          <w:szCs w:val="20"/>
        </w:rPr>
        <w:t>. členu (veljavni 7. člen ZBan-3)</w:t>
      </w:r>
    </w:p>
    <w:p w14:paraId="1AD42E5E"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59037C40" w14:textId="6CA84CE9"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r w:rsidRPr="00215B2F">
        <w:rPr>
          <w:rFonts w:ascii="Arial" w:hAnsi="Arial" w:cs="Arial"/>
          <w:sz w:val="20"/>
          <w:szCs w:val="20"/>
        </w:rPr>
        <w:t>Opredelijo se drugi izrazi, ki se uporabljajo v tem zakonu in katerih natančna definicija je pomembna za pravilno izvajanje tega zakona. V primerjavi z ZBan-3 se v predlogu zakona v prvem odstavku med drugim 1. točka, ki se nanaša na definicijo »bančne skupine«, črta, ker je urejena v Uredbi (EU) št. 575/2013 Evropskega parlamenta in Sveta z dne 26. junija 2013 o bonitetnih zahtevah za kreditne institucije in investicijska podjetja ter o spremembi Uredbe (EU) št. 648/2012 (v nadaljnjem besedilu: CRR),</w:t>
      </w:r>
      <w:r w:rsidRPr="00215B2F">
        <w:rPr>
          <w:rStyle w:val="Sprotnaopomba-sklic"/>
          <w:rFonts w:ascii="Arial" w:hAnsi="Arial" w:cs="Arial"/>
          <w:sz w:val="20"/>
          <w:szCs w:val="20"/>
        </w:rPr>
        <w:footnoteReference w:id="5"/>
      </w:r>
      <w:r w:rsidRPr="00215B2F">
        <w:rPr>
          <w:rFonts w:ascii="Arial" w:hAnsi="Arial" w:cs="Arial"/>
          <w:sz w:val="20"/>
          <w:szCs w:val="20"/>
        </w:rPr>
        <w:t xml:space="preserve"> zato posebna ureditev tega izraza v predlaganem zakonu ni potrebna. Doda se definicija finančnega direktorja, kjer gre za prenos prvega odstavka 3. člena CRD. Pri definiciji izraza »finančna družba« se natančneje opredeli podružnica iz tretje države s sklicem na zakon oziroma CRD. Zaradi prenosa prvega odstavka 3. člena CRD se doda izraz »funkcij</w:t>
      </w:r>
      <w:r w:rsidR="007B1A44" w:rsidRPr="00215B2F">
        <w:rPr>
          <w:rFonts w:ascii="Arial" w:hAnsi="Arial" w:cs="Arial"/>
          <w:sz w:val="20"/>
          <w:szCs w:val="20"/>
        </w:rPr>
        <w:t>e</w:t>
      </w:r>
      <w:r w:rsidRPr="00215B2F">
        <w:rPr>
          <w:rFonts w:ascii="Arial" w:hAnsi="Arial" w:cs="Arial"/>
          <w:sz w:val="20"/>
          <w:szCs w:val="20"/>
        </w:rPr>
        <w:t xml:space="preserve"> notranje kontrole«, ki pomeni funkcije upravljanja tveganj, zagotavljanja skladnosti in notranje revizije, izraz »kriptosredstvo« z referenco na Uredbo 2023/1114/EU, črta se izraz »modelsko tveganje«, saj je opredeljen že v CRR, doda se izraz »nosilci ključnih funkcij«, ki pomeni </w:t>
      </w:r>
      <w:r w:rsidRPr="00215B2F">
        <w:rPr>
          <w:rFonts w:ascii="Arial" w:eastAsia="Arial" w:hAnsi="Arial" w:cs="Arial"/>
          <w:sz w:val="20"/>
          <w:szCs w:val="20"/>
        </w:rPr>
        <w:t xml:space="preserve">osebe, ki imajo pomemben vpliv na vodenje banke, vendar niso člani upravljalnega organa, vključno z vodji funkcij notranje kontrole in finančnim direktorjem, kadar te vodje ali ta direktor niso člani upravljalnega organa. </w:t>
      </w:r>
      <w:r w:rsidRPr="00215B2F">
        <w:rPr>
          <w:rFonts w:ascii="Arial" w:hAnsi="Arial" w:cs="Arial"/>
          <w:sz w:val="20"/>
          <w:szCs w:val="20"/>
        </w:rPr>
        <w:t>Zaradi prenosa prvega odstavka 3. člena CRD</w:t>
      </w:r>
      <w:r w:rsidRPr="00215B2F">
        <w:rPr>
          <w:rFonts w:ascii="Arial" w:eastAsia="Arial" w:hAnsi="Arial" w:cs="Arial"/>
          <w:sz w:val="20"/>
          <w:szCs w:val="20"/>
        </w:rPr>
        <w:t xml:space="preserve"> se uskladi izraz »notranji pristop« z referencami na CRR, podrobneje se opredelita izraza »organ nadzora« in »organ vodenja«, doda se izraz »periodična denarna kazen«, ki pomeni ponavljajočo se denarno </w:t>
      </w:r>
      <w:r w:rsidRPr="00215B2F">
        <w:rPr>
          <w:rFonts w:ascii="Arial" w:eastAsia="Arial" w:hAnsi="Arial" w:cs="Arial"/>
          <w:sz w:val="20"/>
          <w:szCs w:val="20"/>
        </w:rPr>
        <w:lastRenderedPageBreak/>
        <w:t>sankcijo z namenom ustavitve trajajoče kršitve predlaganega zakona, ali CRR, doda se izraz »podnebna nevtralnost« z referenco na Uredbo 2021/1119/EU in izraz »samostojna banka v Uniji«, ki pomeni banko, za katero v Evropski uniji ne velja bonitetna konsolidacija na podlagi CRR in ki nima EU nadrejene osebe, za katero velja takšna bonitetna konsolidacija. Zaradi navedenega prenosa se uskladi tudi izraz »višje vodstvo« ter doda izraz »vodje funkcij notranje kontrole«. Izraz »zunanje izvajanje« se bolj natančno opredeli.</w:t>
      </w:r>
    </w:p>
    <w:p w14:paraId="18A74517" w14:textId="77777777" w:rsidR="00DA6DA2" w:rsidRPr="00215B2F" w:rsidRDefault="00DA6DA2" w:rsidP="0010347E">
      <w:pPr>
        <w:shd w:val="clear" w:color="auto" w:fill="FFFFFF" w:themeFill="background1"/>
        <w:spacing w:after="0" w:line="240" w:lineRule="auto"/>
        <w:jc w:val="both"/>
        <w:rPr>
          <w:rFonts w:ascii="Arial" w:eastAsia="Arial" w:hAnsi="Arial" w:cs="Arial"/>
          <w:sz w:val="20"/>
          <w:szCs w:val="20"/>
        </w:rPr>
      </w:pPr>
    </w:p>
    <w:p w14:paraId="3C1DDE10" w14:textId="4C56E25E" w:rsidR="00AE5BFE" w:rsidRPr="00215B2F" w:rsidRDefault="00AE5BFE" w:rsidP="0010347E">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V zvezi z opredelitvijo izredne javne pomoči (14. točka) velja izpostaviti, da gre </w:t>
      </w:r>
      <w:r w:rsidRPr="00215B2F">
        <w:rPr>
          <w:rFonts w:ascii="Arial" w:hAnsi="Arial" w:cs="Arial"/>
          <w:sz w:val="20"/>
          <w:szCs w:val="20"/>
        </w:rPr>
        <w:t>za opredelitev državne pomoči. Slednja mora biti pomoč skladna s pravili o državnih pomočeh, ki veljajo za finančne institucije in se lahko začne izvajati, po pozitivni odločitvi Evropske komisije.</w:t>
      </w:r>
    </w:p>
    <w:p w14:paraId="4B1CC09A" w14:textId="77777777" w:rsidR="00AE5BFE" w:rsidRPr="00215B2F" w:rsidRDefault="00AE5BFE" w:rsidP="0010347E">
      <w:pPr>
        <w:shd w:val="clear" w:color="auto" w:fill="FFFFFF" w:themeFill="background1"/>
        <w:spacing w:after="0" w:line="240" w:lineRule="auto"/>
        <w:jc w:val="both"/>
        <w:rPr>
          <w:rFonts w:ascii="Arial" w:eastAsia="Arial" w:hAnsi="Arial" w:cs="Arial"/>
          <w:sz w:val="20"/>
          <w:szCs w:val="20"/>
        </w:rPr>
      </w:pPr>
    </w:p>
    <w:p w14:paraId="41BF9775" w14:textId="77777777" w:rsidR="00DA6DA2" w:rsidRPr="00215B2F" w:rsidRDefault="00DA6DA2" w:rsidP="00DA6DA2">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V ZBan-3 velja omeniti definicijo »ožjega družinskega člana«, ki po ZBan-3 pomeni osebo, ki je v razmerju do druge osebe:</w:t>
      </w:r>
    </w:p>
    <w:p w14:paraId="6E22359F" w14:textId="77777777" w:rsidR="00DA6DA2" w:rsidRPr="00215B2F" w:rsidRDefault="00DA6DA2" w:rsidP="00DA6DA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njen zakonec ali oseba, s katero posameznik živi v dalj časa trajajoči življenjski skupnosti, ki ima po zakonu, ki ureja zakonsko zvezo in družinska razmerja, enake pravne posledice kot zakonska zveza,</w:t>
      </w:r>
    </w:p>
    <w:p w14:paraId="317017F6" w14:textId="77777777" w:rsidR="00DA6DA2" w:rsidRPr="00215B2F" w:rsidRDefault="00DA6DA2" w:rsidP="00DA6DA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otrok ali posvojenec te osebe ali osebe iz prejšnje alineje,</w:t>
      </w:r>
    </w:p>
    <w:p w14:paraId="3454144E" w14:textId="77777777" w:rsidR="00DA6DA2" w:rsidRPr="00215B2F" w:rsidRDefault="00DA6DA2" w:rsidP="00DA6DA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druga oseba, ki ji je dodeljena v skrbništvo, ali</w:t>
      </w:r>
    </w:p>
    <w:p w14:paraId="189BC94F" w14:textId="77777777" w:rsidR="00DA6DA2" w:rsidRPr="00215B2F" w:rsidRDefault="00DA6DA2" w:rsidP="00DA6DA2">
      <w:pPr>
        <w:numPr>
          <w:ilvl w:val="0"/>
          <w:numId w:val="26"/>
        </w:numPr>
        <w:shd w:val="clear" w:color="auto" w:fill="FFFFFF" w:themeFill="background1"/>
        <w:spacing w:after="0" w:line="240" w:lineRule="auto"/>
        <w:ind w:left="717"/>
        <w:jc w:val="both"/>
        <w:rPr>
          <w:rFonts w:ascii="Arial" w:hAnsi="Arial" w:cs="Arial"/>
          <w:sz w:val="20"/>
          <w:szCs w:val="20"/>
        </w:rPr>
      </w:pPr>
      <w:r w:rsidRPr="00215B2F">
        <w:rPr>
          <w:rFonts w:ascii="Arial" w:eastAsia="Arial" w:hAnsi="Arial" w:cs="Arial"/>
          <w:sz w:val="20"/>
          <w:szCs w:val="20"/>
        </w:rPr>
        <w:t>starš ali posvojitelj te osebe ali osebe iz prve alineje te točke;</w:t>
      </w:r>
    </w:p>
    <w:p w14:paraId="04FCEE56" w14:textId="77777777" w:rsidR="00DA6DA2" w:rsidRPr="00215B2F" w:rsidRDefault="00DA6DA2" w:rsidP="0010347E">
      <w:pPr>
        <w:shd w:val="clear" w:color="auto" w:fill="FFFFFF" w:themeFill="background1"/>
        <w:spacing w:after="0" w:line="240" w:lineRule="auto"/>
        <w:jc w:val="both"/>
        <w:rPr>
          <w:rFonts w:ascii="Arial" w:eastAsia="Arial" w:hAnsi="Arial" w:cs="Arial"/>
          <w:sz w:val="20"/>
          <w:szCs w:val="20"/>
        </w:rPr>
      </w:pPr>
    </w:p>
    <w:p w14:paraId="549183A9" w14:textId="09D2B04A" w:rsidR="00DA6DA2" w:rsidRPr="00215B2F" w:rsidRDefault="00054679" w:rsidP="00DA6DA2">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S predlogom zakona </w:t>
      </w:r>
      <w:r w:rsidR="00DA6DA2" w:rsidRPr="00215B2F">
        <w:rPr>
          <w:rFonts w:ascii="Arial" w:eastAsia="Arial" w:hAnsi="Arial" w:cs="Arial"/>
          <w:sz w:val="20"/>
          <w:szCs w:val="20"/>
        </w:rPr>
        <w:t xml:space="preserve">se v </w:t>
      </w:r>
      <w:r w:rsidR="00DA6DA2" w:rsidRPr="00215B2F">
        <w:rPr>
          <w:rFonts w:ascii="Arial" w:hAnsi="Arial" w:cs="Arial"/>
          <w:sz w:val="20"/>
          <w:szCs w:val="20"/>
        </w:rPr>
        <w:t>drugi alineji, ki določa besedilo »otrok ali posvojenec te osebe ali osebe iz prejšnje alineje« glede na ZBan-3 črta beseda »posvojenec«.</w:t>
      </w:r>
      <w:r w:rsidR="00DA6DA2" w:rsidRPr="00215B2F">
        <w:rPr>
          <w:rFonts w:ascii="Arial" w:eastAsia="Arial" w:hAnsi="Arial" w:cs="Arial"/>
          <w:sz w:val="20"/>
          <w:szCs w:val="20"/>
        </w:rPr>
        <w:t xml:space="preserve"> V tretji alineji se </w:t>
      </w:r>
      <w:r w:rsidR="00DA6DA2" w:rsidRPr="00215B2F">
        <w:rPr>
          <w:rFonts w:ascii="Arial" w:hAnsi="Arial" w:cs="Arial"/>
          <w:sz w:val="20"/>
          <w:szCs w:val="20"/>
        </w:rPr>
        <w:t>besedilo »druga oseba, ki ji je dodeljena v skrbništvo« glede na ZBAn-3 nadomesti z besedo »varovanec«. V četrti alineji, ki določa besedilo »starš ali posvojitelj te osebe ali osebe iz prve alineje te točke«, se glede na ZBan-3 črta beseda »posvojitelj«.</w:t>
      </w:r>
    </w:p>
    <w:p w14:paraId="6AAEA2D7" w14:textId="77777777" w:rsidR="00DA6DA2" w:rsidRPr="00215B2F" w:rsidRDefault="00DA6DA2" w:rsidP="0010347E">
      <w:pPr>
        <w:shd w:val="clear" w:color="auto" w:fill="FFFFFF" w:themeFill="background1"/>
        <w:spacing w:after="0" w:line="240" w:lineRule="auto"/>
        <w:jc w:val="both"/>
        <w:rPr>
          <w:rFonts w:ascii="Arial" w:eastAsia="Arial" w:hAnsi="Arial" w:cs="Arial"/>
          <w:sz w:val="20"/>
          <w:szCs w:val="20"/>
        </w:rPr>
      </w:pPr>
    </w:p>
    <w:p w14:paraId="109739BC" w14:textId="77777777" w:rsidR="00DA6DA2" w:rsidRPr="00215B2F" w:rsidRDefault="00DA6DA2" w:rsidP="00DA6DA2">
      <w:pPr>
        <w:spacing w:after="0" w:line="240" w:lineRule="auto"/>
        <w:jc w:val="both"/>
        <w:rPr>
          <w:rFonts w:ascii="Arial" w:hAnsi="Arial" w:cs="Arial"/>
          <w:sz w:val="20"/>
          <w:szCs w:val="20"/>
        </w:rPr>
      </w:pPr>
      <w:r w:rsidRPr="00215B2F">
        <w:rPr>
          <w:rFonts w:ascii="Arial" w:hAnsi="Arial" w:cs="Arial"/>
          <w:sz w:val="20"/>
          <w:szCs w:val="20"/>
        </w:rPr>
        <w:t>V skladu z Družinskim zakonikom (Uradni list RS, št. 15/17, 21/18 – ZNOrg, 22/19, 67/19 – ZMatR-C, 200/20 – ZOOMTVI, 94/22 – odl. US, 94/22 – odl. US, 5/23 in 34/24 – odl. US; v nadaljnjem besedilu: DZ) s posvojitvijo nastanejo med otrokom in njegovimi potomci ter posvojiteljem in njegovimi sorodniki enaka razmerja kakor med sorodniki, če zakon ne določa drugače. Glede na navedeno se pojem posvojenec ali posvojitelj ne uporablja v zakonskih besedilih pri opredelitvi razmerij med starši in otroki, pač pa zadoščata pojma otrok in starši.</w:t>
      </w:r>
    </w:p>
    <w:p w14:paraId="148EA76F" w14:textId="77777777" w:rsidR="00DA6DA2" w:rsidRPr="00215B2F" w:rsidRDefault="00DA6DA2" w:rsidP="00DA6DA2">
      <w:pPr>
        <w:spacing w:after="0" w:line="240" w:lineRule="auto"/>
        <w:jc w:val="both"/>
        <w:rPr>
          <w:rFonts w:ascii="Arial" w:hAnsi="Arial" w:cs="Arial"/>
          <w:sz w:val="20"/>
          <w:szCs w:val="20"/>
        </w:rPr>
      </w:pPr>
    </w:p>
    <w:p w14:paraId="3FBA0166" w14:textId="77777777" w:rsidR="00DA6DA2" w:rsidRPr="00215B2F" w:rsidRDefault="00DA6DA2" w:rsidP="00DA6DA2">
      <w:pPr>
        <w:shd w:val="clear" w:color="auto" w:fill="FFFFFF" w:themeFill="background1"/>
        <w:spacing w:after="0" w:line="240" w:lineRule="auto"/>
        <w:jc w:val="both"/>
        <w:rPr>
          <w:rFonts w:ascii="Arial" w:eastAsia="Arial" w:hAnsi="Arial" w:cs="Arial"/>
          <w:sz w:val="20"/>
          <w:szCs w:val="20"/>
        </w:rPr>
      </w:pPr>
      <w:r w:rsidRPr="00215B2F">
        <w:rPr>
          <w:rFonts w:ascii="Arial" w:hAnsi="Arial" w:cs="Arial"/>
          <w:sz w:val="20"/>
          <w:szCs w:val="20"/>
        </w:rPr>
        <w:t>DZ določa, da se otrok (257. člen DZ) ali odrasla oseba (262. člen DZ) postavita pod skrbništvo. Za otroka in odraslo osebo, ki sta postavljena pod skrbništvo, DZ uporablja termin varovanec.</w:t>
      </w:r>
    </w:p>
    <w:p w14:paraId="75C2949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4CC446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_Ref202959955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8</w:t>
      </w:r>
      <w:r w:rsidRPr="00215B2F">
        <w:rPr>
          <w:rFonts w:ascii="Arial" w:hAnsi="Arial" w:cs="Arial"/>
          <w:b/>
          <w:bCs/>
          <w:sz w:val="20"/>
          <w:szCs w:val="20"/>
        </w:rPr>
        <w:fldChar w:fldCharType="end"/>
      </w:r>
      <w:r w:rsidRPr="00215B2F">
        <w:rPr>
          <w:rFonts w:ascii="Arial" w:hAnsi="Arial" w:cs="Arial"/>
          <w:b/>
          <w:bCs/>
          <w:sz w:val="20"/>
          <w:szCs w:val="20"/>
        </w:rPr>
        <w:t>. členu (veljavni 8. člen ZBan-3)</w:t>
      </w:r>
    </w:p>
    <w:p w14:paraId="6B69A09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E4304B8" w14:textId="3ACBAE41"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členu so navedeni izrazi, ki se v tem zakonu uporabljajo v enakem pomenu, kot so opredeljeni v Uredbi </w:t>
      </w:r>
      <w:r w:rsidR="00D24496" w:rsidRPr="00215B2F">
        <w:rPr>
          <w:rFonts w:ascii="Arial" w:hAnsi="Arial" w:cs="Arial"/>
          <w:sz w:val="20"/>
          <w:szCs w:val="20"/>
        </w:rPr>
        <w:t>575/2013/EU</w:t>
      </w:r>
      <w:r w:rsidRPr="00215B2F">
        <w:rPr>
          <w:rFonts w:ascii="Arial" w:hAnsi="Arial" w:cs="Arial"/>
          <w:sz w:val="20"/>
          <w:szCs w:val="20"/>
        </w:rPr>
        <w:t xml:space="preserve">. V primerjavi z ZBan-3 se v predlogu zakona v tretjem odstavku dopolnjuje tretja alineja kot sledi v nadaljevanju (podčrtano besedilo): </w:t>
      </w:r>
    </w:p>
    <w:p w14:paraId="7C18D97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05C77A9" w14:textId="77777777" w:rsidR="0010347E" w:rsidRPr="00215B2F" w:rsidRDefault="0010347E" w:rsidP="0010347E">
      <w:pPr>
        <w:shd w:val="clear" w:color="auto" w:fill="FFFFFF" w:themeFill="background1"/>
        <w:spacing w:after="0" w:line="240" w:lineRule="auto"/>
        <w:jc w:val="both"/>
        <w:rPr>
          <w:rFonts w:ascii="Arial" w:hAnsi="Arial" w:cs="Arial"/>
          <w:i/>
          <w:iCs/>
          <w:sz w:val="20"/>
          <w:szCs w:val="20"/>
        </w:rPr>
      </w:pPr>
      <w:r w:rsidRPr="00215B2F">
        <w:rPr>
          <w:rFonts w:ascii="Arial" w:eastAsia="Arial" w:hAnsi="Arial" w:cs="Arial"/>
          <w:i/>
          <w:iCs/>
          <w:sz w:val="20"/>
          <w:szCs w:val="20"/>
        </w:rPr>
        <w:t xml:space="preserve">»podrejeno kreditno institucijo, ki je imenovana kot odgovorna za zagotavljanje izpopolnjevanja bonitetnih zahtev skupine na konsolidirani podlagi, kadar jo obvladuje EU nadrejeni finančni holding, EU nadrejeni mešani finančni holding, </w:t>
      </w:r>
      <w:r w:rsidRPr="00215B2F">
        <w:rPr>
          <w:rFonts w:ascii="Arial" w:eastAsia="Arial" w:hAnsi="Arial" w:cs="Arial"/>
          <w:i/>
          <w:iCs/>
          <w:sz w:val="20"/>
          <w:szCs w:val="20"/>
          <w:u w:val="single"/>
        </w:rPr>
        <w:t>podrejeni finančni holding ali mešani finančni holding, ki sta imenovana kot odgovorna za zagotavljanje izpolnjevanja bonitetnih zahtev skupine na konsolidirani podlagi</w:t>
      </w:r>
      <w:r w:rsidRPr="00215B2F">
        <w:rPr>
          <w:rFonts w:ascii="Arial" w:eastAsia="Arial" w:hAnsi="Arial" w:cs="Arial"/>
          <w:i/>
          <w:iCs/>
          <w:sz w:val="20"/>
          <w:szCs w:val="20"/>
        </w:rPr>
        <w:t xml:space="preserve">, nadrejeni finančni holding v državi članici ali nadrejeni mešani finančni holding v državi članici, če ta nadrejena oseba ne potrebuje odobritve v skladu s 86. </w:t>
      </w:r>
      <w:r w:rsidRPr="00215B2F">
        <w:rPr>
          <w:rFonts w:ascii="Arial" w:eastAsia="Arial" w:hAnsi="Arial" w:cs="Arial"/>
          <w:i/>
          <w:sz w:val="20"/>
          <w:szCs w:val="20"/>
        </w:rPr>
        <w:t>členom tega zakona</w:t>
      </w:r>
      <w:r w:rsidRPr="00215B2F">
        <w:rPr>
          <w:rFonts w:ascii="Arial" w:eastAsia="Arial" w:hAnsi="Arial" w:cs="Arial"/>
          <w:i/>
          <w:iCs/>
          <w:sz w:val="20"/>
          <w:szCs w:val="20"/>
        </w:rPr>
        <w:t xml:space="preserve"> oziroma četrtim odstavkom 21.a člena Direktive 2013/36/EU;«.</w:t>
      </w:r>
    </w:p>
    <w:p w14:paraId="566773E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9D7034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S tretjim odstavkom se sicer prenaša 3. člen CRD. </w:t>
      </w:r>
    </w:p>
    <w:p w14:paraId="28A636E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B96046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_Ref202959969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9</w:t>
      </w:r>
      <w:r w:rsidRPr="00215B2F">
        <w:rPr>
          <w:rFonts w:ascii="Arial" w:hAnsi="Arial" w:cs="Arial"/>
          <w:b/>
          <w:bCs/>
          <w:sz w:val="20"/>
          <w:szCs w:val="20"/>
        </w:rPr>
        <w:fldChar w:fldCharType="end"/>
      </w:r>
      <w:r w:rsidRPr="00215B2F">
        <w:rPr>
          <w:rFonts w:ascii="Arial" w:hAnsi="Arial" w:cs="Arial"/>
          <w:b/>
          <w:bCs/>
          <w:sz w:val="20"/>
          <w:szCs w:val="20"/>
        </w:rPr>
        <w:t>. členu (veljavni 9. člen ZBan-3)</w:t>
      </w:r>
    </w:p>
    <w:p w14:paraId="1533C94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EBC49F4" w14:textId="1A60F5FF"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Člen določa pristojni organ za izvajanje nadzora nad bankami v Republiki Sloveniji, in sicer je za to pristojna Banka Slovenije, razen nalog in pristojnosti bonitetnega nadzora, za katere je v skladu z Uredbo EU št. 1024/2013 pristojna in odgovorna </w:t>
      </w:r>
      <w:r w:rsidRPr="00215B2F">
        <w:rPr>
          <w:rFonts w:ascii="Arial" w:eastAsia="Arial" w:hAnsi="Arial" w:cs="Arial"/>
          <w:sz w:val="20"/>
          <w:szCs w:val="20"/>
        </w:rPr>
        <w:t>ECB</w:t>
      </w:r>
      <w:r w:rsidRPr="00215B2F">
        <w:rPr>
          <w:rFonts w:ascii="Arial" w:hAnsi="Arial" w:cs="Arial"/>
          <w:sz w:val="20"/>
          <w:szCs w:val="20"/>
        </w:rPr>
        <w:t xml:space="preserve">. Predlog člena pomeni prenos 4. člena CRD, ki določa, da države članice imenujejo pristojne organe, ki opravljajo funkcije in naloge iz CRD in Uredbe </w:t>
      </w:r>
      <w:r w:rsidR="00D24496" w:rsidRPr="00215B2F">
        <w:rPr>
          <w:rFonts w:ascii="Arial" w:hAnsi="Arial" w:cs="Arial"/>
          <w:sz w:val="20"/>
          <w:szCs w:val="20"/>
        </w:rPr>
        <w:t>575/2013/EU</w:t>
      </w:r>
      <w:r w:rsidRPr="00215B2F">
        <w:rPr>
          <w:rFonts w:ascii="Arial" w:hAnsi="Arial" w:cs="Arial"/>
          <w:sz w:val="20"/>
          <w:szCs w:val="20"/>
        </w:rPr>
        <w:t xml:space="preserve">. </w:t>
      </w:r>
    </w:p>
    <w:p w14:paraId="186E0E3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1239E6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lastRenderedPageBreak/>
        <w:t xml:space="preserve">V primerjavi z ZBan-3 se dodaja nov odstavek, ki določa, da kadar je za naloge bonitetnega nadzora v skladu z Uredbo 1024/2013/EU pristojna </w:t>
      </w:r>
      <w:r w:rsidRPr="00215B2F">
        <w:rPr>
          <w:rFonts w:ascii="Arial" w:eastAsia="Arial" w:hAnsi="Arial" w:cs="Arial"/>
          <w:sz w:val="20"/>
          <w:szCs w:val="20"/>
        </w:rPr>
        <w:t>ECB</w:t>
      </w:r>
      <w:r w:rsidRPr="00215B2F">
        <w:rPr>
          <w:rFonts w:ascii="Arial" w:hAnsi="Arial" w:cs="Arial"/>
          <w:sz w:val="20"/>
          <w:szCs w:val="20"/>
        </w:rPr>
        <w:t xml:space="preserve">, ta prevzame naloge, pristojnosti in pooblastila, ki jih zakon sicer dodeljuje Banki Slovenije, pri čemer se v besedilu zakona namesto izraza »Banka Slovenije« uporablja »Evropska centralna banka«, razen če zakon določa drugače. Neenotna ureditev izhaja še iz začetka enotnega mehanizma nadzora, ko ni bilo popolnoma jasno, kako točno bosta razmejitev pristojnosti in navajanje pravne podlage potekala v praksi. Glede na to, da je razmejitev pristojnosti jasno določena v Uredbi 1024/2013/EU v povezavi z okvirno uredbo ECB 468/2014, je predlagano, da se doda generalna klavzula, v posameznih delih, kjer se zakon sklicuje na pristojnost </w:t>
      </w:r>
      <w:r w:rsidRPr="00215B2F">
        <w:rPr>
          <w:rFonts w:ascii="Arial" w:eastAsia="Arial" w:hAnsi="Arial" w:cs="Arial"/>
          <w:sz w:val="20"/>
          <w:szCs w:val="20"/>
        </w:rPr>
        <w:t>ECB,</w:t>
      </w:r>
      <w:r w:rsidRPr="00215B2F">
        <w:rPr>
          <w:rFonts w:ascii="Arial" w:hAnsi="Arial" w:cs="Arial"/>
          <w:sz w:val="20"/>
          <w:szCs w:val="20"/>
        </w:rPr>
        <w:t xml:space="preserve"> pa se ti sklici brišejo.</w:t>
      </w:r>
    </w:p>
    <w:p w14:paraId="5E80DA7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04ADE08" w14:textId="77777777"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r w:rsidRPr="00215B2F">
        <w:rPr>
          <w:rFonts w:ascii="Arial" w:hAnsi="Arial" w:cs="Arial"/>
          <w:sz w:val="20"/>
          <w:szCs w:val="20"/>
        </w:rPr>
        <w:t xml:space="preserve">Z novim odstavkom se določa, da </w:t>
      </w:r>
      <w:r w:rsidRPr="00215B2F">
        <w:rPr>
          <w:rFonts w:ascii="Arial" w:eastAsia="Arial" w:hAnsi="Arial" w:cs="Arial"/>
          <w:sz w:val="20"/>
          <w:szCs w:val="20"/>
        </w:rPr>
        <w:t xml:space="preserve">Banka Slovenije vsaj enkrat letno sprejme in javno objavi cilje glede izvajanja nadzora iz prvega odstavka tega člena. Gre za prenos 4.a člena CRD (drugi odstavek – tretji pododstavek). </w:t>
      </w:r>
    </w:p>
    <w:p w14:paraId="23348C9C"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3202FCE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_Ref202959977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10</w:t>
      </w:r>
      <w:r w:rsidRPr="00215B2F">
        <w:rPr>
          <w:rFonts w:ascii="Arial" w:hAnsi="Arial" w:cs="Arial"/>
          <w:b/>
          <w:bCs/>
          <w:sz w:val="20"/>
          <w:szCs w:val="20"/>
        </w:rPr>
        <w:fldChar w:fldCharType="end"/>
      </w:r>
      <w:r w:rsidRPr="00215B2F">
        <w:rPr>
          <w:rFonts w:ascii="Arial" w:hAnsi="Arial" w:cs="Arial"/>
          <w:b/>
          <w:bCs/>
          <w:sz w:val="20"/>
          <w:szCs w:val="20"/>
        </w:rPr>
        <w:t>. členu (veljavni 10. člen ZBan-3)</w:t>
      </w:r>
    </w:p>
    <w:p w14:paraId="37AC5D7E"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6A8B7A1F"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ni vsebinskih sprememb. Člen določa pravno podlago Banki Slovenije za izdajanje usmeritev, ki vsebujejo splošna in podrobnejša pravila za enotno razlago in uporabo predpisov ter za oblikovanje dobre prakse. Usmeritve so naslovljene na subjekte nadzora. Ker gre za omejen krog naslovnikov, je za njihovo učinkovanje predvidena le objava na spletni strani Banke Slovenije. </w:t>
      </w:r>
    </w:p>
    <w:p w14:paraId="03D8DED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1E8AC74"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Usmeritve, ki jih na podlagi člena izdaja Banka Slovenije in ki vsebujejo splošna in podrobnejša pravila za enotno razlago in uporabo predpisov ter oblikovanje dobre prakse, so lahko zgolj pojasnilne narave. To pomeni, da ne vsebujejo </w:t>
      </w:r>
      <w:r w:rsidRPr="00215B2F">
        <w:rPr>
          <w:rStyle w:val="home-content-docnumlabel-bold"/>
          <w:rFonts w:eastAsia="Impact" w:cs="Arial"/>
          <w:sz w:val="20"/>
          <w:szCs w:val="20"/>
        </w:rPr>
        <w:t>splošnih in abstraktnih norm, ki navzven povzročajo pravne učinke.</w:t>
      </w:r>
    </w:p>
    <w:p w14:paraId="462C9E4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8C0F63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_Ref202959990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11</w:t>
      </w:r>
      <w:r w:rsidRPr="00215B2F">
        <w:rPr>
          <w:rFonts w:ascii="Arial" w:hAnsi="Arial" w:cs="Arial"/>
          <w:b/>
          <w:bCs/>
          <w:sz w:val="20"/>
          <w:szCs w:val="20"/>
        </w:rPr>
        <w:fldChar w:fldCharType="end"/>
      </w:r>
      <w:r w:rsidRPr="00215B2F">
        <w:rPr>
          <w:rFonts w:ascii="Arial" w:hAnsi="Arial" w:cs="Arial"/>
          <w:b/>
          <w:bCs/>
          <w:sz w:val="20"/>
          <w:szCs w:val="20"/>
        </w:rPr>
        <w:t>. členu (veljavni 11. člen ZBan-3)</w:t>
      </w:r>
    </w:p>
    <w:p w14:paraId="5DB26F7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16A75F5"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členom se določa, da je Banka Slovenije kot imenovani organ pristojna za izvajanje 124., 164. in 458. člena Uredbe 575/2013/EU, kar vključuje določanje ukrepov za omejevanje makrobonitetnega ali sistemskega tveganja ter kapitalskih blažilnikov za banke. Pri izvajanju 124. in 164. člena tesno sodeluje z </w:t>
      </w:r>
      <w:r w:rsidRPr="00215B2F">
        <w:rPr>
          <w:rFonts w:eastAsia="Arial" w:cs="Arial"/>
          <w:sz w:val="20"/>
          <w:szCs w:val="20"/>
        </w:rPr>
        <w:t>ECB</w:t>
      </w:r>
      <w:r w:rsidRPr="00215B2F">
        <w:rPr>
          <w:rFonts w:cs="Arial"/>
          <w:sz w:val="20"/>
          <w:szCs w:val="20"/>
        </w:rPr>
        <w:t>, kadar je ta pristojna za bonitetni nadzor, zlasti z izmenjavo informacij in usklajevanjem ukrepov, pri čemer uradna obvestila pošilja tudi ECB.</w:t>
      </w:r>
    </w:p>
    <w:p w14:paraId="0C3BF00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274F777"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se v prvem odstavku dodaja, da je Banka Slovenije pristojna tudi za </w:t>
      </w:r>
      <w:r w:rsidRPr="00215B2F">
        <w:rPr>
          <w:rFonts w:eastAsia="Arial" w:cs="Arial"/>
          <w:sz w:val="20"/>
          <w:szCs w:val="20"/>
        </w:rPr>
        <w:t xml:space="preserve">ocenjevanje sistemske pomembnosti podružnic iz tretjih držav tega zakona. Gre za prenos 48.i člena CRD. </w:t>
      </w:r>
    </w:p>
    <w:p w14:paraId="0C467AC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1FAA71E" w14:textId="35B35438" w:rsidR="00BB5BEC" w:rsidRPr="00215B2F" w:rsidRDefault="00BB5BEC" w:rsidP="00BB5BEC">
      <w:pPr>
        <w:spacing w:after="0" w:line="240" w:lineRule="auto"/>
        <w:jc w:val="both"/>
        <w:rPr>
          <w:rFonts w:ascii="Arial" w:eastAsia="Arial" w:hAnsi="Arial" w:cs="Arial"/>
          <w:szCs w:val="20"/>
        </w:rPr>
      </w:pPr>
      <w:r w:rsidRPr="00215B2F">
        <w:rPr>
          <w:rFonts w:ascii="Arial" w:eastAsia="Arial" w:hAnsi="Arial" w:cs="Arial"/>
          <w:sz w:val="20"/>
          <w:szCs w:val="20"/>
        </w:rPr>
        <w:t xml:space="preserve">Dodatno se z novimi petim do devetim odstavkom (glede na ZBan-3) določa, da Banka Slovenije za izvajanje (mikro in makro) bonitetnega nadzora zbira podatke in informacije o kreditnih poslih v psevdonimizirani obliki. Zbiranje podatkov temelji tudi na številnih EU aktih. Način </w:t>
      </w:r>
      <w:r w:rsidR="00E65BD8" w:rsidRPr="00215B2F">
        <w:rPr>
          <w:rFonts w:ascii="Arial" w:eastAsia="Arial" w:hAnsi="Arial" w:cs="Arial"/>
          <w:sz w:val="20"/>
          <w:szCs w:val="20"/>
        </w:rPr>
        <w:t xml:space="preserve">poročanja </w:t>
      </w:r>
      <w:r w:rsidRPr="00215B2F">
        <w:rPr>
          <w:rFonts w:ascii="Arial" w:eastAsia="Arial" w:hAnsi="Arial" w:cs="Arial"/>
          <w:sz w:val="20"/>
          <w:szCs w:val="20"/>
        </w:rPr>
        <w:t>je danes podrobneje urejen na podzakonski ravni v Sklepu o poročanju monetarnih finančnih institucij. Upoštevaje spremembe na področju varstva osebnih podatkov in s tem povezana mnenja Informacijskega pooblaščenca je za zagotovitev skladnosti poročanja z zahtevami na področju varstva osebnih podatkov potrebna opredelitev vrste osebnih podatkov, kategorij posameznikov, namen njihove obdelave in roka hrambe na zakonski ravni (in ne več v podzakonskih aktih). Ker gre za zbiranje podatkov za makrobonitetni namen je dopolnitev</w:t>
      </w:r>
      <w:r w:rsidRPr="00215B2F">
        <w:rPr>
          <w:rFonts w:ascii="Arial" w:hAnsi="Arial" w:cs="Arial"/>
          <w:b/>
          <w:bCs/>
          <w:sz w:val="20"/>
          <w:szCs w:val="20"/>
        </w:rPr>
        <w:t xml:space="preserve"> </w:t>
      </w:r>
      <w:r w:rsidRPr="00215B2F">
        <w:rPr>
          <w:rFonts w:ascii="Arial" w:hAnsi="Arial" w:cs="Arial"/>
          <w:sz w:val="20"/>
          <w:szCs w:val="20"/>
        </w:rPr>
        <w:t>Zakona o markobonitetnem nadzoru finančnega sistema</w:t>
      </w:r>
      <w:r w:rsidRPr="00215B2F">
        <w:rPr>
          <w:rFonts w:ascii="Arial" w:eastAsia="Arial" w:hAnsi="Arial" w:cs="Arial"/>
          <w:sz w:val="20"/>
          <w:szCs w:val="20"/>
        </w:rPr>
        <w:t xml:space="preserve"> nujna za zakonito izvajanje poročanja tudi v prihodnje. </w:t>
      </w:r>
    </w:p>
    <w:p w14:paraId="67BDC82A" w14:textId="77777777" w:rsidR="00BB5BEC" w:rsidRPr="00215B2F" w:rsidRDefault="00BB5BEC" w:rsidP="0010347E">
      <w:pPr>
        <w:pStyle w:val="Odstavek"/>
        <w:shd w:val="clear" w:color="auto" w:fill="FFFFFF" w:themeFill="background1"/>
        <w:spacing w:before="0"/>
        <w:ind w:firstLine="0"/>
        <w:rPr>
          <w:rFonts w:cs="Arial"/>
          <w:sz w:val="20"/>
          <w:szCs w:val="20"/>
        </w:rPr>
      </w:pPr>
    </w:p>
    <w:p w14:paraId="06E1098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_Ref202959997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12</w:t>
      </w:r>
      <w:r w:rsidRPr="00215B2F">
        <w:rPr>
          <w:rFonts w:ascii="Arial" w:hAnsi="Arial" w:cs="Arial"/>
          <w:b/>
          <w:bCs/>
          <w:sz w:val="20"/>
          <w:szCs w:val="20"/>
        </w:rPr>
        <w:fldChar w:fldCharType="end"/>
      </w:r>
      <w:r w:rsidRPr="00215B2F">
        <w:rPr>
          <w:rFonts w:ascii="Arial" w:hAnsi="Arial" w:cs="Arial"/>
          <w:b/>
          <w:bCs/>
          <w:sz w:val="20"/>
          <w:szCs w:val="20"/>
        </w:rPr>
        <w:t>. členu (veljavni 12. člen ZBan-3)</w:t>
      </w:r>
    </w:p>
    <w:p w14:paraId="02371C5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7480EF4"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ni vsebinskih sprememb. Člen ureja pristojnost in odgovornost Banke Slovenije za nadzor nad drugimi osebami, ki niso banke in ki sprejemajo depozite ali druga vračljiva sredstva od javnosti. </w:t>
      </w:r>
    </w:p>
    <w:p w14:paraId="4272611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9036D8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_Ref202960005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13</w:t>
      </w:r>
      <w:r w:rsidRPr="00215B2F">
        <w:rPr>
          <w:rFonts w:ascii="Arial" w:hAnsi="Arial" w:cs="Arial"/>
          <w:b/>
          <w:bCs/>
          <w:sz w:val="20"/>
          <w:szCs w:val="20"/>
        </w:rPr>
        <w:fldChar w:fldCharType="end"/>
      </w:r>
      <w:r w:rsidRPr="00215B2F">
        <w:rPr>
          <w:rFonts w:ascii="Arial" w:hAnsi="Arial" w:cs="Arial"/>
          <w:b/>
          <w:bCs/>
          <w:sz w:val="20"/>
          <w:szCs w:val="20"/>
        </w:rPr>
        <w:t>. členu (veljavni 13. člen ZBan-3)</w:t>
      </w:r>
    </w:p>
    <w:p w14:paraId="538E648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8B48D7B" w14:textId="4F4A0312"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Predlog člena ureja sodelovanje v Evropskem sistemu finančnega nadzora in v notranji pravni red prenaša določbo 6. člena CRD, ki določa, da pristojni organi pri opravljanju svojih nalog skrbijo za konvergenco nadzornih orodij in nadzornih praks pri uporabi zakonov in drugih predpisov, sprejetih na podlagi CRD in Uredbe </w:t>
      </w:r>
      <w:r w:rsidR="00D24496" w:rsidRPr="00215B2F">
        <w:rPr>
          <w:rFonts w:ascii="Arial" w:hAnsi="Arial" w:cs="Arial"/>
          <w:sz w:val="20"/>
          <w:szCs w:val="20"/>
        </w:rPr>
        <w:t>575/2013/EU</w:t>
      </w:r>
      <w:r w:rsidRPr="00215B2F">
        <w:rPr>
          <w:rFonts w:ascii="Arial" w:hAnsi="Arial" w:cs="Arial"/>
          <w:sz w:val="20"/>
          <w:szCs w:val="20"/>
        </w:rPr>
        <w:t xml:space="preserve">. Na podlagi navedenega člena CRD pristojni organi kot člani Evropskega sistema finančnega nadzora (ESFS) v skladu z načelom lojalnega sodelovanja iz člena 4(3) </w:t>
      </w:r>
      <w:r w:rsidRPr="00215B2F">
        <w:rPr>
          <w:rFonts w:ascii="Arial" w:hAnsi="Arial" w:cs="Arial"/>
          <w:sz w:val="20"/>
          <w:szCs w:val="20"/>
        </w:rPr>
        <w:lastRenderedPageBreak/>
        <w:t xml:space="preserve">Pogodbe o Evropski uniji sodelujejo v duhu zaupanja in popolnega medsebojnega spoštovanja, zlasti pri zagotavljanju pretoka ustreznih in zanesljivih informacij med njimi in drugimi člani ESFS; sodelujejo pri dejavnostih EBA in po potrebi v kolegijih nadzornikov; si prizadevajo za upoštevanje smernic in priporočil, ki jih izda EBA v skladu s členom 16 Uredbe (EU) št. 1093/2010, ter za odziv na opozorila in priporočila ter tesno sodelujejo z ESRB. Nacionalne pristojnosti, podeljene pristojnim organom, ne ovirajo izvajanja njihovih nalog, ki jih imajo kot člani EBA ali po potrebi ESRB ali v skladu s CRD in Uredbo </w:t>
      </w:r>
      <w:r w:rsidR="00D24496" w:rsidRPr="00215B2F">
        <w:rPr>
          <w:rFonts w:ascii="Arial" w:hAnsi="Arial" w:cs="Arial"/>
          <w:sz w:val="20"/>
          <w:szCs w:val="20"/>
        </w:rPr>
        <w:t>575/2013/EU</w:t>
      </w:r>
      <w:r w:rsidRPr="00215B2F">
        <w:rPr>
          <w:rFonts w:ascii="Arial" w:hAnsi="Arial" w:cs="Arial"/>
          <w:sz w:val="20"/>
          <w:szCs w:val="20"/>
        </w:rPr>
        <w:t>.</w:t>
      </w:r>
    </w:p>
    <w:p w14:paraId="61A45EC1"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79D3FF5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_Ref202960010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14</w:t>
      </w:r>
      <w:r w:rsidRPr="00215B2F">
        <w:rPr>
          <w:rFonts w:ascii="Arial" w:hAnsi="Arial" w:cs="Arial"/>
          <w:b/>
          <w:bCs/>
          <w:sz w:val="20"/>
          <w:szCs w:val="20"/>
        </w:rPr>
        <w:fldChar w:fldCharType="end"/>
      </w:r>
      <w:r w:rsidRPr="00215B2F">
        <w:rPr>
          <w:rFonts w:ascii="Arial" w:hAnsi="Arial" w:cs="Arial"/>
          <w:b/>
          <w:bCs/>
          <w:sz w:val="20"/>
          <w:szCs w:val="20"/>
        </w:rPr>
        <w:t>. členu (veljavni 14. člen ZBan-3)</w:t>
      </w:r>
    </w:p>
    <w:p w14:paraId="54F83FD1"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52B51535"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Zaupne informacije po tem zakonu zajemajo vse podatke o posamezni banki, ki jih Banka Slovenije pridobi ali izdela pri nadzoru, vključno z internimi ocenami in poročili. Teh informacij, razen v obliki neidentificirajočih povzetkov, ni dovoljeno razkrivati drugim osebam ali organom, razen v zakonsko določenih primerih, kot so kazenski postopki, stečaji bank, objava rezultatov stresnih testov, dovoljenja in drugi izrecno določeni primeri. Zaupnost morajo varovati tudi vsi, ki sodelujejo z Banko Slovenije, obveznost pa velja tudi za informacije, pridobljene v sodelovanju z evropskimi in domačimi nadzornimi organi. Ob tem Banka Slovenije obdeluje osebne podatke v skladu s predpisi o varstvu osebnih podatkov.</w:t>
      </w:r>
    </w:p>
    <w:p w14:paraId="07FB7BC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5C76B5C"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(14. člen) se v 1. točki četrtega odstavka dodatno določa, da prepoved iz drugega in tretjega odstavka tega člena ne velja za zaupne informacije, ki so potrebne za izvedbo davčnega postopka. Gre za prenos 53. člena CRD (prvi odstavek – drugi pododstavek). </w:t>
      </w:r>
    </w:p>
    <w:p w14:paraId="5E6E96D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39E927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_Ref202960042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15</w:t>
      </w:r>
      <w:r w:rsidRPr="00215B2F">
        <w:rPr>
          <w:rFonts w:ascii="Arial" w:hAnsi="Arial" w:cs="Arial"/>
          <w:b/>
          <w:bCs/>
          <w:sz w:val="20"/>
          <w:szCs w:val="20"/>
        </w:rPr>
        <w:fldChar w:fldCharType="end"/>
      </w:r>
      <w:r w:rsidRPr="00215B2F">
        <w:rPr>
          <w:rFonts w:ascii="Arial" w:hAnsi="Arial" w:cs="Arial"/>
          <w:b/>
          <w:bCs/>
          <w:sz w:val="20"/>
          <w:szCs w:val="20"/>
        </w:rPr>
        <w:t>. členu (veljavni 15. člen ZBan-3)</w:t>
      </w:r>
    </w:p>
    <w:p w14:paraId="05650A6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04D46AC"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ni vsebinskih sprememb. Predlog člena ureja uporabo zaupnih informacij, in sicer sme Banka Slovenije zaupne informacije uporabiti predvsem v postopkih nadzora nad banko (preverjanje pogojev za izdajo dovoljenj, izrekanje ukrepov nadzora in odločanje o drugih ukrepih v okviru svojih pristojnosti ter v postopkih sodnega varstva). Predlog člena v notranji pravni red prenaša določbo 54. člena CRD, ki določa, da smejo pristojni organi zaupne informacije uporabiti le pri opravljanju svojih nalog in le za namene, določene v prvem odstavku. Za druge namene lahko Banka Slovenije uporabi (razkrije) zaupne informacije le pod pogoji in v obsegu, kot to določa predlog zakona. </w:t>
      </w:r>
    </w:p>
    <w:p w14:paraId="7F9CF6D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3B7A04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_Ref202960057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16</w:t>
      </w:r>
      <w:r w:rsidRPr="00215B2F">
        <w:rPr>
          <w:rFonts w:ascii="Arial" w:hAnsi="Arial" w:cs="Arial"/>
          <w:b/>
          <w:bCs/>
          <w:sz w:val="20"/>
          <w:szCs w:val="20"/>
        </w:rPr>
        <w:fldChar w:fldCharType="end"/>
      </w:r>
      <w:r w:rsidRPr="00215B2F">
        <w:rPr>
          <w:rFonts w:ascii="Arial" w:hAnsi="Arial" w:cs="Arial"/>
          <w:b/>
          <w:bCs/>
          <w:sz w:val="20"/>
          <w:szCs w:val="20"/>
        </w:rPr>
        <w:t>. členu (veljavni 16. člen ZBan-3)</w:t>
      </w:r>
    </w:p>
    <w:p w14:paraId="768D9B5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18D2BA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lahko zaupne informacije razkrije nadzornim organom v Sloveniji, organom drugih držav članic in institucijam EU, kadar je to potrebno za izvajanje njihovih zakonskih nalog in pristojnosti, vključno z </w:t>
      </w:r>
      <w:r w:rsidRPr="00215B2F">
        <w:rPr>
          <w:rFonts w:eastAsia="Arial" w:cs="Arial"/>
          <w:sz w:val="20"/>
          <w:szCs w:val="20"/>
        </w:rPr>
        <w:t>ECB</w:t>
      </w:r>
      <w:r w:rsidRPr="00215B2F">
        <w:rPr>
          <w:rFonts w:cs="Arial"/>
          <w:sz w:val="20"/>
          <w:szCs w:val="20"/>
        </w:rPr>
        <w:t>. Razkritje je dovoljeno tudi številnim drugim subjektom, kot so sodišča, revizorji, organi za reševanje institucij, organi za nadzor nad finančnimi trgi, sistemi jamstva za vloge, centralne banke, evropski nadzorni organi in drugi, če te informacije potrebujejo za izvajanje svojih nalog. Informacije se lahko razkrijejo le v obsegu, ki je nujen za izvajanje pristojnosti prejemnika, in le, če bi jih ta lahko pridobil tudi neposredno od banke. V določenih primerih se lahko informacije razkrijejo tudi osebam zunaj javnega sektorja, če so uradno imenovane za izvajanje nalog nadzora. Prejemniki informacij jih smejo uporabljati izključno za izvajanje svojih nalog in jih ne smejo nadalje razkrivati, razen če zakon določa drugače. Razkritje informacij, pridobljenih od tujih organov, je dovoljeno le s soglasjem teh organov. Gre za prenos 56., 57., 58., 60. in 61. člena CRD, ki določajo (i) izmenjavo informacij med organi, (ii) izmenjavo informacij z nadzornimi organi, (iii) pošiljanje informacij o monetarnih vidikih, vidikih jamstva za vloge, sistemskih in plačilnih vidikih, (iv) razkritje informacij, pridobljenih s preverjanji na kraju samem in z inšpekcijskimi pregledi, ter (v) razkritje informacij o klirinških in poravnalnih storitvah.</w:t>
      </w:r>
    </w:p>
    <w:p w14:paraId="0FCF7CDC"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25F5AE55" w14:textId="77777777" w:rsidR="0010347E" w:rsidRPr="00215B2F" w:rsidRDefault="0010347E" w:rsidP="0010347E">
      <w:pPr>
        <w:pStyle w:val="tevilnatoka"/>
        <w:numPr>
          <w:ilvl w:val="0"/>
          <w:numId w:val="0"/>
        </w:numPr>
        <w:shd w:val="clear" w:color="auto" w:fill="FFFFFF" w:themeFill="background1"/>
        <w:rPr>
          <w:rFonts w:cs="Arial"/>
          <w:sz w:val="20"/>
          <w:szCs w:val="20"/>
        </w:rPr>
      </w:pPr>
      <w:r w:rsidRPr="00215B2F">
        <w:rPr>
          <w:rFonts w:cs="Arial"/>
          <w:sz w:val="20"/>
          <w:szCs w:val="20"/>
        </w:rPr>
        <w:t xml:space="preserve">V primerjavi z ZBan-3 je v drugem odstavku dodana 21. točka, s katero se določa, da lahko </w:t>
      </w:r>
      <w:r w:rsidRPr="00215B2F">
        <w:rPr>
          <w:rFonts w:eastAsia="Arial" w:cs="Arial"/>
          <w:sz w:val="20"/>
          <w:szCs w:val="20"/>
        </w:rPr>
        <w:t xml:space="preserve">Banka Slovenije razkrije zaupne informacije tudi določenim subjektom Republike Slovenije, druge države članice ali Evropske unije, v zvezi z izvajanjem njihovih nalog in pristojnosti davčnim organom v Republiki Sloveniji, v skladu s predpisi, ki urejajo davčni postopek. Gre za prenos 56. člena CRD (tretji odstavek). </w:t>
      </w:r>
    </w:p>
    <w:p w14:paraId="5D2DC560"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3FF9CD3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_Ref202960079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17</w:t>
      </w:r>
      <w:r w:rsidRPr="00215B2F">
        <w:rPr>
          <w:rFonts w:ascii="Arial" w:hAnsi="Arial" w:cs="Arial"/>
          <w:b/>
          <w:bCs/>
          <w:sz w:val="20"/>
          <w:szCs w:val="20"/>
        </w:rPr>
        <w:fldChar w:fldCharType="end"/>
      </w:r>
      <w:r w:rsidRPr="00215B2F">
        <w:rPr>
          <w:rFonts w:ascii="Arial" w:hAnsi="Arial" w:cs="Arial"/>
          <w:b/>
          <w:bCs/>
          <w:sz w:val="20"/>
          <w:szCs w:val="20"/>
        </w:rPr>
        <w:t>. členu (veljavni 17. člen ZBan-3)</w:t>
      </w:r>
    </w:p>
    <w:p w14:paraId="6D41980E"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0873475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Člen ureja razkritje zaupnih informacij drugim organom Republike Slovenije in v notranji pravni red prenaša določbo 59. člena CRD, ki se nanaša na pošiljanje informacij drugim subjektom. V skladu z </w:t>
      </w:r>
      <w:r w:rsidRPr="00215B2F">
        <w:rPr>
          <w:rFonts w:ascii="Arial" w:hAnsi="Arial" w:cs="Arial"/>
          <w:sz w:val="20"/>
          <w:szCs w:val="20"/>
        </w:rPr>
        <w:lastRenderedPageBreak/>
        <w:t>navedenim členom direktive namreč lahko države članice na podlagi določb nacionalnega prava odobrijo razkritje nekaterih informacij drugim oddelkom uprave centralne ravni države, ki so odgovorni za zakonodajo glede nadzora nad institucijami, finančnimi institucijami in zavarovalnicami, ter inšpektorjem, ki delujejo v imenu teh oddelkov. Prav tako lahko ob upoštevanju določenih pogojev države članice odobrijo razkritje nekaterih informacij, povezanih z bonitetnim nadzorom nad institucijami, parlamentarnim preiskovalnim odborom v njihovi državi članici, računskim sodiščem v njihovi državi članici in drugim subjektom, pristojnim za preiskave v njihovi državi članici.</w:t>
      </w:r>
    </w:p>
    <w:p w14:paraId="498406E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909BE4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_Ref202960086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18</w:t>
      </w:r>
      <w:r w:rsidRPr="00215B2F">
        <w:rPr>
          <w:rFonts w:ascii="Arial" w:hAnsi="Arial" w:cs="Arial"/>
          <w:b/>
          <w:bCs/>
          <w:sz w:val="20"/>
          <w:szCs w:val="20"/>
        </w:rPr>
        <w:fldChar w:fldCharType="end"/>
      </w:r>
      <w:r w:rsidRPr="00215B2F">
        <w:rPr>
          <w:rFonts w:ascii="Arial" w:hAnsi="Arial" w:cs="Arial"/>
          <w:b/>
          <w:bCs/>
          <w:sz w:val="20"/>
          <w:szCs w:val="20"/>
        </w:rPr>
        <w:t>. členu (veljavni 18. člen ZBan-3)</w:t>
      </w:r>
    </w:p>
    <w:p w14:paraId="35D4CAD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F772E7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(18. člen) ni vsebinskih sprememb. Člen ureja razkrivanje informacij mednarodnim organom, kot to določa 58.a člen CRD, in sicer lahko Banka Slovenije na podlagi pisne zahteve ob izpolnitvi določenih pogojev razkrije ali pošlje zaupne informacije Mednarodnemu denarnemu skladu, Svetovni banki, Banki za mednarodne poravnave in Odboru za finančno stabilnost. Zahtevane informacije se lahko pošljejo ali razkrijejo le osebam, ki so neposredno povezane z opravljanjem posebne naloge, ki jo organ opravlja v skladu s svojimi zakonitimi pooblastili in v zvezi s katero izpolnjuje vse potrebne pogoje.</w:t>
      </w:r>
    </w:p>
    <w:p w14:paraId="5A3D7AB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398C9B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_Ref202960095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19</w:t>
      </w:r>
      <w:r w:rsidRPr="00215B2F">
        <w:rPr>
          <w:rFonts w:ascii="Arial" w:hAnsi="Arial" w:cs="Arial"/>
          <w:b/>
          <w:bCs/>
          <w:sz w:val="20"/>
          <w:szCs w:val="20"/>
        </w:rPr>
        <w:fldChar w:fldCharType="end"/>
      </w:r>
      <w:r w:rsidRPr="00215B2F">
        <w:rPr>
          <w:rFonts w:ascii="Arial" w:hAnsi="Arial" w:cs="Arial"/>
          <w:b/>
          <w:bCs/>
          <w:sz w:val="20"/>
          <w:szCs w:val="20"/>
        </w:rPr>
        <w:t>. členu (veljavni 19. člen ZBan-3)</w:t>
      </w:r>
    </w:p>
    <w:p w14:paraId="1780580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1BD4AB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(19. člen) ni vsebinskih sprememb. Predlog člena ureja obveščanje v primeru kriznih razmer in v notranji pravni red prenaša določbo 114. člena CRD. V skladu z navedenim členom direktive namreč konsolidacijski nadzornik v primeru izrednih razmer, vključno z razmerami, opisanimi v 18. členu Uredbe (EU) št. 1093/2010, ali ob neugodnem razvoju na trgih, ki bi lahko ogrozil likvidnost trga in stabilnost finančnega sistema v kateri koli državi članici, v kateri so subjekti skupine pridobili dovoljenje ali v kateri imajo sedež pomembne podružnice, čim prej obvesti EBA in centralne banke ESCB, kadar so te informacije pomembne za opravljanje njihovih nalog, predpisanih z zakonodajo, vključno z vodenjem monetarne politike in s tem povezanim zagotavljanjem likvidnosti, nadzorom nad plačilnimi, klirinškimi in poravnalnimi sistemi ter varovanjem stabilnosti finančnega sistema, in ESRB, kadar so te informacije pomembne za opravljanje njegovih nalog, ter druge organe znotraj države članice. </w:t>
      </w:r>
    </w:p>
    <w:p w14:paraId="45E7862D"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5E133B5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_Ref202960101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20</w:t>
      </w:r>
      <w:r w:rsidRPr="00215B2F">
        <w:rPr>
          <w:rFonts w:ascii="Arial" w:hAnsi="Arial" w:cs="Arial"/>
          <w:b/>
          <w:bCs/>
          <w:sz w:val="20"/>
          <w:szCs w:val="20"/>
        </w:rPr>
        <w:fldChar w:fldCharType="end"/>
      </w:r>
      <w:r w:rsidRPr="00215B2F">
        <w:rPr>
          <w:rFonts w:ascii="Arial" w:hAnsi="Arial" w:cs="Arial"/>
          <w:b/>
          <w:bCs/>
          <w:sz w:val="20"/>
          <w:szCs w:val="20"/>
        </w:rPr>
        <w:t>. členu (veljavni 20. člen ZBan-3)</w:t>
      </w:r>
    </w:p>
    <w:p w14:paraId="22D7A3DD"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45B61E6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lahko razkrije zaupne informacije organom ali subjektom iz tretjih držav, ki opravljajo primerljive nadzorne naloge kot določeni organi v EU, če so izpolnjeni trije pogoji: sklenjen mora biti dogovor o sodelovanju z izmenjavo informacij, v tretji državi morajo veljati primerljiva pravila varovanja zaupnosti in informacije se lahko uporabijo le za izvajanje njihovih pristojnosti. Če pa so informacije pridobljene od organa druge države članice EU, jih lahko Banka Slovenije razkrije naprej le s soglasjem tega organa. Gre za prenos 55. člena CRD, ki daje državam članicam in EBA možnost sklepanja sporazumov o sodelovanju, ki določajo izmenjavo informacij, z nadzornimi organi tretjih držav ali organi ali subjekti tretjih držav.</w:t>
      </w:r>
    </w:p>
    <w:p w14:paraId="76B9AD2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C33EF61" w14:textId="0F9B88F3"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se spreminja 1. točka prvega odstavka, s katero se po novem določa, da </w:t>
      </w:r>
      <w:r w:rsidRPr="00215B2F">
        <w:rPr>
          <w:rFonts w:eastAsia="Arial" w:cs="Arial"/>
          <w:sz w:val="20"/>
          <w:szCs w:val="20"/>
        </w:rPr>
        <w:t xml:space="preserve">lahko Banka Slovenije razkrije zaupne informacije osebam iz tretje države, ki imajo v tretji državi položaj pristojnega organa ali subjekta, če je tretja država evidentirana v javnem registru tretjih držav in organov tretjih držav, ki ga na podlagi četrtega odstavka 48.b člena Direktive 2013/36/EU objavi Evropski bančni organ. </w:t>
      </w:r>
      <w:r w:rsidRPr="00215B2F">
        <w:rPr>
          <w:rFonts w:cs="Arial"/>
          <w:sz w:val="20"/>
          <w:szCs w:val="20"/>
        </w:rPr>
        <w:t>V skladu z novim 48.b členom CRD bo Komisija v sodelovanju z EBA za namen nadzora nad podružnicami iz tretjih držav ocenjevala vzajemnost bančnega regulativnega okvira in zahtev glede zaupnosti ter o tem sprejela izvedbeni akt. EBA bo v ta namen vodila javni register. Glede na navedeno se predlaga prilagoditev tudi v delu glede možnosti razkritja zaupnih informacij pristojnim organom i</w:t>
      </w:r>
      <w:r w:rsidR="00BF40A0" w:rsidRPr="00215B2F">
        <w:rPr>
          <w:rFonts w:cs="Arial"/>
          <w:sz w:val="20"/>
          <w:szCs w:val="20"/>
        </w:rPr>
        <w:t>z</w:t>
      </w:r>
      <w:r w:rsidRPr="00215B2F">
        <w:rPr>
          <w:rFonts w:cs="Arial"/>
          <w:sz w:val="20"/>
          <w:szCs w:val="20"/>
        </w:rPr>
        <w:t xml:space="preserve"> tretjih držav.</w:t>
      </w:r>
    </w:p>
    <w:p w14:paraId="7F734A2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4F0CC4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_Ref202960107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21</w:t>
      </w:r>
      <w:r w:rsidRPr="00215B2F">
        <w:rPr>
          <w:rFonts w:ascii="Arial" w:hAnsi="Arial" w:cs="Arial"/>
          <w:b/>
          <w:bCs/>
          <w:sz w:val="20"/>
          <w:szCs w:val="20"/>
        </w:rPr>
        <w:fldChar w:fldCharType="end"/>
      </w:r>
      <w:r w:rsidRPr="00215B2F">
        <w:rPr>
          <w:rFonts w:ascii="Arial" w:hAnsi="Arial" w:cs="Arial"/>
          <w:b/>
          <w:bCs/>
          <w:sz w:val="20"/>
          <w:szCs w:val="20"/>
        </w:rPr>
        <w:t>. členu (veljavni 21. člen ZBan-3)</w:t>
      </w:r>
    </w:p>
    <w:p w14:paraId="24D9A16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C12A013" w14:textId="22F834E1"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in osebe, ki delujejo v njenem imenu ali po njenem pooblastilu, morajo pri nadzoru ravnati s </w:t>
      </w:r>
      <w:r w:rsidR="009C1354" w:rsidRPr="00215B2F">
        <w:rPr>
          <w:rFonts w:cs="Arial"/>
          <w:sz w:val="20"/>
          <w:szCs w:val="20"/>
        </w:rPr>
        <w:t xml:space="preserve">profesionalno </w:t>
      </w:r>
      <w:r w:rsidRPr="00215B2F">
        <w:rPr>
          <w:rFonts w:cs="Arial"/>
          <w:sz w:val="20"/>
          <w:szCs w:val="20"/>
        </w:rPr>
        <w:t xml:space="preserve">skrbnostjo dobrega strokovnjaka. Šteje se, da je Banka Slovenije ravnala ustrezno, če je glede na razpoložljive informacije lahko upravičeno menila, da so pogoji za ukrepanje izpolnjeni. Odgovorna je tudi za ravnanje pooblaščenih oseb po pravilih delodajalske odgovornosti, pri </w:t>
      </w:r>
      <w:r w:rsidRPr="00215B2F">
        <w:rPr>
          <w:rFonts w:cs="Arial"/>
          <w:sz w:val="20"/>
          <w:szCs w:val="20"/>
        </w:rPr>
        <w:lastRenderedPageBreak/>
        <w:t>čemer lahko oškodovanec zahteva povračilo škode izključno od Banke Slovenije. Posamezna oseba, ki je delovala v njenem imenu, ravna ustrezno, če je glede na okoliščine ravnala kot dober strokovnjak.</w:t>
      </w:r>
    </w:p>
    <w:p w14:paraId="0193CBB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DFA60DB" w14:textId="77777777" w:rsidR="0010347E" w:rsidRPr="00215B2F" w:rsidRDefault="0010347E" w:rsidP="0010347E">
      <w:pPr>
        <w:pStyle w:val="Odstavek"/>
        <w:shd w:val="clear" w:color="auto" w:fill="FFFFFF" w:themeFill="background1"/>
        <w:spacing w:before="0"/>
        <w:ind w:firstLine="0"/>
        <w:rPr>
          <w:rFonts w:eastAsia="Arial" w:cs="Arial"/>
          <w:sz w:val="20"/>
          <w:szCs w:val="20"/>
        </w:rPr>
      </w:pPr>
      <w:r w:rsidRPr="00215B2F">
        <w:rPr>
          <w:rFonts w:cs="Arial"/>
          <w:sz w:val="20"/>
          <w:szCs w:val="20"/>
        </w:rPr>
        <w:t xml:space="preserve">V primerjavi z ZBan-3 se dodaja novi peti odstavek, s katerim se določa, da so </w:t>
      </w:r>
      <w:r w:rsidRPr="00215B2F">
        <w:rPr>
          <w:rFonts w:eastAsia="Arial" w:cs="Arial"/>
          <w:sz w:val="20"/>
          <w:szCs w:val="20"/>
        </w:rPr>
        <w:t xml:space="preserve">zaposleni v Banki Slovenije neodvisni in imajo strokovno znanje, vire, operativno sposobnost in pooblastila v skladu s tem ali drugim zakonom za opravljanje funkcij in nalog v zvezi z bonitetnim nadzorom, pregledi poslovanja, nalaganjem periodičnih denarnih kazni in administrativnih sankcij. Gre za prenos 4. člena CRD (četrti odstavek). </w:t>
      </w:r>
      <w:r w:rsidRPr="00215B2F">
        <w:rPr>
          <w:rFonts w:cs="Arial"/>
          <w:sz w:val="20"/>
          <w:szCs w:val="20"/>
        </w:rPr>
        <w:t>Sprememba se sicer nanaša samo na dodatek pooblastila glede nalaganja periodičnih denarnih kazni. Prenos je tako mogoče argumentirati tudi z navajanjem več drugih določb, vendar je glede na formalistični pristop zahtev Evropske komisije v okviru preverjanja prenosa predlagana izrecna dopolnitev.</w:t>
      </w:r>
    </w:p>
    <w:p w14:paraId="2962685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F4961C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_Ref202960136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22</w:t>
      </w:r>
      <w:r w:rsidRPr="00215B2F">
        <w:rPr>
          <w:rFonts w:ascii="Arial" w:hAnsi="Arial" w:cs="Arial"/>
          <w:b/>
          <w:bCs/>
          <w:sz w:val="20"/>
          <w:szCs w:val="20"/>
        </w:rPr>
        <w:fldChar w:fldCharType="end"/>
      </w:r>
      <w:r w:rsidRPr="00215B2F">
        <w:rPr>
          <w:rFonts w:ascii="Arial" w:hAnsi="Arial" w:cs="Arial"/>
          <w:b/>
          <w:bCs/>
          <w:sz w:val="20"/>
          <w:szCs w:val="20"/>
        </w:rPr>
        <w:t>. členu</w:t>
      </w:r>
    </w:p>
    <w:p w14:paraId="7D37F54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6C983F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člani njenega sveta in zaposleni morajo pri izvajanju nadzora delovati neodvisno, objektivno in brez vpliva nadzorovanih subjektov, državnih organov, vlade, institucij EU ali drugih javnih ali zasebnih akterjev. Pri svojem delu ne smejo prejemati navodil ali usmeritev od teh subjektov niti jih ne smejo zanje zaprositi. Zahteve glede neodvisnosti se izvajajo sorazmerno glede na vloge in odgovornosti posameznikov, pri čemer določbe tega poglavja ne posegajo v že veljavna pravila glede nasprotja interesov, zasebnih finančnih poslov in mirovanja funkcije, ki izhajajo iz drugih predpisov in internih aktov. Gre za prenos 4.a člena CRD (drugi odstavek – prvi pododstavek, deveti odstavek). </w:t>
      </w:r>
    </w:p>
    <w:p w14:paraId="5BD7F57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6F1B20D"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zvezi z načelom sorazmernosti (v drugem odstavku) velja dodatno pojasniti, da CRD za zagotovitev sorazmerne uporabe člena predvideva sprejetje smernic EBA. Za zagotovitev sorazmerne uporabe tega člena EBA do 10. julija 2026 izda smernice v skladu s 16. členom Uredbe (EU) št. 1093/2010, namenjene pristojnim organom, o preprečevanju nasprotij interesov v pristojnih organih in o njihovi neodvisnosti, pri čemer upošteva najboljše prakse na mednarodni ravni.</w:t>
      </w:r>
    </w:p>
    <w:p w14:paraId="014856F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F3C3A8F"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zvezi s tretjim odstavkom velja dodatno pojasniti, da določbe tega člena urejajo minimalni obseg zahtev glede preprečevanja nasprotja interesov, prepovedi v zvezi z zasebnimi finančnimi posli ter glede mirovanja, za zagotavljanje neodvisnosti delovanja Banke Slovenije pri izvajanju pristojnosti nadzora v skladu s tem zakonom. Te določbe pa ne preprečujejo Banki Slovenije, da z notranjimi akti, v skladu z zakonom, ki ureja Banko Slovenije, oziroma drugimi predpisi, določa dodatne zahteve, kadar je to potrebno za zagotavljanje neodvisnega delovanja ter učinkovito obravnavo in preprečevanja nasprotja interesov pri izvajanju nadzora oziroma drugih nalog in pristojnosti, ki jih izvaja Banka Slovenije oziroma njeni zaposleni na podlagi drugih predpisov (vključno s pristojnostmi, ki jih Banka Slovenije izvaja v okviru institucij EU). Pri tem mora Banka Slovenije namreč upoštevati tudi politike, pravila in postopke pri izvajanju specifičnih pristojnosti ter glede na posamezne okoliščine opredeliti zahteve ter prepovedi glede obravnave nasprotja interesov. Takšne ureditve Banka Slovenije že ureja v Kodeksu Banke Slovenije, ki ga je sprejel Svet Banke Slovenije na podlagi 42. člena Zakona o Banki Slovenije (ZBS-1) in je objavljen v Uradnem listu RS.</w:t>
      </w:r>
    </w:p>
    <w:p w14:paraId="549F661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21BE250"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Predlog zakona z upoštevanjem določb ZBS-1 tako izrecno določa, da Banka Slovenije zahteve glede obravnave nasprotja interesov, ki zavezujejo zaposlene, opredeli z notranjim aktom, ki ga sprejme Svet Banke Slovenije ter se objavi v Uradnem listu RS.</w:t>
      </w:r>
    </w:p>
    <w:p w14:paraId="02C5D0C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9E6771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_Ref202960162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23</w:t>
      </w:r>
      <w:r w:rsidRPr="00215B2F">
        <w:rPr>
          <w:rFonts w:ascii="Arial" w:hAnsi="Arial" w:cs="Arial"/>
          <w:b/>
          <w:bCs/>
          <w:sz w:val="20"/>
          <w:szCs w:val="20"/>
        </w:rPr>
        <w:fldChar w:fldCharType="end"/>
      </w:r>
      <w:r w:rsidRPr="00215B2F">
        <w:rPr>
          <w:rFonts w:ascii="Arial" w:hAnsi="Arial" w:cs="Arial"/>
          <w:b/>
          <w:bCs/>
          <w:sz w:val="20"/>
          <w:szCs w:val="20"/>
        </w:rPr>
        <w:t>. členu</w:t>
      </w:r>
    </w:p>
    <w:p w14:paraId="1972E12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7344B7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Slovenije z notranjim aktom, ki ga sprejme Svet Banke Slovenije, določi zahteve, postopke in ukrepe za preprečevanje nastanka nasprotja interesov pri članih Sveta Banke Slovenije in drugih zaposlenih v zvezi z opravljanjem njihovih poklicnih zadolžitev v Banki Slovenije, z upoštevanjem načela sorazmernosti glede na vlogo in odgovornosti pri izvajanju pristojnosti in nalog Banke Slovenije na podlagi zakona. Gre za notranji akt, ki ga Svet Banke Slovenije sprejeme na podlagi 42. člena ZBS-1 – notranji akt, s katerim so urejene pravice, obveznosti in odgovornosti delavcev, ki so v delovnem razmerju z Banko Slovenije.</w:t>
      </w:r>
    </w:p>
    <w:p w14:paraId="5C40EEB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2121F4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_Ref202960171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24</w:t>
      </w:r>
      <w:r w:rsidRPr="00215B2F">
        <w:rPr>
          <w:rFonts w:ascii="Arial" w:hAnsi="Arial" w:cs="Arial"/>
          <w:b/>
          <w:bCs/>
          <w:sz w:val="20"/>
          <w:szCs w:val="20"/>
        </w:rPr>
        <w:fldChar w:fldCharType="end"/>
      </w:r>
      <w:r w:rsidRPr="00215B2F">
        <w:rPr>
          <w:rFonts w:ascii="Arial" w:hAnsi="Arial" w:cs="Arial"/>
          <w:b/>
          <w:bCs/>
          <w:sz w:val="20"/>
          <w:szCs w:val="20"/>
        </w:rPr>
        <w:t>. členu</w:t>
      </w:r>
    </w:p>
    <w:p w14:paraId="4C46768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63DF86D"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Člani Sveta Banke Slovenije in zaposleni ne smejo trgovati s finančnimi instrumenti, ki jih izdajo ali na katere se nanašajo nadzorovane institucije in z njimi povezane osebe, razen če gre za instrumente, ki </w:t>
      </w:r>
      <w:r w:rsidRPr="00215B2F">
        <w:rPr>
          <w:rFonts w:cs="Arial"/>
          <w:sz w:val="20"/>
          <w:szCs w:val="20"/>
        </w:rPr>
        <w:lastRenderedPageBreak/>
        <w:t>jih upravljajo tretje osebe brez vpliva lastnika na upravljanje, ali za enote kolektivnih naložbenih podjemov, ki ne vlagajo pretežno v take instrumente. Podrobnejša pravila, postopke poročanja in ukrepe glede teh omejitev določa notranji akt, ki ga sprejme Svet Banke Slovenije.</w:t>
      </w:r>
    </w:p>
    <w:p w14:paraId="5270503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9C1B63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_Ref202960198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25</w:t>
      </w:r>
      <w:r w:rsidRPr="00215B2F">
        <w:rPr>
          <w:rFonts w:ascii="Arial" w:hAnsi="Arial" w:cs="Arial"/>
          <w:b/>
          <w:bCs/>
          <w:sz w:val="20"/>
          <w:szCs w:val="20"/>
        </w:rPr>
        <w:fldChar w:fldCharType="end"/>
      </w:r>
      <w:r w:rsidRPr="00215B2F">
        <w:rPr>
          <w:rFonts w:ascii="Arial" w:hAnsi="Arial" w:cs="Arial"/>
          <w:b/>
          <w:bCs/>
          <w:sz w:val="20"/>
          <w:szCs w:val="20"/>
        </w:rPr>
        <w:t>. členu</w:t>
      </w:r>
    </w:p>
    <w:p w14:paraId="5778B90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D5EC88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Člani Sveta Banke Slovenije in zaposleni, ki so neposredno vključeni v nadzorne naloge, se v času mirovanja ne smejo zaposliti pri subjektih, ki so jih nadzirali, v njihovi mreži povezanih družb, pri ponudnikih storitev tem subjektom (razen pod strogimi pogoji) ali lobistih, povezanih z zadevami, za katere so bili odgovorni, ali sodelovati z zgoraj naštetimi. Obdobje mirovanja traja za člane sveta 12 mesecev (oziroma 3 mesece za lobistične subjekte), za druge zaposlene pa 6 mesecev (oziroma 3 mesece za lobistične subjekte). V tem času jim je onemogočen dostop do občutljivih informacij o zadevnih subjektih. Gre za delni prenos 4.a člena CRD (četrti odstavek, drugi pododstavek). </w:t>
      </w:r>
    </w:p>
    <w:p w14:paraId="483F1F4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8A0EBB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_Ref202960209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26</w:t>
      </w:r>
      <w:r w:rsidRPr="00215B2F">
        <w:rPr>
          <w:rFonts w:ascii="Arial" w:hAnsi="Arial" w:cs="Arial"/>
          <w:b/>
          <w:bCs/>
          <w:sz w:val="20"/>
          <w:szCs w:val="20"/>
        </w:rPr>
        <w:fldChar w:fldCharType="end"/>
      </w:r>
      <w:r w:rsidRPr="00215B2F">
        <w:rPr>
          <w:rFonts w:ascii="Arial" w:hAnsi="Arial" w:cs="Arial"/>
          <w:b/>
          <w:bCs/>
          <w:sz w:val="20"/>
          <w:szCs w:val="20"/>
        </w:rPr>
        <w:t>. členu</w:t>
      </w:r>
    </w:p>
    <w:p w14:paraId="1080D44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95BA19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Člani Sveta Banke Slovenije in zaposleni, za katere velja obdobje mirovanja, so po prenehanju zaposlitve upravičeni do denarnega nadomestila za spoštovanje omejitev glede nove zaposlitve ali opravljanja storitev. Če v tem času kršijo omejitve, morajo sorazmerni del nadomestila vrniti. Višino nadomestila, postopke za njegovo izplačevanje, poročanje in vračilo ob kršitvah določa notranji akt, ki ga sprejme Svet Banke Slovenije.</w:t>
      </w:r>
    </w:p>
    <w:p w14:paraId="0B53383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2A029FD"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zvezi z vrnitvijo sorazmernega dela nadomestila (drugi odstavek) velja pojasniti, da se ta del presoja glede na okoliščine in trajanje kršitve. </w:t>
      </w:r>
    </w:p>
    <w:p w14:paraId="2577957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7AEE0A8"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zvezi z notranjim aktom, ki ga sprejme Banka Slovenije (tretji odstavek), velja pojasniti, da se višina nadomestila oziroma jasna izhodišča za njeno določitev (npr. % od plače ali drug določljivi način) vnaprej določijo v notranjem aktu, ki ureja pravice, obveznosti in dolžnosti zaposlenih v Banki Slovenije, kot je opredeljen v 40. in 42. členu ZBS-1.</w:t>
      </w:r>
    </w:p>
    <w:p w14:paraId="0AED7DB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3FD033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_Ref202960220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27</w:t>
      </w:r>
      <w:r w:rsidRPr="00215B2F">
        <w:rPr>
          <w:rFonts w:ascii="Arial" w:hAnsi="Arial" w:cs="Arial"/>
          <w:b/>
          <w:bCs/>
          <w:sz w:val="20"/>
          <w:szCs w:val="20"/>
        </w:rPr>
        <w:fldChar w:fldCharType="end"/>
      </w:r>
      <w:r w:rsidRPr="00215B2F">
        <w:rPr>
          <w:rFonts w:ascii="Arial" w:hAnsi="Arial" w:cs="Arial"/>
          <w:b/>
          <w:bCs/>
          <w:sz w:val="20"/>
          <w:szCs w:val="20"/>
        </w:rPr>
        <w:t>. členu</w:t>
      </w:r>
    </w:p>
    <w:p w14:paraId="2C721D9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0E703CD"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Člani Sveta Banke Slovenije in zaposleni morajo pred imenovanjem oziroma zaposlitvijo ter nato enkrat letno predložiti izjavo o interesih, katere vsebino določa notranji akt Banke Slovenije. Izjava vključuje podatke o finančnih instrumentih, kot so delnice in različni skladi, ki bi lahko pomenili nasprotje interesov. Če posameznik že ima take instrumente, lahko Banka Slovenije določi posebne ukrepe, vključno z obvezno prodajo ali pridobitvijo dovoljenja pred razpolaganjem z njimi.</w:t>
      </w:r>
    </w:p>
    <w:p w14:paraId="29899B4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F17ABE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_Ref202960230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28</w:t>
      </w:r>
      <w:r w:rsidRPr="00215B2F">
        <w:rPr>
          <w:rFonts w:ascii="Arial" w:hAnsi="Arial" w:cs="Arial"/>
          <w:b/>
          <w:bCs/>
          <w:sz w:val="20"/>
          <w:szCs w:val="20"/>
        </w:rPr>
        <w:fldChar w:fldCharType="end"/>
      </w:r>
      <w:r w:rsidRPr="00215B2F">
        <w:rPr>
          <w:rFonts w:ascii="Arial" w:hAnsi="Arial" w:cs="Arial"/>
          <w:b/>
          <w:bCs/>
          <w:sz w:val="20"/>
          <w:szCs w:val="20"/>
        </w:rPr>
        <w:t>. členu (veljavni 22. člen ZBan-3)</w:t>
      </w:r>
    </w:p>
    <w:p w14:paraId="6A2B332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655744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(22. člen) ni vsebinskih sprememb. Predlog člena ureja sodelovanje med nadzornimi organi Republike Slovenije in v notranji pravni red prenaša določbo 5. člena CRD, ki zahteva usklajevanje znotraj držav članic. Navedeni člen določa, da v primeru, ko imajo države članice več kot en pristojni organ za bonitetni nadzor nad kreditnimi institucijami, investicijskimi podjetji in finančnimi institucijami, sprejmejo ukrepe, potrebne za organizacijo usklajevanja med temi organi. Predlog člena podobno kot v veljavni ureditvi določa, da podrobnejšo vsebino in način medsebojnega sodelovanja Banke Slovenije in nadzornih organov določi minister, pristojen za finance, na podlagi predhodnega mnenja Banke Slovenije in nadzornih organov. </w:t>
      </w:r>
    </w:p>
    <w:p w14:paraId="6759670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BD1948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_Ref202960250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29</w:t>
      </w:r>
      <w:r w:rsidRPr="00215B2F">
        <w:rPr>
          <w:rFonts w:ascii="Arial" w:hAnsi="Arial" w:cs="Arial"/>
          <w:b/>
          <w:bCs/>
          <w:sz w:val="20"/>
          <w:szCs w:val="20"/>
        </w:rPr>
        <w:fldChar w:fldCharType="end"/>
      </w:r>
      <w:r w:rsidRPr="00215B2F">
        <w:rPr>
          <w:rFonts w:ascii="Arial" w:hAnsi="Arial" w:cs="Arial"/>
          <w:b/>
          <w:bCs/>
          <w:sz w:val="20"/>
          <w:szCs w:val="20"/>
        </w:rPr>
        <w:t>. členu (veljavni 23. člen ZBan-3)</w:t>
      </w:r>
    </w:p>
    <w:p w14:paraId="623D342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107707F" w14:textId="446DD4BE"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(23. člen) ni vsebinskih sprememb. Banka Slovenije sodeluje s pristojnimi organi držav članic in tretjih držav pri nadzoru nad kreditnimi institucijami, zlasti tistimi, ki poslujejo prek podružnic zunaj svoje matične države. Sodelovanje vključuje izmenjavo informacij, pomembnih za nadzor, kot so pogoji za izdajo dovoljenj, bonitetne zahteve in ocena vodstvenih kadrov. Informacije se pošljejo na zahtevo ali po lastni presoji, če so bistvene za oceno finančne stabilnosti banke. V primeru bank iz tretjih držav Banka Slovenije sodeluje z drugimi nadzorniki, da se zagotovi celoviti nadzor nad skupino in prepreči izogibanje pravilom. Prav tako sklepa sporazume o sodelovanju s tretjimi državami in sodeluje z organi za preprečevanje pranja denarja ter z organi, pooblaščenimi za reševanje bank, kadar to zahtevajo zakonodaja EU ali </w:t>
      </w:r>
      <w:r w:rsidR="00E65BD8" w:rsidRPr="00215B2F">
        <w:rPr>
          <w:rFonts w:cs="Arial"/>
          <w:sz w:val="20"/>
          <w:szCs w:val="20"/>
        </w:rPr>
        <w:t xml:space="preserve">n </w:t>
      </w:r>
      <w:r w:rsidRPr="00215B2F">
        <w:rPr>
          <w:rFonts w:cs="Arial"/>
          <w:sz w:val="20"/>
          <w:szCs w:val="20"/>
        </w:rPr>
        <w:t>predpisi.</w:t>
      </w:r>
    </w:p>
    <w:p w14:paraId="7573A34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04BF79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_Ref202960259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30</w:t>
      </w:r>
      <w:r w:rsidRPr="00215B2F">
        <w:rPr>
          <w:rFonts w:ascii="Arial" w:hAnsi="Arial" w:cs="Arial"/>
          <w:b/>
          <w:bCs/>
          <w:sz w:val="20"/>
          <w:szCs w:val="20"/>
        </w:rPr>
        <w:fldChar w:fldCharType="end"/>
      </w:r>
      <w:r w:rsidRPr="00215B2F">
        <w:rPr>
          <w:rFonts w:ascii="Arial" w:hAnsi="Arial" w:cs="Arial"/>
          <w:b/>
          <w:bCs/>
          <w:sz w:val="20"/>
          <w:szCs w:val="20"/>
        </w:rPr>
        <w:t>. členu (veljavni 24. člen ZBan-3)</w:t>
      </w:r>
    </w:p>
    <w:p w14:paraId="2D6748F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E67A44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(24. člen) ni vsebinskih sprememb. Predlog člena ureja sodelovanje z Evropskim bančnim organom in še dodatno k 28. členu pomeni prenos določbe 50. člena CRD, ki zahteva sodelovanje pri nadzoru. Člen v zvezi s tem še posebej določa obveznost obveščanja Evropskega bančnega organa s strani Banke Slovenije v primeru nezadostnih informacij s strani pristojnega organa druge države članice glede bank pri čezmejnem poslovanju za izvajanje nadzora nad poslovanjem teh bank v Republiki Sloveniji.</w:t>
      </w:r>
    </w:p>
    <w:p w14:paraId="1915B1C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052CAE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_Ref202960265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31</w:t>
      </w:r>
      <w:r w:rsidRPr="00215B2F">
        <w:rPr>
          <w:rFonts w:ascii="Arial" w:hAnsi="Arial" w:cs="Arial"/>
          <w:b/>
          <w:bCs/>
          <w:sz w:val="20"/>
          <w:szCs w:val="20"/>
        </w:rPr>
        <w:fldChar w:fldCharType="end"/>
      </w:r>
      <w:r w:rsidRPr="00215B2F">
        <w:rPr>
          <w:rFonts w:ascii="Arial" w:hAnsi="Arial" w:cs="Arial"/>
          <w:b/>
          <w:bCs/>
          <w:sz w:val="20"/>
          <w:szCs w:val="20"/>
        </w:rPr>
        <w:t>. členu (veljavni 25. člen ZBan-3)</w:t>
      </w:r>
    </w:p>
    <w:p w14:paraId="333FF4E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7A3709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(25. člen) ni vsebinskih sprememb. Predlog člena določa obveznost obveščanja organov EU in v notranji pravni red izrecno prenaša določbo 20. člena CRD, ki določa uradno obveščanje o dovoljenju in odvzemu dovoljenja. </w:t>
      </w:r>
    </w:p>
    <w:p w14:paraId="1422A0C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F7DCE6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_Ref202960270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32</w:t>
      </w:r>
      <w:r w:rsidRPr="00215B2F">
        <w:rPr>
          <w:rFonts w:ascii="Arial" w:hAnsi="Arial" w:cs="Arial"/>
          <w:b/>
          <w:bCs/>
          <w:sz w:val="20"/>
          <w:szCs w:val="20"/>
        </w:rPr>
        <w:fldChar w:fldCharType="end"/>
      </w:r>
      <w:r w:rsidRPr="00215B2F">
        <w:rPr>
          <w:rFonts w:ascii="Arial" w:hAnsi="Arial" w:cs="Arial"/>
          <w:b/>
          <w:bCs/>
          <w:sz w:val="20"/>
          <w:szCs w:val="20"/>
        </w:rPr>
        <w:t>. členu (veljavni 26. člen ZBan-3)</w:t>
      </w:r>
    </w:p>
    <w:p w14:paraId="6864FBE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5215BC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(26. člen) ni vsebinskih sprememb. S členom se prenaša 13. člen CRD. Banka lahko izbere samo pravnoorganizacijsko obliko delniške družbe. Matični (splošni) zakon, ki ureja delniške družbe, je ZGD-1. Zato predlog zakona določa samo tista (posebna) pravila, ki veljajo za banke in ki izključujejo uporabo splošnih pravil ZGD-1 o delniški družbi. </w:t>
      </w:r>
    </w:p>
    <w:p w14:paraId="6BCAF9B2"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64DA0D0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_Ref202960279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33</w:t>
      </w:r>
      <w:r w:rsidRPr="00215B2F">
        <w:rPr>
          <w:rFonts w:ascii="Arial" w:hAnsi="Arial" w:cs="Arial"/>
          <w:b/>
          <w:bCs/>
          <w:sz w:val="20"/>
          <w:szCs w:val="20"/>
        </w:rPr>
        <w:fldChar w:fldCharType="end"/>
      </w:r>
      <w:r w:rsidRPr="00215B2F">
        <w:rPr>
          <w:rFonts w:ascii="Arial" w:hAnsi="Arial" w:cs="Arial"/>
          <w:b/>
          <w:bCs/>
          <w:sz w:val="20"/>
          <w:szCs w:val="20"/>
        </w:rPr>
        <w:t>. členu (veljavni 27. člen ZBan-3)</w:t>
      </w:r>
    </w:p>
    <w:p w14:paraId="1C32F75A"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6A47EC7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sodni register se ne sme vpisati firma, ki vsebuje izraze »banka«, »kreditna institucija«, »hranilnica« ali »kreditna družba«, če pravna oseba nima ustreznega dovoljenja za opravljanje bančnih ali investicijskih storitev. Poleg tega lahko Banka Slovenije od banke iz druge države članice, ki deluje v Sloveniji, zahteva uporabo dodatnih označb v firmi,</w:t>
      </w:r>
      <w:r w:rsidRPr="00215B2F">
        <w:rPr>
          <w:rFonts w:eastAsia="Arial" w:cs="Arial"/>
          <w:sz w:val="20"/>
          <w:szCs w:val="20"/>
        </w:rPr>
        <w:t xml:space="preserve"> s katerimi se odpravijo nejasnosti.</w:t>
      </w:r>
    </w:p>
    <w:p w14:paraId="6446A67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56CB69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_Ref202960289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34</w:t>
      </w:r>
      <w:r w:rsidRPr="00215B2F">
        <w:rPr>
          <w:rFonts w:ascii="Arial" w:hAnsi="Arial" w:cs="Arial"/>
          <w:b/>
          <w:bCs/>
          <w:sz w:val="20"/>
          <w:szCs w:val="20"/>
        </w:rPr>
        <w:fldChar w:fldCharType="end"/>
      </w:r>
      <w:r w:rsidRPr="00215B2F">
        <w:rPr>
          <w:rFonts w:ascii="Arial" w:hAnsi="Arial" w:cs="Arial"/>
          <w:b/>
          <w:bCs/>
          <w:sz w:val="20"/>
          <w:szCs w:val="20"/>
        </w:rPr>
        <w:t>. členu (veljavni 28. člen ZBan-3)</w:t>
      </w:r>
    </w:p>
    <w:p w14:paraId="36A486E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0D84EE4" w14:textId="589A34B3"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(34. člen) ni vsebinskih sprememb. Najnižji znesek ustanovnega kapitala banke je 5 milijonov evrov in je določen v skladu z 12. členom CRD. Ustanovni kapital banke vključuje eno ali več postavk </w:t>
      </w:r>
      <w:r w:rsidR="00A62CD8" w:rsidRPr="00215B2F">
        <w:rPr>
          <w:rFonts w:ascii="Arial" w:hAnsi="Arial" w:cs="Arial"/>
          <w:sz w:val="20"/>
          <w:szCs w:val="20"/>
        </w:rPr>
        <w:t>točk (a) do (e) prvega odstavka</w:t>
      </w:r>
      <w:r w:rsidRPr="00215B2F">
        <w:rPr>
          <w:rFonts w:ascii="Arial" w:hAnsi="Arial" w:cs="Arial"/>
          <w:sz w:val="20"/>
          <w:szCs w:val="20"/>
        </w:rPr>
        <w:t>26</w:t>
      </w:r>
      <w:r w:rsidR="00A62CD8" w:rsidRPr="00215B2F">
        <w:rPr>
          <w:rFonts w:ascii="Arial" w:hAnsi="Arial" w:cs="Arial"/>
          <w:sz w:val="20"/>
          <w:szCs w:val="20"/>
        </w:rPr>
        <w:t>. člena</w:t>
      </w:r>
      <w:r w:rsidRPr="00215B2F">
        <w:rPr>
          <w:rFonts w:ascii="Arial" w:hAnsi="Arial" w:cs="Arial"/>
          <w:sz w:val="20"/>
          <w:szCs w:val="20"/>
        </w:rPr>
        <w:t xml:space="preserve"> Uredbe </w:t>
      </w:r>
      <w:r w:rsidR="00D24496" w:rsidRPr="00215B2F">
        <w:rPr>
          <w:rFonts w:ascii="Arial" w:hAnsi="Arial" w:cs="Arial"/>
          <w:sz w:val="20"/>
          <w:szCs w:val="20"/>
        </w:rPr>
        <w:t>575/2013/EU</w:t>
      </w:r>
      <w:r w:rsidRPr="00215B2F">
        <w:rPr>
          <w:rFonts w:ascii="Arial" w:hAnsi="Arial" w:cs="Arial"/>
          <w:sz w:val="20"/>
          <w:szCs w:val="20"/>
        </w:rPr>
        <w:t xml:space="preserve">. Ustanovitveni kapital tako vključuje (a) kapitalske instrumente, če so izpolnjeni pogoji iz uredbe </w:t>
      </w:r>
      <w:r w:rsidR="00D24496" w:rsidRPr="00215B2F">
        <w:rPr>
          <w:rFonts w:ascii="Arial" w:hAnsi="Arial" w:cs="Arial"/>
          <w:sz w:val="20"/>
          <w:szCs w:val="20"/>
        </w:rPr>
        <w:t>575/2013/EU</w:t>
      </w:r>
      <w:r w:rsidRPr="00215B2F">
        <w:rPr>
          <w:rFonts w:ascii="Arial" w:hAnsi="Arial" w:cs="Arial"/>
          <w:sz w:val="20"/>
          <w:szCs w:val="20"/>
        </w:rPr>
        <w:t xml:space="preserve">, (b) vplačane presežke kapitala, ki je povezan z instrumenti iz predhodne točke, (c) zadržane dobičke, (d) akumulirane druge vseobsegajoče donose in (e) druge rezerve. Poleg zahtev glede višine ustanovnega kapitala mora banka, ki je organizirana v obliki delniške družbe (25. člen predloga zakona), izpolnjevati tudi zahteve glede minimalnega zneska osnovnega kapitala, kot je določen v ZGD-1 za delniške družbe. </w:t>
      </w:r>
    </w:p>
    <w:p w14:paraId="65576E2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629822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_Ref202960295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35</w:t>
      </w:r>
      <w:r w:rsidRPr="00215B2F">
        <w:rPr>
          <w:rFonts w:ascii="Arial" w:hAnsi="Arial" w:cs="Arial"/>
          <w:b/>
          <w:bCs/>
          <w:sz w:val="20"/>
          <w:szCs w:val="20"/>
        </w:rPr>
        <w:fldChar w:fldCharType="end"/>
      </w:r>
      <w:r w:rsidRPr="00215B2F">
        <w:rPr>
          <w:rFonts w:ascii="Arial" w:hAnsi="Arial" w:cs="Arial"/>
          <w:b/>
          <w:bCs/>
          <w:sz w:val="20"/>
          <w:szCs w:val="20"/>
        </w:rPr>
        <w:t>. členu (veljavni 29. člen ZBan-3)</w:t>
      </w:r>
    </w:p>
    <w:p w14:paraId="617387B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82A0DA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(29. člen) ni vsebinskih sprememb. Za delnice tako velja, da (i) se lahko glasijo le na ime, (ii) morajo biti izdane v nematerializirani obliki, (iii) se lahko vplačajo samo v denarju, (iv) morajo biti v celoti vplačane pred vpisom ustanovitve oziroma povečanja osnovnega kapitala v sodni register. Namen zahteve po izdaji imenskih delnic, ki morajo biti izdane v nematerializirani obliki, je nadzor nad kvalificiranimi imetniki. Povečanje osnovnega kapitala banke na podlagi konverzije kapitalskega instrumenta, ki ga je izdala banka in na podlagi katerega imetnik pridobi delnice banke, se šteje kot povečanje osnovnega kapitala z vplačilom denarnega vložka, če je bil kapitalski instrument vplačan v denarju. </w:t>
      </w:r>
    </w:p>
    <w:p w14:paraId="705ADD3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8E66CF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Osmi in deveti odstavek </w:t>
      </w:r>
      <w:r w:rsidRPr="00215B2F">
        <w:rPr>
          <w:rFonts w:ascii="Arial" w:hAnsi="Arial" w:cs="Arial"/>
          <w:bCs/>
          <w:sz w:val="20"/>
          <w:szCs w:val="20"/>
        </w:rPr>
        <w:t xml:space="preserve">določata opustitev splošnih omejitev v ZGD-1 glede višine povečanja osnovnega kapitala banke v primeru pogojnega povečanja osnovnega kapitala oziroma pooblastila upravi za povečanje na podlagi odobrenega kapitala. ZGD-1 namreč v 353. členu, ta prenaša drugi odstavek 25. člena </w:t>
      </w:r>
      <w:r w:rsidRPr="00215B2F">
        <w:rPr>
          <w:rFonts w:ascii="Arial" w:hAnsi="Arial" w:cs="Arial"/>
          <w:sz w:val="20"/>
          <w:szCs w:val="20"/>
        </w:rPr>
        <w:t>Druge direktive Sveta z dne 13. decembra 1976 77/91/EEC o uskladitvi zaščitnih ukrepov za varovanje interesov družbenikov in tretjih oseb, ki jih države članice zahtevajo od gospodarskih družb v skladu z drugim odstavkom člena 58 Pogodbe glede ustanavljanja delniških družb ter ohranjanja in spreminjanja njihovega kapitala, zato da se oblikujejo zaščitni ukrepi z enakim učinkom v vsej Skupnosti,</w:t>
      </w:r>
      <w:r w:rsidRPr="00215B2F">
        <w:rPr>
          <w:rFonts w:ascii="Arial" w:hAnsi="Arial" w:cs="Arial"/>
          <w:bCs/>
          <w:sz w:val="20"/>
          <w:szCs w:val="20"/>
        </w:rPr>
        <w:t xml:space="preserve"> določa omejitev pri določitvi pooblastila upravi za povečanje osnovnega kapitala na </w:t>
      </w:r>
      <w:r w:rsidRPr="00215B2F">
        <w:rPr>
          <w:rFonts w:ascii="Arial" w:hAnsi="Arial" w:cs="Arial"/>
          <w:bCs/>
          <w:sz w:val="20"/>
          <w:szCs w:val="20"/>
        </w:rPr>
        <w:lastRenderedPageBreak/>
        <w:t xml:space="preserve">podlagi odobrenega kapitala na največ polovico kapitala, ki obstaja v času, ko je dano pooblastilo upravi, delnice pa se lahko izdajo le ob soglasju nadzornega sveta. V zvezi s pogojnim povečanjem osnovnega kapitala pa ZGD-1 v 343. členu, ki sicer prenaša četrti odstavek 25. člena zgoraj navedene direktive 77/91/EEC, določa omejitev na največ polovico kapitala, ki obstaja v času sklepanja o pogojnem povečanju. </w:t>
      </w:r>
    </w:p>
    <w:p w14:paraId="6AEFFB40" w14:textId="77777777" w:rsidR="0010347E" w:rsidRPr="00215B2F" w:rsidRDefault="0010347E" w:rsidP="0010347E">
      <w:pPr>
        <w:shd w:val="clear" w:color="auto" w:fill="FFFFFF" w:themeFill="background1"/>
        <w:spacing w:after="0" w:line="240" w:lineRule="auto"/>
        <w:jc w:val="both"/>
        <w:rPr>
          <w:rFonts w:ascii="Arial" w:hAnsi="Arial" w:cs="Arial"/>
          <w:bCs/>
          <w:sz w:val="20"/>
          <w:szCs w:val="20"/>
        </w:rPr>
      </w:pPr>
    </w:p>
    <w:p w14:paraId="1386C22F" w14:textId="77777777" w:rsidR="0010347E" w:rsidRPr="00215B2F" w:rsidRDefault="0010347E" w:rsidP="0010347E">
      <w:pPr>
        <w:shd w:val="clear" w:color="auto" w:fill="FFFFFF" w:themeFill="background1"/>
        <w:spacing w:after="0" w:line="240" w:lineRule="auto"/>
        <w:jc w:val="both"/>
        <w:rPr>
          <w:rFonts w:ascii="Arial" w:hAnsi="Arial" w:cs="Arial"/>
          <w:bCs/>
          <w:sz w:val="20"/>
          <w:szCs w:val="20"/>
        </w:rPr>
      </w:pPr>
      <w:r w:rsidRPr="00215B2F">
        <w:rPr>
          <w:rFonts w:ascii="Arial" w:hAnsi="Arial" w:cs="Arial"/>
          <w:bCs/>
          <w:sz w:val="20"/>
          <w:szCs w:val="20"/>
        </w:rPr>
        <w:t>Obe obliki povečanja osnovnega kapitala sta tesno povezani z izdajo zamenljivih instrumentov, ki so v zaostrenih razmerah na finančnih trgih pomembni za zagotavljanje ustreznega kapitala za doseganje kapitalske ustreznosti. Pri bankah se namreč instrumenti, ki jih izda banka in vsebujejo opcijo (banke oziroma banke in imetnika) za zamenjavo tega instrumenta za delnice banke, ob izpolnitvi določenih dodatnih pogojev lahko upoštevajo pri izračunu kapitala banke. Navedene omejitve ZGD-1 v zvezi z najvišjim dopustnim obsegom povečanja osnovnega kapitala z odobrenim kapitalom oziroma s pogojnim povečanjem osnovnega kapitala so v zaostrenih razmerah na finančnih trgih določene prenizko in ne omogočajo akumulacije zadostnega obsega primernega kapitala za doseganje kapitalske ustreznosti.</w:t>
      </w:r>
    </w:p>
    <w:p w14:paraId="33D4495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20E2DE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_Ref202960307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36</w:t>
      </w:r>
      <w:r w:rsidRPr="00215B2F">
        <w:rPr>
          <w:rFonts w:ascii="Arial" w:hAnsi="Arial" w:cs="Arial"/>
          <w:b/>
          <w:bCs/>
          <w:sz w:val="20"/>
          <w:szCs w:val="20"/>
        </w:rPr>
        <w:fldChar w:fldCharType="end"/>
      </w:r>
      <w:r w:rsidRPr="00215B2F">
        <w:rPr>
          <w:rFonts w:ascii="Arial" w:hAnsi="Arial" w:cs="Arial"/>
          <w:b/>
          <w:bCs/>
          <w:sz w:val="20"/>
          <w:szCs w:val="20"/>
        </w:rPr>
        <w:t>. členu (veljavni 30. člen ZBan-3)</w:t>
      </w:r>
    </w:p>
    <w:p w14:paraId="2504B417"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407DABD9" w14:textId="77777777" w:rsidR="0010347E" w:rsidRPr="00215B2F" w:rsidRDefault="0010347E" w:rsidP="0010347E">
      <w:pPr>
        <w:pStyle w:val="Odstavek"/>
        <w:shd w:val="clear" w:color="auto" w:fill="FFFFFF" w:themeFill="background1"/>
        <w:spacing w:before="0"/>
        <w:ind w:firstLine="0"/>
        <w:rPr>
          <w:rFonts w:cs="Arial"/>
          <w:b/>
          <w:sz w:val="20"/>
          <w:szCs w:val="20"/>
        </w:rPr>
      </w:pPr>
      <w:r w:rsidRPr="00215B2F">
        <w:rPr>
          <w:rFonts w:cs="Arial"/>
          <w:sz w:val="20"/>
          <w:szCs w:val="20"/>
        </w:rPr>
        <w:t xml:space="preserve">S členom se določa ničnost skupščinskih sklepov, ki so v nasprotju z ukrepi, ki jih banki ali delničarjem izreče Banka Slovenije, ali se z njimi zmanjšujejo učinki ali zaobide namen takšnega ukrepa. </w:t>
      </w:r>
    </w:p>
    <w:p w14:paraId="3036875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6F2D07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Pristojnost uveljavljanja ničnosti je zaradi zaupnosti ukrepov dodeljena le Banki Slovenije. Rok za uveljavljanje ničnosti pa je v primerjavi s splošno ureditvijo za uveljavljanje ničnosti skupščinskih sklepov po ZGD-1 (tri leta po vpisu sklepa v register) krajši, in sicer eno leto.</w:t>
      </w:r>
    </w:p>
    <w:p w14:paraId="1C3490D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7A47A1E" w14:textId="1AE5DE95"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r w:rsidRPr="00215B2F">
        <w:rPr>
          <w:rFonts w:ascii="Arial" w:hAnsi="Arial" w:cs="Arial"/>
          <w:sz w:val="20"/>
          <w:szCs w:val="20"/>
        </w:rPr>
        <w:t xml:space="preserve">V primerjavi z ZBan-3 (30. člen) je v členu dodan tretji odstavek, s katerim se določa, da se </w:t>
      </w:r>
      <w:r w:rsidRPr="00215B2F">
        <w:rPr>
          <w:rFonts w:ascii="Arial" w:eastAsia="Arial" w:hAnsi="Arial" w:cs="Arial"/>
          <w:sz w:val="20"/>
          <w:szCs w:val="20"/>
        </w:rPr>
        <w:t xml:space="preserve">tudi za nadrejene finančne holdinge Republike Slovenije in nadrejene mešane finančne holdinge Republike Slovenije in EU nadrejeni mešani finančni holding s sedežem v Republiki ne uporablja 399. člen ZGD-1 (kot je že določeno za banke). </w:t>
      </w:r>
      <w:r w:rsidRPr="00215B2F">
        <w:rPr>
          <w:rFonts w:ascii="Arial" w:hAnsi="Arial" w:cs="Arial"/>
          <w:sz w:val="20"/>
          <w:szCs w:val="20"/>
        </w:rPr>
        <w:t xml:space="preserve">Dopolnitev je dodana z namenom večje jasnosti zakona. </w:t>
      </w:r>
    </w:p>
    <w:p w14:paraId="6BEDA2B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688542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_Ref202960315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37</w:t>
      </w:r>
      <w:r w:rsidRPr="00215B2F">
        <w:rPr>
          <w:rFonts w:ascii="Arial" w:hAnsi="Arial" w:cs="Arial"/>
          <w:b/>
          <w:bCs/>
          <w:sz w:val="20"/>
          <w:szCs w:val="20"/>
        </w:rPr>
        <w:fldChar w:fldCharType="end"/>
      </w:r>
      <w:r w:rsidRPr="00215B2F">
        <w:rPr>
          <w:rFonts w:ascii="Arial" w:hAnsi="Arial" w:cs="Arial"/>
          <w:b/>
          <w:bCs/>
          <w:sz w:val="20"/>
          <w:szCs w:val="20"/>
        </w:rPr>
        <w:t>. členu (veljavni 31. člen ZBan-3)</w:t>
      </w:r>
    </w:p>
    <w:p w14:paraId="0711E20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4199377" w14:textId="77777777"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S členom se določa, da banka lahko opravlja bančne storitve, finančne storitve in dodatne finančne storitve.</w:t>
      </w:r>
    </w:p>
    <w:p w14:paraId="743B2367" w14:textId="57561DA9"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p>
    <w:p w14:paraId="1BCA2B32" w14:textId="1991C925"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V primerjavi z ZBan-3 se dodatno določa, da lahko banka za družbe, ki so del skupine,</w:t>
      </w:r>
      <w:r w:rsidR="005D31AE" w:rsidRPr="00215B2F">
        <w:rPr>
          <w:rFonts w:ascii="Arial" w:eastAsia="Arial" w:hAnsi="Arial" w:cs="Arial"/>
          <w:sz w:val="20"/>
          <w:szCs w:val="20"/>
        </w:rPr>
        <w:t xml:space="preserve"> in za druge kreditne institucije</w:t>
      </w:r>
      <w:r w:rsidRPr="00215B2F">
        <w:rPr>
          <w:rFonts w:ascii="Arial" w:eastAsia="Arial" w:hAnsi="Arial" w:cs="Arial"/>
          <w:sz w:val="20"/>
          <w:szCs w:val="20"/>
        </w:rPr>
        <w:t xml:space="preserve"> opravlja tudi storitve, ki jih opravlja družba za pomožne storitve</w:t>
      </w:r>
      <w:r w:rsidR="00D4081A" w:rsidRPr="00215B2F">
        <w:rPr>
          <w:rFonts w:ascii="Arial" w:eastAsia="Arial" w:hAnsi="Arial" w:cs="Arial"/>
          <w:sz w:val="20"/>
          <w:szCs w:val="20"/>
        </w:rPr>
        <w:t xml:space="preserve"> iz točke (b) 18. točke prvega odstavka 4. člena Uredbe 575/2013/EU</w:t>
      </w:r>
      <w:r w:rsidRPr="00215B2F">
        <w:rPr>
          <w:rFonts w:ascii="Arial" w:eastAsia="Arial" w:hAnsi="Arial" w:cs="Arial"/>
          <w:sz w:val="20"/>
          <w:szCs w:val="20"/>
        </w:rPr>
        <w:t xml:space="preserve">. Nova definicija pomožnih storitev sledi </w:t>
      </w:r>
      <w:r w:rsidRPr="00215B2F">
        <w:rPr>
          <w:rFonts w:ascii="Arial" w:hAnsi="Arial" w:cs="Arial"/>
          <w:sz w:val="20"/>
          <w:szCs w:val="20"/>
        </w:rPr>
        <w:t xml:space="preserve">definiciji družbe za pomožne storitve, ko jo opredeljuje CRR. </w:t>
      </w:r>
    </w:p>
    <w:p w14:paraId="35E7CB8C" w14:textId="77777777" w:rsidR="0010347E" w:rsidRPr="00215B2F" w:rsidRDefault="0010347E" w:rsidP="0010347E">
      <w:pPr>
        <w:pStyle w:val="Pripombabesedilo"/>
        <w:shd w:val="clear" w:color="auto" w:fill="FFFFFF" w:themeFill="background1"/>
        <w:rPr>
          <w:rFonts w:ascii="Arial" w:hAnsi="Arial" w:cs="Arial"/>
        </w:rPr>
      </w:pPr>
    </w:p>
    <w:p w14:paraId="18787E0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_Ref202960320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38</w:t>
      </w:r>
      <w:r w:rsidRPr="00215B2F">
        <w:rPr>
          <w:rFonts w:ascii="Arial" w:hAnsi="Arial" w:cs="Arial"/>
          <w:b/>
          <w:bCs/>
          <w:sz w:val="20"/>
          <w:szCs w:val="20"/>
        </w:rPr>
        <w:fldChar w:fldCharType="end"/>
      </w:r>
      <w:r w:rsidRPr="00215B2F">
        <w:rPr>
          <w:rFonts w:ascii="Arial" w:hAnsi="Arial" w:cs="Arial"/>
          <w:b/>
          <w:bCs/>
          <w:sz w:val="20"/>
          <w:szCs w:val="20"/>
        </w:rPr>
        <w:t>. členu (veljavni 32. člen ZBan-3)</w:t>
      </w:r>
    </w:p>
    <w:p w14:paraId="6188511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59B2104"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(32. člen) ni vsebinskih sprememb. Člen opredeljuje prepoved kreditiranja in sklepanja fiktivnih poslov. Banka ne sme posredno ali neposredno kreditirati nakupa lastnih delnic ali delnic oziroma deležev družb, v katerih je banka udeležena z najmanj 20-odstotnim deležem v kapitalu ali glasovalnih pravicah, in dajati jamstev za tak nakup. Prepoved velja tudi za kapitalske in druge instrumente, katerih izdajatelj je banka oziroma družba, v kateri je banka udeležena z najmanj 20-odstotnim deležem v kapitalu ali glasovalnih pravicah, in ki se glede na svoje lastnosti lahko upoštevajo pri izračunu kapitala banke oziroma teh družb.</w:t>
      </w:r>
    </w:p>
    <w:p w14:paraId="6B4E6B7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A7EC73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_Ref202960327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39</w:t>
      </w:r>
      <w:r w:rsidRPr="00215B2F">
        <w:rPr>
          <w:rFonts w:ascii="Arial" w:hAnsi="Arial" w:cs="Arial"/>
          <w:b/>
          <w:bCs/>
          <w:sz w:val="20"/>
          <w:szCs w:val="20"/>
        </w:rPr>
        <w:fldChar w:fldCharType="end"/>
      </w:r>
      <w:r w:rsidRPr="00215B2F">
        <w:rPr>
          <w:rFonts w:ascii="Arial" w:hAnsi="Arial" w:cs="Arial"/>
          <w:b/>
          <w:bCs/>
          <w:sz w:val="20"/>
          <w:szCs w:val="20"/>
        </w:rPr>
        <w:t>. členu (veljavni 33. člen ZBan-3)</w:t>
      </w:r>
    </w:p>
    <w:p w14:paraId="2CAC9DE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532B7D4" w14:textId="39AD50A6"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(33. člen) ni vsebinskih sprememb. Člen ohranja zagotovilo, da banka, ki se vključi v postopke finančnega prestrukturiranja dolžnikov, bodisi v okviru prisilne poravnave bodisi v okviru postopkov finančnega prestrukturiranja pred nastankom insolventnosti, kot so določeni v ZFPPIPP-1, zaradi sodelovanja pri prestrukturiranju v primeru začetka stečaja ne bo v slabšem položaju, kot če prestrukturiranja n</w:t>
      </w:r>
      <w:r w:rsidR="00BF40A0" w:rsidRPr="00215B2F">
        <w:rPr>
          <w:rFonts w:ascii="Arial" w:hAnsi="Arial" w:cs="Arial"/>
          <w:sz w:val="20"/>
          <w:szCs w:val="20"/>
        </w:rPr>
        <w:t>e</w:t>
      </w:r>
      <w:r w:rsidRPr="00215B2F">
        <w:rPr>
          <w:rFonts w:ascii="Arial" w:hAnsi="Arial" w:cs="Arial"/>
          <w:sz w:val="20"/>
          <w:szCs w:val="20"/>
        </w:rPr>
        <w:t xml:space="preserve"> bi podprla (z delnim odpustom dolga) in bi bil zoper dolžnika takoj začet postopek stečaja. </w:t>
      </w:r>
    </w:p>
    <w:p w14:paraId="35C3251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A72E4E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lastRenderedPageBreak/>
        <w:t>V zvezi s finančnim prestrukturiranjem dolžnika je treba izključiti tudi uporabo določb ZGD-1 o kapitalskem posojilu glede posojil, ki jih banka zagotovi dolžnikom, v katerih je v okviru finančnega prestrukturiranja pridobila delež v kapitalu na podlagi prestrukturiranja v skladu z ZFPPIPP-1, če je zoper dolžnika pozneje začet stečajni postopek ali postopek prisilne poravnave.</w:t>
      </w:r>
    </w:p>
    <w:p w14:paraId="44C4744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FAE3D2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_Ref202960331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40</w:t>
      </w:r>
      <w:r w:rsidRPr="00215B2F">
        <w:rPr>
          <w:rFonts w:ascii="Arial" w:hAnsi="Arial" w:cs="Arial"/>
          <w:b/>
          <w:bCs/>
          <w:sz w:val="20"/>
          <w:szCs w:val="20"/>
        </w:rPr>
        <w:fldChar w:fldCharType="end"/>
      </w:r>
      <w:r w:rsidRPr="00215B2F">
        <w:rPr>
          <w:rFonts w:ascii="Arial" w:hAnsi="Arial" w:cs="Arial"/>
          <w:b/>
          <w:bCs/>
          <w:sz w:val="20"/>
          <w:szCs w:val="20"/>
        </w:rPr>
        <w:t>. členu (veljavni 34. člen ZBan-3)</w:t>
      </w:r>
    </w:p>
    <w:p w14:paraId="1A6E090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A5DC41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Po splošni ureditvi v ZGD-1 lahko delniška družba izbira med enotirnim in dvotirnim sistemom upravljanja. V skladu z baselskimi standardi varnega in skrbnega poslovanja bank mora banka zagotoviti trden organizacijski ustroj z natančno opredeljenimi (in razmejenimi) ter dosledno izpeljanimi notranjimi razmerji glede odgovornosti. Dosledno razmejitev pristojnosti in odgovornosti med organi vodenja ter nadzora glede na splošno ureditev v ZGD-1 zagotavlja samo dvotirni sistem upravljanja, zato so že v ZBan-3 določena dodatna pravila, ki veljajo za upravni odbor, če banka izbere enotirni sistem upravljanja, in ki zagotavljajo enakovredno in jasno razmejitev pristojnosti ter odgovornosti kot pri dvotirnem sistemu.</w:t>
      </w:r>
    </w:p>
    <w:p w14:paraId="4A3858B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EAFF3FD" w14:textId="4C90DABC"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je spremenjena 4. točka tretjega odstavka, ki v ZBan-3 določa, da </w:t>
      </w:r>
      <w:r w:rsidRPr="00215B2F">
        <w:rPr>
          <w:rFonts w:ascii="Arial" w:eastAsia="Arial" w:hAnsi="Arial" w:cs="Arial"/>
          <w:sz w:val="20"/>
          <w:szCs w:val="20"/>
        </w:rPr>
        <w:t xml:space="preserve">za banke z enotirnim sistemom upravljanja predsednik oziroma predsednica upravnega odbora ne more biti imenovan za izvršnega direktorja v isti banki, Banka Slovenije pa lahko na zahtevo banke dovoli, da funkcijo izvršnega direktorja v banki opravlja predsednik upravnega odbora, če so za to podani utemeljeni razlogi na strani banke. S predlogom zakona se novem določa, da predsednik oziroma predsednica upravljalnega organa v nadzorniški funkciji ne more biti imenovan za izvršnega direktorja v isti banki. Gre za prenos 88. člena CRD (prvi odstavek – točka e). </w:t>
      </w:r>
    </w:p>
    <w:p w14:paraId="6F3021C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48BB1D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_Ref202960348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41</w:t>
      </w:r>
      <w:r w:rsidRPr="00215B2F">
        <w:rPr>
          <w:rFonts w:ascii="Arial" w:hAnsi="Arial" w:cs="Arial"/>
          <w:b/>
          <w:bCs/>
          <w:sz w:val="20"/>
          <w:szCs w:val="20"/>
        </w:rPr>
        <w:fldChar w:fldCharType="end"/>
      </w:r>
      <w:r w:rsidRPr="00215B2F">
        <w:rPr>
          <w:rFonts w:ascii="Arial" w:hAnsi="Arial" w:cs="Arial"/>
          <w:b/>
          <w:bCs/>
          <w:sz w:val="20"/>
          <w:szCs w:val="20"/>
        </w:rPr>
        <w:t>. členu (veljavni 35. člen ZBan-3)</w:t>
      </w:r>
    </w:p>
    <w:p w14:paraId="1E3379E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7D7534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(35. člen) se prvi odstavek dopolni zaradi prenosa prvega odstavka 91. člena, in sicer se določa sestava upravljalnega organa, ki mora biti sestavljen tako, da ima kot celota ustrezno znanje, veščine in izkušnje ter spretnosti, ki so potrebne za poglobljeno razumevanje dejavnosti banke in tveganj, ki jim je izpostavljena, ter imajo člani upravljalnega organa v primerjavi z Zban-3 tudi dober ugled, ravnajo odkrito, pošteno in neodvisno. Organi banke, ki so pristojni za izbor in imenovanje članov upravljalnega organa, morajo vzpostaviti in izvajati ustrezno politiko izbora primernih kandidatov, ki med drugim zagotavlja ustrezno zastopanost obeh spolov v upravljalnem organu, vključno s politiko, da se za dosego teh ciljev poveča število predstavnikov premalo zastopanega spola v upravljalnem organu.</w:t>
      </w:r>
    </w:p>
    <w:p w14:paraId="5AA1A60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66B23F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Vzrok za to, da upravljalni organi pomanjkljivo spremljajo odločitve v zvezi z upravljanjem, je delno povezan s pojavom kolektivnega razmišljanja. Ta pojav je med drugim posledica neraznolikosti sestave upravljalnih organov. Za spodbujanje neodvisnih mnenj in kritičnega razmišljanja morajo biti upravljalni organi institucij zato dovolj različni, kar zadeva starost, spol, geografski izvor in izobrazbo ter poklicne izkušnje, da bi zastopali različna mnenja in izkušnje. Za zagotovitev ustrezne zastopanosti prebivalstva je zlasti pomembno ravnovesje med spoloma. Zlasti morajo institucije, ki ne dosegajo praga glede zastopanosti spola, ki je premalo zastopan, prednostno sprejeti ustrezne ukrepe. Zastopanost zaposlenih v upravljalnih organih lahko štejemo tudi za pozitivni način krepitve raznolikosti, saj prinaša ključni pogled in dejansko poznavanje notranjega delovanja institucij. Bolj raznoliki upravljalni organi bi morali učinkoviteje spremljati upravljanje in zato prispevati k izboljšanemu nadzoru nad tveganjem in izboljšani vzdržljivosti institucij. Zato mora biti raznolikost eno od meril pri sestavi upravljalnih organov. Raznolikost bi morala biti tudi bolj splošno vključena v politiko zaposlovanja institucije. Taka politika bi morala na primer institucije spodbujati, da kandidate izbirajo z ožjih seznamov, na katerih sta zastopana oba spola.</w:t>
      </w:r>
    </w:p>
    <w:p w14:paraId="574FE19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E8E71C4" w14:textId="7E9ADE34" w:rsidR="0010347E" w:rsidRPr="006C18CB" w:rsidRDefault="0010347E" w:rsidP="006C18CB">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Zaradi prenosa sedmega 91. člena CRD se v primerjavi z ZBan-3 dopolni peti odstavek in dodata nova šesti in sedmi odstavek predlaganega 41. člena, in sicer mora banka v skladu s CRR zagotoviti ustrezno usposabljanje in vire za člane upravljalnega organa, zlasti glede ESG tveganj in tveganj v zvezi z IKT. </w:t>
      </w:r>
      <w:r w:rsidRPr="006C18CB">
        <w:rPr>
          <w:rFonts w:ascii="Arial" w:hAnsi="Arial" w:cs="Arial"/>
          <w:sz w:val="20"/>
          <w:szCs w:val="20"/>
        </w:rPr>
        <w:t>Za izpolnjevanje zahtev glede ugleda, odkritosti in poštenosti ni dovolj, da član ni obsojen ali v kazenskem postopku, temveč mora izkazovati te vrednote. Pravila pa ne veljajo za posebne pooblaščence ali člane izredne uprave, ki jih imenujejo pristojni organi na podlagi predlaganega zakona oziroma zakona, ki ureja reševanje</w:t>
      </w:r>
      <w:r w:rsidR="00BF40A0" w:rsidRPr="006C18CB">
        <w:rPr>
          <w:rFonts w:ascii="Arial" w:hAnsi="Arial" w:cs="Arial"/>
          <w:sz w:val="20"/>
          <w:szCs w:val="20"/>
        </w:rPr>
        <w:t xml:space="preserve"> in prisilno prenehanje</w:t>
      </w:r>
      <w:r w:rsidRPr="006C18CB">
        <w:rPr>
          <w:rFonts w:ascii="Arial" w:hAnsi="Arial" w:cs="Arial"/>
          <w:sz w:val="20"/>
          <w:szCs w:val="20"/>
        </w:rPr>
        <w:t xml:space="preserve"> bank. </w:t>
      </w:r>
    </w:p>
    <w:p w14:paraId="29AF351C" w14:textId="77777777" w:rsidR="0010347E" w:rsidRPr="006C18CB" w:rsidRDefault="0010347E" w:rsidP="006C18CB">
      <w:pPr>
        <w:pStyle w:val="Odstavek"/>
        <w:shd w:val="clear" w:color="auto" w:fill="FFFFFF" w:themeFill="background1"/>
        <w:spacing w:before="0"/>
        <w:ind w:firstLine="0"/>
        <w:rPr>
          <w:rFonts w:cs="Arial"/>
          <w:sz w:val="20"/>
          <w:szCs w:val="20"/>
        </w:rPr>
      </w:pPr>
    </w:p>
    <w:p w14:paraId="2EC1895F" w14:textId="77777777" w:rsidR="006C18CB" w:rsidRPr="006C18CB" w:rsidRDefault="006C18CB" w:rsidP="006C18CB">
      <w:pPr>
        <w:spacing w:after="0" w:line="240" w:lineRule="auto"/>
        <w:jc w:val="both"/>
        <w:rPr>
          <w:rFonts w:ascii="Arial" w:hAnsi="Arial" w:cs="Arial"/>
          <w:sz w:val="20"/>
          <w:szCs w:val="20"/>
        </w:rPr>
      </w:pPr>
      <w:r w:rsidRPr="006C18CB">
        <w:rPr>
          <w:rFonts w:ascii="Arial" w:hAnsi="Arial" w:cs="Arial"/>
          <w:sz w:val="20"/>
          <w:szCs w:val="20"/>
        </w:rPr>
        <w:t xml:space="preserve">Glede šestega in sedmega odstavka velja izpostaviti še naslednje. Gre za negativno predpostavko oziroma zlasti odsotnost drugih negativnih dejstev – npr. da kandidat ni v kazenskem postopku, ki še ni </w:t>
      </w:r>
      <w:r w:rsidRPr="006C18CB">
        <w:rPr>
          <w:rFonts w:ascii="Arial" w:hAnsi="Arial" w:cs="Arial"/>
          <w:sz w:val="20"/>
          <w:szCs w:val="20"/>
        </w:rPr>
        <w:lastRenderedPageBreak/>
        <w:t xml:space="preserve">končan ali mu v drugem upravnem postopku ni bilo odvzeto dovoljenje za opravljanje funkcije ali npr. da ni negativnih medijskih objav glede njegovega ugleda. To je podrobneje opredeljeno v EBA Smernicah. </w:t>
      </w:r>
    </w:p>
    <w:p w14:paraId="51BFD9DA" w14:textId="77777777" w:rsidR="006C18CB" w:rsidRPr="006C18CB" w:rsidRDefault="006C18CB" w:rsidP="006C18CB">
      <w:pPr>
        <w:spacing w:after="0" w:line="240" w:lineRule="auto"/>
        <w:jc w:val="both"/>
        <w:rPr>
          <w:rFonts w:ascii="Arial" w:hAnsi="Arial" w:cs="Arial"/>
          <w:sz w:val="20"/>
          <w:szCs w:val="20"/>
        </w:rPr>
      </w:pPr>
    </w:p>
    <w:p w14:paraId="48155FF4" w14:textId="77777777" w:rsidR="006C18CB" w:rsidRPr="006C18CB" w:rsidRDefault="006C18CB" w:rsidP="006C18CB">
      <w:pPr>
        <w:spacing w:after="0" w:line="240" w:lineRule="auto"/>
        <w:jc w:val="both"/>
        <w:rPr>
          <w:rFonts w:ascii="Arial" w:hAnsi="Arial" w:cs="Arial"/>
          <w:sz w:val="20"/>
          <w:szCs w:val="20"/>
        </w:rPr>
      </w:pPr>
      <w:r w:rsidRPr="006C18CB">
        <w:rPr>
          <w:rFonts w:ascii="Arial" w:hAnsi="Arial" w:cs="Arial"/>
          <w:sz w:val="20"/>
          <w:szCs w:val="20"/>
        </w:rPr>
        <w:t>Imenovanje posebnega pooblaščenca je ukrep nadzora, ki ga imenuje pristojni nadzorni organ, torej isti, ki bi opravil tudi FAP oceno. Dodatno je treba upoštevati, da lahko zahteva po postavitvi posebnega pooblaščenca nastopi hitro, izvedba FAP postopka pa bi dodatno zavlačevala takšno imenovanje.</w:t>
      </w:r>
    </w:p>
    <w:p w14:paraId="20BC2C59" w14:textId="77777777" w:rsidR="006C18CB" w:rsidRPr="00215B2F" w:rsidRDefault="006C18CB" w:rsidP="0010347E">
      <w:pPr>
        <w:pStyle w:val="Odstavek"/>
        <w:shd w:val="clear" w:color="auto" w:fill="FFFFFF" w:themeFill="background1"/>
        <w:spacing w:before="0"/>
        <w:ind w:firstLine="0"/>
        <w:rPr>
          <w:rFonts w:cs="Arial"/>
          <w:sz w:val="20"/>
          <w:szCs w:val="20"/>
        </w:rPr>
      </w:pPr>
    </w:p>
    <w:p w14:paraId="419542E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_Ref202960368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42</w:t>
      </w:r>
      <w:r w:rsidRPr="00215B2F">
        <w:rPr>
          <w:rFonts w:ascii="Arial" w:hAnsi="Arial" w:cs="Arial"/>
          <w:b/>
          <w:bCs/>
          <w:sz w:val="20"/>
          <w:szCs w:val="20"/>
        </w:rPr>
        <w:fldChar w:fldCharType="end"/>
      </w:r>
      <w:r w:rsidRPr="00215B2F">
        <w:rPr>
          <w:rFonts w:ascii="Arial" w:hAnsi="Arial" w:cs="Arial"/>
          <w:b/>
          <w:bCs/>
          <w:sz w:val="20"/>
          <w:szCs w:val="20"/>
        </w:rPr>
        <w:t>. členu</w:t>
      </w:r>
    </w:p>
    <w:p w14:paraId="16342F3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B0463FD"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mora, ob upoštevanju kolektivne odgovornosti upravljalnega organa, pripraviti, vzdrževati in posodabljati individualne izjave o vlogah in nalogah članov uprave, višjega vodstva in nosilcev ključnih funkcij, razporeditev njihovih nalog ter seznam oseb, ki so del stabilne notranje upravljavske ureditve. Ti dokumenti morajo biti ves čas dostopni in na zahtevo poslani Banki Slovenije. Gre za prenos 88. člena (tretji odstavek) CRD. </w:t>
      </w:r>
    </w:p>
    <w:p w14:paraId="227CC94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842D06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_Ref202960375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43</w:t>
      </w:r>
      <w:r w:rsidRPr="00215B2F">
        <w:rPr>
          <w:rFonts w:ascii="Arial" w:hAnsi="Arial" w:cs="Arial"/>
          <w:b/>
          <w:bCs/>
          <w:sz w:val="20"/>
          <w:szCs w:val="20"/>
        </w:rPr>
        <w:fldChar w:fldCharType="end"/>
      </w:r>
      <w:r w:rsidRPr="00215B2F">
        <w:rPr>
          <w:rFonts w:ascii="Arial" w:hAnsi="Arial" w:cs="Arial"/>
          <w:b/>
          <w:bCs/>
          <w:sz w:val="20"/>
          <w:szCs w:val="20"/>
        </w:rPr>
        <w:t>. členu (veljavni 36. člen ZBan-3)</w:t>
      </w:r>
    </w:p>
    <w:p w14:paraId="26420C49"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4EDE1294" w14:textId="77777777"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bCs/>
          <w:sz w:val="20"/>
          <w:szCs w:val="20"/>
        </w:rPr>
        <w:t xml:space="preserve">V ZBan-3 je glede predstavnikov delavcev (36. člen) določeno, da se določbe zakona, ki veljajo za člane upravljalnih organov bank, smiselno uporabljajo tudi za predstavnike delavcev v organih nadzora. Pri njihovem imenovanju mora organ, pristojen za izbor, v poslovniku določiti zahteve, postopke ocenjevanja primernosti, imenovanja in razrešitve ter v sodelovanju z banko zagotoviti neprekinjeno primernost nadzornega organa kot celote. Banka mora zagotoviti ustrezne pogoje za uvajanje in usposabljanje teh predstavnikov. Ti morajo varovati zaupne informacije in poslovne skrivnosti tudi po prenehanju funkcije, pri čemer svet delavcev skupaj z banko določi politiko izmenjave informacij med predstavniki delavcev in drugimi deležniki. V skladu z </w:t>
      </w:r>
      <w:r w:rsidRPr="00215B2F">
        <w:rPr>
          <w:rFonts w:cs="Arial"/>
          <w:sz w:val="20"/>
          <w:szCs w:val="20"/>
        </w:rPr>
        <w:t xml:space="preserve">odločbo Ustavnega sodišča U-I-186/21-12 z dne 18. 12. 2024 se izraz »organ nadzora« nadomesti z izrazom »upravljalni organ«. </w:t>
      </w:r>
    </w:p>
    <w:p w14:paraId="387B8B3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69963F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_Ref202960389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44</w:t>
      </w:r>
      <w:r w:rsidRPr="00215B2F">
        <w:rPr>
          <w:rFonts w:ascii="Arial" w:hAnsi="Arial" w:cs="Arial"/>
          <w:b/>
          <w:bCs/>
          <w:sz w:val="20"/>
          <w:szCs w:val="20"/>
        </w:rPr>
        <w:fldChar w:fldCharType="end"/>
      </w:r>
      <w:r w:rsidRPr="00215B2F">
        <w:rPr>
          <w:rFonts w:ascii="Arial" w:hAnsi="Arial" w:cs="Arial"/>
          <w:b/>
          <w:bCs/>
          <w:sz w:val="20"/>
          <w:szCs w:val="20"/>
        </w:rPr>
        <w:t>. členu (veljavni 37. člen ZBan-3)</w:t>
      </w:r>
    </w:p>
    <w:p w14:paraId="759D25D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8C28A6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37. člen ZBan-3 podrobneje določa način ocenjevanja primernosti članov upravljalnega organa s strani banke. Banka pri tej oceni upošteva Smernice EBA o ocenjevanju primernosti članov organov vodenja ali nadzora in nosilcev ključnih funkcij (EBA/GL/2012/06). Te smernice namreč med drugim vključujejo obveznost banke po vzpostavitvi politik glede primernosti ter pri opredelitvi posameznika/-ov oz. funkcije, ki nosi odgovornost za izvedbo ocene primernosti.</w:t>
      </w:r>
    </w:p>
    <w:p w14:paraId="4A4408F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F183E53" w14:textId="5F7AF430"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S predlogom zakona se deln</w:t>
      </w:r>
      <w:r w:rsidR="00E65BD8" w:rsidRPr="00215B2F">
        <w:rPr>
          <w:rFonts w:cs="Arial"/>
          <w:sz w:val="20"/>
          <w:szCs w:val="20"/>
        </w:rPr>
        <w:t>o</w:t>
      </w:r>
      <w:r w:rsidRPr="00215B2F">
        <w:rPr>
          <w:rFonts w:cs="Arial"/>
          <w:sz w:val="20"/>
          <w:szCs w:val="20"/>
        </w:rPr>
        <w:t xml:space="preserve"> </w:t>
      </w:r>
      <w:r w:rsidR="00E65BD8" w:rsidRPr="00215B2F">
        <w:rPr>
          <w:rFonts w:cs="Arial"/>
          <w:sz w:val="20"/>
          <w:szCs w:val="20"/>
        </w:rPr>
        <w:t xml:space="preserve">prenaša </w:t>
      </w:r>
      <w:r w:rsidRPr="00215B2F">
        <w:rPr>
          <w:rFonts w:cs="Arial"/>
          <w:sz w:val="20"/>
          <w:szCs w:val="20"/>
        </w:rPr>
        <w:t>91. člena CRD. Banka mora vzpostaviti in redno izvajati postopek ocenjevanja primernosti članov upravljalnega organa, tj. najmanj enkrat letno ter ob novih pomembnih okoliščinah, in o tem nemudoma obvestiti Banko Slovenije. Pri ocenjevanju primernosti predstavnika delavcev mora sodelovati tudi svet delavcev, pri čemer je zagotovljena zaščita zaposlenih, ki sodelujejo v postopku. Če član ali kandidat ne izpolnjuje meril primernosti, banka prepreči njegov začetek funkcije, ga razreši ali sprejme ukrepe za zagotavljanje primernosti. Banka mora imeti vedno posodobljene podatke o primernosti članov, ki jih na zahtevo predloži Banki Slovenije, in mora o imenovanju ali razrešitvi članov uprave ali potrditvi kandidatov nadzornega sveta obvestiti Banko Slovenije v petih dneh ter priložiti oceno primernosti kandidatov.</w:t>
      </w:r>
    </w:p>
    <w:p w14:paraId="501BCD2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599D9D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_Ref202960400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45</w:t>
      </w:r>
      <w:r w:rsidRPr="00215B2F">
        <w:rPr>
          <w:rFonts w:ascii="Arial" w:hAnsi="Arial" w:cs="Arial"/>
          <w:b/>
          <w:bCs/>
          <w:sz w:val="20"/>
          <w:szCs w:val="20"/>
        </w:rPr>
        <w:fldChar w:fldCharType="end"/>
      </w:r>
      <w:r w:rsidRPr="00215B2F">
        <w:rPr>
          <w:rFonts w:ascii="Arial" w:hAnsi="Arial" w:cs="Arial"/>
          <w:b/>
          <w:bCs/>
          <w:sz w:val="20"/>
          <w:szCs w:val="20"/>
        </w:rPr>
        <w:t>. členu (veljavni 38. člen ZBan-3)</w:t>
      </w:r>
    </w:p>
    <w:p w14:paraId="0A47A97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A3CD3D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ZBan-3 (38. člen) določa, da mora banka pri določanju števila direktorskih funkcij, ki jih lahko član upravljalnega organa opravlja poleg funkcije v banki, upoštevati časovne in vsebinske okoliščine dela, pri čemer se razlikujejo izvršne funkcije (vodenje in zastopanje) in neizvršne (nadzor). Člani upravljalnega organa pomembnih bank imajo lahko največ eno izvršno in dve neizvršni funkciji ali do štiri neizvršne funkcije, pri čemer se združene funkcije v isti skupini ali povezanih družbah štejejo kot ena, funkcije v nepridobitnih organizacijah pa se ne upoštevajo. Na podlagi zahteve člana in soglasja banke lahko Banka Slovenije dovoli dodatno neizvršno funkcijo ter o tem obvesti Evropski bančni organ, medtem ko mora član upravljalnega organa banko pisno obveščati o vseh direktorskih funkcijah, ki jih opravlja ali je začel opravljati v drugih družbah, tako pred imenovanjem kot med opravljanjem svoje funkcije. S členom se prenaša 91. člen CRD. </w:t>
      </w:r>
    </w:p>
    <w:p w14:paraId="0A98570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1501CC9" w14:textId="5E630D7B" w:rsidR="0010347E" w:rsidRPr="00215B2F" w:rsidRDefault="0010347E" w:rsidP="0010347E">
      <w:pPr>
        <w:pStyle w:val="Odstavek"/>
        <w:shd w:val="clear" w:color="auto" w:fill="FFFFFF" w:themeFill="background1"/>
        <w:spacing w:before="0"/>
        <w:ind w:firstLine="0"/>
        <w:rPr>
          <w:rFonts w:cs="Arial"/>
          <w:bCs/>
          <w:sz w:val="20"/>
          <w:szCs w:val="20"/>
        </w:rPr>
      </w:pPr>
      <w:r w:rsidRPr="00215B2F">
        <w:rPr>
          <w:rFonts w:cs="Arial"/>
          <w:bCs/>
          <w:sz w:val="20"/>
          <w:szCs w:val="20"/>
        </w:rPr>
        <w:lastRenderedPageBreak/>
        <w:t xml:space="preserve">S predlogom zakona se v primerjavi z ZBan-3 (38. člen) v četrtem odstavku podrobneje določa, kaj se šteje kot ena sama direktorska funkcija. Gre za prenos 91. člena CRD (četrti odstavek, točka b, podtočka </w:t>
      </w:r>
      <w:r w:rsidR="00E65BD8" w:rsidRPr="00215B2F">
        <w:rPr>
          <w:rFonts w:cs="Arial"/>
          <w:bCs/>
          <w:sz w:val="20"/>
          <w:szCs w:val="20"/>
        </w:rPr>
        <w:t>(</w:t>
      </w:r>
      <w:r w:rsidRPr="00215B2F">
        <w:rPr>
          <w:rFonts w:cs="Arial"/>
          <w:bCs/>
          <w:sz w:val="20"/>
          <w:szCs w:val="20"/>
        </w:rPr>
        <w:t>i</w:t>
      </w:r>
      <w:r w:rsidR="00E65BD8" w:rsidRPr="00215B2F">
        <w:rPr>
          <w:rFonts w:cs="Arial"/>
          <w:bCs/>
          <w:sz w:val="20"/>
          <w:szCs w:val="20"/>
        </w:rPr>
        <w:t>)</w:t>
      </w:r>
      <w:r w:rsidRPr="00215B2F">
        <w:rPr>
          <w:rFonts w:cs="Arial"/>
          <w:bCs/>
          <w:sz w:val="20"/>
          <w:szCs w:val="20"/>
        </w:rPr>
        <w:t xml:space="preserve">). </w:t>
      </w:r>
    </w:p>
    <w:p w14:paraId="496D120D" w14:textId="77777777" w:rsidR="0010347E" w:rsidRPr="00215B2F" w:rsidRDefault="0010347E" w:rsidP="0010347E">
      <w:pPr>
        <w:pStyle w:val="Odstavek"/>
        <w:shd w:val="clear" w:color="auto" w:fill="FFFFFF" w:themeFill="background1"/>
        <w:spacing w:before="0"/>
        <w:ind w:firstLine="0"/>
        <w:rPr>
          <w:rFonts w:cs="Arial"/>
          <w:bCs/>
          <w:sz w:val="20"/>
          <w:szCs w:val="20"/>
        </w:rPr>
      </w:pPr>
    </w:p>
    <w:p w14:paraId="785A5E0D" w14:textId="636C70E8"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r w:rsidRPr="00215B2F">
        <w:rPr>
          <w:rFonts w:ascii="Arial" w:hAnsi="Arial" w:cs="Arial"/>
          <w:bCs/>
          <w:sz w:val="20"/>
          <w:szCs w:val="20"/>
        </w:rPr>
        <w:t>Dodatno se</w:t>
      </w:r>
      <w:r w:rsidR="00D70513" w:rsidRPr="00215B2F">
        <w:rPr>
          <w:rFonts w:ascii="Arial" w:hAnsi="Arial" w:cs="Arial"/>
          <w:bCs/>
          <w:sz w:val="20"/>
          <w:szCs w:val="20"/>
        </w:rPr>
        <w:t xml:space="preserve"> v primerjavi z ZBan-3</w:t>
      </w:r>
      <w:r w:rsidRPr="00215B2F">
        <w:rPr>
          <w:rFonts w:ascii="Arial" w:hAnsi="Arial" w:cs="Arial"/>
          <w:bCs/>
          <w:sz w:val="20"/>
          <w:szCs w:val="20"/>
        </w:rPr>
        <w:t xml:space="preserve"> dodaja novi šesti odstavek, </w:t>
      </w:r>
      <w:r w:rsidRPr="00215B2F">
        <w:rPr>
          <w:rFonts w:ascii="Arial" w:eastAsia="Arial" w:hAnsi="Arial" w:cs="Arial"/>
          <w:sz w:val="20"/>
          <w:szCs w:val="20"/>
        </w:rPr>
        <w:t xml:space="preserve">s katerim se določa skupina podjetij, ki so medsebojno povezana, kakor je določeno v 56. členu ZGD-1 oziroma 22. členu Direktive 2013/34/EU, ali skupina podjetij, ki so podrejene družbe istega finančnega holdinga ali mešanega finančnega holdinga. </w:t>
      </w:r>
      <w:r w:rsidRPr="00215B2F">
        <w:rPr>
          <w:rFonts w:ascii="Arial" w:hAnsi="Arial" w:cs="Arial"/>
          <w:bCs/>
          <w:sz w:val="20"/>
          <w:szCs w:val="20"/>
        </w:rPr>
        <w:t>Gre za prenos 91. člena CRD (četrti odstavek, drugi pododstavek).</w:t>
      </w:r>
    </w:p>
    <w:p w14:paraId="3DD7170D" w14:textId="77777777" w:rsidR="0010347E" w:rsidRPr="00215B2F" w:rsidRDefault="0010347E" w:rsidP="0010347E">
      <w:pPr>
        <w:pStyle w:val="Odstavek"/>
        <w:shd w:val="clear" w:color="auto" w:fill="FFFFFF" w:themeFill="background1"/>
        <w:spacing w:before="0"/>
        <w:ind w:firstLine="0"/>
        <w:rPr>
          <w:rFonts w:cs="Arial"/>
          <w:bCs/>
          <w:sz w:val="20"/>
          <w:szCs w:val="20"/>
        </w:rPr>
      </w:pPr>
    </w:p>
    <w:p w14:paraId="7F9C3126" w14:textId="77777777" w:rsidR="0010347E" w:rsidRPr="00215B2F" w:rsidRDefault="0010347E" w:rsidP="0010347E">
      <w:pPr>
        <w:pStyle w:val="Odstavek"/>
        <w:shd w:val="clear" w:color="auto" w:fill="FFFFFF" w:themeFill="background1"/>
        <w:spacing w:before="0"/>
        <w:ind w:firstLine="0"/>
        <w:rPr>
          <w:rFonts w:cs="Arial"/>
          <w:bCs/>
          <w:sz w:val="20"/>
          <w:szCs w:val="20"/>
        </w:rPr>
      </w:pPr>
      <w:r w:rsidRPr="00215B2F">
        <w:rPr>
          <w:rFonts w:cs="Arial"/>
          <w:bCs/>
          <w:sz w:val="20"/>
          <w:szCs w:val="20"/>
        </w:rPr>
        <w:t xml:space="preserve">Dodatno se dodaja novi sedmi odstavek, s katerim se določa, da lahko </w:t>
      </w:r>
      <w:r w:rsidRPr="00215B2F">
        <w:rPr>
          <w:rFonts w:eastAsia="Arial" w:cs="Arial"/>
          <w:sz w:val="20"/>
          <w:szCs w:val="20"/>
        </w:rPr>
        <w:t xml:space="preserve">Banka Slovenije na zahtevo banke dovoli, da samostojno opravljanje pridobitne dejavnosti v okviru organiziranega podjetja (samostojni podjetnik posameznik) ne šteje kot direktorska funkcija. Banka Slovenije pri presoji upošteva zlasti obseg poslovanja podjetja, funkcijo člana upravljanega organa v podjetju ter čas, ki ga član upravljalnega organa nameni tej funkciji. </w:t>
      </w:r>
      <w:r w:rsidRPr="00215B2F">
        <w:rPr>
          <w:rFonts w:cs="Arial"/>
          <w:sz w:val="20"/>
          <w:szCs w:val="20"/>
        </w:rPr>
        <w:t>V praksi je bilo namreč zaznanih več primerov, ko imajo člani upravnega odbora registriran s. p., ki dejansko ne vpliva na časovno razpoložljivost člana, kar je namen, ki se upošteva pri določbi – posledično je bilo namreč treba od člana zahtevati, da s. p. prenese/zapre, sicer bi bil ocenjen kot neprimeren. Predlagana sprememba tako omogoča fleksibilnost pri presoji s. p. v skladu z namenom določbe, to je zagotoviti, da ima član za opravljanje funkcije dovolj časa.</w:t>
      </w:r>
    </w:p>
    <w:p w14:paraId="2616806F" w14:textId="77777777" w:rsidR="0010347E" w:rsidRPr="00215B2F" w:rsidRDefault="0010347E" w:rsidP="0010347E">
      <w:pPr>
        <w:pStyle w:val="Odstavek"/>
        <w:shd w:val="clear" w:color="auto" w:fill="FFFFFF" w:themeFill="background1"/>
        <w:spacing w:before="0"/>
        <w:ind w:firstLine="0"/>
        <w:rPr>
          <w:rFonts w:cs="Arial"/>
          <w:bCs/>
          <w:sz w:val="20"/>
          <w:szCs w:val="20"/>
        </w:rPr>
      </w:pPr>
    </w:p>
    <w:p w14:paraId="4849DF17" w14:textId="77777777" w:rsidR="0010347E" w:rsidRPr="00215B2F" w:rsidRDefault="0010347E" w:rsidP="0010347E">
      <w:pPr>
        <w:pStyle w:val="Odstavek"/>
        <w:shd w:val="clear" w:color="auto" w:fill="FFFFFF" w:themeFill="background1"/>
        <w:spacing w:before="0"/>
        <w:ind w:firstLine="0"/>
        <w:rPr>
          <w:rFonts w:cs="Arial"/>
          <w:bCs/>
          <w:sz w:val="20"/>
          <w:szCs w:val="20"/>
        </w:rPr>
      </w:pPr>
      <w:r w:rsidRPr="00215B2F">
        <w:rPr>
          <w:rFonts w:cs="Arial"/>
          <w:bCs/>
          <w:sz w:val="20"/>
          <w:szCs w:val="20"/>
        </w:rPr>
        <w:t xml:space="preserve">Spremembe dosedanjega šestega odstavka (novega osmega odstavka) </w:t>
      </w:r>
      <w:r w:rsidRPr="00215B2F">
        <w:rPr>
          <w:rFonts w:cs="Arial"/>
          <w:sz w:val="20"/>
          <w:szCs w:val="20"/>
        </w:rPr>
        <w:t>sledijo že uvedenim spremembam, da zahtevo za izdajo dovoljenja za opravljanje funkcije člana upravnega odbora vloži banka (in ne več kandidat sam, kot je bilo prej).</w:t>
      </w:r>
    </w:p>
    <w:p w14:paraId="55005B1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9B40E4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_Ref202960411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46</w:t>
      </w:r>
      <w:r w:rsidRPr="00215B2F">
        <w:rPr>
          <w:rFonts w:ascii="Arial" w:hAnsi="Arial" w:cs="Arial"/>
          <w:b/>
          <w:bCs/>
          <w:sz w:val="20"/>
          <w:szCs w:val="20"/>
        </w:rPr>
        <w:fldChar w:fldCharType="end"/>
      </w:r>
      <w:r w:rsidRPr="00215B2F">
        <w:rPr>
          <w:rFonts w:ascii="Arial" w:hAnsi="Arial" w:cs="Arial"/>
          <w:b/>
          <w:bCs/>
          <w:sz w:val="20"/>
          <w:szCs w:val="20"/>
        </w:rPr>
        <w:t>. členu (veljavni 39. člen ZBan-3)</w:t>
      </w:r>
    </w:p>
    <w:p w14:paraId="5B9469BF"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67A9A7D1" w14:textId="77777777" w:rsidR="0010347E" w:rsidRPr="00215B2F" w:rsidRDefault="0010347E" w:rsidP="0010347E">
      <w:pPr>
        <w:shd w:val="clear" w:color="auto" w:fill="FFFFFF" w:themeFill="background1"/>
        <w:spacing w:line="240" w:lineRule="auto"/>
        <w:jc w:val="both"/>
        <w:rPr>
          <w:rFonts w:ascii="Arial" w:hAnsi="Arial" w:cs="Arial"/>
          <w:sz w:val="20"/>
          <w:szCs w:val="20"/>
        </w:rPr>
      </w:pPr>
      <w:r w:rsidRPr="00215B2F">
        <w:rPr>
          <w:rFonts w:ascii="Arial" w:hAnsi="Arial" w:cs="Arial"/>
          <w:sz w:val="20"/>
          <w:szCs w:val="20"/>
        </w:rPr>
        <w:t>ZBan-3 v 39. členu določa sestavo uprave banke.</w:t>
      </w:r>
      <w:r w:rsidRPr="00215B2F">
        <w:rPr>
          <w:rFonts w:ascii="Arial" w:hAnsi="Arial" w:cs="Arial"/>
          <w:b/>
          <w:bCs/>
          <w:sz w:val="20"/>
          <w:szCs w:val="20"/>
        </w:rPr>
        <w:t xml:space="preserve"> </w:t>
      </w:r>
      <w:r w:rsidRPr="00215B2F">
        <w:rPr>
          <w:rFonts w:ascii="Arial" w:hAnsi="Arial" w:cs="Arial"/>
          <w:sz w:val="20"/>
          <w:szCs w:val="20"/>
        </w:rPr>
        <w:t>Uprava banke mora biti sestavljena iz najmanj dveh članov, ki banko zastopata skupaj, pri čemer nihče – niti član uprave niti prokurist – ne sme samostojno zastopati banke v celoti. Člani uprave morajo biti zaposleni za polni delovni čas, najmanj eden izmed njih pa mora obvladati slovenski jezik na ravni, ki omogoča učinkovito opravljanje funkcije. Poleg tega mora uprava voditi posle banke znotraj Republike Slovenije.</w:t>
      </w:r>
    </w:p>
    <w:p w14:paraId="7297D83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Z novim drugim odstavkom se določa, da mora </w:t>
      </w:r>
      <w:r w:rsidRPr="00215B2F">
        <w:rPr>
          <w:rFonts w:ascii="Arial" w:eastAsia="Arial" w:hAnsi="Arial" w:cs="Arial"/>
          <w:sz w:val="20"/>
          <w:szCs w:val="20"/>
        </w:rPr>
        <w:t xml:space="preserve">imeti ustrezno kolektivno znanje, spretnosti in izkušnje, da lahko razume dejavnosti banke in povezana tveganja, ki jim je banka izpostavljena ob upoštevanju ESG dejavnikov, ter kratkoročne, srednjeročne in dolgoročne učinke, ki jih to povzroča. Uprava je sestavljena dovolj raznoliko, da ima ustrezno širok nabor izkušenj. Gre za prenos odstavka 2b 91. člena CRD. </w:t>
      </w:r>
    </w:p>
    <w:p w14:paraId="464D8C6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810BCC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_Ref202963029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47</w:t>
      </w:r>
      <w:r w:rsidRPr="00215B2F">
        <w:rPr>
          <w:rFonts w:ascii="Arial" w:hAnsi="Arial" w:cs="Arial"/>
          <w:b/>
          <w:bCs/>
          <w:sz w:val="20"/>
          <w:szCs w:val="20"/>
        </w:rPr>
        <w:fldChar w:fldCharType="end"/>
      </w:r>
      <w:r w:rsidRPr="00215B2F">
        <w:rPr>
          <w:rFonts w:ascii="Arial" w:hAnsi="Arial" w:cs="Arial"/>
          <w:b/>
          <w:bCs/>
          <w:sz w:val="20"/>
          <w:szCs w:val="20"/>
        </w:rPr>
        <w:t>. členu (veljavni 40. člen ZBan-3)</w:t>
      </w:r>
    </w:p>
    <w:p w14:paraId="25266127"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4C69E69D" w14:textId="159AD5A1"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bCs/>
          <w:sz w:val="20"/>
          <w:szCs w:val="20"/>
        </w:rPr>
        <w:t xml:space="preserve">Za </w:t>
      </w:r>
      <w:r w:rsidR="00882103" w:rsidRPr="00215B2F">
        <w:rPr>
          <w:rFonts w:ascii="Arial" w:hAnsi="Arial" w:cs="Arial"/>
          <w:sz w:val="20"/>
          <w:szCs w:val="20"/>
        </w:rPr>
        <w:t>člana uprave</w:t>
      </w:r>
      <w:r w:rsidRPr="00215B2F">
        <w:rPr>
          <w:rFonts w:ascii="Arial" w:hAnsi="Arial" w:cs="Arial"/>
          <w:bCs/>
          <w:sz w:val="20"/>
          <w:szCs w:val="20"/>
        </w:rPr>
        <w:t xml:space="preserve"> je lahko imenovana oseba, ki ima ustrezno znanje, izkušnje in spretnosti za vodenje banke ali primerljive družbe, uživa ugled in ravna v skladu z najvišjimi etičnimi standardi ter ne vzbuja dvoma o svoji sposobnosti za varno in skrbno vodenje banke. Poleg tega ne sme kršiti določb 38. člena zakona oziroma mora zagotoviti, da bo skladnost dosežena v določenem roku. Oseba, ki je bila pravnomočno obsojena za kaznivo dejanje in za katero obsodba še ni bila izbrisana, se ne šteje za primerno glede ugleda in lastnosti za vodenje banke. </w:t>
      </w:r>
      <w:r w:rsidRPr="00215B2F">
        <w:rPr>
          <w:rFonts w:ascii="Arial" w:hAnsi="Arial" w:cs="Arial"/>
          <w:sz w:val="20"/>
          <w:szCs w:val="20"/>
        </w:rPr>
        <w:t xml:space="preserve">S členom se </w:t>
      </w:r>
      <w:r w:rsidR="00E65BD8" w:rsidRPr="00215B2F">
        <w:rPr>
          <w:rFonts w:ascii="Arial" w:hAnsi="Arial" w:cs="Arial"/>
          <w:sz w:val="20"/>
          <w:szCs w:val="20"/>
        </w:rPr>
        <w:t xml:space="preserve">delno </w:t>
      </w:r>
      <w:r w:rsidRPr="00215B2F">
        <w:rPr>
          <w:rFonts w:ascii="Arial" w:hAnsi="Arial" w:cs="Arial"/>
          <w:sz w:val="20"/>
          <w:szCs w:val="20"/>
        </w:rPr>
        <w:t xml:space="preserve">prenaša 91. člen CRD. </w:t>
      </w:r>
    </w:p>
    <w:p w14:paraId="15C0FFE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8255BB1" w14:textId="1BDB199B"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sz w:val="20"/>
          <w:szCs w:val="20"/>
        </w:rPr>
        <w:t xml:space="preserve">V primerjavi z ZBan-3 se dodaja nova zahteva (tretja točka), s katero se določa, da je za </w:t>
      </w:r>
      <w:r w:rsidR="00882103" w:rsidRPr="00215B2F">
        <w:rPr>
          <w:rFonts w:cs="Arial"/>
          <w:sz w:val="20"/>
          <w:szCs w:val="20"/>
        </w:rPr>
        <w:t>člana uprave</w:t>
      </w:r>
      <w:r w:rsidRPr="00215B2F">
        <w:rPr>
          <w:rFonts w:cs="Arial"/>
          <w:sz w:val="20"/>
          <w:szCs w:val="20"/>
        </w:rPr>
        <w:t xml:space="preserve"> lahko imenovana oseba, ki </w:t>
      </w:r>
      <w:r w:rsidRPr="00215B2F">
        <w:rPr>
          <w:rFonts w:eastAsia="Arial" w:cs="Arial"/>
          <w:sz w:val="20"/>
          <w:szCs w:val="20"/>
        </w:rPr>
        <w:t xml:space="preserve">ravna odkrito, pošteno in neodvisno ter lahko po potrebi učinkovito oceni in izpodbija odločitve uprave ter učinkovito nadzoruje in spremlja sprejemanje odločitev v zvezi z upravljanjem. Gre za prenos 91. člena CRD (odstavek 2a). </w:t>
      </w:r>
    </w:p>
    <w:p w14:paraId="3C3B5FE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CDC040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_Ref202963036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48</w:t>
      </w:r>
      <w:r w:rsidRPr="00215B2F">
        <w:rPr>
          <w:rFonts w:ascii="Arial" w:hAnsi="Arial" w:cs="Arial"/>
          <w:b/>
          <w:bCs/>
          <w:sz w:val="20"/>
          <w:szCs w:val="20"/>
        </w:rPr>
        <w:fldChar w:fldCharType="end"/>
      </w:r>
      <w:r w:rsidRPr="00215B2F">
        <w:rPr>
          <w:rFonts w:ascii="Arial" w:hAnsi="Arial" w:cs="Arial"/>
          <w:b/>
          <w:bCs/>
          <w:sz w:val="20"/>
          <w:szCs w:val="20"/>
        </w:rPr>
        <w:t>. členu (veljavni 41. člen ZBan-3)</w:t>
      </w:r>
    </w:p>
    <w:p w14:paraId="2F926C5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F52EE25" w14:textId="16E6FEE9"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ZBan-3 (41. člen) določa, da lahko funkcijo </w:t>
      </w:r>
      <w:r w:rsidR="00882103" w:rsidRPr="00215B2F">
        <w:rPr>
          <w:rFonts w:cs="Arial"/>
          <w:sz w:val="20"/>
          <w:szCs w:val="20"/>
        </w:rPr>
        <w:t>člana uprave</w:t>
      </w:r>
      <w:r w:rsidRPr="00215B2F">
        <w:rPr>
          <w:rFonts w:cs="Arial"/>
          <w:sz w:val="20"/>
          <w:szCs w:val="20"/>
        </w:rPr>
        <w:t xml:space="preserve"> opravlja le oseba, ki pridobi ustrezno dovoljenje. Nadzorni svet mora pred vložitvijo zahteve za dovoljenje odločiti o imenovanju kandidata in upoštevati oceno komisije za imenovanja. Imenovanje velja pod pogojem pridobitve dovoljenja, sicer preneha, če banka ne vloži zahteve za dovoljenje, jo umakne ali je zavrnjena. Člana uprave je mogoče vpisati v sodni register šele po pridobitvi dovoljenja, razen če je imenovan kot nadomestni član uprave, ki lahko funkcijo opravlja do največ šest mesecev brez dovoljenja. Če uprava deluje z manj kot dvema </w:t>
      </w:r>
      <w:r w:rsidRPr="00215B2F">
        <w:rPr>
          <w:rFonts w:cs="Arial"/>
          <w:sz w:val="20"/>
          <w:szCs w:val="20"/>
        </w:rPr>
        <w:lastRenderedPageBreak/>
        <w:t>članoma več kot dva meseca, mora nadzorni svet takoj imenovati novega ali nadomestnega člana. Za sodno imenovanega člana uprave veljajo podobna pravila glede dovoljenj in imenovanj.</w:t>
      </w:r>
    </w:p>
    <w:p w14:paraId="4B86BF2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B613B54" w14:textId="12E09482"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zakona se (glede na ZBan-3) v drugem odstavku črta dikcija »preden ta oseba vloži zahtevo«, ki se nadomesti z »pred vložitvijo zahteve«. Predlog sledi spremembi ZBan-3A, da je vlagatelj zahteve za izdajo dovoljenja za </w:t>
      </w:r>
      <w:r w:rsidR="00882103" w:rsidRPr="00215B2F">
        <w:rPr>
          <w:rFonts w:cs="Arial"/>
          <w:sz w:val="20"/>
          <w:szCs w:val="20"/>
        </w:rPr>
        <w:t>člana uprave</w:t>
      </w:r>
      <w:r w:rsidRPr="00215B2F">
        <w:rPr>
          <w:rFonts w:cs="Arial"/>
          <w:sz w:val="20"/>
          <w:szCs w:val="20"/>
        </w:rPr>
        <w:t xml:space="preserve"> banka (in ne več kandidat). Enako pojasnilo velja za črtanje »te osebe« in nadomestitev z »banka« v drugi točki tretjega odstavka. </w:t>
      </w:r>
    </w:p>
    <w:p w14:paraId="2C2DC36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2AE47F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_Ref202963052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49</w:t>
      </w:r>
      <w:r w:rsidRPr="00215B2F">
        <w:rPr>
          <w:rFonts w:ascii="Arial" w:hAnsi="Arial" w:cs="Arial"/>
          <w:b/>
          <w:bCs/>
          <w:sz w:val="20"/>
          <w:szCs w:val="20"/>
        </w:rPr>
        <w:fldChar w:fldCharType="end"/>
      </w:r>
      <w:r w:rsidRPr="00215B2F">
        <w:rPr>
          <w:rFonts w:ascii="Arial" w:hAnsi="Arial" w:cs="Arial"/>
          <w:b/>
          <w:bCs/>
          <w:sz w:val="20"/>
          <w:szCs w:val="20"/>
        </w:rPr>
        <w:t>. členu (veljavni 42. člen ZBan-3)</w:t>
      </w:r>
    </w:p>
    <w:p w14:paraId="230BD11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761D4C0" w14:textId="47E8B933"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Zahtevo za dovoljenje za opravljanje funkcije </w:t>
      </w:r>
      <w:r w:rsidR="00882103" w:rsidRPr="00215B2F">
        <w:rPr>
          <w:rFonts w:cs="Arial"/>
          <w:sz w:val="20"/>
          <w:szCs w:val="20"/>
        </w:rPr>
        <w:t>člana uprave</w:t>
      </w:r>
      <w:r w:rsidRPr="00215B2F">
        <w:rPr>
          <w:rFonts w:cs="Arial"/>
          <w:sz w:val="20"/>
          <w:szCs w:val="20"/>
        </w:rPr>
        <w:t xml:space="preserve"> vloži banka v imenu kandidata pri Banki Slovenije. Zahtevi mora priložiti osebne podatke kandidata (vključno z npr. dokazili o izobrazbi, življenjepisom, priporočili, sklepom o imenovanju, izpisom iz SISBON ipd.), dokaze o izpolnjevanju zakonskih pogojev, kandidatovo strategijo vodenja ter druge podatke, ki jih določa podzakonski akt. Če je za nadzor pristojna ECB, se postopek nadaljuje v skladu z Uredbo 1024/2013/EU. Banka Slovenije lahko pridobi dodatne podatke o kandidatu tudi iz uradnih evidenc in lahko zahteva oceno njegove primernosti od banke.</w:t>
      </w:r>
    </w:p>
    <w:p w14:paraId="1F2B785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AE9CC54" w14:textId="070659C3" w:rsidR="00AD780B" w:rsidRPr="00215B2F" w:rsidRDefault="00AD780B" w:rsidP="00AD780B">
      <w:pPr>
        <w:pStyle w:val="Odstavek"/>
        <w:shd w:val="clear" w:color="auto" w:fill="FFFFFF" w:themeFill="background1"/>
        <w:spacing w:before="0"/>
        <w:ind w:firstLine="0"/>
        <w:rPr>
          <w:rFonts w:cs="Arial"/>
          <w:sz w:val="20"/>
          <w:szCs w:val="20"/>
        </w:rPr>
      </w:pPr>
      <w:r w:rsidRPr="00215B2F">
        <w:rPr>
          <w:rFonts w:cs="Arial"/>
          <w:sz w:val="20"/>
          <w:szCs w:val="20"/>
        </w:rPr>
        <w:t>V zvezi z drugim odstavkom velja dodatno pojasniti, da slednji določa samo način pridobivanja podatkov</w:t>
      </w:r>
      <w:r w:rsidR="00DC1975" w:rsidRPr="00215B2F">
        <w:rPr>
          <w:rFonts w:cs="Arial"/>
          <w:sz w:val="20"/>
          <w:szCs w:val="20"/>
        </w:rPr>
        <w:t>.</w:t>
      </w:r>
    </w:p>
    <w:p w14:paraId="1CCC8153" w14:textId="77777777" w:rsidR="00AD780B" w:rsidRPr="00215B2F" w:rsidRDefault="00AD780B" w:rsidP="0010347E">
      <w:pPr>
        <w:pStyle w:val="Odstavek"/>
        <w:shd w:val="clear" w:color="auto" w:fill="FFFFFF" w:themeFill="background1"/>
        <w:spacing w:before="0"/>
        <w:ind w:firstLine="0"/>
        <w:rPr>
          <w:rFonts w:cs="Arial"/>
          <w:sz w:val="20"/>
          <w:szCs w:val="20"/>
        </w:rPr>
      </w:pPr>
    </w:p>
    <w:p w14:paraId="05D1E5E1" w14:textId="0D63DCE2" w:rsidR="00284F53" w:rsidRPr="00215B2F" w:rsidRDefault="00284F53"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ima pooblastilo, da za namen ocene primernosti kandidata za člana uprave banke </w:t>
      </w:r>
      <w:r w:rsidR="00E65BD8" w:rsidRPr="00215B2F">
        <w:rPr>
          <w:rFonts w:cs="Arial"/>
          <w:sz w:val="20"/>
          <w:szCs w:val="20"/>
        </w:rPr>
        <w:t xml:space="preserve">po uradni dolžnosti </w:t>
      </w:r>
      <w:r w:rsidRPr="00215B2F">
        <w:rPr>
          <w:rFonts w:cs="Arial"/>
          <w:sz w:val="20"/>
          <w:szCs w:val="20"/>
        </w:rPr>
        <w:t xml:space="preserve">neposredno pridobi informacije od pristojnih in nadzornih organov (pomeni Agencijo za trg vrednostnih papirjev in Agencijo za zavarovalni nadzor ter primerljive nadzornike v drugih državah članicah), vključno z organi iz Direktive 2015/849/EU, ter iz kazenskih in prekrškovnih evidenc doma in v tujini, sistema izmenjave informacij EBA (Uredba 1093/2010/EU) in osrednje zbirke podatkov o pranju denarja (Uredba 2024/1620/EU). Poleg tega lahko podatke o drugih direktorskih funkcijah in okoliščinah pridobi neposredno od kandidata, pa tudi od pristojnih državnih organov in uradnih evidenc. Podatke pridobi tudi od drugih organov, pri čemer </w:t>
      </w:r>
      <w:r w:rsidR="00E65BD8" w:rsidRPr="00215B2F">
        <w:rPr>
          <w:rFonts w:cs="Arial"/>
          <w:sz w:val="20"/>
          <w:szCs w:val="20"/>
        </w:rPr>
        <w:t xml:space="preserve">so </w:t>
      </w:r>
      <w:r w:rsidRPr="00215B2F">
        <w:rPr>
          <w:rFonts w:cs="Arial"/>
          <w:sz w:val="20"/>
          <w:szCs w:val="20"/>
        </w:rPr>
        <w:t xml:space="preserve">tu mišljeni Komisija za preprečevanje korupcije, Računsko sodišče ipd. </w:t>
      </w:r>
    </w:p>
    <w:p w14:paraId="104D79EF" w14:textId="77777777" w:rsidR="00284F53" w:rsidRPr="00215B2F" w:rsidRDefault="00284F53" w:rsidP="0010347E">
      <w:pPr>
        <w:pStyle w:val="Odstavek"/>
        <w:shd w:val="clear" w:color="auto" w:fill="FFFFFF" w:themeFill="background1"/>
        <w:spacing w:before="0"/>
        <w:ind w:firstLine="0"/>
        <w:rPr>
          <w:rFonts w:cs="Arial"/>
          <w:sz w:val="20"/>
          <w:szCs w:val="20"/>
        </w:rPr>
      </w:pPr>
    </w:p>
    <w:p w14:paraId="61B51426" w14:textId="4CE72BA4" w:rsidR="0010347E" w:rsidRPr="00215B2F" w:rsidRDefault="00D43804"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w:t>
      </w:r>
      <w:r w:rsidR="0010347E" w:rsidRPr="00215B2F">
        <w:rPr>
          <w:rFonts w:ascii="Arial" w:hAnsi="Arial" w:cs="Arial"/>
          <w:sz w:val="20"/>
          <w:szCs w:val="20"/>
        </w:rPr>
        <w:t>Sklepu o dokumentaciji za dokazovanje izpolnjevanja pogojev za imenovanje člana upravljanega organa banke in hranilnice (Uradni list RS, št. 82/22) in vprašalniku FAP, ki je priloga navedenega sklepa</w:t>
      </w:r>
      <w:r w:rsidRPr="00215B2F">
        <w:rPr>
          <w:rFonts w:ascii="Arial" w:hAnsi="Arial" w:cs="Arial"/>
          <w:sz w:val="20"/>
          <w:szCs w:val="20"/>
        </w:rPr>
        <w:t>,</w:t>
      </w:r>
      <w:r w:rsidR="0010347E" w:rsidRPr="00215B2F">
        <w:rPr>
          <w:rFonts w:ascii="Arial" w:hAnsi="Arial" w:cs="Arial"/>
          <w:sz w:val="20"/>
          <w:szCs w:val="20"/>
        </w:rPr>
        <w:t xml:space="preserve"> </w:t>
      </w:r>
      <w:r w:rsidRPr="00215B2F">
        <w:rPr>
          <w:rFonts w:ascii="Arial" w:hAnsi="Arial" w:cs="Arial"/>
          <w:sz w:val="20"/>
          <w:szCs w:val="20"/>
        </w:rPr>
        <w:t xml:space="preserve">je določeno, katere osebne podatke in dokumentacijo kandidata mora posredovati banka v zahtevi za izdajo dovoljenja za opravljanje funkcije člana uprave banke. </w:t>
      </w:r>
      <w:r w:rsidR="0010347E" w:rsidRPr="00215B2F">
        <w:rPr>
          <w:rFonts w:ascii="Arial" w:hAnsi="Arial" w:cs="Arial"/>
          <w:sz w:val="20"/>
          <w:szCs w:val="20"/>
        </w:rPr>
        <w:t xml:space="preserve">Glede na to, da kandidat v vlogi pošlje podatke prostovoljno (torej jih Banka Slovenije ne pridobiva po uradni dolžnosti), se podrobnosti v tej zvezi urejajo v podzakonskem aktu. Pri tem velja dodatno pojasniti, da se s predlogom zakona spreminja zgolj, kdo vloži vlogo (banka v imenu kandidata, prej kandidat sam), po vsebini pa gre za že veljavno ureditev, ki se s predlogom zakona ne spreminja. </w:t>
      </w:r>
    </w:p>
    <w:p w14:paraId="7AD2CE8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449A08F" w14:textId="77777777" w:rsidR="0010347E" w:rsidRPr="00215B2F" w:rsidRDefault="0010347E" w:rsidP="0010347E">
      <w:pPr>
        <w:shd w:val="clear" w:color="auto" w:fill="FFFFFF" w:themeFill="background1"/>
        <w:spacing w:after="0" w:line="240" w:lineRule="auto"/>
        <w:jc w:val="center"/>
        <w:rPr>
          <w:rFonts w:ascii="Arial" w:hAnsi="Arial" w:cs="Arial"/>
          <w:sz w:val="20"/>
          <w:szCs w:val="20"/>
        </w:rPr>
      </w:pPr>
      <w:r w:rsidRPr="00215B2F">
        <w:rPr>
          <w:rFonts w:ascii="Arial" w:hAnsi="Arial" w:cs="Arial"/>
          <w:sz w:val="20"/>
          <w:szCs w:val="20"/>
        </w:rPr>
        <w:t>* * *</w:t>
      </w:r>
    </w:p>
    <w:p w14:paraId="17A1322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E0D5EA8"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se pri predložitvi osebnih podatkov črta vprašalnik </w:t>
      </w:r>
      <w:r w:rsidRPr="00215B2F">
        <w:rPr>
          <w:rFonts w:eastAsia="Arial" w:cs="Arial"/>
          <w:sz w:val="20"/>
          <w:szCs w:val="20"/>
        </w:rPr>
        <w:t>ECB</w:t>
      </w:r>
      <w:r w:rsidRPr="00215B2F">
        <w:rPr>
          <w:rFonts w:cs="Arial"/>
          <w:sz w:val="20"/>
          <w:szCs w:val="20"/>
        </w:rPr>
        <w:t>. Ta je namreč sestavni del vprašalnika Banke Slovenije, ki v skladu z ustaljeno prakso in nacionalnimi značilnostmi vključuje tudi nekatera dodatna vprašanja.</w:t>
      </w:r>
    </w:p>
    <w:p w14:paraId="01F502C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F77C15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_Ref202963065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50</w:t>
      </w:r>
      <w:r w:rsidRPr="00215B2F">
        <w:rPr>
          <w:rFonts w:ascii="Arial" w:hAnsi="Arial" w:cs="Arial"/>
          <w:b/>
          <w:bCs/>
          <w:sz w:val="20"/>
          <w:szCs w:val="20"/>
        </w:rPr>
        <w:fldChar w:fldCharType="end"/>
      </w:r>
      <w:r w:rsidRPr="00215B2F">
        <w:rPr>
          <w:rFonts w:ascii="Arial" w:hAnsi="Arial" w:cs="Arial"/>
          <w:b/>
          <w:bCs/>
          <w:sz w:val="20"/>
          <w:szCs w:val="20"/>
        </w:rPr>
        <w:t>. členu (veljavni 43. člen ZBan-3)</w:t>
      </w:r>
    </w:p>
    <w:p w14:paraId="2041F46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D4A590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ZBan-3 (43. člen) določa, da lahko Banka Slovenije pri izdaji dovoljenja za člana uprave izvede ustni razgovor s kandidatom, ki se zvočno snema. Kandidat je o snemanju obveščen, posnetek vsebuje podatke o razgovoru in udeležencih. Na podlagi posnetka uradna oseba pripravi zapisnik, ki se vroči kandidatu, ki ima tri dni za vpogled in pisni ugovor. O ugovoru odloči Svet Banke Slovenije, zoper odločitev ni posebnega sodnega varstva. Posnetki se hranijo do pravnomočne odločitve, nato pa se uničijo.</w:t>
      </w:r>
    </w:p>
    <w:p w14:paraId="484554A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6CE5E7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Predlog zakona v drugem odstavku (glede na ZBan-3) »povzetek razgovora« nadomešča s »prepisom razgovora«. Predlog spremembe sledi izvedbi v praksi, kjer se dejansko pripravi prepis zvočnega posnetka (in ne povzetek).</w:t>
      </w:r>
    </w:p>
    <w:p w14:paraId="560AF17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CDE543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Četrti odstavek se (glede na ZBan-3) spremeni tako, da uradna oseba pripravi zapisnik razgovora v osmih dneh po razgovoru in ga vroči kandidatu. Kandidat ima tri dni za vpogled v zapisnik in poslušanje </w:t>
      </w:r>
      <w:r w:rsidRPr="00215B2F">
        <w:rPr>
          <w:rFonts w:cs="Arial"/>
          <w:sz w:val="20"/>
          <w:szCs w:val="20"/>
        </w:rPr>
        <w:lastRenderedPageBreak/>
        <w:t>zvočnega posnetka ter pravico, da pisno ugovarja morebitnim nepravilnostim v zapisu. Predlog spremembe sledi izvedbi v praksi, kjer lahko kandidat, če se s prepisom ne strinja, zahteva poslušanje zvočnega posnetka in/ali vloži ugovor.</w:t>
      </w:r>
    </w:p>
    <w:p w14:paraId="7850E69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2AA31CD" w14:textId="5B134134" w:rsidR="0010347E" w:rsidRPr="00215B2F" w:rsidRDefault="0010347E" w:rsidP="0010347E">
      <w:pPr>
        <w:pStyle w:val="Pripombabesedilo"/>
        <w:shd w:val="clear" w:color="auto" w:fill="FFFFFF" w:themeFill="background1"/>
        <w:jc w:val="both"/>
        <w:rPr>
          <w:rFonts w:ascii="Arial" w:hAnsi="Arial" w:cs="Arial"/>
        </w:rPr>
      </w:pPr>
      <w:r w:rsidRPr="00215B2F">
        <w:rPr>
          <w:rFonts w:ascii="Arial" w:hAnsi="Arial" w:cs="Arial"/>
        </w:rPr>
        <w:t xml:space="preserve">Glede na to, da je usklajevanje zapisnika z zvočnim posnetkom, procesno dejanje, ki ne zahteva odločanja Sveta Banke Slovenije, je spremenjen peti odstavek. Spremembi sledi dopolnitev z namenom zagotovitve pravice do učinkovitega pravnega sredstva. Določba, da o ugovoru odloči </w:t>
      </w:r>
      <w:r w:rsidR="00653598" w:rsidRPr="00215B2F">
        <w:rPr>
          <w:rFonts w:ascii="Arial" w:hAnsi="Arial" w:cs="Arial"/>
        </w:rPr>
        <w:t>Svet Banke Slovenije</w:t>
      </w:r>
      <w:r w:rsidRPr="00215B2F">
        <w:rPr>
          <w:rFonts w:ascii="Arial" w:hAnsi="Arial" w:cs="Arial"/>
        </w:rPr>
        <w:t xml:space="preserve">, je namreč bila dodana še v času, ko se razgovori niso snemali, ampak se je o poteku napisal zapisnik. </w:t>
      </w:r>
    </w:p>
    <w:p w14:paraId="66455951" w14:textId="77777777" w:rsidR="0010347E" w:rsidRPr="00215B2F" w:rsidRDefault="0010347E" w:rsidP="0010347E">
      <w:pPr>
        <w:pStyle w:val="Pripombabesedilo"/>
        <w:shd w:val="clear" w:color="auto" w:fill="FFFFFF" w:themeFill="background1"/>
        <w:jc w:val="both"/>
        <w:rPr>
          <w:rFonts w:ascii="Arial" w:hAnsi="Arial" w:cs="Arial"/>
        </w:rPr>
      </w:pPr>
    </w:p>
    <w:p w14:paraId="0D805C15"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Prilagoditev med drugim sledi tudi načelu ekonomičnosti in hitrosti postopka, saj je odločitev uradne osebe, ki vodi postopek, sprejeta hitreje kot odločitev SBS, ki odloča na sejah. </w:t>
      </w:r>
    </w:p>
    <w:p w14:paraId="10595B7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F1587F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_Ref202963074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51</w:t>
      </w:r>
      <w:r w:rsidRPr="00215B2F">
        <w:rPr>
          <w:rFonts w:ascii="Arial" w:hAnsi="Arial" w:cs="Arial"/>
          <w:b/>
          <w:bCs/>
          <w:sz w:val="20"/>
          <w:szCs w:val="20"/>
        </w:rPr>
        <w:fldChar w:fldCharType="end"/>
      </w:r>
      <w:r w:rsidRPr="00215B2F">
        <w:rPr>
          <w:rFonts w:ascii="Arial" w:hAnsi="Arial" w:cs="Arial"/>
          <w:b/>
          <w:bCs/>
          <w:sz w:val="20"/>
          <w:szCs w:val="20"/>
        </w:rPr>
        <w:t>. členu (veljavni 44. člen ZBan-3)</w:t>
      </w:r>
    </w:p>
    <w:p w14:paraId="080D017F" w14:textId="77777777" w:rsidR="0010347E" w:rsidRPr="00215B2F" w:rsidRDefault="0010347E" w:rsidP="0010347E">
      <w:pPr>
        <w:pStyle w:val="Odstavek"/>
        <w:shd w:val="clear" w:color="auto" w:fill="FFFFFF" w:themeFill="background1"/>
        <w:spacing w:before="0"/>
        <w:ind w:firstLine="0"/>
        <w:rPr>
          <w:rFonts w:cs="Arial"/>
          <w:b/>
          <w:sz w:val="20"/>
          <w:szCs w:val="20"/>
        </w:rPr>
      </w:pPr>
    </w:p>
    <w:p w14:paraId="75FF098D" w14:textId="77777777" w:rsidR="0010347E" w:rsidRPr="00215B2F" w:rsidRDefault="0010347E" w:rsidP="0010347E">
      <w:pPr>
        <w:pStyle w:val="Odstavek"/>
        <w:shd w:val="clear" w:color="auto" w:fill="FFFFFF" w:themeFill="background1"/>
        <w:spacing w:before="0"/>
        <w:ind w:firstLine="0"/>
        <w:rPr>
          <w:rFonts w:cs="Arial"/>
          <w:bCs/>
          <w:sz w:val="20"/>
          <w:szCs w:val="20"/>
        </w:rPr>
      </w:pPr>
      <w:r w:rsidRPr="00215B2F">
        <w:rPr>
          <w:rFonts w:cs="Arial"/>
          <w:bCs/>
          <w:sz w:val="20"/>
          <w:szCs w:val="20"/>
        </w:rPr>
        <w:t>Banka Slovenije na podlagi predložene dokumentacije in predstavitve kandidata oceni, ali ta izpolnjuje pogoje glede znanja, izkušenj, ugleda in primernosti za varno in skrbno vodenje banke, vključno z ustreznostjo postopka izbora in kandidatovo strategijo vodenja. Potrebne podatke pridobi po uradni dolžnosti od pristojnih organov, vključno z informacijami Evropskega bančnega organa o morebitnih ukrepih ali sankcijah. Če gre za banko, vključeno v nadzor na konsolidirani podlagi, se Banka Slovenije o izdaji dovoljenja posvetuje tudi s pristojnimi organi drugih držav članic, če bi odločitev lahko vplivala na njihove nadzorne naloge. S členom se delno prenaša 117. člen CRD.</w:t>
      </w:r>
    </w:p>
    <w:p w14:paraId="541E4AB3" w14:textId="77777777" w:rsidR="0010347E" w:rsidRPr="00215B2F" w:rsidRDefault="0010347E" w:rsidP="0010347E">
      <w:pPr>
        <w:shd w:val="clear" w:color="auto" w:fill="FFFFFF" w:themeFill="background1"/>
        <w:tabs>
          <w:tab w:val="left" w:pos="9356"/>
        </w:tabs>
        <w:spacing w:after="0" w:line="240" w:lineRule="auto"/>
        <w:jc w:val="both"/>
        <w:rPr>
          <w:rFonts w:ascii="Arial" w:hAnsi="Arial" w:cs="Arial"/>
          <w:bCs/>
          <w:sz w:val="20"/>
          <w:szCs w:val="20"/>
        </w:rPr>
      </w:pPr>
    </w:p>
    <w:p w14:paraId="2924A532" w14:textId="3E8241E9" w:rsidR="0010347E" w:rsidRPr="00215B2F" w:rsidRDefault="0010347E" w:rsidP="0010347E">
      <w:pPr>
        <w:shd w:val="clear" w:color="auto" w:fill="FFFFFF" w:themeFill="background1"/>
        <w:tabs>
          <w:tab w:val="left" w:pos="9356"/>
        </w:tabs>
        <w:spacing w:after="0" w:line="240" w:lineRule="auto"/>
        <w:jc w:val="both"/>
        <w:rPr>
          <w:rFonts w:ascii="Arial" w:eastAsia="Arial" w:hAnsi="Arial" w:cs="Arial"/>
          <w:bCs/>
          <w:sz w:val="20"/>
          <w:szCs w:val="20"/>
        </w:rPr>
      </w:pPr>
      <w:r w:rsidRPr="00215B2F">
        <w:rPr>
          <w:rFonts w:ascii="Arial" w:hAnsi="Arial" w:cs="Arial"/>
          <w:bCs/>
          <w:sz w:val="20"/>
          <w:szCs w:val="20"/>
        </w:rPr>
        <w:t xml:space="preserve">Z dopolnitvijo (44. člena ZBan-3) se dodatno določa, da lahko Banka Slovenije pri odločanju o izdaji dovoljenja za opravljanje funkcije </w:t>
      </w:r>
      <w:r w:rsidR="00882103" w:rsidRPr="00215B2F">
        <w:rPr>
          <w:rFonts w:ascii="Arial" w:hAnsi="Arial" w:cs="Arial"/>
          <w:sz w:val="20"/>
          <w:szCs w:val="20"/>
        </w:rPr>
        <w:t>člana uprave</w:t>
      </w:r>
      <w:r w:rsidRPr="00215B2F">
        <w:rPr>
          <w:rFonts w:ascii="Arial" w:hAnsi="Arial" w:cs="Arial"/>
          <w:bCs/>
          <w:sz w:val="20"/>
          <w:szCs w:val="20"/>
        </w:rPr>
        <w:t xml:space="preserve"> upošteva tudi podatke, ki jih je pridobila kot nadzorni organ na področju preprečevanja pranja denarja in financiranja terorizma. Poleg tega lahko pridobi informacije o kandidatu od pristojnega urada ali organa v skladu z Direktivo 2015/849/EU ter zaprosi za dostop do osrednje podatkovne zbirke iz Uredbe 2024/1620/EU, pri čemer o dostopu odloča evropski organ za preprečevanje pranja denarja, ustanovljen z navedeno uredbo. Gre za prenos 91. člena CRD (odstavek 1i).</w:t>
      </w:r>
    </w:p>
    <w:p w14:paraId="7DE245C7" w14:textId="77777777" w:rsidR="0010347E" w:rsidRPr="00215B2F" w:rsidRDefault="0010347E" w:rsidP="0010347E">
      <w:pPr>
        <w:shd w:val="clear" w:color="auto" w:fill="FFFFFF" w:themeFill="background1"/>
        <w:tabs>
          <w:tab w:val="left" w:pos="9356"/>
        </w:tabs>
        <w:spacing w:after="0" w:line="240" w:lineRule="auto"/>
        <w:jc w:val="both"/>
        <w:rPr>
          <w:rFonts w:ascii="Arial" w:hAnsi="Arial" w:cs="Arial"/>
          <w:sz w:val="20"/>
          <w:szCs w:val="20"/>
        </w:rPr>
      </w:pPr>
    </w:p>
    <w:p w14:paraId="543BC66E" w14:textId="77777777" w:rsidR="00284F53" w:rsidRPr="00215B2F" w:rsidRDefault="00284F53" w:rsidP="00284F53">
      <w:pPr>
        <w:shd w:val="clear" w:color="auto" w:fill="FFFFFF" w:themeFill="background1"/>
        <w:tabs>
          <w:tab w:val="left" w:pos="9356"/>
        </w:tabs>
        <w:spacing w:after="0" w:line="240" w:lineRule="auto"/>
        <w:jc w:val="both"/>
        <w:rPr>
          <w:rFonts w:ascii="Arial" w:hAnsi="Arial" w:cs="Arial"/>
          <w:sz w:val="20"/>
          <w:szCs w:val="20"/>
        </w:rPr>
      </w:pPr>
      <w:r w:rsidRPr="00215B2F">
        <w:rPr>
          <w:rFonts w:ascii="Arial" w:hAnsi="Arial" w:cs="Arial"/>
          <w:sz w:val="20"/>
          <w:szCs w:val="20"/>
        </w:rPr>
        <w:t xml:space="preserve">Nabor podatkov, ki jih Banka Slovenije </w:t>
      </w:r>
      <w:r w:rsidRPr="00215B2F">
        <w:rPr>
          <w:rFonts w:ascii="Arial" w:eastAsia="Arial" w:hAnsi="Arial" w:cs="Arial"/>
          <w:sz w:val="20"/>
          <w:szCs w:val="20"/>
        </w:rPr>
        <w:t>potrebuje v postopku odločanja o izdaji dovoljenja za opravljanje funkcije člana uprave, je opredeljen v členu »</w:t>
      </w:r>
      <w:r w:rsidRPr="00215B2F">
        <w:rPr>
          <w:rFonts w:ascii="Arial" w:hAnsi="Arial" w:cs="Arial"/>
          <w:sz w:val="20"/>
          <w:szCs w:val="20"/>
        </w:rPr>
        <w:t xml:space="preserve">zahteva za izdajo dovoljenja za opravljanje funkcije člana uprave« predmetnega zakona. </w:t>
      </w:r>
    </w:p>
    <w:p w14:paraId="34B661AB" w14:textId="77777777" w:rsidR="00284F53" w:rsidRPr="00215B2F" w:rsidRDefault="00284F53" w:rsidP="0010347E">
      <w:pPr>
        <w:shd w:val="clear" w:color="auto" w:fill="FFFFFF" w:themeFill="background1"/>
        <w:tabs>
          <w:tab w:val="left" w:pos="9356"/>
        </w:tabs>
        <w:spacing w:after="0" w:line="240" w:lineRule="auto"/>
        <w:jc w:val="both"/>
        <w:rPr>
          <w:rFonts w:ascii="Arial" w:hAnsi="Arial" w:cs="Arial"/>
          <w:sz w:val="20"/>
          <w:szCs w:val="20"/>
        </w:rPr>
      </w:pPr>
    </w:p>
    <w:p w14:paraId="6C9BE29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_Ref202963087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52</w:t>
      </w:r>
      <w:r w:rsidRPr="00215B2F">
        <w:rPr>
          <w:rFonts w:ascii="Arial" w:hAnsi="Arial" w:cs="Arial"/>
          <w:b/>
          <w:bCs/>
          <w:sz w:val="20"/>
          <w:szCs w:val="20"/>
        </w:rPr>
        <w:fldChar w:fldCharType="end"/>
      </w:r>
      <w:r w:rsidRPr="00215B2F">
        <w:rPr>
          <w:rFonts w:ascii="Arial" w:hAnsi="Arial" w:cs="Arial"/>
          <w:b/>
          <w:bCs/>
          <w:sz w:val="20"/>
          <w:szCs w:val="20"/>
        </w:rPr>
        <w:t>. členu (veljavni 45. člen ZBan-3)</w:t>
      </w:r>
    </w:p>
    <w:p w14:paraId="3350D270"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3EA5D7D9" w14:textId="50EC109A" w:rsidR="0010347E" w:rsidRPr="00215B2F" w:rsidRDefault="0010347E" w:rsidP="0010347E">
      <w:pPr>
        <w:shd w:val="clear" w:color="auto" w:fill="FFFFFF" w:themeFill="background1"/>
        <w:tabs>
          <w:tab w:val="left" w:pos="9356"/>
        </w:tabs>
        <w:spacing w:after="0" w:line="240" w:lineRule="auto"/>
        <w:jc w:val="both"/>
        <w:rPr>
          <w:rFonts w:ascii="Arial" w:hAnsi="Arial" w:cs="Arial"/>
          <w:sz w:val="20"/>
          <w:szCs w:val="20"/>
        </w:rPr>
      </w:pPr>
      <w:r w:rsidRPr="00215B2F">
        <w:rPr>
          <w:rFonts w:ascii="Arial" w:hAnsi="Arial" w:cs="Arial"/>
          <w:sz w:val="20"/>
          <w:szCs w:val="20"/>
        </w:rPr>
        <w:t xml:space="preserve">V primerjavi z ZBan-3 (45. člen) ni vsebinskih sprememb. S členom se delno prenaša 91. člen CRD. Določa se postopek glede zavrnitve zahteve za izdajo dovoljenja za opravljanje funkcije člana uprave. Banka Slovenije zavrne zahtevo za izdajo dovoljenja za opravljanje funkcije </w:t>
      </w:r>
      <w:r w:rsidR="00882103" w:rsidRPr="00215B2F">
        <w:rPr>
          <w:rFonts w:ascii="Arial" w:hAnsi="Arial" w:cs="Arial"/>
          <w:sz w:val="20"/>
          <w:szCs w:val="20"/>
        </w:rPr>
        <w:t>člana uprave</w:t>
      </w:r>
      <w:r w:rsidRPr="00215B2F">
        <w:rPr>
          <w:rFonts w:ascii="Arial" w:hAnsi="Arial" w:cs="Arial"/>
          <w:sz w:val="20"/>
          <w:szCs w:val="20"/>
        </w:rPr>
        <w:t xml:space="preserve">, če kandidat ne izpolnjuje pogojev za imenovanje za člana uprave. Če pri kandidatu za člana v času odločanja o izdaji dovoljenja za opravljanje funkcije člana uprave niso podani razlogi za zavrnitev zahteve iz prvega odstavka tega člena, vendar pa so pri kandidatu ovire za opravljanje funkcije </w:t>
      </w:r>
      <w:r w:rsidR="00882103" w:rsidRPr="00215B2F">
        <w:rPr>
          <w:rFonts w:ascii="Arial" w:hAnsi="Arial" w:cs="Arial"/>
          <w:sz w:val="20"/>
          <w:szCs w:val="20"/>
        </w:rPr>
        <w:t>člana uprave</w:t>
      </w:r>
      <w:r w:rsidRPr="00215B2F">
        <w:rPr>
          <w:rFonts w:ascii="Arial" w:hAnsi="Arial" w:cs="Arial"/>
          <w:sz w:val="20"/>
          <w:szCs w:val="20"/>
        </w:rPr>
        <w:t xml:space="preserve"> zaradi opravljanja direktorskih funkcij v drugih družbah in organizacijah, Banka Slovenije izda dovoljenje za opravljanje funkcije </w:t>
      </w:r>
      <w:r w:rsidR="00882103" w:rsidRPr="00215B2F">
        <w:rPr>
          <w:rFonts w:ascii="Arial" w:hAnsi="Arial" w:cs="Arial"/>
          <w:sz w:val="20"/>
          <w:szCs w:val="20"/>
        </w:rPr>
        <w:t>člana uprave</w:t>
      </w:r>
      <w:r w:rsidRPr="00215B2F">
        <w:rPr>
          <w:rFonts w:ascii="Arial" w:hAnsi="Arial" w:cs="Arial"/>
          <w:sz w:val="20"/>
          <w:szCs w:val="20"/>
        </w:rPr>
        <w:t xml:space="preserve"> in določi rok, ki ne sme biti ne krajši od 30 dni in ne daljši od treh mesecev, v katerem mora član uprave izpolniti te zahteve.</w:t>
      </w:r>
    </w:p>
    <w:p w14:paraId="7B566C6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D89C40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_Ref202963102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53</w:t>
      </w:r>
      <w:r w:rsidRPr="00215B2F">
        <w:rPr>
          <w:rFonts w:ascii="Arial" w:hAnsi="Arial" w:cs="Arial"/>
          <w:b/>
          <w:bCs/>
          <w:sz w:val="20"/>
          <w:szCs w:val="20"/>
        </w:rPr>
        <w:fldChar w:fldCharType="end"/>
      </w:r>
      <w:r w:rsidRPr="00215B2F">
        <w:rPr>
          <w:rFonts w:ascii="Arial" w:hAnsi="Arial" w:cs="Arial"/>
          <w:b/>
          <w:bCs/>
          <w:sz w:val="20"/>
          <w:szCs w:val="20"/>
        </w:rPr>
        <w:t>. členu (veljavni 46. člen ZBan-3)</w:t>
      </w:r>
    </w:p>
    <w:p w14:paraId="6932DA5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EEF67F0" w14:textId="0E748F59"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(46. člen) ni vsebinskih sprememb. V členu je urejen postopek glede prenehanja dovoljenja za opravljanje funkcije </w:t>
      </w:r>
      <w:r w:rsidR="00882103" w:rsidRPr="00215B2F">
        <w:rPr>
          <w:rFonts w:ascii="Arial" w:hAnsi="Arial" w:cs="Arial"/>
          <w:sz w:val="20"/>
          <w:szCs w:val="20"/>
        </w:rPr>
        <w:t>člana uprave</w:t>
      </w:r>
      <w:r w:rsidRPr="00215B2F">
        <w:rPr>
          <w:rFonts w:ascii="Arial" w:hAnsi="Arial" w:cs="Arial"/>
          <w:sz w:val="20"/>
          <w:szCs w:val="20"/>
        </w:rPr>
        <w:t xml:space="preserve">. </w:t>
      </w:r>
    </w:p>
    <w:p w14:paraId="217359B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144F70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_Ref202963109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54</w:t>
      </w:r>
      <w:r w:rsidRPr="00215B2F">
        <w:rPr>
          <w:rFonts w:ascii="Arial" w:hAnsi="Arial" w:cs="Arial"/>
          <w:b/>
          <w:bCs/>
          <w:sz w:val="20"/>
          <w:szCs w:val="20"/>
        </w:rPr>
        <w:fldChar w:fldCharType="end"/>
      </w:r>
      <w:r w:rsidRPr="00215B2F">
        <w:rPr>
          <w:rFonts w:ascii="Arial" w:hAnsi="Arial" w:cs="Arial"/>
          <w:b/>
          <w:bCs/>
          <w:sz w:val="20"/>
          <w:szCs w:val="20"/>
        </w:rPr>
        <w:t>. členu (veljavni 47. člen ZBan-3)</w:t>
      </w:r>
    </w:p>
    <w:p w14:paraId="2DC4A61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C23F008" w14:textId="6651E174"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(47. člen) ni vsebinskih sprememb. S členom se prenaša 91. člen CRD, člen pa vsebinsko dopolnjuje 47. člen veljavnega ZBan-</w:t>
      </w:r>
      <w:r w:rsidR="00DC1975" w:rsidRPr="00215B2F">
        <w:rPr>
          <w:rFonts w:ascii="Arial" w:hAnsi="Arial" w:cs="Arial"/>
          <w:sz w:val="20"/>
          <w:szCs w:val="20"/>
        </w:rPr>
        <w:t>3</w:t>
      </w:r>
      <w:r w:rsidRPr="00215B2F">
        <w:rPr>
          <w:rFonts w:ascii="Arial" w:hAnsi="Arial" w:cs="Arial"/>
          <w:sz w:val="20"/>
          <w:szCs w:val="20"/>
        </w:rPr>
        <w:t xml:space="preserve">, ki določa pogoje za imenovanje člana uprave. </w:t>
      </w:r>
    </w:p>
    <w:p w14:paraId="39BC478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7112A84" w14:textId="6B5308BF"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Člen določa, da mora član uprave ves čas opravljanja funkcije izpolnjevati pogoje za imenovanje člana uprave ter (1) ravnati v skladu s profesionalno skrbnostjo, (2) ravnati odkrito, pošteno in neodvisno, da lahko učinkovito oceni in presoja odločitve višjega vodstva v zvezi z vodenjem banke ter učinkovito </w:t>
      </w:r>
      <w:r w:rsidRPr="00215B2F">
        <w:rPr>
          <w:rFonts w:ascii="Arial" w:hAnsi="Arial" w:cs="Arial"/>
          <w:sz w:val="20"/>
          <w:szCs w:val="20"/>
        </w:rPr>
        <w:lastRenderedPageBreak/>
        <w:t xml:space="preserve">nadzoruje in spremlja sprejemanje odločitev v zvezi z upravljanjem banke, kjer gre za dodatno prilagoditev pravnemu redu Evropske unije (osmi odstavek 91. člena CRD), (3) ravnati v skladu z najvišjimi etičnimi standardi upravljanja, upoštevajoč preprečevanje nasprotja interesov, (4) opravljanju funkcije člana uprave nameniti dovolj časa, da lahko to funkcijo učinkovito opravlja. </w:t>
      </w:r>
    </w:p>
    <w:p w14:paraId="3898B1F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4F02A6B"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Člen tudi določa, da dejstvo, da je nekdo član povezanih družb ali povezanih subjektov, samo po sebi ni ovira za neodvisno ravnanje v okviru 2. točke prvega odstavka. Izraz povezane družbe v tem odstavku ni vezan na pomen iz 527. člena Zakona o gospodarskih družbah (Uradni list RS, št. 65/09 – uradno prečiščeno besedilo, 33/11, 91/11, 32/12, 57/12, 44/13 – odl. US, 82/13, 55/15, 15/17 in 22/19 – ZPosS; v nadaljnjem besedilu: ZGD-1), ampak je lahko širši in ga organ presodi v vsakem primeru posebej. </w:t>
      </w:r>
    </w:p>
    <w:p w14:paraId="1C9834F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634EFB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Člen ureja tudi odgovornost za škodo, nastalo kot posledico kršitve dolžnosti člana uprave.</w:t>
      </w:r>
    </w:p>
    <w:p w14:paraId="07DD800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7861F2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_Ref202963117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55</w:t>
      </w:r>
      <w:r w:rsidRPr="00215B2F">
        <w:rPr>
          <w:rFonts w:ascii="Arial" w:hAnsi="Arial" w:cs="Arial"/>
          <w:b/>
          <w:bCs/>
          <w:sz w:val="20"/>
          <w:szCs w:val="20"/>
        </w:rPr>
        <w:fldChar w:fldCharType="end"/>
      </w:r>
      <w:r w:rsidRPr="00215B2F">
        <w:rPr>
          <w:rFonts w:ascii="Arial" w:hAnsi="Arial" w:cs="Arial"/>
          <w:b/>
          <w:bCs/>
          <w:sz w:val="20"/>
          <w:szCs w:val="20"/>
        </w:rPr>
        <w:t>. členu (veljavni 48. člen ZBan-3)</w:t>
      </w:r>
    </w:p>
    <w:p w14:paraId="4F66105B"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198E5032" w14:textId="412860CF"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(48. člen) ni vsebinskih sprememb. Določeno je, da mora </w:t>
      </w:r>
      <w:r w:rsidR="00882103" w:rsidRPr="00215B2F">
        <w:rPr>
          <w:rFonts w:ascii="Arial" w:hAnsi="Arial" w:cs="Arial"/>
          <w:sz w:val="20"/>
          <w:szCs w:val="20"/>
        </w:rPr>
        <w:t>član uprave</w:t>
      </w:r>
      <w:r w:rsidRPr="00215B2F">
        <w:rPr>
          <w:rFonts w:ascii="Arial" w:hAnsi="Arial" w:cs="Arial"/>
          <w:sz w:val="20"/>
          <w:szCs w:val="20"/>
        </w:rPr>
        <w:t xml:space="preserve"> nadzorni svet in Banko Slovenije, kadar je to v skladu z Uredbo EU št. 1024/2013, nemudoma pisno obvestiti o tem, da je bil imenovan ali da mu je prenehala direktorska funkcija v drugih družbah in organizacijah. </w:t>
      </w:r>
      <w:r w:rsidR="00882103" w:rsidRPr="00215B2F">
        <w:rPr>
          <w:rFonts w:ascii="Arial" w:hAnsi="Arial" w:cs="Arial"/>
          <w:sz w:val="20"/>
          <w:szCs w:val="20"/>
        </w:rPr>
        <w:t>Član uprave</w:t>
      </w:r>
      <w:r w:rsidRPr="00215B2F">
        <w:rPr>
          <w:rFonts w:ascii="Arial" w:hAnsi="Arial" w:cs="Arial"/>
          <w:sz w:val="20"/>
          <w:szCs w:val="20"/>
        </w:rPr>
        <w:t xml:space="preserve"> mora obenem upravo in nadzorni svet nemudoma obvestiti o okoliščinah, zaradi katerih obstaja nasprotje interesov pri izvajanju funkcije </w:t>
      </w:r>
      <w:r w:rsidR="00882103" w:rsidRPr="00215B2F">
        <w:rPr>
          <w:rFonts w:ascii="Arial" w:hAnsi="Arial" w:cs="Arial"/>
          <w:sz w:val="20"/>
          <w:szCs w:val="20"/>
        </w:rPr>
        <w:t>člana uprave</w:t>
      </w:r>
      <w:r w:rsidRPr="00215B2F">
        <w:rPr>
          <w:rFonts w:ascii="Arial" w:hAnsi="Arial" w:cs="Arial"/>
          <w:sz w:val="20"/>
          <w:szCs w:val="20"/>
        </w:rPr>
        <w:t xml:space="preserve">, ter o drugih okoliščinah, ki bi lahko vplivale na izpolnjevanje pogojev za imenovanje za člana uprave v skladu s tem zakonom, vključno z vsako pomembno spremembo, ki vpliva ali bi lahko vplivala na oceno banke glede njegove primernosti kot člana uprave. </w:t>
      </w:r>
    </w:p>
    <w:p w14:paraId="03A75F8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708EEA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_Ref202963124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56</w:t>
      </w:r>
      <w:r w:rsidRPr="00215B2F">
        <w:rPr>
          <w:rFonts w:ascii="Arial" w:hAnsi="Arial" w:cs="Arial"/>
          <w:b/>
          <w:bCs/>
          <w:sz w:val="20"/>
          <w:szCs w:val="20"/>
        </w:rPr>
        <w:fldChar w:fldCharType="end"/>
      </w:r>
      <w:r w:rsidRPr="00215B2F">
        <w:rPr>
          <w:rFonts w:ascii="Arial" w:hAnsi="Arial" w:cs="Arial"/>
          <w:b/>
          <w:bCs/>
          <w:sz w:val="20"/>
          <w:szCs w:val="20"/>
        </w:rPr>
        <w:t>. členu (veljavni 49. člen ZBan-3)</w:t>
      </w:r>
    </w:p>
    <w:p w14:paraId="3CB8350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1D6A4B6"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(49. člen) ni vsebinskih sprememb. S členom se prenaša prvi odstavek 91. člena CRD. Banka Slovenije lahko kadar koli v času trajanja funkcije člana uprave preveri, ali član uprave izpolnjuje pogoje in dolžnosti iz tega zakona (ponovna ocena primernosti). Ponovna ocena primernosti se pridobi zlasti, če se domneva ali ugotovi sum ali poskus, da obstaja večje tveganje pranja denarja in financiranja terorizma v povezavi z banko. V okviru ponovne ocene primernosti lahko Banka Slovenije tudi odloči, da se opravi ustni razgovor, v okviru katerega člana uprave povabi, da predstavi okoliščine, pomembne za presojo glede izpolnjevanja predpisanih pogojev in dolžnosti.</w:t>
      </w:r>
    </w:p>
    <w:p w14:paraId="22798DD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C42718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_Ref202963132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57</w:t>
      </w:r>
      <w:r w:rsidRPr="00215B2F">
        <w:rPr>
          <w:rFonts w:ascii="Arial" w:hAnsi="Arial" w:cs="Arial"/>
          <w:b/>
          <w:bCs/>
          <w:sz w:val="20"/>
          <w:szCs w:val="20"/>
        </w:rPr>
        <w:fldChar w:fldCharType="end"/>
      </w:r>
      <w:r w:rsidRPr="00215B2F">
        <w:rPr>
          <w:rFonts w:ascii="Arial" w:hAnsi="Arial" w:cs="Arial"/>
          <w:b/>
          <w:bCs/>
          <w:sz w:val="20"/>
          <w:szCs w:val="20"/>
        </w:rPr>
        <w:t>. členu (veljavni 50. člen ZBan-3)</w:t>
      </w:r>
    </w:p>
    <w:p w14:paraId="0C0945E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ACB287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eastAsia="Times New Roman" w:hAnsi="Arial" w:cs="Arial"/>
          <w:kern w:val="0"/>
          <w:sz w:val="20"/>
          <w:szCs w:val="20"/>
          <w:lang w:eastAsia="sl-SI"/>
          <w14:ligatures w14:val="none"/>
        </w:rPr>
        <w:t xml:space="preserve">Poleg pristojnosti, določenih v ZGD-1, ima nadzorni svet banke dodatne naloge, kot so: dajanje soglasij upravi glede poslovne politike, finančnega načrta, notranjih kontrol in programa notranje revizije; nadzor nad delovanjem notranje revizije; odločanje o imenovanju in razrešitvi vodje notranje revizije; sprejemanje politik prejemkov in nadzor nad njihovim izvajanjem; obravnava ugotovitev nadzornih organov (vključno z Banko Slovenije in ECB); preverjanje finančnih poročil ter dajanje mnenj skupščini; odločanje o drugih zadevah, določenih z zakonom. </w:t>
      </w:r>
      <w:r w:rsidRPr="00215B2F">
        <w:rPr>
          <w:rFonts w:ascii="Arial" w:hAnsi="Arial" w:cs="Arial"/>
          <w:sz w:val="20"/>
          <w:szCs w:val="20"/>
        </w:rPr>
        <w:t xml:space="preserve">S členom se delno prenaša 92. člen CRD. </w:t>
      </w:r>
    </w:p>
    <w:p w14:paraId="3EDC925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EE6A1B2" w14:textId="77777777" w:rsidR="0010347E" w:rsidRPr="00215B2F" w:rsidRDefault="0010347E" w:rsidP="0010347E">
      <w:pPr>
        <w:shd w:val="clear" w:color="auto" w:fill="FFFFFF" w:themeFill="background1"/>
        <w:spacing w:after="0" w:line="240" w:lineRule="auto"/>
        <w:jc w:val="both"/>
        <w:rPr>
          <w:rFonts w:ascii="Arial" w:eastAsia="Times New Roman" w:hAnsi="Arial" w:cs="Arial"/>
          <w:kern w:val="0"/>
          <w:sz w:val="20"/>
          <w:szCs w:val="20"/>
          <w:lang w:eastAsia="sl-SI"/>
          <w14:ligatures w14:val="none"/>
        </w:rPr>
      </w:pPr>
      <w:r w:rsidRPr="00215B2F">
        <w:rPr>
          <w:rFonts w:ascii="Arial" w:hAnsi="Arial" w:cs="Arial"/>
          <w:sz w:val="20"/>
          <w:szCs w:val="20"/>
        </w:rPr>
        <w:t xml:space="preserve">V primerjavi z ZBan-3 (50. člen) se dodatno določa, da mora </w:t>
      </w:r>
      <w:r w:rsidRPr="00215B2F">
        <w:rPr>
          <w:rFonts w:ascii="Arial" w:eastAsia="Arial" w:hAnsi="Arial" w:cs="Arial"/>
          <w:sz w:val="20"/>
          <w:szCs w:val="20"/>
        </w:rPr>
        <w:t xml:space="preserve">nadzorni svet imeti ustrezno kolektivno znanje, spretnosti in izkušnje, da lahko razume dejavnosti banke in povezana tveganja, ki jim je banka izpostavljena ob upoštevanju ESG dejavnikov, ter kratkoročne, srednjeročne in dolgoročne učinke, ki jih to povzroča. Nadzorni svet je sestavljen dovolj raznoliko, da ima ustrezno širok nabor izkušenj. Gre za prenos 91. člena CRD (odstavek 2b). </w:t>
      </w:r>
    </w:p>
    <w:p w14:paraId="60D5E2D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86BF5E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_Ref202963139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58</w:t>
      </w:r>
      <w:r w:rsidRPr="00215B2F">
        <w:rPr>
          <w:rFonts w:ascii="Arial" w:hAnsi="Arial" w:cs="Arial"/>
          <w:b/>
          <w:bCs/>
          <w:sz w:val="20"/>
          <w:szCs w:val="20"/>
        </w:rPr>
        <w:fldChar w:fldCharType="end"/>
      </w:r>
      <w:r w:rsidRPr="00215B2F">
        <w:rPr>
          <w:rFonts w:ascii="Arial" w:hAnsi="Arial" w:cs="Arial"/>
          <w:b/>
          <w:bCs/>
          <w:sz w:val="20"/>
          <w:szCs w:val="20"/>
        </w:rPr>
        <w:t>. členu (veljavni 51. člen ZBan-3)</w:t>
      </w:r>
    </w:p>
    <w:p w14:paraId="30C631D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E727CB7"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(51. člen) ni vsebinskih sprememb. S členom se prenašata 88. in 95. člen CRD. S členom se opredeljujejo komisije nadzornega sveta. Nadzorni svet banke mora imenovati revizijsko komisijo in komisijo za tveganja. Banka Slovenije lahko na zahtevo banke, ki ni opredeljena kot pomembna banka, dovoli, da združi funkciji komisije za tveganja in revizijske komisije v eno komisijo, če imajo člani združene komisije znanje, veščine in izkušnje, ki se zahtevajo za člane revizijske komisije in komisije za tveganja. Komisija za tveganja mora imeti predsednika in najmanj dva člana, ki so člani nadzornega sveta. Predsednik in člani komisije za tveganja morajo imeti ustrezno znanje, veščine in izkušnje za celovito razumevanje in spremljanje strategij upravljanja tveganj ter nagnjenosti banke k prevzemanju tveganj.</w:t>
      </w:r>
    </w:p>
    <w:p w14:paraId="4927452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293FC3A" w14:textId="137DE1E3"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Nadzorni svet pomembne banke mora imenovati tudi komisijo za prejemke in komisijo za imenovanja. Navedeni komisiji morata imeti predsednika in najmanj dva člana, ki so člani </w:t>
      </w:r>
      <w:r w:rsidR="00354135" w:rsidRPr="00215B2F">
        <w:rPr>
          <w:rFonts w:ascii="Arial" w:eastAsia="Arial" w:hAnsi="Arial" w:cs="Arial"/>
          <w:sz w:val="20"/>
          <w:szCs w:val="20"/>
        </w:rPr>
        <w:t>nadzornega sveta</w:t>
      </w:r>
      <w:r w:rsidRPr="00215B2F">
        <w:rPr>
          <w:rFonts w:ascii="Arial" w:hAnsi="Arial" w:cs="Arial"/>
          <w:sz w:val="20"/>
          <w:szCs w:val="20"/>
        </w:rPr>
        <w:t>.</w:t>
      </w:r>
    </w:p>
    <w:p w14:paraId="023FEC81"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6960C384" w14:textId="77777777" w:rsidR="0010347E" w:rsidRPr="00215B2F" w:rsidRDefault="0010347E" w:rsidP="0010347E">
      <w:pPr>
        <w:shd w:val="clear" w:color="auto" w:fill="FFFFFF" w:themeFill="background1"/>
        <w:spacing w:after="0" w:line="240" w:lineRule="auto"/>
        <w:ind w:right="169"/>
        <w:jc w:val="both"/>
        <w:rPr>
          <w:rFonts w:ascii="Arial" w:hAnsi="Arial" w:cs="Arial"/>
          <w:sz w:val="20"/>
          <w:szCs w:val="20"/>
        </w:rPr>
      </w:pPr>
      <w:r w:rsidRPr="00215B2F">
        <w:rPr>
          <w:rFonts w:ascii="Arial" w:hAnsi="Arial" w:cs="Arial"/>
          <w:sz w:val="20"/>
          <w:szCs w:val="20"/>
        </w:rPr>
        <w:t>Člen v petem odstavku določa tudi, da se veljavni zakon v zvezi s članstvom komisije nadzornega sveta uporabi ne glede na določbe ZGD-1 in ZSDU.</w:t>
      </w:r>
    </w:p>
    <w:p w14:paraId="403987B3" w14:textId="77777777" w:rsidR="0010347E" w:rsidRPr="00215B2F" w:rsidRDefault="0010347E" w:rsidP="0010347E">
      <w:pPr>
        <w:shd w:val="clear" w:color="auto" w:fill="FFFFFF" w:themeFill="background1"/>
        <w:spacing w:after="0" w:line="240" w:lineRule="auto"/>
        <w:ind w:right="169"/>
        <w:jc w:val="both"/>
        <w:rPr>
          <w:rFonts w:ascii="Arial" w:hAnsi="Arial" w:cs="Arial"/>
          <w:sz w:val="20"/>
          <w:szCs w:val="20"/>
        </w:rPr>
      </w:pPr>
    </w:p>
    <w:p w14:paraId="7A17ADAC" w14:textId="77777777" w:rsidR="0010347E" w:rsidRPr="00215B2F" w:rsidRDefault="0010347E" w:rsidP="0010347E">
      <w:pPr>
        <w:shd w:val="clear" w:color="auto" w:fill="FFFFFF" w:themeFill="background1"/>
        <w:spacing w:after="0" w:line="240" w:lineRule="auto"/>
        <w:ind w:right="169"/>
        <w:jc w:val="both"/>
        <w:rPr>
          <w:rFonts w:ascii="Arial" w:hAnsi="Arial" w:cs="Arial"/>
          <w:sz w:val="20"/>
          <w:szCs w:val="20"/>
        </w:rPr>
      </w:pPr>
      <w:r w:rsidRPr="00215B2F">
        <w:rPr>
          <w:rFonts w:ascii="Arial" w:hAnsi="Arial" w:cs="Arial"/>
          <w:sz w:val="20"/>
          <w:szCs w:val="20"/>
        </w:rPr>
        <w:t>Člen ureja tudi možnost uporabe zunanjih svetovalcev.</w:t>
      </w:r>
    </w:p>
    <w:p w14:paraId="796EA2E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46C8F3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_Ref202963149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59</w:t>
      </w:r>
      <w:r w:rsidRPr="00215B2F">
        <w:rPr>
          <w:rFonts w:ascii="Arial" w:hAnsi="Arial" w:cs="Arial"/>
          <w:b/>
          <w:bCs/>
          <w:sz w:val="20"/>
          <w:szCs w:val="20"/>
        </w:rPr>
        <w:fldChar w:fldCharType="end"/>
      </w:r>
      <w:r w:rsidRPr="00215B2F">
        <w:rPr>
          <w:rFonts w:ascii="Arial" w:hAnsi="Arial" w:cs="Arial"/>
          <w:b/>
          <w:bCs/>
          <w:sz w:val="20"/>
          <w:szCs w:val="20"/>
        </w:rPr>
        <w:t>. členu (veljavni 52. člen ZBan-3)</w:t>
      </w:r>
    </w:p>
    <w:p w14:paraId="73BE672C"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6A890668"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(52. člen) ni vsebinskih sprememb. S členom se prenaša 88. člen CRD. S členom se opredelijo naloge komisije za imenovanja. Namen komisije je, da pri opravljanju svojih nalog v največji možni meri upošteva, da pri odločanju v okviru upravljalnega organa posameznik ali ožja skupina posameznikov ne prevlada na način, ki bi škodil interesom banke. Uprava banke mora zagotoviti, da ima komisija za imenovanja zadostne kadrovske in finančne vire za izvajanje svojih nalog, vključno z možnostjo uporabe zunanjih svetovalcev. V banki, ki nima komisije za imenovanja, naloge iz prvega odstavka tega člena opravlja nadzorni svet.</w:t>
      </w:r>
    </w:p>
    <w:p w14:paraId="25C7B4B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96C069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_Ref202963170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60</w:t>
      </w:r>
      <w:r w:rsidRPr="00215B2F">
        <w:rPr>
          <w:rFonts w:ascii="Arial" w:hAnsi="Arial" w:cs="Arial"/>
          <w:b/>
          <w:bCs/>
          <w:sz w:val="20"/>
          <w:szCs w:val="20"/>
        </w:rPr>
        <w:fldChar w:fldCharType="end"/>
      </w:r>
      <w:r w:rsidRPr="00215B2F">
        <w:rPr>
          <w:rFonts w:ascii="Arial" w:hAnsi="Arial" w:cs="Arial"/>
          <w:b/>
          <w:bCs/>
          <w:sz w:val="20"/>
          <w:szCs w:val="20"/>
        </w:rPr>
        <w:t>. členu (veljavni 53. člen ZBan-3)</w:t>
      </w:r>
    </w:p>
    <w:p w14:paraId="4046180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C15063B" w14:textId="07CFE182"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ZBan-3 (53. člen) je določeno, da je k</w:t>
      </w:r>
      <w:r w:rsidRPr="00215B2F">
        <w:rPr>
          <w:rFonts w:eastAsiaTheme="majorEastAsia" w:cs="Arial"/>
          <w:sz w:val="20"/>
          <w:szCs w:val="20"/>
        </w:rPr>
        <w:t>omisija za tveganja</w:t>
      </w:r>
      <w:r w:rsidRPr="00215B2F">
        <w:rPr>
          <w:rFonts w:cs="Arial"/>
          <w:sz w:val="20"/>
          <w:szCs w:val="20"/>
        </w:rPr>
        <w:t xml:space="preserve"> posvetovalno telo </w:t>
      </w:r>
      <w:r w:rsidR="00354135" w:rsidRPr="00215B2F">
        <w:rPr>
          <w:rFonts w:eastAsia="Arial" w:cs="Arial"/>
          <w:sz w:val="20"/>
          <w:szCs w:val="20"/>
        </w:rPr>
        <w:t>nadzornega sveta</w:t>
      </w:r>
      <w:r w:rsidRPr="00215B2F">
        <w:rPr>
          <w:rFonts w:cs="Arial"/>
          <w:sz w:val="20"/>
          <w:szCs w:val="20"/>
        </w:rPr>
        <w:t xml:space="preserve">, ki svetuje glede strategije upravljanja tveganj in nagnjenosti banke k prevzemanju tveganj. Spremlja izvajanje te strategije s strani vodstva, preverja skladnost sistema prejemkov s tveganji, kapitalom in likvidnostjo ter ocenjuje, ali so cene produktov usklajene s poslovnim modelom in strategijo upravljanja tveganj. V primeru neskladij predlaga ukrepe upravi in nadzornemu svetu. S členom se prenaša 76. člen CRD. </w:t>
      </w:r>
    </w:p>
    <w:p w14:paraId="2D9CF40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94A8E46" w14:textId="77777777"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Z dopolnitvijo zakona se dopolnjuje 3. točka tako, da upoštevana tveganja vključujejo tudi tiste, ki izhajajo iz učinkov ESG dejavnikov. Dodaja se novi drugi odstavek, s katerim se določa, da nadzorni svet in komisija za tveganja določita naravo, obseg, obliko in pogostost informacij o tveganjih, ki jih prejmeta. Gre za prenos drugega pododstavka četrtega odstavka 76. člena CRD. </w:t>
      </w:r>
    </w:p>
    <w:p w14:paraId="3C411C8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8F1104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_Ref202963180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61</w:t>
      </w:r>
      <w:r w:rsidRPr="00215B2F">
        <w:rPr>
          <w:rFonts w:ascii="Arial" w:hAnsi="Arial" w:cs="Arial"/>
          <w:b/>
          <w:bCs/>
          <w:sz w:val="20"/>
          <w:szCs w:val="20"/>
        </w:rPr>
        <w:fldChar w:fldCharType="end"/>
      </w:r>
      <w:r w:rsidRPr="00215B2F">
        <w:rPr>
          <w:rFonts w:ascii="Arial" w:hAnsi="Arial" w:cs="Arial"/>
          <w:b/>
          <w:bCs/>
          <w:sz w:val="20"/>
          <w:szCs w:val="20"/>
        </w:rPr>
        <w:t>. členu (veljavni 54. člen ZBan-3)</w:t>
      </w:r>
    </w:p>
    <w:p w14:paraId="430A89C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65549A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ZBan-3 (54. člen) se opredelijo naloge komisije za prejemke, ki je sicer posvetovalno telo nadzornega sveta in uprave. Komisija mora pri pripravi svojih odločitev upoštevati dolgoročne interese delničarjev, vlagateljev in drugih zainteresiranih strani. V banki, ki nima komisije za prejemke, naloge iz prvega odstavka tega člena opravlja nadzorni svet. S členom se prenaša 95. člen CRD. </w:t>
      </w:r>
    </w:p>
    <w:p w14:paraId="10F8414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EECE297" w14:textId="4D0AF61E"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S predlogom zakona se spreminja 3. točka prvega odstavka veljavnega 54. člena ZBan-3, s katero se določa, da komisija za prejemke </w:t>
      </w:r>
      <w:r w:rsidRPr="00215B2F">
        <w:rPr>
          <w:rFonts w:ascii="Arial" w:eastAsia="Arial" w:hAnsi="Arial" w:cs="Arial"/>
          <w:sz w:val="20"/>
          <w:szCs w:val="20"/>
        </w:rPr>
        <w:t>nadzoruje prejemke vod</w:t>
      </w:r>
      <w:r w:rsidR="00D911FE" w:rsidRPr="00215B2F">
        <w:rPr>
          <w:rFonts w:ascii="Arial" w:eastAsia="Arial" w:hAnsi="Arial" w:cs="Arial"/>
          <w:sz w:val="20"/>
          <w:szCs w:val="20"/>
        </w:rPr>
        <w:t>ij</w:t>
      </w:r>
      <w:r w:rsidRPr="00215B2F">
        <w:rPr>
          <w:rFonts w:ascii="Arial" w:eastAsia="Arial" w:hAnsi="Arial" w:cs="Arial"/>
          <w:sz w:val="20"/>
          <w:szCs w:val="20"/>
        </w:rPr>
        <w:t xml:space="preserve"> funkcij notranje kontrole. Gre za prenos točke (f) drugega odstavka 92. člena CRD.</w:t>
      </w:r>
    </w:p>
    <w:p w14:paraId="00BD6B4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DC8A9D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_Ref202963186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62</w:t>
      </w:r>
      <w:r w:rsidRPr="00215B2F">
        <w:rPr>
          <w:rFonts w:ascii="Arial" w:hAnsi="Arial" w:cs="Arial"/>
          <w:b/>
          <w:bCs/>
          <w:sz w:val="20"/>
          <w:szCs w:val="20"/>
        </w:rPr>
        <w:fldChar w:fldCharType="end"/>
      </w:r>
      <w:r w:rsidRPr="00215B2F">
        <w:rPr>
          <w:rFonts w:ascii="Arial" w:hAnsi="Arial" w:cs="Arial"/>
          <w:b/>
          <w:bCs/>
          <w:sz w:val="20"/>
          <w:szCs w:val="20"/>
        </w:rPr>
        <w:t>. členu (veljavni 55. člen ZBan-3)</w:t>
      </w:r>
    </w:p>
    <w:p w14:paraId="1628F919"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3CE8FE7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S 55. členom veljavnega ZBan-3 se delno prenaša 91. člen CRD. V novem členu so določeni pogoji, ki jih mora član nadzornega sveta (poleg splošnih pogojev, določenih v ZGD-1) izpolnjevati ob upoštevanju pomena storitev, ki jih opravlja banka, in s tem povezanim nadzorom nad upravljanjem tveganj. Za člana nadzornega sveta lahko skupščina imenuje le osebo, ki je predhodno pridobila dovoljenje za opravljanje funkcije člana nadzornega sveta te banke v skladu s tem zakonom. Ta zahteva se navezuje na zahteve zakona, ki določajo, da mora organ, pristojen za imenovanje članov upravljalnih organov (v primeru članov nadzornega sveta skupščina), vzpostaviti in izvajati ustrezne politike in postopke izbora primernih kandidatov glede na vnaprej opredeljene pogoje in zahteve glede funkcije, ki jo prevzemajo. Prav tako mora banka zagotavljati predhodno in naknadno preverjanje primernosti kandidatov za člane upravljalnih organov. Z upoštevanjem navedenih zahtev morajo banka in delničarji v predlogu sklica skupščine opraviti izbor ustreznih kandidatov pred izvedbo skupščine. Predlogi za imenovanje, dani na sami skupščini (brez predhodno izvedenih postopkov glede preverjanja primernosti kandidatov), niso dopustni. S tem predlog zakona odstopa od splošne ureditve v ZGD-1. </w:t>
      </w:r>
    </w:p>
    <w:p w14:paraId="5177C30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A8281B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lastRenderedPageBreak/>
        <w:t>Dopolnitev 55. člena veljavnega ZBan-3 določa tudi, da je lahko za člana nadzornega sveta določena le oseba, ki ima ugled in lastnosti za nadzor nad vodenjem poslov banke ter njeno ravnanje ne vzbuja dvoma o njeni zmožnosti za zagotovitev varnega in skrbnega nadzora nad vodenjem poslov banke v skladu s profesionalno skrbnostjo in najvišjimi etičnimi standardi upravljanja ter preprečevanjem nasprotja interesov (2. točka prvega odstavka).</w:t>
      </w:r>
    </w:p>
    <w:p w14:paraId="7BB6577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D455282" w14:textId="22F30002" w:rsidR="0010347E" w:rsidRPr="00215B2F" w:rsidRDefault="0010347E" w:rsidP="0010347E">
      <w:pPr>
        <w:pStyle w:val="Odstavek"/>
        <w:shd w:val="clear" w:color="auto" w:fill="FFFFFF" w:themeFill="background1"/>
        <w:spacing w:before="0"/>
        <w:ind w:firstLine="0"/>
        <w:rPr>
          <w:rFonts w:cs="Arial"/>
          <w:bCs/>
          <w:sz w:val="20"/>
          <w:szCs w:val="20"/>
        </w:rPr>
      </w:pPr>
      <w:r w:rsidRPr="00215B2F">
        <w:rPr>
          <w:rFonts w:cs="Arial"/>
          <w:sz w:val="20"/>
          <w:szCs w:val="20"/>
        </w:rPr>
        <w:t xml:space="preserve">S predlogom zakona se dodaja 3. točka (v veljavnem prvem odstavku 54. člena ZBan-3), s katero se določa, da je </w:t>
      </w:r>
      <w:r w:rsidRPr="00215B2F">
        <w:rPr>
          <w:rFonts w:eastAsia="Arial" w:cs="Arial"/>
          <w:sz w:val="20"/>
          <w:szCs w:val="20"/>
        </w:rPr>
        <w:t xml:space="preserve">za člana oziroma članico </w:t>
      </w:r>
      <w:r w:rsidR="00354135" w:rsidRPr="00215B2F">
        <w:rPr>
          <w:rFonts w:eastAsia="Arial" w:cs="Arial"/>
          <w:sz w:val="20"/>
          <w:szCs w:val="20"/>
        </w:rPr>
        <w:t>nadzornega sveta</w:t>
      </w:r>
      <w:r w:rsidRPr="00215B2F">
        <w:rPr>
          <w:rFonts w:eastAsia="Arial" w:cs="Arial"/>
          <w:sz w:val="20"/>
          <w:szCs w:val="20"/>
        </w:rPr>
        <w:t xml:space="preserve"> lahko imenovana oseba, ki ravna odkrito, pošteno in neodvisno in lahko po potrebi učinkovito oceni in izpodbija odločitve upravljalnega organa ter učinkovito nadzoruje in spremlja sprejemanje odločitev v zvezi z upravljanjem. Gre za prenos 2a odstavka 91. člena CRD. </w:t>
      </w:r>
    </w:p>
    <w:p w14:paraId="077B119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75E382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_Ref202963192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63</w:t>
      </w:r>
      <w:r w:rsidRPr="00215B2F">
        <w:rPr>
          <w:rFonts w:ascii="Arial" w:hAnsi="Arial" w:cs="Arial"/>
          <w:b/>
          <w:bCs/>
          <w:sz w:val="20"/>
          <w:szCs w:val="20"/>
        </w:rPr>
        <w:fldChar w:fldCharType="end"/>
      </w:r>
      <w:r w:rsidRPr="00215B2F">
        <w:rPr>
          <w:rFonts w:ascii="Arial" w:hAnsi="Arial" w:cs="Arial"/>
          <w:b/>
          <w:bCs/>
          <w:sz w:val="20"/>
          <w:szCs w:val="20"/>
        </w:rPr>
        <w:t>. členu (veljavni 56. člen ZBan-3)</w:t>
      </w:r>
    </w:p>
    <w:p w14:paraId="149C09E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134BA6F"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(56. člen) ni vsebinskih sprememb. S predlogom člena se predlaga, da se tudi za člane nadzornega sveta določi predhodno ocenjevanje primernosti z izdajo dovoljenja za opravljanje funkcije. Vsebinski argumenti so predstavljeni v uvodni obrazložitvi zakona. </w:t>
      </w:r>
    </w:p>
    <w:p w14:paraId="1EE1142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BCF289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_Ref202963199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64</w:t>
      </w:r>
      <w:r w:rsidRPr="00215B2F">
        <w:rPr>
          <w:rFonts w:ascii="Arial" w:hAnsi="Arial" w:cs="Arial"/>
          <w:b/>
          <w:bCs/>
          <w:sz w:val="20"/>
          <w:szCs w:val="20"/>
        </w:rPr>
        <w:fldChar w:fldCharType="end"/>
      </w:r>
      <w:r w:rsidRPr="00215B2F">
        <w:rPr>
          <w:rFonts w:ascii="Arial" w:hAnsi="Arial" w:cs="Arial"/>
          <w:b/>
          <w:bCs/>
          <w:sz w:val="20"/>
          <w:szCs w:val="20"/>
        </w:rPr>
        <w:t>. členu (veljavni 57. člen ZBan-3)</w:t>
      </w:r>
    </w:p>
    <w:p w14:paraId="1554C51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01A62A4" w14:textId="34E918F1"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Zahtevo za dovoljenje za opravljanje funkcije člana nadzornega sveta vloži banka v imenu kandidata pri Banki Slovenije. Zahtevi mora priložiti osebne podatke kandidata (med drugim dokazila o izobrazbi, življenjepis, priporočila, izpis iz SISBON ipd.), dokaze o izpolnjevanju zakonskih pogojev ter druge podatke, ki jih določa podzakonski akt. Če je za nadzor pristojna ECB, se postopek nadaljuje v skladu z Uredbo 1024/2013/EU. Banka Slovenije lahko dodatne podatke pridobi tudi iz uradnih evidenc in od pristojnih organov ter zahteva oceno primernosti kandidata od banke ali organa, pristojnega za imenovanje predstavnikov delavcev.</w:t>
      </w:r>
    </w:p>
    <w:p w14:paraId="3F47128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49DD27B"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se pri predložitvi osebnih podatkov črta vprašalnik </w:t>
      </w:r>
      <w:r w:rsidRPr="00215B2F">
        <w:rPr>
          <w:rFonts w:eastAsia="Arial" w:cs="Arial"/>
          <w:sz w:val="20"/>
          <w:szCs w:val="20"/>
        </w:rPr>
        <w:t>ECB</w:t>
      </w:r>
      <w:r w:rsidRPr="00215B2F">
        <w:rPr>
          <w:rFonts w:cs="Arial"/>
          <w:sz w:val="20"/>
          <w:szCs w:val="20"/>
        </w:rPr>
        <w:t xml:space="preserve">. Ta je namreč sestavni del vprašalnika Banke Slovenije, ki v skladu z ustaljeno prakso in nacionalnimi značilnostmi vključuje tudi nekatera dodatna vprašanja. Dodatno se v peti alineji 1. točke prvega odstavka dikcija (v zvezi s predložitvijo posebnih podatkov) »kopijo morebitnih priporočil delodajalcev« nadomesti s »sklepom skupščine o imenovanju člana nadzornega sveta«. </w:t>
      </w:r>
    </w:p>
    <w:p w14:paraId="55A0769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BBD7855" w14:textId="6CD1D6C7" w:rsidR="00284F53" w:rsidRPr="00215B2F" w:rsidRDefault="00284F53" w:rsidP="00284F53">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lahko po uradni dolžnosti pridobi podatke, pomembne za oceno primernosti kandidata za člana uprave ali nadzornega organa banke, neposredno od pristojnih domačih in tujih organov, vključno z nadzornimi organi, organi iz Direktive 2015/849/EU ter iz kazenskih in prekrškovnih evidenc, sistema EBA (Uredba 1093/2010/EU) in osrednje zbirke podatkov o preprečevanju pranja denarja (Uredba 2024/1620/EU). Podatke o drugih direktorskih funkcijah in okoliščinah pridobi od kandidata, lahko pa tudi iz uradnih evidenc in od pristojnih organov. Z nadzornim organom banke se smatra Agencijo za trg vrednostnih papirjev in Agencijo za zavarovalni nadzor ter primerljive nadzornike v drugih državah članicah). </w:t>
      </w:r>
      <w:r w:rsidR="00E65BD8" w:rsidRPr="00215B2F">
        <w:rPr>
          <w:rFonts w:cs="Arial"/>
          <w:sz w:val="20"/>
          <w:szCs w:val="20"/>
        </w:rPr>
        <w:t xml:space="preserve">S </w:t>
      </w:r>
      <w:r w:rsidRPr="00215B2F">
        <w:rPr>
          <w:rFonts w:cs="Arial"/>
          <w:sz w:val="20"/>
          <w:szCs w:val="20"/>
        </w:rPr>
        <w:t xml:space="preserve">pojmom drugi nadzorni organi se smatra Komisijo za preprečevanje korupcije, Računsko sodišče ipd. </w:t>
      </w:r>
    </w:p>
    <w:p w14:paraId="66F47677" w14:textId="77777777" w:rsidR="00284F53" w:rsidRPr="00215B2F" w:rsidRDefault="00284F53" w:rsidP="0010347E">
      <w:pPr>
        <w:pStyle w:val="Odstavek"/>
        <w:shd w:val="clear" w:color="auto" w:fill="FFFFFF" w:themeFill="background1"/>
        <w:spacing w:before="0"/>
        <w:ind w:firstLine="0"/>
        <w:rPr>
          <w:rFonts w:cs="Arial"/>
          <w:sz w:val="20"/>
          <w:szCs w:val="20"/>
        </w:rPr>
      </w:pPr>
    </w:p>
    <w:p w14:paraId="07F1C09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_Ref203472320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65</w:t>
      </w:r>
      <w:r w:rsidRPr="00215B2F">
        <w:rPr>
          <w:rFonts w:ascii="Arial" w:hAnsi="Arial" w:cs="Arial"/>
          <w:b/>
          <w:bCs/>
          <w:sz w:val="20"/>
          <w:szCs w:val="20"/>
        </w:rPr>
        <w:fldChar w:fldCharType="end"/>
      </w:r>
      <w:r w:rsidRPr="00215B2F">
        <w:rPr>
          <w:rFonts w:ascii="Arial" w:hAnsi="Arial" w:cs="Arial"/>
          <w:b/>
          <w:bCs/>
          <w:sz w:val="20"/>
          <w:szCs w:val="20"/>
        </w:rPr>
        <w:t>. členu (veljavni 58. člen ZBan-3)</w:t>
      </w:r>
    </w:p>
    <w:p w14:paraId="60763CD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309EC96"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(58. člen) ni vsebinskih sprememb. Člen ureja postopek, v katerem Banka Slovenije lahko odloči, da v okviru izdaje dovoljenja za opravljanje funkcije člana nadzornega sveta izvede ustni razgovor. Namen tega razgovora je, da kandidat podrobneje predstavi okoliščine, ki jih Banka Slovenije ocenjuje kot pomembne pri svoji odločitvi o izdaji dovoljenja. </w:t>
      </w:r>
    </w:p>
    <w:p w14:paraId="1EC60B7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EB286F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_Ref203472325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66</w:t>
      </w:r>
      <w:r w:rsidRPr="00215B2F">
        <w:rPr>
          <w:rFonts w:ascii="Arial" w:hAnsi="Arial" w:cs="Arial"/>
          <w:b/>
          <w:bCs/>
          <w:sz w:val="20"/>
          <w:szCs w:val="20"/>
        </w:rPr>
        <w:fldChar w:fldCharType="end"/>
      </w:r>
      <w:r w:rsidRPr="00215B2F">
        <w:rPr>
          <w:rFonts w:ascii="Arial" w:hAnsi="Arial" w:cs="Arial"/>
          <w:b/>
          <w:bCs/>
          <w:sz w:val="20"/>
          <w:szCs w:val="20"/>
        </w:rPr>
        <w:t>. členu (veljavni 59. člen ZBan-3)</w:t>
      </w:r>
    </w:p>
    <w:p w14:paraId="11F03DB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87C9815" w14:textId="4A2EA24B"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ZBan-3 (59. člen) je določeno, da Banka Slovenije pri odločanju o izdaji dovoljenja za opravljanje funkcije člana nadzornega sveta na podlagi predložene dokumentacije in predstavitve kandidata preveri, ali ta izpolnjuje pogoje glede znanja, izkušenj, ugleda in primernosti, kot jih določa zakon. Potrebne podatke pridobi po uradni dolžnosti od pristojnih državnih organov in javnih evidenc, vključno z informacijami Evropskega bančnega organa o morebitnih ukrepih ali sankcijah. Če gre za banko, vključeno v nadzor na konsolidirani podlagi, se Banka Slovenije posvetuje tudi s pristojnimi organi drugih držav članic, če bi odločitev lahko vplivala na njihove nadzorne naloge.</w:t>
      </w:r>
    </w:p>
    <w:p w14:paraId="6EE3281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B8682C8" w14:textId="10CDA68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zakona se določbi dodaja četrti odstavek, s katerim se določa, da lahko Banka Slovenije pri odločanju o izdaji dovoljenja za opravljanje funkcije člana </w:t>
      </w:r>
      <w:r w:rsidR="00354135" w:rsidRPr="00215B2F">
        <w:rPr>
          <w:rFonts w:cs="Arial"/>
          <w:sz w:val="20"/>
          <w:szCs w:val="20"/>
        </w:rPr>
        <w:t xml:space="preserve">nadzornega sveta </w:t>
      </w:r>
      <w:r w:rsidRPr="00215B2F">
        <w:rPr>
          <w:rFonts w:cs="Arial"/>
          <w:sz w:val="20"/>
          <w:szCs w:val="20"/>
        </w:rPr>
        <w:t xml:space="preserve">upošteva tudi informacije, ki jih je pridobila kot nadzorni organ na področju preprečevanja pranja denarja in financiranja terorizma. Poleg tega lahko pridobi podatke o kandidatu od pristojnega urada ali organa v skladu z Direktivo 2015/849/EU ter zaprosi za dostop do osrednje podatkovne zbirke iz Uredbe 2024/1620/EU, pri čemer o dostopu odloča pristojni evropski organ za preprečevanje pranja denarja. Gre za prenos 91. člena CRD (odstavek 1i). </w:t>
      </w:r>
    </w:p>
    <w:p w14:paraId="1253E69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7C1B74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_Ref203472329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67</w:t>
      </w:r>
      <w:r w:rsidRPr="00215B2F">
        <w:rPr>
          <w:rFonts w:ascii="Arial" w:hAnsi="Arial" w:cs="Arial"/>
          <w:b/>
          <w:bCs/>
          <w:sz w:val="20"/>
          <w:szCs w:val="20"/>
        </w:rPr>
        <w:fldChar w:fldCharType="end"/>
      </w:r>
      <w:r w:rsidRPr="00215B2F">
        <w:rPr>
          <w:rFonts w:ascii="Arial" w:hAnsi="Arial" w:cs="Arial"/>
          <w:b/>
          <w:bCs/>
          <w:sz w:val="20"/>
          <w:szCs w:val="20"/>
        </w:rPr>
        <w:t>. členu (veljavni 60. člen ZBan-3)</w:t>
      </w:r>
    </w:p>
    <w:p w14:paraId="1D9FD2E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76B2B7C"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(60. člen) ni vsebinskih sprememb. Člen ureja položaj, ko Banka Slovenije zavrne zahtevo za izdajo dovoljenja za opravljanje funkcije člana nadzornega sveta, če kandidat ne izpolnjuje predpisanih pogojev za imenovanje. Če kandidat sicer izpolnjuje pogoje, vendar obstajajo ovire za opravljanje te funkcije – na primer, če opravlja direktorske funkcije v drugih podjetjih ali organizacijah – Banka Slovenije lahko izda dovoljenje, vendar pod pogojem, da kandidat izpolni zahteve iz zakona v določenem roku. Ta rok ne sme biti ne krajši od 30 dni in ne daljši od treh mesecev. Ko kandidat izpolni te zahteve, lahko začne opravljati funkcijo člana nadzornega sveta, vendar mora o tem obvestiti Banko Slovenije.</w:t>
      </w:r>
    </w:p>
    <w:p w14:paraId="056FEAA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18A8BE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_Ref203472334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68</w:t>
      </w:r>
      <w:r w:rsidRPr="00215B2F">
        <w:rPr>
          <w:rFonts w:ascii="Arial" w:hAnsi="Arial" w:cs="Arial"/>
          <w:b/>
          <w:bCs/>
          <w:sz w:val="20"/>
          <w:szCs w:val="20"/>
        </w:rPr>
        <w:fldChar w:fldCharType="end"/>
      </w:r>
      <w:r w:rsidRPr="00215B2F">
        <w:rPr>
          <w:rFonts w:ascii="Arial" w:hAnsi="Arial" w:cs="Arial"/>
          <w:b/>
          <w:bCs/>
          <w:sz w:val="20"/>
          <w:szCs w:val="20"/>
        </w:rPr>
        <w:t>. členu (veljavni 61. člen ZBan-3)</w:t>
      </w:r>
    </w:p>
    <w:p w14:paraId="2B26A27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43499BD" w14:textId="54082713"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(61. člen) ni vsebinskih sprememb. Člen ureja prenehanje dovoljenja za opravljanje funkcije člana </w:t>
      </w:r>
      <w:r w:rsidR="00354135" w:rsidRPr="00215B2F">
        <w:rPr>
          <w:rFonts w:cs="Arial"/>
          <w:sz w:val="20"/>
          <w:szCs w:val="20"/>
        </w:rPr>
        <w:t>nadzornega sveta</w:t>
      </w:r>
      <w:r w:rsidRPr="00215B2F">
        <w:rPr>
          <w:rFonts w:cs="Arial"/>
          <w:sz w:val="20"/>
          <w:szCs w:val="20"/>
        </w:rPr>
        <w:t>. Dovoljenje preneha veljati, če osebi preneha funkcija člana nadzornega sveta ali če član ne izpolni zahtev v določenem roku. Banka mora ob prenehanju funkcije v petih dneh obvestiti Banko Slovenije, če ta izvaja nadzor. Banka Slovenije nato izda ugotovitveno odločbo o prenehanju dovoljenja.</w:t>
      </w:r>
    </w:p>
    <w:p w14:paraId="70FA929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7D6AE2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_Ref202963223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69</w:t>
      </w:r>
      <w:r w:rsidRPr="00215B2F">
        <w:rPr>
          <w:rFonts w:ascii="Arial" w:hAnsi="Arial" w:cs="Arial"/>
          <w:b/>
          <w:bCs/>
          <w:sz w:val="20"/>
          <w:szCs w:val="20"/>
        </w:rPr>
        <w:fldChar w:fldCharType="end"/>
      </w:r>
      <w:r w:rsidRPr="00215B2F">
        <w:rPr>
          <w:rFonts w:ascii="Arial" w:hAnsi="Arial" w:cs="Arial"/>
          <w:b/>
          <w:bCs/>
          <w:sz w:val="20"/>
          <w:szCs w:val="20"/>
        </w:rPr>
        <w:t>. členu (veljavni 62. člen ZBan-3)</w:t>
      </w:r>
    </w:p>
    <w:p w14:paraId="61E30AD1"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5E22E42B" w14:textId="5D0D2D19" w:rsidR="0010347E" w:rsidRPr="00215B2F" w:rsidRDefault="0010347E" w:rsidP="0010347E">
      <w:pPr>
        <w:pStyle w:val="tevilnatoka"/>
        <w:numPr>
          <w:ilvl w:val="0"/>
          <w:numId w:val="0"/>
        </w:numPr>
        <w:shd w:val="clear" w:color="auto" w:fill="FFFFFF" w:themeFill="background1"/>
        <w:rPr>
          <w:rFonts w:cs="Arial"/>
          <w:sz w:val="20"/>
          <w:szCs w:val="20"/>
        </w:rPr>
      </w:pPr>
      <w:r w:rsidRPr="00215B2F">
        <w:rPr>
          <w:rFonts w:cs="Arial"/>
          <w:sz w:val="20"/>
          <w:szCs w:val="20"/>
        </w:rPr>
        <w:t xml:space="preserve">V primerjavi z ZBan-3 (62. člen) ni vsebinskih sprememb. S členom se delno prenaša 91. člen CRD. Določene so dolžnosti in odgovornost člana </w:t>
      </w:r>
      <w:r w:rsidR="00354135" w:rsidRPr="00215B2F">
        <w:rPr>
          <w:rFonts w:cs="Arial"/>
          <w:sz w:val="20"/>
          <w:szCs w:val="20"/>
        </w:rPr>
        <w:t>nadzornega sveta</w:t>
      </w:r>
      <w:r w:rsidRPr="00215B2F">
        <w:rPr>
          <w:rFonts w:cs="Arial"/>
          <w:sz w:val="20"/>
          <w:szCs w:val="20"/>
        </w:rPr>
        <w:t xml:space="preserve">. </w:t>
      </w:r>
    </w:p>
    <w:p w14:paraId="7B98233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68B7D1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_Ref202963253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70</w:t>
      </w:r>
      <w:r w:rsidRPr="00215B2F">
        <w:rPr>
          <w:rFonts w:ascii="Arial" w:hAnsi="Arial" w:cs="Arial"/>
          <w:b/>
          <w:bCs/>
          <w:sz w:val="20"/>
          <w:szCs w:val="20"/>
        </w:rPr>
        <w:fldChar w:fldCharType="end"/>
      </w:r>
      <w:r w:rsidRPr="00215B2F">
        <w:rPr>
          <w:rFonts w:ascii="Arial" w:hAnsi="Arial" w:cs="Arial"/>
          <w:b/>
          <w:bCs/>
          <w:sz w:val="20"/>
          <w:szCs w:val="20"/>
        </w:rPr>
        <w:t>. členu (veljavni 63. člen ZBan-3)</w:t>
      </w:r>
    </w:p>
    <w:p w14:paraId="004A0D0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3E3B30B" w14:textId="7E6D509A"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(63. člen) ni vsebinskih sprememb. S členom se določa postopek obveščanja s strani člana </w:t>
      </w:r>
      <w:r w:rsidR="00354135" w:rsidRPr="00215B2F">
        <w:rPr>
          <w:rFonts w:cs="Arial"/>
          <w:sz w:val="20"/>
          <w:szCs w:val="20"/>
        </w:rPr>
        <w:t>nadzornega sveta</w:t>
      </w:r>
      <w:r w:rsidRPr="00215B2F">
        <w:rPr>
          <w:rFonts w:cs="Arial"/>
          <w:sz w:val="20"/>
          <w:szCs w:val="20"/>
        </w:rPr>
        <w:t>. Član nadzornega sveta mora banko, nadzorni svet in Banko Slovenije, kadar v skladu z Uredbo EU št. 1024/2013 izvaja pristojnosti nadzora, za katere je pristojna in odgovorna v skladu z uredbo, nemudoma obvestiti o tem, da je bil imenovan ali da mu je prenehala direktorska funkcija v drugih družbah in organizacijah. Član nadzornega sveta mora nadzorni svet nemudoma obvestiti o vsaki pomembni spremembi, ki vpliva ali bi lahko vplivala na oceno banke glede njegove primernosti kot člana uprave.</w:t>
      </w:r>
    </w:p>
    <w:p w14:paraId="4158887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C78DCF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_Ref202963257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71</w:t>
      </w:r>
      <w:r w:rsidRPr="00215B2F">
        <w:rPr>
          <w:rFonts w:ascii="Arial" w:hAnsi="Arial" w:cs="Arial"/>
          <w:b/>
          <w:bCs/>
          <w:sz w:val="20"/>
          <w:szCs w:val="20"/>
        </w:rPr>
        <w:fldChar w:fldCharType="end"/>
      </w:r>
      <w:r w:rsidRPr="00215B2F">
        <w:rPr>
          <w:rFonts w:ascii="Arial" w:hAnsi="Arial" w:cs="Arial"/>
          <w:b/>
          <w:bCs/>
          <w:sz w:val="20"/>
          <w:szCs w:val="20"/>
        </w:rPr>
        <w:t>. členu (veljavni 64. člen ZBan-3)</w:t>
      </w:r>
    </w:p>
    <w:p w14:paraId="43C169A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DFF5D52"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(64. člen) ni vsebinskih sprememb. S členom se določa, da lahko Banka Slovenije kadar koli med mandatom člana nadzornega sveta izvede ponovno ocenitev njegove primernosti, če zazna okoliščine, ki vplivajo na izpolnjevanje zakonskih pogojev ali dolžnosti člana. To vključuje zlasti primere suma ali tveganja pranja denarja in financiranja terorizma. V postopku lahko zahteva dodatna pojasnila, dokazila ali izvede ustni razgovor. Namen ocene je zagotoviti, da člani nadzornega sveta ves čas izpolnjujejo visoke standarde strokovnosti, integritete in odgovornosti. Gre za prenos prvega odstavka 91. člena CRD. </w:t>
      </w:r>
    </w:p>
    <w:p w14:paraId="78AC065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A7BA1F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_Ref202963274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72</w:t>
      </w:r>
      <w:r w:rsidRPr="00215B2F">
        <w:rPr>
          <w:rFonts w:ascii="Arial" w:hAnsi="Arial" w:cs="Arial"/>
          <w:b/>
          <w:bCs/>
          <w:sz w:val="20"/>
          <w:szCs w:val="20"/>
        </w:rPr>
        <w:fldChar w:fldCharType="end"/>
      </w:r>
      <w:r w:rsidRPr="00215B2F">
        <w:rPr>
          <w:rFonts w:ascii="Arial" w:hAnsi="Arial" w:cs="Arial"/>
          <w:b/>
          <w:bCs/>
          <w:sz w:val="20"/>
          <w:szCs w:val="20"/>
        </w:rPr>
        <w:t>. členu</w:t>
      </w:r>
    </w:p>
    <w:p w14:paraId="7400D49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EE8CC05" w14:textId="7A7112E4" w:rsidR="0010347E" w:rsidRPr="00215B2F" w:rsidRDefault="0010347E" w:rsidP="0010347E">
      <w:pPr>
        <w:pStyle w:val="Pripombabesedilo"/>
        <w:shd w:val="clear" w:color="auto" w:fill="FFFFFF" w:themeFill="background1"/>
        <w:jc w:val="both"/>
        <w:rPr>
          <w:rFonts w:ascii="Arial" w:hAnsi="Arial" w:cs="Arial"/>
        </w:rPr>
      </w:pPr>
      <w:r w:rsidRPr="00215B2F">
        <w:rPr>
          <w:rFonts w:ascii="Arial" w:hAnsi="Arial" w:cs="Arial"/>
        </w:rPr>
        <w:t>Nosilci ključnih funkcij so po definiciji: osebe, ki imajo pomemben vpliv na vodenje institucije, vendar niso člani upravnega odbora, vključno z vodji funkcij notranje kontrole in finančnim direktorjem, kadar te vodje ali ta direktor niso člani upravnega odbora. Glede na definicijo so to najmanj: direktor za finance (CFO), direktor za upravljanje tveganj (CRO), direktor za skladnost poslovanja (CCO) in glavni notranji revizor (CIA); lahko pa so tudi drugi, ki ustrezajo definicij</w:t>
      </w:r>
      <w:r w:rsidR="00682525" w:rsidRPr="00215B2F">
        <w:rPr>
          <w:rFonts w:ascii="Arial" w:hAnsi="Arial" w:cs="Arial"/>
        </w:rPr>
        <w:t>i</w:t>
      </w:r>
      <w:r w:rsidRPr="00215B2F">
        <w:rPr>
          <w:rFonts w:ascii="Arial" w:hAnsi="Arial" w:cs="Arial"/>
        </w:rPr>
        <w:t xml:space="preserve"> pomembnega vpliva. Kateri položaji in funkcije </w:t>
      </w:r>
      <w:r w:rsidRPr="00215B2F">
        <w:rPr>
          <w:rFonts w:ascii="Arial" w:hAnsi="Arial" w:cs="Arial"/>
        </w:rPr>
        <w:lastRenderedPageBreak/>
        <w:t>v banki ustrezajo definiciji nosilcev ključnih funkcij (KFH), mora opredeliti banka v okviru stabilne ureditve notranjega upravljanja in nove zahteve po opredelitvi vlog in odgovornosti.</w:t>
      </w:r>
    </w:p>
    <w:p w14:paraId="23E7BEF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C952FAC"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S predlogom člena se določa, da je banka odgovorna, da vsi nosilci ključnih funkcij (npr. vodje področij, notranji revizorji ipd.) ves čas izpolnjujejo visoke standarde glede ugleda, poštenosti in strokovne usposobljenosti. To pomeni, da zgolj neobstoj kazenske evidence ni dovolj – banka mora aktivno spremljati njihovo primernost. Če ugotovi, da posameznik teh pogojev ne izpolnjuje več, mora nemudoma ukrepati, tudi z zamenjavo te osebe, če je to potrebno za varno in stabilno poslovanje. Gre za delni prenos 91.a člena CRD.</w:t>
      </w:r>
    </w:p>
    <w:p w14:paraId="5252803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20DE10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_Ref202963284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73</w:t>
      </w:r>
      <w:r w:rsidRPr="00215B2F">
        <w:rPr>
          <w:rFonts w:ascii="Arial" w:hAnsi="Arial" w:cs="Arial"/>
          <w:b/>
          <w:bCs/>
          <w:sz w:val="20"/>
          <w:szCs w:val="20"/>
        </w:rPr>
        <w:fldChar w:fldCharType="end"/>
      </w:r>
      <w:r w:rsidRPr="00215B2F">
        <w:rPr>
          <w:rFonts w:ascii="Arial" w:hAnsi="Arial" w:cs="Arial"/>
          <w:b/>
          <w:bCs/>
          <w:sz w:val="20"/>
          <w:szCs w:val="20"/>
        </w:rPr>
        <w:t>. členu</w:t>
      </w:r>
    </w:p>
    <w:p w14:paraId="297E869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5FEE9EE"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S predlogom člena se določa, da mora banka redno ocenjevati primernost nosilcev ključnih funkcij, in sicer pred imenovanjem, ob pomembnih spremembah okoliščin ter najmanj vsakih dve leti. Če ocena pokaže, da kandidat ali obstoječi nosilec ne izpolnjuje zakonskih meril, ga banka ne imenuje, razreši ali sprejme ustrezne ukrepe za zagotovitev njegove primernosti. Banka mora te ocene in podatke o primernosti redno posodabljati in jih na zahtevo predložiti Banki Slovenije. Gre za delni prenos 91.a člena CRD.</w:t>
      </w:r>
    </w:p>
    <w:p w14:paraId="4F6158C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498AEB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_Ref202963306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74</w:t>
      </w:r>
      <w:r w:rsidRPr="00215B2F">
        <w:rPr>
          <w:rFonts w:ascii="Arial" w:hAnsi="Arial" w:cs="Arial"/>
          <w:b/>
          <w:bCs/>
          <w:sz w:val="20"/>
          <w:szCs w:val="20"/>
        </w:rPr>
        <w:fldChar w:fldCharType="end"/>
      </w:r>
      <w:r w:rsidRPr="00215B2F">
        <w:rPr>
          <w:rFonts w:ascii="Arial" w:hAnsi="Arial" w:cs="Arial"/>
          <w:b/>
          <w:bCs/>
          <w:sz w:val="20"/>
          <w:szCs w:val="20"/>
        </w:rPr>
        <w:t>. členu</w:t>
      </w:r>
    </w:p>
    <w:p w14:paraId="5073F1E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B133C8D" w14:textId="7DCE526C" w:rsidR="0010347E" w:rsidRPr="00215B2F" w:rsidRDefault="0010347E" w:rsidP="0010347E">
      <w:pPr>
        <w:pStyle w:val="Pripombabesedilo"/>
        <w:shd w:val="clear" w:color="auto" w:fill="FFFFFF" w:themeFill="background1"/>
        <w:jc w:val="both"/>
        <w:rPr>
          <w:rFonts w:ascii="Arial" w:hAnsi="Arial" w:cs="Arial"/>
        </w:rPr>
      </w:pPr>
      <w:r w:rsidRPr="00215B2F">
        <w:rPr>
          <w:rFonts w:ascii="Arial" w:hAnsi="Arial" w:cs="Arial"/>
        </w:rPr>
        <w:t xml:space="preserve">CRD zahteva izvedbo ocene primernosti samo za vodje KFH in CFO za velike institucije – v ta namen so dodatne zahteve opredeljene v posebnem členu. Definicija velike institucije je namreč v CRR: </w:t>
      </w:r>
    </w:p>
    <w:p w14:paraId="7C06B1B4" w14:textId="77777777" w:rsidR="0010347E" w:rsidRPr="00215B2F" w:rsidRDefault="0010347E" w:rsidP="0010347E">
      <w:pPr>
        <w:pStyle w:val="Pripombabesedilo"/>
        <w:shd w:val="clear" w:color="auto" w:fill="FFFFFF" w:themeFill="background1"/>
        <w:jc w:val="both"/>
        <w:rPr>
          <w:rFonts w:ascii="Arial" w:hAnsi="Arial" w:cs="Arial"/>
          <w:i/>
          <w:iCs/>
        </w:rPr>
      </w:pPr>
    </w:p>
    <w:p w14:paraId="27DC4758" w14:textId="77777777" w:rsidR="0010347E" w:rsidRPr="00215B2F" w:rsidRDefault="0010347E" w:rsidP="0010347E">
      <w:pPr>
        <w:pStyle w:val="Pripombabesedilo"/>
        <w:shd w:val="clear" w:color="auto" w:fill="FFFFFF" w:themeFill="background1"/>
        <w:jc w:val="both"/>
        <w:rPr>
          <w:rFonts w:ascii="Arial" w:hAnsi="Arial" w:cs="Arial"/>
          <w:i/>
          <w:iCs/>
        </w:rPr>
      </w:pPr>
      <w:r w:rsidRPr="00215B2F">
        <w:rPr>
          <w:rFonts w:ascii="Arial" w:hAnsi="Arial" w:cs="Arial"/>
          <w:i/>
          <w:iCs/>
        </w:rPr>
        <w:t xml:space="preserve">»velika institucija pomeni institucijo, ki izpolnjuje katerega koli od naslednjih pogojev: </w:t>
      </w:r>
    </w:p>
    <w:p w14:paraId="48A9C5AC" w14:textId="77777777" w:rsidR="0010347E" w:rsidRPr="00215B2F" w:rsidRDefault="0010347E" w:rsidP="0010347E">
      <w:pPr>
        <w:pStyle w:val="Pripombabesedilo"/>
        <w:shd w:val="clear" w:color="auto" w:fill="FFFFFF" w:themeFill="background1"/>
        <w:jc w:val="both"/>
        <w:rPr>
          <w:rFonts w:ascii="Arial" w:hAnsi="Arial" w:cs="Arial"/>
          <w:i/>
          <w:iCs/>
        </w:rPr>
      </w:pPr>
      <w:r w:rsidRPr="00215B2F">
        <w:rPr>
          <w:rFonts w:ascii="Arial" w:hAnsi="Arial" w:cs="Arial"/>
          <w:i/>
          <w:iCs/>
        </w:rPr>
        <w:t xml:space="preserve">(a) je GSPI; </w:t>
      </w:r>
    </w:p>
    <w:p w14:paraId="341134FF" w14:textId="77777777" w:rsidR="0010347E" w:rsidRPr="00215B2F" w:rsidRDefault="0010347E" w:rsidP="0010347E">
      <w:pPr>
        <w:pStyle w:val="Pripombabesedilo"/>
        <w:shd w:val="clear" w:color="auto" w:fill="FFFFFF" w:themeFill="background1"/>
        <w:jc w:val="both"/>
        <w:rPr>
          <w:rFonts w:ascii="Arial" w:hAnsi="Arial" w:cs="Arial"/>
          <w:i/>
          <w:iCs/>
        </w:rPr>
      </w:pPr>
      <w:r w:rsidRPr="00215B2F">
        <w:rPr>
          <w:rFonts w:ascii="Arial" w:hAnsi="Arial" w:cs="Arial"/>
          <w:i/>
          <w:iCs/>
        </w:rPr>
        <w:t xml:space="preserve">(b) v skladu s členom 131(1) in (3) Direktive 2013/36/EU je bila opredeljena kot druga sistemsko pomembna institucija (DSPI); </w:t>
      </w:r>
    </w:p>
    <w:p w14:paraId="132AE87E" w14:textId="77777777" w:rsidR="0010347E" w:rsidRPr="00215B2F" w:rsidRDefault="0010347E" w:rsidP="0010347E">
      <w:pPr>
        <w:pStyle w:val="Pripombabesedilo"/>
        <w:shd w:val="clear" w:color="auto" w:fill="FFFFFF" w:themeFill="background1"/>
        <w:jc w:val="both"/>
        <w:rPr>
          <w:rFonts w:ascii="Arial" w:hAnsi="Arial" w:cs="Arial"/>
          <w:i/>
          <w:iCs/>
        </w:rPr>
      </w:pPr>
      <w:r w:rsidRPr="00215B2F">
        <w:rPr>
          <w:rFonts w:ascii="Arial" w:hAnsi="Arial" w:cs="Arial"/>
          <w:i/>
          <w:iCs/>
        </w:rPr>
        <w:t xml:space="preserve">(c) je v državi članici, v kateri ima sedež, ena od treh največjih institucij glede na skupno vrednost sredstev; </w:t>
      </w:r>
    </w:p>
    <w:p w14:paraId="7025D2AF" w14:textId="77777777" w:rsidR="0010347E" w:rsidRPr="00215B2F" w:rsidRDefault="0010347E" w:rsidP="0010347E">
      <w:pPr>
        <w:pStyle w:val="Pripombabesedilo"/>
        <w:shd w:val="clear" w:color="auto" w:fill="FFFFFF" w:themeFill="background1"/>
        <w:jc w:val="both"/>
        <w:rPr>
          <w:rFonts w:ascii="Arial" w:hAnsi="Arial" w:cs="Arial"/>
          <w:i/>
          <w:iCs/>
        </w:rPr>
      </w:pPr>
      <w:r w:rsidRPr="00215B2F">
        <w:rPr>
          <w:rFonts w:ascii="Arial" w:hAnsi="Arial" w:cs="Arial"/>
          <w:i/>
          <w:iCs/>
        </w:rPr>
        <w:t>(d) skupna vrednost njenih sredstev na posamični podlagi ali, kjer je ustrezno, na podlagi njenega konsolidiranega položaja v skladu s to uredbo in Direktivo 2013/36/EU je enaka ali večja od 30 milijard EUR;«.</w:t>
      </w:r>
    </w:p>
    <w:p w14:paraId="76106427" w14:textId="77777777" w:rsidR="0010347E" w:rsidRPr="00215B2F" w:rsidRDefault="0010347E" w:rsidP="0010347E">
      <w:pPr>
        <w:pStyle w:val="Pripombabesedilo"/>
        <w:shd w:val="clear" w:color="auto" w:fill="FFFFFF" w:themeFill="background1"/>
        <w:jc w:val="both"/>
        <w:rPr>
          <w:rFonts w:ascii="Arial" w:hAnsi="Arial" w:cs="Arial"/>
        </w:rPr>
      </w:pPr>
    </w:p>
    <w:p w14:paraId="6DDF319D" w14:textId="1F9E67F8" w:rsidR="0010347E" w:rsidRPr="00215B2F" w:rsidRDefault="0010347E" w:rsidP="0010347E">
      <w:pPr>
        <w:pStyle w:val="Pripombabesedilo"/>
        <w:shd w:val="clear" w:color="auto" w:fill="FFFFFF" w:themeFill="background1"/>
        <w:jc w:val="both"/>
        <w:rPr>
          <w:rFonts w:ascii="Arial" w:hAnsi="Arial" w:cs="Arial"/>
        </w:rPr>
      </w:pPr>
      <w:r w:rsidRPr="00215B2F">
        <w:rPr>
          <w:rFonts w:ascii="Arial" w:hAnsi="Arial" w:cs="Arial"/>
        </w:rPr>
        <w:t>Vse banke morajo torej nadzornika obvestiti in priložiti zahtevano dokumentacijo. Sestavni del te dokumentacije je za vse notranja ocena primernosti</w:t>
      </w:r>
      <w:r w:rsidR="005B3738" w:rsidRPr="00215B2F">
        <w:rPr>
          <w:rFonts w:ascii="Arial" w:hAnsi="Arial" w:cs="Arial"/>
        </w:rPr>
        <w:t>.</w:t>
      </w:r>
      <w:r w:rsidRPr="00215B2F">
        <w:rPr>
          <w:rFonts w:ascii="Arial" w:hAnsi="Arial" w:cs="Arial"/>
        </w:rPr>
        <w:t xml:space="preserve"> </w:t>
      </w:r>
      <w:r w:rsidR="005B3738" w:rsidRPr="00215B2F">
        <w:rPr>
          <w:rFonts w:ascii="Arial" w:hAnsi="Arial" w:cs="Arial"/>
        </w:rPr>
        <w:t>D</w:t>
      </w:r>
      <w:r w:rsidRPr="00215B2F">
        <w:rPr>
          <w:rFonts w:ascii="Arial" w:hAnsi="Arial" w:cs="Arial"/>
        </w:rPr>
        <w:t>okumentacij</w:t>
      </w:r>
      <w:r w:rsidR="005B3738" w:rsidRPr="00215B2F">
        <w:rPr>
          <w:rFonts w:ascii="Arial" w:hAnsi="Arial" w:cs="Arial"/>
        </w:rPr>
        <w:t>a bo dodatno</w:t>
      </w:r>
      <w:r w:rsidRPr="00215B2F">
        <w:rPr>
          <w:rFonts w:ascii="Arial" w:hAnsi="Arial" w:cs="Arial"/>
        </w:rPr>
        <w:t xml:space="preserve"> opredel</w:t>
      </w:r>
      <w:r w:rsidR="005B3738" w:rsidRPr="00215B2F">
        <w:rPr>
          <w:rFonts w:ascii="Arial" w:hAnsi="Arial" w:cs="Arial"/>
        </w:rPr>
        <w:t>jena</w:t>
      </w:r>
      <w:r w:rsidRPr="00215B2F">
        <w:rPr>
          <w:rFonts w:ascii="Arial" w:hAnsi="Arial" w:cs="Arial"/>
        </w:rPr>
        <w:t xml:space="preserve"> v podzakonskem aktu, lahko različno za manj pomembne institucije in pomembne institucije. </w:t>
      </w:r>
    </w:p>
    <w:p w14:paraId="267F4135" w14:textId="77777777" w:rsidR="0010347E" w:rsidRPr="00215B2F" w:rsidRDefault="0010347E" w:rsidP="0010347E">
      <w:pPr>
        <w:pStyle w:val="Pripombabesedilo"/>
        <w:shd w:val="clear" w:color="auto" w:fill="FFFFFF" w:themeFill="background1"/>
        <w:jc w:val="both"/>
        <w:rPr>
          <w:rFonts w:ascii="Arial" w:hAnsi="Arial" w:cs="Arial"/>
        </w:rPr>
      </w:pPr>
    </w:p>
    <w:p w14:paraId="7AF55AC1" w14:textId="03E79EA7" w:rsidR="0010347E" w:rsidRPr="00215B2F" w:rsidRDefault="002164E5" w:rsidP="0010347E">
      <w:pPr>
        <w:pStyle w:val="Odstavek"/>
        <w:shd w:val="clear" w:color="auto" w:fill="FFFFFF" w:themeFill="background1"/>
        <w:spacing w:before="0"/>
        <w:ind w:firstLine="0"/>
        <w:rPr>
          <w:rFonts w:cs="Arial"/>
          <w:sz w:val="20"/>
          <w:szCs w:val="20"/>
        </w:rPr>
      </w:pPr>
      <w:r w:rsidRPr="00215B2F">
        <w:rPr>
          <w:rFonts w:cs="Arial"/>
          <w:sz w:val="20"/>
          <w:szCs w:val="20"/>
        </w:rPr>
        <w:t>Več g</w:t>
      </w:r>
      <w:r w:rsidR="0010347E" w:rsidRPr="00215B2F">
        <w:rPr>
          <w:rFonts w:cs="Arial"/>
          <w:sz w:val="20"/>
          <w:szCs w:val="20"/>
        </w:rPr>
        <w:t xml:space="preserve">lede ocene Banke Slovenije in pristojnosti </w:t>
      </w:r>
      <w:r w:rsidRPr="00215B2F">
        <w:rPr>
          <w:rFonts w:cs="Arial"/>
          <w:sz w:val="20"/>
          <w:szCs w:val="20"/>
        </w:rPr>
        <w:t xml:space="preserve">je urejeno </w:t>
      </w:r>
      <w:r w:rsidR="0010347E" w:rsidRPr="00215B2F">
        <w:rPr>
          <w:rFonts w:cs="Arial"/>
          <w:sz w:val="20"/>
          <w:szCs w:val="20"/>
        </w:rPr>
        <w:t>v naslednjih členih in poglavju o ukrepih nadzora.</w:t>
      </w:r>
    </w:p>
    <w:p w14:paraId="31A7896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34F5F2F" w14:textId="0209B275"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S predlogom člena se tako določa, da mora banka v petih dneh po imenovanju nosilca ključne funkcije o tem obvestiti Banko Slovenije in priložiti notranjo oceno njegove primernosti..</w:t>
      </w:r>
    </w:p>
    <w:p w14:paraId="17033FF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2BA329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_Ref202963314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75</w:t>
      </w:r>
      <w:r w:rsidRPr="00215B2F">
        <w:rPr>
          <w:rFonts w:ascii="Arial" w:hAnsi="Arial" w:cs="Arial"/>
          <w:b/>
          <w:bCs/>
          <w:sz w:val="20"/>
          <w:szCs w:val="20"/>
        </w:rPr>
        <w:fldChar w:fldCharType="end"/>
      </w:r>
      <w:r w:rsidRPr="00215B2F">
        <w:rPr>
          <w:rFonts w:ascii="Arial" w:hAnsi="Arial" w:cs="Arial"/>
          <w:b/>
          <w:bCs/>
          <w:sz w:val="20"/>
          <w:szCs w:val="20"/>
        </w:rPr>
        <w:t>. členu</w:t>
      </w:r>
    </w:p>
    <w:p w14:paraId="6C3484E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5DA8F78"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Nosilec ključne funkcije mora banko nemudoma pisno obvestiti, če nastopijo okoliščine, ki bi lahko vplivale na njegovo primernost v skladu z zakonskimi pogoji. To omogoča banki, da pravočasno ukrepa in zagotovi skladnost z zahtevami za opravljanje ključnih funkcij.</w:t>
      </w:r>
    </w:p>
    <w:p w14:paraId="1CBEBF7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CC32B8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_Ref202963320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76</w:t>
      </w:r>
      <w:r w:rsidRPr="00215B2F">
        <w:rPr>
          <w:rFonts w:ascii="Arial" w:hAnsi="Arial" w:cs="Arial"/>
          <w:b/>
          <w:bCs/>
          <w:sz w:val="20"/>
          <w:szCs w:val="20"/>
        </w:rPr>
        <w:fldChar w:fldCharType="end"/>
      </w:r>
      <w:r w:rsidRPr="00215B2F">
        <w:rPr>
          <w:rFonts w:ascii="Arial" w:hAnsi="Arial" w:cs="Arial"/>
          <w:b/>
          <w:bCs/>
          <w:sz w:val="20"/>
          <w:szCs w:val="20"/>
        </w:rPr>
        <w:t>. členu</w:t>
      </w:r>
    </w:p>
    <w:p w14:paraId="46693C26" w14:textId="77777777" w:rsidR="0010347E" w:rsidRPr="00215B2F" w:rsidRDefault="0010347E" w:rsidP="0010347E">
      <w:pPr>
        <w:pStyle w:val="Odstavek"/>
        <w:shd w:val="clear" w:color="auto" w:fill="FFFFFF" w:themeFill="background1"/>
        <w:ind w:firstLine="0"/>
        <w:rPr>
          <w:rFonts w:cs="Arial"/>
          <w:sz w:val="20"/>
          <w:szCs w:val="20"/>
        </w:rPr>
      </w:pPr>
      <w:r w:rsidRPr="00215B2F">
        <w:rPr>
          <w:rFonts w:cs="Arial"/>
          <w:sz w:val="20"/>
          <w:szCs w:val="20"/>
        </w:rPr>
        <w:t>Banka Slovenije lahko preverja primernost nosilca ključne funkcije tako, da od banke zahteva dodatne informacije ali dokumentacijo, ali pa opravi ustni razgovor z nosilcem, med katerim ta pojasni okoliščine, pomembne za presojo njegove primernosti. Pri tem se smiselno uporablja postopek, določen v zakonu.</w:t>
      </w:r>
    </w:p>
    <w:p w14:paraId="4E35457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CB5A60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_Ref202963326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77</w:t>
      </w:r>
      <w:r w:rsidRPr="00215B2F">
        <w:rPr>
          <w:rFonts w:ascii="Arial" w:hAnsi="Arial" w:cs="Arial"/>
          <w:b/>
          <w:bCs/>
          <w:sz w:val="20"/>
          <w:szCs w:val="20"/>
        </w:rPr>
        <w:fldChar w:fldCharType="end"/>
      </w:r>
      <w:r w:rsidRPr="00215B2F">
        <w:rPr>
          <w:rFonts w:ascii="Arial" w:hAnsi="Arial" w:cs="Arial"/>
          <w:b/>
          <w:bCs/>
          <w:sz w:val="20"/>
          <w:szCs w:val="20"/>
        </w:rPr>
        <w:t>. členu</w:t>
      </w:r>
    </w:p>
    <w:p w14:paraId="0FAFAAF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13FB8B3" w14:textId="117A582A"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členom se določa, da za pomembne nosilce ključnih funkcij, kot so vodje </w:t>
      </w:r>
      <w:r w:rsidR="00577C3D" w:rsidRPr="00215B2F">
        <w:rPr>
          <w:rFonts w:cs="Arial"/>
          <w:sz w:val="20"/>
          <w:szCs w:val="20"/>
        </w:rPr>
        <w:t xml:space="preserve">funkcij </w:t>
      </w:r>
      <w:r w:rsidRPr="00215B2F">
        <w:rPr>
          <w:rFonts w:cs="Arial"/>
          <w:sz w:val="20"/>
          <w:szCs w:val="20"/>
        </w:rPr>
        <w:t xml:space="preserve">notranje kontrole in finančni direktorji v velikih bančnih institucijah, veljajo posebna pravila. Banka mora zanje izvesti </w:t>
      </w:r>
      <w:r w:rsidRPr="00215B2F">
        <w:rPr>
          <w:rFonts w:cs="Arial"/>
          <w:sz w:val="20"/>
          <w:szCs w:val="20"/>
        </w:rPr>
        <w:lastRenderedPageBreak/>
        <w:t>ponovno notranjo ocenitev primernosti, kadar se pojavijo nove okoliščine, in o tem nemudoma obvestiti Banko Slovenije. Ta nato v treh mesecih opravi svojo ocenitev primernosti, pri čemer lahko upošteva tudi podatke s področja preprečevanja pranja denarja in financiranja terorizma. Če obstajajo dvomi o primernosti, lahko Banka Slovenije izvede ustni razgovor in po potrebi podaljša rok za odločitev. Namen teh določb je zagotoviti, da ključne funkcije v pomembnih institucijah zasedajo ustrezno usposobljene in zanesljive osebe. Gre za delni prenos 91.a člena CRD (peti in šesti odstavek).</w:t>
      </w:r>
    </w:p>
    <w:p w14:paraId="649D907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BBC9647"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Ocena primernosti in ponovna ocena primernosti sta večinoma predvideni kot interna postopka, zato posebnih postopkovnih določb glede popolnosti vloge in obvestila ter podobno ni.</w:t>
      </w:r>
    </w:p>
    <w:p w14:paraId="5CDDE23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73CD35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_Ref202963340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78</w:t>
      </w:r>
      <w:r w:rsidRPr="00215B2F">
        <w:rPr>
          <w:rFonts w:ascii="Arial" w:hAnsi="Arial" w:cs="Arial"/>
          <w:b/>
          <w:bCs/>
          <w:sz w:val="20"/>
          <w:szCs w:val="20"/>
        </w:rPr>
        <w:fldChar w:fldCharType="end"/>
      </w:r>
      <w:r w:rsidRPr="00215B2F">
        <w:rPr>
          <w:rFonts w:ascii="Arial" w:hAnsi="Arial" w:cs="Arial"/>
          <w:b/>
          <w:bCs/>
          <w:sz w:val="20"/>
          <w:szCs w:val="20"/>
        </w:rPr>
        <w:t>. členu (veljavni 65. člen ZBan-3)</w:t>
      </w:r>
    </w:p>
    <w:p w14:paraId="03858023"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33918107" w14:textId="005012DF"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bCs/>
          <w:sz w:val="20"/>
          <w:szCs w:val="20"/>
        </w:rPr>
        <w:t xml:space="preserve">Veljavni ZBan-3 (65. člen) določa, da Banka Slovenije določi podrobnejša pravila za delovanje upravljalnega organa banke in njegovih komisij, vključno z ravnanjem članov, v skladu z najvišjimi etičnimi in strokovnimi standardi ter preprečevanjem nasprotja interesov. Poleg tega predpiše merila in dokumentacijo, ki jih morajo predložiti kandidati za člane uprave in </w:t>
      </w:r>
      <w:r w:rsidR="00354135" w:rsidRPr="00215B2F">
        <w:rPr>
          <w:rFonts w:cs="Arial"/>
          <w:sz w:val="20"/>
          <w:szCs w:val="20"/>
        </w:rPr>
        <w:t>nadzornega sveta</w:t>
      </w:r>
      <w:r w:rsidRPr="00215B2F">
        <w:rPr>
          <w:rFonts w:cs="Arial"/>
          <w:bCs/>
          <w:sz w:val="20"/>
          <w:szCs w:val="20"/>
        </w:rPr>
        <w:t xml:space="preserve"> pri pridobivanju dovoljenja za opravljanje funkcije.</w:t>
      </w:r>
    </w:p>
    <w:p w14:paraId="700FB9DD" w14:textId="77777777" w:rsidR="0010347E" w:rsidRPr="00215B2F" w:rsidRDefault="0010347E" w:rsidP="0010347E">
      <w:pPr>
        <w:pStyle w:val="tevilnatoka"/>
        <w:numPr>
          <w:ilvl w:val="0"/>
          <w:numId w:val="0"/>
        </w:numPr>
        <w:shd w:val="clear" w:color="auto" w:fill="FFFFFF" w:themeFill="background1"/>
        <w:rPr>
          <w:rFonts w:cs="Arial"/>
          <w:bCs/>
          <w:sz w:val="20"/>
          <w:szCs w:val="20"/>
        </w:rPr>
      </w:pPr>
    </w:p>
    <w:p w14:paraId="265A48B3" w14:textId="77777777" w:rsidR="0010347E" w:rsidRPr="00215B2F" w:rsidRDefault="0010347E" w:rsidP="0010347E">
      <w:pPr>
        <w:pStyle w:val="tevilnatoka"/>
        <w:numPr>
          <w:ilvl w:val="0"/>
          <w:numId w:val="0"/>
        </w:numPr>
        <w:shd w:val="clear" w:color="auto" w:fill="FFFFFF" w:themeFill="background1"/>
        <w:rPr>
          <w:rFonts w:cs="Arial"/>
          <w:bCs/>
          <w:sz w:val="20"/>
          <w:szCs w:val="20"/>
        </w:rPr>
      </w:pPr>
    </w:p>
    <w:p w14:paraId="70A3C6C7" w14:textId="77777777"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bCs/>
          <w:sz w:val="20"/>
          <w:szCs w:val="20"/>
        </w:rPr>
        <w:t xml:space="preserve">Z novim četrtim odstavkom (glede na ZBan-3) se določa, da Banka Slovenije predpiše tudi </w:t>
      </w:r>
      <w:r w:rsidRPr="00215B2F">
        <w:rPr>
          <w:rFonts w:eastAsia="Arial" w:cs="Arial"/>
          <w:bCs/>
          <w:sz w:val="20"/>
          <w:szCs w:val="20"/>
        </w:rPr>
        <w:t xml:space="preserve">podrobnejšo vsebino meril za ocenjevanje nosilcev ključnih funkcij banke in podrobnejšo vsebino dokumentacije, ki jo je treba priložiti obvestilu o imenovanju nosilca ključne funkcije v zvezi z izpolnjevanjem pogojev. Gre za prenos četrtega odstavka 91.a člena CRD. </w:t>
      </w:r>
      <w:r w:rsidRPr="00215B2F">
        <w:rPr>
          <w:rFonts w:cs="Arial"/>
          <w:sz w:val="20"/>
          <w:szCs w:val="20"/>
        </w:rPr>
        <w:t xml:space="preserve">V skladu z osmim odstavkom 91.a člena CRD bodo glede meril izdane tudi smernice EBA. </w:t>
      </w:r>
    </w:p>
    <w:p w14:paraId="560DB2A2"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668AD1E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_Ref202963356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79</w:t>
      </w:r>
      <w:r w:rsidRPr="00215B2F">
        <w:rPr>
          <w:rFonts w:ascii="Arial" w:hAnsi="Arial" w:cs="Arial"/>
          <w:b/>
          <w:bCs/>
          <w:sz w:val="20"/>
          <w:szCs w:val="20"/>
        </w:rPr>
        <w:fldChar w:fldCharType="end"/>
      </w:r>
      <w:r w:rsidRPr="00215B2F">
        <w:rPr>
          <w:rFonts w:ascii="Arial" w:hAnsi="Arial" w:cs="Arial"/>
          <w:b/>
          <w:bCs/>
          <w:sz w:val="20"/>
          <w:szCs w:val="20"/>
        </w:rPr>
        <w:t>. členu</w:t>
      </w:r>
    </w:p>
    <w:p w14:paraId="76A2AD8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9E9145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člena se določa, da se določbe o upravljanju bank smiselno uporabljajo tudi za upravljalne organe finančnih in mešanih finančnih holdingov, ki so pridobili dovoljenje po zakonu, razen če zakon določa drugače. Če ima tak holding sedež v drugi državi članici EU, je za oceno primernosti nosilcev ključnih funkcij pristojen nadzorni organ te države. Gre za prenos prvega odstavka 91. člena CRD. </w:t>
      </w:r>
    </w:p>
    <w:p w14:paraId="5DBE8C9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224A37E"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Zahteve glede upravljalnega organa se tako uporabljajo tudi za odobrene (M)FHC. Doslej je zanje veljala ocena primernosti znotraj odobritve, po novem se zahteva ločeno dovoljenje</w:t>
      </w:r>
      <w:r w:rsidRPr="00215B2F">
        <w:rPr>
          <w:rFonts w:cs="Arial"/>
        </w:rPr>
        <w:t>.</w:t>
      </w:r>
    </w:p>
    <w:p w14:paraId="02A117C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91A02A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_Ref202963366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80</w:t>
      </w:r>
      <w:r w:rsidRPr="00215B2F">
        <w:rPr>
          <w:rFonts w:ascii="Arial" w:hAnsi="Arial" w:cs="Arial"/>
          <w:b/>
          <w:bCs/>
          <w:sz w:val="20"/>
          <w:szCs w:val="20"/>
        </w:rPr>
        <w:fldChar w:fldCharType="end"/>
      </w:r>
      <w:r w:rsidRPr="00215B2F">
        <w:rPr>
          <w:rFonts w:ascii="Arial" w:hAnsi="Arial" w:cs="Arial"/>
          <w:b/>
          <w:bCs/>
          <w:sz w:val="20"/>
          <w:szCs w:val="20"/>
        </w:rPr>
        <w:t>. členu (veljavni 66. člen ZBan-3)</w:t>
      </w:r>
    </w:p>
    <w:p w14:paraId="75E3FCC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665863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Večji delež ima posamezni imetnik v banki, večja je njegova možnost vpliva na upravljanje banke. Vsebina delničarskega sporazuma pa je prav dogovor o skupnem upravljanju družbe (banke) in ima na podlagi skupne vsote deležev delničarjev banke, ki dosega ali presega kvalificirani delež v banki, prav tako večjo možnost vpliva na upravljanje banke, kot če bi posamezni imetnik pridobil kvalificirani delež ali enega od nadaljnjih pragov v banki, ki je enak vsoti deležev delničarjev, ki so sklenili delničarski sporazum. Zato je treba delničarski sporazum, na podlagi katerega delničarji banke skupno dosegajo ali presegajo kvalificirani delež v banki (kvalificirani delničarski sporazum), obravnavati enako kot kvalificirano imetništvo posamezne osebe in morajo delničarji pred sklenitvijo takega sporazuma pridobiti dovoljenje Banke Slovenije.</w:t>
      </w:r>
    </w:p>
    <w:p w14:paraId="3FDA7B5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BBA9B83" w14:textId="21A6171E" w:rsidR="0010347E" w:rsidRPr="00215B2F" w:rsidRDefault="0010347E" w:rsidP="0010347E">
      <w:pPr>
        <w:pStyle w:val="Pripombabesedilo"/>
        <w:shd w:val="clear" w:color="auto" w:fill="FFFFFF" w:themeFill="background1"/>
        <w:jc w:val="both"/>
        <w:rPr>
          <w:rFonts w:ascii="Arial" w:hAnsi="Arial" w:cs="Arial"/>
        </w:rPr>
      </w:pPr>
      <w:r w:rsidRPr="00215B2F">
        <w:rPr>
          <w:rFonts w:ascii="Arial" w:hAnsi="Arial" w:cs="Arial"/>
        </w:rPr>
        <w:t xml:space="preserve">V primerjavi z ZBan-3 se dodaja novi drugi odstavek, s katerim se določa, da se </w:t>
      </w:r>
      <w:r w:rsidRPr="00215B2F">
        <w:rPr>
          <w:rFonts w:ascii="Arial" w:eastAsia="Arial" w:hAnsi="Arial" w:cs="Arial"/>
        </w:rPr>
        <w:t>kot delničarski sporazum šteje tudi, kadar neposredni ali posredni imetniki deleža sklepajo sporazume v zvezi z upravljanjem banke ali glede upravljanja banke delujejo usklajeno. Navedena dopolnitev je pomembna</w:t>
      </w:r>
      <w:r w:rsidR="00DC1975" w:rsidRPr="00215B2F">
        <w:rPr>
          <w:rFonts w:ascii="Arial" w:eastAsia="Arial" w:hAnsi="Arial" w:cs="Arial"/>
        </w:rPr>
        <w:t xml:space="preserve"> z namenom</w:t>
      </w:r>
      <w:r w:rsidRPr="00215B2F">
        <w:rPr>
          <w:rFonts w:ascii="Arial" w:hAnsi="Arial" w:cs="Arial"/>
        </w:rPr>
        <w:t>, da lahko usklajeno delujejo tudi posredni kvalificirani imetniki.</w:t>
      </w:r>
    </w:p>
    <w:p w14:paraId="00ECC17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5C5BF2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_Ref202963371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81</w:t>
      </w:r>
      <w:r w:rsidRPr="00215B2F">
        <w:rPr>
          <w:rFonts w:ascii="Arial" w:hAnsi="Arial" w:cs="Arial"/>
          <w:b/>
          <w:bCs/>
          <w:sz w:val="20"/>
          <w:szCs w:val="20"/>
        </w:rPr>
        <w:fldChar w:fldCharType="end"/>
      </w:r>
      <w:r w:rsidRPr="00215B2F">
        <w:rPr>
          <w:rFonts w:ascii="Arial" w:hAnsi="Arial" w:cs="Arial"/>
          <w:b/>
          <w:bCs/>
          <w:sz w:val="20"/>
          <w:szCs w:val="20"/>
        </w:rPr>
        <w:t>. členu (veljavni 67. člen ZBan-3)</w:t>
      </w:r>
    </w:p>
    <w:p w14:paraId="5E43105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DD792EB"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ZBan-3 (67. člen) ureja pridobitev kvalificiranega deleža. Oseba, ki želi pridobiti delnice banke za dosego ali preseganje kvalificiranega deleža (bodoči kvalificirani imetnik), mora pred tem pridobiti dovoljenje za pridobitev kvalificiranega deleža. Enako velja za skupine oseb, ki bodo skupaj dosegle tak delež, in za delničarje, ki že imajo kvalificirani delež in želijo skleniti delničarski sporazum – tudi oni morajo pred sklenitvijo sporazuma pridobiti dovoljenje. Udeleženci takih sporazumov morajo pred </w:t>
      </w:r>
      <w:r w:rsidRPr="00215B2F">
        <w:rPr>
          <w:rFonts w:cs="Arial"/>
          <w:sz w:val="20"/>
          <w:szCs w:val="20"/>
        </w:rPr>
        <w:lastRenderedPageBreak/>
        <w:t>vsakim povečanjem skupnega deleža, ki presega dovoljeni razpon, prav tako pridobiti novo dovoljenje. Pravila veljajo tudi, če k sporazumu pristopi nov član.</w:t>
      </w:r>
    </w:p>
    <w:p w14:paraId="622C1C5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147D65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Če ni dokazano drugače, se kot bodoči skupni kvalificirani imetniki štejejo: člani upravnih ali nadzornih organov v pravnih osebah, kjer opravljajo funkcijo, ožji družinski člani, osebe, ki so na skupščini predlagale in dosegle pomembne sklepe o imenovanju ali odpoklicu članov uprave ali drugih odločitev, sprejetih z visoko večino. Določbe o dovoljenju in pravicah ter obveznostih kvalificiranih imetnikov se uporabljajo tudi za bodoče skupne kvalificirane imetnike in delničarje, ki nameravajo skleniti kvalificirani delničarski sporazum. S členom se prenaša 22. člen </w:t>
      </w:r>
      <w:bookmarkStart w:id="600" w:name="_Toc381959471"/>
      <w:bookmarkStart w:id="601" w:name="_Toc385415913"/>
      <w:bookmarkStart w:id="602" w:name="_Toc398295668"/>
      <w:r w:rsidRPr="00215B2F">
        <w:rPr>
          <w:rFonts w:cs="Arial"/>
          <w:sz w:val="20"/>
          <w:szCs w:val="20"/>
        </w:rPr>
        <w:t>CRD (pridobitev kvalificiranega deleža)</w:t>
      </w:r>
      <w:bookmarkEnd w:id="600"/>
      <w:bookmarkEnd w:id="601"/>
      <w:bookmarkEnd w:id="602"/>
      <w:r w:rsidRPr="00215B2F">
        <w:rPr>
          <w:rFonts w:cs="Arial"/>
          <w:sz w:val="20"/>
          <w:szCs w:val="20"/>
        </w:rPr>
        <w:t xml:space="preserve">. </w:t>
      </w:r>
    </w:p>
    <w:p w14:paraId="4BF6FCA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D46A6B2"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zakona se določba spreminja tako, da je za pridobitev kvalificiranega deleža treba pridobiti odločitev o nenasprotovanju s strani Banke Slovenije (namesto dovoljenja za pridobitev kvalificiranega deleža). </w:t>
      </w:r>
    </w:p>
    <w:p w14:paraId="7A75DE5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6DEB99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S predlogom se obenem nadomešča termin »delnica« s »kvalificiranim deležem«. Kvalificirani delež je v skladu s 36. točko prvega odstavka 4. člena CRR neposredni ali posredni delež v družbi, ki predstavlja 10 % ali več kapitala ali ki omogoča izvajanje pomembnega vpliva na upravljanje zadevne družbe. Sprememba sledi definiciji, v skladu s katero za pridobitev posrednega kvalificiranega deleža ni potrebna pridobitev delnic banke. Namen je zagotoviti večjo jasnost in nedvoumnost določb.</w:t>
      </w:r>
    </w:p>
    <w:p w14:paraId="7982D2E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AE2148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_Ref202963377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82</w:t>
      </w:r>
      <w:r w:rsidRPr="00215B2F">
        <w:rPr>
          <w:rFonts w:ascii="Arial" w:hAnsi="Arial" w:cs="Arial"/>
          <w:b/>
          <w:bCs/>
          <w:sz w:val="20"/>
          <w:szCs w:val="20"/>
        </w:rPr>
        <w:fldChar w:fldCharType="end"/>
      </w:r>
      <w:r w:rsidRPr="00215B2F">
        <w:rPr>
          <w:rFonts w:ascii="Arial" w:hAnsi="Arial" w:cs="Arial"/>
          <w:b/>
          <w:bCs/>
          <w:sz w:val="20"/>
          <w:szCs w:val="20"/>
        </w:rPr>
        <w:t>. členu (veljavni 68. člen ZBan-3)</w:t>
      </w:r>
    </w:p>
    <w:p w14:paraId="3E3B523E"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04CEF961" w14:textId="77777777"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V ZBan-3 (68. člen) je določeno, da mora oseba, ki namerava skleniti podjetniško pogodbo korporacijskega prava ali drug pravni posel, na podlagi katerega bo pridobila položaj nadrejene osebe banke, pred sklenitvijo tega pravnega posla pridobiti dovoljenje za pridobitev kvalificiranega deleža, in sicer ne glede na to, ali je hkrati delničar banke oziroma kakšen delež delnic banke ima.</w:t>
      </w:r>
      <w:r w:rsidRPr="00215B2F">
        <w:rPr>
          <w:rFonts w:ascii="Arial" w:hAnsi="Arial" w:cs="Arial"/>
          <w:sz w:val="20"/>
          <w:szCs w:val="20"/>
        </w:rPr>
        <w:t xml:space="preserve"> S členom se prenaša 14. člen CRD.</w:t>
      </w:r>
    </w:p>
    <w:p w14:paraId="1341C473" w14:textId="77777777"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p>
    <w:p w14:paraId="5D1A2AD2" w14:textId="77777777" w:rsidR="0010347E" w:rsidRPr="00215B2F" w:rsidRDefault="0010347E" w:rsidP="0010347E">
      <w:pPr>
        <w:pStyle w:val="tevilnatoka"/>
        <w:numPr>
          <w:ilvl w:val="0"/>
          <w:numId w:val="0"/>
        </w:numPr>
        <w:shd w:val="clear" w:color="auto" w:fill="FFFFFF" w:themeFill="background1"/>
        <w:rPr>
          <w:rFonts w:cs="Arial"/>
          <w:sz w:val="20"/>
          <w:szCs w:val="20"/>
        </w:rPr>
      </w:pPr>
      <w:r w:rsidRPr="00215B2F">
        <w:rPr>
          <w:rFonts w:cs="Arial"/>
          <w:sz w:val="20"/>
          <w:szCs w:val="20"/>
        </w:rPr>
        <w:t>S predlogom zakona se dikcija »</w:t>
      </w:r>
      <w:r w:rsidRPr="00215B2F">
        <w:rPr>
          <w:rFonts w:eastAsia="Arial" w:cs="Arial"/>
          <w:sz w:val="20"/>
          <w:szCs w:val="20"/>
        </w:rPr>
        <w:t xml:space="preserve">dovoljenje za pridobitev kvalificiranega deleža« nadomešča z dikcijo »odločitev o nenasprotovanju«. </w:t>
      </w:r>
    </w:p>
    <w:p w14:paraId="4FE9993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FA7FED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_Ref202963385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83</w:t>
      </w:r>
      <w:r w:rsidRPr="00215B2F">
        <w:rPr>
          <w:rFonts w:ascii="Arial" w:hAnsi="Arial" w:cs="Arial"/>
          <w:b/>
          <w:bCs/>
          <w:sz w:val="20"/>
          <w:szCs w:val="20"/>
        </w:rPr>
        <w:fldChar w:fldCharType="end"/>
      </w:r>
      <w:r w:rsidRPr="00215B2F">
        <w:rPr>
          <w:rFonts w:ascii="Arial" w:hAnsi="Arial" w:cs="Arial"/>
          <w:b/>
          <w:bCs/>
          <w:sz w:val="20"/>
          <w:szCs w:val="20"/>
        </w:rPr>
        <w:t xml:space="preserve">. do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_Ref203379608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84</w:t>
      </w:r>
      <w:r w:rsidRPr="00215B2F">
        <w:rPr>
          <w:rFonts w:ascii="Arial" w:hAnsi="Arial" w:cs="Arial"/>
          <w:b/>
          <w:bCs/>
          <w:sz w:val="20"/>
          <w:szCs w:val="20"/>
        </w:rPr>
        <w:fldChar w:fldCharType="end"/>
      </w:r>
      <w:r w:rsidRPr="00215B2F">
        <w:rPr>
          <w:rFonts w:ascii="Arial" w:hAnsi="Arial" w:cs="Arial"/>
          <w:b/>
          <w:bCs/>
          <w:sz w:val="20"/>
          <w:szCs w:val="20"/>
        </w:rPr>
        <w:t>. členu (veljavna 69. in 70. člen ZBan-3)</w:t>
      </w:r>
    </w:p>
    <w:p w14:paraId="7AE9585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4EF3608" w14:textId="6595DEAE"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(69. do 70. člen) ni vsebinskih sprememb. S členoma se prenašajo 14., 22. in 27. člen CRD. V skladu z direktivo je treba pri ureditvi ugotavljanja kvalificiranih deležev (smiselno) upoštevati določbe členov Direktive 2004/109/ES. Pri tem je treba upoštevati, da se navedene določbe neposredno uporabljajo za presojo pragov pomembnih deležev po Direktivi 2004/109/ES. Za to presojo je pomemben samo delež glasovalnih pravic v izdajatelju, in ne tudi delež v kapitalu izdajatelja. Za ugotavljanje kvalificiranih deležev po </w:t>
      </w:r>
      <w:r w:rsidR="002D436C" w:rsidRPr="00215B2F">
        <w:rPr>
          <w:rFonts w:ascii="Arial" w:hAnsi="Arial" w:cs="Arial"/>
          <w:sz w:val="20"/>
          <w:szCs w:val="20"/>
        </w:rPr>
        <w:t>Direktivi 2013/36/EU</w:t>
      </w:r>
      <w:r w:rsidRPr="00215B2F">
        <w:rPr>
          <w:rFonts w:ascii="Arial" w:hAnsi="Arial" w:cs="Arial"/>
          <w:sz w:val="20"/>
          <w:szCs w:val="20"/>
        </w:rPr>
        <w:t xml:space="preserve"> pa je pomemben tudi delež v kapitalu banke. Tako se upošteva, da je za kvalificirani delež pomemben tudi delež v kapitalu banke, in ne samo delež v glasovalnih pravicah. </w:t>
      </w:r>
    </w:p>
    <w:p w14:paraId="47F8B9B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637E3F4" w14:textId="7F2CE835" w:rsidR="002D436C" w:rsidRPr="00215B2F" w:rsidRDefault="002D436C" w:rsidP="002D436C">
      <w:pPr>
        <w:pStyle w:val="Odstavek"/>
        <w:shd w:val="clear" w:color="auto" w:fill="FFFFFF" w:themeFill="background1"/>
        <w:spacing w:before="0"/>
        <w:ind w:firstLine="0"/>
        <w:rPr>
          <w:rFonts w:cs="Arial"/>
          <w:sz w:val="20"/>
          <w:szCs w:val="20"/>
        </w:rPr>
      </w:pPr>
      <w:r w:rsidRPr="00215B2F">
        <w:rPr>
          <w:rFonts w:cs="Arial"/>
          <w:sz w:val="20"/>
          <w:szCs w:val="20"/>
        </w:rPr>
        <w:t>V zvezi s tretjim odstavkom velja dodatni izpostaviti, da je določba enaka že od ZBan-2 in v praksi še ni bila uporabljena. Direktiva 2013/36/EU določa, da države članice pri ugotavljanju, ali so merila za kvalificirani delež iz člena 26 izpolnjena, ne upoštevajo glasovalnih pravic ali deležev, ki so jih institucije lahko pridobile z izvedbo storitev prve prodaje finančnih instrumentov ali plasiranja finančnih instrumentov z obveznostjo odkupa iz točke 6 oddelka A Priloge I k Direktivi 2004/39/ES, če se te pravice ne uveljavljajo ali drugače uporabljajo za poseganje v upravljanje izdajatelja in se odsvojijo v enem letu od pridobitve.</w:t>
      </w:r>
    </w:p>
    <w:p w14:paraId="7C72C97C" w14:textId="77777777" w:rsidR="002D436C" w:rsidRPr="00215B2F" w:rsidRDefault="002D436C" w:rsidP="0010347E">
      <w:pPr>
        <w:pStyle w:val="Odstavek"/>
        <w:shd w:val="clear" w:color="auto" w:fill="FFFFFF" w:themeFill="background1"/>
        <w:spacing w:before="0"/>
        <w:ind w:firstLine="0"/>
        <w:rPr>
          <w:rFonts w:cs="Arial"/>
          <w:sz w:val="20"/>
          <w:szCs w:val="20"/>
        </w:rPr>
      </w:pPr>
    </w:p>
    <w:p w14:paraId="2BFA193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_Ref202963453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85</w:t>
      </w:r>
      <w:r w:rsidRPr="00215B2F">
        <w:rPr>
          <w:rFonts w:ascii="Arial" w:hAnsi="Arial" w:cs="Arial"/>
          <w:b/>
          <w:bCs/>
          <w:sz w:val="20"/>
          <w:szCs w:val="20"/>
        </w:rPr>
        <w:fldChar w:fldCharType="end"/>
      </w:r>
      <w:r w:rsidRPr="00215B2F">
        <w:rPr>
          <w:rFonts w:ascii="Arial" w:hAnsi="Arial" w:cs="Arial"/>
          <w:b/>
          <w:bCs/>
          <w:sz w:val="20"/>
          <w:szCs w:val="20"/>
        </w:rPr>
        <w:t>. členu (veljavni 71. člen ZBan-3)</w:t>
      </w:r>
    </w:p>
    <w:p w14:paraId="34A559F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67971E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Zahteva za oceno primernosti za pridobitev kvalificiranega deleža v banki se vloži pri Banki Slovenije in mora vključevati podatke o višini deleža ter dokumentacijo, ki dokazuje izpolnjevanje zakonskih meril. Banka Slovenije po prejemu zahteve izda potrdilo o njeni popolnosti ali nepopolnosti, pri čemer v primeru nepopolnosti zahteva dopolnitev. Po dopolnitvi ponovno izda ustrezno potrdilo. V postopku lahko zahteva dodatne informacije, ki jih mora vložnik predložiti najpozneje do 50. delovnega dne po prejemu potrdila o popolni zahtevi. Po prejemu teh informacij izda potrdilo o njihovem prejemu. Celotno dokumentacijo nato pošlje </w:t>
      </w:r>
      <w:r w:rsidRPr="00215B2F">
        <w:rPr>
          <w:rFonts w:ascii="Arial" w:eastAsia="Arial" w:hAnsi="Arial" w:cs="Arial"/>
          <w:sz w:val="20"/>
          <w:szCs w:val="20"/>
        </w:rPr>
        <w:t>ECB</w:t>
      </w:r>
      <w:r w:rsidRPr="00215B2F">
        <w:rPr>
          <w:rFonts w:ascii="Arial" w:hAnsi="Arial" w:cs="Arial"/>
          <w:sz w:val="20"/>
          <w:szCs w:val="20"/>
        </w:rPr>
        <w:t xml:space="preserve">, ki nadaljuje postopek v skladu z Uredbo 1024/2013/EU. Desetdnevni </w:t>
      </w:r>
      <w:r w:rsidRPr="00215B2F">
        <w:rPr>
          <w:rFonts w:ascii="Arial" w:hAnsi="Arial" w:cs="Arial"/>
          <w:sz w:val="20"/>
          <w:szCs w:val="20"/>
        </w:rPr>
        <w:lastRenderedPageBreak/>
        <w:t xml:space="preserve">roki, ki so povezani z obveznostmi Banke Slovenije (drugi, četrti in šesti odstavek), so povezani s prenosom 22. člena CRD (drugi odstavek). </w:t>
      </w:r>
    </w:p>
    <w:p w14:paraId="3C12CF6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8AC911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_Ref202963462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86</w:t>
      </w:r>
      <w:r w:rsidRPr="00215B2F">
        <w:rPr>
          <w:rFonts w:ascii="Arial" w:hAnsi="Arial" w:cs="Arial"/>
          <w:b/>
          <w:bCs/>
          <w:sz w:val="20"/>
          <w:szCs w:val="20"/>
        </w:rPr>
        <w:fldChar w:fldCharType="end"/>
      </w:r>
      <w:r w:rsidRPr="00215B2F">
        <w:rPr>
          <w:rFonts w:ascii="Arial" w:hAnsi="Arial" w:cs="Arial"/>
          <w:b/>
          <w:bCs/>
          <w:sz w:val="20"/>
          <w:szCs w:val="20"/>
        </w:rPr>
        <w:t>. členu (veljavni 72. člen ZBan-3)</w:t>
      </w:r>
    </w:p>
    <w:p w14:paraId="4F4803CA"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18C638B2" w14:textId="14B4E11A"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S členom</w:t>
      </w:r>
      <w:r w:rsidR="00577C3D" w:rsidRPr="00215B2F">
        <w:rPr>
          <w:rFonts w:ascii="Arial" w:hAnsi="Arial" w:cs="Arial"/>
          <w:sz w:val="20"/>
          <w:szCs w:val="20"/>
        </w:rPr>
        <w:t xml:space="preserve"> se</w:t>
      </w:r>
      <w:r w:rsidRPr="00215B2F">
        <w:rPr>
          <w:rFonts w:ascii="Arial" w:hAnsi="Arial" w:cs="Arial"/>
          <w:sz w:val="20"/>
          <w:szCs w:val="20"/>
        </w:rPr>
        <w:t xml:space="preserve"> prenaša 21.a in 24. člen CRD, ki določa posvetovanje s pristojnimi in nadzornimi organi v primeru presojanja primernosti kvalificiranega imetnika. V primerjavi z ZBan-3 (72. člen) se dikcija »presoja primernosti kvalificiranega imetnika« nadomešča z »ocena primernosti kvalificiranega imetnika«. </w:t>
      </w:r>
    </w:p>
    <w:p w14:paraId="0779D61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817DB0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_Ref202963474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87</w:t>
      </w:r>
      <w:r w:rsidRPr="00215B2F">
        <w:rPr>
          <w:rFonts w:ascii="Arial" w:hAnsi="Arial" w:cs="Arial"/>
          <w:b/>
          <w:bCs/>
          <w:sz w:val="20"/>
          <w:szCs w:val="20"/>
        </w:rPr>
        <w:fldChar w:fldCharType="end"/>
      </w:r>
      <w:r w:rsidRPr="00215B2F">
        <w:rPr>
          <w:rFonts w:ascii="Arial" w:hAnsi="Arial" w:cs="Arial"/>
          <w:b/>
          <w:bCs/>
          <w:sz w:val="20"/>
          <w:szCs w:val="20"/>
        </w:rPr>
        <w:t>. členu (veljavni 73. člen ZBan-3)</w:t>
      </w:r>
    </w:p>
    <w:p w14:paraId="763A296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053456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ZBan-3 (73. člen) določa, da Banka Slovenije pri presoji primernosti bodočega kvalificiranega imetnika deleža v banki oceni njegov ugled, znanje, izkušnje ter finančno trdnost, ob upoštevanju vpliva na upravljanje banke in njeno sposobnost obvladovanja tveganj ter izpolnjevanja zakonskih zahtev. Poleg tega preveri organizacijsko strukturo skupine, ki ji bo banka pripadala, in morebitna tveganja pranja denarja ali financiranja terorizma. Pri tem ne upošteva gospodarskih potreb trga in mora vse kandidature obravnavati enakovredno ter nediskriminatorno. S členom se prenaša 23. člen CRD. </w:t>
      </w:r>
    </w:p>
    <w:p w14:paraId="059AA3B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88668E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zakona se (glede na ZBan-3) dodaja 5. točka prvega odstavka, kjer se kot merilo dodaja tudi obstoj utemeljenih razlogov za sum, (i) </w:t>
      </w:r>
      <w:r w:rsidRPr="00215B2F">
        <w:rPr>
          <w:rFonts w:eastAsia="Arial" w:cs="Arial"/>
          <w:sz w:val="20"/>
          <w:szCs w:val="20"/>
        </w:rPr>
        <w:t xml:space="preserve">da gre ali je šlo v zvezi z nameravano pridobitvijo kvalificiranega deleža, ki je predmet ocene primernosti, za pranje denarja ali financiranje terorizma; (ii) da nameravana pridobitev lahko poveča tveganje za pranje denarja ali financiranje terorizma. Gre za prenos 23. člena CRD (prvi odstavek, točka e). </w:t>
      </w:r>
    </w:p>
    <w:p w14:paraId="7773818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53D959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Dodatno se (glede na ZBan-3) spreminja četrti odstavek tako, da se Banka Slovenije pri oceni primernosti bodočega kvalificiranega imetnika glede tveganja pranja denarja in financiranja terorizma posvetuje z Uradom Republike Slovenije za preprečevanje pranja denarja, upošteva informacije, pridobljene po zakonodaji s tega področja, ter upošteva morebitno negativno mnenje urada, ki ga mora prejeti v 30 dneh od začetka ocenjevanja. </w:t>
      </w:r>
      <w:r w:rsidRPr="00215B2F">
        <w:rPr>
          <w:rFonts w:eastAsia="Arial" w:cs="Arial"/>
          <w:sz w:val="20"/>
          <w:szCs w:val="20"/>
        </w:rPr>
        <w:t>Gre za prenos 23. člena CRD (prvi odstavek, točka e, drugi pododstavek in drugi odstavek).</w:t>
      </w:r>
    </w:p>
    <w:p w14:paraId="46A1023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9DE1C6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_Ref202963485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88</w:t>
      </w:r>
      <w:r w:rsidRPr="00215B2F">
        <w:rPr>
          <w:rFonts w:ascii="Arial" w:hAnsi="Arial" w:cs="Arial"/>
          <w:b/>
          <w:bCs/>
          <w:sz w:val="20"/>
          <w:szCs w:val="20"/>
        </w:rPr>
        <w:fldChar w:fldCharType="end"/>
      </w:r>
      <w:r w:rsidRPr="00215B2F">
        <w:rPr>
          <w:rFonts w:ascii="Arial" w:hAnsi="Arial" w:cs="Arial"/>
          <w:b/>
          <w:bCs/>
          <w:sz w:val="20"/>
          <w:szCs w:val="20"/>
        </w:rPr>
        <w:t>. členu (veljavni 74. člen ZBan-3)</w:t>
      </w:r>
    </w:p>
    <w:p w14:paraId="48F5100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C75EB75" w14:textId="77777777" w:rsidR="0010347E" w:rsidRPr="00215B2F" w:rsidRDefault="0010347E" w:rsidP="0010347E">
      <w:pPr>
        <w:pStyle w:val="tevilnatoka"/>
        <w:numPr>
          <w:ilvl w:val="0"/>
          <w:numId w:val="0"/>
        </w:numPr>
        <w:shd w:val="clear" w:color="auto" w:fill="FFFFFF" w:themeFill="background1"/>
        <w:rPr>
          <w:rFonts w:cs="Arial"/>
          <w:sz w:val="20"/>
          <w:szCs w:val="20"/>
        </w:rPr>
      </w:pPr>
      <w:r w:rsidRPr="00215B2F">
        <w:rPr>
          <w:rFonts w:cs="Arial"/>
          <w:sz w:val="20"/>
          <w:szCs w:val="20"/>
        </w:rPr>
        <w:t>S členom se prilagaja veljavni 74. člen ZBan-3 na način prilagoditve oceni primernosti za pridobitev kvalificiranega deleža (namesto zahtevi za izdajo dovoljenja). S členom se sicer delno prenaša 22. člen CRD.</w:t>
      </w:r>
      <w:bookmarkStart w:id="603" w:name="_Toc381959478"/>
      <w:bookmarkStart w:id="604" w:name="_Toc385415920"/>
      <w:bookmarkStart w:id="605" w:name="_Toc398295675"/>
      <w:r w:rsidRPr="00215B2F">
        <w:rPr>
          <w:rFonts w:cs="Arial"/>
          <w:sz w:val="20"/>
          <w:szCs w:val="20"/>
        </w:rPr>
        <w:t xml:space="preserve"> </w:t>
      </w:r>
      <w:bookmarkEnd w:id="603"/>
      <w:bookmarkEnd w:id="604"/>
      <w:bookmarkEnd w:id="605"/>
      <w:r w:rsidRPr="00215B2F">
        <w:rPr>
          <w:rFonts w:cs="Arial"/>
          <w:sz w:val="20"/>
          <w:szCs w:val="20"/>
        </w:rPr>
        <w:t>Odločitev o primernosti za pridobitev kvalificiranega deleža mora Banka Slovenije izdati v 60 delovnih dneh, pri čemer rok začne teči ob izdaji potrdila o prejemu popolne zahteve. Če potrdilo ni izdano pravočasno, rok začne teči po poteku roka za izdajo potrdila. Rok se začasno ustavi, če Banka Slovenije vložnika pozove, naj se izjavi o razlogih za nasprotovanje, ali zahteva dodatne informacije oziroma dokumente, vendar največ do 20 delovnih dni, razen prve zahteve, ko ustavitev lahko traja do največ 30 delovnih dni, če je bodoči imetnik iz tretje države ali nima statusa kreditne institucije, investicijskega podjetja, upravljavske družbe, kolektivnega naložbenega podjetja, zavarovalnice ali pozavarovalnice.</w:t>
      </w:r>
    </w:p>
    <w:p w14:paraId="52D6E9C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9D458E2" w14:textId="77777777" w:rsidR="0010347E" w:rsidRPr="00215B2F" w:rsidRDefault="0010347E" w:rsidP="0010347E">
      <w:pPr>
        <w:pStyle w:val="Pripombabesedilo"/>
        <w:shd w:val="clear" w:color="auto" w:fill="FFFFFF" w:themeFill="background1"/>
        <w:jc w:val="both"/>
        <w:rPr>
          <w:rFonts w:ascii="Arial" w:hAnsi="Arial" w:cs="Arial"/>
        </w:rPr>
      </w:pPr>
      <w:r w:rsidRPr="00215B2F">
        <w:rPr>
          <w:rFonts w:ascii="Arial" w:hAnsi="Arial" w:cs="Arial"/>
        </w:rPr>
        <w:t xml:space="preserve">V primerjavi z ZBan-3 se v členu dodaja novi šesti odstavek, ki določa, da </w:t>
      </w:r>
      <w:r w:rsidRPr="00215B2F">
        <w:rPr>
          <w:rFonts w:ascii="Arial" w:eastAsia="Arial" w:hAnsi="Arial" w:cs="Arial"/>
        </w:rPr>
        <w:t>če vložnik po izdaji potrdila o popolni vlogi predloži dodatno dokumentacijo, ki pomembno vpliva na oceno primernosti, se takšna dopolnitev šteje kot nova zahteva, ocenjevalno obdobje pa začne teči znova. O tem Banka Slovenije odloči s sklepom.</w:t>
      </w:r>
      <w:r w:rsidRPr="00215B2F">
        <w:rPr>
          <w:rFonts w:ascii="Arial" w:hAnsi="Arial" w:cs="Arial"/>
        </w:rPr>
        <w:t xml:space="preserve"> Dopolnitev sledi praksi ECB, ki je tudi izključno pristojna za sprejetje končne odločitve v postopku glede ocenjevanja primernosti kvalificiranega deleža. V tem primeru za novo vlogo veljajo vse zahteve glede vloge, vključno s potrdilom o (ne)popolni vlogi. Opis vključuje tudi primere, ko je na novo predložena dokumentacija nasprotujoča si. Pri tem velja dodatno pojasniti, da je vlogo z nasprotujočo si dokumentacijo mogoče tudi zavrniti, zato je takšna določba prej v korist vlagateljem. </w:t>
      </w:r>
    </w:p>
    <w:p w14:paraId="02628FC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A3359B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_Ref202963493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89</w:t>
      </w:r>
      <w:r w:rsidRPr="00215B2F">
        <w:rPr>
          <w:rFonts w:ascii="Arial" w:hAnsi="Arial" w:cs="Arial"/>
          <w:b/>
          <w:bCs/>
          <w:sz w:val="20"/>
          <w:szCs w:val="20"/>
        </w:rPr>
        <w:fldChar w:fldCharType="end"/>
      </w:r>
      <w:r w:rsidRPr="00215B2F">
        <w:rPr>
          <w:rFonts w:ascii="Arial" w:hAnsi="Arial" w:cs="Arial"/>
          <w:b/>
          <w:bCs/>
          <w:sz w:val="20"/>
          <w:szCs w:val="20"/>
        </w:rPr>
        <w:t>. členu (veljavni 75. člen ZBan-3)</w:t>
      </w:r>
    </w:p>
    <w:p w14:paraId="3F052B01"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444FA353" w14:textId="77777777" w:rsidR="0010347E" w:rsidRPr="00215B2F" w:rsidRDefault="0010347E" w:rsidP="0010347E">
      <w:pPr>
        <w:pStyle w:val="tevilnatoka"/>
        <w:numPr>
          <w:ilvl w:val="0"/>
          <w:numId w:val="0"/>
        </w:numPr>
        <w:shd w:val="clear" w:color="auto" w:fill="FFFFFF" w:themeFill="background1"/>
        <w:rPr>
          <w:rFonts w:cs="Arial"/>
          <w:sz w:val="20"/>
          <w:szCs w:val="20"/>
        </w:rPr>
      </w:pPr>
      <w:r w:rsidRPr="00215B2F">
        <w:rPr>
          <w:rFonts w:cs="Arial"/>
          <w:sz w:val="20"/>
          <w:szCs w:val="20"/>
        </w:rPr>
        <w:t xml:space="preserve">S členom se prilagaja veljavni 75. člen ZBan-3 na način prilagoditve razlogom za nenasprotovanje pridobitvi kvalificiranega deleža (namesto za zavrnitev zahteve za izdajo dovoljenja za pridobitev kvalificiranega deleža). Pridobitvi kvalificiranega deleža se nasprotuje, če bodoči imetnik ne ustreza zakonskim merilom, če bi zaradi njegove pridobitve banka ogrozila sposobnost upravljanja tveganj, </w:t>
      </w:r>
      <w:r w:rsidRPr="00215B2F">
        <w:rPr>
          <w:rFonts w:cs="Arial"/>
          <w:sz w:val="20"/>
          <w:szCs w:val="20"/>
        </w:rPr>
        <w:lastRenderedPageBreak/>
        <w:t xml:space="preserve">izvajanje učinkovitega nadzora ali izmenjavo informacij med nadzornimi organi. Prav tako, če obstaja utemeljeni sum pranja denarja, financiranja terorizma ali povečanega tveganja za to, predvsem pri imetnikih iz tretjih držav z visokim tveganjem ali omejitvami Unije, ali če bodoči imetnik ne predloži zahtevanih dokumentov v določenem roku. Negativne informacije ali mnenja o imetniku lahko prav tako vodijo do nasprotovanja pridobitvi deleža. S členom se delno prenaša 23. člen CRD. </w:t>
      </w:r>
    </w:p>
    <w:p w14:paraId="3E39787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DCEB0B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_Ref202963500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90</w:t>
      </w:r>
      <w:r w:rsidRPr="00215B2F">
        <w:rPr>
          <w:rFonts w:ascii="Arial" w:hAnsi="Arial" w:cs="Arial"/>
          <w:b/>
          <w:bCs/>
          <w:sz w:val="20"/>
          <w:szCs w:val="20"/>
        </w:rPr>
        <w:fldChar w:fldCharType="end"/>
      </w:r>
      <w:r w:rsidRPr="00215B2F">
        <w:rPr>
          <w:rFonts w:ascii="Arial" w:hAnsi="Arial" w:cs="Arial"/>
          <w:b/>
          <w:bCs/>
          <w:sz w:val="20"/>
          <w:szCs w:val="20"/>
        </w:rPr>
        <w:t>. členu (veljavni 76. člen ZBan-3)</w:t>
      </w:r>
    </w:p>
    <w:p w14:paraId="3D5D32C5" w14:textId="77777777" w:rsidR="0010347E" w:rsidRPr="00215B2F" w:rsidRDefault="0010347E" w:rsidP="0010347E">
      <w:pPr>
        <w:pStyle w:val="Odstavek"/>
        <w:shd w:val="clear" w:color="auto" w:fill="FFFFFF" w:themeFill="background1"/>
        <w:spacing w:before="0"/>
        <w:ind w:firstLine="0"/>
        <w:rPr>
          <w:rFonts w:cs="Arial"/>
          <w:b/>
          <w:sz w:val="20"/>
          <w:szCs w:val="20"/>
        </w:rPr>
      </w:pPr>
    </w:p>
    <w:p w14:paraId="3B717972" w14:textId="4A94F166"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členom se prilagaja veljavni 76. člen ZBan-3 na način prilagoditve odločitvi o oceni primernosti za pridobitev kvalificiranega deleža (namesto odločitvi o zahtevi za izdajo dovoljenja za kvalificirani delež). Odločitev o primernosti za pridobitev kvalificiranega deleža se izda kot odločitev o nenasprotovanju ali nasprotovanju in mora vsebovati utemeljitev morebitnih pomislekov pristojnih organov. Pisni odpravek te odločitve se izda najpozneje v dveh delovnih dneh po odločitvi in do poteka zakonsko določenega roka. Če pisni odpravek ni izdan pravočasno, se šteje, da je odločitev o nenasprotovanju izdana samodejno z iztekom roka. Na zahtevo vložnika se na javnih spletnih straneh objavi izvleček odločitve o nasprotovanju </w:t>
      </w:r>
      <w:r w:rsidRPr="00215B2F">
        <w:rPr>
          <w:rFonts w:eastAsia="Arial" w:cs="Arial"/>
          <w:sz w:val="20"/>
          <w:szCs w:val="20"/>
        </w:rPr>
        <w:t>ECB</w:t>
      </w:r>
      <w:r w:rsidRPr="00215B2F">
        <w:rPr>
          <w:rFonts w:cs="Arial"/>
          <w:sz w:val="20"/>
          <w:szCs w:val="20"/>
        </w:rPr>
        <w:t xml:space="preserve">, ki ne vsebuje zaupnih informacij. S členom </w:t>
      </w:r>
      <w:r w:rsidR="00877ABE" w:rsidRPr="00215B2F">
        <w:rPr>
          <w:rFonts w:cs="Arial"/>
          <w:sz w:val="20"/>
          <w:szCs w:val="20"/>
        </w:rPr>
        <w:t xml:space="preserve">se </w:t>
      </w:r>
      <w:r w:rsidRPr="00215B2F">
        <w:rPr>
          <w:rFonts w:cs="Arial"/>
          <w:sz w:val="20"/>
          <w:szCs w:val="20"/>
        </w:rPr>
        <w:t xml:space="preserve">obenem s četrtim odstavkom prenaša 22. člen CRD (peti odstavek). </w:t>
      </w:r>
    </w:p>
    <w:p w14:paraId="0B4CE80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06D1CD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_Ref202963506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91</w:t>
      </w:r>
      <w:r w:rsidRPr="00215B2F">
        <w:rPr>
          <w:rFonts w:ascii="Arial" w:hAnsi="Arial" w:cs="Arial"/>
          <w:b/>
          <w:bCs/>
          <w:sz w:val="20"/>
          <w:szCs w:val="20"/>
        </w:rPr>
        <w:fldChar w:fldCharType="end"/>
      </w:r>
      <w:r w:rsidRPr="00215B2F">
        <w:rPr>
          <w:rFonts w:ascii="Arial" w:hAnsi="Arial" w:cs="Arial"/>
          <w:b/>
          <w:bCs/>
          <w:sz w:val="20"/>
          <w:szCs w:val="20"/>
        </w:rPr>
        <w:t>. členu (veljavni 77. člen ZBan-3)</w:t>
      </w:r>
    </w:p>
    <w:p w14:paraId="14F76F72" w14:textId="77777777" w:rsidR="0010347E" w:rsidRPr="00215B2F" w:rsidRDefault="0010347E" w:rsidP="0010347E">
      <w:pPr>
        <w:pStyle w:val="len"/>
        <w:shd w:val="clear" w:color="auto" w:fill="FFFFFF" w:themeFill="background1"/>
        <w:spacing w:before="0"/>
        <w:jc w:val="both"/>
        <w:rPr>
          <w:b w:val="0"/>
          <w:sz w:val="20"/>
          <w:szCs w:val="20"/>
        </w:rPr>
      </w:pPr>
    </w:p>
    <w:p w14:paraId="737B2301" w14:textId="77777777" w:rsidR="0010347E" w:rsidRPr="00215B2F" w:rsidRDefault="0010347E" w:rsidP="0010347E">
      <w:pPr>
        <w:pStyle w:val="len"/>
        <w:shd w:val="clear" w:color="auto" w:fill="FFFFFF" w:themeFill="background1"/>
        <w:spacing w:before="0"/>
        <w:jc w:val="both"/>
        <w:rPr>
          <w:b w:val="0"/>
          <w:bCs/>
          <w:sz w:val="20"/>
          <w:szCs w:val="20"/>
        </w:rPr>
      </w:pPr>
      <w:r w:rsidRPr="00215B2F">
        <w:rPr>
          <w:b w:val="0"/>
          <w:bCs/>
          <w:sz w:val="20"/>
          <w:szCs w:val="20"/>
        </w:rPr>
        <w:t>S členom se prilagaja veljavni 77. člen ZBan-3 na način prilagoditve odločitvi o nenasprotovanju (namesto dovoljenja za pridobitev kvalificiranega deleža). S členom se delno prenaša 22. člen CRD. Odločitev o nenasprotovanju določa natančni razpon deleža glasovalnih pravic ali kapitala banke, ki ga lahko pridobi kvalificirani imetnik, razdeljen v pet skupin glede na velikost deleža. Pred vsako nadaljnjo pridobitvijo, ki bi presegla že odobreni razpon, mora imetnik pridobiti novo odločitev o nenasprotovanju za višji razpon. Enako velja za skupne kvalificirane imetnike, ki morajo pred povečanjem skupnega deleža na prej odobreni razpon prav tako pridobiti novo odločitev o nenasprotovanju.</w:t>
      </w:r>
    </w:p>
    <w:p w14:paraId="55FADF37" w14:textId="77777777" w:rsidR="0010347E" w:rsidRPr="00215B2F" w:rsidRDefault="0010347E" w:rsidP="0010347E">
      <w:pPr>
        <w:pStyle w:val="len"/>
        <w:shd w:val="clear" w:color="auto" w:fill="FFFFFF" w:themeFill="background1"/>
        <w:spacing w:before="0"/>
        <w:jc w:val="both"/>
        <w:rPr>
          <w:b w:val="0"/>
          <w:sz w:val="20"/>
          <w:szCs w:val="20"/>
        </w:rPr>
      </w:pPr>
    </w:p>
    <w:p w14:paraId="1452129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_Ref202963515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92</w:t>
      </w:r>
      <w:r w:rsidRPr="00215B2F">
        <w:rPr>
          <w:rFonts w:ascii="Arial" w:hAnsi="Arial" w:cs="Arial"/>
          <w:b/>
          <w:bCs/>
          <w:sz w:val="20"/>
          <w:szCs w:val="20"/>
        </w:rPr>
        <w:fldChar w:fldCharType="end"/>
      </w:r>
      <w:r w:rsidRPr="00215B2F">
        <w:rPr>
          <w:rFonts w:ascii="Arial" w:hAnsi="Arial" w:cs="Arial"/>
          <w:b/>
          <w:bCs/>
          <w:sz w:val="20"/>
          <w:szCs w:val="20"/>
        </w:rPr>
        <w:t>. členu (veljavni 78. člen ZBan-3)</w:t>
      </w:r>
    </w:p>
    <w:p w14:paraId="2B9F8A30"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228525C9" w14:textId="77777777" w:rsidR="0010347E" w:rsidRPr="00215B2F" w:rsidRDefault="0010347E" w:rsidP="0010347E">
      <w:pPr>
        <w:pStyle w:val="tevilnatoka"/>
        <w:numPr>
          <w:ilvl w:val="0"/>
          <w:numId w:val="0"/>
        </w:numPr>
        <w:shd w:val="clear" w:color="auto" w:fill="FFFFFF" w:themeFill="background1"/>
        <w:rPr>
          <w:rFonts w:cs="Arial"/>
          <w:sz w:val="20"/>
          <w:szCs w:val="20"/>
        </w:rPr>
      </w:pPr>
      <w:r w:rsidRPr="00215B2F">
        <w:rPr>
          <w:rFonts w:cs="Arial"/>
          <w:sz w:val="20"/>
          <w:szCs w:val="20"/>
        </w:rPr>
        <w:t xml:space="preserve">S členom se prilagaja veljavni 78. člen ZBan-3 na način prilagoditve prenehanju veljavnosti odločitve o nenasprotovanju (namesto prenehanja veljavnosti dovoljenja za pridobitev kvalificiranega deleža). S členom se delno prenaša 22. člen CRD. Z odločbo o nenasprotovanju lahko Banka Slovenije naloži kvalificiranemu imetniku, da mora v določenem roku pridobiti delež banke, ki ustreza odobrenemu razponu. Na podlagi utemeljene zahteve imetnika se lahko ta rok podaljša za največ šest mesecev, pri čemer mora biti prošnja za podaljšanje vložena vsaj dva meseca pred iztekom prvotnega roka. Dodatno velja pojasniti, da se rok (v prvem odstavku), ki ga določi Banka Slovenije, prilagaja praksi ECB, ki kot najdaljši rok za pridobitev določi šest mesecev. </w:t>
      </w:r>
    </w:p>
    <w:p w14:paraId="69075B6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A4A278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_Ref202963522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93</w:t>
      </w:r>
      <w:r w:rsidRPr="00215B2F">
        <w:rPr>
          <w:rFonts w:ascii="Arial" w:hAnsi="Arial" w:cs="Arial"/>
          <w:b/>
          <w:bCs/>
          <w:sz w:val="20"/>
          <w:szCs w:val="20"/>
        </w:rPr>
        <w:fldChar w:fldCharType="end"/>
      </w:r>
      <w:r w:rsidRPr="00215B2F">
        <w:rPr>
          <w:rFonts w:ascii="Arial" w:hAnsi="Arial" w:cs="Arial"/>
          <w:b/>
          <w:bCs/>
          <w:sz w:val="20"/>
          <w:szCs w:val="20"/>
        </w:rPr>
        <w:t>. členu (veljavni 79. člen ZBan-3)</w:t>
      </w:r>
    </w:p>
    <w:p w14:paraId="69DC41B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1D1B5C3" w14:textId="77777777" w:rsidR="0010347E" w:rsidRPr="00215B2F" w:rsidRDefault="0010347E" w:rsidP="0010347E">
      <w:pPr>
        <w:pStyle w:val="Slog1"/>
        <w:shd w:val="clear" w:color="auto" w:fill="FFFFFF" w:themeFill="background1"/>
        <w:jc w:val="both"/>
        <w:rPr>
          <w:b w:val="0"/>
          <w:bCs w:val="0"/>
          <w:sz w:val="20"/>
          <w:szCs w:val="20"/>
        </w:rPr>
      </w:pPr>
      <w:r w:rsidRPr="00215B2F">
        <w:rPr>
          <w:b w:val="0"/>
          <w:bCs w:val="0"/>
          <w:sz w:val="20"/>
          <w:szCs w:val="20"/>
        </w:rPr>
        <w:t>S členom se prilagaja veljavni 79. člen ZBan-3 na način prilagoditve prenehanja veljavnosti odločitve o nenasprotovanju (namesto prenehanja veljavnosti dovoljenja za pridobitev kvalificiranega deleža). S členom se prenaša 25. člen CRD. Če bodoči kvalificirani imetnik ne pridobi zahtevanega deleža banke v določenem roku, odločitev o nenasprotovanju v celoti preneha veljati. Če imetnik doseže kvalificirani delež, vendar ne celotnega odobrenega razpona, odločitev preneha veljati za presežek. Če po pridobitvi deleža imetnik zmanjša svoj delež pod odobreni razpon, odločitev preneha veljati za presežni del. Enako velja tudi ob zmanjšanju deleža zaradi povečanja kapitala ali drugih korporacijskih dejanj. Banka Slovenije o prenehanju ali delnem prenehanju veljavnosti odločitve javnost obvesti na spletni strani.</w:t>
      </w:r>
    </w:p>
    <w:p w14:paraId="2536E11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56614B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_Ref202963529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94</w:t>
      </w:r>
      <w:r w:rsidRPr="00215B2F">
        <w:rPr>
          <w:rFonts w:ascii="Arial" w:hAnsi="Arial" w:cs="Arial"/>
          <w:b/>
          <w:bCs/>
          <w:sz w:val="20"/>
          <w:szCs w:val="20"/>
        </w:rPr>
        <w:fldChar w:fldCharType="end"/>
      </w:r>
      <w:r w:rsidRPr="00215B2F">
        <w:rPr>
          <w:rFonts w:ascii="Arial" w:hAnsi="Arial" w:cs="Arial"/>
          <w:b/>
          <w:bCs/>
          <w:sz w:val="20"/>
          <w:szCs w:val="20"/>
        </w:rPr>
        <w:t>. členu (veljavni 80. člen ZBan-3)</w:t>
      </w:r>
    </w:p>
    <w:p w14:paraId="783640E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465624B"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členom se prilagaja veljavni 80. člen ZBan-3 na način prilagoditve predhodnim spremembam členov. S členom se prenašata 26. in 66. člen CRD. Neupravičeni imetnik delnic banke, ki nima veljavne odločitve o nenasprotovanju, nima pravice do glasovanja iz teh delnic. Če presega kvalificirani delež brez dovoljenja, se število glasovalnih pravic zmanjša tako, da je za eno delnico manj od kvalificiranega deleža oziroma omejeno na zgornjo mejo razpona, če presega dovoljeni razpon. Glasovalne pravice, ki jih neupravičeni imetnik ne sme uporabljati, se prerazporedijo med druge delničarje sorazmerno z njihovo udeležbo. Banka mora neupravičenemu imetniku preprečiti uresničevanje teh glasovalnih </w:t>
      </w:r>
      <w:r w:rsidRPr="00215B2F">
        <w:rPr>
          <w:rFonts w:cs="Arial"/>
          <w:sz w:val="20"/>
          <w:szCs w:val="20"/>
        </w:rPr>
        <w:lastRenderedPageBreak/>
        <w:t>pravic. Ta pravila veljajo tudi, če se delež poveča zaradi korporacijskih dejanj, pri čemer rok za oceno primernosti začne teči od trenutka, ko imetnik izve za povečanje deleža.</w:t>
      </w:r>
    </w:p>
    <w:p w14:paraId="5078B8E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2595D37" w14:textId="77777777" w:rsidR="0010347E" w:rsidRPr="00215B2F" w:rsidRDefault="0010347E" w:rsidP="0010347E">
      <w:pPr>
        <w:pStyle w:val="Pripombabesedilo"/>
        <w:shd w:val="clear" w:color="auto" w:fill="FFFFFF" w:themeFill="background1"/>
        <w:jc w:val="both"/>
        <w:rPr>
          <w:rFonts w:ascii="Arial" w:hAnsi="Arial" w:cs="Arial"/>
        </w:rPr>
      </w:pPr>
      <w:r w:rsidRPr="00215B2F">
        <w:rPr>
          <w:rFonts w:ascii="Arial" w:hAnsi="Arial" w:cs="Arial"/>
        </w:rPr>
        <w:t xml:space="preserve">Dodatno velja opozoriti, da je bil (glede na ZBan-3) črtan četrti odstavek. Določba se je v praksi pokazala za nesorazmerno, zlasti v razmerju do posrednih kvalificiranih imetnikov, tudi ob upoštevanju prakse ECB in sodbe Berlusconi, da je treba spremembe obravnavati v okviru vpliva na upravljanje banke. </w:t>
      </w:r>
    </w:p>
    <w:p w14:paraId="7959D9C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704761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_Ref202963545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95</w:t>
      </w:r>
      <w:r w:rsidRPr="00215B2F">
        <w:rPr>
          <w:rFonts w:ascii="Arial" w:hAnsi="Arial" w:cs="Arial"/>
          <w:b/>
          <w:bCs/>
          <w:sz w:val="20"/>
          <w:szCs w:val="20"/>
        </w:rPr>
        <w:fldChar w:fldCharType="end"/>
      </w:r>
      <w:r w:rsidRPr="00215B2F">
        <w:rPr>
          <w:rFonts w:ascii="Arial" w:hAnsi="Arial" w:cs="Arial"/>
          <w:b/>
          <w:bCs/>
          <w:sz w:val="20"/>
          <w:szCs w:val="20"/>
        </w:rPr>
        <w:t>. členu (veljavni 81. člen ZBan-3)</w:t>
      </w:r>
    </w:p>
    <w:p w14:paraId="51343A0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BA33CA4"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S členom se prilagaja veljavni 81. člen ZBan-3 na način prilagoditve predhodnim spremembam členov. S členom se prenašata 25. in 26. člen CRD. Banka mora takoj obvestiti Banko Slovenije o spremembah, ki vplivajo na kvalificirane deleže delničarjev, kot je preseganje meje kvalificiranega deleža ali določenega razpona ali padec pod tako mejo ali razpon, in o dogovorih ali okoliščinah, ki bi lahko ogrozile sposobnost banke za upravljanje tveganj ter izpolnjevanje zakonskih zahtev. Banke, s katerih delnicami se javno trguje, morajo vsaj enkrat letno sporočiti podatke o kvalificiranih imetnikih in njihovih deležih. Kvalificirani imetniki z veljavno odločbo morajo predhodno obvestiti Banko Slovenije, če nameravajo zmanjšati svoj delež pod določeno mejo, prav tako pa morajo sporočiti združitve, delitve ali druge spremembe, ki lahko vplivajo na njihovo primernost. Nadrejeni finančni holdingi morajo Banko Slovenije obvestiti tudi o spremembah v upravljalnem organu.</w:t>
      </w:r>
    </w:p>
    <w:p w14:paraId="205A437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1DABE3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_Ref202963555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96</w:t>
      </w:r>
      <w:r w:rsidRPr="00215B2F">
        <w:rPr>
          <w:rFonts w:ascii="Arial" w:hAnsi="Arial" w:cs="Arial"/>
          <w:b/>
          <w:bCs/>
          <w:sz w:val="20"/>
          <w:szCs w:val="20"/>
        </w:rPr>
        <w:fldChar w:fldCharType="end"/>
      </w:r>
      <w:r w:rsidRPr="00215B2F">
        <w:rPr>
          <w:rFonts w:ascii="Arial" w:hAnsi="Arial" w:cs="Arial"/>
          <w:b/>
          <w:bCs/>
          <w:sz w:val="20"/>
          <w:szCs w:val="20"/>
        </w:rPr>
        <w:t>. členu (veljavni 82. člen ZBan-3)</w:t>
      </w:r>
    </w:p>
    <w:p w14:paraId="7FC00E3B"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05EEEDDD" w14:textId="432998D0"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členom se določa, da Banka Slovenije predpiše podrobnejše predpise o kvalificiranih imetnikih. V primerjavi z ZBan-3 (82. člen) se dikcija »izdaja dovoljenja za pridobitev kvalificiranega deleža« </w:t>
      </w:r>
      <w:r w:rsidR="00DA284A" w:rsidRPr="00215B2F">
        <w:rPr>
          <w:rFonts w:cs="Arial"/>
          <w:sz w:val="20"/>
          <w:szCs w:val="20"/>
        </w:rPr>
        <w:t xml:space="preserve">nadomesti </w:t>
      </w:r>
      <w:r w:rsidRPr="00215B2F">
        <w:rPr>
          <w:rFonts w:cs="Arial"/>
          <w:sz w:val="20"/>
          <w:szCs w:val="20"/>
        </w:rPr>
        <w:t>z »ocena primernosti«.</w:t>
      </w:r>
    </w:p>
    <w:p w14:paraId="3A27F7A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A54764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_Ref202963571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97</w:t>
      </w:r>
      <w:r w:rsidRPr="00215B2F">
        <w:rPr>
          <w:rFonts w:ascii="Arial" w:hAnsi="Arial" w:cs="Arial"/>
          <w:b/>
          <w:bCs/>
          <w:sz w:val="20"/>
          <w:szCs w:val="20"/>
        </w:rPr>
        <w:fldChar w:fldCharType="end"/>
      </w:r>
      <w:r w:rsidRPr="00215B2F">
        <w:rPr>
          <w:rFonts w:ascii="Arial" w:hAnsi="Arial" w:cs="Arial"/>
          <w:b/>
          <w:bCs/>
          <w:sz w:val="20"/>
          <w:szCs w:val="20"/>
        </w:rPr>
        <w:t>. členu</w:t>
      </w:r>
    </w:p>
    <w:p w14:paraId="0549FC2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25C0C4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S členom se prenaša 27.h člen CRD. V členu so opredeljeni ključni izrazi, povezani z združitvami in delitvami družb, v katerih sodelujejo banke ali drugi finančni deležniki. </w:t>
      </w:r>
      <w:r w:rsidRPr="00215B2F">
        <w:rPr>
          <w:rFonts w:cs="Arial"/>
          <w:b/>
          <w:bCs/>
          <w:sz w:val="20"/>
          <w:szCs w:val="20"/>
        </w:rPr>
        <w:t>Združitev</w:t>
      </w:r>
      <w:r w:rsidRPr="00215B2F">
        <w:rPr>
          <w:rFonts w:cs="Arial"/>
          <w:sz w:val="20"/>
          <w:szCs w:val="20"/>
        </w:rPr>
        <w:t> pomeni prenos vseh ali dela sredstev in obveznosti ene ali več družb na drugo obstoječo ali novo družbo, pri čemer se družbenikom izdajajo deleži ali vrednostni papirji, lahko tudi z manjšim denarnim plačilom. </w:t>
      </w:r>
      <w:r w:rsidRPr="00215B2F">
        <w:rPr>
          <w:rFonts w:cs="Arial"/>
          <w:b/>
          <w:bCs/>
          <w:sz w:val="20"/>
          <w:szCs w:val="20"/>
        </w:rPr>
        <w:t>Delitev</w:t>
      </w:r>
      <w:r w:rsidRPr="00215B2F">
        <w:rPr>
          <w:rFonts w:cs="Arial"/>
          <w:sz w:val="20"/>
          <w:szCs w:val="20"/>
        </w:rPr>
        <w:t> pa pomeni prenos vseh ali dela sredstev in obveznosti ene družbe na več družb, pri čemer se deleži izdajo delničarjem razdeljene družbe ali razdeljeni družbi sami. Posebej sta opredeljena tudi izraz </w:t>
      </w:r>
      <w:r w:rsidRPr="00215B2F">
        <w:rPr>
          <w:rFonts w:cs="Arial"/>
          <w:b/>
          <w:bCs/>
          <w:sz w:val="20"/>
          <w:szCs w:val="20"/>
        </w:rPr>
        <w:t>finančni deležnik</w:t>
      </w:r>
      <w:r w:rsidRPr="00215B2F">
        <w:rPr>
          <w:rFonts w:cs="Arial"/>
          <w:sz w:val="20"/>
          <w:szCs w:val="20"/>
        </w:rPr>
        <w:t xml:space="preserve">, ki vključuje banke ter finančne in mešane finančne holdinge, ter izraz </w:t>
      </w:r>
      <w:r w:rsidRPr="00215B2F">
        <w:rPr>
          <w:rFonts w:cs="Arial"/>
          <w:b/>
          <w:bCs/>
          <w:sz w:val="20"/>
          <w:szCs w:val="20"/>
        </w:rPr>
        <w:t>nameravani posel</w:t>
      </w:r>
      <w:r w:rsidRPr="00215B2F">
        <w:rPr>
          <w:rFonts w:cs="Arial"/>
          <w:sz w:val="20"/>
          <w:szCs w:val="20"/>
        </w:rPr>
        <w:t xml:space="preserve">, ki pomeni vsako združitev ali delitev, v katero je vključen finančni deležnik. </w:t>
      </w:r>
    </w:p>
    <w:p w14:paraId="2050205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CF67371" w14:textId="336AC858"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Določbe tega poglavja ne posegajo v uporabo drugih predpisov, kot so Uredba Sveta (ES) št. 139/2024, Zakon o gospodarskih družbah in Direktiva 2013/1132/EU. Prav tako se ne uporabljajo za združitve in delitve, ki izhajajo iz zakon</w:t>
      </w:r>
      <w:r w:rsidR="009B1B04" w:rsidRPr="00215B2F">
        <w:rPr>
          <w:rFonts w:cs="Arial"/>
          <w:sz w:val="20"/>
          <w:szCs w:val="20"/>
        </w:rPr>
        <w:t>a, ki ureja reševanje</w:t>
      </w:r>
      <w:r w:rsidRPr="00215B2F">
        <w:rPr>
          <w:rFonts w:cs="Arial"/>
          <w:sz w:val="20"/>
          <w:szCs w:val="20"/>
        </w:rPr>
        <w:t xml:space="preserve"> in prisiln</w:t>
      </w:r>
      <w:r w:rsidR="009B1B04" w:rsidRPr="00215B2F">
        <w:rPr>
          <w:rFonts w:cs="Arial"/>
          <w:sz w:val="20"/>
          <w:szCs w:val="20"/>
        </w:rPr>
        <w:t>o</w:t>
      </w:r>
      <w:r w:rsidRPr="00215B2F">
        <w:rPr>
          <w:rFonts w:cs="Arial"/>
          <w:sz w:val="20"/>
          <w:szCs w:val="20"/>
        </w:rPr>
        <w:t xml:space="preserve"> prenehanj</w:t>
      </w:r>
      <w:r w:rsidR="009B1B04" w:rsidRPr="00215B2F">
        <w:rPr>
          <w:rFonts w:cs="Arial"/>
          <w:sz w:val="20"/>
          <w:szCs w:val="20"/>
        </w:rPr>
        <w:t>e</w:t>
      </w:r>
      <w:r w:rsidRPr="00215B2F">
        <w:rPr>
          <w:rFonts w:cs="Arial"/>
          <w:sz w:val="20"/>
          <w:szCs w:val="20"/>
        </w:rPr>
        <w:t xml:space="preserve"> bank oziroma Direktive 2014/59/EU.</w:t>
      </w:r>
    </w:p>
    <w:p w14:paraId="55B796D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F23437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_Ref202963583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98</w:t>
      </w:r>
      <w:r w:rsidRPr="00215B2F">
        <w:rPr>
          <w:rFonts w:ascii="Arial" w:hAnsi="Arial" w:cs="Arial"/>
          <w:b/>
          <w:bCs/>
          <w:sz w:val="20"/>
          <w:szCs w:val="20"/>
        </w:rPr>
        <w:fldChar w:fldCharType="end"/>
      </w:r>
      <w:r w:rsidRPr="00215B2F">
        <w:rPr>
          <w:rFonts w:ascii="Arial" w:hAnsi="Arial" w:cs="Arial"/>
          <w:b/>
          <w:bCs/>
          <w:sz w:val="20"/>
          <w:szCs w:val="20"/>
        </w:rPr>
        <w:t>. členu</w:t>
      </w:r>
    </w:p>
    <w:p w14:paraId="06E052B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6D24E0F"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Finančni deležnik, ki namerava izvesti združitev ali delitev, pri kateri bo po izvedbi nadzor nad subjektom izvajala Banka Slovenije oziroma je že pristojna za nadzor, mora po sprejetju osnutka pogojev posla in pred njegovo izvedbo pri Banki Slovenije vložiti zahtevo za oceno združitve ali delitve ter pridobiti njeno pozitivno mnenje. Nameravani posel se ne sme izvesti, dokler Banka Slovenije tega mnenja ne izda. S členom se prenaša 27.i člen CRD.</w:t>
      </w:r>
    </w:p>
    <w:p w14:paraId="2D0980E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0A2BD2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_Ref202963593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99</w:t>
      </w:r>
      <w:r w:rsidRPr="00215B2F">
        <w:rPr>
          <w:rFonts w:ascii="Arial" w:hAnsi="Arial" w:cs="Arial"/>
          <w:b/>
          <w:bCs/>
          <w:sz w:val="20"/>
          <w:szCs w:val="20"/>
        </w:rPr>
        <w:fldChar w:fldCharType="end"/>
      </w:r>
      <w:r w:rsidRPr="00215B2F">
        <w:rPr>
          <w:rFonts w:ascii="Arial" w:hAnsi="Arial" w:cs="Arial"/>
          <w:b/>
          <w:bCs/>
          <w:sz w:val="20"/>
          <w:szCs w:val="20"/>
        </w:rPr>
        <w:t>. členu</w:t>
      </w:r>
    </w:p>
    <w:p w14:paraId="5E3FC44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F59D7B2"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Predlog člena določa postopek in roke za oceno združitve ali delitve finančnih deležnikov s strani Banke Slovenije. Vloga za oceno mora vsebovati informacije o udeleženih subjektih ter dokazila o izpolnjevanju zakonskih meril. Banka Slovenije mora v desetih delovnih dneh izdati potrdilo o popolnosti ali nepopolnosti vloge. V primeru zadnje navedene izda sklep o odpravi pomanjkljivosti. Po dopolnitvi vloge ponovno presodi njeno popolnost in ustrezno izda novo potrdilo. Poleg tega lahko Banka Slovenije v postopku dodatno zahteva informacije, pri čemer za povezane subjekte iz iste skupine velja najdaljši rok 50 delovnih dni v ocenjevalnem obdobju. Po prejemu dodatnih informacij izda potrdilo o njihovem prejemu v desetih delovnih dneh. Gre za prenos 27.i člena CRD. </w:t>
      </w:r>
    </w:p>
    <w:p w14:paraId="44B4A3D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0FDBF8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_Ref202963601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100</w:t>
      </w:r>
      <w:r w:rsidRPr="00215B2F">
        <w:rPr>
          <w:rFonts w:ascii="Arial" w:hAnsi="Arial" w:cs="Arial"/>
          <w:b/>
          <w:bCs/>
          <w:sz w:val="20"/>
          <w:szCs w:val="20"/>
        </w:rPr>
        <w:fldChar w:fldCharType="end"/>
      </w:r>
      <w:r w:rsidRPr="00215B2F">
        <w:rPr>
          <w:rFonts w:ascii="Arial" w:hAnsi="Arial" w:cs="Arial"/>
          <w:b/>
          <w:bCs/>
          <w:sz w:val="20"/>
          <w:szCs w:val="20"/>
        </w:rPr>
        <w:t>. členu</w:t>
      </w:r>
    </w:p>
    <w:p w14:paraId="01A96AC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B71E167"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Če nameravani posel vključuje le finančne deležnike iz iste skupine, mora Banka Slovenije odločitev o oceni združitve ali delitve izdati v 60 delovnih dneh od prejema popolne zahteve. Ta rok začne teči z izdajo potrdila o popolni vlogi, razen če potrdilo ni pravočasno izdano – v tem primeru začne teči po preteku zakonskega roka za izdajo potrdila. Če Banka zahteva dodatne informacije, se rok začasno ustavi za največ 20 delovnih dni od prve zahteve, nadaljnje zahteve pa roka ne zadržujejo. V določenih primerih, na primer pri sodelovanju s subjekti iz tretjih držav ali pri nujni izmenjavi informacij zaradi preprečevanja pranja denarja, lahko prekinitev roka traja največ 30 delovnih dni. Gre za prenos 27.i člena CRD. </w:t>
      </w:r>
    </w:p>
    <w:p w14:paraId="3AE1247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A405AF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_Ref202963607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101</w:t>
      </w:r>
      <w:r w:rsidRPr="00215B2F">
        <w:rPr>
          <w:rFonts w:ascii="Arial" w:hAnsi="Arial" w:cs="Arial"/>
          <w:b/>
          <w:bCs/>
          <w:sz w:val="20"/>
          <w:szCs w:val="20"/>
        </w:rPr>
        <w:fldChar w:fldCharType="end"/>
      </w:r>
      <w:r w:rsidRPr="00215B2F">
        <w:rPr>
          <w:rFonts w:ascii="Arial" w:hAnsi="Arial" w:cs="Arial"/>
          <w:b/>
          <w:bCs/>
          <w:sz w:val="20"/>
          <w:szCs w:val="20"/>
        </w:rPr>
        <w:t>. členu</w:t>
      </w:r>
    </w:p>
    <w:p w14:paraId="41EFAED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31375E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Kadar nameravani posel vključuje tudi subjekte iz drugih finančnih sektorjev ali držav članic (npr. banke, zavarovalnice, investicijske družbe ter njihove nadrejene ali obvladujoče pravne osebe), se Banka Slovenije posvetuje z ustreznimi nadzornimi organi. Tem organom brez odlašanja pošlje ključne informacije in jih lahko tudi sama zaprosi za podatke, pomembne za oceno posla. Cilj posvetovanja je uskladitev ocen in zagotavljanje doslednosti odločitev med pristojnimi organi. V končni oceni Banka Slovenije navede vsa prejeta stališča in morebitne pridržke teh organov. Gre za prenos 27.k člena CRD. </w:t>
      </w:r>
    </w:p>
    <w:p w14:paraId="3C9DF14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23F42D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_Ref202963617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102</w:t>
      </w:r>
      <w:r w:rsidRPr="00215B2F">
        <w:rPr>
          <w:rFonts w:ascii="Arial" w:hAnsi="Arial" w:cs="Arial"/>
          <w:b/>
          <w:bCs/>
          <w:sz w:val="20"/>
          <w:szCs w:val="20"/>
        </w:rPr>
        <w:fldChar w:fldCharType="end"/>
      </w:r>
      <w:r w:rsidRPr="00215B2F">
        <w:rPr>
          <w:rFonts w:ascii="Arial" w:hAnsi="Arial" w:cs="Arial"/>
          <w:b/>
          <w:bCs/>
          <w:sz w:val="20"/>
          <w:szCs w:val="20"/>
        </w:rPr>
        <w:t>. členu</w:t>
      </w:r>
    </w:p>
    <w:p w14:paraId="1FF4BFA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B681E77"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pri presoji zahteve za združitev ali delitev ocenjuje bonitetno trdnost finančnih deležnikov po izvedbi posla ter tveganja, ki bi lahko iz njega izhajala. Upošteva zlasti ugled in finančno stabilnost udeleženih strank, sposobnost novega subjekta za izpolnjevanje regulativnih zahtev, izvedljivost izvedbenega načrta in tveganje pranja denarja ali financiranja terorizma. Pri tem se posvetuje z Uradom Republike Slovenije za preprečevanje pranja denarja, katerega negativno mnenje lahko vodi v zavrnitev posla. Banka spremlja izvedbo načrta do zaključka posla, vendar pri presoji ne sme upoštevati gospodarskih potreb trga. Gre za prenos 27.j člena CRD. </w:t>
      </w:r>
    </w:p>
    <w:p w14:paraId="34657DB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493CD9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_Ref202963626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103</w:t>
      </w:r>
      <w:r w:rsidRPr="00215B2F">
        <w:rPr>
          <w:rFonts w:ascii="Arial" w:hAnsi="Arial" w:cs="Arial"/>
          <w:b/>
          <w:bCs/>
          <w:sz w:val="20"/>
          <w:szCs w:val="20"/>
        </w:rPr>
        <w:fldChar w:fldCharType="end"/>
      </w:r>
      <w:r w:rsidRPr="00215B2F">
        <w:rPr>
          <w:rFonts w:ascii="Arial" w:hAnsi="Arial" w:cs="Arial"/>
          <w:b/>
          <w:bCs/>
          <w:sz w:val="20"/>
          <w:szCs w:val="20"/>
        </w:rPr>
        <w:t>. členu</w:t>
      </w:r>
    </w:p>
    <w:p w14:paraId="2541D41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97375B0"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izda negativno mnenje o združitvi ali delitvi, če niso izpolnjena predpisana merila za oceno posla (npr. bonitetna trdnost, ugled, skladnost z zakonodajo) ali če finančni deležnik v določenem roku ne predloži popolne in zahtevane dokumentacije ter informacij. Gre za prenos 27.j člena (tretji odstavek) CRD. </w:t>
      </w:r>
    </w:p>
    <w:p w14:paraId="0D76C54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07AA3D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_Ref202963632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104</w:t>
      </w:r>
      <w:r w:rsidRPr="00215B2F">
        <w:rPr>
          <w:rFonts w:ascii="Arial" w:hAnsi="Arial" w:cs="Arial"/>
          <w:b/>
          <w:bCs/>
          <w:sz w:val="20"/>
          <w:szCs w:val="20"/>
        </w:rPr>
        <w:fldChar w:fldCharType="end"/>
      </w:r>
      <w:r w:rsidRPr="00215B2F">
        <w:rPr>
          <w:rFonts w:ascii="Arial" w:hAnsi="Arial" w:cs="Arial"/>
          <w:b/>
          <w:bCs/>
          <w:sz w:val="20"/>
          <w:szCs w:val="20"/>
        </w:rPr>
        <w:t>. členu</w:t>
      </w:r>
    </w:p>
    <w:p w14:paraId="1BED06D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F2B35DF"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izda odločbo o oceni združitve ali delitve kot pozitivno ali negativno mnenje v dveh delovnih dneh po opravljeni presoji, pri čemer morajo finančni deležniki pozitivno odločbo predložiti sodnemu registru. Če gre za posel znotraj iste skupine in Banka Slovenije do izteka predpisanega roka ne izda negativnega mnenja, se šteje, da je bilo izdano pozitivno mnenje. V določenih primerih, ko gre za združitev znotraj skupine pod enotnim nadzorom, lahko Banka ocenitev tudi opusti in o tem predčasno obvesti deležnike. Ocenitve ne izvede, kadar je za posel potrebno posebno dovoljenje za opravljanje bančnih storitev ali odobritev holdinga. Gre za prenos 27.i člena CRD.</w:t>
      </w:r>
    </w:p>
    <w:p w14:paraId="67BEA3D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79F9A3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_Ref202963642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105</w:t>
      </w:r>
      <w:r w:rsidRPr="00215B2F">
        <w:rPr>
          <w:rFonts w:ascii="Arial" w:hAnsi="Arial" w:cs="Arial"/>
          <w:b/>
          <w:bCs/>
          <w:sz w:val="20"/>
          <w:szCs w:val="20"/>
        </w:rPr>
        <w:fldChar w:fldCharType="end"/>
      </w:r>
      <w:r w:rsidRPr="00215B2F">
        <w:rPr>
          <w:rFonts w:ascii="Arial" w:hAnsi="Arial" w:cs="Arial"/>
          <w:b/>
          <w:bCs/>
          <w:sz w:val="20"/>
          <w:szCs w:val="20"/>
        </w:rPr>
        <w:t>. členu</w:t>
      </w:r>
    </w:p>
    <w:p w14:paraId="60EBEB2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5A9E3DB"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Pozitivno mnenje Banke Slovenije je nujni pogoj za vpis združitve ali delitve finančnega deležnika v sodni register in se šteje kot dovoljenje oziroma soglasje pristojnega organa v skladu z zakonodajo o gospodarskih družbah. Gre za prenos 27.l člena CRD. </w:t>
      </w:r>
    </w:p>
    <w:p w14:paraId="71971F7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D9F59C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_Ref202963692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106</w:t>
      </w:r>
      <w:r w:rsidRPr="00215B2F">
        <w:rPr>
          <w:rFonts w:ascii="Arial" w:hAnsi="Arial" w:cs="Arial"/>
          <w:b/>
          <w:bCs/>
          <w:sz w:val="20"/>
          <w:szCs w:val="20"/>
        </w:rPr>
        <w:fldChar w:fldCharType="end"/>
      </w:r>
      <w:r w:rsidRPr="00215B2F">
        <w:rPr>
          <w:rFonts w:ascii="Arial" w:hAnsi="Arial" w:cs="Arial"/>
          <w:b/>
          <w:bCs/>
          <w:sz w:val="20"/>
          <w:szCs w:val="20"/>
        </w:rPr>
        <w:t>. členu</w:t>
      </w:r>
    </w:p>
    <w:p w14:paraId="7543BB4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2753F8E"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lahko v pozitivnem mnenju določi rok za izvedbo združitve ali delitve, ki se na zahtevo finančnega deležnika lahko enkrat podaljša za največ šest mesecev, če je zahteva vložena pravočasno. Če posel v določenem roku ni izveden, pozitivno mnenje preneha veljati, finančni deležnik pa mora pred izvedbo ponovno pridobiti novo mnenje. V zvezi s pozitivnim mnenje Banke Slovenije velja dodatno </w:t>
      </w:r>
      <w:r w:rsidRPr="00215B2F">
        <w:rPr>
          <w:rFonts w:cs="Arial"/>
          <w:sz w:val="20"/>
          <w:szCs w:val="20"/>
        </w:rPr>
        <w:lastRenderedPageBreak/>
        <w:t>pojasniti, da na skrajni rok za izvedbo vplivajo tudi določbe ZGD-1 glede združitve, v skladu s katerimi mora subjekt predlog za vpis združitve/delitve pri pristojnem registrskem sodišču vložiti v devetih mesecih po obračunskem datumu združitve/delitve, ki se upošteva tudi pri zahtevanih informacijah v zahtevi za mnenje glede združitve/delitve.</w:t>
      </w:r>
    </w:p>
    <w:p w14:paraId="2714089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69B940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_Ref202963697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107</w:t>
      </w:r>
      <w:r w:rsidRPr="00215B2F">
        <w:rPr>
          <w:rFonts w:ascii="Arial" w:hAnsi="Arial" w:cs="Arial"/>
          <w:b/>
          <w:bCs/>
          <w:sz w:val="20"/>
          <w:szCs w:val="20"/>
        </w:rPr>
        <w:fldChar w:fldCharType="end"/>
      </w:r>
      <w:r w:rsidRPr="00215B2F">
        <w:rPr>
          <w:rFonts w:ascii="Arial" w:hAnsi="Arial" w:cs="Arial"/>
          <w:b/>
          <w:bCs/>
          <w:sz w:val="20"/>
          <w:szCs w:val="20"/>
        </w:rPr>
        <w:t>. členu</w:t>
      </w:r>
    </w:p>
    <w:p w14:paraId="598AA95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78F0516"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predpiše seznam dokumentacije in informacij, ki jih je treba predložiti ob zahtevi za oceno združitve ali delitve, ter določi podrobnejšo vsebino meril za presojo takšnega posla; pri tem morajo biti zahtevane informacije sorazmerne in ustrezne glede na naravo posla ter omejene na tiste, ki so pomembne za oceno varnega in skrbnega poslovanja. Gre za prenos 27.j člena CRD (peti odstavek). </w:t>
      </w:r>
    </w:p>
    <w:p w14:paraId="04C2E35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398BCA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_Ref202963704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108</w:t>
      </w:r>
      <w:r w:rsidRPr="00215B2F">
        <w:rPr>
          <w:rFonts w:ascii="Arial" w:hAnsi="Arial" w:cs="Arial"/>
          <w:b/>
          <w:bCs/>
          <w:sz w:val="20"/>
          <w:szCs w:val="20"/>
        </w:rPr>
        <w:fldChar w:fldCharType="end"/>
      </w:r>
      <w:r w:rsidRPr="00215B2F">
        <w:rPr>
          <w:rFonts w:ascii="Arial" w:hAnsi="Arial" w:cs="Arial"/>
          <w:b/>
          <w:bCs/>
          <w:sz w:val="20"/>
          <w:szCs w:val="20"/>
        </w:rPr>
        <w:t>. členu (veljavni 83. člen ZBan-3)</w:t>
      </w:r>
    </w:p>
    <w:p w14:paraId="558B0F8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2E0010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ZBan-3 (83. člen) določa, da morajo finančni holdingi in mešani finančni holdingi, ki imajo sedež v Sloveniji in za katere je Banka Slovenije pristojna za konsolidirani nadzor, po zakonu pridobiti njeno odobritev. Prav tako morajo odobritev pridobiti drugi finančni ali mešani holdingi s sedežem v Sloveniji, kadar zanje veljajo zahteve na subkonsolidirani podlagi, in sicer po zakonu ali Uredbi 575/2013/EU. V teh primerih se določbe o pristojnosti Banke Slovenije kot konsolidacijskega nadzornika ustrezno uporabljajo tudi za nadzor na subkonsolidirani ravni.</w:t>
      </w:r>
    </w:p>
    <w:p w14:paraId="7694C9A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508F085"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zakona se dopolnjuje drugi odstavek 83. člena ZBan-3 tako, </w:t>
      </w:r>
      <w:r w:rsidRPr="00215B2F">
        <w:rPr>
          <w:rFonts w:eastAsia="Arial" w:cs="Arial"/>
          <w:sz w:val="20"/>
          <w:szCs w:val="20"/>
        </w:rPr>
        <w:t xml:space="preserve">da mora drugi finančni holding ali mešani finančni holding, ki ima sedež v Republiki Sloveniji, pridobiti odobritev Banke Slovenije, kadar je imenovan kot odgovorni za zagotavljanje, da skupina izpolnjuje bonitetne zahteve na konsolidirani podlagi. Gre za prenos 21.a člena CRD (prvi odstavek). </w:t>
      </w:r>
    </w:p>
    <w:p w14:paraId="03000B0B" w14:textId="77777777"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p>
    <w:p w14:paraId="33B4479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Dodatno se (glede na ZBan-3) dodajajo četrti do šesti odstavek. Banka Slovenije najmanj enkrat letno preverja, ali so imenovani subjekti (banke ali druge določene družbe s sedežem v Sloveniji) pravilno določili vse nadrejene osebe, ki izpolnjujejo pogoje za status finančnega ali mešanega finančnega holdinga. Če so te nadrejene osebe v drugi državi članici EU, Banka Slovenije pri pregledu sodeluje s tamkajšnjimi pristojnimi organi. Na svoji spletni strani objavlja in letno posodablja seznam finančnih in mešanih finančnih holdingov v Sloveniji, ki so pridobili odobritev ali bili izvzeti iz obveznosti pridobitve odobritve, pri čemer v primeru izvzetja navede tudi imenovani subjekt. Gre za prenos 21.a člena CRD (prvi odstavek – drugi, tretji in četrti pododstavek).</w:t>
      </w:r>
    </w:p>
    <w:p w14:paraId="262C28BB" w14:textId="77777777" w:rsidR="0010347E" w:rsidRPr="00215B2F" w:rsidRDefault="0010347E" w:rsidP="0010347E">
      <w:pPr>
        <w:pStyle w:val="Alineazaodstavkom"/>
        <w:numPr>
          <w:ilvl w:val="0"/>
          <w:numId w:val="0"/>
        </w:numPr>
        <w:shd w:val="clear" w:color="auto" w:fill="FFFFFF" w:themeFill="background1"/>
        <w:ind w:left="425" w:hanging="425"/>
        <w:rPr>
          <w:rFonts w:cs="Arial"/>
          <w:sz w:val="20"/>
          <w:szCs w:val="20"/>
        </w:rPr>
      </w:pPr>
    </w:p>
    <w:p w14:paraId="07235E7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_Ref202963746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109</w:t>
      </w:r>
      <w:r w:rsidRPr="00215B2F">
        <w:rPr>
          <w:rFonts w:ascii="Arial" w:hAnsi="Arial" w:cs="Arial"/>
          <w:b/>
          <w:bCs/>
          <w:sz w:val="20"/>
          <w:szCs w:val="20"/>
        </w:rPr>
        <w:fldChar w:fldCharType="end"/>
      </w:r>
      <w:r w:rsidRPr="00215B2F">
        <w:rPr>
          <w:rFonts w:ascii="Arial" w:hAnsi="Arial" w:cs="Arial"/>
          <w:b/>
          <w:bCs/>
          <w:sz w:val="20"/>
          <w:szCs w:val="20"/>
        </w:rPr>
        <w:t>. členu (veljavni 84. člen ZBan-3)</w:t>
      </w:r>
    </w:p>
    <w:p w14:paraId="72EC78A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4DCEAE4"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ZBan-3 (84. člen) določa, da se zahteva za odobritev finančnega ali mešanega finančnega holdinga vloži pri Banki Slovenije in da mora ta zahteva vključevati podrobnosti o organizacijski strukturi skupine, vodstvu holdinga, informacije o delničarjih banke v skupini, notranji organiziranosti ter druge podatke, potrebne za presojo odobritve ali izvzetja. Banka Slovenije lahko zahteva dodatne informacije, medtem ko mora holding s sedežem v drugi državi članici zahtevo poslati tudi pristojnemu organu te države.</w:t>
      </w:r>
    </w:p>
    <w:p w14:paraId="5A2C196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8D73F8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zakona se spreminja drugi odstavek (glede na ZBan-3). V drugi točki se spreminja sklic. </w:t>
      </w:r>
    </w:p>
    <w:p w14:paraId="24AD50A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7FCB186" w14:textId="2BD4B88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Gre za prenos 21.a člena CRD (drugi odstavek, točka b). Predhodni CRD (torej CRD5) je določal sklic na 121. člen ZBan-3, ki se je skliceval na 91. člen CRD. V ZBan-3 je bil 121. člen prenesen v 342. člen, ki se </w:t>
      </w:r>
      <w:r w:rsidR="0014780E" w:rsidRPr="00215B2F">
        <w:rPr>
          <w:rFonts w:cs="Arial"/>
          <w:sz w:val="20"/>
          <w:szCs w:val="20"/>
        </w:rPr>
        <w:t xml:space="preserve">je </w:t>
      </w:r>
      <w:r w:rsidRPr="00215B2F">
        <w:rPr>
          <w:rFonts w:cs="Arial"/>
          <w:sz w:val="20"/>
          <w:szCs w:val="20"/>
        </w:rPr>
        <w:t>skliceval na 40. in. 55. člen ZBan-3. Vsebinsko v tem delu ni sprememb, samo prilagoditev sklicevanja, zahteva pa CRD izrecno dovoljenje za opravljanje funkcije tudi za člane UO (M)FHC, kar je določeno z novim 65.a členom.</w:t>
      </w:r>
    </w:p>
    <w:p w14:paraId="24332FC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ABBE34B"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četrti točki je brisana dikcija (glede na ZBan-3) »</w:t>
      </w:r>
      <w:r w:rsidRPr="00215B2F">
        <w:rPr>
          <w:rFonts w:eastAsia="Arial" w:cs="Arial"/>
          <w:sz w:val="20"/>
          <w:szCs w:val="20"/>
        </w:rPr>
        <w:t xml:space="preserve">ali za presojo v zvezi z izvzetjem iz odobritve v skladu s 86. členom tega zakona«. Vsebina je smiselno prestavljena v drug del predloga zakona. </w:t>
      </w:r>
    </w:p>
    <w:p w14:paraId="750B887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67F1D5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_Ref202963791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110</w:t>
      </w:r>
      <w:r w:rsidRPr="00215B2F">
        <w:rPr>
          <w:rFonts w:ascii="Arial" w:hAnsi="Arial" w:cs="Arial"/>
          <w:b/>
          <w:bCs/>
          <w:sz w:val="20"/>
          <w:szCs w:val="20"/>
        </w:rPr>
        <w:fldChar w:fldCharType="end"/>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_Ref202963746 \r \h  \* MERGEFORMAT </w:instrText>
      </w:r>
      <w:r w:rsidRPr="00215B2F">
        <w:rPr>
          <w:rFonts w:ascii="Arial" w:hAnsi="Arial" w:cs="Arial"/>
          <w:b/>
          <w:bCs/>
          <w:sz w:val="20"/>
          <w:szCs w:val="20"/>
        </w:rPr>
      </w:r>
      <w:r w:rsidR="003C532F">
        <w:rPr>
          <w:rFonts w:ascii="Arial" w:hAnsi="Arial" w:cs="Arial"/>
          <w:b/>
          <w:bCs/>
          <w:sz w:val="20"/>
          <w:szCs w:val="20"/>
        </w:rPr>
        <w:fldChar w:fldCharType="separate"/>
      </w:r>
      <w:r w:rsidR="0042445E">
        <w:rPr>
          <w:rFonts w:ascii="Arial" w:hAnsi="Arial" w:cs="Arial"/>
          <w:b/>
          <w:bCs/>
          <w:sz w:val="20"/>
          <w:szCs w:val="20"/>
        </w:rPr>
        <w:t>109</w:t>
      </w:r>
      <w:r w:rsidRPr="00215B2F">
        <w:rPr>
          <w:rFonts w:ascii="Arial" w:hAnsi="Arial" w:cs="Arial"/>
          <w:b/>
          <w:bCs/>
          <w:sz w:val="20"/>
          <w:szCs w:val="20"/>
        </w:rPr>
        <w:fldChar w:fldCharType="end"/>
      </w:r>
      <w:r w:rsidRPr="00215B2F">
        <w:rPr>
          <w:rFonts w:ascii="Arial" w:hAnsi="Arial" w:cs="Arial"/>
          <w:b/>
          <w:bCs/>
          <w:sz w:val="20"/>
          <w:szCs w:val="20"/>
        </w:rPr>
        <w:t>. členu</w:t>
      </w:r>
    </w:p>
    <w:p w14:paraId="6596546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33192B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Če Banka Slovenije ni konsolidacijski nadzornik, se v postopkih odobritve ali izvzetja finančnega ali mešanega finančnega holdinga, ki potekajo sočasno z izdajo dovoljenja za opravljanje bančnih storitev, presojo primernosti kvalificiranega imetnika ali ocenjevanjem pomembnega deleža, po potrebi usklajuje </w:t>
      </w:r>
      <w:r w:rsidRPr="00215B2F">
        <w:rPr>
          <w:rFonts w:cs="Arial"/>
          <w:sz w:val="20"/>
          <w:szCs w:val="20"/>
        </w:rPr>
        <w:lastRenderedPageBreak/>
        <w:t xml:space="preserve">s konsolidacijskim nadzornikom in pristojnim organom države članice sedeža holdinga. V teh primerih se ocenjevalno obdobje za presojo lastništva začasno prekine do zaključka postopka odobritve ali izvzetja holdinga. Gre za prenos 21.a (drugi odstavek – drugi pododstavek) in 27.a (dvanajsti odstavek) člena CRD. </w:t>
      </w:r>
    </w:p>
    <w:p w14:paraId="2FD579E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BB15D9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_Ref202963874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111</w:t>
      </w:r>
      <w:r w:rsidRPr="00215B2F">
        <w:rPr>
          <w:rFonts w:ascii="Arial" w:hAnsi="Arial" w:cs="Arial"/>
          <w:b/>
          <w:bCs/>
          <w:sz w:val="20"/>
          <w:szCs w:val="20"/>
        </w:rPr>
        <w:fldChar w:fldCharType="end"/>
      </w:r>
      <w:r w:rsidRPr="00215B2F">
        <w:rPr>
          <w:rFonts w:ascii="Arial" w:hAnsi="Arial" w:cs="Arial"/>
          <w:b/>
          <w:bCs/>
          <w:sz w:val="20"/>
          <w:szCs w:val="20"/>
        </w:rPr>
        <w:t>. členu (veljavni 85. člen ZBan-3)</w:t>
      </w:r>
    </w:p>
    <w:p w14:paraId="4E60542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08A38E2"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ZBan-3 (85. člen) določa, da Banka Slovenije odobri finančni ali mešani finančni holding, če so izpolnjeni pogoji glede ustrezne notranje ureditve skupine, ki omogoča učinkovito usklajevanje, upravljanje konfliktov in izvajanje skupinskih politik, ter če organizacijska struktura ne ovira nadzora. Poleg tega morajo kvalificirani delničarji izpolnjevati predpisana merila, razmerja tesne povezanosti ne smejo onemogočati nadzora, predpisi tretjih držav ne smejo preprečevati nadzora, vodstveni kadri pa morajo izpolnjevati zakonske zahteve. Če ti pogoji niso izpolnjeni, Banka Slovenije odobritev zavrne in lahko odredi ustrezne ukrepe za zagotavljanje učinkovitega konsolidiranega nadzora. Za postopek odločanja se uporabljajo določbe posebnega oddelka zakona.</w:t>
      </w:r>
    </w:p>
    <w:p w14:paraId="31B51D9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C3C8AB0" w14:textId="77777777" w:rsidR="0010347E" w:rsidRPr="00215B2F" w:rsidRDefault="0010347E" w:rsidP="0010347E">
      <w:pPr>
        <w:pStyle w:val="Odstavek"/>
        <w:shd w:val="clear" w:color="auto" w:fill="FFFFFF" w:themeFill="background1"/>
        <w:spacing w:before="0"/>
        <w:ind w:firstLine="0"/>
        <w:rPr>
          <w:rFonts w:eastAsia="Arial" w:cs="Arial"/>
          <w:sz w:val="20"/>
          <w:szCs w:val="20"/>
        </w:rPr>
      </w:pPr>
      <w:r w:rsidRPr="00215B2F">
        <w:rPr>
          <w:rFonts w:cs="Arial"/>
          <w:sz w:val="20"/>
          <w:szCs w:val="20"/>
        </w:rPr>
        <w:t xml:space="preserve">S predlogom zakona se (glede na ZBan-3) dopolnjuje 3. točka prvega odstavka tako, </w:t>
      </w:r>
      <w:r w:rsidRPr="00215B2F">
        <w:rPr>
          <w:rFonts w:eastAsia="Arial" w:cs="Arial"/>
          <w:sz w:val="20"/>
          <w:szCs w:val="20"/>
        </w:rPr>
        <w:t>da Banka Slovenije odobri finančni holding ali mešani finančni holding, če kvalificirani delničarji ali družbeniki banke izpolnjujejo merila, oziroma če teh ni, če je banka Banko Slovenije obvestila o 20 največjih delničarjih ali družbenikih. Gre za prenos 21.a člena CRD (tretji odstavek, točka c). Dodatno se smiselno dopolnjuje 6. točka na način ustreznega sklicevanja. Gre za prenos 91. člena CRD (prvi odstavek).</w:t>
      </w:r>
    </w:p>
    <w:p w14:paraId="09A1463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B0ED83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_Ref202963889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112</w:t>
      </w:r>
      <w:r w:rsidRPr="00215B2F">
        <w:rPr>
          <w:rFonts w:ascii="Arial" w:hAnsi="Arial" w:cs="Arial"/>
          <w:b/>
          <w:bCs/>
          <w:sz w:val="20"/>
          <w:szCs w:val="20"/>
        </w:rPr>
        <w:fldChar w:fldCharType="end"/>
      </w:r>
      <w:r w:rsidRPr="00215B2F">
        <w:rPr>
          <w:rFonts w:ascii="Arial" w:hAnsi="Arial" w:cs="Arial"/>
          <w:b/>
          <w:bCs/>
          <w:sz w:val="20"/>
          <w:szCs w:val="20"/>
        </w:rPr>
        <w:t>. členu</w:t>
      </w:r>
    </w:p>
    <w:p w14:paraId="5389669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9324417"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Finančni ali mešani finančni holding lahko zaprosi za izvzetje iz odobritve, če izpolnjuje določene pogoje, pri čemer mora zahtevati vse potrebne informacije in dokumentacijo o holdingu, skupini ter izpolnjevanju meril za izvzetje, kot je določeno z zakonom in podzakonskimi akti. Zahteva se vloži pri Banki Slovenije, EU nadrejeni holdingi pa svojo zahtevo pošljejo tudi pristojnemu organu v državi članici sedeža. Postopki odločanja o izvzetju in izključitvi iz konsolidacije se urejajo po določbah ustreznega oddelka zakona. Sprememba izrecno določa, da mora finančni holding oziroma mešani finančni holding izvzetje zahtevati, kar je bilo do zdaj v praksi samo tolmačenje. Gre za prenos 21.a člena CRD (četrti odstavek). </w:t>
      </w:r>
    </w:p>
    <w:p w14:paraId="786B02E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C5ACB2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_Ref202963897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113</w:t>
      </w:r>
      <w:r w:rsidRPr="00215B2F">
        <w:rPr>
          <w:rFonts w:ascii="Arial" w:hAnsi="Arial" w:cs="Arial"/>
          <w:b/>
          <w:bCs/>
          <w:sz w:val="20"/>
          <w:szCs w:val="20"/>
        </w:rPr>
        <w:fldChar w:fldCharType="end"/>
      </w:r>
      <w:r w:rsidRPr="00215B2F">
        <w:rPr>
          <w:rFonts w:ascii="Arial" w:hAnsi="Arial" w:cs="Arial"/>
          <w:b/>
          <w:bCs/>
          <w:sz w:val="20"/>
          <w:szCs w:val="20"/>
        </w:rPr>
        <w:t>. členu (veljavni 86. člen ZBan-3)</w:t>
      </w:r>
    </w:p>
    <w:p w14:paraId="02318259" w14:textId="77777777" w:rsidR="0010347E" w:rsidRPr="00215B2F" w:rsidRDefault="0010347E" w:rsidP="0010347E">
      <w:pPr>
        <w:pStyle w:val="Odstavek"/>
        <w:shd w:val="clear" w:color="auto" w:fill="FFFFFF" w:themeFill="background1"/>
        <w:spacing w:before="0"/>
        <w:ind w:firstLine="0"/>
        <w:rPr>
          <w:rFonts w:cs="Arial"/>
          <w:sz w:val="20"/>
          <w:szCs w:val="20"/>
        </w:rPr>
      </w:pPr>
      <w:bookmarkStart w:id="606" w:name="_Hlk203640573"/>
    </w:p>
    <w:p w14:paraId="4062539E"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Izvzetje iz odobritve finančnega holdinga ali mešanega finančnega holdinga že ureja 86. člen ZBan-3. S predlogom zakona se je vsebina člena vsebinsko nadgradila zaradi prenosa 21.a člena CRD (četrti odstavek, točka c, in odstavek 4a). </w:t>
      </w:r>
      <w:bookmarkEnd w:id="606"/>
      <w:r w:rsidRPr="00215B2F">
        <w:rPr>
          <w:rFonts w:cs="Arial"/>
          <w:sz w:val="20"/>
          <w:szCs w:val="20"/>
        </w:rPr>
        <w:t>Banka Slovenije lahko na zahtevo finančnega ali mešanega finančnega holdinga dovoli izvzetje iz obveznosti pridobitve odobritve, če so izpolnjeni pogoji, kot so: osnovna dejavnost holdinga je pridobivanje deležev, holding ne sodeluje pri upravljavskih odločitvah v skupini, ni vključen v reševalne postopke in nadzor skupine na konsolidirani podlagi ni oviran. Če pogoji niso izpolnjeni, mora holding zaprositi za odobritev. Tudi izvzeti holdingi ostajajo vključeni v konsolidacijo, razen če Banka Slovenije za posamezni primer odobri njihovo izključitev, pri čemer morajo biti zagotovljeni učinkovitost nadzora, omejena izpostavljenost in nepomembni finančni vzvod. Za presojo lahko Banka Slovenije zahteva dodatne informacije.</w:t>
      </w:r>
    </w:p>
    <w:p w14:paraId="172EB29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585FB5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_Ref202963905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114</w:t>
      </w:r>
      <w:r w:rsidRPr="00215B2F">
        <w:rPr>
          <w:rFonts w:ascii="Arial" w:hAnsi="Arial" w:cs="Arial"/>
          <w:b/>
          <w:bCs/>
          <w:sz w:val="20"/>
          <w:szCs w:val="20"/>
        </w:rPr>
        <w:fldChar w:fldCharType="end"/>
      </w:r>
      <w:r w:rsidRPr="00215B2F">
        <w:rPr>
          <w:rFonts w:ascii="Arial" w:hAnsi="Arial" w:cs="Arial"/>
          <w:b/>
          <w:bCs/>
          <w:sz w:val="20"/>
          <w:szCs w:val="20"/>
        </w:rPr>
        <w:t>. členu (veljavni 87. člen ZBan-3)</w:t>
      </w:r>
    </w:p>
    <w:p w14:paraId="3007D9B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838732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(87. člen) ni vsebinskih sprememb. Člen določa obveznost finančnega holdinga in mešanega finančnega holdinga, da takoj obvestita Banko Slovenije o vsaki spremembi organizacijske strukture skupine ter o spremembah, ki bi lahko vplivale na izpolnjevanje pogojev glede opravljanja storitev.</w:t>
      </w:r>
    </w:p>
    <w:p w14:paraId="68A5D2E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C98521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_Ref202963914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115</w:t>
      </w:r>
      <w:r w:rsidRPr="00215B2F">
        <w:rPr>
          <w:rFonts w:ascii="Arial" w:hAnsi="Arial" w:cs="Arial"/>
          <w:b/>
          <w:bCs/>
          <w:sz w:val="20"/>
          <w:szCs w:val="20"/>
        </w:rPr>
        <w:fldChar w:fldCharType="end"/>
      </w:r>
      <w:r w:rsidRPr="00215B2F">
        <w:rPr>
          <w:rFonts w:ascii="Arial" w:hAnsi="Arial" w:cs="Arial"/>
          <w:b/>
          <w:bCs/>
          <w:sz w:val="20"/>
          <w:szCs w:val="20"/>
        </w:rPr>
        <w:t>. členu (veljavni 88. člen ZBan-3)</w:t>
      </w:r>
    </w:p>
    <w:p w14:paraId="3A9301D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4BA971B"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(88. člen) ni vsebinskih sprememb. Člen določa obveznosti Banke Slovenije pri stalnem spremljanju izpolnjevanja pogojev s posebnim poudarkom na finančnih holdingih in mešanih finančnih holdingih. Banka Slovenije lahko kadar koli zahteva potrebne informacije in dokumentacijo od teh holdingov.</w:t>
      </w:r>
    </w:p>
    <w:p w14:paraId="7543C64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41A0847"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lastRenderedPageBreak/>
        <w:t>Če holding ne izpolnjuje pogojev, lahko naloži ukrepe za zagotavljanje skladnosti z zakonom in ustrezno konsolidiranega nadzora, vključno z izrekom nadzorniških ukrepov. Če pogoji za izvzetje niso več izpolnjeni, izda odločbo o prenehanju izvzetja in določi rok za zaprositev za odobritev. Če holding v tem roku ne zaprosi, Banka Slovenije izda odredbo za vzpostavitev skladnosti.</w:t>
      </w:r>
    </w:p>
    <w:p w14:paraId="17320DE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64CE2C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_Ref202963921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116</w:t>
      </w:r>
      <w:r w:rsidRPr="00215B2F">
        <w:rPr>
          <w:rFonts w:ascii="Arial" w:hAnsi="Arial" w:cs="Arial"/>
          <w:b/>
          <w:bCs/>
          <w:sz w:val="20"/>
          <w:szCs w:val="20"/>
        </w:rPr>
        <w:fldChar w:fldCharType="end"/>
      </w:r>
      <w:r w:rsidRPr="00215B2F">
        <w:rPr>
          <w:rFonts w:ascii="Arial" w:hAnsi="Arial" w:cs="Arial"/>
          <w:b/>
          <w:bCs/>
          <w:sz w:val="20"/>
          <w:szCs w:val="20"/>
        </w:rPr>
        <w:t>. členu (veljavni 89. člen ZBan-3)</w:t>
      </w:r>
    </w:p>
    <w:p w14:paraId="7EA520D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FEADB9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Vsebino sodelovanja z drugimi pristojnimi organi že ureja veljavni 89. člen ZBan-3. S predlogom zakona se je vsebina člena vsebinsko nadgradila zaradi prenosa 21.a člena CRD (osmi odstavek). Zlasti se dodaja (v primerjavi z ZBan-3) novi četrti odstavek. </w:t>
      </w:r>
    </w:p>
    <w:p w14:paraId="0FF5E0F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6C4C37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Slovenije kot konsolidacijski nadzornik sodeluje s pristojnimi organi drugih držav članic pri odločanju o odobritvi, izvzetju iz odobritve, izključitvi iz konsolidacije ter nadzornih ukrepih v zvezi s finančnimi in mešanimi finančnimi holdingi. V teh postopkih pripravi oceno v obliki predloga skupne odločitve, ki jo pošlje pristojnemu organu države sedeža holdinga, pri čemer si oba organa prizadevata odločitev sprejeti v dveh mesecih. Če Banka Slovenije ni konsolidacijski nadzornik, sodeluje pri skupni odločitvi in po potrebi sama izvede odločitev v Sloveniji. V primeru nesoglasja se zadeva lahko predloži Evropskemu bančnemu organu (EBA), ki sprejme zavezujočo odločitev. Če gre za mešani finančni holding s sedežem v Sloveniji, mora Banka Slovenije pridobiti soglasje koordinatorja v skladu z ZFK ali Direktivo 2002/87/ES; če tega ni, zadevo pošlje EBA ali EIOPA, pri čemer končna odločitev ne posega v druge obveznosti holdinga po ustrezni zakonodaji.</w:t>
      </w:r>
    </w:p>
    <w:p w14:paraId="258B949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6D0D91E" w14:textId="22949783"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zvezi s četrtim odstavkom velja dodatno pojasniti, da se skupna odločitev sprejme glede vsebine (angl. </w:t>
      </w:r>
      <w:r w:rsidRPr="00215B2F">
        <w:rPr>
          <w:rFonts w:cs="Arial"/>
          <w:i/>
          <w:sz w:val="20"/>
          <w:szCs w:val="20"/>
        </w:rPr>
        <w:t>joint decision on substance</w:t>
      </w:r>
      <w:r w:rsidRPr="00215B2F">
        <w:rPr>
          <w:rFonts w:cs="Arial"/>
          <w:sz w:val="20"/>
          <w:szCs w:val="20"/>
        </w:rPr>
        <w:t xml:space="preserve">), potem pa se obravnava finančni holding oziroma mešani finančni holding z nacionalnim pravom. Navedeno je mogoče razumeti tudi tako, da kadar nacionalno pravo ne dopušča, da bi se skupna odločitev neposredno uporabila v državi članici sedeža, mora pristojni organ sprejeti »implementacijsko odločitev«. </w:t>
      </w:r>
    </w:p>
    <w:p w14:paraId="452659C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B4FB15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_Ref202963929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117</w:t>
      </w:r>
      <w:r w:rsidRPr="00215B2F">
        <w:rPr>
          <w:rFonts w:ascii="Arial" w:hAnsi="Arial" w:cs="Arial"/>
          <w:b/>
          <w:bCs/>
          <w:sz w:val="20"/>
          <w:szCs w:val="20"/>
        </w:rPr>
        <w:fldChar w:fldCharType="end"/>
      </w:r>
      <w:r w:rsidRPr="00215B2F">
        <w:rPr>
          <w:rFonts w:ascii="Arial" w:hAnsi="Arial" w:cs="Arial"/>
          <w:b/>
          <w:bCs/>
          <w:sz w:val="20"/>
          <w:szCs w:val="20"/>
        </w:rPr>
        <w:t>. členu (veljavni 90. člen ZBan-3)</w:t>
      </w:r>
    </w:p>
    <w:p w14:paraId="6B5416D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3FD6990" w14:textId="77777777" w:rsidR="0010347E" w:rsidRPr="00215B2F" w:rsidRDefault="0010347E" w:rsidP="0010347E">
      <w:pPr>
        <w:pStyle w:val="Alineazaodstavkom"/>
        <w:numPr>
          <w:ilvl w:val="0"/>
          <w:numId w:val="0"/>
        </w:numPr>
        <w:shd w:val="clear" w:color="auto" w:fill="FFFFFF" w:themeFill="background1"/>
        <w:rPr>
          <w:rFonts w:cs="Arial"/>
          <w:sz w:val="20"/>
          <w:szCs w:val="20"/>
        </w:rPr>
      </w:pPr>
      <w:r w:rsidRPr="00215B2F">
        <w:rPr>
          <w:rFonts w:cs="Arial"/>
          <w:sz w:val="20"/>
          <w:szCs w:val="20"/>
        </w:rPr>
        <w:t>ZBan-3 (90. člen) določa, da Banka Slovenije v primeru zavrnitve odobritve finančnega holdinga ali mešanega finančnega holdinga vlagatelja prošnje obvesti o zavrnitvi in razlogih zanjo v štirih mesecih od prejema popolne vloge, odločitev o odobritvi ali zavrnitvi odobritve pa v vsakem primeru sprejme najpozneje v šestih mesecih od prejema vloge.</w:t>
      </w:r>
    </w:p>
    <w:p w14:paraId="7BC76DFC" w14:textId="77777777" w:rsidR="0010347E" w:rsidRPr="00215B2F" w:rsidRDefault="0010347E" w:rsidP="0010347E">
      <w:pPr>
        <w:pStyle w:val="Alineazaodstavkom"/>
        <w:numPr>
          <w:ilvl w:val="0"/>
          <w:numId w:val="0"/>
        </w:numPr>
        <w:shd w:val="clear" w:color="auto" w:fill="FFFFFF" w:themeFill="background1"/>
        <w:rPr>
          <w:rFonts w:cs="Arial"/>
          <w:sz w:val="20"/>
          <w:szCs w:val="20"/>
        </w:rPr>
      </w:pPr>
    </w:p>
    <w:p w14:paraId="2CD350FD" w14:textId="77777777" w:rsidR="0010347E" w:rsidRPr="00215B2F" w:rsidRDefault="0010347E" w:rsidP="0010347E">
      <w:pPr>
        <w:pStyle w:val="Alineazaodstavkom"/>
        <w:numPr>
          <w:ilvl w:val="0"/>
          <w:numId w:val="0"/>
        </w:numPr>
        <w:shd w:val="clear" w:color="auto" w:fill="FFFFFF" w:themeFill="background1"/>
        <w:rPr>
          <w:rFonts w:cs="Arial"/>
          <w:sz w:val="20"/>
          <w:szCs w:val="20"/>
        </w:rPr>
      </w:pPr>
      <w:r w:rsidRPr="00215B2F">
        <w:rPr>
          <w:rFonts w:cs="Arial"/>
          <w:sz w:val="20"/>
          <w:szCs w:val="20"/>
        </w:rPr>
        <w:t xml:space="preserve">S predlogom zakona se dodatno določa, da </w:t>
      </w:r>
      <w:r w:rsidRPr="00215B2F">
        <w:rPr>
          <w:rFonts w:eastAsia="Arial" w:cs="Arial"/>
          <w:sz w:val="20"/>
          <w:szCs w:val="20"/>
        </w:rPr>
        <w:t xml:space="preserve">kadar Banka Slovenije kot konsolidacijski nadzornik zavrne izvzetje iz odobritve finančnega holdinga ali mešanega finančnega holdinga, vlagatelja prošnje obvesti o zavrnitvi in razlogih zanjo v štirih mesecih od prejema popolne vloge. Gre za prenos 21.a člena CRD (deseti odstavek). </w:t>
      </w:r>
    </w:p>
    <w:p w14:paraId="41D6B7E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558EE8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_Ref202963934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118</w:t>
      </w:r>
      <w:r w:rsidRPr="00215B2F">
        <w:rPr>
          <w:rFonts w:ascii="Arial" w:hAnsi="Arial" w:cs="Arial"/>
          <w:b/>
          <w:bCs/>
          <w:sz w:val="20"/>
          <w:szCs w:val="20"/>
        </w:rPr>
        <w:fldChar w:fldCharType="end"/>
      </w:r>
      <w:r w:rsidRPr="00215B2F">
        <w:rPr>
          <w:rFonts w:ascii="Arial" w:hAnsi="Arial" w:cs="Arial"/>
          <w:b/>
          <w:bCs/>
          <w:sz w:val="20"/>
          <w:szCs w:val="20"/>
        </w:rPr>
        <w:t>. členu (veljavni 91. člen ZBan-3)</w:t>
      </w:r>
    </w:p>
    <w:p w14:paraId="1FC3AF4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128D2EC" w14:textId="77777777" w:rsidR="0010347E" w:rsidRPr="00215B2F" w:rsidRDefault="0010347E" w:rsidP="0010347E">
      <w:pPr>
        <w:pStyle w:val="Alineazaodstavkom"/>
        <w:numPr>
          <w:ilvl w:val="0"/>
          <w:numId w:val="0"/>
        </w:numPr>
        <w:shd w:val="clear" w:color="auto" w:fill="FFFFFF" w:themeFill="background1"/>
        <w:rPr>
          <w:rFonts w:cs="Arial"/>
          <w:sz w:val="20"/>
          <w:szCs w:val="20"/>
        </w:rPr>
      </w:pPr>
      <w:r w:rsidRPr="00215B2F">
        <w:rPr>
          <w:rFonts w:cs="Arial"/>
          <w:sz w:val="20"/>
          <w:szCs w:val="20"/>
        </w:rPr>
        <w:t xml:space="preserve">V ZBan-3 (91. člen) člen je podana možnost, da Banka Slovenije s podzakonskim predpisom določi podrobnejša pravila glede dokumentacije in informacij, ki se predložijo zahtevi za odobritev finančnih holdingov ali mešanih finančnih holdingov ali zahtevi za izvzetje iz odobritve finančnih holdingov ali mešanih finančnih holdingov. </w:t>
      </w:r>
    </w:p>
    <w:p w14:paraId="0630792F" w14:textId="77777777" w:rsidR="0010347E" w:rsidRPr="00215B2F" w:rsidRDefault="0010347E" w:rsidP="0010347E">
      <w:pPr>
        <w:pStyle w:val="Alineazaodstavkom"/>
        <w:numPr>
          <w:ilvl w:val="0"/>
          <w:numId w:val="0"/>
        </w:numPr>
        <w:shd w:val="clear" w:color="auto" w:fill="FFFFFF" w:themeFill="background1"/>
        <w:rPr>
          <w:rFonts w:cs="Arial"/>
          <w:sz w:val="20"/>
          <w:szCs w:val="20"/>
        </w:rPr>
      </w:pPr>
    </w:p>
    <w:p w14:paraId="0CA5C490" w14:textId="77777777" w:rsidR="0010347E" w:rsidRPr="00215B2F" w:rsidRDefault="0010347E" w:rsidP="0010347E">
      <w:pPr>
        <w:pStyle w:val="Alineazaodstavkom"/>
        <w:numPr>
          <w:ilvl w:val="0"/>
          <w:numId w:val="0"/>
        </w:numPr>
        <w:shd w:val="clear" w:color="auto" w:fill="FFFFFF" w:themeFill="background1"/>
        <w:rPr>
          <w:rFonts w:cs="Arial"/>
          <w:sz w:val="20"/>
          <w:szCs w:val="20"/>
        </w:rPr>
      </w:pPr>
      <w:r w:rsidRPr="00215B2F">
        <w:rPr>
          <w:rFonts w:cs="Arial"/>
          <w:sz w:val="20"/>
          <w:szCs w:val="20"/>
        </w:rPr>
        <w:t xml:space="preserve">S predlogom zakona se dodatno določa, da lahko Banka Slovenije </w:t>
      </w:r>
      <w:r w:rsidRPr="00215B2F">
        <w:rPr>
          <w:rFonts w:eastAsia="Arial" w:cs="Arial"/>
          <w:sz w:val="20"/>
          <w:szCs w:val="20"/>
        </w:rPr>
        <w:t>s podzakonskim aktom določi podrobnejša pravila glede dokumentacije in informacij, ki se predložijo zahtevi za izvzetje iz njune izključitve iz obsega konsolidacije.</w:t>
      </w:r>
    </w:p>
    <w:p w14:paraId="4E727C8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92084C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_Ref202963941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119</w:t>
      </w:r>
      <w:r w:rsidRPr="00215B2F">
        <w:rPr>
          <w:rFonts w:ascii="Arial" w:hAnsi="Arial" w:cs="Arial"/>
          <w:b/>
          <w:bCs/>
          <w:sz w:val="20"/>
          <w:szCs w:val="20"/>
        </w:rPr>
        <w:fldChar w:fldCharType="end"/>
      </w:r>
      <w:r w:rsidRPr="00215B2F">
        <w:rPr>
          <w:rFonts w:ascii="Arial" w:hAnsi="Arial" w:cs="Arial"/>
          <w:b/>
          <w:bCs/>
          <w:sz w:val="20"/>
          <w:szCs w:val="20"/>
        </w:rPr>
        <w:t>. členu (veljavni 92. člen ZBan-3)</w:t>
      </w:r>
    </w:p>
    <w:p w14:paraId="0F92036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F989892"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(92. člen) ni vsebinskih sprememb. V členu so določene izjeme od ZPre-1 glede obvezne prevzemne ponudbe.</w:t>
      </w:r>
      <w:r w:rsidRPr="00215B2F">
        <w:rPr>
          <w:rFonts w:cs="Arial"/>
          <w:b/>
          <w:sz w:val="20"/>
          <w:szCs w:val="20"/>
        </w:rPr>
        <w:t xml:space="preserve"> </w:t>
      </w:r>
      <w:r w:rsidRPr="00215B2F">
        <w:rPr>
          <w:rFonts w:cs="Arial"/>
          <w:sz w:val="20"/>
          <w:szCs w:val="20"/>
        </w:rPr>
        <w:t xml:space="preserve">Določeno je, da poleg primerov, določenih v ZPre-1, obvezne prevzemne ponudbe ni zavezan dati imetnik, ki je dosegel prevzemni prag v banki zaradi pridobitve delnic banke v postopku povečanja osnovnega kapitala banke na podlagi (i) dodatnega ukrepa Banke Slovenije ali ukrepa zgodnjega posredovanja ter na podlagi (ii) konverzije kapitalskih instrumentov banke, ki jih lahko banka upošteva pri izračunu kapitala in ki se ob nastopu objektivnega pogoja konvertirajo v delnice banke. Imetnik lahko uveljavlja navedene izjeme, če predhodno pridobi soglasje Banke Slovenije. Banka </w:t>
      </w:r>
      <w:r w:rsidRPr="00215B2F">
        <w:rPr>
          <w:rFonts w:cs="Arial"/>
          <w:sz w:val="20"/>
          <w:szCs w:val="20"/>
        </w:rPr>
        <w:lastRenderedPageBreak/>
        <w:t>Slovenije izda soglasje, če je povečanje osnovnega kapitala nujno, da se zagotovi kapitalska ustreznost banke.</w:t>
      </w:r>
    </w:p>
    <w:p w14:paraId="4C220E4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18B842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_Ref202963948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120</w:t>
      </w:r>
      <w:r w:rsidRPr="00215B2F">
        <w:rPr>
          <w:rFonts w:ascii="Arial" w:hAnsi="Arial" w:cs="Arial"/>
          <w:b/>
          <w:bCs/>
          <w:sz w:val="20"/>
          <w:szCs w:val="20"/>
        </w:rPr>
        <w:fldChar w:fldCharType="end"/>
      </w:r>
      <w:r w:rsidRPr="00215B2F">
        <w:rPr>
          <w:rFonts w:ascii="Arial" w:hAnsi="Arial" w:cs="Arial"/>
          <w:b/>
          <w:bCs/>
          <w:sz w:val="20"/>
          <w:szCs w:val="20"/>
        </w:rPr>
        <w:t>. členu (veljavni 93. člen ZBan-3)</w:t>
      </w:r>
    </w:p>
    <w:p w14:paraId="7059A062"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396AD61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bookmarkStart w:id="607" w:name="_Toc385415930"/>
      <w:bookmarkStart w:id="608" w:name="_Toc398295685"/>
      <w:r w:rsidRPr="00215B2F">
        <w:rPr>
          <w:rFonts w:ascii="Arial" w:hAnsi="Arial" w:cs="Arial"/>
          <w:sz w:val="20"/>
          <w:szCs w:val="20"/>
        </w:rPr>
        <w:t>V primerjavi z ZBan-3 (93. člen) ni vsebinskih sprememb. V členu so določene izjeme od ZPre-1 glede uresničevanja glasovalnih pravic iz delnic banke</w:t>
      </w:r>
      <w:bookmarkEnd w:id="607"/>
      <w:bookmarkEnd w:id="608"/>
      <w:r w:rsidRPr="00215B2F">
        <w:rPr>
          <w:rFonts w:ascii="Arial" w:hAnsi="Arial" w:cs="Arial"/>
          <w:sz w:val="20"/>
          <w:szCs w:val="20"/>
        </w:rPr>
        <w:t>. Določeno je, da agencija, pristojna za finančne trge, v postopku izdaje soglasja na podlagi petega odstavka 22.b člena ZPre-1 pridobi mnenje Banke Slovenije glede potrebnosti ukrepov za stabilizacijo poslovanja banke. Delničar v zvezi z navedeno zahtevo za izdajo soglasja agencije, pristojne za finančne trge, ni zavezan dodatno predložiti mnenja izvedenca. Agencija, pristojna za finančne trge, izda soglasje za uresničevanje glasovalnih pravic delničarja na skupščini banke, če iz mnenja Banke Slovenije izhaja, da je povečanje osnovnega kapitala banke nujno, da se zagotovita stabilno poslovanje banke in izpolnjevanje zahtev pristojnega organa. Če je delničar iz prvega odstavka tega člena sodeloval pri povečanju osnovnega kapitala banke tako, da ima po povečanju osnovnega kapitala banke najmanj enak delež v kapitalu banke, kot ga je imel pred povečanjem osnovnega kapitala banke, lahko delničar uveljavlja prenehanje prepovedi uresničevanja glasovalnih pravic iz teh delnic, ki jo je izrekla agencija, pristojna za finančne trge, do prve nadaljnje pridobitve delnic banke, pri kateri niso izpolnjeni pogoji, če še dosega prevzemni prag.</w:t>
      </w:r>
    </w:p>
    <w:p w14:paraId="52A458B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5EC6A4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_Ref202963958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121</w:t>
      </w:r>
      <w:r w:rsidRPr="00215B2F">
        <w:rPr>
          <w:rFonts w:ascii="Arial" w:hAnsi="Arial" w:cs="Arial"/>
          <w:b/>
          <w:bCs/>
          <w:sz w:val="20"/>
          <w:szCs w:val="20"/>
        </w:rPr>
        <w:fldChar w:fldCharType="end"/>
      </w:r>
      <w:r w:rsidRPr="00215B2F">
        <w:rPr>
          <w:rFonts w:ascii="Arial" w:hAnsi="Arial" w:cs="Arial"/>
          <w:b/>
          <w:bCs/>
          <w:sz w:val="20"/>
          <w:szCs w:val="20"/>
        </w:rPr>
        <w:t>. členu (veljavni 94. člen ZBan-3)</w:t>
      </w:r>
    </w:p>
    <w:p w14:paraId="59B6F58C"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5AF6D31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bookmarkStart w:id="609" w:name="_Toc385415931"/>
      <w:bookmarkStart w:id="610" w:name="_Toc398295686"/>
      <w:r w:rsidRPr="00215B2F">
        <w:rPr>
          <w:rFonts w:ascii="Arial" w:hAnsi="Arial" w:cs="Arial"/>
          <w:sz w:val="20"/>
          <w:szCs w:val="20"/>
        </w:rPr>
        <w:t>V primerjavi z ZBan-3 (94. člen) ni vsebinskih sprememb. V členu so določene izjeme od ZPre-1 glede prevzemne ponudbe banke za vrednostne papirje ciljne družbe</w:t>
      </w:r>
      <w:bookmarkEnd w:id="609"/>
      <w:bookmarkEnd w:id="610"/>
      <w:r w:rsidRPr="00215B2F">
        <w:rPr>
          <w:rFonts w:ascii="Arial" w:hAnsi="Arial" w:cs="Arial"/>
          <w:sz w:val="20"/>
          <w:szCs w:val="20"/>
        </w:rPr>
        <w:t xml:space="preserve">. Poleg primerov, določenih v ZPre-1, obvezne prevzemne ponudbe v skladu z ZPre-1 ni zavezana dati banka, ki je dosegla prevzemni prag v ciljni družbi zaradi pridobitve delnic ali drugih vrednostnih papirjev ciljne družbe, ki so izročeni banki kot stvarni vložek pri povečanju osnovnega kapitala banke. O navedeni pridobitvi vrednostnih papirjev in odsvojitvi tako pridobljenih vrednostnih papirjev mora banka obvestiti agencijo, pristojno za finančne trge, v treh delovnih dneh od pridobitve oziroma odsvojitve. </w:t>
      </w:r>
    </w:p>
    <w:p w14:paraId="4A0C6A3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954033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_Ref202963964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122</w:t>
      </w:r>
      <w:r w:rsidRPr="00215B2F">
        <w:rPr>
          <w:rFonts w:ascii="Arial" w:hAnsi="Arial" w:cs="Arial"/>
          <w:b/>
          <w:bCs/>
          <w:sz w:val="20"/>
          <w:szCs w:val="20"/>
        </w:rPr>
        <w:fldChar w:fldCharType="end"/>
      </w:r>
      <w:r w:rsidRPr="00215B2F">
        <w:rPr>
          <w:rFonts w:ascii="Arial" w:hAnsi="Arial" w:cs="Arial"/>
          <w:b/>
          <w:bCs/>
          <w:sz w:val="20"/>
          <w:szCs w:val="20"/>
        </w:rPr>
        <w:t>. členu (veljavni 95. člen ZBan-3)</w:t>
      </w:r>
    </w:p>
    <w:p w14:paraId="070D4901"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23B658EC" w14:textId="77777777" w:rsidR="0010347E" w:rsidRPr="00215B2F" w:rsidRDefault="0010347E" w:rsidP="0010347E">
      <w:pPr>
        <w:shd w:val="clear" w:color="auto" w:fill="FFFFFF" w:themeFill="background1"/>
        <w:tabs>
          <w:tab w:val="left" w:pos="9356"/>
        </w:tabs>
        <w:spacing w:after="0" w:line="240" w:lineRule="auto"/>
        <w:jc w:val="both"/>
        <w:rPr>
          <w:rFonts w:ascii="Arial" w:hAnsi="Arial" w:cs="Arial"/>
          <w:sz w:val="20"/>
          <w:szCs w:val="20"/>
        </w:rPr>
      </w:pPr>
      <w:r w:rsidRPr="00215B2F">
        <w:rPr>
          <w:rFonts w:ascii="Arial" w:hAnsi="Arial" w:cs="Arial"/>
          <w:sz w:val="20"/>
          <w:szCs w:val="20"/>
        </w:rPr>
        <w:t xml:space="preserve">V primerjavi z ZBan-3 (95. člen) ni vsebinskih sprememb. S členom se določa, da skupščina banke lahko sprejme sklep o prenehanju banke in začetku likvidacijskega postopka, če uprava banke pred odločanjem skupščine izdela načrt likvidacije in ga predloži Banki Slovenije. Dodatno se določa, da je sklep skupščine, ki je sprejet v nasprotju s predhodno navedenim, ničen. </w:t>
      </w:r>
    </w:p>
    <w:p w14:paraId="257E19F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1B8115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_Ref202963969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123</w:t>
      </w:r>
      <w:r w:rsidRPr="00215B2F">
        <w:rPr>
          <w:rFonts w:ascii="Arial" w:hAnsi="Arial" w:cs="Arial"/>
          <w:b/>
          <w:bCs/>
          <w:sz w:val="20"/>
          <w:szCs w:val="20"/>
        </w:rPr>
        <w:fldChar w:fldCharType="end"/>
      </w:r>
      <w:r w:rsidRPr="00215B2F">
        <w:rPr>
          <w:rFonts w:ascii="Arial" w:hAnsi="Arial" w:cs="Arial"/>
          <w:b/>
          <w:bCs/>
          <w:sz w:val="20"/>
          <w:szCs w:val="20"/>
        </w:rPr>
        <w:t>. členu (veljavni 96. člen ZBan-3)</w:t>
      </w:r>
    </w:p>
    <w:p w14:paraId="3D7D4DC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B1DC727"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ZBan-2 (96. člen) ni vsebinskih sprememb. Določeno je, da je za likvidacijskega upravitelja banke lahko imenovana le oseba, ki ima dovoljenje za opravljanje funkcije člana uprave v tej banki. Likvidacijski upravitelji morajo tako smiselno izpolnjevati pogoje kot člani uprave banke. </w:t>
      </w:r>
    </w:p>
    <w:p w14:paraId="106DE05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24318E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_Ref202963982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124</w:t>
      </w:r>
      <w:r w:rsidRPr="00215B2F">
        <w:rPr>
          <w:rFonts w:ascii="Arial" w:hAnsi="Arial" w:cs="Arial"/>
          <w:b/>
          <w:bCs/>
          <w:sz w:val="20"/>
          <w:szCs w:val="20"/>
        </w:rPr>
        <w:fldChar w:fldCharType="end"/>
      </w:r>
      <w:r w:rsidRPr="00215B2F">
        <w:rPr>
          <w:rFonts w:ascii="Arial" w:hAnsi="Arial" w:cs="Arial"/>
          <w:b/>
          <w:bCs/>
          <w:sz w:val="20"/>
          <w:szCs w:val="20"/>
        </w:rPr>
        <w:t>. členu (veljavni 97. člen ZBan-3)</w:t>
      </w:r>
    </w:p>
    <w:p w14:paraId="4320415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776BEFB" w14:textId="77777777" w:rsidR="0010347E" w:rsidRPr="00215B2F" w:rsidRDefault="0010347E" w:rsidP="0010347E">
      <w:pPr>
        <w:pStyle w:val="tevilnatoka"/>
        <w:numPr>
          <w:ilvl w:val="0"/>
          <w:numId w:val="0"/>
        </w:numPr>
        <w:shd w:val="clear" w:color="auto" w:fill="FFFFFF" w:themeFill="background1"/>
        <w:rPr>
          <w:rFonts w:cs="Arial"/>
          <w:sz w:val="20"/>
          <w:szCs w:val="20"/>
        </w:rPr>
      </w:pPr>
      <w:r w:rsidRPr="00215B2F">
        <w:rPr>
          <w:rFonts w:cs="Arial"/>
          <w:sz w:val="20"/>
          <w:szCs w:val="20"/>
        </w:rPr>
        <w:t xml:space="preserve">V primerjavi z ZBan-3 (97. člen) ni vsebinskih sprememb. Določa se, da mora uprava banke najmanj šest mesecev pred objavo sklica skupščine, ki bo odločala o začetku postopka likvidacije banke, obvestiti Banko Slovenije o načrtu ukrepov za likvidacijo banke in zaključevanje poslov banke ter glede jamstev banke za zavarovanje terjatev upnikov. Banka Slovenije na podlagi tega obvestila oceni ustreznost ukrepov za likvidacijo banke in po potrebi zahteva od uprave banke ustrezne prilagoditve v načrtu, da se zavarujeta stabilnost finančnega sistema ter položaj upnikov banke. </w:t>
      </w:r>
    </w:p>
    <w:p w14:paraId="3189750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15A8EB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_Ref202963988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125</w:t>
      </w:r>
      <w:r w:rsidRPr="00215B2F">
        <w:rPr>
          <w:rFonts w:ascii="Arial" w:hAnsi="Arial" w:cs="Arial"/>
          <w:b/>
          <w:bCs/>
          <w:sz w:val="20"/>
          <w:szCs w:val="20"/>
        </w:rPr>
        <w:fldChar w:fldCharType="end"/>
      </w:r>
      <w:r w:rsidRPr="00215B2F">
        <w:rPr>
          <w:rFonts w:ascii="Arial" w:hAnsi="Arial" w:cs="Arial"/>
          <w:b/>
          <w:bCs/>
          <w:sz w:val="20"/>
          <w:szCs w:val="20"/>
        </w:rPr>
        <w:t>. členu (veljavni 98. člen ZBan-3)</w:t>
      </w:r>
    </w:p>
    <w:p w14:paraId="0A20E24A"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2A95D706" w14:textId="18E0DBD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(98. člen) ni vsebinskih sprememb. Redna likvidacija banke, ki pomeni postopno prenehanje opravljanja vseh dejavnosti in postopno unovčenje premoženja banke, lahko pomembno vpliva na upravljanje tveganj banke. Zato Banka Slovenije (i) omeji dovoljenja za opravljanje storitev, ki jih opravlja banka v skladu s tem zakonom, tako, da se določi vrsta in obseg poslov, ki jih sme opravljati banka v likvidaciji, ter določi druge pogoje v zvezi z opravljanje teh storitev in (ii) določi, v kolikšnem obsegu se za banko v likvidaciji uporabljajo pravila tega zakona, Uredbe </w:t>
      </w:r>
      <w:r w:rsidR="00D24496" w:rsidRPr="00215B2F">
        <w:rPr>
          <w:rFonts w:cs="Arial"/>
          <w:sz w:val="20"/>
          <w:szCs w:val="20"/>
        </w:rPr>
        <w:t xml:space="preserve">575/2013/EU </w:t>
      </w:r>
      <w:r w:rsidRPr="00215B2F">
        <w:rPr>
          <w:rFonts w:cs="Arial"/>
          <w:sz w:val="20"/>
          <w:szCs w:val="20"/>
        </w:rPr>
        <w:t xml:space="preserve">in predpisov, izdanih na njuni podlagi. </w:t>
      </w:r>
    </w:p>
    <w:p w14:paraId="5166D19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08460B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_Ref202964010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126</w:t>
      </w:r>
      <w:r w:rsidRPr="00215B2F">
        <w:rPr>
          <w:rFonts w:ascii="Arial" w:hAnsi="Arial" w:cs="Arial"/>
          <w:b/>
          <w:bCs/>
          <w:sz w:val="20"/>
          <w:szCs w:val="20"/>
        </w:rPr>
        <w:fldChar w:fldCharType="end"/>
      </w:r>
      <w:r w:rsidRPr="00215B2F">
        <w:rPr>
          <w:rFonts w:ascii="Arial" w:hAnsi="Arial" w:cs="Arial"/>
          <w:b/>
          <w:bCs/>
          <w:sz w:val="20"/>
          <w:szCs w:val="20"/>
        </w:rPr>
        <w:t>. členu (veljavni 99. člen ZBan-3)</w:t>
      </w:r>
    </w:p>
    <w:p w14:paraId="217F4B9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B828930"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(99. člen) ni vsebinskih sprememb. Za likvidacijo banke na podlagi sklepa skupščine o začetku postopka likvidacije se uporabljajo določbe ZGD-1 o likvidaciji delniške družbe na podlagi sklepa skupščine, če ni drugače določeno.</w:t>
      </w:r>
    </w:p>
    <w:p w14:paraId="49D5C0E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856BFF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_Ref202964018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127</w:t>
      </w:r>
      <w:r w:rsidRPr="00215B2F">
        <w:rPr>
          <w:rFonts w:ascii="Arial" w:hAnsi="Arial" w:cs="Arial"/>
          <w:b/>
          <w:bCs/>
          <w:sz w:val="20"/>
          <w:szCs w:val="20"/>
        </w:rPr>
        <w:fldChar w:fldCharType="end"/>
      </w:r>
      <w:r w:rsidRPr="00215B2F">
        <w:rPr>
          <w:rFonts w:ascii="Arial" w:hAnsi="Arial" w:cs="Arial"/>
          <w:b/>
          <w:bCs/>
          <w:sz w:val="20"/>
          <w:szCs w:val="20"/>
        </w:rPr>
        <w:t>. členu (veljavni 100. člen ZBan-3)</w:t>
      </w:r>
    </w:p>
    <w:p w14:paraId="230FB40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C7A8B6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(100. člen) ni vsebinskih sprememb. Redna likvidacija banke (ki pomeni postopno prenehanje opravljanja vseh dejavnosti in postopno unovčenje premoženja banke) lahko pomembno vpliva na upravljanje tveganj banke. Zato Banka Slovenije omeji veljavnost dovoljenja za opravljanje bančnih in drugih storitev (ter s tem določi obseg opravljanja teh storitev v likvidaciji) in določi, v kolikšnem obsegu se za banko (še) uporabljajo pravila o upravljanju tveganj. Če skupščina banke odloči, da banka deluje dalje, mora banka ponovno zagotoviti izpolnjevanje vseh pogojev za upravljanje tveganj. Zato mora pridobiti novo dovoljenje za opravljanje bančnih in drugih storitev.</w:t>
      </w:r>
    </w:p>
    <w:p w14:paraId="7443730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AA056E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_Ref202964024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128</w:t>
      </w:r>
      <w:r w:rsidRPr="00215B2F">
        <w:rPr>
          <w:rFonts w:ascii="Arial" w:hAnsi="Arial" w:cs="Arial"/>
          <w:b/>
          <w:bCs/>
          <w:sz w:val="20"/>
          <w:szCs w:val="20"/>
        </w:rPr>
        <w:fldChar w:fldCharType="end"/>
      </w:r>
      <w:r w:rsidRPr="00215B2F">
        <w:rPr>
          <w:rFonts w:ascii="Arial" w:hAnsi="Arial" w:cs="Arial"/>
          <w:b/>
          <w:bCs/>
          <w:sz w:val="20"/>
          <w:szCs w:val="20"/>
        </w:rPr>
        <w:t>. členu (veljavni 101. člen ZBan-3)</w:t>
      </w:r>
    </w:p>
    <w:p w14:paraId="54332F9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AB592DD" w14:textId="77777777" w:rsidR="0010347E" w:rsidRPr="00215B2F" w:rsidRDefault="0010347E" w:rsidP="0010347E">
      <w:pPr>
        <w:pStyle w:val="tevilnatoka"/>
        <w:numPr>
          <w:ilvl w:val="0"/>
          <w:numId w:val="0"/>
        </w:numPr>
        <w:shd w:val="clear" w:color="auto" w:fill="FFFFFF" w:themeFill="background1"/>
        <w:rPr>
          <w:rFonts w:cs="Arial"/>
          <w:sz w:val="20"/>
          <w:szCs w:val="20"/>
        </w:rPr>
      </w:pPr>
      <w:r w:rsidRPr="00215B2F">
        <w:rPr>
          <w:rFonts w:cs="Arial"/>
          <w:sz w:val="20"/>
          <w:szCs w:val="20"/>
        </w:rPr>
        <w:t>V primerjavi z ZBan-3 (101. člen) ni vsebinskih sprememb. Enake učinke za poslovanje in upravljanje tveganj banke ima tudi odločitev skupščine, da banka preneha opravljati bančne storitve, zato se tudi za ta primer smiselno uporabljajo določbe o redni likvidaciji banke.</w:t>
      </w:r>
    </w:p>
    <w:p w14:paraId="32D00E6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2C5C21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_Ref202964036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129</w:t>
      </w:r>
      <w:r w:rsidRPr="00215B2F">
        <w:rPr>
          <w:rFonts w:ascii="Arial" w:hAnsi="Arial" w:cs="Arial"/>
          <w:b/>
          <w:bCs/>
          <w:sz w:val="20"/>
          <w:szCs w:val="20"/>
        </w:rPr>
        <w:fldChar w:fldCharType="end"/>
      </w:r>
      <w:r w:rsidRPr="00215B2F">
        <w:rPr>
          <w:rFonts w:ascii="Arial" w:hAnsi="Arial" w:cs="Arial"/>
          <w:b/>
          <w:bCs/>
          <w:sz w:val="20"/>
          <w:szCs w:val="20"/>
        </w:rPr>
        <w:t>. členu (veljavni 102. člen ZBan-3)</w:t>
      </w:r>
    </w:p>
    <w:p w14:paraId="27B3AE12"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3329A78E" w14:textId="77777777" w:rsidR="0010347E" w:rsidRPr="00215B2F" w:rsidRDefault="0010347E" w:rsidP="0010347E">
      <w:pPr>
        <w:shd w:val="clear" w:color="auto" w:fill="FFFFFF" w:themeFill="background1"/>
        <w:spacing w:after="0" w:line="240" w:lineRule="auto"/>
        <w:jc w:val="both"/>
        <w:rPr>
          <w:rFonts w:ascii="Arial" w:hAnsi="Arial" w:cs="Arial"/>
          <w:bCs/>
          <w:sz w:val="20"/>
          <w:szCs w:val="20"/>
        </w:rPr>
      </w:pPr>
      <w:r w:rsidRPr="00215B2F">
        <w:rPr>
          <w:rFonts w:ascii="Arial" w:hAnsi="Arial" w:cs="Arial"/>
          <w:bCs/>
          <w:sz w:val="20"/>
          <w:szCs w:val="20"/>
        </w:rPr>
        <w:t>V primerjavi z ZBan-3 (102. člen) ni vsebinskih sprememb. Za poslovne knjige in letna poročila bank ter za njihovo revidiranje se uporabljajo splošna pravila iz ZGD-1 in zakona o revidiranju, razen če ZBan-3 določa posebna pravila. Banke morajo voditi knjige, vrednotiti postavke in sestavljati poročila v skladu s temi predpisi ter podzakonskimi akti, ki jih izda Banka Slovenije na podlagi 109. člena ZBan-3. Pri tem se ne uporablja 5. točka prvega odstavka 685. člena ZGD-1, ki se nanaša na določene izjeme pri sestavi letnega poročila.</w:t>
      </w:r>
    </w:p>
    <w:p w14:paraId="600DC335"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0B06B32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_Ref202964043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130</w:t>
      </w:r>
      <w:r w:rsidRPr="00215B2F">
        <w:rPr>
          <w:rFonts w:ascii="Arial" w:hAnsi="Arial" w:cs="Arial"/>
          <w:b/>
          <w:bCs/>
          <w:sz w:val="20"/>
          <w:szCs w:val="20"/>
        </w:rPr>
        <w:fldChar w:fldCharType="end"/>
      </w:r>
      <w:r w:rsidRPr="00215B2F">
        <w:rPr>
          <w:rFonts w:ascii="Arial" w:hAnsi="Arial" w:cs="Arial"/>
          <w:b/>
          <w:bCs/>
          <w:sz w:val="20"/>
          <w:szCs w:val="20"/>
        </w:rPr>
        <w:t>. členu (veljavni 103. člen ZBan-3)</w:t>
      </w:r>
    </w:p>
    <w:p w14:paraId="1B14A6E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253D8C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(103. člen) ni vsebinskih sprememb. Člen določa, da mora banka voditi glavno knjigo na podlagi internega kontnega okvira. Poleg tega določa, da mora banka sporočati Banki Slovenije finančne informacije v zvezi z računovodskimi izkazi.</w:t>
      </w:r>
    </w:p>
    <w:p w14:paraId="65B0944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2361C6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Pomemben je drugi odstavek, ki določa, da mora biti za sestavo računovodskih in konsolidiranih izkazov poslovno leto enako koledarskemu letu, in pomeni izjemo od splošnega pravila, določenega z zakonom, ki ureja gospodarske družbe, po katerem je poslovno leto lahko različno od koledarskega.</w:t>
      </w:r>
    </w:p>
    <w:p w14:paraId="30ED52E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B91F81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_Ref202964049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131</w:t>
      </w:r>
      <w:r w:rsidRPr="00215B2F">
        <w:rPr>
          <w:rFonts w:ascii="Arial" w:hAnsi="Arial" w:cs="Arial"/>
          <w:b/>
          <w:bCs/>
          <w:sz w:val="20"/>
          <w:szCs w:val="20"/>
        </w:rPr>
        <w:fldChar w:fldCharType="end"/>
      </w:r>
      <w:r w:rsidRPr="00215B2F">
        <w:rPr>
          <w:rFonts w:ascii="Arial" w:hAnsi="Arial" w:cs="Arial"/>
          <w:b/>
          <w:bCs/>
          <w:sz w:val="20"/>
          <w:szCs w:val="20"/>
        </w:rPr>
        <w:t>. členu (veljavni 104. člen ZBan-3)</w:t>
      </w:r>
    </w:p>
    <w:p w14:paraId="49E7E04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F93CDAC" w14:textId="77777777" w:rsidR="0010347E" w:rsidRPr="00215B2F" w:rsidRDefault="0010347E" w:rsidP="0010347E">
      <w:pPr>
        <w:shd w:val="clear" w:color="auto" w:fill="FFFFFF" w:themeFill="background1"/>
        <w:spacing w:after="0" w:line="240" w:lineRule="auto"/>
        <w:jc w:val="both"/>
        <w:rPr>
          <w:rFonts w:ascii="Arial" w:hAnsi="Arial" w:cs="Arial"/>
        </w:rPr>
      </w:pPr>
      <w:r w:rsidRPr="00215B2F">
        <w:rPr>
          <w:rFonts w:ascii="Arial" w:hAnsi="Arial" w:cs="Arial"/>
          <w:sz w:val="20"/>
          <w:szCs w:val="20"/>
        </w:rPr>
        <w:t>Vsebino glede razkritij že ureja veljavni 104. člen ZBan-3. S predlogom zakona se je vsebina člena vsebinsko nadgradila zaradi prenosa 106. člena CRD. V primerjavi z ZBan-3 je spremenjen prvi odstavek. Banke morajo na svojih uradnih spletnih straneh javno objaviti razkritja, določena v 8. delu Uredbe 575/2013/EU. Banka Slovenije lahko s podzakonskim aktom zahteva pogostejša razkritja, določi roke za predložitev informacij EBA ter predpiše druge načine objave informacij. Poleg tega morajo banke javno pojasniti, kako izpolnjujejo zahteve glede notranjega upravljanja, politike izbora članov upravljalnega organa in politike prejemkov. Nadrejena banka mora letno objaviti opis pravne in organizacijske strukture bančne skupine ter notranjega upravljanja ali pa se sklicevati na enakovredne objavljene informacije.</w:t>
      </w:r>
    </w:p>
    <w:p w14:paraId="44461D1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0D6105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_Ref202964059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132</w:t>
      </w:r>
      <w:r w:rsidRPr="00215B2F">
        <w:rPr>
          <w:rFonts w:ascii="Arial" w:hAnsi="Arial" w:cs="Arial"/>
          <w:b/>
          <w:bCs/>
          <w:sz w:val="20"/>
          <w:szCs w:val="20"/>
        </w:rPr>
        <w:fldChar w:fldCharType="end"/>
      </w:r>
      <w:r w:rsidRPr="00215B2F">
        <w:rPr>
          <w:rFonts w:ascii="Arial" w:hAnsi="Arial" w:cs="Arial"/>
          <w:b/>
          <w:bCs/>
          <w:sz w:val="20"/>
          <w:szCs w:val="20"/>
        </w:rPr>
        <w:t>. členu (veljavni 105. člen ZBan-3)</w:t>
      </w:r>
    </w:p>
    <w:p w14:paraId="3F3E6493"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57A53C5C" w14:textId="77777777"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bCs/>
          <w:sz w:val="20"/>
          <w:szCs w:val="20"/>
        </w:rPr>
        <w:t xml:space="preserve">V primerjavi z ZBan-3 (105. člen) ni vsebinskih sprememb. Banka mora Banki Slovenije predložiti letno poročilo, revizorjevo poročilo o računovodskih izkazih in po potrebi tudi revizorjevo poročilo o trajnostnosti v osmih dneh po prejemu revizorjevega poročila, vendar najpozneje štiri mesece po koncu </w:t>
      </w:r>
      <w:r w:rsidRPr="00215B2F">
        <w:rPr>
          <w:rFonts w:cs="Arial"/>
          <w:bCs/>
          <w:sz w:val="20"/>
          <w:szCs w:val="20"/>
        </w:rPr>
        <w:lastRenderedPageBreak/>
        <w:t>koledarskega leta. Če banka pripravlja konsolidirano letno poročilo, veljajo podobni roki in postopki za njegovo predložitev, revizijski pregled in objavo.</w:t>
      </w:r>
    </w:p>
    <w:p w14:paraId="790970E8" w14:textId="77777777" w:rsidR="0010347E" w:rsidRPr="00215B2F" w:rsidRDefault="0010347E" w:rsidP="0010347E">
      <w:pPr>
        <w:pStyle w:val="tevilnatoka"/>
        <w:numPr>
          <w:ilvl w:val="0"/>
          <w:numId w:val="0"/>
        </w:numPr>
        <w:shd w:val="clear" w:color="auto" w:fill="FFFFFF" w:themeFill="background1"/>
        <w:rPr>
          <w:rFonts w:cs="Arial"/>
          <w:bCs/>
          <w:sz w:val="20"/>
          <w:szCs w:val="20"/>
        </w:rPr>
      </w:pPr>
    </w:p>
    <w:p w14:paraId="7A3D6C2A" w14:textId="77777777" w:rsidR="0010347E" w:rsidRPr="00215B2F" w:rsidRDefault="0010347E" w:rsidP="0010347E">
      <w:pPr>
        <w:shd w:val="clear" w:color="auto" w:fill="FFFFFF" w:themeFill="background1"/>
        <w:spacing w:after="0" w:line="240" w:lineRule="auto"/>
        <w:jc w:val="both"/>
        <w:rPr>
          <w:rFonts w:ascii="Arial" w:hAnsi="Arial" w:cs="Arial"/>
          <w:bCs/>
          <w:sz w:val="20"/>
          <w:szCs w:val="20"/>
        </w:rPr>
      </w:pPr>
      <w:r w:rsidRPr="00215B2F">
        <w:rPr>
          <w:rFonts w:ascii="Arial" w:hAnsi="Arial" w:cs="Arial"/>
          <w:bCs/>
          <w:sz w:val="20"/>
          <w:szCs w:val="20"/>
        </w:rPr>
        <w:t>V zvezi z revizorjevim poročilom o dajanju zagotovil o trajnostnosti iz tretjega odstavka 57. člena ZGD-1 velja pojasniti, da gre za preteklo dopolnitev, ki je bila predvidena z ZGD-1M. Z »</w:t>
      </w:r>
      <w:r w:rsidRPr="00215B2F">
        <w:rPr>
          <w:rFonts w:ascii="Arial" w:hAnsi="Arial" w:cs="Arial"/>
          <w:bCs/>
          <w:sz w:val="20"/>
          <w:szCs w:val="20"/>
          <w:shd w:val="clear" w:color="auto" w:fill="FFFFFF"/>
        </w:rPr>
        <w:t>Direktivo (EU) 2022/2464 Evropskega parlamenta in Sveta z dne 14. decembra 2022 o spremembi Uredbe (EU) št. 537/2014, Direktive 2004/109/ES, Direktive 2006/43/ES in Direktive 2013/34/EU glede poročanja podjetij o trajnostnosti«</w:t>
      </w:r>
      <w:r w:rsidRPr="00215B2F">
        <w:rPr>
          <w:rFonts w:ascii="Arial" w:hAnsi="Arial" w:cs="Arial"/>
          <w:bCs/>
          <w:sz w:val="20"/>
          <w:szCs w:val="20"/>
        </w:rPr>
        <w:t xml:space="preserve"> spremenjena določba prvega odstavka 34. člena </w:t>
      </w:r>
      <w:r w:rsidRPr="00215B2F">
        <w:rPr>
          <w:rFonts w:ascii="Arial" w:hAnsi="Arial" w:cs="Arial"/>
          <w:bCs/>
          <w:sz w:val="20"/>
          <w:szCs w:val="20"/>
          <w:shd w:val="clear" w:color="auto" w:fill="FFFFFF"/>
        </w:rPr>
        <w:t xml:space="preserve">»Direktive 2013/34/EU Evropskega parlamenta in Sveta z dne 26. junija 2013 o letnih računovodskih izkazih, konsolidiranih računovodskih izkazih in povezanih poročilih nekaterih vrst podjetij, spremembi Direktive 2006/43/ES Evropskega parlamenta in Sveta ter razveljavitvi direktiv Sveta 78/660/EGS in 83/349/EGS« </w:t>
      </w:r>
      <w:r w:rsidRPr="00215B2F">
        <w:rPr>
          <w:rFonts w:ascii="Arial" w:hAnsi="Arial" w:cs="Arial"/>
          <w:bCs/>
          <w:sz w:val="20"/>
          <w:szCs w:val="20"/>
        </w:rPr>
        <w:t xml:space="preserve">določa, da mora revizor podati mnenje glede skladnosti poročanja o trajnostnosti z </w:t>
      </w:r>
      <w:bookmarkStart w:id="611" w:name="_Hlk173142801"/>
      <w:r w:rsidRPr="00215B2F">
        <w:rPr>
          <w:rFonts w:ascii="Arial" w:hAnsi="Arial" w:cs="Arial"/>
          <w:bCs/>
          <w:sz w:val="20"/>
          <w:szCs w:val="20"/>
        </w:rPr>
        <w:t>zahtevami direktive. Prvi odstavek 57. člena ZGD-1 se tako spreminja zaradi nove obveznosti revizorja v zvezi z dajanjem zagotovil glede poročila o trajnostnosti, kadar ga družba mora pripraviti.</w:t>
      </w:r>
      <w:bookmarkEnd w:id="611"/>
    </w:p>
    <w:p w14:paraId="216B7913" w14:textId="77777777" w:rsidR="0010347E" w:rsidRPr="00215B2F" w:rsidRDefault="0010347E" w:rsidP="0010347E">
      <w:pPr>
        <w:pStyle w:val="Odstavek"/>
        <w:shd w:val="clear" w:color="auto" w:fill="FFFFFF" w:themeFill="background1"/>
        <w:spacing w:before="0"/>
        <w:ind w:firstLine="0"/>
        <w:rPr>
          <w:rFonts w:cs="Arial"/>
          <w:b/>
          <w:bCs/>
          <w:sz w:val="20"/>
          <w:szCs w:val="20"/>
        </w:rPr>
      </w:pPr>
    </w:p>
    <w:p w14:paraId="3310A472"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_Ref202964088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133</w:t>
      </w:r>
      <w:r w:rsidRPr="00215B2F">
        <w:rPr>
          <w:rFonts w:cs="Arial"/>
          <w:b/>
          <w:bCs/>
          <w:sz w:val="20"/>
          <w:szCs w:val="20"/>
        </w:rPr>
        <w:fldChar w:fldCharType="end"/>
      </w:r>
      <w:r w:rsidRPr="00215B2F">
        <w:rPr>
          <w:rFonts w:cs="Arial"/>
          <w:b/>
          <w:bCs/>
          <w:sz w:val="20"/>
          <w:szCs w:val="20"/>
        </w:rPr>
        <w:t>. členu (veljavni 106. člen ZBan-3)</w:t>
      </w:r>
    </w:p>
    <w:p w14:paraId="20817B63" w14:textId="77777777" w:rsidR="0010347E" w:rsidRPr="00215B2F" w:rsidRDefault="0010347E" w:rsidP="0010347E">
      <w:pPr>
        <w:pStyle w:val="Odstavek"/>
        <w:shd w:val="clear" w:color="auto" w:fill="FFFFFF" w:themeFill="background1"/>
        <w:spacing w:before="0"/>
        <w:ind w:firstLine="0"/>
        <w:rPr>
          <w:rFonts w:cs="Arial"/>
          <w:b/>
          <w:bCs/>
          <w:sz w:val="20"/>
          <w:szCs w:val="20"/>
        </w:rPr>
      </w:pPr>
    </w:p>
    <w:p w14:paraId="226753DE"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Revizijski pregled letnega poročila banke in pripadajočih revizorjevih poročil poteka v skladu z določbami 57. člena ZGD-1, pri čemer banka imenuje revizijsko družbo za obdobje najmanj treh let, z možnostjo neprekinjenega dela največ deset let, nato pa vsaj štiri leta premora; to pravilo ne velja za subjekte javnega interesa po Uredbi EU 537/2014. Pogodbo o reviziji je mogoče odpovedati le iz utemeljenih razlogov s sodno odločitvijo, ob čemer razhajanja v strokovnih mnenjih niso razlog, uprava pa lahko odpoved izvede le ob soglasju nadzornega sveta in po posvetu z revizijsko komisijo. Banka mora predhodno pisno obvestiti Banko Slovenije o razrešitvi ali odstopu revizijske družbe in navesti razloge, Banka Slovenije pa lahko zahteva dodatna pojasnila ali dopolnitve, če revizijski pregled ni ustrezno opravljen.</w:t>
      </w:r>
    </w:p>
    <w:p w14:paraId="7109296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785AE9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_Ref202964095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134</w:t>
      </w:r>
      <w:r w:rsidRPr="00215B2F">
        <w:rPr>
          <w:rFonts w:ascii="Arial" w:hAnsi="Arial" w:cs="Arial"/>
          <w:b/>
          <w:bCs/>
          <w:sz w:val="20"/>
          <w:szCs w:val="20"/>
        </w:rPr>
        <w:fldChar w:fldCharType="end"/>
      </w:r>
      <w:r w:rsidRPr="00215B2F">
        <w:rPr>
          <w:rFonts w:ascii="Arial" w:hAnsi="Arial" w:cs="Arial"/>
          <w:b/>
          <w:bCs/>
          <w:sz w:val="20"/>
          <w:szCs w:val="20"/>
        </w:rPr>
        <w:t>. členu (veljavni 107. člen ZBan-3)</w:t>
      </w:r>
    </w:p>
    <w:p w14:paraId="2E874819" w14:textId="77777777" w:rsidR="0010347E" w:rsidRPr="00215B2F" w:rsidRDefault="0010347E" w:rsidP="0010347E">
      <w:pPr>
        <w:pStyle w:val="Odstavek"/>
        <w:shd w:val="clear" w:color="auto" w:fill="FFFFFF" w:themeFill="background1"/>
        <w:spacing w:before="0"/>
        <w:ind w:firstLine="0"/>
        <w:rPr>
          <w:rFonts w:cs="Arial"/>
          <w:b/>
          <w:bCs/>
          <w:sz w:val="20"/>
          <w:szCs w:val="20"/>
        </w:rPr>
      </w:pPr>
    </w:p>
    <w:p w14:paraId="16E5A2E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(107. člen) ni vsebinskih sprememb. S členom se določajo obveznosti revizijske družbe v razmerju do Banke Slovenije. Revizijska družba, ki opravlja revizijski pregled letnega poročila banke, mora Banko Slovenije nemudoma obvestiti o vsakem dejstvu ali okoliščini, ki jo je ugotovila pri revizijskem pregledu in ki lahko pomeni enega od predvidenih teh položajev. Revizijska družba mora Banki Slovenije na njeno zahtevo poslati tudi druge podatke, ki jih Banka Slovenije potrebuje pri opravljanju nadzora nad banko v skladu s tem zakonom.</w:t>
      </w:r>
    </w:p>
    <w:p w14:paraId="02A6434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F6F640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_Ref202964101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135</w:t>
      </w:r>
      <w:r w:rsidRPr="00215B2F">
        <w:rPr>
          <w:rFonts w:ascii="Arial" w:hAnsi="Arial" w:cs="Arial"/>
          <w:b/>
          <w:bCs/>
          <w:sz w:val="20"/>
          <w:szCs w:val="20"/>
        </w:rPr>
        <w:fldChar w:fldCharType="end"/>
      </w:r>
      <w:r w:rsidRPr="00215B2F">
        <w:rPr>
          <w:rFonts w:ascii="Arial" w:hAnsi="Arial" w:cs="Arial"/>
          <w:b/>
          <w:bCs/>
          <w:sz w:val="20"/>
          <w:szCs w:val="20"/>
        </w:rPr>
        <w:t>. členu (veljavni 108. člen ZBan-3)</w:t>
      </w:r>
    </w:p>
    <w:p w14:paraId="2F5CBEE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4147F6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(108. člen) ni vsebinskih sprememb. Člen ureja objavo revidiranega letnega poročila banke.</w:t>
      </w:r>
    </w:p>
    <w:p w14:paraId="71688A4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28E9DCA" w14:textId="45BFCBC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Banka mora letno poročilo z revizorjevima poročiloma objaviti na svojih spletnih straneh v štirih mesecih po koncu leta; če pristojni organ poročila še ni sprejel, mora objaviti sestavljeno letno poročilo z opozorilom, ki ga nato v 15 dneh po sprejetju pravočasno posodobi ali potrdi. Letno poročilo in revizorjeva poročila morajo biti dostopni vsaj deset let, poleg tega jih je treba v šestih mesecih predložiti Agenciji Republike Slovenije za javnopravne evidence in storitve.</w:t>
      </w:r>
    </w:p>
    <w:p w14:paraId="444824E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EBD6A12" w14:textId="3914D97B"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Podružnicam bank držav članic ali bank tretjih držav se nalaga obveza, da poleg računovodskih izkazov z mnenjem revizorja, kot velja po veljavni ureditvi, na svoji spletni strani objavijo tudi povezavo do spletne strani, na kateri banka objavi revidirano letno poročilo in revidirano konsolidirano letno poročilo. Če letno poročilo oziroma konsolidirano letno poročilo tuje banke ni sestavljeno v skladu z Uredbo Komisije (ES) št. 1126/2008 oziroma Direktivo 2013/34/EU (tj. v skladu z mednarodnimi standardi računovodskega poročanja – MSRP), pa bo morala podružnica te banke po novem v slovenskem jeziku razkriti tudi računovodsko poročilo (tj. računovodske izkaze s pojasnili) za dejavnosti podružnice. Podlaga za tako zahtevo izhaja iz Direktive 89/117/EGS. Podobno velja tudi za podružnice drugih tujih gospodarskih družb na podlagi 680. člena Zakona o gospodarskih družbah (ZGD-1), le da se za te zahteva razkritje celotnega letnega poročila za podružnico. </w:t>
      </w:r>
    </w:p>
    <w:p w14:paraId="639B037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CDFC3C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_Ref202964109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136</w:t>
      </w:r>
      <w:r w:rsidRPr="00215B2F">
        <w:rPr>
          <w:rFonts w:ascii="Arial" w:hAnsi="Arial" w:cs="Arial"/>
          <w:b/>
          <w:bCs/>
          <w:sz w:val="20"/>
          <w:szCs w:val="20"/>
        </w:rPr>
        <w:fldChar w:fldCharType="end"/>
      </w:r>
      <w:r w:rsidRPr="00215B2F">
        <w:rPr>
          <w:rFonts w:ascii="Arial" w:hAnsi="Arial" w:cs="Arial"/>
          <w:b/>
          <w:bCs/>
          <w:sz w:val="20"/>
          <w:szCs w:val="20"/>
        </w:rPr>
        <w:t>. členu (veljavni 109. člen ZBan-3)</w:t>
      </w:r>
    </w:p>
    <w:p w14:paraId="3F670FF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FDD8DE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lastRenderedPageBreak/>
        <w:t>V primerjavi z ZBan-3 (109. člen) ni vsebinskih sprememb. Banka Slovenije določa vsebino glavne knjige in vrste računovodskih ter konsolidiranih izkazov, podrobnosti glede vsebine, oblike in načina pošiljanja letnih ter konsolidiranih poročil, pravila za vrednotenje knjigovodskih postavk ter podrobnosti o vsebini, oblikah, pogostosti in rokih za pošiljanje finančnih informacij.</w:t>
      </w:r>
    </w:p>
    <w:p w14:paraId="21993F0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F13588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_Ref202964117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137</w:t>
      </w:r>
      <w:r w:rsidRPr="00215B2F">
        <w:rPr>
          <w:rFonts w:ascii="Arial" w:hAnsi="Arial" w:cs="Arial"/>
          <w:b/>
          <w:bCs/>
          <w:sz w:val="20"/>
          <w:szCs w:val="20"/>
        </w:rPr>
        <w:fldChar w:fldCharType="end"/>
      </w:r>
      <w:r w:rsidRPr="00215B2F">
        <w:rPr>
          <w:rFonts w:ascii="Arial" w:hAnsi="Arial" w:cs="Arial"/>
          <w:b/>
          <w:bCs/>
          <w:sz w:val="20"/>
          <w:szCs w:val="20"/>
        </w:rPr>
        <w:t>. členu (veljavni 110. člen ZBan-3)</w:t>
      </w:r>
    </w:p>
    <w:p w14:paraId="7438890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7EE157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(110. člen) ni vsebinskih sprememb. Člen za namene tega zakona opredeli dejavnost sprejemanja depozitov in drugih vračljivih sredstev od javnosti. Za te namene je najprej opredeljen izraz depozit, nato pa je kot pravilo določeno, da sprejemanje depozitov in drugih vračljivih sredstev od javnosti pomeni sprejemanje depozitov od nepoučenih oseb. Predlog za namene tega zakona kot depozit opredeljuje vse posle, ki vključujejo elemente depozitne pogodbe in pri katerih vplačnik pridobi pravico zahtevati vrnitev vplačanih denarnih sredstev v določenih rokih. Za opredelitev depozita je ključno, da pogodba ali drugi pogoji, ki veljajo med strankama, ne določajo dodatnih pogojev (razen roka), ki izključujejo ali omejujejo uveljavljanje pravice do vračila. Za namene opredelitve dejavnosti prejemanja depozitov in drugih vračljivih sredstev od javnosti se kot pojavna oblika storitve šteje tudi vplačilo drugih sredstev, (razen denarja), ki jih vplačnik vplača prejemniku, s pravico zahtevati vračilo teh sredstev v določenih rokih. </w:t>
      </w:r>
    </w:p>
    <w:p w14:paraId="43BAE93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4920BD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Sprejemanje depozitov in drugih vračljivih sredstev od javnosti je sprejemanje vplačil od nepoučenih oseb. Predlog člena za te namene definira izraz nepoučene osebe, in sicer so to tiste osebe, ki niso profesionalne stranke, ali osebe, ki se lahko štejejo za dobro poučenega vlagatelja v skladu z zakonom, ki ureja trg finančnih instrumentov. Navedeni zakon opredeljuje dobro poučenega vlagatelja s sklicem na Uredbo 2017/1129/EU.</w:t>
      </w:r>
    </w:p>
    <w:p w14:paraId="21DE2D8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3853A7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Iz opredelitve dejavnosti sprejemanja depozitov in drugih vračljivih sredstev od javnosti se izrecno izključuje sprejemanje vplačil na podlagi ponudbe za vplačilo dolžniških vrednostnih papirjev izdajatelja, ki ni kreditna institucija. Pri tem uveljavljanje izjeme ni mogoče, če izdajatelj hkrati kot osnovno dejavnost opravlja tudi storitev kreditiranja. V tem primeru se sprejemanje vplačil na podlagi ponudbe dolžniških vrednostnih papirjev izdajatelja šteje kot sprejemanje depozitov od javnosti in je kot takšno za izvajalca predmet prepovedi.</w:t>
      </w:r>
    </w:p>
    <w:p w14:paraId="0921617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0A5EC5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Kot dejavnost sprejemanja depozitov in drugih vračljivih sredstev od javnosti se ne šteje niti sprejemanje vplačil denarnih sredstev ali drugih vračljivih sredstev na podlagi ponudbe, ki je naslovljena izključno na profesionalne stranke ali druge osebe, ki se štejejo za dobro poučene vlagatelje, kot so opredeljeni z zakonom, ki ureja trg finančnih instrumentov.</w:t>
      </w:r>
    </w:p>
    <w:p w14:paraId="586805E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9B7D31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Predlog zakona določa tudi, da v primeru dvoma Banka Slovenije ugotovi relevantne okoliščine posameznega primera in odloči, ali se sprejemanje vplačil denarnih sredstev ali drugih vračljivih sredstev na podlagi ponudbe ali na podlagi določenega posla šteje za sprejemanje depozitov in drugih vračljivih sredstev od javnosti.</w:t>
      </w:r>
    </w:p>
    <w:p w14:paraId="0C295D6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9F1795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_Ref202964125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138</w:t>
      </w:r>
      <w:r w:rsidRPr="00215B2F">
        <w:rPr>
          <w:rFonts w:ascii="Arial" w:hAnsi="Arial" w:cs="Arial"/>
          <w:b/>
          <w:bCs/>
          <w:sz w:val="20"/>
          <w:szCs w:val="20"/>
        </w:rPr>
        <w:fldChar w:fldCharType="end"/>
      </w:r>
      <w:r w:rsidRPr="00215B2F">
        <w:rPr>
          <w:rFonts w:ascii="Arial" w:hAnsi="Arial" w:cs="Arial"/>
          <w:b/>
          <w:bCs/>
          <w:sz w:val="20"/>
          <w:szCs w:val="20"/>
        </w:rPr>
        <w:t>. členu (veljavni 111. člen ZBan-3)</w:t>
      </w:r>
    </w:p>
    <w:p w14:paraId="2FC98DB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24DC63F"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ZBan-3 (111. člen) določa, da na območju Republike Slovenije bančne storitve lahko opravljajo banke, ki imajo dovoljenje po slovenskem zakonu, banke iz držav članic EU, ki ustanovijo podružnico ali so po zakonu upravičene neposredno opravljati storitve, ter banke tretjih držav, ki pridobijo dovoljenje za ustanovitev podružnice v Sloveniji.</w:t>
      </w:r>
    </w:p>
    <w:p w14:paraId="5CBB3DE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6426052" w14:textId="24073175"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zakona se v primerjavi z ZBan-3 spreminja zadnja možnost (torej opravljanje bančnih storitev bank tretjih držav). Po sedanji ureditvi lahko na območju Republike Slovenije opravljajo bančne storitve tudi </w:t>
      </w:r>
      <w:r w:rsidRPr="00215B2F">
        <w:rPr>
          <w:rFonts w:eastAsia="Arial" w:cs="Arial"/>
          <w:sz w:val="20"/>
          <w:szCs w:val="20"/>
        </w:rPr>
        <w:t>banke tretje države, ki v skladu s tem zakonom pridobi dovoljenje za ustanovitev podružnice v Republiki Sloveniji. S predlogom zakona se po novem določa, da lahko tovrstne bančne storitve opravljajo družbe tretje države, ki v matični državi lahko opravlja</w:t>
      </w:r>
      <w:r w:rsidR="004C291F" w:rsidRPr="00215B2F">
        <w:rPr>
          <w:rFonts w:eastAsia="Arial" w:cs="Arial"/>
          <w:sz w:val="20"/>
          <w:szCs w:val="20"/>
        </w:rPr>
        <w:t>jo</w:t>
      </w:r>
      <w:r w:rsidRPr="00215B2F">
        <w:rPr>
          <w:rFonts w:eastAsia="Arial" w:cs="Arial"/>
          <w:sz w:val="20"/>
          <w:szCs w:val="20"/>
        </w:rPr>
        <w:t xml:space="preserve"> bančne storitve, ter v skladu s tem zakonom ustanovijo podružnico iz tretje države in pridobijo dovoljenje za podružnico iz tretje države v Republiki Sloveniji. Gre za prenos 21.c in 47. člena (tretji odstavek) CRD. </w:t>
      </w:r>
      <w:r w:rsidRPr="00215B2F">
        <w:rPr>
          <w:rFonts w:cs="Arial"/>
          <w:sz w:val="20"/>
          <w:szCs w:val="20"/>
        </w:rPr>
        <w:t>Iz navedenih členov izhaja, da lahko bančne in finančne storitve opravljajo tudi družbe, ki v matični državi niso banke/kreditne institucije, pa so pridobile dovoljenje za podružnico v skladu s CRD</w:t>
      </w:r>
      <w:r w:rsidRPr="00215B2F">
        <w:rPr>
          <w:rFonts w:cs="Arial"/>
        </w:rPr>
        <w:t>.</w:t>
      </w:r>
    </w:p>
    <w:p w14:paraId="0B75F35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706453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_Ref202964135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139</w:t>
      </w:r>
      <w:r w:rsidRPr="00215B2F">
        <w:rPr>
          <w:rFonts w:ascii="Arial" w:hAnsi="Arial" w:cs="Arial"/>
          <w:b/>
          <w:bCs/>
          <w:sz w:val="20"/>
          <w:szCs w:val="20"/>
        </w:rPr>
        <w:fldChar w:fldCharType="end"/>
      </w:r>
      <w:r w:rsidRPr="00215B2F">
        <w:rPr>
          <w:rFonts w:ascii="Arial" w:hAnsi="Arial" w:cs="Arial"/>
          <w:b/>
          <w:bCs/>
          <w:sz w:val="20"/>
          <w:szCs w:val="20"/>
        </w:rPr>
        <w:t>. členu (veljavni 112. člen ZBan-3)</w:t>
      </w:r>
    </w:p>
    <w:p w14:paraId="569A8102"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005419C0" w14:textId="6FE81F3E"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w:t>
      </w:r>
      <w:r w:rsidR="004C291F" w:rsidRPr="00215B2F">
        <w:rPr>
          <w:rFonts w:ascii="Arial" w:hAnsi="Arial" w:cs="Arial"/>
          <w:sz w:val="20"/>
          <w:szCs w:val="20"/>
        </w:rPr>
        <w:t>3</w:t>
      </w:r>
      <w:r w:rsidRPr="00215B2F">
        <w:rPr>
          <w:rFonts w:ascii="Arial" w:hAnsi="Arial" w:cs="Arial"/>
          <w:sz w:val="20"/>
          <w:szCs w:val="20"/>
        </w:rPr>
        <w:t xml:space="preserve"> (112. člen) ni vsebinskih sprememb. Predlog člena določa </w:t>
      </w:r>
      <w:bookmarkStart w:id="612" w:name="_Toc398295708"/>
      <w:r w:rsidRPr="00215B2F">
        <w:rPr>
          <w:rFonts w:ascii="Arial" w:hAnsi="Arial" w:cs="Arial"/>
          <w:sz w:val="20"/>
          <w:szCs w:val="20"/>
        </w:rPr>
        <w:t>prepoved opravljanja storitev sprejemanja depozitov ali drugih vračljivih sredstev od javnosti</w:t>
      </w:r>
      <w:bookmarkEnd w:id="612"/>
      <w:r w:rsidRPr="00215B2F">
        <w:rPr>
          <w:rFonts w:ascii="Arial" w:hAnsi="Arial" w:cs="Arial"/>
          <w:sz w:val="20"/>
          <w:szCs w:val="20"/>
        </w:rPr>
        <w:t xml:space="preserve"> in v notranji pravni red prenaša določbo 9. člena CRD, ki od držav članic zahteva, da osebam ali družbam, ki niso kreditne institucije, prepovejo opravljanje poslov sprejemanja vlog ali drugih vračljivih sredstev od javnosti. Ta prepoved se v skladu z navedenim členom direktive ne uporablja za sprejemanje vlog ali drugih sredstev, vračljivih s strani države članice, njenih regionalnih ali lokalnih organov, javnih mednarodnih organov, katerih članica je ena ali več držav članic, ali za primere, za katere izrecno velja nacionalno pravo ali pravo Unije, če so te dejavnosti v skladu s predpisi in kontrolami, namenjenimi zaščiti vlagateljev in investitorjev.</w:t>
      </w:r>
    </w:p>
    <w:p w14:paraId="356C7D1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E06D65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_Ref202964145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140</w:t>
      </w:r>
      <w:r w:rsidRPr="00215B2F">
        <w:rPr>
          <w:rFonts w:ascii="Arial" w:hAnsi="Arial" w:cs="Arial"/>
          <w:b/>
          <w:bCs/>
          <w:sz w:val="20"/>
          <w:szCs w:val="20"/>
        </w:rPr>
        <w:fldChar w:fldCharType="end"/>
      </w:r>
      <w:r w:rsidRPr="00215B2F">
        <w:rPr>
          <w:rFonts w:ascii="Arial" w:hAnsi="Arial" w:cs="Arial"/>
          <w:b/>
          <w:bCs/>
          <w:sz w:val="20"/>
          <w:szCs w:val="20"/>
        </w:rPr>
        <w:t>. členu (veljavni 113. člen ZBan-3)</w:t>
      </w:r>
    </w:p>
    <w:p w14:paraId="075A5FD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11B7B7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(113. člen) ni vsebinskih sprememb. Predlog člena ureja </w:t>
      </w:r>
      <w:bookmarkStart w:id="613" w:name="_Toc398295710"/>
      <w:r w:rsidRPr="00215B2F">
        <w:rPr>
          <w:rFonts w:ascii="Arial" w:hAnsi="Arial" w:cs="Arial"/>
          <w:sz w:val="20"/>
          <w:szCs w:val="20"/>
        </w:rPr>
        <w:t>obveznost pridobitve dovoljenja za opravljanje storitev</w:t>
      </w:r>
      <w:bookmarkEnd w:id="613"/>
      <w:r w:rsidRPr="00215B2F">
        <w:rPr>
          <w:rFonts w:ascii="Arial" w:hAnsi="Arial" w:cs="Arial"/>
          <w:sz w:val="20"/>
          <w:szCs w:val="20"/>
        </w:rPr>
        <w:t xml:space="preserve"> in v notranji pravni red prenaša določbo 8. člena CRD, ki od kreditnih institucij zahteva, da pridobijo dovoljenje pred začetkom opravljanja svojih dejavnosti. Za opravljanje bančnih storitev na območju Republike Slovenije mora družba s sedežem v Republiki Sloveniji z upoštevanjem Uredbe 1024/2013/EU pridobiti dovoljenje </w:t>
      </w:r>
      <w:r w:rsidRPr="00215B2F">
        <w:rPr>
          <w:rFonts w:ascii="Arial" w:eastAsia="Arial" w:hAnsi="Arial" w:cs="Arial"/>
          <w:sz w:val="20"/>
          <w:szCs w:val="20"/>
        </w:rPr>
        <w:t>ECB</w:t>
      </w:r>
      <w:r w:rsidRPr="00215B2F">
        <w:rPr>
          <w:rFonts w:ascii="Arial" w:hAnsi="Arial" w:cs="Arial"/>
          <w:sz w:val="20"/>
          <w:szCs w:val="20"/>
        </w:rPr>
        <w:t>. Banka pa lahko začne opravljati finančne storitve in dodatne finančne storitve, potem ko pridobi dovoljenje Banke Slovenije, z izjemo kreditnega posredništva pri potrošniških in drugih kreditih in pomožnih storitev, za katere zadošča predhodno obvestilo Banki Slovenije.</w:t>
      </w:r>
    </w:p>
    <w:p w14:paraId="065C858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67C860F"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četrtim odstavkom se določa, da lahko začne družba iz podtočke (b) 1. točke prvega odstavka 4. člena Uredbe 575/2013/EU s sedežem v Republiki Sloveniji opravljati investicijske </w:t>
      </w:r>
      <w:r w:rsidRPr="00215B2F">
        <w:rPr>
          <w:rFonts w:cs="Arial"/>
          <w:bCs/>
          <w:sz w:val="20"/>
          <w:szCs w:val="20"/>
        </w:rPr>
        <w:t xml:space="preserve">storitve in posle </w:t>
      </w:r>
      <w:r w:rsidRPr="00215B2F">
        <w:rPr>
          <w:rFonts w:cs="Arial"/>
          <w:sz w:val="20"/>
          <w:szCs w:val="20"/>
        </w:rPr>
        <w:t xml:space="preserve">iz 3. in 6. točke prvega odstavka 11. člena zakona, ki ureja trg finančnih instrumentov, na območju Republike Slovenije, potem ko pridobi dovoljenje </w:t>
      </w:r>
      <w:r w:rsidRPr="00215B2F">
        <w:rPr>
          <w:rFonts w:eastAsia="Arial" w:cs="Arial"/>
          <w:sz w:val="20"/>
          <w:szCs w:val="20"/>
        </w:rPr>
        <w:t>ECB</w:t>
      </w:r>
      <w:r w:rsidRPr="00215B2F">
        <w:rPr>
          <w:rFonts w:cs="Arial"/>
          <w:sz w:val="20"/>
          <w:szCs w:val="20"/>
        </w:rPr>
        <w:t xml:space="preserve"> za opravljanje teh storitev v skladu s tem zakonom in Uredbo 1024/2013/EU. Gre za vsebino, ki se nanaša na jasno uporabo določb </w:t>
      </w:r>
      <w:r w:rsidRPr="00215B2F">
        <w:rPr>
          <w:rFonts w:cs="Arial"/>
          <w:sz w:val="20"/>
          <w:szCs w:val="20"/>
          <w:lang w:eastAsia="en-US"/>
        </w:rPr>
        <w:t>Uredbe 2019/2033/EU.</w:t>
      </w:r>
    </w:p>
    <w:p w14:paraId="122FAF6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A683CC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_Ref202964155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141</w:t>
      </w:r>
      <w:r w:rsidRPr="00215B2F">
        <w:rPr>
          <w:rFonts w:ascii="Arial" w:hAnsi="Arial" w:cs="Arial"/>
          <w:b/>
          <w:bCs/>
          <w:sz w:val="20"/>
          <w:szCs w:val="20"/>
        </w:rPr>
        <w:fldChar w:fldCharType="end"/>
      </w:r>
      <w:r w:rsidRPr="00215B2F">
        <w:rPr>
          <w:rFonts w:ascii="Arial" w:hAnsi="Arial" w:cs="Arial"/>
          <w:b/>
          <w:bCs/>
          <w:sz w:val="20"/>
          <w:szCs w:val="20"/>
        </w:rPr>
        <w:t>. členu (veljavni 113.a člen ZBan-3)</w:t>
      </w:r>
    </w:p>
    <w:p w14:paraId="1BF1B4D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2B3FF5D"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(113.a člen) ni vsebinskih sprememb. Pred začetkom opravljanja določenih dodatnih finančnih in pomožnih storitev mora banka predhodno obvestiti Banko Slovenije in priložiti poslovni načrt za prva tri leta, ki vključuje podrobni opis storitev in notranjega upravljanja. Banka lahko začne izvajati storitve, ko prejme potrditev Banke Slovenije, da so zahteve izpolnjene, ali po enem mesecu od prejema obvestila, če ni prejela drugačnega odziva ali zahteve za dodatne informacije.</w:t>
      </w:r>
    </w:p>
    <w:p w14:paraId="6E58696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0D06D5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_Ref202964163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142</w:t>
      </w:r>
      <w:r w:rsidRPr="00215B2F">
        <w:rPr>
          <w:rFonts w:ascii="Arial" w:hAnsi="Arial" w:cs="Arial"/>
          <w:b/>
          <w:bCs/>
          <w:sz w:val="20"/>
          <w:szCs w:val="20"/>
        </w:rPr>
        <w:fldChar w:fldCharType="end"/>
      </w:r>
      <w:r w:rsidRPr="00215B2F">
        <w:rPr>
          <w:rFonts w:ascii="Arial" w:hAnsi="Arial" w:cs="Arial"/>
          <w:b/>
          <w:bCs/>
          <w:sz w:val="20"/>
          <w:szCs w:val="20"/>
        </w:rPr>
        <w:t>. členu (veljavni 114. člen ZBan-3)</w:t>
      </w:r>
    </w:p>
    <w:p w14:paraId="67002D4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CD5C1E1" w14:textId="5D15988E"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(114. člen) ni vsebinskih sprememb. Predlog člena ureja območje opravljanja bančnih in finančnih storitev, pri čemer sme banka te storitve opravljati ob izpolnjenih pogojih, ki jih določa ta predlog zakona, tudi na območju druge države članice in na območju tretje države prek podružnice. Dodatne finančne storitve sme banka na ozemlju drugih držav opravljati le ob izpolnjevanju pogojev, ki jih za to določa država gostiteljica</w:t>
      </w:r>
      <w:r w:rsidR="00E65BD8" w:rsidRPr="00215B2F">
        <w:rPr>
          <w:rFonts w:ascii="Arial" w:hAnsi="Arial" w:cs="Arial"/>
          <w:sz w:val="20"/>
          <w:szCs w:val="20"/>
        </w:rPr>
        <w:t>.</w:t>
      </w:r>
    </w:p>
    <w:p w14:paraId="7F7B9A5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3DD185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_Ref202964168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143</w:t>
      </w:r>
      <w:r w:rsidRPr="00215B2F">
        <w:rPr>
          <w:rFonts w:ascii="Arial" w:hAnsi="Arial" w:cs="Arial"/>
          <w:b/>
          <w:bCs/>
          <w:sz w:val="20"/>
          <w:szCs w:val="20"/>
        </w:rPr>
        <w:fldChar w:fldCharType="end"/>
      </w:r>
      <w:r w:rsidRPr="00215B2F">
        <w:rPr>
          <w:rFonts w:ascii="Arial" w:hAnsi="Arial" w:cs="Arial"/>
          <w:b/>
          <w:bCs/>
          <w:sz w:val="20"/>
          <w:szCs w:val="20"/>
        </w:rPr>
        <w:t>. členu (veljavni 115. člen ZBan-3)</w:t>
      </w:r>
    </w:p>
    <w:p w14:paraId="13FC349A" w14:textId="77777777" w:rsidR="0010347E" w:rsidRPr="00215B2F" w:rsidRDefault="0010347E" w:rsidP="0010347E">
      <w:pPr>
        <w:pStyle w:val="Odstavek"/>
        <w:shd w:val="clear" w:color="auto" w:fill="FFFFFF" w:themeFill="background1"/>
        <w:spacing w:before="0"/>
        <w:ind w:firstLine="0"/>
        <w:rPr>
          <w:rFonts w:cs="Arial"/>
          <w:b/>
          <w:sz w:val="20"/>
          <w:szCs w:val="20"/>
        </w:rPr>
      </w:pPr>
    </w:p>
    <w:p w14:paraId="4D7AADB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(115. člen) ni vsebinskih sprememb. Predlog člena določa obveznost pridobitve </w:t>
      </w:r>
      <w:bookmarkStart w:id="614" w:name="_Toc398295712"/>
      <w:r w:rsidRPr="00215B2F">
        <w:rPr>
          <w:rFonts w:ascii="Arial" w:hAnsi="Arial" w:cs="Arial"/>
          <w:sz w:val="20"/>
          <w:szCs w:val="20"/>
        </w:rPr>
        <w:t>dovoljenja za opravljanje bančnih storitev</w:t>
      </w:r>
      <w:bookmarkEnd w:id="614"/>
      <w:r w:rsidRPr="00215B2F">
        <w:rPr>
          <w:rFonts w:ascii="Arial" w:hAnsi="Arial" w:cs="Arial"/>
          <w:sz w:val="20"/>
          <w:szCs w:val="20"/>
        </w:rPr>
        <w:t xml:space="preserve"> pred vpisom ustanovitve banke v sodni register in še dodatno pomeni prenos določbe 8. člena CRD, ki od kreditnih institucij zahteva, da pridobijo dovoljenje pred začetkom opravljanja svojih dejavnosti, v nacionalni pravni red.</w:t>
      </w:r>
    </w:p>
    <w:p w14:paraId="76683BE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7CEB34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_Ref202964173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144</w:t>
      </w:r>
      <w:r w:rsidRPr="00215B2F">
        <w:rPr>
          <w:rFonts w:ascii="Arial" w:hAnsi="Arial" w:cs="Arial"/>
          <w:b/>
          <w:bCs/>
          <w:sz w:val="20"/>
          <w:szCs w:val="20"/>
        </w:rPr>
        <w:fldChar w:fldCharType="end"/>
      </w:r>
      <w:r w:rsidRPr="00215B2F">
        <w:rPr>
          <w:rFonts w:ascii="Arial" w:hAnsi="Arial" w:cs="Arial"/>
          <w:b/>
          <w:bCs/>
          <w:sz w:val="20"/>
          <w:szCs w:val="20"/>
        </w:rPr>
        <w:t>. členu (veljavni 116. člen ZBan-3)</w:t>
      </w:r>
    </w:p>
    <w:p w14:paraId="6FC0AAF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D6CCA4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Predlog člena ureja začetek postopka za izdajo dovoljenja za opravljanje bančnih storitev. Postopek se začne z zahtevo, ki se vloži pri Banki Slovenije, predlog člena pa opredeljuje obvezne sestavine te zahteve, s čimer se v notranji pravni red prenaša določba 10. člena CRD, v skladu s katero države članice zahtevajo, da se vlogi za izdajo dovoljenja priloži poslovni načrt, ki določa vrste predvidenih poslov in organizacijsko strukturo kreditne institucije. Smiselno se s predlogom člena deloma prenaša tudi 14. člen CRD, ki določa, kdaj pristojni organi zavrnejo izdajo dovoljenja za začetek opravljanja dejavnosti kreditne institucije, zato se razkritje določenih podatkov, ki vplivajo na tako odločitev, zahteva </w:t>
      </w:r>
      <w:r w:rsidRPr="00215B2F">
        <w:rPr>
          <w:rFonts w:ascii="Arial" w:hAnsi="Arial" w:cs="Arial"/>
          <w:sz w:val="20"/>
          <w:szCs w:val="20"/>
        </w:rPr>
        <w:lastRenderedPageBreak/>
        <w:t>že ob sami vlogi za izdajo dovoljenja za opravljanje bančnih storitev. Banka Slovenije v postopku z zahtevo za izdajo dovoljenja za opravljanje bančnih storitev preverja popolnost zahteve ter ugotavlja okoliščine, ki so pomembne za odločanje o izdaji dovoljenja. Če banka Slovenije ugotovi, da pogoji za izdajo dovoljenja za opravljanje bančnih storitev niso izpolnjeni, zavrne zahtevo, v nasprotnem primeru pa zahtevo za izdajo dovoljenja za opravljanje bančnih storitev po izvedenem ugotovitvenem postopku pošlje ECB. Ta zahtevo obravnava in odloči po postopku, določenem v Uredbi 1024/2013/EU ter okvirni uredbi ECB 468/2014, pri tem pa upošteva pravila, določena v predlogu zakona glede pogojev za izdajo in zavrnitev dovoljenja.</w:t>
      </w:r>
    </w:p>
    <w:p w14:paraId="619A123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EBA8A5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(116. člen) se dodaja tretja alineja 2. točke drugega odstavka, s katero se določa, da je </w:t>
      </w:r>
      <w:r w:rsidRPr="00215B2F">
        <w:rPr>
          <w:rFonts w:ascii="Arial" w:eastAsia="Arial" w:hAnsi="Arial" w:cs="Arial"/>
          <w:sz w:val="20"/>
          <w:szCs w:val="20"/>
        </w:rPr>
        <w:t xml:space="preserve">zahtevi za izdajo dovoljenja za opravljanje bančnih storitev treba priložiti (v okviru poslovnega načrta banke) tudi finančni načrt, vključno s projekcijo izpolnjevanja kapitalskih zahtev. </w:t>
      </w:r>
      <w:r w:rsidRPr="00215B2F">
        <w:rPr>
          <w:rFonts w:ascii="Arial" w:hAnsi="Arial" w:cs="Arial"/>
          <w:sz w:val="20"/>
          <w:szCs w:val="20"/>
        </w:rPr>
        <w:t>Gre za obstoječo prakso, ki je že določena v Sklepu o dokumentaciji za izdajo dovoljenj za opravljanje bančnih in finančnih storitev ter za statusna preoblikovanja.</w:t>
      </w:r>
    </w:p>
    <w:p w14:paraId="055955A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F38278F" w14:textId="77777777" w:rsidR="0010347E" w:rsidRPr="00215B2F" w:rsidRDefault="0010347E" w:rsidP="0010347E">
      <w:pPr>
        <w:shd w:val="clear" w:color="auto" w:fill="FFFFFF" w:themeFill="background1"/>
        <w:spacing w:after="0" w:line="240" w:lineRule="auto"/>
        <w:jc w:val="both"/>
        <w:rPr>
          <w:rFonts w:ascii="Arial" w:hAnsi="Arial" w:cs="Arial"/>
          <w:bCs/>
          <w:sz w:val="20"/>
          <w:szCs w:val="20"/>
        </w:rPr>
      </w:pPr>
      <w:r w:rsidRPr="00215B2F">
        <w:rPr>
          <w:rFonts w:ascii="Arial" w:hAnsi="Arial" w:cs="Arial"/>
          <w:sz w:val="20"/>
          <w:szCs w:val="20"/>
        </w:rPr>
        <w:t xml:space="preserve">Dodatno se v drugem odstavku (glede na ZBan-3) dodaja 6. točka, za katero se določa, da je </w:t>
      </w:r>
      <w:r w:rsidRPr="00215B2F">
        <w:rPr>
          <w:rFonts w:ascii="Arial" w:eastAsia="Arial" w:hAnsi="Arial" w:cs="Arial"/>
          <w:sz w:val="20"/>
          <w:szCs w:val="20"/>
        </w:rPr>
        <w:t xml:space="preserve">zahtevi za izdajo dovoljenja za opravljanje bančnih storitev treba priložiti zahteve za izdajo dovoljenj za opravljanje funkcij članov uprave in funkcij članov nadzornega sveta. Gre za vsebino iz sedanjega četrtega odstavka 116. člena ZBan-3 glede na to, da je vložnik po novem predlogu banka. </w:t>
      </w:r>
    </w:p>
    <w:p w14:paraId="385279C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F15D50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_Ref202964185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145</w:t>
      </w:r>
      <w:r w:rsidRPr="00215B2F">
        <w:rPr>
          <w:rFonts w:ascii="Arial" w:hAnsi="Arial" w:cs="Arial"/>
          <w:b/>
          <w:bCs/>
          <w:sz w:val="20"/>
          <w:szCs w:val="20"/>
        </w:rPr>
        <w:fldChar w:fldCharType="end"/>
      </w:r>
      <w:r w:rsidRPr="00215B2F">
        <w:rPr>
          <w:rFonts w:ascii="Arial" w:hAnsi="Arial" w:cs="Arial"/>
          <w:b/>
          <w:bCs/>
          <w:sz w:val="20"/>
          <w:szCs w:val="20"/>
        </w:rPr>
        <w:t>. členu (veljavni 117. člen ZBan-3)</w:t>
      </w:r>
    </w:p>
    <w:p w14:paraId="139A474F"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20AE6C6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(117. člen) ni vsebinskih sprememb. Predlog člena ureja posvetovanje Banke Slovenije s pristojnimi organi držav članic pred izdajo dovoljenja kreditni instituciji in v notranji pravni red prenaša določbo 16. člena CRD, ki določa primere, v katerih se pristojni organ pred izdajo dovoljenja kreditni instituciji posvetuje s pristojnimi organi druge države članice, in vsebino tega predhodnega posvetovanja.</w:t>
      </w:r>
    </w:p>
    <w:p w14:paraId="5E8188E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A6EE05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_Ref202964201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146</w:t>
      </w:r>
      <w:r w:rsidRPr="00215B2F">
        <w:rPr>
          <w:rFonts w:ascii="Arial" w:hAnsi="Arial" w:cs="Arial"/>
          <w:b/>
          <w:bCs/>
          <w:sz w:val="20"/>
          <w:szCs w:val="20"/>
        </w:rPr>
        <w:fldChar w:fldCharType="end"/>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_Ref202964059 \r \h  \* MERGEFORMAT </w:instrText>
      </w:r>
      <w:r w:rsidRPr="00215B2F">
        <w:rPr>
          <w:rFonts w:ascii="Arial" w:hAnsi="Arial" w:cs="Arial"/>
          <w:b/>
          <w:bCs/>
          <w:sz w:val="20"/>
          <w:szCs w:val="20"/>
        </w:rPr>
      </w:r>
      <w:r w:rsidR="003C532F">
        <w:rPr>
          <w:rFonts w:ascii="Arial" w:hAnsi="Arial" w:cs="Arial"/>
          <w:b/>
          <w:bCs/>
          <w:sz w:val="20"/>
          <w:szCs w:val="20"/>
        </w:rPr>
        <w:fldChar w:fldCharType="separate"/>
      </w:r>
      <w:r w:rsidR="0042445E">
        <w:rPr>
          <w:rFonts w:ascii="Arial" w:hAnsi="Arial" w:cs="Arial"/>
          <w:b/>
          <w:bCs/>
          <w:sz w:val="20"/>
          <w:szCs w:val="20"/>
        </w:rPr>
        <w:t>132</w:t>
      </w:r>
      <w:r w:rsidRPr="00215B2F">
        <w:rPr>
          <w:rFonts w:ascii="Arial" w:hAnsi="Arial" w:cs="Arial"/>
          <w:b/>
          <w:bCs/>
          <w:sz w:val="20"/>
          <w:szCs w:val="20"/>
        </w:rPr>
        <w:fldChar w:fldCharType="end"/>
      </w:r>
      <w:r w:rsidRPr="00215B2F">
        <w:rPr>
          <w:rFonts w:ascii="Arial" w:hAnsi="Arial" w:cs="Arial"/>
          <w:b/>
          <w:bCs/>
          <w:sz w:val="20"/>
          <w:szCs w:val="20"/>
        </w:rPr>
        <w:t>. členu</w:t>
      </w:r>
    </w:p>
    <w:p w14:paraId="7AA02C5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DD1BFD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člena se določa, da Banka Slovenije ob odločanju o dovoljenju za opravljanje bančnih storitev hkrati odloča tudi o: (1) oceni primernosti za pridobitev kvalificiranega deleža, (2) dovoljenju za člane uprave, (3) dovoljenju za člane nadzornega sveta ter (4) zahtevi za opravljanje finančnih storitev. S tem se omogoča celovita presoja vseh ključnih pogojev za začetek delovanja banke. Gre za dopolnitev ZBan-3, ki se že uporablja v praksi. </w:t>
      </w:r>
    </w:p>
    <w:p w14:paraId="22B8E0B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992797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_Ref202964205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147</w:t>
      </w:r>
      <w:r w:rsidRPr="00215B2F">
        <w:rPr>
          <w:rFonts w:ascii="Arial" w:hAnsi="Arial" w:cs="Arial"/>
          <w:b/>
          <w:bCs/>
          <w:sz w:val="20"/>
          <w:szCs w:val="20"/>
        </w:rPr>
        <w:fldChar w:fldCharType="end"/>
      </w:r>
      <w:r w:rsidRPr="00215B2F">
        <w:rPr>
          <w:rFonts w:ascii="Arial" w:hAnsi="Arial" w:cs="Arial"/>
          <w:b/>
          <w:bCs/>
          <w:sz w:val="20"/>
          <w:szCs w:val="20"/>
        </w:rPr>
        <w:t>. členu (veljavni 118. člen ZBan-3)</w:t>
      </w:r>
    </w:p>
    <w:p w14:paraId="734ABD05"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15424D26" w14:textId="77777777" w:rsidR="0010347E" w:rsidRPr="00215B2F" w:rsidRDefault="0010347E" w:rsidP="0010347E">
      <w:pPr>
        <w:shd w:val="clear" w:color="auto" w:fill="FFFFFF" w:themeFill="background1"/>
        <w:spacing w:after="0" w:line="240" w:lineRule="auto"/>
        <w:jc w:val="both"/>
        <w:rPr>
          <w:rFonts w:ascii="Arial" w:hAnsi="Arial" w:cs="Arial"/>
          <w:bCs/>
          <w:sz w:val="20"/>
          <w:szCs w:val="20"/>
        </w:rPr>
      </w:pPr>
      <w:r w:rsidRPr="00215B2F">
        <w:rPr>
          <w:rFonts w:ascii="Arial" w:hAnsi="Arial" w:cs="Arial"/>
          <w:bCs/>
          <w:sz w:val="20"/>
          <w:szCs w:val="20"/>
        </w:rPr>
        <w:t xml:space="preserve">ZBan-3 (118. člen) določa, da Banka Slovenije zavrne zahtevo za dovoljenje za opravljanje bančnih storitev, če banka ne izpolnjuje zahtev glede statusnega ustroja, notranjega upravljanja, pogojev za učinkoviti nadzor ali če so ovire za nadzor zaradi predpisov v tretjih državah. Če teh razlogov ni, Banka Slovenije zahtevo pošlje </w:t>
      </w:r>
      <w:r w:rsidRPr="00215B2F">
        <w:rPr>
          <w:rFonts w:ascii="Arial" w:eastAsia="Arial" w:hAnsi="Arial" w:cs="Arial"/>
          <w:sz w:val="20"/>
          <w:szCs w:val="20"/>
        </w:rPr>
        <w:t>ECB</w:t>
      </w:r>
      <w:r w:rsidRPr="00215B2F">
        <w:rPr>
          <w:rFonts w:ascii="Arial" w:hAnsi="Arial" w:cs="Arial"/>
          <w:bCs/>
          <w:sz w:val="20"/>
          <w:szCs w:val="20"/>
        </w:rPr>
        <w:t xml:space="preserve">, ki nadaljuje postopek odločanja. Dovoljenje lahko vsebuje pogoje ali omejitve za preprečevanje kršitev zakonodaje, odločanje o dovoljenjih za finančne in dodatne finančne storitve pa sledi po odločitvi ECB o dovoljenju za bančne storitve. Gre za prenos 14. člena CRD in delni prenos 10. člena CRD. </w:t>
      </w:r>
    </w:p>
    <w:p w14:paraId="2B9666AD" w14:textId="77777777" w:rsidR="0010347E" w:rsidRPr="00215B2F" w:rsidRDefault="0010347E" w:rsidP="0010347E">
      <w:pPr>
        <w:shd w:val="clear" w:color="auto" w:fill="FFFFFF" w:themeFill="background1"/>
        <w:spacing w:after="0" w:line="240" w:lineRule="auto"/>
        <w:jc w:val="both"/>
        <w:rPr>
          <w:rFonts w:ascii="Arial" w:hAnsi="Arial" w:cs="Arial"/>
          <w:bCs/>
          <w:sz w:val="20"/>
          <w:szCs w:val="20"/>
        </w:rPr>
      </w:pPr>
    </w:p>
    <w:p w14:paraId="43EDB358" w14:textId="77777777"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bCs/>
          <w:sz w:val="20"/>
          <w:szCs w:val="20"/>
        </w:rPr>
        <w:t xml:space="preserve">S predlogom zakona se (v primerjavi z ZBan-3) v prvem odstavku prilagajajo dikcije glede na druge spremembe v zakonu (»izdaja dovoljenja za pridobitev kvalificiranih deležev« se nadomešča z »nenasprotovanjem odobritvi kvalificiranih deležev«, »uprava banke« se nadomešča z »upravljanim organom«). Dodatno se določa, da </w:t>
      </w:r>
      <w:r w:rsidRPr="00215B2F">
        <w:rPr>
          <w:rFonts w:eastAsia="Arial" w:cs="Arial"/>
          <w:bCs/>
          <w:sz w:val="20"/>
          <w:szCs w:val="20"/>
        </w:rPr>
        <w:t xml:space="preserve">Banka Slovenije zavrne zahtevo za izdajo dovoljenja za opravljanje bančnih storitev, če niso izpolnjene zahteve glede zagotavljanja ustreznega kapitala. </w:t>
      </w:r>
      <w:r w:rsidRPr="00215B2F">
        <w:rPr>
          <w:rFonts w:cs="Arial"/>
          <w:bCs/>
          <w:sz w:val="20"/>
          <w:szCs w:val="20"/>
        </w:rPr>
        <w:t>De facto gre za to, da je kapital za zagotavljanje kapitalske ustreznosti zagotovljen že ob ustanovitvi.</w:t>
      </w:r>
    </w:p>
    <w:p w14:paraId="11060F2A" w14:textId="77777777" w:rsidR="0010347E" w:rsidRPr="00215B2F" w:rsidRDefault="0010347E" w:rsidP="0010347E">
      <w:pPr>
        <w:shd w:val="clear" w:color="auto" w:fill="FFFFFF" w:themeFill="background1"/>
        <w:spacing w:after="0" w:line="240" w:lineRule="auto"/>
        <w:jc w:val="both"/>
        <w:rPr>
          <w:rFonts w:ascii="Arial" w:hAnsi="Arial" w:cs="Arial"/>
          <w:bCs/>
          <w:sz w:val="20"/>
          <w:szCs w:val="20"/>
        </w:rPr>
      </w:pPr>
    </w:p>
    <w:p w14:paraId="308069B8" w14:textId="77777777" w:rsidR="0010347E" w:rsidRPr="00215B2F" w:rsidRDefault="0010347E" w:rsidP="0010347E">
      <w:pPr>
        <w:shd w:val="clear" w:color="auto" w:fill="FFFFFF" w:themeFill="background1"/>
        <w:spacing w:after="0" w:line="240" w:lineRule="auto"/>
        <w:jc w:val="both"/>
        <w:rPr>
          <w:rFonts w:ascii="Arial" w:hAnsi="Arial" w:cs="Arial"/>
          <w:bCs/>
          <w:sz w:val="20"/>
          <w:szCs w:val="20"/>
        </w:rPr>
      </w:pPr>
      <w:r w:rsidRPr="00215B2F">
        <w:rPr>
          <w:rFonts w:ascii="Arial" w:hAnsi="Arial" w:cs="Arial"/>
          <w:bCs/>
          <w:sz w:val="20"/>
          <w:szCs w:val="20"/>
        </w:rPr>
        <w:t xml:space="preserve">V primerjavi z ZBan-3 je črtan peti odstavek, ki določa, da če </w:t>
      </w:r>
      <w:r w:rsidRPr="00215B2F">
        <w:rPr>
          <w:rFonts w:ascii="Arial" w:eastAsia="Arial" w:hAnsi="Arial" w:cs="Arial"/>
          <w:bCs/>
          <w:sz w:val="20"/>
          <w:szCs w:val="20"/>
        </w:rPr>
        <w:t xml:space="preserve">je vložnik hkrati z zahtevo za izdajo dovoljenja za opravljanje bančnih storitev vložil tudi zahtevo za opravljanje finančnih storitev ali dodatnih finančnih storitev, Banka Slovenije odloči o zahtevi za izdajo dovoljenja za opravljanje finančnih in dodatnih finančnih storitev po odločitvi </w:t>
      </w:r>
      <w:r w:rsidRPr="00215B2F">
        <w:rPr>
          <w:rFonts w:ascii="Arial" w:eastAsia="Arial" w:hAnsi="Arial" w:cs="Arial"/>
          <w:sz w:val="20"/>
          <w:szCs w:val="20"/>
        </w:rPr>
        <w:t>ECB</w:t>
      </w:r>
      <w:r w:rsidRPr="00215B2F">
        <w:rPr>
          <w:rFonts w:ascii="Arial" w:eastAsia="Arial" w:hAnsi="Arial" w:cs="Arial"/>
          <w:bCs/>
          <w:sz w:val="20"/>
          <w:szCs w:val="20"/>
        </w:rPr>
        <w:t xml:space="preserve"> v zvezi z zahtevo za izdajo dovoljenja za opravljanje bančnih storitev. </w:t>
      </w:r>
      <w:r w:rsidRPr="00215B2F">
        <w:rPr>
          <w:rFonts w:ascii="Arial" w:hAnsi="Arial" w:cs="Arial"/>
          <w:bCs/>
          <w:sz w:val="20"/>
          <w:szCs w:val="20"/>
        </w:rPr>
        <w:t xml:space="preserve">V zvezi z umikom dikcije velja pojasniti, da o vseh storitvah odloča ECB. Navedena določba je bila smiselno popravljena in prenesena v drug del zakona. </w:t>
      </w:r>
    </w:p>
    <w:p w14:paraId="496478CE"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2E7B632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lastRenderedPageBreak/>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_Ref202964215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148</w:t>
      </w:r>
      <w:r w:rsidRPr="00215B2F">
        <w:rPr>
          <w:rFonts w:ascii="Arial" w:hAnsi="Arial" w:cs="Arial"/>
          <w:b/>
          <w:bCs/>
          <w:sz w:val="20"/>
          <w:szCs w:val="20"/>
        </w:rPr>
        <w:fldChar w:fldCharType="end"/>
      </w:r>
      <w:r w:rsidRPr="00215B2F">
        <w:rPr>
          <w:rFonts w:ascii="Arial" w:hAnsi="Arial" w:cs="Arial"/>
          <w:b/>
          <w:bCs/>
          <w:sz w:val="20"/>
          <w:szCs w:val="20"/>
        </w:rPr>
        <w:t>. členu (veljavni 119. člen ZBan-3)</w:t>
      </w:r>
    </w:p>
    <w:p w14:paraId="4E98CE9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739C8B3" w14:textId="37038C61"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(119. člen) ni vsebinskih sprememb. Predlog člena ureja obveznost pridobitve dovoljenj</w:t>
      </w:r>
      <w:r w:rsidR="00A664AB" w:rsidRPr="00215B2F">
        <w:rPr>
          <w:rFonts w:ascii="Arial" w:hAnsi="Arial" w:cs="Arial"/>
          <w:sz w:val="20"/>
          <w:szCs w:val="20"/>
        </w:rPr>
        <w:t>a</w:t>
      </w:r>
      <w:r w:rsidRPr="00215B2F">
        <w:rPr>
          <w:rFonts w:ascii="Arial" w:hAnsi="Arial" w:cs="Arial"/>
          <w:sz w:val="20"/>
          <w:szCs w:val="20"/>
        </w:rPr>
        <w:t xml:space="preserve"> za opravljanje finančnih in dodatnih finančnih storitev pred začetkom opravljanja teh storitev, določa pa tudi izjemo, in sicer za opravljanje storitev kreditnega posredništva pri potrošniških in drugih kreditih ter za opravljanje pomožnih storitev, za katere zadošča predhodno obvestilo Banki Slovenije.</w:t>
      </w:r>
    </w:p>
    <w:p w14:paraId="5ED55910" w14:textId="77777777" w:rsidR="0010347E" w:rsidRPr="00215B2F" w:rsidRDefault="0010347E" w:rsidP="0010347E">
      <w:pPr>
        <w:pStyle w:val="tevilnatoka"/>
        <w:numPr>
          <w:ilvl w:val="0"/>
          <w:numId w:val="0"/>
        </w:numPr>
        <w:shd w:val="clear" w:color="auto" w:fill="FFFFFF" w:themeFill="background1"/>
        <w:rPr>
          <w:rFonts w:cs="Arial"/>
          <w:sz w:val="20"/>
          <w:szCs w:val="20"/>
        </w:rPr>
      </w:pPr>
    </w:p>
    <w:p w14:paraId="39C6931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_Ref202964221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149</w:t>
      </w:r>
      <w:r w:rsidRPr="00215B2F">
        <w:rPr>
          <w:rFonts w:ascii="Arial" w:hAnsi="Arial" w:cs="Arial"/>
          <w:b/>
          <w:bCs/>
          <w:sz w:val="20"/>
          <w:szCs w:val="20"/>
        </w:rPr>
        <w:fldChar w:fldCharType="end"/>
      </w:r>
      <w:r w:rsidRPr="00215B2F">
        <w:rPr>
          <w:rFonts w:ascii="Arial" w:hAnsi="Arial" w:cs="Arial"/>
          <w:b/>
          <w:bCs/>
          <w:sz w:val="20"/>
          <w:szCs w:val="20"/>
        </w:rPr>
        <w:t>. členu (veljavni 120. člen ZBan-3)</w:t>
      </w:r>
    </w:p>
    <w:p w14:paraId="12053F0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E50DF4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ZBan-3 (120. člen) ureja zahtevo za izdajo dovoljenja za opravljanje finančnih in dodatnih finančnih storitev. Ta se vloži pri Banki Slovenije, ki ji mora banka priložiti poslovni načrt za prve tri leta, opis notranjega upravljanja, dokazila o varnem upravljanju in izpolnjevanju pogojev iz drugih predpisov. Banka Slovenije lahko zahtevo zavrne, če notranje upravljanje ni ustrezno ali če banka ne izpolnjuje predpisanih pogojev. V primerih, ko nadzor opravlja </w:t>
      </w:r>
      <w:r w:rsidRPr="00215B2F">
        <w:rPr>
          <w:rFonts w:eastAsia="Arial" w:cs="Arial"/>
          <w:sz w:val="20"/>
          <w:szCs w:val="20"/>
        </w:rPr>
        <w:t>ECB</w:t>
      </w:r>
      <w:r w:rsidRPr="00215B2F">
        <w:rPr>
          <w:rFonts w:cs="Arial"/>
          <w:sz w:val="20"/>
          <w:szCs w:val="20"/>
        </w:rPr>
        <w:t>, se Banka Slovenije glede notranjega upravljanja z njo posvetuje. Dovoljenje se izda, če ni razlogov za zavrnitev, pri čemer lahko Banka Slovenije določi pogoje ali omejitve za izvajanje storitev ter o izdaji ali odvzemu dovoljenja obvesti agencijo za finančne trge.</w:t>
      </w:r>
    </w:p>
    <w:p w14:paraId="2F93069B" w14:textId="77777777" w:rsidR="0010347E" w:rsidRPr="00215B2F" w:rsidRDefault="0010347E" w:rsidP="0010347E">
      <w:pPr>
        <w:shd w:val="clear" w:color="auto" w:fill="FFFFFF" w:themeFill="background1"/>
        <w:spacing w:after="0" w:line="240" w:lineRule="auto"/>
        <w:jc w:val="both"/>
        <w:rPr>
          <w:rFonts w:ascii="Arial" w:hAnsi="Arial" w:cs="Arial"/>
          <w:bCs/>
          <w:sz w:val="20"/>
          <w:szCs w:val="20"/>
        </w:rPr>
      </w:pPr>
      <w:r w:rsidRPr="00215B2F">
        <w:rPr>
          <w:rFonts w:ascii="Arial" w:hAnsi="Arial" w:cs="Arial"/>
          <w:sz w:val="20"/>
          <w:szCs w:val="20"/>
        </w:rPr>
        <w:t>S predlogom zakona se določa, da je treba</w:t>
      </w:r>
      <w:r w:rsidRPr="00215B2F">
        <w:rPr>
          <w:rFonts w:ascii="Arial" w:eastAsia="Arial" w:hAnsi="Arial" w:cs="Arial"/>
          <w:sz w:val="20"/>
          <w:szCs w:val="20"/>
        </w:rPr>
        <w:t xml:space="preserve"> zahtevi za izdajo dovoljenja za opravljanje finančnih in dodatnih finančnih storitev priložiti tudi finančni načrt, vključno s projekcijo izpolnjevanja kapitalskih zahtev. </w:t>
      </w:r>
      <w:r w:rsidRPr="00215B2F">
        <w:rPr>
          <w:rFonts w:ascii="Arial" w:hAnsi="Arial" w:cs="Arial"/>
          <w:sz w:val="20"/>
          <w:szCs w:val="20"/>
        </w:rPr>
        <w:t>Gre za obstoječo prakso, ki je že določena v Sklepu o dokumentaciji za izdajo dovoljenj za opravljanje bančnih in finančnih storitev ter za statusna preoblikovanja.</w:t>
      </w:r>
    </w:p>
    <w:p w14:paraId="3671315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F7F9A72" w14:textId="77777777"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sz w:val="20"/>
          <w:szCs w:val="20"/>
        </w:rPr>
        <w:t xml:space="preserve">Dodatno se s predlogom določa, da </w:t>
      </w:r>
      <w:r w:rsidRPr="00215B2F">
        <w:rPr>
          <w:rFonts w:eastAsia="Arial" w:cs="Arial"/>
          <w:sz w:val="20"/>
          <w:szCs w:val="20"/>
        </w:rPr>
        <w:t>Banka Slovenije zavrne zahtevo za izdajo dovoljenja za opravljanje finančnih ali dodatnih finančnih storitev banke, če ta ne zagotavlja ustreznega kapitala, kot je opredeljen v poslovnem načrtu.</w:t>
      </w:r>
      <w:r w:rsidRPr="00215B2F">
        <w:rPr>
          <w:rFonts w:cs="Arial"/>
          <w:sz w:val="20"/>
          <w:szCs w:val="20"/>
        </w:rPr>
        <w:t xml:space="preserve"> De facto gre za to, da je kapital za zagotavljanje kapitalske ustreznosti zagotovljen še pred začetkom opravljanja novih storitev.</w:t>
      </w:r>
    </w:p>
    <w:p w14:paraId="4D54E33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C9D08E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_Ref202964266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150</w:t>
      </w:r>
      <w:r w:rsidRPr="00215B2F">
        <w:rPr>
          <w:rFonts w:ascii="Arial" w:hAnsi="Arial" w:cs="Arial"/>
          <w:b/>
          <w:bCs/>
          <w:sz w:val="20"/>
          <w:szCs w:val="20"/>
        </w:rPr>
        <w:fldChar w:fldCharType="end"/>
      </w:r>
      <w:r w:rsidRPr="00215B2F">
        <w:rPr>
          <w:rFonts w:ascii="Arial" w:hAnsi="Arial" w:cs="Arial"/>
          <w:b/>
          <w:bCs/>
          <w:sz w:val="20"/>
          <w:szCs w:val="20"/>
        </w:rPr>
        <w:t>. členu (veljavni 122. člen ZBan-3)</w:t>
      </w:r>
    </w:p>
    <w:p w14:paraId="3F6C2711"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33238F2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(122. člen) ni vsebinskih sprememb. Predlog člena ureja prenehanje dovoljenja za opravljanje storitev in v notranji pravni red prenaša določbo 18. člena CRD, ki določa primere, v katerih pristojni organi lahko odvzamejo dovoljenje, izdano kreditni instituciji.</w:t>
      </w:r>
    </w:p>
    <w:p w14:paraId="76373B5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FED05C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_Ref202964273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151</w:t>
      </w:r>
      <w:r w:rsidRPr="00215B2F">
        <w:rPr>
          <w:rFonts w:ascii="Arial" w:hAnsi="Arial" w:cs="Arial"/>
          <w:b/>
          <w:bCs/>
          <w:sz w:val="20"/>
          <w:szCs w:val="20"/>
        </w:rPr>
        <w:fldChar w:fldCharType="end"/>
      </w:r>
      <w:r w:rsidRPr="00215B2F">
        <w:rPr>
          <w:rFonts w:ascii="Arial" w:hAnsi="Arial" w:cs="Arial"/>
          <w:b/>
          <w:bCs/>
          <w:sz w:val="20"/>
          <w:szCs w:val="20"/>
        </w:rPr>
        <w:t>. členu (veljavni 123. člen ZBan-3)</w:t>
      </w:r>
    </w:p>
    <w:p w14:paraId="03025B9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C8146B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(123. člen) ni vsebinskih sprememb. Predlog člena daje Banki Slovenije pravno podlago za izdajo podzakonskega predpisa v zvezi z izdajo dovoljenj za opravljanje storitev in smiselno pomeni tudi prenos določbe 8. člena CRD, ki glede vsebine in informacij, ki naj bi se predložili pristojnim organom v vlogi za izdajo dovoljenja za kreditne institucije, predvideva še posebne regulativne tehnične standarde. </w:t>
      </w:r>
    </w:p>
    <w:p w14:paraId="56839D0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22CC4C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_Ref202964280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152</w:t>
      </w:r>
      <w:r w:rsidRPr="00215B2F">
        <w:rPr>
          <w:rFonts w:ascii="Arial" w:hAnsi="Arial" w:cs="Arial"/>
          <w:b/>
          <w:bCs/>
          <w:sz w:val="20"/>
          <w:szCs w:val="20"/>
        </w:rPr>
        <w:fldChar w:fldCharType="end"/>
      </w:r>
      <w:r w:rsidRPr="00215B2F">
        <w:rPr>
          <w:rFonts w:ascii="Arial" w:hAnsi="Arial" w:cs="Arial"/>
          <w:b/>
          <w:bCs/>
          <w:sz w:val="20"/>
          <w:szCs w:val="20"/>
        </w:rPr>
        <w:t>. členu (veljavni 123.a člen ZBan-3)</w:t>
      </w:r>
    </w:p>
    <w:p w14:paraId="5A8587F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FBD023D"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Kreditna družba, ki želi opravljati investicijske storitve in posle iz 3. in 6. točke 11. člena ZTFI-1, mora za vsako od teh storitev predhodno pridobiti dovoljenje </w:t>
      </w:r>
      <w:r w:rsidRPr="00215B2F">
        <w:rPr>
          <w:rFonts w:eastAsia="Arial" w:cs="Arial"/>
          <w:sz w:val="20"/>
          <w:szCs w:val="20"/>
        </w:rPr>
        <w:t>ECB</w:t>
      </w:r>
      <w:r w:rsidRPr="00215B2F">
        <w:rPr>
          <w:rFonts w:cs="Arial"/>
          <w:sz w:val="20"/>
          <w:szCs w:val="20"/>
        </w:rPr>
        <w:t>. Dovoljenje mora pridobiti pred začetkom izvajanja teh storitev.</w:t>
      </w:r>
    </w:p>
    <w:p w14:paraId="210BC84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C0E6D9B"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_Ref203478292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153</w:t>
      </w:r>
      <w:r w:rsidRPr="00215B2F">
        <w:rPr>
          <w:rFonts w:cs="Arial"/>
          <w:b/>
          <w:bCs/>
          <w:sz w:val="20"/>
          <w:szCs w:val="20"/>
        </w:rPr>
        <w:fldChar w:fldCharType="end"/>
      </w:r>
      <w:r w:rsidRPr="00215B2F">
        <w:rPr>
          <w:rFonts w:cs="Arial"/>
          <w:b/>
          <w:bCs/>
          <w:sz w:val="20"/>
          <w:szCs w:val="20"/>
        </w:rPr>
        <w:t>. členu (veljavni 123.b člen</w:t>
      </w:r>
      <w:r w:rsidRPr="00215B2F">
        <w:rPr>
          <w:rFonts w:cs="Arial"/>
        </w:rPr>
        <w:t xml:space="preserve"> </w:t>
      </w:r>
      <w:r w:rsidRPr="00215B2F">
        <w:rPr>
          <w:rFonts w:cs="Arial"/>
          <w:b/>
          <w:bCs/>
          <w:sz w:val="20"/>
          <w:szCs w:val="20"/>
        </w:rPr>
        <w:t xml:space="preserve">ZBan-3) </w:t>
      </w:r>
    </w:p>
    <w:p w14:paraId="308FC72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6D7CF9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ZBan-3 (123.b člen) določa, da mora družba, ki je že pridobila dovoljenje za posamezne dejavnosti, vložiti vlogo za izdajo dovoljenja po 113. členu ZBan-3 najpozneje, ko povprečna mesečna bilančna vsota v 12 mesecih doseže ali preseže 30 milijard evrov, ali če je del skupine, katere skupna konsolidirana bilančna vsota presega 30 milijard evrov. Do pridobitve novega dovoljenja lahko družba še naprej opravlja dejavnosti iz navedenih točk. Banka Slovenije pri ponovni izdaji dovoljenja zagotovi racionalen postopek, upoštevajoč obstoječe informacije. Ob izdaji dovoljenja kot kreditna družba prej pridobljena dovoljenja za investicijske storitve preidejo v status mirovanja do izdaje odločbe o prenehanju ali odvzemu teh dovoljenj.</w:t>
      </w:r>
    </w:p>
    <w:p w14:paraId="704415C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F0403B3" w14:textId="1E2D2CA6"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lastRenderedPageBreak/>
        <w:t xml:space="preserve">S predlogom zakona se v točki b) prvega odstavka (ZBan-3) v zvezi z družbami v skupini dodatno določa, da imajo </w:t>
      </w:r>
      <w:r w:rsidRPr="00215B2F">
        <w:rPr>
          <w:rFonts w:eastAsia="Arial" w:cs="Arial"/>
          <w:sz w:val="20"/>
          <w:szCs w:val="20"/>
        </w:rPr>
        <w:t xml:space="preserve">sedež v </w:t>
      </w:r>
      <w:r w:rsidR="00BA5377" w:rsidRPr="00215B2F">
        <w:rPr>
          <w:rFonts w:eastAsia="Arial" w:cs="Arial"/>
          <w:sz w:val="20"/>
          <w:szCs w:val="20"/>
        </w:rPr>
        <w:t>Evropski u</w:t>
      </w:r>
      <w:r w:rsidRPr="00215B2F">
        <w:rPr>
          <w:rFonts w:eastAsia="Arial" w:cs="Arial"/>
          <w:sz w:val="20"/>
          <w:szCs w:val="20"/>
        </w:rPr>
        <w:t>niji, vključno z vsemi njihovimi podružnicami in podrejenimi družbami, ustanovljenimi v tretjih državah. Gre za prenos 8.a člena CRD (prvi odstavek, točka b).</w:t>
      </w:r>
    </w:p>
    <w:p w14:paraId="580EE1D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DFAB9AA"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_Ref202964309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154</w:t>
      </w:r>
      <w:r w:rsidRPr="00215B2F">
        <w:rPr>
          <w:rFonts w:cs="Arial"/>
          <w:b/>
          <w:bCs/>
          <w:sz w:val="20"/>
          <w:szCs w:val="20"/>
        </w:rPr>
        <w:fldChar w:fldCharType="end"/>
      </w:r>
      <w:r w:rsidRPr="00215B2F">
        <w:rPr>
          <w:rFonts w:cs="Arial"/>
          <w:b/>
          <w:bCs/>
          <w:sz w:val="20"/>
          <w:szCs w:val="20"/>
        </w:rPr>
        <w:t xml:space="preserve">. členu </w:t>
      </w:r>
    </w:p>
    <w:p w14:paraId="26B1905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4FA39F0" w14:textId="6B2F1679"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Družba, ki že ima dovoljenje za izvajanje določenih investicijskih storitev po ZTFI-1, lahko ob vložitvi vloge za dovoljenje zaprosi za opustitev pridobitve tega dovoljenja. Banka Slovenije o zahtevi obvesti EBA, ki v enem mesecu predloži mnenje. Pri odločanju o opustitvi Banka Slovenije upošteva mnenje EBA, organizacijsko strukturo skupine, naravo in pomen dejavnosti ter morebitna sistemska tveganja. Zahtevo zavrne, če ugotovi, da bi opustitev škodovala nadzoru ali stabilnosti družbe oziroma finančnega sistema. Če se odloči drugače kot EBA, mora svojo odločitev utemeljiti. O končni odločitvi obvesti tako družbo kot EBA, pozitivno odločitev pa nato vsaka tri leta ponovno pregleda. Gre za prenos </w:t>
      </w:r>
      <w:r w:rsidR="00A62CD8" w:rsidRPr="00215B2F">
        <w:rPr>
          <w:rFonts w:cs="Arial"/>
          <w:sz w:val="20"/>
          <w:szCs w:val="20"/>
        </w:rPr>
        <w:t xml:space="preserve">3a odstavka </w:t>
      </w:r>
      <w:r w:rsidRPr="00215B2F">
        <w:rPr>
          <w:rFonts w:cs="Arial"/>
          <w:sz w:val="20"/>
          <w:szCs w:val="20"/>
        </w:rPr>
        <w:t xml:space="preserve">8.a člena CRD. </w:t>
      </w:r>
    </w:p>
    <w:p w14:paraId="0E8D5CB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02BB379"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_Ref202964324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155</w:t>
      </w:r>
      <w:r w:rsidRPr="00215B2F">
        <w:rPr>
          <w:rFonts w:cs="Arial"/>
          <w:b/>
          <w:bCs/>
          <w:sz w:val="20"/>
          <w:szCs w:val="20"/>
        </w:rPr>
        <w:fldChar w:fldCharType="end"/>
      </w:r>
      <w:r w:rsidRPr="00215B2F">
        <w:rPr>
          <w:rFonts w:cs="Arial"/>
          <w:b/>
          <w:bCs/>
          <w:sz w:val="20"/>
          <w:szCs w:val="20"/>
        </w:rPr>
        <w:t>. členu (veljavni 123.c člen ZBan-3)</w:t>
      </w:r>
    </w:p>
    <w:p w14:paraId="0791099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22AB20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(123.c člen) ni vsebinskih sprememb. Kreditna družba, ki opravlja investicijske storitve kot kreditna družba, mora Banko Slovenije obvestiti, če pet let zapored ne izpolnjuje pogojev glede povprečne bilančne vsote iz Uredbe 575/2013/EU. V takem primeru lahko Banka Slovenije začne postopek za odvzem dovoljenja in o tem obvesti pristojno agencijo za finančne trge. Če je kreditna družba pridobila dovoljenje za te storitve le po tem zakonu, mora za nadaljnje opravljanje vložiti vlogo v skladu z zakonom o trgu finančnih instrumentov in lahko do odločitve agencije nemoteno nadaljuje opravljanje dejavnosti. Agencija mora postopek ponovne izdaje dovoljenja voditi racionalno in upoštevati obstoječe informacije. Po odvzemu dovoljenja za investicijske storitve nadzor nad temi dejavnostmi preide z Banke Slovenije na pristojno agencijo, o čemer se pripravi zapisnik.</w:t>
      </w:r>
    </w:p>
    <w:p w14:paraId="1AFBFF1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0762C0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_Ref202964371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156</w:t>
      </w:r>
      <w:r w:rsidRPr="00215B2F">
        <w:rPr>
          <w:rFonts w:ascii="Arial" w:hAnsi="Arial" w:cs="Arial"/>
          <w:b/>
          <w:bCs/>
          <w:sz w:val="20"/>
          <w:szCs w:val="20"/>
        </w:rPr>
        <w:fldChar w:fldCharType="end"/>
      </w:r>
      <w:r w:rsidRPr="00215B2F">
        <w:rPr>
          <w:rFonts w:ascii="Arial" w:hAnsi="Arial" w:cs="Arial"/>
          <w:b/>
          <w:bCs/>
          <w:sz w:val="20"/>
          <w:szCs w:val="20"/>
        </w:rPr>
        <w:t>. členu (veljavni 124. člen ZBan-3)</w:t>
      </w:r>
    </w:p>
    <w:p w14:paraId="608439D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BAB245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(124. člen) ni vsebinskih sprememb. Predlog člena opredeljuje </w:t>
      </w:r>
      <w:bookmarkStart w:id="615" w:name="_Toc398295722"/>
      <w:r w:rsidRPr="00215B2F">
        <w:rPr>
          <w:rFonts w:ascii="Arial" w:hAnsi="Arial" w:cs="Arial"/>
          <w:sz w:val="20"/>
          <w:szCs w:val="20"/>
        </w:rPr>
        <w:t>neposredno opravljanje storitev</w:t>
      </w:r>
      <w:bookmarkEnd w:id="615"/>
      <w:r w:rsidRPr="00215B2F">
        <w:rPr>
          <w:rFonts w:ascii="Arial" w:hAnsi="Arial" w:cs="Arial"/>
          <w:sz w:val="20"/>
          <w:szCs w:val="20"/>
        </w:rPr>
        <w:t xml:space="preserve"> in v notranji pravni red prenaša določbo 46. člena CRD, ki se nanaša na oglaševanje, in kreditnim institucijam s sedeži v drugih državah članicah omogoča oglaševanja storitev v državi članici gostiteljici z vsemi komunikacijskimi sredstvi, ki so jim na voljo, v skladu s katerimi koli predpisi o obliki in vsebini takega oglaševanja, sprejetimi v interesu splošnih koristi.</w:t>
      </w:r>
    </w:p>
    <w:p w14:paraId="7F9E5C3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944D42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_Ref202964380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157</w:t>
      </w:r>
      <w:r w:rsidRPr="00215B2F">
        <w:rPr>
          <w:rFonts w:ascii="Arial" w:hAnsi="Arial" w:cs="Arial"/>
          <w:b/>
          <w:bCs/>
          <w:sz w:val="20"/>
          <w:szCs w:val="20"/>
        </w:rPr>
        <w:fldChar w:fldCharType="end"/>
      </w:r>
      <w:r w:rsidRPr="00215B2F">
        <w:rPr>
          <w:rFonts w:ascii="Arial" w:hAnsi="Arial" w:cs="Arial"/>
          <w:b/>
          <w:bCs/>
          <w:sz w:val="20"/>
          <w:szCs w:val="20"/>
        </w:rPr>
        <w:t xml:space="preserve">. do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_Ref203380312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161</w:t>
      </w:r>
      <w:r w:rsidRPr="00215B2F">
        <w:rPr>
          <w:rFonts w:ascii="Arial" w:hAnsi="Arial" w:cs="Arial"/>
          <w:b/>
          <w:bCs/>
          <w:sz w:val="20"/>
          <w:szCs w:val="20"/>
        </w:rPr>
        <w:fldChar w:fldCharType="end"/>
      </w:r>
      <w:r w:rsidRPr="00215B2F">
        <w:rPr>
          <w:rFonts w:ascii="Arial" w:hAnsi="Arial" w:cs="Arial"/>
          <w:b/>
          <w:bCs/>
          <w:sz w:val="20"/>
          <w:szCs w:val="20"/>
        </w:rPr>
        <w:t>. členu (veljavni 125. do 129. člen ZBan-3)</w:t>
      </w:r>
    </w:p>
    <w:p w14:paraId="608B5666"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5C7E617E" w14:textId="73EB12F6"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(125. do 129. člen) ni vsebinskih sprememb.</w:t>
      </w:r>
      <w:bookmarkStart w:id="616" w:name="_Toc398295723"/>
      <w:r w:rsidRPr="00215B2F">
        <w:rPr>
          <w:rFonts w:ascii="Arial" w:hAnsi="Arial" w:cs="Arial"/>
          <w:sz w:val="20"/>
          <w:szCs w:val="20"/>
        </w:rPr>
        <w:t xml:space="preserve"> Postopek v zvezi z ustanovitvijo podružnice banke v državi članici je urejen v skladu s 35. in 36. členom CRD, ki urejata zahtevo glede uradnega obveščanja in vzajemno delovanje pristojnih organov ter začetek delovanja podružnice. V skladu z ureditvijo iz navedene direktive mora kreditna institucija, ki želi ustanoviti podružnico na ozemlju druge države članice, o tem uradno obvesti</w:t>
      </w:r>
      <w:r w:rsidR="00DD72A3" w:rsidRPr="00215B2F">
        <w:rPr>
          <w:rFonts w:ascii="Arial" w:hAnsi="Arial" w:cs="Arial"/>
          <w:sz w:val="20"/>
          <w:szCs w:val="20"/>
        </w:rPr>
        <w:t>ti</w:t>
      </w:r>
      <w:r w:rsidRPr="00215B2F">
        <w:rPr>
          <w:rFonts w:ascii="Arial" w:hAnsi="Arial" w:cs="Arial"/>
          <w:sz w:val="20"/>
          <w:szCs w:val="20"/>
        </w:rPr>
        <w:t xml:space="preserve"> pristojne organe matične države članice, pri čemer je določena tudi vsebina informacij, ki jih je treba poslati.</w:t>
      </w:r>
    </w:p>
    <w:p w14:paraId="776F01D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8A600C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Če pristojni organi matične države članice nimajo razloga, da bi dvomili o primernosti notranje organizacijske strukture ali finančnega položaja kreditne institucije, ob upoštevanju predvidenih dejavnosti v treh mesecih od prejema informacij te sporočijo pristojnim organom države članice gostiteljice in o tem obvestijo kreditno institucijo. Pristojni organi matične države članice sporočijo tudi višino in sestavo kapitala ter vsoto kapitalskih zahtev kreditne institucije.</w:t>
      </w:r>
    </w:p>
    <w:p w14:paraId="137989C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8A7278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Preden podružnica kreditne institucije začne opravljati svoje dejavnosti, se pristojni organi države članice gostiteljice v dveh mesecih po prejemu predpisanih informacij pripravijo na nadzor nad kreditno institucijo in po potrebi navedejo pogoje, pod katerimi se v interesu splošnih koristi opravljajo te dejavnosti v državi članici gostiteljici. </w:t>
      </w:r>
    </w:p>
    <w:p w14:paraId="7FA5360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01649F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Podružnica se lahko ustanovi in začne opravljati dejavnosti ob prejemu obvestila pristojnih organov države članice gostiteljice ali ob izteku dvomesečnega obdobja, če v tem času ne prejme nobenega obvestila države članice gostiteljice.</w:t>
      </w:r>
    </w:p>
    <w:p w14:paraId="721F5A3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bookmarkEnd w:id="616"/>
    <w:p w14:paraId="37D514FA" w14:textId="352A86CD"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lastRenderedPageBreak/>
        <w:t xml:space="preserve">Smiselno enaka pravila po predlogu zakona veljajo za morebitne spremembe poslov ali </w:t>
      </w:r>
      <w:r w:rsidR="003323B8" w:rsidRPr="00215B2F">
        <w:rPr>
          <w:rFonts w:ascii="Arial" w:hAnsi="Arial" w:cs="Arial"/>
          <w:sz w:val="20"/>
          <w:szCs w:val="20"/>
        </w:rPr>
        <w:t xml:space="preserve">vodij </w:t>
      </w:r>
      <w:r w:rsidRPr="00215B2F">
        <w:rPr>
          <w:rFonts w:ascii="Arial" w:hAnsi="Arial" w:cs="Arial"/>
          <w:sz w:val="20"/>
          <w:szCs w:val="20"/>
        </w:rPr>
        <w:t>podružnice.</w:t>
      </w:r>
    </w:p>
    <w:p w14:paraId="04927B0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286D54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_Ref202964414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162</w:t>
      </w:r>
      <w:r w:rsidRPr="00215B2F">
        <w:rPr>
          <w:rFonts w:ascii="Arial" w:hAnsi="Arial" w:cs="Arial"/>
          <w:b/>
          <w:bCs/>
          <w:sz w:val="20"/>
          <w:szCs w:val="20"/>
        </w:rPr>
        <w:fldChar w:fldCharType="end"/>
      </w:r>
      <w:r w:rsidRPr="00215B2F">
        <w:rPr>
          <w:rFonts w:ascii="Arial" w:hAnsi="Arial" w:cs="Arial"/>
          <w:b/>
          <w:bCs/>
          <w:sz w:val="20"/>
          <w:szCs w:val="20"/>
        </w:rPr>
        <w:t>. členu (veljavni 130. člen ZBan-3)</w:t>
      </w:r>
    </w:p>
    <w:p w14:paraId="09B193F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C86058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(130. člen) ni vsebinskih sprememb. Predlog člena ureja</w:t>
      </w:r>
      <w:bookmarkStart w:id="617" w:name="_Toc398295729"/>
      <w:r w:rsidRPr="00215B2F">
        <w:rPr>
          <w:rFonts w:ascii="Arial" w:hAnsi="Arial" w:cs="Arial"/>
          <w:sz w:val="20"/>
          <w:szCs w:val="20"/>
        </w:rPr>
        <w:t xml:space="preserve"> neposredno opravljanje vzajemno priznanih finančnih storitev v drugi državi članici</w:t>
      </w:r>
      <w:bookmarkEnd w:id="617"/>
      <w:r w:rsidRPr="00215B2F">
        <w:rPr>
          <w:rFonts w:ascii="Arial" w:hAnsi="Arial" w:cs="Arial"/>
          <w:sz w:val="20"/>
          <w:szCs w:val="20"/>
        </w:rPr>
        <w:t>.</w:t>
      </w:r>
    </w:p>
    <w:p w14:paraId="3C900A7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CEE6BE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_Ref202964424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163</w:t>
      </w:r>
      <w:r w:rsidRPr="00215B2F">
        <w:rPr>
          <w:rFonts w:ascii="Arial" w:hAnsi="Arial" w:cs="Arial"/>
          <w:b/>
          <w:bCs/>
          <w:sz w:val="20"/>
          <w:szCs w:val="20"/>
        </w:rPr>
        <w:fldChar w:fldCharType="end"/>
      </w:r>
      <w:r w:rsidRPr="00215B2F">
        <w:rPr>
          <w:rFonts w:ascii="Arial" w:hAnsi="Arial" w:cs="Arial"/>
          <w:b/>
          <w:bCs/>
          <w:sz w:val="20"/>
          <w:szCs w:val="20"/>
        </w:rPr>
        <w:t>. členu (veljavni 131. člen ZBan-3)</w:t>
      </w:r>
    </w:p>
    <w:p w14:paraId="61AE02E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BB292DD" w14:textId="3B822BEF" w:rsidR="0010347E" w:rsidRPr="00215B2F" w:rsidRDefault="0010347E" w:rsidP="0010347E">
      <w:pPr>
        <w:pStyle w:val="tevilnatoka"/>
        <w:numPr>
          <w:ilvl w:val="0"/>
          <w:numId w:val="0"/>
        </w:numPr>
        <w:shd w:val="clear" w:color="auto" w:fill="FFFFFF" w:themeFill="background1"/>
        <w:rPr>
          <w:rFonts w:cs="Arial"/>
          <w:sz w:val="20"/>
          <w:szCs w:val="20"/>
        </w:rPr>
      </w:pPr>
      <w:r w:rsidRPr="00215B2F">
        <w:rPr>
          <w:rFonts w:cs="Arial"/>
          <w:sz w:val="20"/>
          <w:szCs w:val="20"/>
        </w:rPr>
        <w:t>V primerjavi z ZBan-</w:t>
      </w:r>
      <w:r w:rsidR="00E16A5F" w:rsidRPr="00215B2F">
        <w:rPr>
          <w:rFonts w:cs="Arial"/>
          <w:sz w:val="20"/>
          <w:szCs w:val="20"/>
        </w:rPr>
        <w:t>3</w:t>
      </w:r>
      <w:r w:rsidRPr="00215B2F">
        <w:rPr>
          <w:rFonts w:cs="Arial"/>
          <w:sz w:val="20"/>
          <w:szCs w:val="20"/>
        </w:rPr>
        <w:t xml:space="preserve"> (131. člen) ni vsebinskih sprememb. Predlog člena ureja </w:t>
      </w:r>
      <w:bookmarkStart w:id="618" w:name="_Toc398295731"/>
      <w:r w:rsidRPr="00215B2F">
        <w:rPr>
          <w:rFonts w:cs="Arial"/>
          <w:sz w:val="20"/>
          <w:szCs w:val="20"/>
        </w:rPr>
        <w:t>dovoljenje za ustanovitev podružnice banke v tretji državi</w:t>
      </w:r>
      <w:bookmarkEnd w:id="618"/>
      <w:r w:rsidRPr="00215B2F">
        <w:rPr>
          <w:rFonts w:cs="Arial"/>
          <w:sz w:val="20"/>
          <w:szCs w:val="20"/>
        </w:rPr>
        <w:t xml:space="preserve"> in v notranji pravni red prenaša določbo 47. člena CRD, ki v okviru odnosov s tretjimi državami ureja uradno obveščanje o podružnicah tretjih držav in pogoje dostopa za kreditne institucije, ki imajo takšne podružnice.</w:t>
      </w:r>
    </w:p>
    <w:p w14:paraId="3CB9098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1AFEAA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_Ref202964430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164</w:t>
      </w:r>
      <w:r w:rsidRPr="00215B2F">
        <w:rPr>
          <w:rFonts w:ascii="Arial" w:hAnsi="Arial" w:cs="Arial"/>
          <w:b/>
          <w:bCs/>
          <w:sz w:val="20"/>
          <w:szCs w:val="20"/>
        </w:rPr>
        <w:fldChar w:fldCharType="end"/>
      </w:r>
      <w:r w:rsidRPr="00215B2F">
        <w:rPr>
          <w:rFonts w:ascii="Arial" w:hAnsi="Arial" w:cs="Arial"/>
          <w:b/>
          <w:bCs/>
          <w:sz w:val="20"/>
          <w:szCs w:val="20"/>
        </w:rPr>
        <w:t>. členu (veljavni 132. člen ZBan-3)</w:t>
      </w:r>
    </w:p>
    <w:p w14:paraId="74C98AEA"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72E31E1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(132. člen) ni vsebinskih sprememb. Predlog člena opredeljuje </w:t>
      </w:r>
      <w:bookmarkStart w:id="619" w:name="_Toc398295733"/>
      <w:r w:rsidRPr="00215B2F">
        <w:rPr>
          <w:rFonts w:ascii="Arial" w:hAnsi="Arial" w:cs="Arial"/>
          <w:sz w:val="20"/>
          <w:szCs w:val="20"/>
        </w:rPr>
        <w:t>posebno finančno institucijo</w:t>
      </w:r>
      <w:bookmarkEnd w:id="619"/>
      <w:r w:rsidRPr="00215B2F">
        <w:rPr>
          <w:rFonts w:ascii="Arial" w:hAnsi="Arial" w:cs="Arial"/>
          <w:sz w:val="20"/>
          <w:szCs w:val="20"/>
        </w:rPr>
        <w:t xml:space="preserve"> v skladu s 34. členom CRD.</w:t>
      </w:r>
    </w:p>
    <w:p w14:paraId="0E05D4D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0C2DB0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_Ref202964436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165</w:t>
      </w:r>
      <w:r w:rsidRPr="00215B2F">
        <w:rPr>
          <w:rFonts w:ascii="Arial" w:hAnsi="Arial" w:cs="Arial"/>
          <w:b/>
          <w:bCs/>
          <w:sz w:val="20"/>
          <w:szCs w:val="20"/>
        </w:rPr>
        <w:fldChar w:fldCharType="end"/>
      </w:r>
      <w:r w:rsidRPr="00215B2F">
        <w:rPr>
          <w:rFonts w:ascii="Arial" w:hAnsi="Arial" w:cs="Arial"/>
          <w:b/>
          <w:bCs/>
          <w:sz w:val="20"/>
          <w:szCs w:val="20"/>
        </w:rPr>
        <w:t>. členu (veljavni 133. člen ZBan-3)</w:t>
      </w:r>
    </w:p>
    <w:p w14:paraId="1E5A5C3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B9153D3" w14:textId="1973996E" w:rsidR="0010347E" w:rsidRPr="00215B2F" w:rsidRDefault="0010347E" w:rsidP="0010347E">
      <w:pPr>
        <w:shd w:val="clear" w:color="auto" w:fill="FFFFFF" w:themeFill="background1"/>
        <w:spacing w:after="0" w:line="240" w:lineRule="auto"/>
        <w:jc w:val="both"/>
        <w:rPr>
          <w:rFonts w:ascii="Arial" w:hAnsi="Arial" w:cs="Arial"/>
          <w:sz w:val="20"/>
          <w:szCs w:val="20"/>
        </w:rPr>
      </w:pPr>
      <w:bookmarkStart w:id="620" w:name="_Toc398295735"/>
      <w:r w:rsidRPr="00215B2F">
        <w:rPr>
          <w:rFonts w:ascii="Arial" w:hAnsi="Arial" w:cs="Arial"/>
          <w:sz w:val="20"/>
          <w:szCs w:val="20"/>
        </w:rPr>
        <w:t>V primerjavi z ZBan-</w:t>
      </w:r>
      <w:r w:rsidR="00383F9D" w:rsidRPr="00215B2F">
        <w:rPr>
          <w:rFonts w:ascii="Arial" w:hAnsi="Arial" w:cs="Arial"/>
          <w:sz w:val="20"/>
          <w:szCs w:val="20"/>
        </w:rPr>
        <w:t xml:space="preserve">3 </w:t>
      </w:r>
      <w:r w:rsidRPr="00215B2F">
        <w:rPr>
          <w:rFonts w:ascii="Arial" w:hAnsi="Arial" w:cs="Arial"/>
          <w:sz w:val="20"/>
          <w:szCs w:val="20"/>
        </w:rPr>
        <w:t>(133. člen) ni vsebinskih sprememb. Predlog člena ureja opravljanje vzajemno priznanih finančnih storitev bank držav članic</w:t>
      </w:r>
      <w:bookmarkEnd w:id="620"/>
      <w:r w:rsidRPr="00215B2F">
        <w:rPr>
          <w:rFonts w:ascii="Arial" w:hAnsi="Arial" w:cs="Arial"/>
          <w:sz w:val="20"/>
          <w:szCs w:val="20"/>
        </w:rPr>
        <w:t>.</w:t>
      </w:r>
    </w:p>
    <w:p w14:paraId="614979F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AD8573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_Ref202964444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166</w:t>
      </w:r>
      <w:r w:rsidRPr="00215B2F">
        <w:rPr>
          <w:rFonts w:ascii="Arial" w:hAnsi="Arial" w:cs="Arial"/>
          <w:b/>
          <w:bCs/>
          <w:sz w:val="20"/>
          <w:szCs w:val="20"/>
        </w:rPr>
        <w:fldChar w:fldCharType="end"/>
      </w:r>
      <w:r w:rsidRPr="00215B2F">
        <w:rPr>
          <w:rFonts w:ascii="Arial" w:hAnsi="Arial" w:cs="Arial"/>
          <w:b/>
          <w:bCs/>
          <w:sz w:val="20"/>
          <w:szCs w:val="20"/>
        </w:rPr>
        <w:t>. členu (veljavni 134. člen ZBan-3)</w:t>
      </w:r>
    </w:p>
    <w:p w14:paraId="3897919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9B8D37A" w14:textId="45FBC82E"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w:t>
      </w:r>
      <w:r w:rsidR="00AC5FED" w:rsidRPr="00215B2F">
        <w:rPr>
          <w:rFonts w:ascii="Arial" w:hAnsi="Arial" w:cs="Arial"/>
          <w:sz w:val="20"/>
          <w:szCs w:val="20"/>
        </w:rPr>
        <w:t>3</w:t>
      </w:r>
      <w:r w:rsidRPr="00215B2F">
        <w:rPr>
          <w:rFonts w:ascii="Arial" w:hAnsi="Arial" w:cs="Arial"/>
          <w:sz w:val="20"/>
          <w:szCs w:val="20"/>
        </w:rPr>
        <w:t xml:space="preserve"> (134. člen) ni vsebinskih sprememb. Predlog člena </w:t>
      </w:r>
      <w:bookmarkStart w:id="621" w:name="_Toc398295736"/>
      <w:r w:rsidRPr="00215B2F">
        <w:rPr>
          <w:rFonts w:ascii="Arial" w:hAnsi="Arial" w:cs="Arial"/>
          <w:sz w:val="20"/>
          <w:szCs w:val="20"/>
        </w:rPr>
        <w:t xml:space="preserve">za banko države članice, ki opravlja vzajemno priznane storitve na območju Republike Slovenije, določa uporaba predpisov Republike Slovenije, </w:t>
      </w:r>
      <w:bookmarkEnd w:id="621"/>
      <w:r w:rsidRPr="00215B2F">
        <w:rPr>
          <w:rFonts w:ascii="Arial" w:hAnsi="Arial" w:cs="Arial"/>
          <w:sz w:val="20"/>
          <w:szCs w:val="20"/>
        </w:rPr>
        <w:t>ki se uporabljajo v zvezi z izvajanjem vzajemno priznanih finančnih storitev.</w:t>
      </w:r>
    </w:p>
    <w:p w14:paraId="3295BAB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528348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_Ref202964450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167</w:t>
      </w:r>
      <w:r w:rsidRPr="00215B2F">
        <w:rPr>
          <w:rFonts w:ascii="Arial" w:hAnsi="Arial" w:cs="Arial"/>
          <w:b/>
          <w:bCs/>
          <w:sz w:val="20"/>
          <w:szCs w:val="20"/>
        </w:rPr>
        <w:fldChar w:fldCharType="end"/>
      </w:r>
      <w:r w:rsidRPr="00215B2F">
        <w:rPr>
          <w:rFonts w:ascii="Arial" w:hAnsi="Arial" w:cs="Arial"/>
          <w:b/>
          <w:bCs/>
          <w:sz w:val="20"/>
          <w:szCs w:val="20"/>
        </w:rPr>
        <w:t>. členu (veljavni 135. člen ZBan-3)</w:t>
      </w:r>
    </w:p>
    <w:p w14:paraId="6273EE2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484BA4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(135. člen) ni vsebinskih sprememb. Predlog člena v skladu s 34. členom CRD določa posebna pravila za posebno finančno institucijo države članice. Posebne finančne institucije iz drugih držav članic EU lahko opravljajo finančne storitve v Sloveniji, če v matični državi izpolnjujejo pogoje iz zakona in imajo ustrezno potrdilo pristojnega organa. Zanje veljajo enaka pravila kot za banke iz držav članic. Obvestilo matičnega organa mora vključevati potrdilo o izpolnjevanju pogojev ter podatke o kapitalu in tveganjih. Če institucija pogojev ne izpolnjuje več, izgubi pravico do opravljanja storitev v Sloveniji. Enaka pravila veljajo tudi za njihove podrejene družbe.</w:t>
      </w:r>
    </w:p>
    <w:p w14:paraId="42EAA9F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F86DB0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_Ref202964457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168</w:t>
      </w:r>
      <w:r w:rsidRPr="00215B2F">
        <w:rPr>
          <w:rFonts w:ascii="Arial" w:hAnsi="Arial" w:cs="Arial"/>
          <w:b/>
          <w:bCs/>
          <w:sz w:val="20"/>
          <w:szCs w:val="20"/>
        </w:rPr>
        <w:fldChar w:fldCharType="end"/>
      </w:r>
      <w:r w:rsidRPr="00215B2F">
        <w:rPr>
          <w:rFonts w:ascii="Arial" w:hAnsi="Arial" w:cs="Arial"/>
          <w:b/>
          <w:bCs/>
          <w:sz w:val="20"/>
          <w:szCs w:val="20"/>
        </w:rPr>
        <w:t>. členu (veljavni 136. člen ZBan-3)</w:t>
      </w:r>
    </w:p>
    <w:p w14:paraId="338D1F7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7FBF69C" w14:textId="77777777" w:rsidR="0010347E" w:rsidRPr="00215B2F" w:rsidRDefault="0010347E" w:rsidP="0010347E">
      <w:pPr>
        <w:pStyle w:val="Pripombabesedilo"/>
        <w:shd w:val="clear" w:color="auto" w:fill="FFFFFF" w:themeFill="background1"/>
        <w:jc w:val="both"/>
        <w:rPr>
          <w:rFonts w:ascii="Arial" w:hAnsi="Arial" w:cs="Arial"/>
        </w:rPr>
      </w:pPr>
      <w:r w:rsidRPr="00215B2F">
        <w:rPr>
          <w:rFonts w:ascii="Arial" w:hAnsi="Arial" w:cs="Arial"/>
        </w:rPr>
        <w:t xml:space="preserve">ZBan-3 ureja samo podružnice bank tretje države, ki so v 4. členu ZBan-3 definirane kot: </w:t>
      </w:r>
    </w:p>
    <w:p w14:paraId="2830A03B" w14:textId="77777777" w:rsidR="0010347E" w:rsidRPr="00215B2F" w:rsidRDefault="0010347E" w:rsidP="0010347E">
      <w:pPr>
        <w:pStyle w:val="Pripombabesedilo"/>
        <w:shd w:val="clear" w:color="auto" w:fill="FFFFFF" w:themeFill="background1"/>
        <w:jc w:val="both"/>
        <w:rPr>
          <w:rFonts w:ascii="Arial" w:hAnsi="Arial" w:cs="Arial"/>
        </w:rPr>
      </w:pPr>
    </w:p>
    <w:p w14:paraId="6C7FBDF0" w14:textId="77777777" w:rsidR="0010347E" w:rsidRPr="00215B2F" w:rsidRDefault="0010347E" w:rsidP="0010347E">
      <w:pPr>
        <w:pStyle w:val="Pripombabesedilo"/>
        <w:shd w:val="clear" w:color="auto" w:fill="FFFFFF" w:themeFill="background1"/>
        <w:jc w:val="both"/>
        <w:rPr>
          <w:rFonts w:ascii="Arial" w:hAnsi="Arial" w:cs="Arial"/>
          <w:shd w:val="clear" w:color="auto" w:fill="FFFFFF"/>
        </w:rPr>
      </w:pPr>
      <w:r w:rsidRPr="00215B2F">
        <w:rPr>
          <w:rFonts w:ascii="Arial" w:hAnsi="Arial" w:cs="Arial"/>
          <w:shd w:val="clear" w:color="auto" w:fill="FFFFFF"/>
        </w:rPr>
        <w:t>»Izraz »banka tretje države« je v tem zakonu uporabljen za kreditno institucijo s sedežem v državi, ki ni država članica, in ki je pridobila dovoljenje pristojnega organa te države za opravljanje bančnih storitev.«</w:t>
      </w:r>
    </w:p>
    <w:p w14:paraId="7BA69D77" w14:textId="77777777" w:rsidR="0010347E" w:rsidRPr="00215B2F" w:rsidRDefault="0010347E" w:rsidP="0010347E">
      <w:pPr>
        <w:pStyle w:val="Pripombabesedilo"/>
        <w:shd w:val="clear" w:color="auto" w:fill="FFFFFF" w:themeFill="background1"/>
        <w:jc w:val="both"/>
        <w:rPr>
          <w:rFonts w:ascii="Arial" w:hAnsi="Arial" w:cs="Arial"/>
          <w:shd w:val="clear" w:color="auto" w:fill="FFFFFF"/>
        </w:rPr>
      </w:pPr>
    </w:p>
    <w:p w14:paraId="41F3D30B" w14:textId="77777777" w:rsidR="0010347E" w:rsidRPr="00215B2F" w:rsidRDefault="0010347E" w:rsidP="0010347E">
      <w:pPr>
        <w:pStyle w:val="Pripombabesedilo"/>
        <w:shd w:val="clear" w:color="auto" w:fill="FFFFFF" w:themeFill="background1"/>
        <w:jc w:val="both"/>
        <w:rPr>
          <w:rFonts w:ascii="Arial" w:hAnsi="Arial" w:cs="Arial"/>
        </w:rPr>
      </w:pPr>
      <w:r w:rsidRPr="00215B2F">
        <w:rPr>
          <w:rFonts w:ascii="Arial" w:hAnsi="Arial" w:cs="Arial"/>
        </w:rPr>
        <w:t>CRD zahteva podružnico samo za bančne storitve in storitve iz 2. in 6. točke priloge 1 (kreditiranje in izdajanje garancij). Določba ločuje med družbami, ki morajo ustanoviti podružnico, in naborom storitev, ki ga takšna družba pridobi v okviru dovoljenja</w:t>
      </w:r>
    </w:p>
    <w:p w14:paraId="41F42DBB" w14:textId="77777777" w:rsidR="0010347E" w:rsidRPr="00215B2F" w:rsidRDefault="0010347E" w:rsidP="0010347E">
      <w:pPr>
        <w:pStyle w:val="Odstavek"/>
        <w:shd w:val="clear" w:color="auto" w:fill="FFFFFF" w:themeFill="background1"/>
        <w:spacing w:before="0"/>
        <w:ind w:firstLine="0"/>
        <w:rPr>
          <w:rFonts w:cs="Arial"/>
          <w:strike/>
          <w:sz w:val="20"/>
          <w:szCs w:val="20"/>
        </w:rPr>
      </w:pPr>
    </w:p>
    <w:p w14:paraId="4F8B2584"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členom se tako določa, da lahko družbe iz tretjih držav opravljajo bančne ali finančne storitve v Sloveniji le prek podružnice, ki ima dovoljenje Banke Slovenije, razen v določenih primerih, ko storitev opravljajo izključno na pobudo stranke (npr. profesionalne stranke, kreditne institucije ali povezane družbe). Če družba iz tretje države aktivno išče stranke v EU, se to ne šteje za storitev na pobudo. Banka Slovenije lahko zahteva informacije o takih storitvah. Tudi kadar gre za pobudo stranke, družba ne sme tržiti drugih produktov brez podružnice, razen če so ti tesno povezani s prvotno storitvijo. Izjema velja tudi za storitve v zvezi s finančnimi instrumenti, ki jih ureja ZTFI-1. S členom se med drugim prenaša tretji pododstavek drugega odstavka 21.c člena CRD. </w:t>
      </w:r>
    </w:p>
    <w:p w14:paraId="282B16D7" w14:textId="77777777" w:rsidR="0010347E" w:rsidRPr="00215B2F" w:rsidRDefault="0010347E" w:rsidP="0010347E">
      <w:pPr>
        <w:pStyle w:val="Odstavek"/>
        <w:shd w:val="clear" w:color="auto" w:fill="FFFFFF" w:themeFill="background1"/>
        <w:spacing w:before="0"/>
        <w:ind w:firstLine="0"/>
        <w:rPr>
          <w:rFonts w:cs="Arial"/>
          <w:strike/>
          <w:sz w:val="20"/>
          <w:szCs w:val="20"/>
        </w:rPr>
      </w:pPr>
    </w:p>
    <w:p w14:paraId="1818007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_Ref202964493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169</w:t>
      </w:r>
      <w:r w:rsidRPr="00215B2F">
        <w:rPr>
          <w:rFonts w:ascii="Arial" w:hAnsi="Arial" w:cs="Arial"/>
          <w:b/>
          <w:bCs/>
          <w:sz w:val="20"/>
          <w:szCs w:val="20"/>
        </w:rPr>
        <w:fldChar w:fldCharType="end"/>
      </w:r>
      <w:r w:rsidRPr="00215B2F">
        <w:rPr>
          <w:rFonts w:ascii="Arial" w:hAnsi="Arial" w:cs="Arial"/>
          <w:b/>
          <w:bCs/>
          <w:sz w:val="20"/>
          <w:szCs w:val="20"/>
        </w:rPr>
        <w:t xml:space="preserve">. do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_Ref203380517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170</w:t>
      </w:r>
      <w:r w:rsidRPr="00215B2F">
        <w:rPr>
          <w:rFonts w:ascii="Arial" w:hAnsi="Arial" w:cs="Arial"/>
          <w:b/>
          <w:bCs/>
          <w:sz w:val="20"/>
          <w:szCs w:val="20"/>
        </w:rPr>
        <w:fldChar w:fldCharType="end"/>
      </w:r>
      <w:r w:rsidRPr="00215B2F">
        <w:rPr>
          <w:rFonts w:ascii="Arial" w:hAnsi="Arial" w:cs="Arial"/>
          <w:b/>
          <w:bCs/>
          <w:sz w:val="20"/>
          <w:szCs w:val="20"/>
        </w:rPr>
        <w:t>. členu (veljavna 140. in 141. člen ZBan-3)</w:t>
      </w:r>
    </w:p>
    <w:p w14:paraId="6BD5835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91D1C8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(140. do 141. člen) ni vsebinskih sprememb. Predloga členov urejata predstavništvo banke tretje države. Glede na to, da predstavništvo ne more opravljati nobenih poslov razen predstavljanja in pošiljanja informacij o svojih storitvah, se za ustanovitev določijo manj strogi pogoji v primerjavi s podružnico.</w:t>
      </w:r>
    </w:p>
    <w:p w14:paraId="6CDBC18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59B4BB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_Ref202964517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171</w:t>
      </w:r>
      <w:r w:rsidRPr="00215B2F">
        <w:rPr>
          <w:rFonts w:ascii="Arial" w:hAnsi="Arial" w:cs="Arial"/>
          <w:b/>
          <w:bCs/>
          <w:sz w:val="20"/>
          <w:szCs w:val="20"/>
        </w:rPr>
        <w:fldChar w:fldCharType="end"/>
      </w:r>
      <w:r w:rsidRPr="00215B2F">
        <w:rPr>
          <w:rFonts w:ascii="Arial" w:hAnsi="Arial" w:cs="Arial"/>
          <w:b/>
          <w:bCs/>
          <w:sz w:val="20"/>
          <w:szCs w:val="20"/>
        </w:rPr>
        <w:t>. členu (veljavni 142. člen ZBan-3)</w:t>
      </w:r>
    </w:p>
    <w:p w14:paraId="71B40A22"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22F5C113" w14:textId="77777777"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sz w:val="20"/>
          <w:szCs w:val="20"/>
        </w:rPr>
        <w:t xml:space="preserve">V primerjavi z ZBan-3 (142. člen) ni vsebinskih sprememb. </w:t>
      </w:r>
      <w:r w:rsidRPr="00215B2F">
        <w:rPr>
          <w:rFonts w:cs="Arial"/>
          <w:bCs/>
          <w:sz w:val="20"/>
          <w:szCs w:val="20"/>
        </w:rPr>
        <w:t xml:space="preserve">Če dve ali več institucij s sedežem v Evropski uniji, ki so del iste skupine s končno nadrejeno osebo iz tretje države, vključuje vsaj eno banko in skupna vrednost sredstev te skupine v EU presega 40 milijard evrov, morajo imeti skupno vmesno nadrejeno osebo s sedežem v EU. Izjemoma lahko Banka Slovenije skupaj z drugimi pristojnimi organi dovoli vzpostavitev dveh vmesnih nadrejenih oseb, če bi bila ustanovitev ene nadrejene osebe v nasprotju z zahtevami regulatorjev tretje države ali bi bilo reševanje v takšni obliki manj učinkovito. Vloga za tako izjemo se vloži pri Banki Slovenije in mora vsebovati ustrezna dokazila. Vmesna EU nadrejena oseba je lahko banka, finančni holding ali mešani finančni holding z ustreznim dovoljenjem. Vsaka banka, ki je del take skupine, mora imeti vmesno EU nadrejeno osebo, biti sama taka oseba, biti edina institucija iz skupine v EU ali pa mora skupina imeti manj kot 40 milijard evrov sredstev. Kadar skupina ne vključuje bank ali je zaradi investicijskih dejavnosti treba vzpostaviti dodatno vmesno nadrejeno osebo, jo lahko opravlja tudi investicijsko podjetje z dovoljenjem pristojne agencije za finančne trge, pri kateri se v tem primeru tudi vloži vloga za dovoljenje. Gre za prenos 21.b člena CRD. </w:t>
      </w:r>
    </w:p>
    <w:p w14:paraId="48FCC028"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23649899"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 xml:space="preserve">K </w:t>
      </w:r>
      <w:r w:rsidRPr="00215B2F">
        <w:rPr>
          <w:rFonts w:ascii="Arial" w:hAnsi="Arial" w:cs="Arial"/>
          <w:b/>
          <w:sz w:val="20"/>
          <w:szCs w:val="20"/>
        </w:rPr>
        <w:fldChar w:fldCharType="begin"/>
      </w:r>
      <w:r w:rsidRPr="00215B2F">
        <w:rPr>
          <w:rFonts w:ascii="Arial" w:hAnsi="Arial" w:cs="Arial"/>
          <w:b/>
          <w:sz w:val="20"/>
          <w:szCs w:val="20"/>
        </w:rPr>
        <w:instrText xml:space="preserve"> REF _Ref203481846 \r \h  \* MERGEFORMAT </w:instrText>
      </w:r>
      <w:r w:rsidRPr="00215B2F">
        <w:rPr>
          <w:rFonts w:ascii="Arial" w:hAnsi="Arial" w:cs="Arial"/>
          <w:b/>
          <w:sz w:val="20"/>
          <w:szCs w:val="20"/>
        </w:rPr>
      </w:r>
      <w:r w:rsidRPr="00215B2F">
        <w:rPr>
          <w:rFonts w:ascii="Arial" w:hAnsi="Arial" w:cs="Arial"/>
          <w:b/>
          <w:sz w:val="20"/>
          <w:szCs w:val="20"/>
        </w:rPr>
        <w:fldChar w:fldCharType="separate"/>
      </w:r>
      <w:r w:rsidR="0042445E">
        <w:rPr>
          <w:rFonts w:ascii="Arial" w:hAnsi="Arial" w:cs="Arial"/>
          <w:b/>
          <w:sz w:val="20"/>
          <w:szCs w:val="20"/>
        </w:rPr>
        <w:t>172</w:t>
      </w:r>
      <w:r w:rsidRPr="00215B2F">
        <w:rPr>
          <w:rFonts w:ascii="Arial" w:hAnsi="Arial" w:cs="Arial"/>
          <w:b/>
          <w:sz w:val="20"/>
          <w:szCs w:val="20"/>
        </w:rPr>
        <w:fldChar w:fldCharType="end"/>
      </w:r>
      <w:r w:rsidRPr="00215B2F">
        <w:rPr>
          <w:rFonts w:ascii="Arial" w:hAnsi="Arial" w:cs="Arial"/>
          <w:b/>
          <w:sz w:val="20"/>
          <w:szCs w:val="20"/>
        </w:rPr>
        <w:t>. členu (veljavni 143. člen ZBan-3)</w:t>
      </w:r>
    </w:p>
    <w:p w14:paraId="653EE5C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902902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(143. člen) ni vsebinskih sprememb. Člen določa način izračuna skupne vrednosti sredstev skupine iz tretje države, ki deluje v Evropski uniji. Skupna vrednost sredstev se izračuna kot vsota sredstev, ki jih imajo posamezne institucije znotraj Evropske unije, in sredstev podružnic skupine iz tretje države, ki imajo dovoljenje pristojnega organa v Evropski uniji. Izraz »institucija« v tem členu vključuje tudi investicijska podjetja.</w:t>
      </w:r>
    </w:p>
    <w:p w14:paraId="32605E1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605735D"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b/>
          <w:sz w:val="20"/>
          <w:szCs w:val="20"/>
        </w:rPr>
        <w:t xml:space="preserve">K </w:t>
      </w:r>
      <w:r w:rsidRPr="00215B2F">
        <w:rPr>
          <w:rFonts w:ascii="Arial" w:hAnsi="Arial" w:cs="Arial"/>
          <w:b/>
          <w:sz w:val="20"/>
          <w:szCs w:val="20"/>
        </w:rPr>
        <w:fldChar w:fldCharType="begin"/>
      </w:r>
      <w:r w:rsidRPr="00215B2F">
        <w:rPr>
          <w:rFonts w:ascii="Arial" w:hAnsi="Arial" w:cs="Arial"/>
          <w:b/>
          <w:sz w:val="20"/>
          <w:szCs w:val="20"/>
        </w:rPr>
        <w:instrText xml:space="preserve"> REF _Ref203481860 \r \h  \* MERGEFORMAT </w:instrText>
      </w:r>
      <w:r w:rsidRPr="00215B2F">
        <w:rPr>
          <w:rFonts w:ascii="Arial" w:hAnsi="Arial" w:cs="Arial"/>
          <w:b/>
          <w:sz w:val="20"/>
          <w:szCs w:val="20"/>
        </w:rPr>
      </w:r>
      <w:r w:rsidRPr="00215B2F">
        <w:rPr>
          <w:rFonts w:ascii="Arial" w:hAnsi="Arial" w:cs="Arial"/>
          <w:b/>
          <w:sz w:val="20"/>
          <w:szCs w:val="20"/>
        </w:rPr>
        <w:fldChar w:fldCharType="separate"/>
      </w:r>
      <w:r w:rsidR="0042445E">
        <w:rPr>
          <w:rFonts w:ascii="Arial" w:hAnsi="Arial" w:cs="Arial"/>
          <w:b/>
          <w:sz w:val="20"/>
          <w:szCs w:val="20"/>
        </w:rPr>
        <w:t>173</w:t>
      </w:r>
      <w:r w:rsidRPr="00215B2F">
        <w:rPr>
          <w:rFonts w:ascii="Arial" w:hAnsi="Arial" w:cs="Arial"/>
          <w:b/>
          <w:sz w:val="20"/>
          <w:szCs w:val="20"/>
        </w:rPr>
        <w:fldChar w:fldCharType="end"/>
      </w:r>
      <w:r w:rsidRPr="00215B2F">
        <w:rPr>
          <w:rFonts w:ascii="Arial" w:hAnsi="Arial" w:cs="Arial"/>
          <w:b/>
          <w:sz w:val="20"/>
          <w:szCs w:val="20"/>
        </w:rPr>
        <w:t>. členu (veljavni 144. člen ZBan-3)</w:t>
      </w:r>
    </w:p>
    <w:p w14:paraId="0A2791A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B0C59FD"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(144. člen) ni vsebinskih sprememb. Člen določa obveznost Banke Slovenije, da v zvezi s skupinami iz tretjih držav, ki poslujejo v Sloveniji, obvešča Evropski bančni organ. Obveščanje mora vsebovati podatke o imenu in skupni vrednosti sredstev institucij, ki spadajo v skupino, ter o sredstvih in vrstah dejavnosti podružnic bank tretje države v skupini, za katere so pridobljena dovoljenja. Poleg tega mora banka sporočiti ime in tip vmesne EU nadrejene osebe, ki je v Sloveniji, ter ime skupine iz tretje države, v katero ta oseba spada.</w:t>
      </w:r>
    </w:p>
    <w:p w14:paraId="13E504F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3FC719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_Ref202964569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174</w:t>
      </w:r>
      <w:r w:rsidRPr="00215B2F">
        <w:rPr>
          <w:rFonts w:ascii="Arial" w:hAnsi="Arial" w:cs="Arial"/>
          <w:b/>
          <w:bCs/>
          <w:sz w:val="20"/>
          <w:szCs w:val="20"/>
        </w:rPr>
        <w:fldChar w:fldCharType="end"/>
      </w:r>
      <w:r w:rsidRPr="00215B2F">
        <w:rPr>
          <w:rFonts w:ascii="Arial" w:hAnsi="Arial" w:cs="Arial"/>
          <w:b/>
          <w:bCs/>
          <w:sz w:val="20"/>
          <w:szCs w:val="20"/>
        </w:rPr>
        <w:t>. členu (veljavni 145. člen ZBan-3)</w:t>
      </w:r>
    </w:p>
    <w:p w14:paraId="169D887E"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348A01D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(145. člen) ni vsebinskih sprememb. Predlog člena določa splošno opredelitev zaupnih podatkov (bančne tajnosti), in sicer so to vsi podatki, dejstva in okoliščine o posamezni stranki ne glede na način, na katerega je te podatke pridobila. Člen ohranja sicer že uveljavljeni koncept bančne tajnosti, ki je po svoji naravi poslovna tajnost in je kot taka temeljna predpostavka zaupanja v bančni sistem. Bančna tajnost pomeni pravno dolžnost bank, da varujejo podatke o strankah in da zavrnejo vsakršne zahteve tretjih oseb po pošiljanju teh informacij, razen v zakonsko opredeljenih izjemah. Te izjeme je v vsakem primeru treba razlagati ozko in v primeru dvoma v korist varovanja zaupnosti. Bančna tajnost je namreč temeljni element zaupanja med stranko in banko, ki je na področju bančnega poslovanja bistvena značilnost vsakega odnosa med banko in stranko. Z izrecnim urejanjem zahteve glede varovanja zaupnih podatkov (bančne tajnosti) se z upoštevanjem značilnosti bančnega poslovanja, tudi primerjalno, vzpostavlja splošni pravni okvir, ki varuje zaupanje (pričakovanje) strank v bančni sistem kot celoto. S tem je bančna tajnost in njena ustrezna pravna zaščita tudi pomembni dejavnik za stabilnost finančnega sistema kot celote.</w:t>
      </w:r>
    </w:p>
    <w:p w14:paraId="2D74AA0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FABDF7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_Ref202964576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175</w:t>
      </w:r>
      <w:r w:rsidRPr="00215B2F">
        <w:rPr>
          <w:rFonts w:ascii="Arial" w:hAnsi="Arial" w:cs="Arial"/>
          <w:b/>
          <w:bCs/>
          <w:sz w:val="20"/>
          <w:szCs w:val="20"/>
        </w:rPr>
        <w:fldChar w:fldCharType="end"/>
      </w:r>
      <w:r w:rsidRPr="00215B2F">
        <w:rPr>
          <w:rFonts w:ascii="Arial" w:hAnsi="Arial" w:cs="Arial"/>
          <w:b/>
          <w:bCs/>
          <w:sz w:val="20"/>
          <w:szCs w:val="20"/>
        </w:rPr>
        <w:t>. členu (veljavni 146. člen ZBan-3)</w:t>
      </w:r>
    </w:p>
    <w:p w14:paraId="2FA84A3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634218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(146. člen) ni vsebinskih sprememb.</w:t>
      </w:r>
    </w:p>
    <w:p w14:paraId="78F73A6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F88F6C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Dolžnost varovanja zaupnih podatkov velja tako za banko kot tudi za vse fizične osebe, ki so povezane z banko in so jim ti podatki na kakršen koli način dostopni. Poleg članov organov banke, delničarjev banke, delavcev banke so to tudi druge osebe, ki so jim v zvezi z njihovim delom v banki oziroma pri opravljanju storitev za banko na kakršen koli način dostopni zaupni podatki.</w:t>
      </w:r>
    </w:p>
    <w:p w14:paraId="0471383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687829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tretjem odstavku člena predloga zakona so določene izjeme od obveznosti varovanja zaupnih podatkov, in sicer so v 1., 2., 4. in 5. točki določene izjeme, ki so povezane z izvajanjem drugih določb predloga zakona, medtem ko so v 3. in 6. točki izjeme določene s sklicevanjem na druge zakone, kjer je to izrecno določeno. Banka mora tudi zagotoviti, da je mogoče pozneje ugotoviti, kateri zaupni podatki so bili poslani, komu, kdaj in na kakšni podlagi, in sicer za obdobje, ko je mogoče zakonsko varstvo pravice posameznika zaradi nedopustnega razkrivanja zaupnih podatkov.</w:t>
      </w:r>
    </w:p>
    <w:p w14:paraId="17A962B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83D2FD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Predlog zakona jasneje določa primere, ko banka ali druga oseba iz drugega odstavka lahko razkrije tudi podatke, kadar vloži ovadbo ali naznani sum kaznivega dejanja pristojnim organom pregona. V primerih, kadar banka ne vloži kazenske ovadbe, ampak ovadbo vloži nekdo tretji, lahko banka zahtevane podatke pošlje policiji ali tožilstvu zgolj v skladu s predpisi, ki urejajo njihovo delovanje.</w:t>
      </w:r>
    </w:p>
    <w:p w14:paraId="3E60523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0401541"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Člen določa tudi, da mora banka za vsako pošiljanje zaupnih podatkov zagotoviti, da je mogoče pozneje ugotoviti, kateri zaupni podatki so bili poslani, komu, kdaj in na kakšni podlagi, in sicer za obdobje, ko je mogoče zakonsko varstvo pravice posameznika zaradi nedopustnega razkritja zaupnih podatkov. Za vse zaupne podatke pri banki (za pravne in fizične osebe ter druge subjekte) določba vzpostavlja zahtevo glede »hrambe zunanje sledi« v zvezi s pošiljanjem zaupnih podatkov, kot je v Zakonu o varstvu osebnih podatkov (22. člen) določena obveznost upravljavca osebnih podatkov hrambe zunanje sledi v zvezi s pošiljanjem osebnih podatkov. Banka mora zagotavljati hrambo zunanje sledi 10 let po pošiljanju podatkov. Tak rok je določen glede na določbe Kazenskega zakonika, ki določajo čas za zastaranje pregona zaradi kaznivih dejanj, in sicer v povezavi s kaznivimi dejanji zlorabe osebnih podatkov ter izdaje poslovne skrivnosti. Kljub dejstvu, da lahko nedopustno razkritje zaupnih podatkov izpolnjuje tudi znake kaznivega dejanja zlorabe zaupanja pri opravljanju gospodarske dejavnosti, za katero kazenski pregon zastara po 20 letih od storitve kaznivega dejanja, pa bi bilo takšno obdobje hrambe zunanje sledi nesorazmerno.</w:t>
      </w:r>
    </w:p>
    <w:p w14:paraId="057C145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4250A2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_Ref202964583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176</w:t>
      </w:r>
      <w:r w:rsidRPr="00215B2F">
        <w:rPr>
          <w:rFonts w:ascii="Arial" w:hAnsi="Arial" w:cs="Arial"/>
          <w:b/>
          <w:bCs/>
          <w:sz w:val="20"/>
          <w:szCs w:val="20"/>
        </w:rPr>
        <w:fldChar w:fldCharType="end"/>
      </w:r>
      <w:r w:rsidRPr="00215B2F">
        <w:rPr>
          <w:rFonts w:ascii="Arial" w:hAnsi="Arial" w:cs="Arial"/>
          <w:b/>
          <w:bCs/>
          <w:sz w:val="20"/>
          <w:szCs w:val="20"/>
        </w:rPr>
        <w:t>. členu (veljavni 147. člen ZBan-3)</w:t>
      </w:r>
    </w:p>
    <w:p w14:paraId="1C0324A8"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3FA1F42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(147. člen) ni vsebinskih sprememb. Uporaba zaupnih podatkov, ki se smejo poslati drugim osebam po drugem do četrtem odstavku, je omejena izključno za namen, zaradi katerega so bili ti podatki tem osebam poslani. </w:t>
      </w:r>
    </w:p>
    <w:p w14:paraId="431F918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D1F6F7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_Ref202964590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177</w:t>
      </w:r>
      <w:r w:rsidRPr="00215B2F">
        <w:rPr>
          <w:rFonts w:ascii="Arial" w:hAnsi="Arial" w:cs="Arial"/>
          <w:b/>
          <w:bCs/>
          <w:sz w:val="20"/>
          <w:szCs w:val="20"/>
        </w:rPr>
        <w:fldChar w:fldCharType="end"/>
      </w:r>
      <w:r w:rsidRPr="00215B2F">
        <w:rPr>
          <w:rFonts w:ascii="Arial" w:hAnsi="Arial" w:cs="Arial"/>
          <w:b/>
          <w:bCs/>
          <w:sz w:val="20"/>
          <w:szCs w:val="20"/>
        </w:rPr>
        <w:t>. členu (veljavni 148. člen ZBan-3)</w:t>
      </w:r>
    </w:p>
    <w:p w14:paraId="2A050121"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1D0905FD"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ZBan-3 (148. člen) določa, da mora imeti banka stabilno notranjo ureditev upravljanja, ki vključuje jasno organizacijsko strukturo z opredeljenimi odgovornostmi, učinkovite postopke upravljanja tveganj (vključno z načrti sanacije in poročanjem), zanesljive mehanizme notranjih kontrol ter ustrezne omrežne in informacijske sisteme, skladne z najnovejšimi uredbami EU o digitalni operativni odpornosti. Poleg tega mora imeti banka politike prejemkov, ki spodbujajo učinkovito upravljanje tveganj in so spolno nevtralne. Ta ureditev mora biti celovita in sorazmerna s kompleksnostjo ter tveganji poslovanja banke. </w:t>
      </w:r>
    </w:p>
    <w:p w14:paraId="7E377AD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16FC82B"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Gre za prenos 74. člena CRD, ki določa, da mora banka imeti stabilno ureditev notranjega upravljanja, ki zajema: (i) jasno organizacijsko strukturo z natančno opredeljenimi, preglednimi in doslednimi notranjimi razmerji glede odgovornosti; (ii) učinkovite postopke upravljanja tveganj za ugotavljanje, merjenje oziroma ocenjevanje, obvladovanje in spremljanje tveganj, vključno z načrti sanacije ter poročanjem o tveganjih, ki jim je banka izpostavljena pri svojem poslovanju ali bi jim lahko bila; (iii) primerne mehanizme notranjih kontrol, ki vključujejo ustrezne administrativne in računovodske postopke; (iv) ustrezne politike in prakse prejemkov, ki so skladne s preudarnim in učinkovitim upravljanjem tveganj in tako upravljanje tudi spodbujajo ter so nevtralne glede na spol.</w:t>
      </w:r>
    </w:p>
    <w:p w14:paraId="285EF97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E94BD3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zakona se dopolnjuje 2. točka prvega odstavka tako, da mora imeti banka stabilno ureditev notranjega upravljanja, ki zajema tudi </w:t>
      </w:r>
      <w:r w:rsidRPr="00215B2F">
        <w:rPr>
          <w:rFonts w:eastAsia="Arial" w:cs="Arial"/>
          <w:sz w:val="20"/>
          <w:szCs w:val="20"/>
        </w:rPr>
        <w:t xml:space="preserve">ugotavljanje, upravljanje, merjenje oziroma ocenjevanje in spremljanje tveganj, vključno z ESG tveganji v kratkoročnem, srednjeročnem in dolgoročnem obdobju </w:t>
      </w:r>
      <w:r w:rsidRPr="00215B2F">
        <w:rPr>
          <w:rFonts w:eastAsia="Arial" w:cs="Arial"/>
          <w:sz w:val="20"/>
          <w:szCs w:val="20"/>
        </w:rPr>
        <w:lastRenderedPageBreak/>
        <w:t xml:space="preserve">in tveganjem koncentracije, ki izhaja iz izpostavljenosti do centralnih nasprotnih strank. Gre za prenos 2. člena </w:t>
      </w:r>
      <w:r w:rsidRPr="00215B2F">
        <w:rPr>
          <w:rFonts w:cs="Arial"/>
          <w:sz w:val="20"/>
          <w:szCs w:val="20"/>
        </w:rPr>
        <w:t>Direktive 2024/2994/EU (sprememba 74. člena CRD, prvi odstavek, točka b).</w:t>
      </w:r>
    </w:p>
    <w:p w14:paraId="0B2AE9C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8573D2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_Ref202964599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178</w:t>
      </w:r>
      <w:r w:rsidRPr="00215B2F">
        <w:rPr>
          <w:rFonts w:ascii="Arial" w:hAnsi="Arial" w:cs="Arial"/>
          <w:b/>
          <w:bCs/>
          <w:sz w:val="20"/>
          <w:szCs w:val="20"/>
        </w:rPr>
        <w:fldChar w:fldCharType="end"/>
      </w:r>
      <w:r w:rsidRPr="00215B2F">
        <w:rPr>
          <w:rFonts w:ascii="Arial" w:hAnsi="Arial" w:cs="Arial"/>
          <w:b/>
          <w:bCs/>
          <w:sz w:val="20"/>
          <w:szCs w:val="20"/>
        </w:rPr>
        <w:t>. členu (veljavni 149. člen ZBan-3)</w:t>
      </w:r>
    </w:p>
    <w:p w14:paraId="15D0D98E"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0836E9C4" w14:textId="77777777" w:rsidR="0010347E" w:rsidRPr="00215B2F" w:rsidRDefault="0010347E" w:rsidP="0010347E">
      <w:pPr>
        <w:pStyle w:val="Alineazaodstavkom"/>
        <w:numPr>
          <w:ilvl w:val="0"/>
          <w:numId w:val="0"/>
        </w:numPr>
        <w:shd w:val="clear" w:color="auto" w:fill="FFFFFF" w:themeFill="background1"/>
        <w:rPr>
          <w:rFonts w:cs="Arial"/>
          <w:sz w:val="20"/>
          <w:szCs w:val="20"/>
        </w:rPr>
      </w:pPr>
      <w:r w:rsidRPr="00215B2F">
        <w:rPr>
          <w:rFonts w:cs="Arial"/>
          <w:sz w:val="20"/>
          <w:szCs w:val="20"/>
        </w:rPr>
        <w:t xml:space="preserve">V primerjavi z ZBan-3 (149. člen) ni vsebinskih sprememb. Člen določa, da mora banka zagotoviti, da vedno razpolaga z ustreznim kapitalom za pokrivanje kapitalskih zahtev, zahtev po vzdrževanju kapitalskih blažilnikov ter za zagotavljanje ustreznega notranjega kapitala. Člen ureja tudi zahtevo glede izpolnjevanja dodatnih kapitalskih zahtev v skladu s 104.a členom CRD. </w:t>
      </w:r>
    </w:p>
    <w:p w14:paraId="3DB2BB2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CC199F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_Ref202964615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179</w:t>
      </w:r>
      <w:r w:rsidRPr="00215B2F">
        <w:rPr>
          <w:rFonts w:ascii="Arial" w:hAnsi="Arial" w:cs="Arial"/>
          <w:b/>
          <w:bCs/>
          <w:sz w:val="20"/>
          <w:szCs w:val="20"/>
        </w:rPr>
        <w:fldChar w:fldCharType="end"/>
      </w:r>
      <w:r w:rsidRPr="00215B2F">
        <w:rPr>
          <w:rFonts w:ascii="Arial" w:hAnsi="Arial" w:cs="Arial"/>
          <w:b/>
          <w:bCs/>
          <w:sz w:val="20"/>
          <w:szCs w:val="20"/>
        </w:rPr>
        <w:t>. členu (veljavni 150. člen ZBan-3)</w:t>
      </w:r>
    </w:p>
    <w:p w14:paraId="7A3B417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E4B2B5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(150. člen) ni vsebinskih sprememb. Likvidnostne zahteve, ki jih morajo izpolnjevati banke, so predpisane v 6. delu Uredbe 575/2013/EU. Osnovna zahteva je, da banke razpolagajo z likvidnimi sredstvi, katerih vsota vrednosti krije likvidnostne odlive, zmanjšane za likvidnostne prilive v stresnih razmerah, s čimer se zagotovi, da institucije vzdržujejo zadostne ravni likvidnostnih blažilnikov za pokritje vsakega morebitnega neravnotežja med likvidnostnimi prilivi in odlivi v zelo stresnih razmerah za obdobje 30 dni. </w:t>
      </w:r>
    </w:p>
    <w:p w14:paraId="34C9F8E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35D8E8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skladu s tem členom, s katerim se prenaša 105. člen CRD, lahko Banka Slovenije določi dodatne zahteve glede zagotavljanja ustreznega likvidnostnega položaja banke, pri čemer upošteva poslovni model banke, ureditev notranjega upravljanja banke glede upravljanja likvidnostnega tveganja, ugotovitve pregledovanj in sistemsko likvidnostno tveganje, ki ogroža celovitost finančnega trga.</w:t>
      </w:r>
    </w:p>
    <w:p w14:paraId="7731B31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8B1A38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_Ref202964622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180</w:t>
      </w:r>
      <w:r w:rsidRPr="00215B2F">
        <w:rPr>
          <w:rFonts w:ascii="Arial" w:hAnsi="Arial" w:cs="Arial"/>
          <w:b/>
          <w:bCs/>
          <w:sz w:val="20"/>
          <w:szCs w:val="20"/>
        </w:rPr>
        <w:fldChar w:fldCharType="end"/>
      </w:r>
      <w:r w:rsidRPr="00215B2F">
        <w:rPr>
          <w:rFonts w:ascii="Arial" w:hAnsi="Arial" w:cs="Arial"/>
          <w:b/>
          <w:bCs/>
          <w:sz w:val="20"/>
          <w:szCs w:val="20"/>
        </w:rPr>
        <w:t>. členu (veljavni 151. člen ZBan-3)</w:t>
      </w:r>
    </w:p>
    <w:p w14:paraId="61DC124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2B6985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ZBan-3 (151. člen) določa, da mora imeti banka vzpostavljene ustrezne, učinkovite in celovite strategije ter postopke za stalno ocenjevanje in zagotavljanje ustreznega zneska, vrste in razporeditve notranjega kapitala, ki ga potrebuje glede na tveganja, ki jim je izpostavljena ali bi jim lahko bila izpostavljena pri svojem poslovanju. Poleg tega mora banka zagotoviti, da ta kapital zadošča tudi za pokritje izgub v primeru stresnih scenarijev, vključno z rezultati nadzorniških stresnih testov. Redno mora preverjati, ali so ti postopki sorazmerni z naravo, obsegom in kompleksnostjo njenih dejavnosti ter ali zagotavljajo zadostni notranji kapital za kritje tveganj. Banka Slovenije lahko za banke, povezane s centralnim organom, določi, da se te zahteve v celoti ali deloma ne uporabljajo. Gre za prenos prvega odstavka 104. člena CRD.</w:t>
      </w:r>
    </w:p>
    <w:p w14:paraId="41FE49C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361DFF0"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zakona se dodaja novi drugi odstavek (glede na 151. člen ZBan-3), s katerim se določa, da </w:t>
      </w:r>
      <w:r w:rsidRPr="00215B2F">
        <w:rPr>
          <w:rFonts w:eastAsia="Arial" w:cs="Arial"/>
          <w:sz w:val="20"/>
          <w:szCs w:val="20"/>
        </w:rPr>
        <w:t xml:space="preserve">banke pri strategijah in postopkih za kritje ESG tveganj izrecno upoštevajo kratkoročno, srednjeročno in dolgoročno obdobje. Gre za prenos 73. člena CRD. </w:t>
      </w:r>
    </w:p>
    <w:p w14:paraId="6CD8E94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87B3D7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_Ref202964633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181</w:t>
      </w:r>
      <w:r w:rsidRPr="00215B2F">
        <w:rPr>
          <w:rFonts w:ascii="Arial" w:hAnsi="Arial" w:cs="Arial"/>
          <w:b/>
          <w:bCs/>
          <w:sz w:val="20"/>
          <w:szCs w:val="20"/>
        </w:rPr>
        <w:fldChar w:fldCharType="end"/>
      </w:r>
      <w:r w:rsidRPr="00215B2F">
        <w:rPr>
          <w:rFonts w:ascii="Arial" w:hAnsi="Arial" w:cs="Arial"/>
          <w:b/>
          <w:bCs/>
          <w:sz w:val="20"/>
          <w:szCs w:val="20"/>
        </w:rPr>
        <w:t>. členu (veljavni 152. člen ZBan-3)</w:t>
      </w:r>
    </w:p>
    <w:p w14:paraId="0AF2AA79"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1A82911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(152. člen) ni vsebinskih sprememb. S členom se prenaša 83. člen CRD. Banka mora pri vzpostavljanju in zagotavljanju notranjega kapitala upoštevati pomembna tržna tveganja, ki niso zajeta v kapitalskih zahtevah v skladu z Uredbo 575/2013/EU. </w:t>
      </w:r>
    </w:p>
    <w:p w14:paraId="1E03F9F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99A3D5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ki pri izračunavanju kapitalskih zahtev za pozicijsko tveganje pobota svoje pozicije v enem ali več lastniških finančnih instrumentih, ki sestavljajo delniški indeks, z eno ali več pozicijami v terminski pogodbi na delniški indeks ali drugem produktu na delniški indeks, mora zagotavljati ustrezni notranji kapital za kritje osnovnega tveganja izgube, ki je posledica drugačnega gibanja vrednosti terminskih pogodb ali drugih izvedenih instrumentov glede na gibanje vrednosti osnovnih instrumentov, na katere so vezani. Banka mora zagotavljati ustrezni notranji kapital tudi v primeru, ko ima nasprotne pozicije v terminskih pogodbah na delniške indekse, ki se ne ujemajo glede na zapadlost ali sestavo ali oboje. </w:t>
      </w:r>
    </w:p>
    <w:p w14:paraId="4D2F478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9D816F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_Ref202964640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182</w:t>
      </w:r>
      <w:r w:rsidRPr="00215B2F">
        <w:rPr>
          <w:rFonts w:ascii="Arial" w:hAnsi="Arial" w:cs="Arial"/>
          <w:b/>
          <w:bCs/>
          <w:sz w:val="20"/>
          <w:szCs w:val="20"/>
        </w:rPr>
        <w:fldChar w:fldCharType="end"/>
      </w:r>
      <w:r w:rsidRPr="00215B2F">
        <w:rPr>
          <w:rFonts w:ascii="Arial" w:hAnsi="Arial" w:cs="Arial"/>
          <w:b/>
          <w:bCs/>
          <w:sz w:val="20"/>
          <w:szCs w:val="20"/>
        </w:rPr>
        <w:t>. členu (veljavni 153. člen ZBan-3)</w:t>
      </w:r>
    </w:p>
    <w:p w14:paraId="61F573B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06534F5"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(153. člen) ni vsebinskih sprememb.</w:t>
      </w:r>
      <w:r w:rsidRPr="00215B2F">
        <w:rPr>
          <w:rFonts w:eastAsiaTheme="minorHAnsi" w:cs="Arial"/>
          <w:kern w:val="2"/>
          <w:sz w:val="24"/>
          <w:szCs w:val="24"/>
          <w:lang w:eastAsia="en-US"/>
          <w14:ligatures w14:val="standardContextual"/>
        </w:rPr>
        <w:t xml:space="preserve"> </w:t>
      </w:r>
      <w:r w:rsidRPr="00215B2F">
        <w:rPr>
          <w:rFonts w:cs="Arial"/>
          <w:sz w:val="20"/>
          <w:szCs w:val="20"/>
        </w:rPr>
        <w:t xml:space="preserve">Banka, ki v Sloveniji ni vključena v skupino kot podrejena ali nadrejena banka in ni del bonitetne konsolidacije po 19. členu Uredbe 575/2013/EU, mora obveznosti glede ocenjevanja in zagotavljanja notranjega kapitala izpolnjevati na posamični podlagi. Nadrejena banka v EU ali v Sloveniji pa mora te obveznosti izpolnjevati na konsolidirani ravni </w:t>
      </w:r>
      <w:r w:rsidRPr="00215B2F">
        <w:rPr>
          <w:rFonts w:cs="Arial"/>
          <w:sz w:val="20"/>
          <w:szCs w:val="20"/>
        </w:rPr>
        <w:lastRenderedPageBreak/>
        <w:t>v skladu z določili Uredbe 575/2013/EU. Če je podrejena banka vključena v skupino s sedežem v tretji državi, mora obveznosti glede notranjega kapitala izpolnjevati na subkonsolidirani ravni.</w:t>
      </w:r>
    </w:p>
    <w:p w14:paraId="65AD700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9B05C6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_Ref202964645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183</w:t>
      </w:r>
      <w:r w:rsidRPr="00215B2F">
        <w:rPr>
          <w:rFonts w:ascii="Arial" w:hAnsi="Arial" w:cs="Arial"/>
          <w:b/>
          <w:bCs/>
          <w:sz w:val="20"/>
          <w:szCs w:val="20"/>
        </w:rPr>
        <w:fldChar w:fldCharType="end"/>
      </w:r>
      <w:r w:rsidRPr="00215B2F">
        <w:rPr>
          <w:rFonts w:ascii="Arial" w:hAnsi="Arial" w:cs="Arial"/>
          <w:b/>
          <w:bCs/>
          <w:sz w:val="20"/>
          <w:szCs w:val="20"/>
        </w:rPr>
        <w:t>. členu (veljavni 154. člen ZBan-3)</w:t>
      </w:r>
    </w:p>
    <w:p w14:paraId="0DD6497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0CD36D7" w14:textId="77777777"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sz w:val="20"/>
          <w:szCs w:val="20"/>
        </w:rPr>
        <w:t xml:space="preserve">V primerjavi z ZBan-3 (154. člen) ni vsebinskih sprememb. </w:t>
      </w:r>
      <w:r w:rsidRPr="00215B2F">
        <w:rPr>
          <w:rFonts w:cs="Arial"/>
          <w:bCs/>
          <w:sz w:val="20"/>
          <w:szCs w:val="20"/>
        </w:rPr>
        <w:t>Člen ureja raven izpolnjevanja obveznosti glede ureditve notranjega upravljanja in je predmet prenosa 109. člena CRD. Banka mora izpolnjevati zahteve glede ureditve notranjega upravljanja na posamični podlagi razen v primerih, ko Banka Slovenije za posamezno banko delno ali v celoti opusti uporabo teh zahtev. EU nadrejena banka oziroma nadrejena banka Republike Slovenije in njene podrejene družbe morajo izpolnjevati zahteve glede ureditve notranjega upravljanja na konsolidirani ali subkonsolidirani podlagi. EU nadrejena banka oziroma nadrejena banka Republike Slovenije in njene podrejene družbe morajo zagotoviti, da je ureditev notranjega upravljanja ustrezno integrirana ter se dosledno izvaja tudi v vseh njihovih preostalih podrejenih družbah.</w:t>
      </w:r>
    </w:p>
    <w:p w14:paraId="0BBDC36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9FF070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_Ref202964653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184</w:t>
      </w:r>
      <w:r w:rsidRPr="00215B2F">
        <w:rPr>
          <w:rFonts w:ascii="Arial" w:hAnsi="Arial" w:cs="Arial"/>
          <w:b/>
          <w:bCs/>
          <w:sz w:val="20"/>
          <w:szCs w:val="20"/>
        </w:rPr>
        <w:fldChar w:fldCharType="end"/>
      </w:r>
      <w:r w:rsidRPr="00215B2F">
        <w:rPr>
          <w:rFonts w:ascii="Arial" w:hAnsi="Arial" w:cs="Arial"/>
          <w:b/>
          <w:bCs/>
          <w:sz w:val="20"/>
          <w:szCs w:val="20"/>
        </w:rPr>
        <w:t>. členu (veljavni 155. člen ZBan-3)</w:t>
      </w:r>
    </w:p>
    <w:p w14:paraId="17BDC754"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669499EF" w14:textId="64BE89CD"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w:t>
      </w:r>
      <w:r w:rsidR="00DA5FAE" w:rsidRPr="00215B2F">
        <w:rPr>
          <w:rFonts w:ascii="Arial" w:hAnsi="Arial" w:cs="Arial"/>
          <w:sz w:val="20"/>
          <w:szCs w:val="20"/>
        </w:rPr>
        <w:t>3</w:t>
      </w:r>
      <w:r w:rsidRPr="00215B2F">
        <w:rPr>
          <w:rFonts w:ascii="Arial" w:hAnsi="Arial" w:cs="Arial"/>
          <w:sz w:val="20"/>
          <w:szCs w:val="20"/>
        </w:rPr>
        <w:t xml:space="preserve"> (155. člen) ni vsebinskih sprememb.</w:t>
      </w:r>
      <w:r w:rsidRPr="00215B2F">
        <w:rPr>
          <w:rFonts w:ascii="Arial" w:hAnsi="Arial" w:cs="Arial"/>
          <w:b/>
          <w:sz w:val="20"/>
          <w:szCs w:val="20"/>
        </w:rPr>
        <w:t xml:space="preserve"> </w:t>
      </w:r>
      <w:r w:rsidRPr="00215B2F">
        <w:rPr>
          <w:rFonts w:ascii="Arial" w:hAnsi="Arial" w:cs="Arial"/>
          <w:sz w:val="20"/>
          <w:szCs w:val="20"/>
        </w:rPr>
        <w:t xml:space="preserve">V členu se pooblasti Banka Slovenije, da podrobneje predpiše pravila glede ureditve notranjega upravljanja, ocenjevanja notranjega kapitala in poročanja na podlagi tega zakona in Uredbe </w:t>
      </w:r>
      <w:r w:rsidR="00D24496" w:rsidRPr="00215B2F">
        <w:rPr>
          <w:rFonts w:ascii="Arial" w:hAnsi="Arial" w:cs="Arial"/>
          <w:sz w:val="20"/>
          <w:szCs w:val="20"/>
        </w:rPr>
        <w:t>575/2013/EU</w:t>
      </w:r>
      <w:r w:rsidRPr="00215B2F">
        <w:rPr>
          <w:rFonts w:ascii="Arial" w:hAnsi="Arial" w:cs="Arial"/>
          <w:sz w:val="20"/>
          <w:szCs w:val="20"/>
        </w:rPr>
        <w:t xml:space="preserve">. </w:t>
      </w:r>
    </w:p>
    <w:p w14:paraId="6DE25D6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0265B1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_Ref202964666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185</w:t>
      </w:r>
      <w:r w:rsidRPr="00215B2F">
        <w:rPr>
          <w:rFonts w:ascii="Arial" w:hAnsi="Arial" w:cs="Arial"/>
          <w:b/>
          <w:bCs/>
          <w:sz w:val="20"/>
          <w:szCs w:val="20"/>
        </w:rPr>
        <w:fldChar w:fldCharType="end"/>
      </w:r>
      <w:r w:rsidRPr="00215B2F">
        <w:rPr>
          <w:rFonts w:ascii="Arial" w:hAnsi="Arial" w:cs="Arial"/>
          <w:b/>
          <w:bCs/>
          <w:sz w:val="20"/>
          <w:szCs w:val="20"/>
        </w:rPr>
        <w:t>. členu (veljavni 156. člen ZBan-3)</w:t>
      </w:r>
    </w:p>
    <w:p w14:paraId="7A81420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BCE8A4A" w14:textId="7AA67D3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w:t>
      </w:r>
      <w:r w:rsidR="00DA5FAE" w:rsidRPr="00215B2F">
        <w:rPr>
          <w:rFonts w:ascii="Arial" w:hAnsi="Arial" w:cs="Arial"/>
          <w:sz w:val="20"/>
          <w:szCs w:val="20"/>
        </w:rPr>
        <w:t xml:space="preserve">3 </w:t>
      </w:r>
      <w:r w:rsidRPr="00215B2F">
        <w:rPr>
          <w:rFonts w:ascii="Arial" w:hAnsi="Arial" w:cs="Arial"/>
          <w:sz w:val="20"/>
          <w:szCs w:val="20"/>
        </w:rPr>
        <w:t>(156. člen) ni vsebinskih sprememb.</w:t>
      </w:r>
      <w:r w:rsidRPr="00215B2F">
        <w:rPr>
          <w:rFonts w:ascii="Arial" w:hAnsi="Arial" w:cs="Arial"/>
          <w:b/>
          <w:sz w:val="20"/>
          <w:szCs w:val="20"/>
        </w:rPr>
        <w:t xml:space="preserve"> </w:t>
      </w:r>
      <w:r w:rsidRPr="00215B2F">
        <w:rPr>
          <w:rFonts w:ascii="Arial" w:hAnsi="Arial" w:cs="Arial"/>
          <w:sz w:val="20"/>
          <w:szCs w:val="20"/>
        </w:rPr>
        <w:t>S členom se prenaša 88. člen CRD. Uprava banke je tako v celoti odgovorna za poslovanje banke in upravljanje tveganj. V sklop odgovornosti uprave spada odobritev strateških ciljev banke, strategije prevzemanja in upravljanja tveganj, ureditve notranjega upravljanja banke; zagotavljanje celovitosti sistemov računovodskega in finančnega poročanja; nadzor nad postopki razkrivanja informacij banke ter postopki obveščanja pristojnih organov in drugih zainteresiranih strani ter zagotavljanje učinkovitega nadzora nad višjim vodstvom.</w:t>
      </w:r>
    </w:p>
    <w:p w14:paraId="4D9C160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8058F2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četrtem odstavku je določeno, da mora uprava pisno obvestiti nadzorni svet, če nastopijo ali obstaja verjetnost, da bodo nastopili razlogi za prenehanje ali odvzem dovoljenja za opravljanje bančnih storitev ali finančnih storitev oziroma prepoved opravljanja posameznih poslov, ki jih opravlja banka ali če se položaj banke spremeni tako, da banka ne zagotavlja ali verjetno ne bo zagotavljala kapitalske ustreznosti, ter o ugotovitvah Banke Slovenije, davčne inšpekcije in drugih nadzornih organov v postopkih nadzora nad banko in o drugih zadevah, kadar je to potrebno zaradi izvajanja pristojnosti in dolžnosti nadzornega sveta. </w:t>
      </w:r>
    </w:p>
    <w:p w14:paraId="0853085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472EA3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_Ref202964678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186</w:t>
      </w:r>
      <w:r w:rsidRPr="00215B2F">
        <w:rPr>
          <w:rFonts w:ascii="Arial" w:hAnsi="Arial" w:cs="Arial"/>
          <w:b/>
          <w:bCs/>
          <w:sz w:val="20"/>
          <w:szCs w:val="20"/>
        </w:rPr>
        <w:fldChar w:fldCharType="end"/>
      </w:r>
      <w:r w:rsidRPr="00215B2F">
        <w:rPr>
          <w:rFonts w:ascii="Arial" w:hAnsi="Arial" w:cs="Arial"/>
          <w:b/>
          <w:bCs/>
          <w:sz w:val="20"/>
          <w:szCs w:val="20"/>
        </w:rPr>
        <w:t>. členu (veljavni 157. člen ZBan-3)</w:t>
      </w:r>
    </w:p>
    <w:p w14:paraId="778FEAD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731100C" w14:textId="12990C7B"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(157. člen) ni vsebinskih sprememb.</w:t>
      </w:r>
      <w:r w:rsidRPr="00215B2F">
        <w:rPr>
          <w:rFonts w:ascii="Arial" w:hAnsi="Arial" w:cs="Arial"/>
          <w:b/>
          <w:sz w:val="20"/>
          <w:szCs w:val="20"/>
        </w:rPr>
        <w:t xml:space="preserve"> </w:t>
      </w:r>
      <w:r w:rsidRPr="00215B2F">
        <w:rPr>
          <w:rFonts w:ascii="Arial" w:hAnsi="Arial" w:cs="Arial"/>
          <w:sz w:val="20"/>
          <w:szCs w:val="20"/>
        </w:rPr>
        <w:t xml:space="preserve">S členom se prenaša 88. člen CRD v delu, ki določa delovanje </w:t>
      </w:r>
      <w:r w:rsidR="00354135" w:rsidRPr="00215B2F">
        <w:rPr>
          <w:rFonts w:ascii="Arial" w:hAnsi="Arial" w:cs="Arial"/>
          <w:sz w:val="20"/>
          <w:szCs w:val="20"/>
        </w:rPr>
        <w:t>nadzornega sveta</w:t>
      </w:r>
      <w:r w:rsidRPr="00215B2F">
        <w:rPr>
          <w:rFonts w:ascii="Arial" w:hAnsi="Arial" w:cs="Arial"/>
          <w:sz w:val="20"/>
          <w:szCs w:val="20"/>
        </w:rPr>
        <w:t>, deveti odstavek 91. člena CRD v delu, ki določa ustrezne vire za uvajanje in usposabljanje članov nadzornega sveta, ter tretji in četrti odstavek 75. člena v delu zagotavljanja znanja članov komisije za tveganja ter dostopa te komisije do zunanjih strokovnjakov. Nadzorni svet z izvajanjem nadzora nad delovanjem uprave ter izvajanjem svojih pristojnosti skupaj z upravo banke prevzema splošno odgovornost za učinkovito in skrbno upravljanje banke. Nadzorni svet mora zlasti nadzorovati izvajanje strateških ciljev banke, strategij upravljanja tveganj in prispevati k vzpostavitvi in uresničevanju stabilne ureditve notranjega upravljanja banke ter pri tem upoštevati politike in ukrepe za preprečevanje nastanka nasprotja interesov.</w:t>
      </w:r>
    </w:p>
    <w:p w14:paraId="6041836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C5A3D7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skladu z devetim odstavkom 91. člena CRD je določeno, da mora uprava banke zagotoviti ustrezne kadrovske in finančne vire za uvajanje in usposabljanje članov nadzornega sveta in komisije za tveganja, kadar je ustanovljena, vključno z zagotavljanjem možnosti uporabe zunanjih strokovnjakov za obravnavo posameznih vprašanj. </w:t>
      </w:r>
    </w:p>
    <w:p w14:paraId="3CF3CEA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04C864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_Ref202964685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187</w:t>
      </w:r>
      <w:r w:rsidRPr="00215B2F">
        <w:rPr>
          <w:rFonts w:ascii="Arial" w:hAnsi="Arial" w:cs="Arial"/>
          <w:b/>
          <w:bCs/>
          <w:sz w:val="20"/>
          <w:szCs w:val="20"/>
        </w:rPr>
        <w:fldChar w:fldCharType="end"/>
      </w:r>
      <w:r w:rsidRPr="00215B2F">
        <w:rPr>
          <w:rFonts w:ascii="Arial" w:hAnsi="Arial" w:cs="Arial"/>
          <w:b/>
          <w:bCs/>
          <w:sz w:val="20"/>
          <w:szCs w:val="20"/>
        </w:rPr>
        <w:t>. členu (veljavni 158. člen ZBan-3)</w:t>
      </w:r>
    </w:p>
    <w:p w14:paraId="42C86447"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1CBBD5D5" w14:textId="14807F96" w:rsidR="0010347E" w:rsidRPr="00215B2F" w:rsidRDefault="0010347E" w:rsidP="0010347E">
      <w:pPr>
        <w:pStyle w:val="tevilnatoka"/>
        <w:numPr>
          <w:ilvl w:val="0"/>
          <w:numId w:val="0"/>
        </w:numPr>
        <w:shd w:val="clear" w:color="auto" w:fill="FFFFFF" w:themeFill="background1"/>
        <w:rPr>
          <w:rFonts w:cs="Arial"/>
          <w:sz w:val="20"/>
          <w:szCs w:val="20"/>
        </w:rPr>
      </w:pPr>
      <w:r w:rsidRPr="00215B2F">
        <w:rPr>
          <w:rFonts w:cs="Arial"/>
          <w:bCs/>
          <w:sz w:val="20"/>
          <w:szCs w:val="20"/>
        </w:rPr>
        <w:t xml:space="preserve">S predlogom člena se nadgrajuje ureditev notranjih tveganj banke (158. člen ZBan-3). Gre za prenos 76. člena CRD (peti odstavek). </w:t>
      </w:r>
      <w:r w:rsidRPr="00215B2F">
        <w:rPr>
          <w:rFonts w:cs="Arial"/>
          <w:sz w:val="20"/>
          <w:szCs w:val="20"/>
        </w:rPr>
        <w:t>V skladu z novimi definicijami so funkcije notranje kontrole: funkcija upravljanja tveganj, funkcija zagotavljanja skladnosti</w:t>
      </w:r>
      <w:r w:rsidR="00DA5FAE" w:rsidRPr="00215B2F">
        <w:rPr>
          <w:rFonts w:cs="Arial"/>
          <w:sz w:val="20"/>
          <w:szCs w:val="20"/>
        </w:rPr>
        <w:t xml:space="preserve"> in</w:t>
      </w:r>
      <w:r w:rsidRPr="00215B2F">
        <w:rPr>
          <w:rFonts w:cs="Arial"/>
          <w:sz w:val="20"/>
          <w:szCs w:val="20"/>
        </w:rPr>
        <w:t xml:space="preserve"> funkcija notranje revizije.</w:t>
      </w:r>
    </w:p>
    <w:p w14:paraId="6D06FE47" w14:textId="77777777" w:rsidR="0010347E" w:rsidRPr="00215B2F" w:rsidRDefault="0010347E" w:rsidP="0010347E">
      <w:pPr>
        <w:pStyle w:val="tevilnatoka"/>
        <w:numPr>
          <w:ilvl w:val="0"/>
          <w:numId w:val="0"/>
        </w:numPr>
        <w:shd w:val="clear" w:color="auto" w:fill="FFFFFF" w:themeFill="background1"/>
        <w:rPr>
          <w:rFonts w:cs="Arial"/>
          <w:sz w:val="20"/>
          <w:szCs w:val="20"/>
        </w:rPr>
      </w:pPr>
    </w:p>
    <w:p w14:paraId="4055E8F2" w14:textId="77777777"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bCs/>
          <w:sz w:val="20"/>
          <w:szCs w:val="20"/>
        </w:rPr>
        <w:t xml:space="preserve">Uprava banke mora organizirati notranje kontrole, ki so funkcionalno in organizacijsko neodvisne od operativnih enot ter neposredno podrejene upravi, z ustreznimi pooblastili, ugledom in viri za učinkovito delo. Te službe skrbijo za celovito ugotavljanje, ocenjevanje tveganj in poročanje o njih ter imajo neposreden, neodvisen dostop do nadzornega sveta, ki mu lahko poročajo in izražajo pomisleke. Vodje notranjih kontrol so neodvisni višji vodstveni delavci z jasno odgovornostjo, pri manjših bankah pa lahko ena oseba opravlja več funkcij, če ni nasprotja interesov. Razrešitev teh vodij mora odobriti nadzorni svet. Dodatno velja pojasniti, da določba </w:t>
      </w:r>
      <w:r w:rsidRPr="00215B2F">
        <w:rPr>
          <w:rFonts w:cs="Arial"/>
          <w:sz w:val="20"/>
          <w:szCs w:val="20"/>
        </w:rPr>
        <w:t>ne preprečuje, da je vodja funkcije notranje kontrole član uprave.</w:t>
      </w:r>
    </w:p>
    <w:p w14:paraId="3AD66F3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F749E7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_Ref202964709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188</w:t>
      </w:r>
      <w:r w:rsidRPr="00215B2F">
        <w:rPr>
          <w:rFonts w:ascii="Arial" w:hAnsi="Arial" w:cs="Arial"/>
          <w:b/>
          <w:bCs/>
          <w:sz w:val="20"/>
          <w:szCs w:val="20"/>
        </w:rPr>
        <w:fldChar w:fldCharType="end"/>
      </w:r>
      <w:r w:rsidRPr="00215B2F">
        <w:rPr>
          <w:rFonts w:ascii="Arial" w:hAnsi="Arial" w:cs="Arial"/>
          <w:b/>
          <w:bCs/>
          <w:sz w:val="20"/>
          <w:szCs w:val="20"/>
        </w:rPr>
        <w:t>. členu</w:t>
      </w:r>
    </w:p>
    <w:p w14:paraId="47F10CA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57E79EC"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Nosilci funkcije upravljanja tveganj aktivno sodelujejo pri oblikovanju in izvajanju strategije upravljanja tveganj banke ter nadzirajo njeno učinkovito izvajanje. Vodja te funkcije mora redno poročati upravi o vseh pomembnih tveganjih in okoliščinah, ki lahko vplivajo na tveganja banke, ter jih nemudoma obvestiti o ključnih spremembah tveganj. Če uprava ne ukrepa ustrezno, mora vodja obvestiti predsednika nadzornega sveta in predsednika komisije za tveganja. Gre za prenos 76. člena CRD (peti odstavek, točka c). </w:t>
      </w:r>
    </w:p>
    <w:p w14:paraId="601808C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514D2E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_Ref202964732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189</w:t>
      </w:r>
      <w:r w:rsidRPr="00215B2F">
        <w:rPr>
          <w:rFonts w:ascii="Arial" w:hAnsi="Arial" w:cs="Arial"/>
          <w:b/>
          <w:bCs/>
          <w:sz w:val="20"/>
          <w:szCs w:val="20"/>
        </w:rPr>
        <w:fldChar w:fldCharType="end"/>
      </w:r>
      <w:r w:rsidRPr="00215B2F">
        <w:rPr>
          <w:rFonts w:ascii="Arial" w:hAnsi="Arial" w:cs="Arial"/>
          <w:b/>
          <w:bCs/>
          <w:sz w:val="20"/>
          <w:szCs w:val="20"/>
        </w:rPr>
        <w:t>. členu (veljavni 159. člen ZBan-3)</w:t>
      </w:r>
    </w:p>
    <w:p w14:paraId="5AEB5B8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224318D" w14:textId="20AB5A1D"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w:t>
      </w:r>
      <w:r w:rsidR="00DA5FAE" w:rsidRPr="00215B2F">
        <w:rPr>
          <w:rFonts w:ascii="Arial" w:hAnsi="Arial" w:cs="Arial"/>
          <w:sz w:val="20"/>
          <w:szCs w:val="20"/>
        </w:rPr>
        <w:t xml:space="preserve">3 </w:t>
      </w:r>
      <w:r w:rsidRPr="00215B2F">
        <w:rPr>
          <w:rFonts w:ascii="Arial" w:hAnsi="Arial" w:cs="Arial"/>
          <w:sz w:val="20"/>
          <w:szCs w:val="20"/>
        </w:rPr>
        <w:t xml:space="preserve">(159. člen) ni vsebinskih sprememb. S členom se prenaša četrti odstavek 76. člena CRD. Za oblikovanje in izvajanje strategij in politik glede prevzemanja, upravljanja, spremljanja in obvladovanja tveganj banke sta v celoti odgovorna uprava banke in nadzorni svet. S tem namenom lahko nadzorni svet in komisija za tveganja zahtevata od uprave banke vse informacije, ki so pomembne za določitev profila tveganosti banke, ter določita vsebino, obseg, obliko in pogostost sporočanja informacij, ki jih mora predložiti uprava banke. Nadzorni svet in komisija za tveganja lahko za obravnavo posameznih vprašanj v zvezi s profilom tveganosti banke zahtevata pojasnila tudi od vodje službe upravljanja tveganj. </w:t>
      </w:r>
    </w:p>
    <w:p w14:paraId="118DB55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4723FD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_Ref202964756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190</w:t>
      </w:r>
      <w:r w:rsidRPr="00215B2F">
        <w:rPr>
          <w:rFonts w:ascii="Arial" w:hAnsi="Arial" w:cs="Arial"/>
          <w:b/>
          <w:bCs/>
          <w:sz w:val="20"/>
          <w:szCs w:val="20"/>
        </w:rPr>
        <w:fldChar w:fldCharType="end"/>
      </w:r>
      <w:r w:rsidRPr="00215B2F">
        <w:rPr>
          <w:rFonts w:ascii="Arial" w:hAnsi="Arial" w:cs="Arial"/>
          <w:b/>
          <w:bCs/>
          <w:sz w:val="20"/>
          <w:szCs w:val="20"/>
        </w:rPr>
        <w:t>. členu</w:t>
      </w:r>
    </w:p>
    <w:p w14:paraId="2E0708C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EE85138" w14:textId="77777777" w:rsidR="0010347E" w:rsidRPr="00215B2F" w:rsidRDefault="0010347E" w:rsidP="0010347E">
      <w:pPr>
        <w:shd w:val="clear" w:color="auto" w:fill="FFFFFF" w:themeFill="background1"/>
        <w:spacing w:after="0" w:line="240" w:lineRule="auto"/>
        <w:jc w:val="both"/>
        <w:rPr>
          <w:rFonts w:ascii="Arial" w:eastAsia="Times New Roman" w:hAnsi="Arial" w:cs="Arial"/>
          <w:bCs/>
          <w:kern w:val="0"/>
          <w:sz w:val="20"/>
          <w:szCs w:val="20"/>
          <w:lang w:eastAsia="sl-SI"/>
          <w14:ligatures w14:val="none"/>
        </w:rPr>
      </w:pPr>
      <w:r w:rsidRPr="00215B2F">
        <w:rPr>
          <w:rFonts w:ascii="Arial" w:eastAsia="Times New Roman" w:hAnsi="Arial" w:cs="Arial"/>
          <w:bCs/>
          <w:kern w:val="0"/>
          <w:sz w:val="20"/>
          <w:szCs w:val="20"/>
          <w:lang w:eastAsia="sl-SI"/>
          <w14:ligatures w14:val="none"/>
        </w:rPr>
        <w:t>Funkcija notranje revizije v banki opravlja neodvisni nadzor nad učinkovitim izvajanjem strategije tveganja in mora biti organizacijsko ločena od drugih poslovnih ali kontrolnih funkcij. Njeno vlogo, pomen in naloge določa interni akt, ki ga sprejme uprava banke ob soglasju nadzornega sveta. Gre za prenos 76. člena CRD (peti odstavek – točka d).</w:t>
      </w:r>
    </w:p>
    <w:p w14:paraId="1180C18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38C953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_Ref202964767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191</w:t>
      </w:r>
      <w:r w:rsidRPr="00215B2F">
        <w:rPr>
          <w:rFonts w:ascii="Arial" w:hAnsi="Arial" w:cs="Arial"/>
          <w:b/>
          <w:bCs/>
          <w:sz w:val="20"/>
          <w:szCs w:val="20"/>
        </w:rPr>
        <w:fldChar w:fldCharType="end"/>
      </w:r>
      <w:r w:rsidRPr="00215B2F">
        <w:rPr>
          <w:rFonts w:ascii="Arial" w:hAnsi="Arial" w:cs="Arial"/>
          <w:b/>
          <w:bCs/>
          <w:sz w:val="20"/>
          <w:szCs w:val="20"/>
        </w:rPr>
        <w:t>. členu (veljavni 162. člen ZBan-3)</w:t>
      </w:r>
    </w:p>
    <w:p w14:paraId="1344EB32"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4DC75D5F" w14:textId="3F8DC92F" w:rsidR="002502B0" w:rsidRPr="00215B2F" w:rsidRDefault="0010347E" w:rsidP="002502B0">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Člen ureja naloge notranje revizije. </w:t>
      </w:r>
      <w:r w:rsidR="002502B0" w:rsidRPr="00215B2F">
        <w:rPr>
          <w:rFonts w:ascii="Arial" w:hAnsi="Arial" w:cs="Arial"/>
          <w:sz w:val="20"/>
          <w:szCs w:val="20"/>
        </w:rPr>
        <w:t>Notranje revidiranje obsega spremljanje, ocenjevanje, dajanje zagotovil in svetovanje v zvezi z notranjim upravljanjem, upravljanjem tveganj ter notranjimi kontrolami. Temelji na analizi tveganj banke in vključuje zlasti presojo učinkovitosti notranjega upravljanja, ustreznosti notranjega kapitala glede na tveganja, zanesljivosti informacijskih sistemov, pravilnosti regulatornega poročanja, verodostojnosti računovodskih evidenc, skladnosti poslovanja s predpisi ter izvajanje posebnih preiskav. Funkcijo notranje revizije opravljajo nosilci v skladu z Mednarodnim okvirom strokovnega ravnanja in Hierarhijo pravil, ki vključuje standarde strokovnega ravnanja, kodeks načel notranjega revidiranja ter kodeks poklicne etike notranjih revizorjev.</w:t>
      </w:r>
    </w:p>
    <w:p w14:paraId="06B00386" w14:textId="77777777" w:rsidR="002502B0" w:rsidRPr="00215B2F" w:rsidRDefault="002502B0" w:rsidP="0010347E">
      <w:pPr>
        <w:pStyle w:val="Odstavek"/>
        <w:shd w:val="clear" w:color="auto" w:fill="FFFFFF" w:themeFill="background1"/>
        <w:spacing w:before="0"/>
        <w:ind w:firstLine="0"/>
        <w:rPr>
          <w:rFonts w:cs="Arial"/>
          <w:sz w:val="20"/>
          <w:szCs w:val="20"/>
        </w:rPr>
      </w:pPr>
    </w:p>
    <w:p w14:paraId="144C14AE" w14:textId="2266AECA" w:rsidR="002502B0" w:rsidRPr="00215B2F" w:rsidRDefault="002502B0"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zvezi s členom velja izpostaviti naslednje poudarke: </w:t>
      </w:r>
    </w:p>
    <w:p w14:paraId="13F71D1B" w14:textId="7114AE04" w:rsidR="002502B0" w:rsidRPr="00215B2F" w:rsidRDefault="002502B0" w:rsidP="002502B0">
      <w:pPr>
        <w:pStyle w:val="Odstavek"/>
        <w:shd w:val="clear" w:color="auto" w:fill="FFFFFF" w:themeFill="background1"/>
        <w:spacing w:before="0"/>
        <w:ind w:firstLine="0"/>
        <w:rPr>
          <w:rFonts w:cs="Arial"/>
          <w:sz w:val="20"/>
          <w:szCs w:val="20"/>
        </w:rPr>
      </w:pPr>
    </w:p>
    <w:p w14:paraId="7D53863F" w14:textId="1585C37D" w:rsidR="002502B0" w:rsidRPr="00215B2F" w:rsidRDefault="002502B0" w:rsidP="002502B0">
      <w:pPr>
        <w:spacing w:after="0" w:line="240" w:lineRule="auto"/>
        <w:ind w:right="169"/>
        <w:jc w:val="both"/>
        <w:rPr>
          <w:rFonts w:ascii="Arial" w:hAnsi="Arial" w:cs="Arial"/>
          <w:sz w:val="20"/>
          <w:szCs w:val="20"/>
        </w:rPr>
      </w:pPr>
      <w:r w:rsidRPr="00215B2F">
        <w:rPr>
          <w:rFonts w:ascii="Arial" w:hAnsi="Arial" w:cs="Arial"/>
          <w:b/>
          <w:bCs/>
          <w:sz w:val="20"/>
          <w:szCs w:val="20"/>
        </w:rPr>
        <w:t>Posodobitev nalog notranje revizije</w:t>
      </w:r>
      <w:r w:rsidRPr="00215B2F">
        <w:rPr>
          <w:rFonts w:ascii="Arial" w:hAnsi="Arial" w:cs="Arial"/>
          <w:sz w:val="20"/>
          <w:szCs w:val="20"/>
        </w:rPr>
        <w:t>: Določbe o nalogah notranje revizije so v obstoječi ureditvi povzete iz starejših različic zakona o bančništvu iz drugih držav EMU, kjer pa jih danes ni več. Razlog je v tem, da se je notranja revizija v mednarodni praksi razvila naprej in se več ne opredeljuje prek podrobnih nalog, temveč skozi tri temeljna področja: notranje upravljanje, obvladovanje tveganj in notranje kontrole. Dalje notranja revizija v skladu z Globalnimi standardi izvaja dve ključni aktivnosti – dajanje zagotovil in svetovalne storitve. To je do sedaj v zakonu manjkalo in je potrebno dopolniti;</w:t>
      </w:r>
    </w:p>
    <w:p w14:paraId="0F583DB8" w14:textId="77777777" w:rsidR="002502B0" w:rsidRPr="00215B2F" w:rsidRDefault="002502B0" w:rsidP="002502B0">
      <w:pPr>
        <w:spacing w:after="0" w:line="240" w:lineRule="auto"/>
        <w:ind w:right="169"/>
        <w:jc w:val="both"/>
        <w:rPr>
          <w:rFonts w:ascii="Arial" w:hAnsi="Arial" w:cs="Arial"/>
          <w:sz w:val="20"/>
          <w:szCs w:val="20"/>
        </w:rPr>
      </w:pPr>
    </w:p>
    <w:p w14:paraId="1663E5B8" w14:textId="5907C708" w:rsidR="002502B0" w:rsidRPr="00215B2F" w:rsidRDefault="002502B0" w:rsidP="002502B0">
      <w:pPr>
        <w:spacing w:after="0" w:line="240" w:lineRule="auto"/>
        <w:ind w:right="169"/>
        <w:jc w:val="both"/>
        <w:rPr>
          <w:rFonts w:ascii="Arial" w:hAnsi="Arial" w:cs="Arial"/>
          <w:sz w:val="20"/>
          <w:szCs w:val="20"/>
        </w:rPr>
      </w:pPr>
      <w:r w:rsidRPr="00215B2F">
        <w:rPr>
          <w:rFonts w:ascii="Arial" w:hAnsi="Arial" w:cs="Arial"/>
          <w:b/>
          <w:bCs/>
          <w:sz w:val="20"/>
          <w:szCs w:val="20"/>
        </w:rPr>
        <w:t>Načelo izvajanja aktivnosti na tveganjih</w:t>
      </w:r>
      <w:r w:rsidRPr="00215B2F">
        <w:rPr>
          <w:rFonts w:ascii="Arial" w:hAnsi="Arial" w:cs="Arial"/>
          <w:sz w:val="20"/>
          <w:szCs w:val="20"/>
        </w:rPr>
        <w:t xml:space="preserve">: Bančna zakonodaja EU in smernice Evropskega bančnega organa (EBA) izrecno poudarjajo načelo, da morajo vse nadzorne in kontrolne funkcije, </w:t>
      </w:r>
      <w:r w:rsidRPr="00215B2F">
        <w:rPr>
          <w:rFonts w:ascii="Arial" w:hAnsi="Arial" w:cs="Arial"/>
          <w:sz w:val="20"/>
          <w:szCs w:val="20"/>
        </w:rPr>
        <w:lastRenderedPageBreak/>
        <w:t>vključno z notranjo revizijo, temeljiti na analizi tveganj. Zakonodaja Republike Slovenije tega trenutno ne določa, zato je dopolnitev nujna za uskladitev s pravnim redom EU;</w:t>
      </w:r>
    </w:p>
    <w:p w14:paraId="7F1C7528" w14:textId="77777777" w:rsidR="002502B0" w:rsidRPr="00215B2F" w:rsidRDefault="002502B0" w:rsidP="002502B0">
      <w:pPr>
        <w:spacing w:after="0" w:line="240" w:lineRule="auto"/>
        <w:ind w:right="169"/>
        <w:jc w:val="both"/>
        <w:rPr>
          <w:rFonts w:ascii="Arial" w:hAnsi="Arial" w:cs="Arial"/>
          <w:sz w:val="20"/>
          <w:szCs w:val="20"/>
        </w:rPr>
      </w:pPr>
    </w:p>
    <w:p w14:paraId="22425A9A" w14:textId="77777777" w:rsidR="002502B0" w:rsidRPr="00215B2F" w:rsidRDefault="002502B0" w:rsidP="002502B0">
      <w:pPr>
        <w:spacing w:after="0" w:line="240" w:lineRule="auto"/>
        <w:ind w:right="169"/>
        <w:jc w:val="both"/>
        <w:rPr>
          <w:rFonts w:ascii="Arial" w:hAnsi="Arial" w:cs="Arial"/>
          <w:sz w:val="20"/>
          <w:szCs w:val="20"/>
        </w:rPr>
      </w:pPr>
      <w:r w:rsidRPr="00215B2F">
        <w:rPr>
          <w:rFonts w:ascii="Arial" w:hAnsi="Arial" w:cs="Arial"/>
          <w:b/>
          <w:bCs/>
          <w:sz w:val="20"/>
          <w:szCs w:val="20"/>
        </w:rPr>
        <w:t>Globalni standardi notranjega revidiranja</w:t>
      </w:r>
      <w:r w:rsidRPr="00215B2F">
        <w:rPr>
          <w:rFonts w:ascii="Arial" w:hAnsi="Arial" w:cs="Arial"/>
          <w:sz w:val="20"/>
          <w:szCs w:val="20"/>
        </w:rPr>
        <w:t>: Mednarodni inštitut notranjih revizorjev (IIA) je leta 2024 sprejel nove Globalne standarde notranjega revidiranja, ki so začeli veljati tudi v Republiki Sloveniji. Banke jih že uporabljajo v praksi. Če zakon ne bo spremenjen, bi lahko tehnično še vedno veljala napotitev na stare standarde, kar bi ustvarjalo pravno in strokovno negotovost.</w:t>
      </w:r>
    </w:p>
    <w:p w14:paraId="0D0B2939" w14:textId="77777777" w:rsidR="002502B0" w:rsidRPr="00215B2F" w:rsidRDefault="002502B0" w:rsidP="0010347E">
      <w:pPr>
        <w:pStyle w:val="Odstavek"/>
        <w:shd w:val="clear" w:color="auto" w:fill="FFFFFF" w:themeFill="background1"/>
        <w:spacing w:before="0"/>
        <w:ind w:firstLine="0"/>
        <w:rPr>
          <w:rFonts w:cs="Arial"/>
          <w:sz w:val="20"/>
          <w:szCs w:val="20"/>
        </w:rPr>
      </w:pPr>
    </w:p>
    <w:p w14:paraId="1F2CD5A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_Ref202964785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192</w:t>
      </w:r>
      <w:r w:rsidRPr="00215B2F">
        <w:rPr>
          <w:rFonts w:ascii="Arial" w:hAnsi="Arial" w:cs="Arial"/>
          <w:b/>
          <w:bCs/>
          <w:sz w:val="20"/>
          <w:szCs w:val="20"/>
        </w:rPr>
        <w:fldChar w:fldCharType="end"/>
      </w:r>
      <w:r w:rsidRPr="00215B2F">
        <w:rPr>
          <w:rFonts w:ascii="Arial" w:hAnsi="Arial" w:cs="Arial"/>
          <w:b/>
          <w:bCs/>
          <w:sz w:val="20"/>
          <w:szCs w:val="20"/>
        </w:rPr>
        <w:t>. členu (veljavni 163. člen ZBan-3)</w:t>
      </w:r>
    </w:p>
    <w:p w14:paraId="160C9DD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D110458" w14:textId="3798E2D9"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(163. člen) ni vsebinskih sprememb. Člen ureja zahteve glede delavcev službe notranje revizije. Zaradi pomena in standardov ter pravil stroke notranje revizije mora biti v banki za opravljanje nalog notranjega revidiranja zaposlena najmanj ena oseba, ki je pridobila naziv</w:t>
      </w:r>
      <w:r w:rsidR="00DC1975" w:rsidRPr="00215B2F">
        <w:rPr>
          <w:rFonts w:ascii="Arial" w:hAnsi="Arial" w:cs="Arial"/>
          <w:sz w:val="20"/>
          <w:szCs w:val="20"/>
        </w:rPr>
        <w:t xml:space="preserve"> preizkušena</w:t>
      </w:r>
      <w:r w:rsidRPr="00215B2F">
        <w:rPr>
          <w:rFonts w:ascii="Arial" w:hAnsi="Arial" w:cs="Arial"/>
          <w:sz w:val="20"/>
          <w:szCs w:val="20"/>
        </w:rPr>
        <w:t xml:space="preserve"> revizor ali revizorka oziroma preizkušeni notranji revizor v skladu z zakonom, ki ureja revidiranje. Osebe, ki opravljajo naloge notranjega revidiranja, v banki ne smejo opravljati nobenih drugih nalog. Nalog notranjega revidiranja ne smejo opravljati člani uprave banke.</w:t>
      </w:r>
    </w:p>
    <w:p w14:paraId="10E094B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2B6D86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_Ref202964793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193</w:t>
      </w:r>
      <w:r w:rsidRPr="00215B2F">
        <w:rPr>
          <w:rFonts w:ascii="Arial" w:hAnsi="Arial" w:cs="Arial"/>
          <w:b/>
          <w:bCs/>
          <w:sz w:val="20"/>
          <w:szCs w:val="20"/>
        </w:rPr>
        <w:fldChar w:fldCharType="end"/>
      </w:r>
      <w:r w:rsidRPr="00215B2F">
        <w:rPr>
          <w:rFonts w:ascii="Arial" w:hAnsi="Arial" w:cs="Arial"/>
          <w:b/>
          <w:bCs/>
          <w:sz w:val="20"/>
          <w:szCs w:val="20"/>
        </w:rPr>
        <w:t>. členu (veljavni 164. člen ZBan-3)</w:t>
      </w:r>
    </w:p>
    <w:p w14:paraId="0B9799D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1F4B094"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ZBan-3 (164. člen) določa, da mora letni načrt dela službe notranje revizije temeljiti na letni oceni tveganj in ga sprejme uprava banke v soglasju z nadzornim svetom. Načrt mora vsebovati pregled poslovnih področij, ki jih bo revizija obravnavala, in opis vsebine teh pregledov. Revizijska služba mora najmanj dvakrat letno pripraviti poročilo, ki vključuje pregled opravljenega dela, oceno upravljanja tveganj, učinkovitosti notranjih kontrol, zaznane nepravilnosti ter ukrepe za njihovo odpravo. Poleg tega mora pripraviti letno poročilo o izvajanju načrta, skladnosti prejemkov s politiko in ključnih ugotovitvah. Polletna in letna poročila se predložijo upravi, nadzornemu svetu in revizijski komisiji, letno poročilo pa tudi skupščini banke skupaj z mnenjem nadzornega sveta.</w:t>
      </w:r>
    </w:p>
    <w:p w14:paraId="33270CC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C234261" w14:textId="3D6BD42F"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S spremembo člena se besedna zveza »služba« nadomesti s »</w:t>
      </w:r>
      <w:r w:rsidR="00AC5DB8" w:rsidRPr="00215B2F">
        <w:rPr>
          <w:rFonts w:cs="Arial"/>
          <w:sz w:val="20"/>
          <w:szCs w:val="20"/>
        </w:rPr>
        <w:t xml:space="preserve">nosilec </w:t>
      </w:r>
      <w:r w:rsidRPr="00215B2F">
        <w:rPr>
          <w:rFonts w:cs="Arial"/>
          <w:sz w:val="20"/>
          <w:szCs w:val="20"/>
        </w:rPr>
        <w:t>funkcij</w:t>
      </w:r>
      <w:r w:rsidR="00AC5DB8" w:rsidRPr="00215B2F">
        <w:rPr>
          <w:rFonts w:cs="Arial"/>
          <w:sz w:val="20"/>
          <w:szCs w:val="20"/>
        </w:rPr>
        <w:t>e</w:t>
      </w:r>
      <w:r w:rsidRPr="00215B2F">
        <w:rPr>
          <w:rFonts w:cs="Arial"/>
          <w:sz w:val="20"/>
          <w:szCs w:val="20"/>
        </w:rPr>
        <w:t xml:space="preserve">«. CRD namreč določa funkcijo notranje revizije. </w:t>
      </w:r>
    </w:p>
    <w:p w14:paraId="6FB673A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57ED30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_Ref202964801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194</w:t>
      </w:r>
      <w:r w:rsidRPr="00215B2F">
        <w:rPr>
          <w:rFonts w:ascii="Arial" w:hAnsi="Arial" w:cs="Arial"/>
          <w:b/>
          <w:bCs/>
          <w:sz w:val="20"/>
          <w:szCs w:val="20"/>
        </w:rPr>
        <w:fldChar w:fldCharType="end"/>
      </w:r>
      <w:r w:rsidRPr="00215B2F">
        <w:rPr>
          <w:rFonts w:ascii="Arial" w:hAnsi="Arial" w:cs="Arial"/>
          <w:b/>
          <w:bCs/>
          <w:sz w:val="20"/>
          <w:szCs w:val="20"/>
        </w:rPr>
        <w:t>. členu (veljavni 165. člen ZBan-3)</w:t>
      </w:r>
    </w:p>
    <w:p w14:paraId="2D71E6BE"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05ADD9E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ZBan-3 (165. člen) ureja obveščanje uprave banke in nadzornega sveta s strani službe notranje revizije. Služba notranje revizije mora nemudoma obvestiti upravo glede ugotovitve kršitev pravil o upravljanju tveganj, če je zaradi kršitev ogrožena likvidnost, kapitalska ustreznost ali varnost poslovanja banke in lahko nastopi aktiviranje jamstva za zajamčene vloge. Služba notranje revizije mora nemudoma obvestiti upravo in nadzorni svet o ugotovitvah, da uprava banke krši pravila o upravljanju tveganj. </w:t>
      </w:r>
    </w:p>
    <w:p w14:paraId="798CFBF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0ABCB90" w14:textId="6713034E"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spremembo člena se besedna zveza »služba« nadomesti </w:t>
      </w:r>
      <w:r w:rsidR="00AC5DB8" w:rsidRPr="00215B2F">
        <w:rPr>
          <w:rFonts w:cs="Arial"/>
          <w:sz w:val="20"/>
          <w:szCs w:val="20"/>
        </w:rPr>
        <w:t xml:space="preserve">z </w:t>
      </w:r>
      <w:r w:rsidRPr="00215B2F">
        <w:rPr>
          <w:rFonts w:cs="Arial"/>
          <w:sz w:val="20"/>
          <w:szCs w:val="20"/>
        </w:rPr>
        <w:t>»</w:t>
      </w:r>
      <w:r w:rsidR="00AC5DB8" w:rsidRPr="00215B2F">
        <w:rPr>
          <w:rFonts w:cs="Arial"/>
          <w:sz w:val="20"/>
          <w:szCs w:val="20"/>
        </w:rPr>
        <w:t xml:space="preserve">nosilec </w:t>
      </w:r>
      <w:r w:rsidRPr="00215B2F">
        <w:rPr>
          <w:rFonts w:cs="Arial"/>
          <w:sz w:val="20"/>
          <w:szCs w:val="20"/>
        </w:rPr>
        <w:t>funkcij</w:t>
      </w:r>
      <w:r w:rsidR="00AC5DB8" w:rsidRPr="00215B2F">
        <w:rPr>
          <w:rFonts w:cs="Arial"/>
          <w:sz w:val="20"/>
          <w:szCs w:val="20"/>
        </w:rPr>
        <w:t>e</w:t>
      </w:r>
      <w:r w:rsidRPr="00215B2F">
        <w:rPr>
          <w:rFonts w:cs="Arial"/>
          <w:sz w:val="20"/>
          <w:szCs w:val="20"/>
        </w:rPr>
        <w:t xml:space="preserve">«. CRD namreč določa funkcijo notranje revizije. </w:t>
      </w:r>
    </w:p>
    <w:p w14:paraId="49AD250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27390C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_Ref202964810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195</w:t>
      </w:r>
      <w:r w:rsidRPr="00215B2F">
        <w:rPr>
          <w:rFonts w:ascii="Arial" w:hAnsi="Arial" w:cs="Arial"/>
          <w:b/>
          <w:bCs/>
          <w:sz w:val="20"/>
          <w:szCs w:val="20"/>
        </w:rPr>
        <w:fldChar w:fldCharType="end"/>
      </w:r>
      <w:r w:rsidRPr="00215B2F">
        <w:rPr>
          <w:rFonts w:ascii="Arial" w:hAnsi="Arial" w:cs="Arial"/>
          <w:b/>
          <w:bCs/>
          <w:sz w:val="20"/>
          <w:szCs w:val="20"/>
        </w:rPr>
        <w:t>. členu (veljavni 166. člen ZBan-3)</w:t>
      </w:r>
    </w:p>
    <w:p w14:paraId="76871F4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8C8BF7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86600B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ZBan-3 (166. člen) opredeljuje službo za skladnost poslovanja, ki jo mora organizirati pomembna banka in ki je neposredno podrejena upravi banke ter funkcionalno in organizacijsko ločena od drugih funkcij banke, pri katerih lahko prihaja do nasprotja interesov s funkcijo skladnosti poslovanja. Služba skladnosti poslovanja ugotavlja tveganje skladnosti poslovanja banke, ki mu je banka izpostavljena ali bi mu lahko bila izpostavljena pri svojem poslovanju. O svojih ugotovitvah poroča upravi in nadzornemu svetu, ter kadar je ustrezno, službi upravljanja tveganj.</w:t>
      </w:r>
    </w:p>
    <w:p w14:paraId="4C352C3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EEE1060" w14:textId="77777777"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r w:rsidRPr="00215B2F">
        <w:rPr>
          <w:rFonts w:ascii="Arial" w:hAnsi="Arial" w:cs="Arial"/>
          <w:sz w:val="20"/>
          <w:szCs w:val="20"/>
        </w:rPr>
        <w:t xml:space="preserve">S predlogom zakona se vsebinsko spreminja prvi odstavek tako, da </w:t>
      </w:r>
      <w:r w:rsidRPr="00215B2F">
        <w:rPr>
          <w:rFonts w:ascii="Arial" w:eastAsia="Arial" w:hAnsi="Arial" w:cs="Arial"/>
          <w:sz w:val="20"/>
          <w:szCs w:val="20"/>
        </w:rPr>
        <w:t xml:space="preserve">služba zagotavljanja skladnosti ocenjuje in zmanjšuje tveganje neskladnosti ter zagotavlja, da strategija tveganja banke upošteva tveganje neskladnosti in da se tveganje neskladnosti ustrezno upošteva pri vseh bistvenih odločitvah glede upravljanja tveganj. Gre za prenos 76. člena CRD (peti odstavek, točka e). </w:t>
      </w:r>
    </w:p>
    <w:p w14:paraId="7DF6F6E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66B1FC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_Ref202964828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196</w:t>
      </w:r>
      <w:r w:rsidRPr="00215B2F">
        <w:rPr>
          <w:rFonts w:ascii="Arial" w:hAnsi="Arial" w:cs="Arial"/>
          <w:b/>
          <w:bCs/>
          <w:sz w:val="20"/>
          <w:szCs w:val="20"/>
        </w:rPr>
        <w:fldChar w:fldCharType="end"/>
      </w:r>
      <w:r w:rsidRPr="00215B2F">
        <w:rPr>
          <w:rFonts w:ascii="Arial" w:hAnsi="Arial" w:cs="Arial"/>
          <w:b/>
          <w:bCs/>
          <w:sz w:val="20"/>
          <w:szCs w:val="20"/>
        </w:rPr>
        <w:t>. členu (veljavni 160. člen ZBan-3)</w:t>
      </w:r>
    </w:p>
    <w:p w14:paraId="56AF457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D08280B"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lastRenderedPageBreak/>
        <w:t>V primerjavi z ZBan-3 (160. člen) ni vsebinskih sprememb. Banka mora vzpostaviti sistem za interno obveščanje o kršitvah, ki zaposlenim omogoča, da po neodvisnih in samostojnih kanalih poročajo o kršitvah predpisov in internih pravil. Sistem mora biti preprost za uporabo, omogočati mora jasne postopke za sprejetje, obravnavo prijav ter poročanje o ukrepih. Pri obdelavi prijav mora banka spoštovati varstvo osebnih podatkov, zagotoviti zaupnost prijaviteljev in razkriti njihovo identiteto le, če je to nujno za pravne postopke. Poleg tega mora banka zaščititi prijavitelje pred povračilnimi ukrepi, diskriminacijo ali drugo neprimerno obravnavo ter odpraviti morebitne posledice takšne obravnave.</w:t>
      </w:r>
    </w:p>
    <w:p w14:paraId="5CF4EA9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AD960D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_Ref202964866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197</w:t>
      </w:r>
      <w:r w:rsidRPr="00215B2F">
        <w:rPr>
          <w:rFonts w:ascii="Arial" w:hAnsi="Arial" w:cs="Arial"/>
          <w:b/>
          <w:bCs/>
          <w:sz w:val="20"/>
          <w:szCs w:val="20"/>
        </w:rPr>
        <w:fldChar w:fldCharType="end"/>
      </w:r>
      <w:r w:rsidRPr="00215B2F">
        <w:rPr>
          <w:rFonts w:ascii="Arial" w:hAnsi="Arial" w:cs="Arial"/>
          <w:b/>
          <w:bCs/>
          <w:sz w:val="20"/>
          <w:szCs w:val="20"/>
        </w:rPr>
        <w:t>. členu (veljavni 167. člen ZBan-3)</w:t>
      </w:r>
    </w:p>
    <w:p w14:paraId="4065608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C3563B4"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773EB47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Vsebino strategije in politike upravljanja banke že ureja veljavni 167. člen ZBan-3. S predlogom zakona se je vsebina člena vsebinsko nadgradila na način prenosa 76. člena CRD (prvi in drugi odstavek). </w:t>
      </w:r>
    </w:p>
    <w:p w14:paraId="3B9F709C"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6EAFEFE7" w14:textId="77777777"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bCs/>
          <w:sz w:val="20"/>
          <w:szCs w:val="20"/>
        </w:rPr>
        <w:t>Uprava in nadzorni svet banke sta odgovorna za oblikovanje, sprejemanje in redno pregledovanje strategij ter politik upravljanja tveganj, vključno z ESG tveganji in tveganji, ki izhajajo iz makroekonomskega okolja. Zagotoviti morata ustrezne vire, učinkovit sistem poročanja ter se aktivno vključevati v ključne odločitve glede pomembnih tveganj. Posebno pozornost morata nameniti tudi pripravi načrtov z merljivimi cilji za obravnavo finančnih tveganj, povezanih z ESG dejavniki, usklajenih z nacionalnimi in evropskimi cilji, kot je podnebna nevtralnost. Banke, ki poročajo o trajnostnosti, morajo te načrte uskladiti z načrti v poročilu. Banka Slovenije lahko za majhne in nekompleksne banke določi poenostavitve. Poleg tega morata uprava in nadzorni svet pripraviti jasne načrte za upravljanje tveganj koncentracije do pomembnih centralnih nasprotnih strank.</w:t>
      </w:r>
    </w:p>
    <w:p w14:paraId="6E936BF3"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28A12D02"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zvezi s petim odstavkom velja dodatno pojasniti, da je zahteva po načrtih iz 19.a in 29.a člena Direktive 2013/34/EU prenesena v 70.c in 70.č ZGD-1 ter gre za sestavni del (konsolidiranega) poročila o trajnostnosti. </w:t>
      </w:r>
    </w:p>
    <w:p w14:paraId="4A48769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8F9BEDE" w14:textId="5F72C271"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zvezi s petim odstavkom velja dodatn</w:t>
      </w:r>
      <w:r w:rsidR="00DA5FAE" w:rsidRPr="00215B2F">
        <w:rPr>
          <w:rFonts w:cs="Arial"/>
          <w:sz w:val="20"/>
          <w:szCs w:val="20"/>
        </w:rPr>
        <w:t>o</w:t>
      </w:r>
      <w:r w:rsidRPr="00215B2F">
        <w:rPr>
          <w:rFonts w:cs="Arial"/>
          <w:sz w:val="20"/>
          <w:szCs w:val="20"/>
        </w:rPr>
        <w:t xml:space="preserve"> pojasniti, da navedeni odstavek določa diskrecijo države članice glede poenostavitve za majhne in nekompleksne institucije. V ta namen so predvidene tudi smernice EBA.</w:t>
      </w:r>
    </w:p>
    <w:p w14:paraId="001C1FD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1FE691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_Ref202964874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198</w:t>
      </w:r>
      <w:r w:rsidRPr="00215B2F">
        <w:rPr>
          <w:rFonts w:ascii="Arial" w:hAnsi="Arial" w:cs="Arial"/>
          <w:b/>
          <w:bCs/>
          <w:sz w:val="20"/>
          <w:szCs w:val="20"/>
        </w:rPr>
        <w:fldChar w:fldCharType="end"/>
      </w:r>
      <w:r w:rsidRPr="00215B2F">
        <w:rPr>
          <w:rFonts w:ascii="Arial" w:hAnsi="Arial" w:cs="Arial"/>
          <w:b/>
          <w:bCs/>
          <w:sz w:val="20"/>
          <w:szCs w:val="20"/>
        </w:rPr>
        <w:t>. členu (veljavni 168. člen ZBan-3)</w:t>
      </w:r>
    </w:p>
    <w:p w14:paraId="2812D6CD"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75C73BD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(168. člen) ni vsebinskih sprememb. Uprava banke mora s soglasjem nadzornega sveta sprejeti načrt aktivnosti za upravljanje tveganj, ki je skladen s strategijami in politiko upravljanja tveganj. V načrtu aktivnosti za upravljanje tveganj se določijo postopki in aktivnosti za upravljanje vseh vrst tveganj za vse dejavnosti banke. </w:t>
      </w:r>
    </w:p>
    <w:p w14:paraId="7750220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836BF9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_Ref202964880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199</w:t>
      </w:r>
      <w:r w:rsidRPr="00215B2F">
        <w:rPr>
          <w:rFonts w:ascii="Arial" w:hAnsi="Arial" w:cs="Arial"/>
          <w:b/>
          <w:bCs/>
          <w:sz w:val="20"/>
          <w:szCs w:val="20"/>
        </w:rPr>
        <w:fldChar w:fldCharType="end"/>
      </w:r>
      <w:r w:rsidRPr="00215B2F">
        <w:rPr>
          <w:rFonts w:ascii="Arial" w:hAnsi="Arial" w:cs="Arial"/>
          <w:b/>
          <w:bCs/>
          <w:sz w:val="20"/>
          <w:szCs w:val="20"/>
        </w:rPr>
        <w:t>. členu (veljavni 169. člen ZBan-3)</w:t>
      </w:r>
    </w:p>
    <w:p w14:paraId="4761A5C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820AE0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(169. člen) ni vsebinskih sprememb. Banka mora imeti politiko in postopke za prepoznavanje, določanje pogojev, omejitev, spremljanje in upravljanje poslov z osebami v posebnem razmerju z banko. Osebe v posebnem razmerju vključujejo člane uprave, nadzornega sveta, prokuriste, višje vodstvo banke, njihove ožje družinske člane, pravne osebe, kjer imajo te osebe kvalificirane deleže, imetnike kvalificiranih deležev v banki ter druge osebe, pri katerih obstaja tveganje nasprotja interesov. Člani uprave, nadzornega sveta in prokuristi morajo ob nastopu funkcije sporočiti banki imena takšnih oseb in jo obvestiti o spremembah. Banka mora voditi seznam teh oseb, dokumentirati izpostavljenosti in podatke na zahtevo poslati nadzornim organom. Gre za prenos prvega odstavka 88. člena CRD.</w:t>
      </w:r>
    </w:p>
    <w:p w14:paraId="68C16FB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FE71D7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_Ref202964887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200</w:t>
      </w:r>
      <w:r w:rsidRPr="00215B2F">
        <w:rPr>
          <w:rFonts w:ascii="Arial" w:hAnsi="Arial" w:cs="Arial"/>
          <w:b/>
          <w:bCs/>
          <w:sz w:val="20"/>
          <w:szCs w:val="20"/>
        </w:rPr>
        <w:fldChar w:fldCharType="end"/>
      </w:r>
      <w:r w:rsidRPr="00215B2F">
        <w:rPr>
          <w:rFonts w:ascii="Arial" w:hAnsi="Arial" w:cs="Arial"/>
          <w:b/>
          <w:bCs/>
          <w:sz w:val="20"/>
          <w:szCs w:val="20"/>
        </w:rPr>
        <w:t>. členu (veljavni 170. člen ZBan-3)</w:t>
      </w:r>
    </w:p>
    <w:p w14:paraId="4062263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061BAFE" w14:textId="4B85F9A9"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ZBan-3 (170. člen) določa, da lahko banka sklepa pravne posle z osebami v posebnem razmerju le pod enakimi pogoji kot z drugimi osebami, razen če obstajajo objektivno utemeljeni razlogi za ugodnejše pogoje (npr. v primeru prestrukturiranja dolžnika). Za posle, pri katerih skupna izpostavljenost do takšne osebe doseže ali preseže 100.000 evrov (ali se poveča za vsakih dodatnih 100.000 evrov), je potrebno predhodno soglasje nadzornega sveta. Pri tem se upošteva celotna izpostavljenost brez zmanjšanja za oslabitve in rezervacije. O ugodnejših poslih mora banka obvestiti Banko Slovenije, če ta izvaja nadzor.</w:t>
      </w:r>
    </w:p>
    <w:p w14:paraId="104F6B0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1C9D3B1" w14:textId="73CA4232" w:rsidR="0010347E" w:rsidRPr="00215B2F" w:rsidRDefault="0010347E" w:rsidP="0010347E">
      <w:pPr>
        <w:pStyle w:val="Odstavek"/>
        <w:shd w:val="clear" w:color="auto" w:fill="FFFFFF" w:themeFill="background1"/>
        <w:spacing w:before="0"/>
        <w:ind w:firstLine="0"/>
        <w:rPr>
          <w:rFonts w:eastAsia="Arial" w:cs="Arial"/>
          <w:sz w:val="20"/>
          <w:szCs w:val="20"/>
        </w:rPr>
      </w:pPr>
      <w:r w:rsidRPr="00215B2F">
        <w:rPr>
          <w:rFonts w:cs="Arial"/>
          <w:sz w:val="20"/>
          <w:szCs w:val="20"/>
        </w:rPr>
        <w:lastRenderedPageBreak/>
        <w:t>S predlogom zakona se (glede na ZB</w:t>
      </w:r>
      <w:r w:rsidR="00DA5FAE" w:rsidRPr="00215B2F">
        <w:rPr>
          <w:rFonts w:cs="Arial"/>
          <w:sz w:val="20"/>
          <w:szCs w:val="20"/>
        </w:rPr>
        <w:t>a</w:t>
      </w:r>
      <w:r w:rsidRPr="00215B2F">
        <w:rPr>
          <w:rFonts w:cs="Arial"/>
          <w:sz w:val="20"/>
          <w:szCs w:val="20"/>
        </w:rPr>
        <w:t xml:space="preserve">n-3) dodaja novi četrti odstavek, ki določa, da če je </w:t>
      </w:r>
      <w:r w:rsidRPr="00215B2F">
        <w:rPr>
          <w:rFonts w:eastAsia="Arial" w:cs="Arial"/>
          <w:sz w:val="20"/>
          <w:szCs w:val="20"/>
        </w:rPr>
        <w:t xml:space="preserve">oseba v posebnem razmerju z banko pravna oseba, lahko predhodno soglasje </w:t>
      </w:r>
      <w:r w:rsidR="00354135" w:rsidRPr="00215B2F">
        <w:rPr>
          <w:rFonts w:cs="Arial"/>
          <w:sz w:val="20"/>
          <w:szCs w:val="20"/>
        </w:rPr>
        <w:t>nadzornega sveta</w:t>
      </w:r>
      <w:r w:rsidRPr="00215B2F">
        <w:rPr>
          <w:rFonts w:eastAsia="Arial" w:cs="Arial"/>
          <w:sz w:val="20"/>
          <w:szCs w:val="20"/>
        </w:rPr>
        <w:t xml:space="preserve"> nadzorni svet predloži tudi kot soglasje za sklepanje vnaprej opredeljenih vrst in ročnosti poslov znotraj določenih limitov izpostavljenosti. </w:t>
      </w:r>
    </w:p>
    <w:p w14:paraId="46CB199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CA5BA3B" w14:textId="35F9744C" w:rsidR="003669BD" w:rsidRPr="00215B2F" w:rsidRDefault="0010347E" w:rsidP="003669BD">
      <w:pPr>
        <w:pStyle w:val="Odstavek"/>
        <w:shd w:val="clear" w:color="auto" w:fill="FFFFFF" w:themeFill="background1"/>
        <w:spacing w:before="0"/>
        <w:ind w:firstLine="0"/>
        <w:rPr>
          <w:rFonts w:eastAsia="Arial" w:cs="Arial"/>
          <w:sz w:val="20"/>
          <w:szCs w:val="20"/>
        </w:rPr>
      </w:pPr>
      <w:r w:rsidRPr="00215B2F">
        <w:rPr>
          <w:rFonts w:cs="Arial"/>
          <w:sz w:val="20"/>
          <w:szCs w:val="20"/>
        </w:rPr>
        <w:t>Dodatno se dopolnjuje veljavni četrti odstavek (170. člena ZBan-3) tako, da banka pri določanju izpostavljenosti upošteva bruto vrednost, torej vrednost, ki ni zmanjšana za popravke in rezervacije za kreditne izgube ali prilagoditve zaradi poznejšega vrednotenja finančnih instrumentov. Posredna kreditna izpostavljenost vključuje tudi izpostavljenost, ki nastane zaradi kreditnih zavarovanj, kjer je osnovni dolžnik druga stranka, a bi banka lahko postala neposredno izpostavljena tej stranki ob neplačilu osnovnega dolžnika. Dopolnitev je predlagana zaradi nejasnosti, ki je bila zaznana pri uporabi določbe v praksi, in prinaša večjo pravno gotovost za banke.</w:t>
      </w:r>
      <w:r w:rsidR="003669BD" w:rsidRPr="00215B2F">
        <w:rPr>
          <w:rFonts w:cs="Arial"/>
          <w:sz w:val="20"/>
          <w:szCs w:val="20"/>
        </w:rPr>
        <w:t xml:space="preserve"> Dodatno s šestim odstavkom določa, da mora</w:t>
      </w:r>
      <w:r w:rsidR="003669BD" w:rsidRPr="00215B2F">
        <w:rPr>
          <w:rFonts w:eastAsia="Arial" w:cs="Arial"/>
          <w:sz w:val="20"/>
          <w:szCs w:val="20"/>
        </w:rPr>
        <w:t xml:space="preserve"> sklenitvi pravnega posla banka obvestiti Banko Slovenije.</w:t>
      </w:r>
    </w:p>
    <w:p w14:paraId="4F087D3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3B9914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_Ref202964893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201</w:t>
      </w:r>
      <w:r w:rsidRPr="00215B2F">
        <w:rPr>
          <w:rFonts w:ascii="Arial" w:hAnsi="Arial" w:cs="Arial"/>
          <w:b/>
          <w:bCs/>
          <w:sz w:val="20"/>
          <w:szCs w:val="20"/>
        </w:rPr>
        <w:fldChar w:fldCharType="end"/>
      </w:r>
      <w:r w:rsidRPr="00215B2F">
        <w:rPr>
          <w:rFonts w:ascii="Arial" w:hAnsi="Arial" w:cs="Arial"/>
          <w:b/>
          <w:bCs/>
          <w:sz w:val="20"/>
          <w:szCs w:val="20"/>
        </w:rPr>
        <w:t>. členu (veljavni 171. člen ZBan-3)</w:t>
      </w:r>
    </w:p>
    <w:p w14:paraId="510673B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F92B634"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(171. člen) ni vsebinskih sprememb. Banka mora imeti vzpostavljeno politiko in postopke za učinkovito upravljanje kreditnega tveganja, vključno s tveganjem nasprotne stranke. Poleg tega mora uporabljati jasne postopke za odobritev, spremembo, obnovo in ponovno financiranje kreditov ter imeti določena merila za prepoznavanje in upravljanje problematičnih kreditov ter politiko za oblikovanje oslabitev in rezervacij. Gre za prenos 79. člena CRD, ki ureja upravljanje kreditnih tveganj. </w:t>
      </w:r>
    </w:p>
    <w:p w14:paraId="3A64F0F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D7CE1D0"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_Ref203482981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202</w:t>
      </w:r>
      <w:r w:rsidRPr="00215B2F">
        <w:rPr>
          <w:rFonts w:cs="Arial"/>
          <w:b/>
          <w:bCs/>
          <w:sz w:val="20"/>
          <w:szCs w:val="20"/>
        </w:rPr>
        <w:fldChar w:fldCharType="end"/>
      </w:r>
      <w:r w:rsidRPr="00215B2F">
        <w:rPr>
          <w:rFonts w:cs="Arial"/>
          <w:b/>
          <w:bCs/>
          <w:sz w:val="20"/>
          <w:szCs w:val="20"/>
        </w:rPr>
        <w:t>. členu (veljavni 172. člen ZBan-3)</w:t>
      </w:r>
    </w:p>
    <w:p w14:paraId="4AEFB73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9556E5B"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ZBan-3 (172. člen) določa, da mora imeti banka jasno opredeljena merila za odobritev kredita. Pri odobritvi mora oceniti sposobnost dolžnika za izpolnjevanje obveznosti ter kakovost in obseg zavarovanja terjatev. Pri tem mora pridobiti tudi bonitetne podatke dolžnika iz ustreznega sistema izmenjave bonitetnih informacij. Gre za prenos 79. člena CRD, ki ureja upravljanje kreditnih tveganj. </w:t>
      </w:r>
    </w:p>
    <w:p w14:paraId="0D77990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036D166"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S predlogom zakona se dodatno (glede na ZBan-3) določa, da banka pri upravljanju kreditnega tveganja pridobi izpis o okoljskih, socialnih in upravljavskih (ESG) tveganjih dolžnika, če je ta poslovni subjekt, iz sistema izmenjave bonitetnih podatkov. Te podatke lahko banka uporablja tudi za upravljanje drugih tveganj, poročanje ter razkritja ESG tveganj. Dopolnitev je skladna s predvidenimi spremembami zakona, ki ureja centralni kreditni register, na podlagi katerih bo Banka Slovenije nadgradila in upravljala centralni kreditni register tudi s podatki o tveganjih ESG.</w:t>
      </w:r>
    </w:p>
    <w:p w14:paraId="120C1BC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593A14C"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_Ref203482986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203</w:t>
      </w:r>
      <w:r w:rsidRPr="00215B2F">
        <w:rPr>
          <w:rFonts w:cs="Arial"/>
          <w:b/>
          <w:bCs/>
          <w:sz w:val="20"/>
          <w:szCs w:val="20"/>
        </w:rPr>
        <w:fldChar w:fldCharType="end"/>
      </w:r>
      <w:r w:rsidRPr="00215B2F">
        <w:rPr>
          <w:rFonts w:cs="Arial"/>
          <w:b/>
          <w:bCs/>
          <w:sz w:val="20"/>
          <w:szCs w:val="20"/>
        </w:rPr>
        <w:t>. členu (veljavni 173. člen ZBan-3)</w:t>
      </w:r>
    </w:p>
    <w:p w14:paraId="3B9FDD4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EF9434F"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ZBan-3 (173. člen) določa, da mora banka uporabljati primerne postopke in metode za ocenjevanje kreditnega tveganja tako na ravni posameznih dolžnikov in njihovih instrumentov kot tudi na ravni celotnega portfelja. Kreditni portfelji morajo biti ustrezno razpršeni glede na ciljne trge in strategijo banke. Poleg tega mora banka ves čas trajanja poslovnega razmerja spremljati poslovanje dolžnika in kakovost zavarovanja svojih terjatev. Gre za prenos 79. člena CRD, ki ureja upravljanje kreditnih tveganj. </w:t>
      </w:r>
    </w:p>
    <w:p w14:paraId="3B982F5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85C6648"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zakona se dodatno (glede na ZBan-3) določa, da </w:t>
      </w:r>
      <w:r w:rsidRPr="00215B2F">
        <w:rPr>
          <w:rFonts w:eastAsia="Arial" w:cs="Arial"/>
          <w:sz w:val="20"/>
          <w:szCs w:val="20"/>
        </w:rPr>
        <w:t>banka izvede predhodno ocenitev vsake izpostavljenosti kriptosredstvom, ki jo namerava prevzeti, in ustreznosti obstoječih procesov in postopkov za upravljanje tveganja nasprotne stranke ter o teh ocenah poroča Banki Slovenije. Gre za prenos 79. člena CRD (točka e).</w:t>
      </w:r>
    </w:p>
    <w:p w14:paraId="6BCCBDE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89E60BF"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_Ref203482990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204</w:t>
      </w:r>
      <w:r w:rsidRPr="00215B2F">
        <w:rPr>
          <w:rFonts w:cs="Arial"/>
          <w:b/>
          <w:bCs/>
          <w:sz w:val="20"/>
          <w:szCs w:val="20"/>
        </w:rPr>
        <w:fldChar w:fldCharType="end"/>
      </w:r>
      <w:r w:rsidRPr="00215B2F">
        <w:rPr>
          <w:rFonts w:cs="Arial"/>
          <w:b/>
          <w:bCs/>
          <w:sz w:val="20"/>
          <w:szCs w:val="20"/>
        </w:rPr>
        <w:t>. členu (veljavni 174. člen ZBan-3)</w:t>
      </w:r>
    </w:p>
    <w:p w14:paraId="5EF255C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1D19DB2"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(174. člen) ni vsebinskih sprememb. Banka pri ocenjevanju kreditnega tveganja ne sme izključno ali samodejno uporabljati zunanjih bonitetnih ocen, ampak mora upoštevati tudi druge ustrezne informacije, še posebej če je kapitalska zahteva vezana na te ocene ali če izpostavljenost ni ocenjena. Poleg tega mora imeti banka sistem za stalno spremljanje učinkovitosti uporabljenih metod ocenjevanja kreditnega tveganja in poročanje o njej. Gre za prenos 79. člena CRD, ki ureja upravljanje kreditnih tveganj. </w:t>
      </w:r>
    </w:p>
    <w:p w14:paraId="319B667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1B5E068"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_Ref203482993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205</w:t>
      </w:r>
      <w:r w:rsidRPr="00215B2F">
        <w:rPr>
          <w:rFonts w:cs="Arial"/>
          <w:b/>
          <w:bCs/>
          <w:sz w:val="20"/>
          <w:szCs w:val="20"/>
        </w:rPr>
        <w:fldChar w:fldCharType="end"/>
      </w:r>
      <w:r w:rsidRPr="00215B2F">
        <w:rPr>
          <w:rFonts w:cs="Arial"/>
          <w:b/>
          <w:bCs/>
          <w:sz w:val="20"/>
          <w:szCs w:val="20"/>
        </w:rPr>
        <w:t>. členu (veljavni 175. člen ZBan-3)</w:t>
      </w:r>
    </w:p>
    <w:p w14:paraId="296ECA1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A4B2202"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(175. člen) ni vsebinskih sprememb.</w:t>
      </w:r>
      <w:r w:rsidRPr="00215B2F">
        <w:rPr>
          <w:rFonts w:eastAsiaTheme="minorHAnsi" w:cs="Arial"/>
          <w:kern w:val="2"/>
          <w:sz w:val="24"/>
          <w:szCs w:val="24"/>
          <w:lang w:eastAsia="en-US"/>
          <w14:ligatures w14:val="standardContextual"/>
        </w:rPr>
        <w:t xml:space="preserve"> </w:t>
      </w:r>
      <w:r w:rsidRPr="00215B2F">
        <w:rPr>
          <w:rFonts w:cs="Arial"/>
          <w:sz w:val="20"/>
          <w:szCs w:val="20"/>
        </w:rPr>
        <w:t xml:space="preserve">Banka mora imeti pisno politiko in postopke, ki zagotavljajo ustrezno obravnavo tveganj in nadzor nad njimi, če uporabljene tehnike za zmanjševanje kreditnega tveganja niso tako učinkovite, kot je bilo pričakovano. Gre za prenos 79. člena CRD, ki ureja upravljanje kreditnih tveganj. </w:t>
      </w:r>
    </w:p>
    <w:p w14:paraId="4F6457C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78952B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_Ref202964909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206</w:t>
      </w:r>
      <w:r w:rsidRPr="00215B2F">
        <w:rPr>
          <w:rFonts w:ascii="Arial" w:hAnsi="Arial" w:cs="Arial"/>
          <w:b/>
          <w:bCs/>
          <w:sz w:val="20"/>
          <w:szCs w:val="20"/>
        </w:rPr>
        <w:fldChar w:fldCharType="end"/>
      </w:r>
      <w:r w:rsidRPr="00215B2F">
        <w:rPr>
          <w:rFonts w:ascii="Arial" w:hAnsi="Arial" w:cs="Arial"/>
          <w:b/>
          <w:bCs/>
          <w:sz w:val="20"/>
          <w:szCs w:val="20"/>
        </w:rPr>
        <w:t>. členu (veljavni 176. člen ZBan-3)</w:t>
      </w:r>
    </w:p>
    <w:p w14:paraId="4A368733"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28ED982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ZBan-3 (176. člen) ureja politiko in postopke upravljanja tržnih tveganj. Banka mora vzpostaviti in uresničevati ustrezno politiko in postopke za ugotavljanje, merjenje in upravljanje vseh pomembnih dejavnikov tržnih tveganj. Gre za prenos 83. člena CRD.</w:t>
      </w:r>
    </w:p>
    <w:p w14:paraId="3DF1F35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6114A25"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zakona se dodatno določa, da banka izvede </w:t>
      </w:r>
      <w:r w:rsidRPr="00215B2F">
        <w:rPr>
          <w:rFonts w:eastAsia="Arial" w:cs="Arial"/>
          <w:sz w:val="20"/>
          <w:szCs w:val="20"/>
        </w:rPr>
        <w:t xml:space="preserve">predhodno ocenitev vsake izpostavljenosti kriptosredstvom, ki jo namerava prevzeti, in ustreznosti obstoječih procesov in postopkov za upravljanje tržnega tveganja ter o teh ocenah poroča Banki Slovenije. Gre za prenos 83. člena CRD (četrti odstavek). </w:t>
      </w:r>
    </w:p>
    <w:p w14:paraId="6056126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10C022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_Ref202964927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207</w:t>
      </w:r>
      <w:r w:rsidRPr="00215B2F">
        <w:rPr>
          <w:rFonts w:ascii="Arial" w:hAnsi="Arial" w:cs="Arial"/>
          <w:b/>
          <w:bCs/>
          <w:sz w:val="20"/>
          <w:szCs w:val="20"/>
        </w:rPr>
        <w:fldChar w:fldCharType="end"/>
      </w:r>
      <w:r w:rsidRPr="00215B2F">
        <w:rPr>
          <w:rFonts w:ascii="Arial" w:hAnsi="Arial" w:cs="Arial"/>
          <w:b/>
          <w:bCs/>
          <w:sz w:val="20"/>
          <w:szCs w:val="20"/>
        </w:rPr>
        <w:t>. členu (veljavni 177. člen ZBan-3)</w:t>
      </w:r>
    </w:p>
    <w:p w14:paraId="24BAA59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76FB0DB" w14:textId="77777777" w:rsidR="0010347E" w:rsidRPr="00215B2F" w:rsidRDefault="0010347E" w:rsidP="0010347E">
      <w:pPr>
        <w:pStyle w:val="Alineazaodstavkom"/>
        <w:numPr>
          <w:ilvl w:val="0"/>
          <w:numId w:val="0"/>
        </w:numPr>
        <w:shd w:val="clear" w:color="auto" w:fill="FFFFFF" w:themeFill="background1"/>
        <w:rPr>
          <w:rFonts w:cs="Arial"/>
          <w:sz w:val="20"/>
          <w:szCs w:val="20"/>
        </w:rPr>
      </w:pPr>
      <w:r w:rsidRPr="00215B2F">
        <w:rPr>
          <w:rFonts w:cs="Arial"/>
          <w:sz w:val="20"/>
          <w:szCs w:val="20"/>
        </w:rPr>
        <w:t xml:space="preserve">V primerjavi z ZBan-3 (168. člen) ni vsebinskih sprememb. Člen določa, da mora banka vzpostaviti ustrezne postopke in merila za ocenjevanje in upravljanje tveganj, ki so posledica morebitne spremembe obrestnih mer, ki vplivajo na netrgovalne dejavnosti banke. Banka mora vzpostaviti ustrezne notranje sisteme za ugotavljanje, ovrednotenje, upravljanje in zmanjševanje tveganj, ki so posledica morebitne spremembe obrestnih mer, ki vplivajo na ekonomsko vrednost lastniškega kapitala in neto prihodke od obresti pri dejavnosti banke iz netrgovalne knjige, ali za ta namen uporabljati standardizirano metodologijo, majhne in nekompleksne banke pa lahko uporabljajo poenostavljeno standardizirano metodologijo. Banka mora vzpostaviti sisteme za ocenjevanje in spremljanje tveganj, ki izhajajo iz morebitnih sprememb kreditnih razmikov, ki vplivajo na ekonomsko vrednost lastniškega kapitala in neto prihodke od obresti pri dejavnosti iz netrgovalne knjige. Gre za prenos 84. člena CRD. </w:t>
      </w:r>
    </w:p>
    <w:p w14:paraId="02E085F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A804EB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_Ref202964933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208</w:t>
      </w:r>
      <w:r w:rsidRPr="00215B2F">
        <w:rPr>
          <w:rFonts w:ascii="Arial" w:hAnsi="Arial" w:cs="Arial"/>
          <w:b/>
          <w:bCs/>
          <w:sz w:val="20"/>
          <w:szCs w:val="20"/>
        </w:rPr>
        <w:fldChar w:fldCharType="end"/>
      </w:r>
      <w:r w:rsidRPr="00215B2F">
        <w:rPr>
          <w:rFonts w:ascii="Arial" w:hAnsi="Arial" w:cs="Arial"/>
          <w:b/>
          <w:bCs/>
          <w:sz w:val="20"/>
          <w:szCs w:val="20"/>
        </w:rPr>
        <w:t>. do 210. členu (veljavni 178. do 180. člen ZBan-3)</w:t>
      </w:r>
    </w:p>
    <w:p w14:paraId="2758913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BC8719C"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Členi, ki prenašajo 86. člen CRD, obravnavajo upravljanje likvidnostnega tveganja. Banka mora vzpostaviti in uresničevati zanesljive strategije, politiko in postopke za upravljanje likvidnostnega tveganja. Strategije, politika in postopki za upravljanje likvidnostnega tveganja morajo biti prilagojeni poslovnim področjem, valutam poslov in osebam v skupini ter vključevati ustrezno metodologijo porazdelitve stroškov, koristi in tveganj pri zagotavljanju likvidnosti. Strategije, politika in postopki morajo biti sorazmerni naravi, obsegu in zapletenosti poslov banke. </w:t>
      </w:r>
    </w:p>
    <w:p w14:paraId="23BB13B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AF0F7A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Upravljanje likvidnostnega tveganja vključuje načrtovanje likvidnostnih odlivov in likvidnostnih prilivov; redno upravljanje likvidnosti za ustrezne nize časovnih obdobij, vključno s časovnim obdobjem znotraj enega dne; razlikovanje med zastavljenimi in bremen prostimi oziroma razpoložljivimi sredstvi in opredelitev ustreznih ukrepov za preprečitev oziroma odpravo vzrokov za likvidnostne primanjkljaje.</w:t>
      </w:r>
    </w:p>
    <w:p w14:paraId="6958974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6B07D0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Med postopke in orodja za zmanjševanje likvidnostnega tveganja spadajo sistemi limitov in likvidnostni blažilniki, ki povečujejo odpornost banke v kriznih razmerah. Likvidnostno tveganje se z raznovrstno strukturo virov financiranja in dostopa do virov financiranja zmanjša. </w:t>
      </w:r>
    </w:p>
    <w:p w14:paraId="3BBA11A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C44C4E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Enkrat letno mora banka z uporabo različnih scenarijev preveriti pravilnost in ustreznost predpostavk v zvezi z upravljanjem likvidnosti ter postopke in orodje za zmanjševanje likvidnostnega tveganja. Na podlagi ugotovitev preverjanja mora banka sprejeti ukrepe za izboljšanje upravljanja likvidnostnega tveganja. </w:t>
      </w:r>
    </w:p>
    <w:p w14:paraId="2543C95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48EB67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mora sprejeti strategijo in načrt ukrepov, ki se uporabijo v primeru nastanka morebitnih likvidnostnih primanjkljajev banke, ter ga enkrat letno preveriti in v skladu z rezultati scenarijev upravljanja z likvidnostjo posodobiti. Banka mora zagotoviti ustrezne operativne razmere, da lahko v primeru nastanka likvidnostnega primanjkljaja začne predvidene ukrepe takoj uresničevati. Operativni pogoji načrta ukrepov za ponovno vzpostavitev ustrezne likvidnosti vključujejo </w:t>
      </w:r>
      <w:r w:rsidRPr="00215B2F">
        <w:rPr>
          <w:rFonts w:ascii="Arial" w:hAnsi="Arial" w:cs="Arial"/>
          <w:bCs/>
          <w:sz w:val="20"/>
          <w:szCs w:val="20"/>
        </w:rPr>
        <w:t xml:space="preserve">posedovanje zavarovanja s premoženjem, ki je takoj razpoložljivo za financiranje s strani centralnih bank. To vključuje, da je zavarovanje s premoženjem po potrebi v valuti druge države članice ali valuti tretje države, v kateri ima </w:t>
      </w:r>
      <w:r w:rsidRPr="00215B2F">
        <w:rPr>
          <w:rFonts w:ascii="Arial" w:hAnsi="Arial" w:cs="Arial"/>
          <w:bCs/>
          <w:sz w:val="20"/>
          <w:szCs w:val="20"/>
        </w:rPr>
        <w:lastRenderedPageBreak/>
        <w:t xml:space="preserve">institucija izpostavljenosti, in kadar je potrebno za poslovanje na ozemlju države članice gostiteljice ali tretje države, v njeni valuti. </w:t>
      </w:r>
    </w:p>
    <w:p w14:paraId="61F9BF4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52AEEE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_Ref202964951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211</w:t>
      </w:r>
      <w:r w:rsidRPr="00215B2F">
        <w:rPr>
          <w:rFonts w:ascii="Arial" w:hAnsi="Arial" w:cs="Arial"/>
          <w:b/>
          <w:bCs/>
          <w:sz w:val="20"/>
          <w:szCs w:val="20"/>
        </w:rPr>
        <w:fldChar w:fldCharType="end"/>
      </w:r>
      <w:r w:rsidRPr="00215B2F">
        <w:rPr>
          <w:rFonts w:ascii="Arial" w:hAnsi="Arial" w:cs="Arial"/>
          <w:b/>
          <w:bCs/>
          <w:sz w:val="20"/>
          <w:szCs w:val="20"/>
        </w:rPr>
        <w:t>. členu (veljavni 181. člen ZBan-3)</w:t>
      </w:r>
    </w:p>
    <w:p w14:paraId="1B1C59B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9AB22CB"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Predlog člena nadgrajuje obstoječi 181. člen ZBan-3, ki določa, da mora banka vzpostaviti politiko in postopke za upravljanje operativnega tveganja, vključno z modelskim tveganjem in tveganji pri zunanjem izvajanju, ter opredeliti dejavnike operativnega tveganja, tudi redke, a pomembne dogodke, ki lahko vplivajo na banko.</w:t>
      </w:r>
    </w:p>
    <w:p w14:paraId="256280A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EEDE49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člena se določa, da mora banka vzpostaviti politiko in postopke za upravljanje operativnega tveganja, ki vključujejo tveganja iz zunanjega izvajanja, izpostavljenost kriptosredstvom in ponudnikom povezanih storitev ter kritje redkih dogodkov z velikim vplivom, pri čemer mora opredeliti dejavnike teh tveganj. Gre za prenos 85. člena CRD. </w:t>
      </w:r>
    </w:p>
    <w:p w14:paraId="1766C2C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C4C25C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_Ref202964958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212</w:t>
      </w:r>
      <w:r w:rsidRPr="00215B2F">
        <w:rPr>
          <w:rFonts w:ascii="Arial" w:hAnsi="Arial" w:cs="Arial"/>
          <w:b/>
          <w:bCs/>
          <w:sz w:val="20"/>
          <w:szCs w:val="20"/>
        </w:rPr>
        <w:fldChar w:fldCharType="end"/>
      </w:r>
      <w:r w:rsidRPr="00215B2F">
        <w:rPr>
          <w:rFonts w:ascii="Arial" w:hAnsi="Arial" w:cs="Arial"/>
          <w:b/>
          <w:bCs/>
          <w:sz w:val="20"/>
          <w:szCs w:val="20"/>
        </w:rPr>
        <w:t>. členu (veljavni 182. člen ZBan-3)</w:t>
      </w:r>
    </w:p>
    <w:p w14:paraId="70527EC3"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27D5EA83" w14:textId="77777777"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bCs/>
          <w:sz w:val="20"/>
          <w:szCs w:val="20"/>
        </w:rPr>
        <w:t>Glede na ZBan-3 (182. člen) ni vsebinskih sprememb. Banka mora imeti ustrezne krizne načrte ter politike in načrte neprekinjenega poslovanja, vključno z IKT področjem, ter načrte odzivanja in okrevanja za tehnologijo sporočanja informacij. Ti načrti morajo biti vzpostavljeni, upravljani in testirani v skladu z Uredbo 2022/2554/EU, da banka lahko nemoteno posluje tudi ob resnih motnjah in zmanjša nastale izgube.</w:t>
      </w:r>
    </w:p>
    <w:p w14:paraId="54927E2D"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12FF7558" w14:textId="77777777" w:rsidR="0010347E" w:rsidRPr="00215B2F" w:rsidRDefault="0010347E" w:rsidP="0010347E">
      <w:pPr>
        <w:pStyle w:val="odstavek0"/>
        <w:shd w:val="clear" w:color="auto" w:fill="FFFFFF" w:themeFill="background1"/>
        <w:spacing w:before="0" w:beforeAutospacing="0" w:after="0" w:afterAutospacing="0"/>
        <w:ind w:firstLine="0"/>
        <w:rPr>
          <w:rFonts w:ascii="Arial" w:hAnsi="Arial" w:cs="Arial"/>
          <w:sz w:val="20"/>
          <w:szCs w:val="20"/>
        </w:rPr>
      </w:pPr>
      <w:r w:rsidRPr="00215B2F">
        <w:rPr>
          <w:rFonts w:ascii="Arial" w:hAnsi="Arial" w:cs="Arial"/>
          <w:sz w:val="20"/>
          <w:szCs w:val="20"/>
        </w:rPr>
        <w:t>Gre za prenos tretjega odstavka 4. člena Direktive (EU) 2022/2556, ki se nanaša na 85. člen Direktive 2013/36/EU.</w:t>
      </w:r>
    </w:p>
    <w:p w14:paraId="6D456125" w14:textId="77777777" w:rsidR="0010347E" w:rsidRPr="00215B2F" w:rsidRDefault="0010347E" w:rsidP="0010347E">
      <w:pPr>
        <w:pStyle w:val="odstavek0"/>
        <w:shd w:val="clear" w:color="auto" w:fill="FFFFFF" w:themeFill="background1"/>
        <w:spacing w:before="0" w:beforeAutospacing="0" w:after="0" w:afterAutospacing="0"/>
        <w:rPr>
          <w:rFonts w:ascii="Arial" w:hAnsi="Arial" w:cs="Arial"/>
          <w:sz w:val="20"/>
          <w:szCs w:val="20"/>
        </w:rPr>
      </w:pPr>
    </w:p>
    <w:p w14:paraId="19ACC0C7" w14:textId="77777777" w:rsidR="0010347E" w:rsidRPr="00215B2F" w:rsidRDefault="0010347E" w:rsidP="0010347E">
      <w:pPr>
        <w:pStyle w:val="odstavek0"/>
        <w:shd w:val="clear" w:color="auto" w:fill="FFFFFF" w:themeFill="background1"/>
        <w:spacing w:before="0" w:beforeAutospacing="0" w:after="0" w:afterAutospacing="0"/>
        <w:ind w:firstLine="0"/>
        <w:rPr>
          <w:rFonts w:ascii="Arial" w:hAnsi="Arial" w:cs="Arial"/>
          <w:i/>
          <w:iCs/>
          <w:sz w:val="20"/>
          <w:szCs w:val="20"/>
        </w:rPr>
      </w:pPr>
      <w:r w:rsidRPr="00215B2F">
        <w:rPr>
          <w:rFonts w:ascii="Arial" w:hAnsi="Arial" w:cs="Arial"/>
          <w:i/>
          <w:iCs/>
          <w:sz w:val="20"/>
          <w:szCs w:val="20"/>
        </w:rPr>
        <w:t>»2. Pristojni organi zagotovijo, da imajo institucije ustrezne krizne načrte ter politike in načrte neprekinjenega poslovanja, vključno s politikami in načrti neprekinjenega poslovanja na področju IKT ter načrti odzivanja in okrevanja IKT, za tehnologijo, ki jo uporabljajo za sporočanje informacij, ter da se ti načrti vzpostavijo, upravljajo in testirajo v skladu s členom 11 Uredbe (EU) 2022/2554, da se institucijam omogoči, da lahko še naprej poslujejo v primeru resnih motenj poslovanja in omejijo izgube, ki nastanejo zaradi takih motenj.«</w:t>
      </w:r>
    </w:p>
    <w:p w14:paraId="136C6158" w14:textId="77777777" w:rsidR="0010347E" w:rsidRPr="00215B2F" w:rsidRDefault="0010347E" w:rsidP="0010347E">
      <w:pPr>
        <w:pStyle w:val="odstavek0"/>
        <w:shd w:val="clear" w:color="auto" w:fill="FFFFFF" w:themeFill="background1"/>
        <w:spacing w:before="0" w:beforeAutospacing="0" w:after="0" w:afterAutospacing="0"/>
        <w:rPr>
          <w:rFonts w:ascii="Arial" w:hAnsi="Arial" w:cs="Arial"/>
          <w:sz w:val="20"/>
          <w:szCs w:val="20"/>
        </w:rPr>
      </w:pPr>
    </w:p>
    <w:p w14:paraId="3FDF38A6" w14:textId="770A9CFE"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Direktiva 2013/36/EU na področju bančnih storitev trenutno določa le splošna pravila notranjega upravljanja in določbe o operativnem tveganju, ki vsebujejo zahteve za krizne načrte in načrte neprekinjenega poslovanja, ki se implicitno uporabljajo kot podlaga za obravnavo tveganj na področju IKT. Vendar bi bilo treba za zagotovitev izrecne in jasne obravnave tveganja na področju IKT spremeniti zahteve za krizne načrte in načrte neprekinjenega poslovanja, da bodo vključevale tudi načrte neprekinjenega poslovanja ter načrte odzivanja in okrevanja v zvezi s tveganjem na področju IKT v skladu z zahtevami iz Uredbe (EU) 2022/2554. Poleg tega je tveganje na področju IKT samo posredno kot del operativnega tveganja vključeno v postopek nadzorniškega pregledovanja in ovrednotenja, ki ga izvajajo pristojni organi, merila za njegovo oceno pa so trenutno opredeljena v Smernicah o oceni tveganja, povezanega z IKT, v skladu s postopkom nadzorniškega pregledovanja in vrednotenja (SREP), ki jih je izdal evropski nadzorni organ (Evropski bančni organ), ustanovljen z Uredbo (EU) št. 1093/2010 Evropskega parlamenta in Sveta. Za zagotovitev pravne jasnosti in da bi bančni nadzorniki učinkovito prepoznavali tveganja na področju IKT in spremljali njihovo upravljanje s strani finančnih subjektov v skladu z novim okvirom za digitalno operativno odpornost, bi bilo treba spremeniti tudi obseg SREP, da bi se izrecno vključile zahteve iz Uredbe (EU) 2022/2554 in zajela zlasti tveganja, ki so jih razkrila poročila o večjih incidentih, povezanih z IKT, in rezultati testiranj digitalne operativne odpornosti, ki jih finančni subjekti izvajajo v skladu z navedeno uredbo.</w:t>
      </w:r>
    </w:p>
    <w:p w14:paraId="718CFD5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8DECB1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_Ref202964983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213</w:t>
      </w:r>
      <w:r w:rsidRPr="00215B2F">
        <w:rPr>
          <w:rFonts w:ascii="Arial" w:hAnsi="Arial" w:cs="Arial"/>
          <w:b/>
          <w:bCs/>
          <w:sz w:val="20"/>
          <w:szCs w:val="20"/>
        </w:rPr>
        <w:fldChar w:fldCharType="end"/>
      </w:r>
      <w:r w:rsidRPr="00215B2F">
        <w:rPr>
          <w:rFonts w:ascii="Arial" w:hAnsi="Arial" w:cs="Arial"/>
          <w:b/>
          <w:bCs/>
          <w:sz w:val="20"/>
          <w:szCs w:val="20"/>
        </w:rPr>
        <w:t>. členu</w:t>
      </w:r>
    </w:p>
    <w:p w14:paraId="26211F5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FBB65F4"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mora imeti zanesljive strategije, politike, postopke in sisteme za ugotavljanje, merjenje, upravljanje in spremljanje ESG tveganj v kratkoročnem, srednjeročnem in dolgoročnem obdobju, ki so sorazmerni z naravo in obsegom njenega poslovanja. Odpornost banke na dolgoročne negativne učinke ESG dejavnikov se preizkuša z različnimi scenariji, zlasti podnebnih sprememb, pri čemer se uporabljajo verodostojni mednarodni scenariji. Banka Slovenije spremlja in ocenjuje prakse bank glede ESG strategij in upravljanja tveganj, vključno z oceno zanesljivosti njihovih načrtov ter ponudbo trajnostnih </w:t>
      </w:r>
      <w:r w:rsidRPr="00215B2F">
        <w:rPr>
          <w:rFonts w:cs="Arial"/>
          <w:sz w:val="20"/>
          <w:szCs w:val="20"/>
        </w:rPr>
        <w:lastRenderedPageBreak/>
        <w:t xml:space="preserve">produktov in politik. Pri oceni lahko Banka Slovenije sodeluje z organi, pristojnimi za podnebne spremembe in okoljski nadzor. Gre za prenos 87.a člena CRD. </w:t>
      </w:r>
    </w:p>
    <w:p w14:paraId="3343215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1624545"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Dodatno velja pojasniti, da se v strategijah, politikah in postopkih ne upošteva samo velikost, ampak tudi pomembnost ESG tveganj.</w:t>
      </w:r>
    </w:p>
    <w:p w14:paraId="220832E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F964CD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_Ref202964994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214</w:t>
      </w:r>
      <w:r w:rsidRPr="00215B2F">
        <w:rPr>
          <w:rFonts w:ascii="Arial" w:hAnsi="Arial" w:cs="Arial"/>
          <w:b/>
          <w:bCs/>
          <w:sz w:val="20"/>
          <w:szCs w:val="20"/>
        </w:rPr>
        <w:fldChar w:fldCharType="end"/>
      </w:r>
      <w:r w:rsidRPr="00215B2F">
        <w:rPr>
          <w:rFonts w:ascii="Arial" w:hAnsi="Arial" w:cs="Arial"/>
          <w:b/>
          <w:bCs/>
          <w:sz w:val="20"/>
          <w:szCs w:val="20"/>
        </w:rPr>
        <w:t>. členu (veljavni 183. člen ZBan-3)</w:t>
      </w:r>
    </w:p>
    <w:p w14:paraId="340DD9E6"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126D1C95" w14:textId="77777777"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bCs/>
          <w:sz w:val="20"/>
          <w:szCs w:val="20"/>
        </w:rPr>
        <w:t>ZBan-3 (183. člen) določa, da mora imeti banka jasno politiko in postopke za upravljanje tveganja koncentracije izpostavljenosti, ki nastane zaradi povezanih nasprotnih strank, izpostavljenosti v istem sektorju, regiji ali dejavnosti ter zaradi uporabe tehnik za zmanjševanje kreditnega tveganja, še posebej pri velikih posrednih izpostavljenostih. Gre za prenos 81. člena CRD.</w:t>
      </w:r>
    </w:p>
    <w:p w14:paraId="7EEE334D" w14:textId="77777777" w:rsidR="0010347E" w:rsidRPr="00215B2F" w:rsidRDefault="0010347E" w:rsidP="0010347E">
      <w:pPr>
        <w:pStyle w:val="tevilnatoka"/>
        <w:numPr>
          <w:ilvl w:val="0"/>
          <w:numId w:val="0"/>
        </w:numPr>
        <w:shd w:val="clear" w:color="auto" w:fill="FFFFFF" w:themeFill="background1"/>
        <w:rPr>
          <w:rFonts w:cs="Arial"/>
          <w:bCs/>
          <w:sz w:val="20"/>
          <w:szCs w:val="20"/>
        </w:rPr>
      </w:pPr>
    </w:p>
    <w:p w14:paraId="13331380" w14:textId="77777777"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bCs/>
          <w:sz w:val="20"/>
          <w:szCs w:val="20"/>
        </w:rPr>
        <w:t xml:space="preserve">S predlogom zakona se določa, da se </w:t>
      </w:r>
      <w:r w:rsidRPr="00215B2F">
        <w:rPr>
          <w:rFonts w:eastAsia="Arial" w:cs="Arial"/>
          <w:bCs/>
          <w:sz w:val="20"/>
          <w:szCs w:val="20"/>
        </w:rPr>
        <w:t>za kriptosredstva brez prepoznavnega izdajatelja tveganje koncentracije upošteva v smislu izpostavljenosti kriptosredstvom s podobnimi značilnostmi.</w:t>
      </w:r>
      <w:r w:rsidRPr="00215B2F">
        <w:rPr>
          <w:rFonts w:cs="Arial"/>
          <w:bCs/>
          <w:sz w:val="20"/>
          <w:szCs w:val="20"/>
        </w:rPr>
        <w:t xml:space="preserve"> Gre za prenos 81. člena CRD.</w:t>
      </w:r>
    </w:p>
    <w:p w14:paraId="297FD929" w14:textId="77777777" w:rsidR="0010347E" w:rsidRPr="00215B2F" w:rsidRDefault="0010347E" w:rsidP="0010347E">
      <w:pPr>
        <w:pStyle w:val="tevilnatoka"/>
        <w:numPr>
          <w:ilvl w:val="0"/>
          <w:numId w:val="0"/>
        </w:numPr>
        <w:shd w:val="clear" w:color="auto" w:fill="FFFFFF" w:themeFill="background1"/>
        <w:rPr>
          <w:rFonts w:cs="Arial"/>
          <w:bCs/>
          <w:sz w:val="20"/>
          <w:szCs w:val="20"/>
        </w:rPr>
      </w:pPr>
    </w:p>
    <w:p w14:paraId="28BAD48F" w14:textId="77777777" w:rsidR="0010347E" w:rsidRPr="00215B2F" w:rsidRDefault="0010347E" w:rsidP="0010347E">
      <w:pPr>
        <w:pStyle w:val="tevilnatoka"/>
        <w:numPr>
          <w:ilvl w:val="0"/>
          <w:numId w:val="0"/>
        </w:numPr>
        <w:shd w:val="clear" w:color="auto" w:fill="FFFFFF" w:themeFill="background1"/>
        <w:rPr>
          <w:rFonts w:eastAsia="Arial" w:cs="Arial"/>
          <w:bCs/>
          <w:sz w:val="20"/>
          <w:szCs w:val="20"/>
        </w:rPr>
      </w:pPr>
      <w:r w:rsidRPr="00215B2F">
        <w:rPr>
          <w:rFonts w:cs="Arial"/>
          <w:bCs/>
          <w:sz w:val="20"/>
          <w:szCs w:val="20"/>
        </w:rPr>
        <w:t xml:space="preserve">Dodatno se določa, da </w:t>
      </w:r>
      <w:r w:rsidRPr="00215B2F">
        <w:rPr>
          <w:rFonts w:eastAsia="Arial" w:cs="Arial"/>
          <w:bCs/>
          <w:sz w:val="20"/>
          <w:szCs w:val="20"/>
        </w:rPr>
        <w:t xml:space="preserve">Banka Slovenije oceni in spremlja razvoj na področju praks bank v zvezi z upravljanjem tveganja koncentracije, ki izhaja iz izpostavljenosti do centralnih nasprotnih strank, vključno z načrti, pripravljenimi za napredek pri prilagajanju njenih poslovnih modelov. Gre za dopolnitev iz 2. člena </w:t>
      </w:r>
      <w:r w:rsidRPr="00215B2F">
        <w:rPr>
          <w:rFonts w:cs="Arial"/>
        </w:rPr>
        <w:t xml:space="preserve">Direktive 2024/2994/EU. </w:t>
      </w:r>
    </w:p>
    <w:p w14:paraId="2279438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121244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_Ref202965003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215</w:t>
      </w:r>
      <w:r w:rsidRPr="00215B2F">
        <w:rPr>
          <w:rFonts w:ascii="Arial" w:hAnsi="Arial" w:cs="Arial"/>
          <w:b/>
          <w:bCs/>
          <w:sz w:val="20"/>
          <w:szCs w:val="20"/>
        </w:rPr>
        <w:fldChar w:fldCharType="end"/>
      </w:r>
      <w:r w:rsidRPr="00215B2F">
        <w:rPr>
          <w:rFonts w:ascii="Arial" w:hAnsi="Arial" w:cs="Arial"/>
          <w:b/>
          <w:bCs/>
          <w:sz w:val="20"/>
          <w:szCs w:val="20"/>
        </w:rPr>
        <w:t>. členu (veljavni 184. člen ZBan-3)</w:t>
      </w:r>
    </w:p>
    <w:p w14:paraId="0F79B081"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4A75103E"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ZBan-3 (184. člen) določa, da mora banka pridobiti predhodno soglasje nadzornega sveta za pravni posel, če celotna izpostavljenost banke do posamezne stranke ali skupine povezanih strank, vključno s posredno izpostavljenostjo, doseže ali presega 10 % temeljnega kapitala banke. Soglasje je potrebno tudi za vsak pravni posel, ki poveča izpostavljenost za nadaljnjih 5 % temeljnega kapitala. Pri določitvi povezanih strank se ne upoštevajo povezave s centralno državno ravnjo. Izpostavljenost se upošteva v bruto vrednosti, brez zmanjšanja za oslabitve in rezervacije.</w:t>
      </w:r>
    </w:p>
    <w:p w14:paraId="07FCEA0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CAAB74F" w14:textId="266D7311"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zakona se </w:t>
      </w:r>
      <w:r w:rsidR="00883362" w:rsidRPr="00215B2F">
        <w:rPr>
          <w:rFonts w:cs="Arial"/>
          <w:sz w:val="20"/>
          <w:szCs w:val="20"/>
        </w:rPr>
        <w:t>(</w:t>
      </w:r>
      <w:r w:rsidRPr="00215B2F">
        <w:rPr>
          <w:rFonts w:cs="Arial"/>
          <w:sz w:val="20"/>
          <w:szCs w:val="20"/>
        </w:rPr>
        <w:t xml:space="preserve">glede na 184. člen ZBan-3) spreminja tretji odstavek tako, da banka pri določanju izpostavljenosti upošteva bruto vrednost izpostavljenosti, torej brez zmanjšanja za popravke vrednosti in rezervacije za kreditne izgube ali prilagoditev zaradi vrednotenja finančnih instrumentov. Posredna kreditna izpostavljenost pomeni izpostavljenost banke do stranke, ki izhaja iz kreditnih zavarovanj za neposredno izpostavljenost do druge stranke (osnovnega dolžnika) in bi lahko postala neposredna izpostavljenost, če osnovni dolžnik ne bi izpolnil obveznosti. Dopolnitev je dodana zaradi nejasnosti, ki je bila zaznana pri uporabi določbe v praksi, in prinaša večjo pravno </w:t>
      </w:r>
      <w:r w:rsidR="005C5102" w:rsidRPr="00215B2F">
        <w:rPr>
          <w:rFonts w:cs="Arial"/>
          <w:sz w:val="20"/>
          <w:szCs w:val="20"/>
        </w:rPr>
        <w:t xml:space="preserve">varnost </w:t>
      </w:r>
      <w:r w:rsidRPr="00215B2F">
        <w:rPr>
          <w:rFonts w:cs="Arial"/>
          <w:sz w:val="20"/>
          <w:szCs w:val="20"/>
        </w:rPr>
        <w:t>za banke.</w:t>
      </w:r>
    </w:p>
    <w:p w14:paraId="0C46FDF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A8A6D70"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Dodatno se (glede na ZBan-3) dodaja novi peti odstavek, ki določa, da lahko banka od nadzornega sveta prejme predhodno soglasje za sklepanje vnaprej določenih vrst in ročnosti poslov znotraj določenih kreditnih limitov. Ta soglasja veljajo za časovno omejeno obdobje, največ do 12 mesecev.</w:t>
      </w:r>
    </w:p>
    <w:p w14:paraId="4B9520B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3146A04"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Dodatno velja pojasniti, da se limitne izpostavljenosti že zdaj uporabljajo v praksi. Dopolnitev je predlagana zaradi večje jasnosti oziroma ureditve izrecne podlage za te vrste poslov v zakonu.</w:t>
      </w:r>
    </w:p>
    <w:p w14:paraId="3133E00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E25B4A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_Ref202965011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216</w:t>
      </w:r>
      <w:r w:rsidRPr="00215B2F">
        <w:rPr>
          <w:rFonts w:ascii="Arial" w:hAnsi="Arial" w:cs="Arial"/>
          <w:b/>
          <w:bCs/>
          <w:sz w:val="20"/>
          <w:szCs w:val="20"/>
        </w:rPr>
        <w:fldChar w:fldCharType="end"/>
      </w:r>
      <w:r w:rsidRPr="00215B2F">
        <w:rPr>
          <w:rFonts w:ascii="Arial" w:hAnsi="Arial" w:cs="Arial"/>
          <w:b/>
          <w:bCs/>
          <w:sz w:val="20"/>
          <w:szCs w:val="20"/>
        </w:rPr>
        <w:t>. členu (veljavni 185. člen ZBan-3)</w:t>
      </w:r>
    </w:p>
    <w:p w14:paraId="77900AC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BFBA47A"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(185. člen) ni vsebinskih sprememb.</w:t>
      </w:r>
      <w:r w:rsidRPr="00215B2F">
        <w:rPr>
          <w:rFonts w:ascii="Arial" w:hAnsi="Arial" w:cs="Arial"/>
          <w:b/>
          <w:sz w:val="20"/>
          <w:szCs w:val="20"/>
        </w:rPr>
        <w:t xml:space="preserve"> </w:t>
      </w:r>
      <w:r w:rsidRPr="00215B2F">
        <w:rPr>
          <w:rFonts w:ascii="Arial" w:hAnsi="Arial" w:cs="Arial"/>
          <w:sz w:val="20"/>
          <w:szCs w:val="20"/>
        </w:rPr>
        <w:t>Člen, ki prenaša 82. člen CRD, obravnava upravljanje tveganj iz poslov listinjenja. Banka mora na podlagi ustreznih politik in postopkov ocenjevati in obravnavati tveganja iz poslov listinjenja, pri katerih ima vlogo investitorja, originatorja ali sponzorja, vključno s tveganjem ugleda. Zlasti mora banka zagotoviti, da se ekonomska vsebina posla ustrezno in v celoti odraža v oceni tveganj in v vodstvenih odločitvah glede upravljanja teh tveganj. V primeru obnavljajočih se poslov listinjenja, ki vsebujejo določbe o predčasnem odplačilu, mora banka originator vzpostaviti načrte zagotavljanja likvidnosti za primere predčasnega odplačila.</w:t>
      </w:r>
    </w:p>
    <w:p w14:paraId="2FE1D12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520E61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_Ref202965019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217</w:t>
      </w:r>
      <w:r w:rsidRPr="00215B2F">
        <w:rPr>
          <w:rFonts w:ascii="Arial" w:hAnsi="Arial" w:cs="Arial"/>
          <w:b/>
          <w:bCs/>
          <w:sz w:val="20"/>
          <w:szCs w:val="20"/>
        </w:rPr>
        <w:fldChar w:fldCharType="end"/>
      </w:r>
      <w:r w:rsidRPr="00215B2F">
        <w:rPr>
          <w:rFonts w:ascii="Arial" w:hAnsi="Arial" w:cs="Arial"/>
          <w:b/>
          <w:bCs/>
          <w:sz w:val="20"/>
          <w:szCs w:val="20"/>
        </w:rPr>
        <w:t>. členu (veljavni 186. člen ZBan-3)</w:t>
      </w:r>
    </w:p>
    <w:p w14:paraId="5A27A09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D48054A"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(186. člen) ni vsebinskih sprememb.</w:t>
      </w:r>
      <w:r w:rsidRPr="00215B2F">
        <w:rPr>
          <w:rFonts w:ascii="Arial" w:hAnsi="Arial" w:cs="Arial"/>
          <w:b/>
          <w:sz w:val="20"/>
          <w:szCs w:val="20"/>
        </w:rPr>
        <w:t xml:space="preserve"> </w:t>
      </w:r>
      <w:r w:rsidRPr="00215B2F">
        <w:rPr>
          <w:rFonts w:ascii="Arial" w:hAnsi="Arial" w:cs="Arial"/>
          <w:sz w:val="20"/>
          <w:szCs w:val="20"/>
        </w:rPr>
        <w:t xml:space="preserve">Člen, ki prenaša 87. člen CRD, obravnava upravljanje tveganj prevelikega finančnega vzvoda. Banka mora vzpostaviti in uresničevati politike in </w:t>
      </w:r>
      <w:r w:rsidRPr="00215B2F">
        <w:rPr>
          <w:rFonts w:ascii="Arial" w:hAnsi="Arial" w:cs="Arial"/>
          <w:sz w:val="20"/>
          <w:szCs w:val="20"/>
        </w:rPr>
        <w:lastRenderedPageBreak/>
        <w:t>postopke za upravljanje tveganja prevelikega finančnega vzvoda. V ta namen mora opredeliti kazalnike tveganja prevelikega finančnega vzvoda, ki vključujejo količnik finančnega vzvoda, ter neusklajenost med sredstvi in obveznostmi. Banka mora biti sposobna prestati različne stresne scenarije zmanjšanja kapitala.</w:t>
      </w:r>
    </w:p>
    <w:p w14:paraId="0EFFB23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264A2A7" w14:textId="7C97208B" w:rsidR="0010347E" w:rsidRPr="00215B2F" w:rsidRDefault="0010347E" w:rsidP="0010347E">
      <w:pPr>
        <w:shd w:val="clear" w:color="auto" w:fill="FFFFFF" w:themeFill="background1"/>
        <w:spacing w:after="0" w:line="240" w:lineRule="auto"/>
        <w:ind w:right="51"/>
        <w:jc w:val="both"/>
        <w:rPr>
          <w:rFonts w:ascii="Arial" w:hAnsi="Arial" w:cs="Arial"/>
          <w:sz w:val="20"/>
          <w:szCs w:val="20"/>
        </w:rPr>
      </w:pPr>
      <w:r w:rsidRPr="00215B2F">
        <w:rPr>
          <w:rFonts w:ascii="Arial" w:hAnsi="Arial" w:cs="Arial"/>
          <w:sz w:val="20"/>
          <w:szCs w:val="20"/>
        </w:rPr>
        <w:t xml:space="preserve">Količnik finančnega vzvoda se v skladu s 429. členom Uredbe </w:t>
      </w:r>
      <w:r w:rsidR="00D24496" w:rsidRPr="00215B2F">
        <w:rPr>
          <w:rFonts w:ascii="Arial" w:hAnsi="Arial" w:cs="Arial"/>
          <w:sz w:val="20"/>
          <w:szCs w:val="20"/>
        </w:rPr>
        <w:t xml:space="preserve">575/2013/EU </w:t>
      </w:r>
      <w:r w:rsidRPr="00215B2F">
        <w:rPr>
          <w:rFonts w:ascii="Arial" w:hAnsi="Arial" w:cs="Arial"/>
          <w:sz w:val="20"/>
          <w:szCs w:val="20"/>
        </w:rPr>
        <w:t>izračuna kot mera kapitala družbe, deljena z mero skupne izpostavljenosti te družbe, in se izrazi kot odstotek.</w:t>
      </w:r>
    </w:p>
    <w:p w14:paraId="69C09CC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D4AB23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_Ref202965027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218</w:t>
      </w:r>
      <w:r w:rsidRPr="00215B2F">
        <w:rPr>
          <w:rFonts w:ascii="Arial" w:hAnsi="Arial" w:cs="Arial"/>
          <w:b/>
          <w:bCs/>
          <w:sz w:val="20"/>
          <w:szCs w:val="20"/>
        </w:rPr>
        <w:fldChar w:fldCharType="end"/>
      </w:r>
      <w:r w:rsidRPr="00215B2F">
        <w:rPr>
          <w:rFonts w:ascii="Arial" w:hAnsi="Arial" w:cs="Arial"/>
          <w:b/>
          <w:bCs/>
          <w:sz w:val="20"/>
          <w:szCs w:val="20"/>
        </w:rPr>
        <w:t xml:space="preserve">. in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_Ref203381031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219</w:t>
      </w:r>
      <w:r w:rsidRPr="00215B2F">
        <w:rPr>
          <w:rFonts w:ascii="Arial" w:hAnsi="Arial" w:cs="Arial"/>
          <w:b/>
          <w:bCs/>
          <w:sz w:val="20"/>
          <w:szCs w:val="20"/>
        </w:rPr>
        <w:fldChar w:fldCharType="end"/>
      </w:r>
      <w:r w:rsidRPr="00215B2F">
        <w:rPr>
          <w:rFonts w:ascii="Arial" w:hAnsi="Arial" w:cs="Arial"/>
          <w:b/>
          <w:bCs/>
          <w:sz w:val="20"/>
          <w:szCs w:val="20"/>
        </w:rPr>
        <w:t>. členu (veljavna 187. in 188. člen ZBan-3)</w:t>
      </w:r>
    </w:p>
    <w:p w14:paraId="55A4D75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FE687F0" w14:textId="40DD0E08" w:rsidR="0010347E" w:rsidRPr="00215B2F" w:rsidRDefault="0010347E" w:rsidP="0010347E">
      <w:pPr>
        <w:shd w:val="clear" w:color="auto" w:fill="FFFFFF" w:themeFill="background1"/>
        <w:spacing w:after="0" w:line="240" w:lineRule="auto"/>
        <w:ind w:right="51"/>
        <w:jc w:val="both"/>
        <w:rPr>
          <w:rFonts w:ascii="Arial" w:hAnsi="Arial" w:cs="Arial"/>
          <w:sz w:val="20"/>
          <w:szCs w:val="20"/>
        </w:rPr>
      </w:pPr>
      <w:r w:rsidRPr="00215B2F">
        <w:rPr>
          <w:rFonts w:ascii="Arial" w:hAnsi="Arial" w:cs="Arial"/>
          <w:sz w:val="20"/>
          <w:szCs w:val="20"/>
        </w:rPr>
        <w:t>V primerjavi z ZBan-</w:t>
      </w:r>
      <w:r w:rsidR="00FA354E" w:rsidRPr="00215B2F">
        <w:rPr>
          <w:rFonts w:ascii="Arial" w:hAnsi="Arial" w:cs="Arial"/>
          <w:sz w:val="20"/>
          <w:szCs w:val="20"/>
        </w:rPr>
        <w:t>3</w:t>
      </w:r>
      <w:r w:rsidRPr="00215B2F">
        <w:rPr>
          <w:rFonts w:ascii="Arial" w:hAnsi="Arial" w:cs="Arial"/>
          <w:sz w:val="20"/>
          <w:szCs w:val="20"/>
        </w:rPr>
        <w:t xml:space="preserve"> (187. do 188. člen) ni vsebinskih sprememb. Opredeljeni so mehanizmi notranjih kontrol, ki so del ureditve notranjega upravljanja banke. Mehanizmi notranjih kontrol morajo vključevati postopke za preverjanje ustreznosti ocenjevanja in zagotavljanja notranjega kapitala, skladnosti prevzemanja tveganj s politikami banke glede upravljanja tveganj ter izvajanja ureditve notranjega upravljanja in preprečevanja nasprotij interesov na ravni upravljalnega organa ali banke. Banka mora organizirati svoje poslovanje in tekoče voditi poslovne knjige, poslovno dokumentacijo in druge administrativne oziroma poslovne evidence tako, da je mogoče kadar koli preveriti, ali banka posluje v skladu s predpisi. </w:t>
      </w:r>
    </w:p>
    <w:p w14:paraId="39F9DFC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20A83C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_Ref202965037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220</w:t>
      </w:r>
      <w:r w:rsidRPr="00215B2F">
        <w:rPr>
          <w:rFonts w:ascii="Arial" w:hAnsi="Arial" w:cs="Arial"/>
          <w:b/>
          <w:bCs/>
          <w:sz w:val="20"/>
          <w:szCs w:val="20"/>
        </w:rPr>
        <w:fldChar w:fldCharType="end"/>
      </w:r>
      <w:r w:rsidRPr="00215B2F">
        <w:rPr>
          <w:rFonts w:ascii="Arial" w:hAnsi="Arial" w:cs="Arial"/>
          <w:b/>
          <w:bCs/>
          <w:sz w:val="20"/>
          <w:szCs w:val="20"/>
        </w:rPr>
        <w:t>. členu (veljavni 189. člen ZBan-3)</w:t>
      </w:r>
    </w:p>
    <w:p w14:paraId="286D27E8"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7EA0A9DF" w14:textId="7B701F25" w:rsidR="0010347E" w:rsidRPr="00215B2F" w:rsidRDefault="0010347E" w:rsidP="0010347E">
      <w:pPr>
        <w:pStyle w:val="tevilnatoka"/>
        <w:numPr>
          <w:ilvl w:val="0"/>
          <w:numId w:val="0"/>
        </w:numPr>
        <w:shd w:val="clear" w:color="auto" w:fill="FFFFFF" w:themeFill="background1"/>
        <w:rPr>
          <w:rFonts w:cs="Arial"/>
          <w:b/>
          <w:sz w:val="20"/>
          <w:szCs w:val="20"/>
        </w:rPr>
      </w:pPr>
      <w:r w:rsidRPr="00215B2F">
        <w:rPr>
          <w:rFonts w:cs="Arial"/>
          <w:sz w:val="20"/>
          <w:szCs w:val="20"/>
        </w:rPr>
        <w:t>V primerjavi z ZBan-</w:t>
      </w:r>
      <w:r w:rsidR="003A2111" w:rsidRPr="00215B2F">
        <w:rPr>
          <w:rFonts w:cs="Arial"/>
          <w:sz w:val="20"/>
          <w:szCs w:val="20"/>
        </w:rPr>
        <w:t>3</w:t>
      </w:r>
      <w:r w:rsidRPr="00215B2F">
        <w:rPr>
          <w:rFonts w:cs="Arial"/>
          <w:sz w:val="20"/>
          <w:szCs w:val="20"/>
        </w:rPr>
        <w:t xml:space="preserve"> (189. člen) ni vsebinskih sprememb. Banka mora oblikovati politike prejemkov, ki vključujejo celotne prejemke in upoštevajo velikost, organiziranost ter naravo in obseg dejavnosti banke. Politike zajemajo plače in diskrecijske pokojninske ugodnosti za zaposlene, ki pomembno vplivajo na tveganost banke, zlasti člane uprave, višje vodstvo, vodstvo notranjih kontrol ter druge pomembne zaposlene z visokimi prejemki. Prejemki vključujejo vse oblike finančnih in nefinančnih plačil, ki jih zaposleni prejmejo na podlagi pogodb. Nadzorni svet mora redno pregledovati ustreznost politik, uprava pa vsaj enkrat letno zagotovi neodvisni pregled skladnosti dejanskih prejemkov s politiko. Banka Slovenije zbira in primerja podatke o prejemkih, vključno z razlikami med spoloma, ter pošlje informacije Evropskemu bančnemu organu. Poleg tega zbira podatke o zaposlenih z letnimi prejemki nad milijon evrov in jih pošlje za objavo zbirnih podatkov o plačah v bankah v Sloveniji. S členom se prenašata 75. in 92. člen CRD, določba pa se nanaša na politiko prejemkov. </w:t>
      </w:r>
    </w:p>
    <w:p w14:paraId="74A1D1D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EFCDCE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_Ref202965043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221</w:t>
      </w:r>
      <w:r w:rsidRPr="00215B2F">
        <w:rPr>
          <w:rFonts w:ascii="Arial" w:hAnsi="Arial" w:cs="Arial"/>
          <w:b/>
          <w:bCs/>
          <w:sz w:val="20"/>
          <w:szCs w:val="20"/>
        </w:rPr>
        <w:fldChar w:fldCharType="end"/>
      </w:r>
      <w:r w:rsidRPr="00215B2F">
        <w:rPr>
          <w:rFonts w:ascii="Arial" w:hAnsi="Arial" w:cs="Arial"/>
          <w:b/>
          <w:bCs/>
          <w:sz w:val="20"/>
          <w:szCs w:val="20"/>
        </w:rPr>
        <w:t>. členu (veljavni 190. člen ZBan-3)</w:t>
      </w:r>
    </w:p>
    <w:p w14:paraId="45B29C99"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702E72F8" w14:textId="77777777"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bCs/>
          <w:sz w:val="20"/>
          <w:szCs w:val="20"/>
        </w:rPr>
        <w:t xml:space="preserve">ZBan-3 (190. člen) določa, da banka pri določanju politike prejemkov zagotavlja spodbujanje preudarnega nadzora nad tveganji, spolno nevtralnost ter usklajenost s poslovno strategijo in vrednotami, pri čemer ločuje fiksni del prejemkov od variabilnega, ki temelji na uspešnosti posameznika, enote in banke ter ki ne sme presegati 100 % fiksnega dela. Vsaj polovica variabilnega prejemka je v delnicah z zadržanim prenosom, najmanj 40 % je odloženih za 4–5 let, izplačila pa so odvisna od finančne vzdržnosti in uspešnosti ter lahko vključujejo zmanjšanja ali vračila ob neprimernem ravnanju. Politika vključuje tudi omejitve pri zavarovanju prejemkov, prilagoditve ob prekinitvi zaposlitve, upošteva velikost banke ter zakonske omejitve za državne banke, pri čemer nekatere določbe ne veljajo za manjše banke ali zaposlene z nizkimi variabilnimi prejemki. Gre za prenos </w:t>
      </w:r>
      <w:r w:rsidRPr="00215B2F">
        <w:rPr>
          <w:rFonts w:cs="Arial"/>
          <w:sz w:val="20"/>
          <w:szCs w:val="20"/>
        </w:rPr>
        <w:t>92. in 94. člena CRD, določba pa se nanaša na temeljna načela za določanje politike in praks glede prejemkov.</w:t>
      </w:r>
    </w:p>
    <w:p w14:paraId="40FD88AF" w14:textId="77777777" w:rsidR="0010347E" w:rsidRPr="00215B2F" w:rsidRDefault="0010347E" w:rsidP="0010347E">
      <w:pPr>
        <w:pStyle w:val="len"/>
        <w:shd w:val="clear" w:color="auto" w:fill="FFFFFF" w:themeFill="background1"/>
        <w:spacing w:before="0"/>
        <w:jc w:val="both"/>
        <w:rPr>
          <w:b w:val="0"/>
          <w:sz w:val="20"/>
          <w:szCs w:val="20"/>
        </w:rPr>
      </w:pPr>
    </w:p>
    <w:p w14:paraId="59716D53" w14:textId="0DEE78BB"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S predlogom zakona se (glede na 190. člen ZBan-3) vsebina določbe prilagajo prenosu 94. člena CRD: (i) dikcija »kontrolne funkcije« se nadomešča s »funkcij</w:t>
      </w:r>
      <w:r w:rsidR="003A2111" w:rsidRPr="00215B2F">
        <w:rPr>
          <w:rFonts w:cs="Arial"/>
          <w:sz w:val="20"/>
          <w:szCs w:val="20"/>
        </w:rPr>
        <w:t>e</w:t>
      </w:r>
      <w:r w:rsidRPr="00215B2F">
        <w:rPr>
          <w:rFonts w:cs="Arial"/>
          <w:sz w:val="20"/>
          <w:szCs w:val="20"/>
        </w:rPr>
        <w:t xml:space="preserve"> notranje kontrole«, (ii) </w:t>
      </w:r>
      <w:r w:rsidRPr="00215B2F">
        <w:rPr>
          <w:rFonts w:eastAsia="Arial" w:cs="Arial"/>
          <w:sz w:val="20"/>
          <w:szCs w:val="20"/>
        </w:rPr>
        <w:t>banka pri določanju variabilnega prejemka opredeljenih zaposlenih upošteva tudi variabilni del prejemka, ki mora temeljiti na kombinaciji ocene uspešnosti posameznika in njegove poslovno-organizacijske enote ter splošnega poslovnega rezultata banke, pri čemer se pri ocenjevanju uspešnosti posameznika upoštevajo finančna in nefinančna merila.</w:t>
      </w:r>
    </w:p>
    <w:p w14:paraId="6F7BFB7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26BF1A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_Ref202965062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222</w:t>
      </w:r>
      <w:r w:rsidRPr="00215B2F">
        <w:rPr>
          <w:rFonts w:ascii="Arial" w:hAnsi="Arial" w:cs="Arial"/>
          <w:b/>
          <w:bCs/>
          <w:sz w:val="20"/>
          <w:szCs w:val="20"/>
        </w:rPr>
        <w:fldChar w:fldCharType="end"/>
      </w:r>
      <w:r w:rsidRPr="00215B2F">
        <w:rPr>
          <w:rFonts w:ascii="Arial" w:hAnsi="Arial" w:cs="Arial"/>
          <w:b/>
          <w:bCs/>
          <w:sz w:val="20"/>
          <w:szCs w:val="20"/>
        </w:rPr>
        <w:t>. členu (veljavni 191. člen ZBan-3)</w:t>
      </w:r>
    </w:p>
    <w:p w14:paraId="02228EA1"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02C66CBE" w14:textId="77777777" w:rsidR="0010347E" w:rsidRPr="00215B2F" w:rsidRDefault="0010347E" w:rsidP="0010347E">
      <w:pPr>
        <w:pStyle w:val="tevilnatoka"/>
        <w:numPr>
          <w:ilvl w:val="0"/>
          <w:numId w:val="0"/>
        </w:numPr>
        <w:shd w:val="clear" w:color="auto" w:fill="FFFFFF" w:themeFill="background1"/>
        <w:rPr>
          <w:rFonts w:cs="Arial"/>
          <w:sz w:val="20"/>
          <w:szCs w:val="20"/>
        </w:rPr>
      </w:pPr>
      <w:r w:rsidRPr="00215B2F">
        <w:rPr>
          <w:rFonts w:cs="Arial"/>
          <w:sz w:val="20"/>
          <w:szCs w:val="20"/>
        </w:rPr>
        <w:t>V primerjavi z ZBan-3 (191. člen) ni vsebinskih sprememb. S členom se prenaša 93. člen CRD in določajo prejemki v bankah, ki jim je dodeljena izredna javnofinančna pomoč. Banke, ki so prejele izredno javnofinančno pomoč v skladu s pravili Evropske unije o državnih pomočeh, morajo politiko in prakse prejemkov ustrezno prilagoditi tako, da ustrezajo varnemu in zanesljivemu upravljanju tveganj banke.</w:t>
      </w:r>
    </w:p>
    <w:p w14:paraId="11466C9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5C1B31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_Ref202965073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223</w:t>
      </w:r>
      <w:r w:rsidRPr="00215B2F">
        <w:rPr>
          <w:rFonts w:ascii="Arial" w:hAnsi="Arial" w:cs="Arial"/>
          <w:b/>
          <w:bCs/>
          <w:sz w:val="20"/>
          <w:szCs w:val="20"/>
        </w:rPr>
        <w:fldChar w:fldCharType="end"/>
      </w:r>
      <w:r w:rsidRPr="00215B2F">
        <w:rPr>
          <w:rFonts w:ascii="Arial" w:hAnsi="Arial" w:cs="Arial"/>
          <w:b/>
          <w:bCs/>
          <w:sz w:val="20"/>
          <w:szCs w:val="20"/>
        </w:rPr>
        <w:t>. členu (veljavni 192. člen ZBan-3)</w:t>
      </w:r>
    </w:p>
    <w:p w14:paraId="02FF89BC"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2053AA8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Vsebino namena in obseg nadzorniškega pregledovanja in ovrednotenja tveganj že ureja veljavni 192. člen ZBan-3. Gre za prenos tretjega odstavka 97. člena CRD.</w:t>
      </w:r>
    </w:p>
    <w:p w14:paraId="44C267A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10F0AEB" w14:textId="77777777" w:rsidR="0010347E" w:rsidRPr="00215B2F" w:rsidRDefault="0010347E" w:rsidP="0010347E">
      <w:pPr>
        <w:shd w:val="clear" w:color="auto" w:fill="FFFFFF" w:themeFill="background1"/>
        <w:spacing w:after="0" w:line="240" w:lineRule="auto"/>
        <w:jc w:val="both"/>
        <w:rPr>
          <w:rFonts w:ascii="Arial" w:hAnsi="Arial" w:cs="Arial"/>
        </w:rPr>
      </w:pPr>
      <w:r w:rsidRPr="00215B2F">
        <w:rPr>
          <w:rFonts w:ascii="Arial" w:hAnsi="Arial" w:cs="Arial"/>
          <w:sz w:val="20"/>
          <w:szCs w:val="20"/>
        </w:rPr>
        <w:t>S predlogom zakona se je vsebina člena vsebinsko nadgradila s prenosom CRD. Banka Slovenije kot pristojni nadzorni organ v skladu z Uredbo 1024/2013/EU nadzira banke z ocenami njihove notranje ureditve, kapitala, likvidnosti in izpostavljenosti tveganjem, vključno s stresnimi testi in digitalno odpornostjo, ter prilagaja nadzorne postopke glede na velikost, pomen in kompleksnost posamezne banke. Pregledovanje izvaja vsaj enkrat letno, uporablja prilagojene metodologije glede na profil tveganj bank ter o svojih ugotovitvah in metodah obvešča Evropski bančni organ. Ob sumih ali ugotovitvah pranja denarja ali financiranja terorizma Banka Slovenije takoj obvesti pristojne organe v Sloveniji in EU ter sprejme ustrezne ukrepe za zagotavljanje skladnosti in preprečevanje teh tveganj.</w:t>
      </w:r>
    </w:p>
    <w:p w14:paraId="6922BB6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47B423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_Ref202965085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224</w:t>
      </w:r>
      <w:r w:rsidRPr="00215B2F">
        <w:rPr>
          <w:rFonts w:ascii="Arial" w:hAnsi="Arial" w:cs="Arial"/>
          <w:b/>
          <w:bCs/>
          <w:sz w:val="20"/>
          <w:szCs w:val="20"/>
        </w:rPr>
        <w:fldChar w:fldCharType="end"/>
      </w:r>
      <w:r w:rsidRPr="00215B2F">
        <w:rPr>
          <w:rFonts w:ascii="Arial" w:hAnsi="Arial" w:cs="Arial"/>
          <w:b/>
          <w:bCs/>
          <w:sz w:val="20"/>
          <w:szCs w:val="20"/>
        </w:rPr>
        <w:t>. členu (veljavni 193. člen ZBan-3)</w:t>
      </w:r>
    </w:p>
    <w:p w14:paraId="37A7365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4DD11E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ZBan-3 (193. člen) določa, da Banka Slovenije pri nadzorniškem pregledovanju in ovrednotenju tveganj poleg kreditnega, tržnega in operativnega tveganja upošteva tudi rezultate stresnih testov bank z notranjimi bonitetnimi ocenami, izpostavljenost tveganju koncentracije ter upravljanje tega tveganja, stabilnost in ustreznost politik za upravljanje preostalega kreditnega tveganja skupaj s tehnikami za njegovo zmanjšanje ter ustreznost kapitala glede na listinjena sredstva in ekonomsko vsebino poslov. Poleg tega ocenjuje izpostavljenost likvidnostnemu tveganju, njegovo merjenje in obvladovanje vključno z načrti neprekinjenega poslovanja, vpliv učinkov razpršitve tveganj na sistem merjenja tveganja, rezultate stresnih testov za tržno tveganje po notranjem modelu, geografsko lokacijo izpostavljenosti banke ter njen poslovni model. Gre za prenos 98. člena CRD. </w:t>
      </w:r>
    </w:p>
    <w:p w14:paraId="5004CAB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2E2D694" w14:textId="77777777"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sz w:val="20"/>
          <w:szCs w:val="20"/>
        </w:rPr>
        <w:t xml:space="preserve">S predlogom zakona se (glede na ZBan-3) dodaja nova 10. točka, s katero se določa, da </w:t>
      </w:r>
      <w:r w:rsidRPr="00215B2F">
        <w:rPr>
          <w:rFonts w:eastAsia="Arial" w:cs="Arial"/>
          <w:sz w:val="20"/>
          <w:szCs w:val="20"/>
        </w:rPr>
        <w:t>Banka Slovenije pri nadzorniškem pregledovanju in ovrednotenju upošteva tudi, v kolikšni meri je banka vzpostavila ustrezne politike in operativne ukrepe, povezane z merljivimi cilji in mejniki. Gre za prenos 98. člena CRD5 (prvi odstavek – točka k).</w:t>
      </w:r>
    </w:p>
    <w:p w14:paraId="334ED9C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304DA30"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_Ref203484439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225</w:t>
      </w:r>
      <w:r w:rsidRPr="00215B2F">
        <w:rPr>
          <w:rFonts w:cs="Arial"/>
          <w:b/>
          <w:bCs/>
          <w:sz w:val="20"/>
          <w:szCs w:val="20"/>
        </w:rPr>
        <w:fldChar w:fldCharType="end"/>
      </w:r>
      <w:r w:rsidRPr="00215B2F">
        <w:rPr>
          <w:rFonts w:cs="Arial"/>
          <w:b/>
          <w:bCs/>
          <w:sz w:val="20"/>
          <w:szCs w:val="20"/>
        </w:rPr>
        <w:t>. členu (veljavni 194. člen ZBan-3)</w:t>
      </w:r>
    </w:p>
    <w:p w14:paraId="1C33672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B09765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(194. člen) ni vsebinskih sprememb. </w:t>
      </w:r>
      <w:r w:rsidRPr="00215B2F">
        <w:rPr>
          <w:rFonts w:eastAsia="Arial" w:cs="Arial"/>
          <w:sz w:val="20"/>
          <w:szCs w:val="20"/>
        </w:rPr>
        <w:t xml:space="preserve">Banka Slovenije v okviru ocenjevanja likvidnostnega tveganja banke redno in celovito preverja strategije, politike in postopke za upravljanje likvidnostnega tveganja v banki ter spodbuja razvoj zanesljivih notranjih metodologij v banki, ki upoštevajo pomen in vlogo banke za finančni sistem. </w:t>
      </w:r>
      <w:r w:rsidRPr="00215B2F">
        <w:rPr>
          <w:rFonts w:cs="Arial"/>
          <w:sz w:val="20"/>
          <w:szCs w:val="20"/>
        </w:rPr>
        <w:t xml:space="preserve">Gre za prenos 98. člena CRD. </w:t>
      </w:r>
    </w:p>
    <w:p w14:paraId="350D0D3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0C1DB44"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_Ref203484444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226</w:t>
      </w:r>
      <w:r w:rsidRPr="00215B2F">
        <w:rPr>
          <w:rFonts w:cs="Arial"/>
          <w:b/>
          <w:bCs/>
          <w:sz w:val="20"/>
          <w:szCs w:val="20"/>
        </w:rPr>
        <w:fldChar w:fldCharType="end"/>
      </w:r>
      <w:r w:rsidRPr="00215B2F">
        <w:rPr>
          <w:rFonts w:cs="Arial"/>
          <w:b/>
          <w:bCs/>
          <w:sz w:val="20"/>
          <w:szCs w:val="20"/>
        </w:rPr>
        <w:t>. členu (veljavni 195. člen ZBan-3)</w:t>
      </w:r>
    </w:p>
    <w:p w14:paraId="38058E1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8286EF4"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(195. člen) ni vsebinskih sprememb.</w:t>
      </w:r>
      <w:r w:rsidRPr="00215B2F">
        <w:rPr>
          <w:rFonts w:eastAsia="Arial" w:cs="Arial"/>
          <w:sz w:val="20"/>
          <w:szCs w:val="20"/>
        </w:rPr>
        <w:t xml:space="preserve"> Banka Slovenije v okviru ocenjevanja tveganj, povezanih z listinjenjem, redno preverja in ocenjuje zlasti, ali banka zagotavlja posredno podporo pri listinjenju. </w:t>
      </w:r>
      <w:r w:rsidRPr="00215B2F">
        <w:rPr>
          <w:rFonts w:cs="Arial"/>
          <w:sz w:val="20"/>
          <w:szCs w:val="20"/>
        </w:rPr>
        <w:t xml:space="preserve">Gre za prenos 98. člena CRD. </w:t>
      </w:r>
    </w:p>
    <w:p w14:paraId="523570B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732E44A"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_Ref203484448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227</w:t>
      </w:r>
      <w:r w:rsidRPr="00215B2F">
        <w:rPr>
          <w:rFonts w:cs="Arial"/>
          <w:b/>
          <w:bCs/>
          <w:sz w:val="20"/>
          <w:szCs w:val="20"/>
        </w:rPr>
        <w:fldChar w:fldCharType="end"/>
      </w:r>
      <w:r w:rsidRPr="00215B2F">
        <w:rPr>
          <w:rFonts w:cs="Arial"/>
          <w:b/>
          <w:bCs/>
          <w:sz w:val="20"/>
          <w:szCs w:val="20"/>
        </w:rPr>
        <w:t>. členu (veljavni 196. člen ZBan-3)</w:t>
      </w:r>
    </w:p>
    <w:p w14:paraId="266CDEB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9A9320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(196. člen) ni vsebinskih sprememb. Banka Slovenije redno preverja, ali prilagoditve vrednotenja pozicij v trgovalni knjigi banki omogočajo hitro prodajo ali varovanje brez večjih izgub v običajnih tržnih razmerah. Ocenjuje tudi izpostavljenost banke tveganju spremembe obrestne mere iz netrgovalne knjige in lahko naloži ukrepe za upravljanje tega tveganja, če se ekonomska vrednost kapitala zmanjša za več kot 15 % temeljnega kapitala zaradi nepričakovanih obrestnih sprememb ali če neto prihodki od obresti znatno upadejo. Ustrezni ukrepi lahko vključujejo dodatne ukrepe ali prilagoditve modelskih predpostavk, vendar Banka Slovenije ukrepov ne zahteva, če oceni, da banka tveganje ustrezno obvladuje in ni čezmerno izpostavljena. Gre za prenos 98. člena CRD. </w:t>
      </w:r>
    </w:p>
    <w:p w14:paraId="2AF01F3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8E95192"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_Ref203484451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228</w:t>
      </w:r>
      <w:r w:rsidRPr="00215B2F">
        <w:rPr>
          <w:rFonts w:cs="Arial"/>
          <w:b/>
          <w:bCs/>
          <w:sz w:val="20"/>
          <w:szCs w:val="20"/>
        </w:rPr>
        <w:fldChar w:fldCharType="end"/>
      </w:r>
      <w:r w:rsidRPr="00215B2F">
        <w:rPr>
          <w:rFonts w:cs="Arial"/>
          <w:b/>
          <w:bCs/>
          <w:sz w:val="20"/>
          <w:szCs w:val="20"/>
        </w:rPr>
        <w:t>. členu (veljavni 197. člen ZBan-3)</w:t>
      </w:r>
    </w:p>
    <w:p w14:paraId="09EB45C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1E0A0D0"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(197. člen) ni vsebinskih sprememb. Banka Slovenije pri ocenjevanju tveganja prevelikega finančnega vzvoda banke preverja izpostavljenosti glede na kazalnike in količnik finančnega </w:t>
      </w:r>
      <w:r w:rsidRPr="00215B2F">
        <w:rPr>
          <w:rFonts w:cs="Arial"/>
          <w:sz w:val="20"/>
          <w:szCs w:val="20"/>
        </w:rPr>
        <w:lastRenderedPageBreak/>
        <w:t xml:space="preserve">vzvoda po določilih Uredbe 575/2013/EU. Pri tem upošteva tudi poslovni model banke, da oceni ustreznost količnika ter učinkovitost strategij, postopkov in mehanizmov za upravljanje tega tveganja. Gre za prenos 98. člena CRD. </w:t>
      </w:r>
    </w:p>
    <w:p w14:paraId="418603E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D50CBE6"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_Ref203484455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229</w:t>
      </w:r>
      <w:r w:rsidRPr="00215B2F">
        <w:rPr>
          <w:rFonts w:cs="Arial"/>
          <w:b/>
          <w:bCs/>
          <w:sz w:val="20"/>
          <w:szCs w:val="20"/>
        </w:rPr>
        <w:fldChar w:fldCharType="end"/>
      </w:r>
      <w:r w:rsidRPr="00215B2F">
        <w:rPr>
          <w:rFonts w:cs="Arial"/>
          <w:b/>
          <w:bCs/>
          <w:sz w:val="20"/>
          <w:szCs w:val="20"/>
        </w:rPr>
        <w:t>. členu (veljavni 198. člen ZBan-3)</w:t>
      </w:r>
    </w:p>
    <w:p w14:paraId="2FAB109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0A963F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(198. člen) ni vsebinskih sprememb. Banka Slovenije pregleduje in ocenjuje ustreznost notranjega upravljanja banke, njeno korporativno kulturo, vrednote ter usposobljenost članov upravljalnega organa za njihove naloge. Pri tem lahko kadar koli zahteva dokumentacijo, kot so dnevni redi, zapisniki sestankov upravljalnega organa ali njegovih komisij, ter rezultate notranjih ali zunanjih ocenitev njihove uspešnosti. Gre za prenos 98. člena CRD. </w:t>
      </w:r>
    </w:p>
    <w:p w14:paraId="0D6D3AD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277662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_Ref202965110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230</w:t>
      </w:r>
      <w:r w:rsidRPr="00215B2F">
        <w:rPr>
          <w:rFonts w:ascii="Arial" w:hAnsi="Arial" w:cs="Arial"/>
          <w:b/>
          <w:bCs/>
          <w:sz w:val="20"/>
          <w:szCs w:val="20"/>
        </w:rPr>
        <w:fldChar w:fldCharType="end"/>
      </w:r>
      <w:r w:rsidRPr="00215B2F">
        <w:rPr>
          <w:rFonts w:ascii="Arial" w:hAnsi="Arial" w:cs="Arial"/>
          <w:b/>
          <w:bCs/>
          <w:sz w:val="20"/>
          <w:szCs w:val="20"/>
        </w:rPr>
        <w:t>. členu</w:t>
      </w:r>
    </w:p>
    <w:p w14:paraId="2997DA4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19D173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banki izda nadzorniško pismo o ugotovitvah nadzorniškega pregledovanja in ovrednotenja tveganj, ki niso vključene v odločbo o dodatni kapitalski zahtevi ali o dodatno potrebnem kapitalu. </w:t>
      </w:r>
    </w:p>
    <w:p w14:paraId="4290F29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DB6B776" w14:textId="779BFEB0" w:rsidR="0010347E" w:rsidRPr="00215B2F" w:rsidRDefault="0010347E" w:rsidP="0010347E">
      <w:pPr>
        <w:pStyle w:val="Pripombabesedilo"/>
        <w:shd w:val="clear" w:color="auto" w:fill="FFFFFF" w:themeFill="background1"/>
        <w:jc w:val="both"/>
        <w:rPr>
          <w:rFonts w:ascii="Arial" w:hAnsi="Arial" w:cs="Arial"/>
        </w:rPr>
      </w:pPr>
      <w:r w:rsidRPr="00215B2F">
        <w:rPr>
          <w:rFonts w:ascii="Arial" w:hAnsi="Arial" w:cs="Arial"/>
        </w:rPr>
        <w:t xml:space="preserve">Postopek nadzorniškega pregledovanja in ovrednotenja tveganj (SREP) poleg kapitalskih zahtev (kvantitativne zahteve) za drugi steber, ki jih Banka Slovenije izda v okviru odločbe o dodatni kapitalski zahtevi, vključuje tudi kvalitativne zahteve/priporočila, ki jih Banka Slovenije predloži v okviru nadzorniškega pisma. Gre za ustaljeno nadzorniško prakso, ki se ji dodaja ustrezna pravna podlaga. Smiselno enako izhaja tudi </w:t>
      </w:r>
      <w:r w:rsidR="003A2111" w:rsidRPr="00215B2F">
        <w:rPr>
          <w:rFonts w:ascii="Arial" w:hAnsi="Arial" w:cs="Arial"/>
        </w:rPr>
        <w:t xml:space="preserve">iz </w:t>
      </w:r>
      <w:r w:rsidRPr="00215B2F">
        <w:rPr>
          <w:rFonts w:ascii="Arial" w:hAnsi="Arial" w:cs="Arial"/>
        </w:rPr>
        <w:t>opisa iz metodologije SREP na spletni strani ECB (</w:t>
      </w:r>
      <w:hyperlink r:id="rId27" w:history="1">
        <w:r w:rsidRPr="00215B2F">
          <w:rPr>
            <w:rStyle w:val="Hiperpovezava"/>
            <w:rFonts w:ascii="Arial" w:hAnsi="Arial" w:cs="Arial"/>
            <w:b w:val="0"/>
            <w:bCs/>
            <w:i/>
            <w:color w:val="auto"/>
          </w:rPr>
          <w:t>Supervisory methodology</w:t>
        </w:r>
        <w:r w:rsidRPr="00215B2F">
          <w:rPr>
            <w:rStyle w:val="Hiperpovezava"/>
            <w:rFonts w:ascii="Arial" w:hAnsi="Arial" w:cs="Arial"/>
            <w:b w:val="0"/>
            <w:bCs/>
            <w:color w:val="auto"/>
          </w:rPr>
          <w:t xml:space="preserve"> (europa.eu)</w:t>
        </w:r>
      </w:hyperlink>
      <w:r w:rsidRPr="00215B2F">
        <w:rPr>
          <w:rFonts w:ascii="Arial" w:hAnsi="Arial" w:cs="Arial"/>
        </w:rPr>
        <w:t>) in smernic EBA o skupnih postopkih in metodologijah za postopek nadzorniškega pregledovanja in ovrednotenja (SREP) ter o nadzorniškem stresnem testiranju (ECB/GL/2022/03).</w:t>
      </w:r>
    </w:p>
    <w:p w14:paraId="75A8FD5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F0BB36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_Ref202965120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231</w:t>
      </w:r>
      <w:r w:rsidRPr="00215B2F">
        <w:rPr>
          <w:rFonts w:ascii="Arial" w:hAnsi="Arial" w:cs="Arial"/>
          <w:b/>
          <w:bCs/>
          <w:sz w:val="20"/>
          <w:szCs w:val="20"/>
        </w:rPr>
        <w:fldChar w:fldCharType="end"/>
      </w:r>
      <w:r w:rsidRPr="00215B2F">
        <w:rPr>
          <w:rFonts w:ascii="Arial" w:hAnsi="Arial" w:cs="Arial"/>
          <w:b/>
          <w:bCs/>
          <w:sz w:val="20"/>
          <w:szCs w:val="20"/>
        </w:rPr>
        <w:t>. členu</w:t>
      </w:r>
    </w:p>
    <w:p w14:paraId="2EEEEE5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F3AF4D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pregledno ovrednoti postopke upravljanja banke in tveganj v zvezi z ESG tveganji ter izpostavljenost banke tem tveganjem, pri čemer upošteva poslovni model banke in njene načrte. Pri tem ocenjuje tudi napredek bank pri obravnavanju ESG tveganj, prilagajanju podnebni nevtralnosti in izpolnjevanju regulativnih ciljev Unije, usklajuje pa postopke upravljanja ciljev iz teh načrtov. Gre za prenos 98. člena CRD (deveti odstavek). </w:t>
      </w:r>
    </w:p>
    <w:p w14:paraId="33CFEFD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B31D29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_Ref202965133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232</w:t>
      </w:r>
      <w:r w:rsidRPr="00215B2F">
        <w:rPr>
          <w:rFonts w:ascii="Arial" w:hAnsi="Arial" w:cs="Arial"/>
          <w:b/>
          <w:bCs/>
          <w:sz w:val="20"/>
          <w:szCs w:val="20"/>
        </w:rPr>
        <w:fldChar w:fldCharType="end"/>
      </w:r>
      <w:r w:rsidRPr="00215B2F">
        <w:rPr>
          <w:rFonts w:ascii="Arial" w:hAnsi="Arial" w:cs="Arial"/>
          <w:b/>
          <w:bCs/>
          <w:sz w:val="20"/>
          <w:szCs w:val="20"/>
        </w:rPr>
        <w:t>. členu</w:t>
      </w:r>
    </w:p>
    <w:p w14:paraId="5169CF5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3450610"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pregleda in oceni, kako banka upravlja tveganja, povezana z izpostavljenostjo kriptosredstvom in izvajanjem storitev s kriptosredstvi, vključno s preverjanjem politik, postopkov in ustreznosti ocen tveganj. Gre za prenos 98. člena CRD (deseti odstavek).</w:t>
      </w:r>
    </w:p>
    <w:p w14:paraId="6A06878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78924B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_Ref202965138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233</w:t>
      </w:r>
      <w:r w:rsidRPr="00215B2F">
        <w:rPr>
          <w:rFonts w:ascii="Arial" w:hAnsi="Arial" w:cs="Arial"/>
          <w:b/>
          <w:bCs/>
          <w:sz w:val="20"/>
          <w:szCs w:val="20"/>
        </w:rPr>
        <w:fldChar w:fldCharType="end"/>
      </w:r>
      <w:r w:rsidRPr="00215B2F">
        <w:rPr>
          <w:rFonts w:ascii="Arial" w:hAnsi="Arial" w:cs="Arial"/>
          <w:b/>
          <w:bCs/>
          <w:sz w:val="20"/>
          <w:szCs w:val="20"/>
        </w:rPr>
        <w:t>. členu</w:t>
      </w:r>
    </w:p>
    <w:p w14:paraId="0352A447"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1474EDD2" w14:textId="77777777"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bCs/>
          <w:sz w:val="20"/>
          <w:szCs w:val="20"/>
        </w:rPr>
        <w:t xml:space="preserve">Banka Slovenije, kadar je odgovorna po Uredbi 1024/2013/EU, vsaj enkrat letno izvaja stresne teste kot del ocenjevanja tveganj bank. Banke in svetovalci pri teh testih morajo preprečiti dejavnosti, ki bi lahko zmanjšale zanesljivost testov, kot je usklajevanje ali izmenjava informacij. Banka Slovenije ima pooblastila za zbiranje informacij in preiskave, da odkriva takšne neprimerne dejavnosti. Gre za prenos 100. člena CRD (deseti odstavek). </w:t>
      </w:r>
    </w:p>
    <w:p w14:paraId="64D44357" w14:textId="77777777" w:rsidR="0010347E" w:rsidRPr="00215B2F" w:rsidRDefault="0010347E" w:rsidP="0010347E">
      <w:pPr>
        <w:pStyle w:val="tevilnatoka"/>
        <w:numPr>
          <w:ilvl w:val="0"/>
          <w:numId w:val="0"/>
        </w:numPr>
        <w:shd w:val="clear" w:color="auto" w:fill="FFFFFF" w:themeFill="background1"/>
        <w:rPr>
          <w:rFonts w:cs="Arial"/>
          <w:bCs/>
          <w:sz w:val="20"/>
          <w:szCs w:val="20"/>
        </w:rPr>
      </w:pPr>
    </w:p>
    <w:p w14:paraId="3E285E56" w14:textId="77777777"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bCs/>
          <w:sz w:val="20"/>
          <w:szCs w:val="20"/>
        </w:rPr>
        <w:t xml:space="preserve">V zvezi z določbo, da lahko </w:t>
      </w:r>
      <w:r w:rsidRPr="00215B2F">
        <w:rPr>
          <w:rFonts w:eastAsia="Arial" w:cs="Arial"/>
          <w:bCs/>
          <w:sz w:val="20"/>
          <w:szCs w:val="20"/>
        </w:rPr>
        <w:t xml:space="preserve">Banka Slovenije za odkrivanje dejavnosti do banke ali tretje osebe uporabi vsa pooblastila za zbiranje informacij in preiskovalna pooblastila, ki jih ima v skladu s tem zakonom, velja dodatno pojasniti, da </w:t>
      </w:r>
      <w:r w:rsidRPr="00215B2F">
        <w:rPr>
          <w:rFonts w:cs="Arial"/>
          <w:sz w:val="20"/>
          <w:szCs w:val="20"/>
        </w:rPr>
        <w:t>gre zlasti za zahteve za poročila ali da izvede pregled poslovanja.</w:t>
      </w:r>
    </w:p>
    <w:p w14:paraId="2DB7DB24"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015EBC0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_Ref202965150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234</w:t>
      </w:r>
      <w:r w:rsidRPr="00215B2F">
        <w:rPr>
          <w:rFonts w:ascii="Arial" w:hAnsi="Arial" w:cs="Arial"/>
          <w:b/>
          <w:bCs/>
          <w:sz w:val="20"/>
          <w:szCs w:val="20"/>
        </w:rPr>
        <w:fldChar w:fldCharType="end"/>
      </w:r>
      <w:r w:rsidRPr="00215B2F">
        <w:rPr>
          <w:rFonts w:ascii="Arial" w:hAnsi="Arial" w:cs="Arial"/>
          <w:b/>
          <w:bCs/>
          <w:sz w:val="20"/>
          <w:szCs w:val="20"/>
        </w:rPr>
        <w:t>. členu (veljavni 199. člen ZBan-3)</w:t>
      </w:r>
    </w:p>
    <w:p w14:paraId="2A5F80F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CE2DD85" w14:textId="09381195"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Vsebino poročanja o pristopih za izračunavanje kapitalskih zahtev že ureja veljavni 199. člen ZBan-3. S predlogom zakona se je vsebina člena vsebinsko nadgradila zaradi prenosa 78. člena CRD (prvi odstavek). Banke morajo vsaj enkrat letno predložiti Banki Slovenije rezultate izračunov tveganih izpostavljenosti in kapitalskih zahtev za določene referenčne portfelje, vključno z razlago uporabljenih metodologij ter dodatnimi kvalitativnimi informacijami, ki jih zahteva EBA. To velja za banke z </w:t>
      </w:r>
      <w:r w:rsidRPr="00215B2F">
        <w:rPr>
          <w:rFonts w:ascii="Arial" w:hAnsi="Arial" w:cs="Arial"/>
          <w:sz w:val="20"/>
          <w:szCs w:val="20"/>
        </w:rPr>
        <w:lastRenderedPageBreak/>
        <w:t>dovoljenjem za notranje pristope, za tiste, ki uporabljajo alternativni standardizirani pristop ob določenem obsegu tržnega tveganja, in za banke, ki izračunavajo pričakovane kreditne izgube. Banka Slovenije lahko določi tudi dodatne referenčne portfelje za poročanje, o čemer se predhodno posvetuje z Evropskim bančnim organom, pri čemer morajo biti poročila za te dodatne portfelje ločena od osnovnih.</w:t>
      </w:r>
    </w:p>
    <w:p w14:paraId="1659043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0042382" w14:textId="5E4712FF"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zvezi s točko c) prvega odstavka velja dodatno pojasniti, da je v 102. členu ZBan-3 (oziroma smiselni prilagoditvi v okviru </w:t>
      </w:r>
      <w:r w:rsidR="00054679" w:rsidRPr="00215B2F">
        <w:rPr>
          <w:rFonts w:cs="Arial"/>
          <w:sz w:val="20"/>
          <w:szCs w:val="20"/>
        </w:rPr>
        <w:t>predloga zakona</w:t>
      </w:r>
      <w:r w:rsidRPr="00215B2F">
        <w:rPr>
          <w:rFonts w:cs="Arial"/>
          <w:sz w:val="20"/>
          <w:szCs w:val="20"/>
        </w:rPr>
        <w:t>) določena uporaba MSRP za vse banke, s čimer vse banke izpolnjujejo tudi pogoje iz 78. člena CRD (prvi odstavek, točka c, podtočka i).</w:t>
      </w:r>
    </w:p>
    <w:p w14:paraId="69D33323" w14:textId="77777777" w:rsidR="0010347E" w:rsidRPr="00215B2F" w:rsidRDefault="0010347E" w:rsidP="0010347E">
      <w:pPr>
        <w:pStyle w:val="Odstavek"/>
        <w:shd w:val="clear" w:color="auto" w:fill="FFFFFF" w:themeFill="background1"/>
        <w:spacing w:before="0"/>
        <w:ind w:firstLine="0"/>
        <w:rPr>
          <w:rFonts w:cs="Arial"/>
        </w:rPr>
      </w:pPr>
    </w:p>
    <w:p w14:paraId="665DC684"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_Ref203643898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235</w:t>
      </w:r>
      <w:r w:rsidRPr="00215B2F">
        <w:rPr>
          <w:rFonts w:cs="Arial"/>
          <w:b/>
          <w:bCs/>
          <w:sz w:val="20"/>
          <w:szCs w:val="20"/>
        </w:rPr>
        <w:fldChar w:fldCharType="end"/>
      </w:r>
      <w:r w:rsidRPr="00215B2F">
        <w:rPr>
          <w:rFonts w:cs="Arial"/>
          <w:b/>
          <w:bCs/>
          <w:sz w:val="20"/>
          <w:szCs w:val="20"/>
        </w:rPr>
        <w:t>. členu (veljavni 200. člen ZBan-3)</w:t>
      </w:r>
    </w:p>
    <w:p w14:paraId="3695990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41BC08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Vsebino presoje notranjih pristopov že ureja veljavni 200. člen ZBan-3. S predlogom zakona se je vsebina člena vsebinsko nadgradila zaradi prenosa 78. člena CRD (tretji in peti odstavek). Banka Slovenije na podlagi poročil spremlja in analizira tveganju prilagojene zneske izpostavljenosti oziroma kapitalske zahteve bank v referenčnih portfeljih ter redno izvaja nadzorniško primerjavo, da oceni kakovost pristopov bank, posebej pri velikih razlikah ali sistematični podcenjenosti kapitalskih zahtev. Če so razlike med bankami prevelike ali nepojasnjene, Banka Slovenije zahteva popravke metodologij, pri čemer pri ocenjevanju ne spodbuja standardizacije ali nekritičnega posnemanja notranjih pristopov, da bi ohranila raznolikost in ustreznost uporabljenih metod.</w:t>
      </w:r>
    </w:p>
    <w:p w14:paraId="57B532D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D6B2B8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_Ref202965174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236</w:t>
      </w:r>
      <w:r w:rsidRPr="00215B2F">
        <w:rPr>
          <w:rFonts w:ascii="Arial" w:hAnsi="Arial" w:cs="Arial"/>
          <w:b/>
          <w:bCs/>
          <w:sz w:val="20"/>
          <w:szCs w:val="20"/>
        </w:rPr>
        <w:fldChar w:fldCharType="end"/>
      </w:r>
      <w:r w:rsidRPr="00215B2F">
        <w:rPr>
          <w:rFonts w:ascii="Arial" w:hAnsi="Arial" w:cs="Arial"/>
          <w:b/>
          <w:bCs/>
          <w:sz w:val="20"/>
          <w:szCs w:val="20"/>
        </w:rPr>
        <w:t>. členu (veljavni 201. člen ZBan-3)</w:t>
      </w:r>
    </w:p>
    <w:p w14:paraId="7370DAD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B874D6E"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Vsebino uporabe notranjih pristopov za izračunavanje kapitalskih zahtev že ureja veljavni 201. člen ZBan-3. S predlogom zakona se je vsebina člena vsebinsko nadgradila zaradi prenosa 77. člena CRD (tretji odstavek). Banka Slovenije spodbuja banke, naj pri ocenjevanju kreditne sposobnosti ne uporabljajo zunanjih bonitetnih ocen kot edinega ali samodejnega merila, ampak naj razvijajo notranje zmogljivosti za ocenjevanje kreditnega in tržnega tveganja, zlasti kadar imajo pomembne izpostavljenosti in veliko število nasprotnih strank ali pozicij, ter upošteva velikost, organiziranost in kompleksnost njihove dejavnosti.</w:t>
      </w:r>
    </w:p>
    <w:p w14:paraId="20B2562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49F937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_Ref202965180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237</w:t>
      </w:r>
      <w:r w:rsidRPr="00215B2F">
        <w:rPr>
          <w:rFonts w:ascii="Arial" w:hAnsi="Arial" w:cs="Arial"/>
          <w:b/>
          <w:bCs/>
          <w:sz w:val="20"/>
          <w:szCs w:val="20"/>
        </w:rPr>
        <w:fldChar w:fldCharType="end"/>
      </w:r>
      <w:r w:rsidRPr="00215B2F">
        <w:rPr>
          <w:rFonts w:ascii="Arial" w:hAnsi="Arial" w:cs="Arial"/>
          <w:b/>
          <w:bCs/>
          <w:sz w:val="20"/>
          <w:szCs w:val="20"/>
        </w:rPr>
        <w:t>. členu (veljavni 202. člen ZBan-3)</w:t>
      </w:r>
    </w:p>
    <w:p w14:paraId="28E94E1E"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1966A18E" w14:textId="77777777" w:rsidR="0010347E" w:rsidRPr="00215B2F" w:rsidRDefault="0010347E" w:rsidP="0010347E">
      <w:pPr>
        <w:pStyle w:val="tevilnatoka"/>
        <w:numPr>
          <w:ilvl w:val="0"/>
          <w:numId w:val="0"/>
        </w:numPr>
        <w:shd w:val="clear" w:color="auto" w:fill="FFFFFF" w:themeFill="background1"/>
        <w:rPr>
          <w:rFonts w:cs="Arial"/>
          <w:b/>
          <w:sz w:val="20"/>
          <w:szCs w:val="20"/>
        </w:rPr>
      </w:pPr>
      <w:r w:rsidRPr="00215B2F">
        <w:rPr>
          <w:rFonts w:cs="Arial"/>
          <w:sz w:val="20"/>
          <w:szCs w:val="20"/>
        </w:rPr>
        <w:t>Vsebino rednega preverjanja pogojev za uporabo notranjih pristopov že ureja veljavni 202. člen ZBan-3. S členom se je predhodno prenašal 101. člen CRD. S predlogom zakona se je vsebina četrtega člena vsebinsko nadgradila zaradi prenosa 101. člena CRD (tretji odstavek).</w:t>
      </w:r>
    </w:p>
    <w:p w14:paraId="11507119"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560F7B83" w14:textId="77777777"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bCs/>
          <w:sz w:val="20"/>
          <w:szCs w:val="20"/>
        </w:rPr>
        <w:t>Banka Slovenije vsaj vsaka tri leta preverja, ali banke, ki uporabljajo notranje pristope za izračun kapitalskih zahtev, izpolnjujejo zakonske pogoje in uporabljajo sodobne tehnike, ter zahteva odpravo pomanjkljivosti, vključno z uvedbo višjih kapitalskih pribitkov ali drugih ukrepov. Če notranji modeli za tržno tveganje niso natančni, zahteva takojšnje izboljšave. Če banka ne izpolnjuje zahtev, mora dokazati, da neskladnost ni pomembna, ali predložiti načrt za odpravo neskladnosti. Banka Slovenije lahko odvzame ali omeji dovoljenje za uporabo notranjih pristopov, če banka ne zagotovi skladnosti v ustreznem roku.</w:t>
      </w:r>
    </w:p>
    <w:p w14:paraId="2B02299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D02F10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_Ref202965188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238</w:t>
      </w:r>
      <w:r w:rsidRPr="00215B2F">
        <w:rPr>
          <w:rFonts w:ascii="Arial" w:hAnsi="Arial" w:cs="Arial"/>
          <w:b/>
          <w:bCs/>
          <w:sz w:val="20"/>
          <w:szCs w:val="20"/>
        </w:rPr>
        <w:fldChar w:fldCharType="end"/>
      </w:r>
      <w:r w:rsidRPr="00215B2F">
        <w:rPr>
          <w:rFonts w:ascii="Arial" w:hAnsi="Arial" w:cs="Arial"/>
          <w:b/>
          <w:bCs/>
          <w:sz w:val="20"/>
          <w:szCs w:val="20"/>
        </w:rPr>
        <w:t>. členu (veljavni 203. člen ZBan-3)</w:t>
      </w:r>
    </w:p>
    <w:p w14:paraId="44E6867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AC08D84"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ZBan-3 (203. člen) določa, da lahko Banka Slovenije naloži banki dodatno kapitalsko zahtevo za tveganja, ki niso zadostno pokrita s standardnimi kapitalskimi zahtevami, če ugotovi pomanjkljivosti v upravljanju tveganj, notranjem upravljanju, vrednotenju tveganj ali skladnosti banke. Pri tem oceni specifična tveganja banke, vključno s podcenjenimi tveganji in tveganjem spremembe obrestne mere iz netrgovalne knjige. Dodatni kapital mora banka zagotavljati predvsem iz temeljnega kapitala, z določenimi minimalnimi deleži navadnega lastniškega kapitala. Banka ne sme uporabljati tega kapitala za pokrivanje drugih kapitalskih zahtev ali blažilnikov. Banka Slovenije lahko zahteva tudi strožje pogoje glede sestave kapitala glede na posebne okoliščine banke. Gre za prenos 104.a člena CRD. </w:t>
      </w:r>
    </w:p>
    <w:p w14:paraId="2801F37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DE524DE"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S predlogom zakona se dodatno določa, da če banka postane zavezana spoštovati izstopni prag iz 92. člena Uredbe 575/2013/EU, Banka Slovenije:</w:t>
      </w:r>
    </w:p>
    <w:p w14:paraId="0AC44B4B" w14:textId="77777777" w:rsidR="0010347E" w:rsidRPr="00215B2F" w:rsidRDefault="0010347E" w:rsidP="003D4DE0">
      <w:pPr>
        <w:pStyle w:val="Odstavek"/>
        <w:numPr>
          <w:ilvl w:val="0"/>
          <w:numId w:val="349"/>
        </w:numPr>
        <w:shd w:val="clear" w:color="auto" w:fill="FFFFFF" w:themeFill="background1"/>
        <w:spacing w:before="0"/>
        <w:rPr>
          <w:rFonts w:cs="Arial"/>
          <w:sz w:val="20"/>
          <w:szCs w:val="20"/>
        </w:rPr>
      </w:pPr>
      <w:r w:rsidRPr="00215B2F">
        <w:rPr>
          <w:rFonts w:cs="Arial"/>
          <w:sz w:val="20"/>
          <w:szCs w:val="20"/>
        </w:rPr>
        <w:t>ne poveča dodatno potrebnega kapitala za tveganja (razen tveganja prevelikega finančnega vzvoda) zaradi te zaveze;</w:t>
      </w:r>
    </w:p>
    <w:p w14:paraId="27892C6D" w14:textId="77777777" w:rsidR="0010347E" w:rsidRPr="00215B2F" w:rsidRDefault="0010347E" w:rsidP="003D4DE0">
      <w:pPr>
        <w:pStyle w:val="Odstavek"/>
        <w:numPr>
          <w:ilvl w:val="0"/>
          <w:numId w:val="349"/>
        </w:numPr>
        <w:shd w:val="clear" w:color="auto" w:fill="FFFFFF" w:themeFill="background1"/>
        <w:spacing w:before="0"/>
        <w:rPr>
          <w:rFonts w:cs="Arial"/>
          <w:sz w:val="20"/>
          <w:szCs w:val="20"/>
        </w:rPr>
      </w:pPr>
      <w:r w:rsidRPr="00215B2F">
        <w:rPr>
          <w:rFonts w:cs="Arial"/>
          <w:sz w:val="20"/>
          <w:szCs w:val="20"/>
        </w:rPr>
        <w:lastRenderedPageBreak/>
        <w:t>do naslednjega nadzornega pregleda odstrani morebitne dvojne kapitalske zahteve, ki bi zajemale že v celoti krita tveganja zaradi izstopnega praga.</w:t>
      </w:r>
    </w:p>
    <w:p w14:paraId="547A2391" w14:textId="77777777" w:rsidR="0010347E" w:rsidRPr="00215B2F" w:rsidRDefault="0010347E" w:rsidP="0010347E">
      <w:pPr>
        <w:pStyle w:val="Odstavek"/>
        <w:shd w:val="clear" w:color="auto" w:fill="FFFFFF" w:themeFill="background1"/>
        <w:spacing w:before="0"/>
        <w:ind w:left="360" w:firstLine="0"/>
        <w:rPr>
          <w:rFonts w:cs="Arial"/>
          <w:sz w:val="20"/>
          <w:szCs w:val="20"/>
        </w:rPr>
      </w:pPr>
    </w:p>
    <w:p w14:paraId="6CB366F0"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Po zaključku tega pregleda preneha omejitev o nenaraščanju kapitala. Medtem ko banka spoštuje izstopni prag, Banka Slovenije ne uvede dodatnih kapitalskih zahtev, ki bi dvojno pokrile ta že krita tveganja. Banka je zavezana spoštovati izstopni prag, če njena skupna izpostavljenost tveganjem presega določene meje iz 92. člena Uredbe 575/2013/EU. Gre za prenos 104.a člena CRD (šesti in osmi odstavek). </w:t>
      </w:r>
    </w:p>
    <w:p w14:paraId="3980E94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182AF8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_Ref202965203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239</w:t>
      </w:r>
      <w:r w:rsidRPr="00215B2F">
        <w:rPr>
          <w:rFonts w:ascii="Arial" w:hAnsi="Arial" w:cs="Arial"/>
          <w:b/>
          <w:bCs/>
          <w:sz w:val="20"/>
          <w:szCs w:val="20"/>
        </w:rPr>
        <w:fldChar w:fldCharType="end"/>
      </w:r>
      <w:r w:rsidRPr="00215B2F">
        <w:rPr>
          <w:rFonts w:ascii="Arial" w:hAnsi="Arial" w:cs="Arial"/>
          <w:b/>
          <w:bCs/>
          <w:sz w:val="20"/>
          <w:szCs w:val="20"/>
        </w:rPr>
        <w:t>. členu (veljavni 204. člen ZBan-3)</w:t>
      </w:r>
    </w:p>
    <w:p w14:paraId="2D937F6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E8AFA85"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ZBan-3 (204. člen) določa, da mora banka določiti notranji kapital na ravni, ki zadostuje za pokritje vseh tveganj, tudi stresnih scenarijev, Banka Slovenije pa redno preverja in določa primerno skupno kapitalsko zahtevo za banko. Napotek o dodatno potrebnem kapitalu predstavlja razliko med primerno kapitalsko ravnijo in obstoječimi zahtevami, prilagojen je tveganjem, ki še niso pokrita. Kapitala, namenjenega za ta napotek, banka ne sme uporabljati za druge kapitalske zahteve, razen v primerih tveganja prevelikega finančnega vzvoda. Če banka izpolnjuje obvezne kapitalske zahteve, neizpolnjevanje napotka ne povzroči omejitev pri razdelitvah ali drugih sankcijah. Navedena vsebina je predmet prvega do šestega odstavka 104.b člena CRD. </w:t>
      </w:r>
    </w:p>
    <w:p w14:paraId="04B975F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9EF60A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S predlogom zakona se dodatno določa (šesti odstavek), da </w:t>
      </w:r>
      <w:r w:rsidRPr="00215B2F">
        <w:rPr>
          <w:rFonts w:ascii="Arial" w:eastAsia="Arial" w:hAnsi="Arial" w:cs="Arial"/>
          <w:sz w:val="20"/>
          <w:szCs w:val="20"/>
        </w:rPr>
        <w:t xml:space="preserve">kadar postane banka zavezana spoštovati izstopni prag, lahko Banka Slovenije pregleda svoj napotek o dodatno potrebnem kapitalu, sporočen banki, da zagotovi, da ostane njegova umerjenost ustrezna. Gre za prenos 104.b člena CRD (odstavek 4a). </w:t>
      </w:r>
    </w:p>
    <w:p w14:paraId="4F5C551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4392C7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_Ref203489682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240</w:t>
      </w:r>
      <w:r w:rsidRPr="00215B2F">
        <w:rPr>
          <w:rFonts w:ascii="Arial" w:hAnsi="Arial" w:cs="Arial"/>
          <w:b/>
          <w:bCs/>
          <w:sz w:val="20"/>
          <w:szCs w:val="20"/>
        </w:rPr>
        <w:fldChar w:fldCharType="end"/>
      </w:r>
      <w:r w:rsidRPr="00215B2F">
        <w:rPr>
          <w:rFonts w:ascii="Arial" w:hAnsi="Arial" w:cs="Arial"/>
          <w:b/>
          <w:bCs/>
          <w:sz w:val="20"/>
          <w:szCs w:val="20"/>
        </w:rPr>
        <w:t>. členu (veljavni 205. člen ZBan-3)</w:t>
      </w:r>
    </w:p>
    <w:p w14:paraId="406AEA2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0A4D03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(205. člen) ni vsebinskih sprememb. Člen določa postopek, kako Banka Slovenije z odločbo naloži banki, da zagotovi dodatno potrebni kapital, ki presega zahteve iz Uredbe 575/2013/EU. Odločba mora vključevati jasno obrazložitev celotne ocene elementov glede objave stopnje proticikličnega blažilnika, vključno z razlogi, zakaj uporaba napotka o dodatno potrebnem kapitalu ne zadostuje več. Poleg tega lahko Banka Slovenije izda odločbo, v kateri sporoči napotek o dodatno potrebnem kapitalu. Odločba o napotku o dodatno potrebnem kapitalu ni predmet sodnega varstva.</w:t>
      </w:r>
    </w:p>
    <w:p w14:paraId="2DD50B8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128E8D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_Ref203489687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241</w:t>
      </w:r>
      <w:r w:rsidRPr="00215B2F">
        <w:rPr>
          <w:rFonts w:ascii="Arial" w:hAnsi="Arial" w:cs="Arial"/>
          <w:b/>
          <w:bCs/>
          <w:sz w:val="20"/>
          <w:szCs w:val="20"/>
        </w:rPr>
        <w:fldChar w:fldCharType="end"/>
      </w:r>
      <w:r w:rsidRPr="00215B2F">
        <w:rPr>
          <w:rFonts w:ascii="Arial" w:hAnsi="Arial" w:cs="Arial"/>
          <w:b/>
          <w:bCs/>
          <w:sz w:val="20"/>
          <w:szCs w:val="20"/>
        </w:rPr>
        <w:t>. členu (veljavni 206. člen ZBan-3)</w:t>
      </w:r>
    </w:p>
    <w:p w14:paraId="7978E73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E4B9096"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(206. člen) ni vsebinskih sprememb. Ta člen določa obveznost Banke Slovenije, da obvesti organ za reševanje o dodatni kapitalski zahtevi, ki jo naloži banki v skladu z 238. členom ali 1. točko drugega odstavka 345. člena zakona. Banka Slovenije mora obvestiti organ za reševanje tudi o napotku o dodatno potrebnem kapitalu, ki ga je sporočila banki.</w:t>
      </w:r>
    </w:p>
    <w:p w14:paraId="23F68F5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4E646C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_Ref202965228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242</w:t>
      </w:r>
      <w:r w:rsidRPr="00215B2F">
        <w:rPr>
          <w:rFonts w:ascii="Arial" w:hAnsi="Arial" w:cs="Arial"/>
          <w:b/>
          <w:bCs/>
          <w:sz w:val="20"/>
          <w:szCs w:val="20"/>
        </w:rPr>
        <w:fldChar w:fldCharType="end"/>
      </w:r>
      <w:r w:rsidRPr="00215B2F">
        <w:rPr>
          <w:rFonts w:ascii="Arial" w:hAnsi="Arial" w:cs="Arial"/>
          <w:b/>
          <w:bCs/>
          <w:sz w:val="20"/>
          <w:szCs w:val="20"/>
        </w:rPr>
        <w:t xml:space="preserve">. in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_Ref203393616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243</w:t>
      </w:r>
      <w:r w:rsidRPr="00215B2F">
        <w:rPr>
          <w:rFonts w:ascii="Arial" w:hAnsi="Arial" w:cs="Arial"/>
          <w:b/>
          <w:bCs/>
          <w:sz w:val="20"/>
          <w:szCs w:val="20"/>
        </w:rPr>
        <w:fldChar w:fldCharType="end"/>
      </w:r>
      <w:r w:rsidRPr="00215B2F">
        <w:rPr>
          <w:rFonts w:ascii="Arial" w:hAnsi="Arial" w:cs="Arial"/>
          <w:b/>
          <w:bCs/>
          <w:sz w:val="20"/>
          <w:szCs w:val="20"/>
        </w:rPr>
        <w:t>. členu (veljavni 207. in 208. člen ZBan-3)</w:t>
      </w:r>
    </w:p>
    <w:p w14:paraId="5135833A"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0CF8207D" w14:textId="3D72F9BD" w:rsidR="0010347E" w:rsidRPr="00215B2F" w:rsidRDefault="0010347E" w:rsidP="0010347E">
      <w:pPr>
        <w:pStyle w:val="tevilnatoka"/>
        <w:numPr>
          <w:ilvl w:val="0"/>
          <w:numId w:val="0"/>
        </w:numPr>
        <w:shd w:val="clear" w:color="auto" w:fill="FFFFFF" w:themeFill="background1"/>
        <w:rPr>
          <w:rFonts w:cs="Arial"/>
          <w:b/>
          <w:sz w:val="20"/>
          <w:szCs w:val="20"/>
        </w:rPr>
      </w:pPr>
      <w:r w:rsidRPr="00215B2F">
        <w:rPr>
          <w:rFonts w:cs="Arial"/>
          <w:sz w:val="20"/>
          <w:szCs w:val="20"/>
        </w:rPr>
        <w:t xml:space="preserve">V primerjavi z ZBan-3 (207. do 208. člen) ni </w:t>
      </w:r>
      <w:r w:rsidR="00CA2A99" w:rsidRPr="00215B2F">
        <w:rPr>
          <w:rFonts w:cs="Arial"/>
          <w:sz w:val="20"/>
          <w:szCs w:val="20"/>
        </w:rPr>
        <w:t xml:space="preserve">bistvenih </w:t>
      </w:r>
      <w:r w:rsidRPr="00215B2F">
        <w:rPr>
          <w:rFonts w:cs="Arial"/>
          <w:sz w:val="20"/>
          <w:szCs w:val="20"/>
        </w:rPr>
        <w:t xml:space="preserve">vsebinskih sprememb. Člena prenašata 5. člen Direktive 2014/59/EU. Na ravni Evropske unije je treba vzpostaviti instrumente za učinkovito obravnavanje nestabilnih ali propadajočih bank. Takšni instrumenti so potrebni predvsem za preprečevanje insolventnosti, ali kadar se ta pojavi, za zmanjšanje negativnih posledic z ohranitvijo sistemsko pomembnih funkcij. </w:t>
      </w:r>
    </w:p>
    <w:p w14:paraId="26031BC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04D55E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Zgodnje ukrepanje na podlagi načrtov sanacije lahko prepreči stopnjevanje težav in zmanjša nevarnost propada banke. Banka mora pripraviti načrt sanacije, v katerem določi sheme in ukrepe zgodnjega ukrepanja za obnovo njihovega dolgoročnega uspešnega poslovanja. </w:t>
      </w:r>
    </w:p>
    <w:p w14:paraId="11E4F94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83CC0E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načrtu sanacije mora banka upoštevati različne možnosti ukrepanja za ohranjanje ali ponovno vzpostavitev uspešnega poslovanja in finančne trdnosti (ukrepi sanacije) glede na različne stresne scenarije. Načrt sanacije ne sme upoštevati možnosti uporabe izredne javnofinančne pomoči niti ne sme ustvarjati drugih neposrednih negativnih javnofinančnih učinkov. </w:t>
      </w:r>
    </w:p>
    <w:p w14:paraId="6DC17E7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31E651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lastRenderedPageBreak/>
        <w:t>Načrt sanacije vključuje med drugim povzetek ključnih vsebin, strateško analizo banke, opis razpoložljivih možnosti prestrukturiranja, analizo učinkov vsake od možnosti, analizo izvedljivosti posameznih možnosti, opis zagotavljanja virov financiranja v izrednih razmerah, opredelitev kvalitativnih in kvantitativnih kazalnikov poslabšanja finančnega položaja banke, opis stresnih scenarijev, opis ukrepov zgodnjega posredovanja, načrt interne izmenjave informacij in komunikacije z javnostjo, seznam pripravljalnih ukrepov za olajšanje izvajanja načrta sanacije.</w:t>
      </w:r>
    </w:p>
    <w:p w14:paraId="3018072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7AB83BE" w14:textId="4707308F" w:rsidR="00CA2A99" w:rsidRPr="00215B2F" w:rsidRDefault="00CA2A99"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se umika vsebina tretjega odstavka v ZBan-3, ki določa, da </w:t>
      </w:r>
      <w:r w:rsidRPr="00215B2F">
        <w:rPr>
          <w:rFonts w:eastAsia="Arial" w:cs="Arial"/>
          <w:sz w:val="20"/>
          <w:szCs w:val="20"/>
        </w:rPr>
        <w:t>Banka Slovenije predpiše podrobnejše informacije, ki jih mora vključevati načrt sanacije banke.</w:t>
      </w:r>
      <w:r w:rsidRPr="00215B2F">
        <w:rPr>
          <w:rFonts w:cs="Arial"/>
          <w:sz w:val="20"/>
          <w:szCs w:val="20"/>
        </w:rPr>
        <w:t xml:space="preserve"> Omenjeno vsebino je v preteklosti pokrival Sklep o vsebini načrtov sanacije bank in hranilnic (z uveljavitvijo ZBan-3 dokončno razveljavljen), to vsebino pa zdaj v celoti pokrivajo EBA smernice. </w:t>
      </w:r>
    </w:p>
    <w:p w14:paraId="24D6618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_Ref202965249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244</w:t>
      </w:r>
      <w:r w:rsidRPr="00215B2F">
        <w:rPr>
          <w:rFonts w:ascii="Arial" w:hAnsi="Arial" w:cs="Arial"/>
          <w:b/>
          <w:bCs/>
          <w:sz w:val="20"/>
          <w:szCs w:val="20"/>
        </w:rPr>
        <w:fldChar w:fldCharType="end"/>
      </w:r>
      <w:r w:rsidRPr="00215B2F">
        <w:rPr>
          <w:rFonts w:ascii="Arial" w:hAnsi="Arial" w:cs="Arial"/>
          <w:b/>
          <w:bCs/>
          <w:sz w:val="20"/>
          <w:szCs w:val="20"/>
        </w:rPr>
        <w:t>. členu (veljavni 209. člen ZBan-3)</w:t>
      </w:r>
    </w:p>
    <w:p w14:paraId="4F68E231"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05BA63B2"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5A8F5AB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(209. člen) ni vsebinskih sprememb. Člen prenaša 9. člen Direktive 2014/59/EU, ki ureja kazalnike poslabšanja finančnega položaja banke. Kazalniki poslabšanja finančnega položaja banke se opredelijo v načrtu sanacije z namenom sprožitve ukrepov sanacije ali pripravljalnih aktivnosti. Banka mora zagotoviti, da kvantitativni in kvalitativni kazalniki poslabšanja finančnega položaja omogočajo preprosto, tekoče in ustrezno spremljanje finančnega položaja banke. Vzpostaviti mora notranje ureditve za redno spremljanje kazalnikov. </w:t>
      </w:r>
    </w:p>
    <w:p w14:paraId="4898CB8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8C566E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Čeprav bi bilo treba v skladu s kazalniki poslabšanja finančnega položaja banke uporabiti posamezne ukrepe sanacije, lahko banka ukrepov ne uporabi, če upravljalni organ meni, da uporaba ukrepov ni primerna. Če pa upravljalni organ meni, da je to primerno, banka lahko uporabi ukrepe sanacije, čeprav kazalniki ne kažejo okoliščin za uporabo ukrepov sanacije. O tem mora banka nemudoma obvestiti pristojni organ. </w:t>
      </w:r>
    </w:p>
    <w:p w14:paraId="3809190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01250C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_Ref202965257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245</w:t>
      </w:r>
      <w:r w:rsidRPr="00215B2F">
        <w:rPr>
          <w:rFonts w:ascii="Arial" w:hAnsi="Arial" w:cs="Arial"/>
          <w:b/>
          <w:bCs/>
          <w:sz w:val="20"/>
          <w:szCs w:val="20"/>
        </w:rPr>
        <w:fldChar w:fldCharType="end"/>
      </w:r>
      <w:r w:rsidRPr="00215B2F">
        <w:rPr>
          <w:rFonts w:ascii="Arial" w:hAnsi="Arial" w:cs="Arial"/>
          <w:b/>
          <w:bCs/>
          <w:sz w:val="20"/>
          <w:szCs w:val="20"/>
        </w:rPr>
        <w:t>. členu (veljavni 210. člen ZBan-3)</w:t>
      </w:r>
    </w:p>
    <w:p w14:paraId="69B29CD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437D22E" w14:textId="06EA38D5"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 xml:space="preserve">V primerjavi z ZBan-2 (210. člen) ni </w:t>
      </w:r>
      <w:r w:rsidR="008675D3" w:rsidRPr="00215B2F">
        <w:rPr>
          <w:rFonts w:ascii="Arial" w:hAnsi="Arial" w:cs="Arial"/>
          <w:sz w:val="20"/>
          <w:szCs w:val="20"/>
        </w:rPr>
        <w:t xml:space="preserve">bistvenih </w:t>
      </w:r>
      <w:r w:rsidRPr="00215B2F">
        <w:rPr>
          <w:rFonts w:ascii="Arial" w:hAnsi="Arial" w:cs="Arial"/>
          <w:sz w:val="20"/>
          <w:szCs w:val="20"/>
        </w:rPr>
        <w:t>vsebinskih sprememb.</w:t>
      </w:r>
      <w:r w:rsidRPr="00215B2F">
        <w:rPr>
          <w:rFonts w:ascii="Arial" w:hAnsi="Arial" w:cs="Arial"/>
          <w:b/>
          <w:sz w:val="20"/>
          <w:szCs w:val="20"/>
        </w:rPr>
        <w:t xml:space="preserve"> </w:t>
      </w:r>
      <w:r w:rsidRPr="00215B2F">
        <w:rPr>
          <w:rFonts w:ascii="Arial" w:hAnsi="Arial" w:cs="Arial"/>
          <w:sz w:val="20"/>
          <w:szCs w:val="20"/>
        </w:rPr>
        <w:t xml:space="preserve">Člen prenaša 5. člen Direktive 2014/59/EU. Načrt sanacije ter vsakokratne spremembe načrta mora potrditi upravljalni organ banke in ga predložiti pristojnemu organu. Banka mora redno preverjati ustreznost ukrepov sanacije, določenih v načrtu sanacije, ter načrt sanacije najmanj enkrat letno posodobiti. Načrt sanacije mora posodobiti tudi ob vsakokratni spremembi svoje pravne ali organizacijske strukture ali ob vsaki spremembi svojega poslovnega ali finančnega položaja, ki bi lahko pomembno vplival na izvajanje ukrepov sanacije ali na uspešnost načrta sanacije. Pristojni organ lahko določi krajša obdobja za posodabljanje načrta sanacije. </w:t>
      </w:r>
    </w:p>
    <w:p w14:paraId="6C86DBAA"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0CA6085D"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 xml:space="preserve">Banka mora pristojnemu organu predložiti dokazila, da (i) bo z izvajanjem ukrepov z ustrezno verjetnostjo ohranila ali ponovno vzpostavila uspešno poslovanje in trden finančni položaj ter (ii) se bo načrt sanacije z ustrezno verjetnostjo hitro in učinkovito izvajal tudi v primeru stresnih okoliščin. </w:t>
      </w:r>
    </w:p>
    <w:p w14:paraId="589B982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E0E8B57" w14:textId="4A8F3C31" w:rsidR="004239B0" w:rsidRPr="00215B2F" w:rsidRDefault="004239B0" w:rsidP="004239B0">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se umika tretji odstavek, ki določa, da pošlje </w:t>
      </w:r>
      <w:r w:rsidRPr="00215B2F">
        <w:rPr>
          <w:rFonts w:eastAsia="Arial" w:cs="Arial"/>
          <w:sz w:val="20"/>
          <w:szCs w:val="20"/>
        </w:rPr>
        <w:t>banka načrt sanacije na način, ki ga določi Banka Slovenije, kadar v skladu z Uredbo 1024/2013/EU pri opravljanju nadzora nad banko izvaja naloge iz točke (i) prvega odstavka 4. člena te uredbe.</w:t>
      </w:r>
      <w:r w:rsidRPr="00215B2F">
        <w:rPr>
          <w:rFonts w:cs="Arial"/>
          <w:sz w:val="20"/>
          <w:szCs w:val="20"/>
        </w:rPr>
        <w:t xml:space="preserve"> Omenjeno vsebino je v preteklosti pokrival Sklep o vsebini načrtov sanacije bank in hranilnic (z uveljavitvijo ZBan-3 dokončno razveljavljen), to vsebino pa zdaj v celoti pokrivajo EBA smernice.</w:t>
      </w:r>
    </w:p>
    <w:p w14:paraId="6AB76804" w14:textId="77777777" w:rsidR="008675D3" w:rsidRPr="00215B2F" w:rsidRDefault="008675D3" w:rsidP="0010347E">
      <w:pPr>
        <w:pStyle w:val="Odstavek"/>
        <w:shd w:val="clear" w:color="auto" w:fill="FFFFFF" w:themeFill="background1"/>
        <w:spacing w:before="0"/>
        <w:ind w:firstLine="0"/>
        <w:rPr>
          <w:rFonts w:cs="Arial"/>
          <w:sz w:val="20"/>
          <w:szCs w:val="20"/>
        </w:rPr>
      </w:pPr>
    </w:p>
    <w:p w14:paraId="6428C4C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_Ref202965264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246</w:t>
      </w:r>
      <w:r w:rsidRPr="00215B2F">
        <w:rPr>
          <w:rFonts w:ascii="Arial" w:hAnsi="Arial" w:cs="Arial"/>
          <w:b/>
          <w:bCs/>
          <w:sz w:val="20"/>
          <w:szCs w:val="20"/>
        </w:rPr>
        <w:fldChar w:fldCharType="end"/>
      </w:r>
      <w:r w:rsidRPr="00215B2F">
        <w:rPr>
          <w:rFonts w:ascii="Arial" w:hAnsi="Arial" w:cs="Arial"/>
          <w:b/>
          <w:bCs/>
          <w:sz w:val="20"/>
          <w:szCs w:val="20"/>
        </w:rPr>
        <w:t>. členu (veljavni 211. člen ZBan-3)</w:t>
      </w:r>
    </w:p>
    <w:p w14:paraId="0B1180A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9822EC9"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(211. člen) ni vsebinskih sprememb.</w:t>
      </w:r>
      <w:r w:rsidRPr="00215B2F">
        <w:rPr>
          <w:rFonts w:ascii="Arial" w:hAnsi="Arial" w:cs="Arial"/>
          <w:b/>
          <w:sz w:val="20"/>
          <w:szCs w:val="20"/>
        </w:rPr>
        <w:t xml:space="preserve"> </w:t>
      </w:r>
      <w:r w:rsidRPr="00215B2F">
        <w:rPr>
          <w:rFonts w:ascii="Arial" w:hAnsi="Arial" w:cs="Arial"/>
          <w:sz w:val="20"/>
          <w:szCs w:val="20"/>
        </w:rPr>
        <w:t xml:space="preserve">Člen prenaša 4. člen Direktive 2014/59/EU. Banka Slovenije lahko odloči, da se za banko ali nadrejeno družbo, katere prenehanje ali stečaj verjetno ne bi povzročil pomembnejših negativnih posledic na delovanje finančnega trga in drugih institucij, pogoje financiranja ali širše gospodarstvo, glede načrta sanacije uporabljajo poenostavljene obveznosti. Pri odločitvi upošteva naravo poslovanja, delniško strukturo, profil tveganja, velikost, statusno obliko, povezanost z drugimi institucijami ali finančnim sistemom, obseg in zapletenosti aktivnosti, vključenost v institucionalno shemo za zaščito vlog ter opravljanje investicijskih storitev in poslov banke. Banka Slovenije določi vsebino in podrobnosti načrta sanacije in informacij, ki jih je treba zagotoviti v poenostavljenem načrtu sanacije, ter pogostost posodabljanja teh načrtov. </w:t>
      </w:r>
    </w:p>
    <w:p w14:paraId="5249A8D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EE009F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lastRenderedPageBreak/>
        <w:t xml:space="preserve">Banka Slovenije lahko za posamezno banko v celoti ali delno opusti uporabo zahtev glede načrta sanacije, če je za banko v celoti ali delno opustila uporabo bonitetnih zahtev in se zahteve glede načrta sanacije uporabljajo na konsolidirani podlagi ali je banka vključena v institucionalno shemo za zaščito vlog in shema za svoje članice izpolnjuje zahteve glede načrta sanacije. </w:t>
      </w:r>
    </w:p>
    <w:p w14:paraId="23EA2C5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9B475C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_Ref202965278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247</w:t>
      </w:r>
      <w:r w:rsidRPr="00215B2F">
        <w:rPr>
          <w:rFonts w:ascii="Arial" w:hAnsi="Arial" w:cs="Arial"/>
          <w:b/>
          <w:bCs/>
          <w:sz w:val="20"/>
          <w:szCs w:val="20"/>
        </w:rPr>
        <w:fldChar w:fldCharType="end"/>
      </w:r>
      <w:r w:rsidRPr="00215B2F">
        <w:rPr>
          <w:rFonts w:ascii="Arial" w:hAnsi="Arial" w:cs="Arial"/>
          <w:b/>
          <w:bCs/>
          <w:sz w:val="20"/>
          <w:szCs w:val="20"/>
        </w:rPr>
        <w:t>. členu (veljavni 212. člen ZBan-3)</w:t>
      </w:r>
    </w:p>
    <w:p w14:paraId="4B1626A8"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2BD5E80E"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(212. člen) ni vsebinskih sprememb.</w:t>
      </w:r>
      <w:r w:rsidRPr="00215B2F">
        <w:rPr>
          <w:rFonts w:ascii="Arial" w:hAnsi="Arial" w:cs="Arial"/>
          <w:b/>
          <w:sz w:val="20"/>
          <w:szCs w:val="20"/>
        </w:rPr>
        <w:t xml:space="preserve"> </w:t>
      </w:r>
      <w:r w:rsidRPr="00215B2F">
        <w:rPr>
          <w:rFonts w:ascii="Arial" w:hAnsi="Arial" w:cs="Arial"/>
          <w:sz w:val="20"/>
          <w:szCs w:val="20"/>
        </w:rPr>
        <w:t>Člen prenaša 7. člen Direktive 2014/59/EU. EU nadrejena družba mora pripraviti načrt sanacije skupine, katerega cilj je stabilizacija skupine kot celote ali katere koli institucije v skupini. Načrt sanacije skupine mora določati opis različnih možnosti ukrepanja za različne stresne scenarije, kvalitativne in kvantitativne kazalnike ter opis postopkov in pogojev za pravočasno ter učinkovito izvajanje predvidenih ukrepov sanacije. Načrt sanacije skupine ne sme upoštevati možnosti uporabe izredne javnofinančne pomoči niti ne sme ustvarjati drugih neposrednih negativnih javnofinančnih učinkov. Načrt sanacije skupine mora opredeliti tudi:</w:t>
      </w:r>
    </w:p>
    <w:p w14:paraId="48341F9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2AC36FA" w14:textId="77777777" w:rsidR="0010347E" w:rsidRPr="00215B2F" w:rsidRDefault="0010347E" w:rsidP="0010347E">
      <w:pPr>
        <w:pStyle w:val="Odstavekseznama"/>
        <w:numPr>
          <w:ilvl w:val="0"/>
          <w:numId w:val="21"/>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dogovore za usklajeno in dosledno izvajanje ukrepov na ravni nadrejene in podrejenih družb ter pomembnih podružnic;</w:t>
      </w:r>
    </w:p>
    <w:p w14:paraId="73C5CFDC" w14:textId="77777777" w:rsidR="0010347E" w:rsidRPr="00215B2F" w:rsidRDefault="0010347E" w:rsidP="0010347E">
      <w:pPr>
        <w:pStyle w:val="Odstavekseznama"/>
        <w:numPr>
          <w:ilvl w:val="0"/>
          <w:numId w:val="21"/>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morebitne ovire za izvajanje ukrepov v skupini in na ravni posameznih subjektov, vključno z morebitnimi dejanskimi ali pravnimi ovirami za takojšnji prenos kapitala, za odplačilo obveznosti ali sredstev znotraj skupine; </w:t>
      </w:r>
    </w:p>
    <w:p w14:paraId="06C43039" w14:textId="77777777" w:rsidR="0010347E" w:rsidRPr="00215B2F" w:rsidRDefault="0010347E" w:rsidP="0010347E">
      <w:pPr>
        <w:pStyle w:val="Odstavekseznama"/>
        <w:numPr>
          <w:ilvl w:val="0"/>
          <w:numId w:val="21"/>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ureditev morebitne znotrajskupinske finančne podpore. </w:t>
      </w:r>
    </w:p>
    <w:p w14:paraId="2F7AB39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148097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Načrt sanacije skupine sprejme upravljalni organ EU nadrejene družbe in ga predloži konsolidacijskemu nadzorniku. </w:t>
      </w:r>
    </w:p>
    <w:p w14:paraId="139ECAE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DDAE91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_Ref202965289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248</w:t>
      </w:r>
      <w:r w:rsidRPr="00215B2F">
        <w:rPr>
          <w:rFonts w:ascii="Arial" w:hAnsi="Arial" w:cs="Arial"/>
          <w:b/>
          <w:bCs/>
          <w:sz w:val="20"/>
          <w:szCs w:val="20"/>
        </w:rPr>
        <w:fldChar w:fldCharType="end"/>
      </w:r>
      <w:r w:rsidRPr="00215B2F">
        <w:rPr>
          <w:rFonts w:ascii="Arial" w:hAnsi="Arial" w:cs="Arial"/>
          <w:b/>
          <w:bCs/>
          <w:sz w:val="20"/>
          <w:szCs w:val="20"/>
        </w:rPr>
        <w:t>. členu (veljavni 213. člen ZBan-3)</w:t>
      </w:r>
    </w:p>
    <w:p w14:paraId="622DFEA3"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198E8BC8" w14:textId="79DEB6F6"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w:t>
      </w:r>
      <w:r w:rsidR="001C4079" w:rsidRPr="00215B2F">
        <w:rPr>
          <w:rFonts w:ascii="Arial" w:hAnsi="Arial" w:cs="Arial"/>
          <w:sz w:val="20"/>
          <w:szCs w:val="20"/>
        </w:rPr>
        <w:t>3</w:t>
      </w:r>
      <w:r w:rsidRPr="00215B2F">
        <w:rPr>
          <w:rFonts w:ascii="Arial" w:hAnsi="Arial" w:cs="Arial"/>
          <w:sz w:val="20"/>
          <w:szCs w:val="20"/>
        </w:rPr>
        <w:t xml:space="preserve"> (213. člen) ni vsebinskih sprememb.</w:t>
      </w:r>
      <w:r w:rsidRPr="00215B2F">
        <w:rPr>
          <w:rFonts w:ascii="Arial" w:hAnsi="Arial" w:cs="Arial"/>
          <w:b/>
          <w:sz w:val="20"/>
          <w:szCs w:val="20"/>
        </w:rPr>
        <w:t xml:space="preserve"> </w:t>
      </w:r>
      <w:r w:rsidRPr="00215B2F">
        <w:rPr>
          <w:rFonts w:ascii="Arial" w:hAnsi="Arial" w:cs="Arial"/>
          <w:sz w:val="20"/>
          <w:szCs w:val="20"/>
        </w:rPr>
        <w:t xml:space="preserve">Člen prenaša 19. člen Direktive 2014/59/EU. Institucije, ki delujejo znotraj skupine, bodo lahko sklenile sporazume za zagotovitev finančne podpore (v obliki posojila, zagotovitve jamstev ali zagotovitve sredstev za uporabo kot zavarovanja pri poslih) za druge subjekte znotraj skupine, ki se spoprijemajo s finančnimi težavami. Takšna zgodnja finančna pomoč lahko pomaga pri nastajajočih finančnih težavah, s katerimi se spoprijemajo posamezni člani skupine. </w:t>
      </w:r>
    </w:p>
    <w:p w14:paraId="0C9545F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5A99AB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Sporazumi so prostovoljni, saj je skupina lahko bolj ali manj povezana ter bolj ali manj dosledno sledi skupni strategiji. Za zaščito ima pristojni nadzorni organ prenosnika pooblastilo za prepoved ali omejitev finančne podpore, kadar prenos ogroža likvidnost ali solventnost prenosnika ali finančno stabilnost.</w:t>
      </w:r>
    </w:p>
    <w:p w14:paraId="66A1996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087CBD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Sporazum o finančni podpori v skupini je dogovor, ki ga sklenejo nadrejena družba ter njene podrejene družbe, ki so vključene v konsolidirani nadzor. Na podlagi sporazuma zagotovijo podpisniki finančno podporo drugim strankam sporazuma, če so pri njih podane okoliščine za uporabo ukrepov zgodnjega posredovanja.</w:t>
      </w:r>
    </w:p>
    <w:p w14:paraId="54A4618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13F6BF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_Ref202965295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249</w:t>
      </w:r>
      <w:r w:rsidRPr="00215B2F">
        <w:rPr>
          <w:rFonts w:ascii="Arial" w:hAnsi="Arial" w:cs="Arial"/>
          <w:b/>
          <w:bCs/>
          <w:sz w:val="20"/>
          <w:szCs w:val="20"/>
        </w:rPr>
        <w:fldChar w:fldCharType="end"/>
      </w:r>
      <w:r w:rsidRPr="00215B2F">
        <w:rPr>
          <w:rFonts w:ascii="Arial" w:hAnsi="Arial" w:cs="Arial"/>
          <w:b/>
          <w:bCs/>
          <w:sz w:val="20"/>
          <w:szCs w:val="20"/>
        </w:rPr>
        <w:t>. členu (veljavni 214. člen ZBan-3)</w:t>
      </w:r>
    </w:p>
    <w:p w14:paraId="391E95D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56807A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(214. člen) ni vsebinskih sprememb. Člen prenaša 23. člen Direktive 2014/59/EU. Člen določa načela za sklepanje sporazuma o finančni podpori v skupini. Vsaka stranka mora k sporazumu pristopiti prostovoljno in mora delovati v svojo korist. Stranka, ki zagotovi finančno podporo, mora imeti na voljo vse pomembne informacije prejemniku, da se odloči o podpori in določi nadomestilo za podporo. </w:t>
      </w:r>
    </w:p>
    <w:p w14:paraId="62FAF06E"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4FE6867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Finančna podpora se zagotovi, če je pričakovati, da bo bistveno ublažila finančne težave prejemnika, in je namenjena ohranitvi ali ponovni vzpostavitvi finančne stabilnosti skupine kot celote ali enega od subjektov v skupini. Finančna podpora se zagotovi pod pogoji, ki so določeni v sporazumu, če je pričakovati, da bo prejemnik plačal nadomestilo. Prav tako je pogoj, da finančna podpora ne ogrozi likvidnosti ali solventnosti subjekta, ki zagotovi podporo, in ne ogrozi finančne stabilnosti.</w:t>
      </w:r>
    </w:p>
    <w:p w14:paraId="59C1B9F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808ACD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_Ref202965305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250</w:t>
      </w:r>
      <w:r w:rsidRPr="00215B2F">
        <w:rPr>
          <w:rFonts w:ascii="Arial" w:hAnsi="Arial" w:cs="Arial"/>
          <w:b/>
          <w:bCs/>
          <w:sz w:val="20"/>
          <w:szCs w:val="20"/>
        </w:rPr>
        <w:fldChar w:fldCharType="end"/>
      </w:r>
      <w:r w:rsidRPr="00215B2F">
        <w:rPr>
          <w:rFonts w:ascii="Arial" w:hAnsi="Arial" w:cs="Arial"/>
          <w:b/>
          <w:bCs/>
          <w:sz w:val="20"/>
          <w:szCs w:val="20"/>
        </w:rPr>
        <w:t>. členu (veljavni 215. člen ZBan-3)</w:t>
      </w:r>
    </w:p>
    <w:p w14:paraId="7FDBD26D"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2F24987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lastRenderedPageBreak/>
        <w:t xml:space="preserve">V primerjavi z ZBan-2 (215. člen) ni vsebinskih sprememb. Člen prenaša 20. člen Direktive 2014/59/EU. Nadrejena družba mora konsolidacijskemu nadzorniku pred sklenitvijo sporazuma o finančni podpori v skupini predložiti zahtevo za odobritev sporazuma. </w:t>
      </w:r>
    </w:p>
    <w:p w14:paraId="29F999E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791B46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Slovenije si mora skupaj z drugimi sodelujočimi pristojnimi organi prizadevati za sprejetje skupne odločitve. Banka Slovenije kot konsolidacijski nadzornik sama sprejme odločitev glede predlaganega sporazuma, če skupna odločitev ni sprejeta. </w:t>
      </w:r>
    </w:p>
    <w:p w14:paraId="5BC3389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B601E1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Slovenije kot konsolidacijski nadzornik zahtevo nemudoma pošlje pristojnim organom vsake podrejene družbe, ki sodeluje kot stranka predlaganega sporazuma. Banka Slovenije odobri predlog sporazuma, če so načela in pogoji sporazuma v skladu z zakonom ter vsi pristojni organi ocenijo, da nobena od strank ne izpolnjuje pogojev za zgodnje posredovanje. </w:t>
      </w:r>
    </w:p>
    <w:p w14:paraId="616FAC5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432E71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_Ref202965316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251</w:t>
      </w:r>
      <w:r w:rsidRPr="00215B2F">
        <w:rPr>
          <w:rFonts w:ascii="Arial" w:hAnsi="Arial" w:cs="Arial"/>
          <w:b/>
          <w:bCs/>
          <w:sz w:val="20"/>
          <w:szCs w:val="20"/>
        </w:rPr>
        <w:fldChar w:fldCharType="end"/>
      </w:r>
      <w:r w:rsidRPr="00215B2F">
        <w:rPr>
          <w:rFonts w:ascii="Arial" w:hAnsi="Arial" w:cs="Arial"/>
          <w:b/>
          <w:bCs/>
          <w:sz w:val="20"/>
          <w:szCs w:val="20"/>
        </w:rPr>
        <w:t>. členu (veljavni 216. člen ZBan-3)</w:t>
      </w:r>
    </w:p>
    <w:p w14:paraId="7FD8F9C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1F35AF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ZBan-2 (251. člen) ni vsebinskih sprememb. Člen prenaša 21. člen Direktive 2014/59/EU. Predlog sporazuma o finančni podpori v skupini, ki ga je odobril konsolidacijski nadzornik, mora pred sklenitvijo odobriti tudi skupščina delničarjev vsakega subjekta, ki sodeluje kot stranka tega sporazuma. Sporazum o finančni podpori v skupini velja le za tiste subjekte v skupini, katerih delničarji so na skupščini odločili, da subjekt pristopi k sporazumu in je upravljalni organ pooblaščen za sprejetje odločitve glede zagotovitve ali prejema finančne podpore. Sporazum o finančni podpori v skupini preneha veljati za posamezni subjekt, če skupščina delničarjev prekliče pooblastilo upravljalnemu organu. </w:t>
      </w:r>
    </w:p>
    <w:p w14:paraId="2FF6034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BE7DE0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_Ref202965322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252</w:t>
      </w:r>
      <w:r w:rsidRPr="00215B2F">
        <w:rPr>
          <w:rFonts w:ascii="Arial" w:hAnsi="Arial" w:cs="Arial"/>
          <w:b/>
          <w:bCs/>
          <w:sz w:val="20"/>
          <w:szCs w:val="20"/>
        </w:rPr>
        <w:fldChar w:fldCharType="end"/>
      </w:r>
      <w:r w:rsidRPr="00215B2F">
        <w:rPr>
          <w:rFonts w:ascii="Arial" w:hAnsi="Arial" w:cs="Arial"/>
          <w:b/>
          <w:bCs/>
          <w:sz w:val="20"/>
          <w:szCs w:val="20"/>
        </w:rPr>
        <w:t>. členu (veljavni 217. člen ZBan-3)</w:t>
      </w:r>
    </w:p>
    <w:p w14:paraId="593DB7B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FBCD28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(217. člen) ni vsebinskih sprememb. Člen prenaša 26. člen Direktive 2014/59/EU. Vsak subjekt v skupini, ki je vključen v nadzor na konsolidirani podlagi, mora javno objaviti, ali je sklenil sporazum o finančni podpori v skupini in ali je pristopil kot stranka sporazuma. V primeru, da je pristopil kot stranka sporazuma, mora v objavi navesti vse stranke sporazuma in splošne pogoje tega sporazuma. </w:t>
      </w:r>
    </w:p>
    <w:p w14:paraId="79E5349F"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69209EB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S četrtim odstavkom se prenaša 11. člen Direktive 2023/2864/EU, ki se nanaša na novi 128.a člen </w:t>
      </w:r>
      <w:r w:rsidRPr="00215B2F">
        <w:rPr>
          <w:rFonts w:ascii="Arial" w:hAnsi="Arial" w:cs="Arial"/>
          <w:sz w:val="20"/>
          <w:szCs w:val="20"/>
          <w:shd w:val="clear" w:color="auto" w:fill="FFFFFF"/>
        </w:rPr>
        <w:t xml:space="preserve">Direktive 2014/59/EU v zvezi </w:t>
      </w:r>
      <w:r w:rsidRPr="00215B2F">
        <w:rPr>
          <w:rFonts w:ascii="Arial" w:hAnsi="Arial" w:cs="Arial"/>
          <w:sz w:val="20"/>
          <w:szCs w:val="20"/>
        </w:rPr>
        <w:t>z zagotavljanjem določenih informacij glede sporazuma o finančni podpori v skupini na evropsko enotno točko dostopa, vzpostavljeno na podlagi Uredbe 2859/2023/EU. Določba določa tudi način in vrsto metapodatkov, ki se predložijo.</w:t>
      </w:r>
    </w:p>
    <w:p w14:paraId="23759C2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1F3B36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_Ref202965329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253</w:t>
      </w:r>
      <w:r w:rsidRPr="00215B2F">
        <w:rPr>
          <w:rFonts w:ascii="Arial" w:hAnsi="Arial" w:cs="Arial"/>
          <w:b/>
          <w:bCs/>
          <w:sz w:val="20"/>
          <w:szCs w:val="20"/>
        </w:rPr>
        <w:fldChar w:fldCharType="end"/>
      </w:r>
      <w:r w:rsidRPr="00215B2F">
        <w:rPr>
          <w:rFonts w:ascii="Arial" w:hAnsi="Arial" w:cs="Arial"/>
          <w:b/>
          <w:bCs/>
          <w:sz w:val="20"/>
          <w:szCs w:val="20"/>
        </w:rPr>
        <w:t>. členu (veljavni 218. člen ZBan-3)</w:t>
      </w:r>
    </w:p>
    <w:p w14:paraId="2D360AE0"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0D4BFD7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(218. člen) ni vsebinskih sprememb. Člen prenaša 24. člen Direktive 2014/59/EU. Odločitev o zagotovitvi finančne podpore sprejme upravljalni organ subjekta, ki zagotovi finančno podporo. Odločitev o sprejemu finančne podpore sprejme upravljalni organ prejemnika. Upravljalni organ vsake stranke sporazuma o finančni podpori v skupini mora skupščini delničarjev vsako leto poročati o izvajanju sporazuma in o vseh odločitvah, sprejetih na podlagi sporazuma.</w:t>
      </w:r>
    </w:p>
    <w:p w14:paraId="374823D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592AB0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_Ref202965333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254</w:t>
      </w:r>
      <w:r w:rsidRPr="00215B2F">
        <w:rPr>
          <w:rFonts w:ascii="Arial" w:hAnsi="Arial" w:cs="Arial"/>
          <w:b/>
          <w:bCs/>
          <w:sz w:val="20"/>
          <w:szCs w:val="20"/>
        </w:rPr>
        <w:fldChar w:fldCharType="end"/>
      </w:r>
      <w:r w:rsidRPr="00215B2F">
        <w:rPr>
          <w:rFonts w:ascii="Arial" w:hAnsi="Arial" w:cs="Arial"/>
          <w:b/>
          <w:bCs/>
          <w:sz w:val="20"/>
          <w:szCs w:val="20"/>
        </w:rPr>
        <w:t>. členu (veljavni 219. člen ZBan-3)</w:t>
      </w:r>
    </w:p>
    <w:p w14:paraId="46B7AB1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F2B8E1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(219. člen) ni vsebinskih sprememb. Člen prenaša 25. člen Direktive 2014/59/EU. Upravljalni organ subjekta, ki namerava zagotoviti finančno podporo, pred zagotovitvijo podpore o tem obvesti pristojna organa za nadzor nad njim in prejemnikom, konsolidacijskega nadzornika in Evropski bančni organ. Obvestilo vključuje obrazloženo odločitev ter podrobnosti predlagane finančne podpore. Če namerava finančno podporo zagotoviti banka, lahko pristojni organ banki prepove ali omeji zagotovitev finančne podpore, če oceni, da pogoji niso izpolnjeni, in svojo odločitev obrazloži. </w:t>
      </w:r>
    </w:p>
    <w:p w14:paraId="14F7B29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D8A622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Slovenije o svoji odločitvi glede odobritve, prepovedi ali omejitve finančne podpore nemudoma obvesti konsolidacijskega nadzornika, pristojni organ prejemnika in Evropski bančni organ. Banka Slovenije kot konsolidacijski nadzornik nemudoma obvesti druge člane kolegija nadzornikov in člane kolegija za reševanje o odločitvi pristojnega organa subjekta, ki bo zagotovil finančno podporo. Če ima ugovore v zvezi z odločitvijo, lahko zadevo predloži Evropskemu bančnemu organu. </w:t>
      </w:r>
    </w:p>
    <w:p w14:paraId="40E5621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AEFFA9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lastRenderedPageBreak/>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_Ref202965343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255</w:t>
      </w:r>
      <w:r w:rsidRPr="00215B2F">
        <w:rPr>
          <w:rFonts w:ascii="Arial" w:hAnsi="Arial" w:cs="Arial"/>
          <w:b/>
          <w:bCs/>
          <w:sz w:val="20"/>
          <w:szCs w:val="20"/>
        </w:rPr>
        <w:fldChar w:fldCharType="end"/>
      </w:r>
      <w:r w:rsidRPr="00215B2F">
        <w:rPr>
          <w:rFonts w:ascii="Arial" w:hAnsi="Arial" w:cs="Arial"/>
          <w:b/>
          <w:bCs/>
          <w:sz w:val="20"/>
          <w:szCs w:val="20"/>
        </w:rPr>
        <w:t xml:space="preserve">. in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_Ref203381358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256</w:t>
      </w:r>
      <w:r w:rsidRPr="00215B2F">
        <w:rPr>
          <w:rFonts w:ascii="Arial" w:hAnsi="Arial" w:cs="Arial"/>
          <w:b/>
          <w:bCs/>
          <w:sz w:val="20"/>
          <w:szCs w:val="20"/>
        </w:rPr>
        <w:fldChar w:fldCharType="end"/>
      </w:r>
      <w:r w:rsidRPr="00215B2F">
        <w:rPr>
          <w:rFonts w:ascii="Arial" w:hAnsi="Arial" w:cs="Arial"/>
          <w:b/>
          <w:bCs/>
          <w:sz w:val="20"/>
          <w:szCs w:val="20"/>
        </w:rPr>
        <w:t>. členu (veljavna 220. in 221. člen ZBan-3)</w:t>
      </w:r>
    </w:p>
    <w:p w14:paraId="236E747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F75BBE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(220. do 221. člen) ni vsebinskih sprememb. Člena prenašata 6. člen Direktive 2014/59/EU. Banka Slovenije v okviru pregleda in ovrednotenja načrta sanacije preverja, ali načrt sanacije vsebuje vse informacije in izpolnjuje zahteve tega zakona. Pri oceni preveri zlasti strukturo kapitala ter virov financiranja banke, verjetnost ohranitve ali vzpostavitve uspešnega poslovanja in stabilnega finančnega položaja, hitrost in učinkovitost izvajanja načrta in vpliv ukrepov na rešljivost banke. </w:t>
      </w:r>
    </w:p>
    <w:p w14:paraId="42B5CD1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3895B6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Slovenije lahko v zvezi z načrtom sanacije od banke zahteva dodatna pojasnila, dokaze, uskladitev načrta in vzpostavitev evidence podatkov o finančnih pogodbah. </w:t>
      </w:r>
    </w:p>
    <w:p w14:paraId="5784177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1843D8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Če Banka Slovenije oceni, da ima načrt sanacije bistvene pomanjkljivosti ali da obstajajo bistvene ovire za njegovo učinkovito izvajanje, pozove banko ali nadrejeno družbo, da predloži poročilo o okoliščinah in razlogih za drugačno oceno ustreznosti ali popravljeni načrt sanacije. Če se banka ne odzove ustrezno, Banka Slovenije z odredbo o odpravi kršitev zahteva spremembe v načrtu sanacije. Če ugotovljenih pomanjkljivosti ali ovir ni mogoče odpraviti s spremembo načrta sanacije, Banka Slovenije od banke zahteva sprejetje sprememb v poslovanju, s katerimi banka odpravi ugotovljene pomanjkljivosti ali ovire. </w:t>
      </w:r>
    </w:p>
    <w:p w14:paraId="4938C74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241858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_Ref202965355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257</w:t>
      </w:r>
      <w:r w:rsidRPr="00215B2F">
        <w:rPr>
          <w:rFonts w:ascii="Arial" w:hAnsi="Arial" w:cs="Arial"/>
          <w:b/>
          <w:bCs/>
          <w:sz w:val="20"/>
          <w:szCs w:val="20"/>
        </w:rPr>
        <w:fldChar w:fldCharType="end"/>
      </w:r>
      <w:r w:rsidRPr="00215B2F">
        <w:rPr>
          <w:rFonts w:ascii="Arial" w:hAnsi="Arial" w:cs="Arial"/>
          <w:b/>
          <w:bCs/>
          <w:sz w:val="20"/>
          <w:szCs w:val="20"/>
        </w:rPr>
        <w:t>. členu (veljavni 222. člen ZBan-3)</w:t>
      </w:r>
    </w:p>
    <w:p w14:paraId="46AB3FDD"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32BDDC4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(222. člen) ni vsebinskih sprememb. Člen prenaša 8. člen Direktive 2014/59/EU. Banka Slovenije kot konsolidacijski nadzornik skupaj s pristojnimi organi, ki so pristojni za nadzor nad subjekti v skupini na posamični podlagi, pregleda načrt sanacije skupine ter oceni, ali vsebuje vse informacije in izpolnjuje zahteve tega zakona. Za oceno se smiselno uporabljajo določbe glede ocene načrta sanacije na posamični ravni. Pri ocenjevanju načrta sanacije skupine si mora Banka Slovenije skupaj z drugimi sodelujočimi pristojnimi organi prizadevati za sprejetje skupne odločitve. </w:t>
      </w:r>
    </w:p>
    <w:p w14:paraId="38B74A5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AAC6D5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_Ref202965404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258</w:t>
      </w:r>
      <w:r w:rsidRPr="00215B2F">
        <w:rPr>
          <w:rFonts w:ascii="Arial" w:hAnsi="Arial" w:cs="Arial"/>
          <w:b/>
          <w:bCs/>
          <w:sz w:val="20"/>
          <w:szCs w:val="20"/>
        </w:rPr>
        <w:fldChar w:fldCharType="end"/>
      </w:r>
      <w:r w:rsidRPr="00215B2F">
        <w:rPr>
          <w:rFonts w:ascii="Arial" w:hAnsi="Arial" w:cs="Arial"/>
          <w:b/>
          <w:bCs/>
          <w:sz w:val="20"/>
          <w:szCs w:val="20"/>
        </w:rPr>
        <w:t>. členu</w:t>
      </w:r>
    </w:p>
    <w:p w14:paraId="73EC364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7EAB25C"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finančni holding ali mešani finančni holding, ki želi pridobiti pomembni delež (15 % ali več kapitala ali glasovalnih pravic) v drugi instituciji, mora predhodno vložiti zahtevo za oceno ustreznosti in pridobiti odločitev Banke Slovenije o nenasprotovanju. Če gre za banko, se v primeru preseganja praga tudi na konsolidirani ravni zahteva dodatna presoja s strani konsolidacijskega nadzornika. Za holdinge se prag vedno presoja na konsolidirani ravni, vloga pa se vloži pri konsolidacijskem nadzorniku. Gre za prenos 27.a člena CRD (prvi do tretji odstavek).</w:t>
      </w:r>
    </w:p>
    <w:p w14:paraId="11C93D6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044706D"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zvezi z izrazom banka velja opozoriti, da vključuje tudi uporabo določb zakona za kreditno družbo. Dodatno velja pojasniti, da se v skladu z recitalom (9) CRD ocena ustreznosti zahteva za pomembne deleže v subjektih tako finančnega kot nefinančnega sektorja</w:t>
      </w:r>
    </w:p>
    <w:p w14:paraId="0C99FCA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A7EAB0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_Ref202965429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259</w:t>
      </w:r>
      <w:r w:rsidRPr="00215B2F">
        <w:rPr>
          <w:rFonts w:ascii="Arial" w:hAnsi="Arial" w:cs="Arial"/>
          <w:b/>
          <w:bCs/>
          <w:sz w:val="20"/>
          <w:szCs w:val="20"/>
        </w:rPr>
        <w:fldChar w:fldCharType="end"/>
      </w:r>
      <w:r w:rsidRPr="00215B2F">
        <w:rPr>
          <w:rFonts w:ascii="Arial" w:hAnsi="Arial" w:cs="Arial"/>
          <w:b/>
          <w:bCs/>
          <w:sz w:val="20"/>
          <w:szCs w:val="20"/>
        </w:rPr>
        <w:t>. členu</w:t>
      </w:r>
    </w:p>
    <w:p w14:paraId="3872DD0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996B1C2"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Zahteva za oceno ustreznosti pomembnega deleža mora vsebovati podatke o velikosti deleža in dokumentacijo, ki dokazuje skladnost z zakonskimi merili. Banka Slovenije mora v 10 delovnih dneh po prejemu vloge izdati potrdilo o popolnosti ali nepopolnosti vloge. Če je vloga nepopolna, izda sklep o odpravi pomanjkljivosti. Po dopolnitvi vloge ponovno izda ustrezno potrdilo. Dodatne informacije lahko zahteva najpozneje do 50. delovnega dne ocenjevalnega obdobja. Po prejemu dodatnih informacij izda potrdilo o prejemu v 10 dneh. Oceno ustreznosti izvede v skladu z zakonom. Gre za prenos 27.a člena CRD (tretji, peti, osmi in deveti odstavek). </w:t>
      </w:r>
    </w:p>
    <w:p w14:paraId="152E334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870D49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_Ref202965448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260</w:t>
      </w:r>
      <w:r w:rsidRPr="00215B2F">
        <w:rPr>
          <w:rFonts w:ascii="Arial" w:hAnsi="Arial" w:cs="Arial"/>
          <w:b/>
          <w:bCs/>
          <w:sz w:val="20"/>
          <w:szCs w:val="20"/>
        </w:rPr>
        <w:fldChar w:fldCharType="end"/>
      </w:r>
      <w:r w:rsidRPr="00215B2F">
        <w:rPr>
          <w:rFonts w:ascii="Arial" w:hAnsi="Arial" w:cs="Arial"/>
          <w:b/>
          <w:bCs/>
          <w:sz w:val="20"/>
          <w:szCs w:val="20"/>
        </w:rPr>
        <w:t>. členu</w:t>
      </w:r>
    </w:p>
    <w:p w14:paraId="0B97D95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B7941C2"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mora odločiti o oceni ustreznosti pomembnega deleža v 60 delovnih dneh od prejema popolne vloge. Ta rok se lahko začasno prekine, če banka zahteva dodatne informacije (največ za 20 dni) ali če gre za posebne primere, kot so subjekti iz tretjih držav ali sodelovanje z organi za preprečevanje pranja denarja (možno podaljšanje do 30 dni). Če vlagatelj predloži dodatno pomembno dokumentacijo, se postopek začne znova. Rok se prekine tudi, če je vlagatelj pozvan k izjavi o razlogih za morebitno nasprotovanje. Če pridobitev pomembnega deleža vključuje tudi kvalificirani delež ali </w:t>
      </w:r>
      <w:r w:rsidRPr="00215B2F">
        <w:rPr>
          <w:rFonts w:cs="Arial"/>
          <w:sz w:val="20"/>
          <w:szCs w:val="20"/>
        </w:rPr>
        <w:lastRenderedPageBreak/>
        <w:t>odobritev holdinga, se postopek zaključi šele, ko se končajo vsi povezani postopki. Gre za prenos 27.a člena CRD (dvanajsti odstavek – drugi del glede prekinitve ocenjevalnega obdobja).</w:t>
      </w:r>
    </w:p>
    <w:p w14:paraId="55DC8BF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8F1559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_Ref202965453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261</w:t>
      </w:r>
      <w:r w:rsidRPr="00215B2F">
        <w:rPr>
          <w:rFonts w:ascii="Arial" w:hAnsi="Arial" w:cs="Arial"/>
          <w:b/>
          <w:bCs/>
          <w:sz w:val="20"/>
          <w:szCs w:val="20"/>
        </w:rPr>
        <w:fldChar w:fldCharType="end"/>
      </w:r>
      <w:r w:rsidRPr="00215B2F">
        <w:rPr>
          <w:rFonts w:ascii="Arial" w:hAnsi="Arial" w:cs="Arial"/>
          <w:b/>
          <w:bCs/>
          <w:sz w:val="20"/>
          <w:szCs w:val="20"/>
        </w:rPr>
        <w:t>. členu</w:t>
      </w:r>
    </w:p>
    <w:p w14:paraId="2D6CA4A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BF52948"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sodeluje z drugimi pristojnimi organi v Sloveniji in EU, kadar nameravana pridobitev pomembnega deleža vključuje čezmejne ali sektorsko različne subjekte (npr. zavarovalnice, investicijske družbe). Če ni konsolidacijski nadzornik, mora o vlogi obvestiti pristojne organe v 10 dneh. Če je konsolidacijski nadzornik, mora pripraviti oceno in jo poslati organu države članice, kjer ima pridobitelj sedež, z namenom doseči skupno odločitev v dveh mesecih. Če dogovora ni, se zadeva predloži Evropskemu bančnemu organu, ki sprejme odločitev v enem mesecu. Organi si prizadevajo za usklajene in dosledne odločitve, pri čemer si izmenjujejo vse bistvene informacije.</w:t>
      </w:r>
    </w:p>
    <w:p w14:paraId="473D72B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B67B6B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Gre za prenos drugega odstavka 27.c člena CRD (drugi podstavek), ki se glasi: </w:t>
      </w:r>
    </w:p>
    <w:p w14:paraId="74D9868F" w14:textId="77777777" w:rsidR="0010347E" w:rsidRPr="00215B2F" w:rsidRDefault="0010347E" w:rsidP="0010347E">
      <w:pPr>
        <w:pStyle w:val="Pripombabesedilo"/>
        <w:shd w:val="clear" w:color="auto" w:fill="FFFFFF" w:themeFill="background1"/>
        <w:jc w:val="both"/>
        <w:rPr>
          <w:rFonts w:ascii="Arial" w:hAnsi="Arial" w:cs="Arial"/>
          <w:i/>
        </w:rPr>
      </w:pPr>
    </w:p>
    <w:p w14:paraId="580C145C" w14:textId="77777777" w:rsidR="0010347E" w:rsidRPr="00215B2F" w:rsidRDefault="0010347E" w:rsidP="0010347E">
      <w:pPr>
        <w:pStyle w:val="Pripombabesedilo"/>
        <w:shd w:val="clear" w:color="auto" w:fill="FFFFFF" w:themeFill="background1"/>
        <w:jc w:val="both"/>
        <w:rPr>
          <w:rFonts w:ascii="Arial" w:hAnsi="Arial" w:cs="Arial"/>
        </w:rPr>
      </w:pPr>
      <w:r w:rsidRPr="00215B2F">
        <w:rPr>
          <w:rFonts w:ascii="Arial" w:hAnsi="Arial" w:cs="Arial"/>
          <w:i/>
        </w:rPr>
        <w:t xml:space="preserve">»Kadar je nameravani pridobitelj finančni holding ali mešani finančni holding, ki spada na področje uporabe člena 21a (1), konsolidacijski nadzornik, ki ocenjuje nameravano pridobitev, o njej v desetih delovnih dneh po prejemu uradnega obvestila nameravanega pridobitelja uradno obvesti pristojni organ v državi članici, v kateri ima nameravani pridobitelj sedež, </w:t>
      </w:r>
      <w:r w:rsidRPr="00215B2F">
        <w:rPr>
          <w:rFonts w:ascii="Arial" w:hAnsi="Arial" w:cs="Arial"/>
          <w:b/>
          <w:i/>
          <w:u w:val="single"/>
        </w:rPr>
        <w:t>če ta pristojni organ ni konsolidacijski nadzornik</w:t>
      </w:r>
      <w:r w:rsidRPr="00215B2F">
        <w:rPr>
          <w:rFonts w:ascii="Arial" w:hAnsi="Arial" w:cs="Arial"/>
          <w:i/>
        </w:rPr>
        <w:t>. Konsolidacijski nadzornik navedenemu pristojnemu organu posreduje tudi svojo oceno.«</w:t>
      </w:r>
    </w:p>
    <w:p w14:paraId="6275E35D" w14:textId="77777777" w:rsidR="0010347E" w:rsidRPr="00215B2F" w:rsidRDefault="0010347E" w:rsidP="0010347E">
      <w:pPr>
        <w:pStyle w:val="Pripombabesedilo"/>
        <w:shd w:val="clear" w:color="auto" w:fill="FFFFFF" w:themeFill="background1"/>
        <w:jc w:val="both"/>
        <w:rPr>
          <w:rFonts w:ascii="Arial" w:hAnsi="Arial" w:cs="Arial"/>
        </w:rPr>
      </w:pPr>
    </w:p>
    <w:p w14:paraId="5FA04DBC"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Odebeljeni/podčrtani del ni izrecno prenesen, ker je nesmiselno – odstavek določa obveznosti konsolidacijskega nadzornika, da obvesti drug pristojni organ; če bi bil pristojni organ hkrati tudi konsolidacijski nadzornik, bi konsolidacijski nadzornik obveščal samega sebe, kar je nelogično in tudi ne zahteva posebnega prenosa.</w:t>
      </w:r>
    </w:p>
    <w:p w14:paraId="23D3152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3DFCD5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_Ref202965458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262</w:t>
      </w:r>
      <w:r w:rsidRPr="00215B2F">
        <w:rPr>
          <w:rFonts w:ascii="Arial" w:hAnsi="Arial" w:cs="Arial"/>
          <w:b/>
          <w:bCs/>
          <w:sz w:val="20"/>
          <w:szCs w:val="20"/>
        </w:rPr>
        <w:fldChar w:fldCharType="end"/>
      </w:r>
      <w:r w:rsidRPr="00215B2F">
        <w:rPr>
          <w:rFonts w:ascii="Arial" w:hAnsi="Arial" w:cs="Arial"/>
          <w:b/>
          <w:bCs/>
          <w:sz w:val="20"/>
          <w:szCs w:val="20"/>
        </w:rPr>
        <w:t>. členu</w:t>
      </w:r>
    </w:p>
    <w:p w14:paraId="6BD6523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81CAAF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pri presoji ustreznosti pomembnega deleža ocenjuje, ali bo upravljanje s strani pridobitelja potekalo preudarno in v skladu z zakonodajo, ter preverja morebitna tveganja, zlasti glede bonitetnih zahtev in tveganj pranja denarja ali financiranja terorizma. Pri tem se posvetuje z Uradom Republike Slovenije za preprečevanje pranja denarja in upošteva njihovo mnenje, ki lahko vpliva na odločitev. Banka ne sme presojati pridobitve z vidika gospodarskih potreb trga in mora vse pridobitelje obravnavati enakopravno, če obravnava več vlog hkrati. Gre za delni prenos 27.b člena CRD. </w:t>
      </w:r>
    </w:p>
    <w:p w14:paraId="1ED7E5B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B93FCA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_Ref202965463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263</w:t>
      </w:r>
      <w:r w:rsidRPr="00215B2F">
        <w:rPr>
          <w:rFonts w:ascii="Arial" w:hAnsi="Arial" w:cs="Arial"/>
          <w:b/>
          <w:bCs/>
          <w:sz w:val="20"/>
          <w:szCs w:val="20"/>
        </w:rPr>
        <w:fldChar w:fldCharType="end"/>
      </w:r>
      <w:r w:rsidRPr="00215B2F">
        <w:rPr>
          <w:rFonts w:ascii="Arial" w:hAnsi="Arial" w:cs="Arial"/>
          <w:b/>
          <w:bCs/>
          <w:sz w:val="20"/>
          <w:szCs w:val="20"/>
        </w:rPr>
        <w:t>. členu</w:t>
      </w:r>
    </w:p>
    <w:p w14:paraId="5750CA2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168A73E" w14:textId="77777777" w:rsidR="0010347E" w:rsidRPr="00215B2F" w:rsidRDefault="0010347E" w:rsidP="0010347E">
      <w:pPr>
        <w:shd w:val="clear" w:color="auto" w:fill="FFFFFF" w:themeFill="background1"/>
        <w:spacing w:after="0" w:line="240" w:lineRule="auto"/>
        <w:jc w:val="both"/>
        <w:rPr>
          <w:rFonts w:ascii="Arial" w:hAnsi="Arial" w:cs="Arial"/>
          <w:bCs/>
          <w:sz w:val="20"/>
          <w:szCs w:val="20"/>
        </w:rPr>
      </w:pPr>
      <w:r w:rsidRPr="00215B2F">
        <w:rPr>
          <w:rFonts w:ascii="Arial" w:eastAsia="Arial" w:hAnsi="Arial" w:cs="Arial"/>
          <w:sz w:val="20"/>
          <w:szCs w:val="20"/>
        </w:rPr>
        <w:t xml:space="preserve">S členom se določa, da Banka Slovenije nasprotuje nameravani pridobitvi pomembnega deleža (odločitev o nasprotovanju), če nameravani pridobitelj ne izpolnjuje ustreznih meril oziroma nameravani pridobitelj v roku, ki ga v skladu s tem zakonom določi Banka Slovenije, ne predloži vse dokumentacije in informacij, potrebnih za oceno ustreznosti. </w:t>
      </w:r>
    </w:p>
    <w:p w14:paraId="36E4C44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14A879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_Ref202965468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264</w:t>
      </w:r>
      <w:r w:rsidRPr="00215B2F">
        <w:rPr>
          <w:rFonts w:ascii="Arial" w:hAnsi="Arial" w:cs="Arial"/>
          <w:b/>
          <w:bCs/>
          <w:sz w:val="20"/>
          <w:szCs w:val="20"/>
        </w:rPr>
        <w:fldChar w:fldCharType="end"/>
      </w:r>
      <w:r w:rsidRPr="00215B2F">
        <w:rPr>
          <w:rFonts w:ascii="Arial" w:hAnsi="Arial" w:cs="Arial"/>
          <w:b/>
          <w:bCs/>
          <w:sz w:val="20"/>
          <w:szCs w:val="20"/>
        </w:rPr>
        <w:t>. členu</w:t>
      </w:r>
    </w:p>
    <w:p w14:paraId="2340CE1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82E926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Odločitev o ustreznosti pomembnega deleža se izda kot odločitev o nenasprotovanju ali nasprotovanju. V primeru nasprotovanja mora Banka Slovenije pred iztekom roka izdati pisno odločitev z utemeljitvijo. Če odločitev ni izdana pravočasno, se šteje, da je bila izdana odločitev o nenasprotovanju. Če gre za pridobitev znotraj iste skupine ali institucionalne sheme za zaščito vlog, lahko Banka Slovenije odloči, da ocene ne bo izvedla, in o tem obvesti pridobitelja. S členom se (s tretjim odstavkom) prenaša 27.a člen CRD (štirinajsti odstavek). </w:t>
      </w:r>
    </w:p>
    <w:p w14:paraId="7DB38D8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C48C81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_Ref202965474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265</w:t>
      </w:r>
      <w:r w:rsidRPr="00215B2F">
        <w:rPr>
          <w:rFonts w:ascii="Arial" w:hAnsi="Arial" w:cs="Arial"/>
          <w:b/>
          <w:bCs/>
          <w:sz w:val="20"/>
          <w:szCs w:val="20"/>
        </w:rPr>
        <w:fldChar w:fldCharType="end"/>
      </w:r>
      <w:r w:rsidRPr="00215B2F">
        <w:rPr>
          <w:rFonts w:ascii="Arial" w:hAnsi="Arial" w:cs="Arial"/>
          <w:b/>
          <w:bCs/>
          <w:sz w:val="20"/>
          <w:szCs w:val="20"/>
        </w:rPr>
        <w:t>. členu</w:t>
      </w:r>
    </w:p>
    <w:p w14:paraId="3F313FB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F66718C"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lahko v odločbi o nenasprotovanju določi rok, do katerega mora biti pridobitev pomembnega deleža izvedena. Ta rok se lahko na zahtevo pridobitelja podaljša za največ šest mesecev, če je zahteva vložena vsaj dva meseca pred iztekom roka. Če pridobitev ni izvedena v določenem roku, odločitev o nenasprotovanju preneha veljati. Gre za prenos 27.a člena CRD (petnajsti odstavek). </w:t>
      </w:r>
    </w:p>
    <w:p w14:paraId="781F03C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8E146D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_Ref202965479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266</w:t>
      </w:r>
      <w:r w:rsidRPr="00215B2F">
        <w:rPr>
          <w:rFonts w:ascii="Arial" w:hAnsi="Arial" w:cs="Arial"/>
          <w:b/>
          <w:bCs/>
          <w:sz w:val="20"/>
          <w:szCs w:val="20"/>
        </w:rPr>
        <w:fldChar w:fldCharType="end"/>
      </w:r>
      <w:r w:rsidRPr="00215B2F">
        <w:rPr>
          <w:rFonts w:ascii="Arial" w:hAnsi="Arial" w:cs="Arial"/>
          <w:b/>
          <w:bCs/>
          <w:sz w:val="20"/>
          <w:szCs w:val="20"/>
        </w:rPr>
        <w:t>. členu</w:t>
      </w:r>
    </w:p>
    <w:p w14:paraId="55681DB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649E83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finančni holding ali mešani finančni holding, ki namerava odsvojiti pomembni delež, mora o tem predhodno pisno obvestiti Banko Slovenije oziroma konsolidacijskega nadzornika. Obvestilo mora vsebovati tudi velikost odsvojitve, izraženo v znesku in deležu glede na sprejemljivi kapital pridobitelja. Gre za prenos 27.d člena CRD. Rok, kolikor prej mora banka poslati obvestilo, lahko Banka Slovenije določi v podzakonskem aktu iz naslednjega člena.</w:t>
      </w:r>
    </w:p>
    <w:p w14:paraId="2C5EC99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B69965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_Ref202965483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267</w:t>
      </w:r>
      <w:r w:rsidRPr="00215B2F">
        <w:rPr>
          <w:rFonts w:ascii="Arial" w:hAnsi="Arial" w:cs="Arial"/>
          <w:b/>
          <w:bCs/>
          <w:sz w:val="20"/>
          <w:szCs w:val="20"/>
        </w:rPr>
        <w:fldChar w:fldCharType="end"/>
      </w:r>
      <w:r w:rsidRPr="00215B2F">
        <w:rPr>
          <w:rFonts w:ascii="Arial" w:hAnsi="Arial" w:cs="Arial"/>
          <w:b/>
          <w:bCs/>
          <w:sz w:val="20"/>
          <w:szCs w:val="20"/>
        </w:rPr>
        <w:t>. členu</w:t>
      </w:r>
    </w:p>
    <w:p w14:paraId="2CB9E06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1E1890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določi podrobnosti glede postopka ocene ustreznosti pomembnega deleža, vključno s seznamom potrebne dokumentacije, merili za presojo ter načinom pošiljanja obvestil. Zahtevane informacije morajo biti sorazmerne in relevantne glede na naravo pridobitve ter usmerjene v presojo varnega in skrbnega poslovanja. Gre za prenos 27.b člena CRD (peti odstavek). </w:t>
      </w:r>
    </w:p>
    <w:p w14:paraId="7451EC2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5DDEA6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_Ref202965487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268</w:t>
      </w:r>
      <w:r w:rsidRPr="00215B2F">
        <w:rPr>
          <w:rFonts w:ascii="Arial" w:hAnsi="Arial" w:cs="Arial"/>
          <w:b/>
          <w:bCs/>
          <w:sz w:val="20"/>
          <w:szCs w:val="20"/>
        </w:rPr>
        <w:fldChar w:fldCharType="end"/>
      </w:r>
      <w:r w:rsidRPr="00215B2F">
        <w:rPr>
          <w:rFonts w:ascii="Arial" w:hAnsi="Arial" w:cs="Arial"/>
          <w:b/>
          <w:bCs/>
          <w:sz w:val="20"/>
          <w:szCs w:val="20"/>
        </w:rPr>
        <w:t>. členu</w:t>
      </w:r>
    </w:p>
    <w:p w14:paraId="2D75BDC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8FEE8D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finančni holding ali mešani finančni holding mora pred izvedbo pomembnega prenosa sredstev ali obveznosti (npr. prodaje), ki presega določeni prag (10 % oziroma 15 % pri poslih znotraj skupine), uradno obvestiti Banko Slovenije. Obveznost obveščanja velja za vsak subjekt posebej, tudi če gre za posel znotraj iste skupine. Za nadrejene holdinge se prag presoja na konsolidirani ravni. Nekateri prenosi (npr. nedonosna sredstva, listinjenje, prenosi za kritno premoženje ali v okviru reševanja bank) so iz tega obveznega obveščanja izvzeti. Gre za prenos 27.f člena CRD.</w:t>
      </w:r>
    </w:p>
    <w:p w14:paraId="06366C2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0DEC510"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Dodatno velja pojasniti, da CRD za pomembne prenose ne predvideva posebne ocene nadzornika niti v ta namen ne določa meril, ampak zgolj dolžnost uradnega obvestila.</w:t>
      </w:r>
    </w:p>
    <w:p w14:paraId="2D3AF4E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9D2A9D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_Ref202965492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269</w:t>
      </w:r>
      <w:r w:rsidRPr="00215B2F">
        <w:rPr>
          <w:rFonts w:ascii="Arial" w:hAnsi="Arial" w:cs="Arial"/>
          <w:b/>
          <w:bCs/>
          <w:sz w:val="20"/>
          <w:szCs w:val="20"/>
        </w:rPr>
        <w:fldChar w:fldCharType="end"/>
      </w:r>
      <w:r w:rsidRPr="00215B2F">
        <w:rPr>
          <w:rFonts w:ascii="Arial" w:hAnsi="Arial" w:cs="Arial"/>
          <w:b/>
          <w:bCs/>
          <w:sz w:val="20"/>
          <w:szCs w:val="20"/>
        </w:rPr>
        <w:t>. členu</w:t>
      </w:r>
    </w:p>
    <w:p w14:paraId="31C9BDF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388D2E5"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Uradno obvestilo o pomembnem prenosu sredstev ali obveznosti mora vsebovati ustrezno dokumentacijo o samem prenosu in izpolnjevanju zakonskih meril (npr. za združitve ali delitve). Banka Slovenije potrdi prejem obvestila v 10 delovnih dneh in lahko zahteva dodatne informacije. Če oceni, da bi posel lahko negativno vplival na bonitetne zahteve, o tem obvesti subjekt in lahko ukrepa nadzorniško. Če subjekt predhodno ne obvesti Banke Slovenije, mu lahko ta določi rok za naknadno obvestilo in izreče administrativno sankcijo.</w:t>
      </w:r>
    </w:p>
    <w:p w14:paraId="530F56D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E8319B3" w14:textId="48126FC1"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Gre za prenos 27.f in 27.g člena CRD. V skladu s 27.b členom (sedmi odstavek) CRD je predvidena izdaja RTS. Ker so določene informacije praviloma povezane z nacionalnimi specifikacijami, je v nadaljevanju določena tudi možnost podzakonskega akta, v katerem lahko Banka Slovenije določi dodatne zahteve (podobno kot za dokumentacijo za dovoljenja za storitve).</w:t>
      </w:r>
    </w:p>
    <w:p w14:paraId="567DA63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D5E830B"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zvezi s četrtim odstavkom velja dodatno pojasniti, da CRD glede presoje in posledic uradnega obvestila ne določa ničesar. Člen 27.g vključuje zgolj splošno določbo, če se ne obvesti Banka Slovenije: </w:t>
      </w:r>
    </w:p>
    <w:p w14:paraId="1DD60887" w14:textId="77777777" w:rsidR="0010347E" w:rsidRPr="00215B2F" w:rsidRDefault="0010347E" w:rsidP="0010347E">
      <w:pPr>
        <w:pStyle w:val="Pripombabesedilo"/>
        <w:shd w:val="clear" w:color="auto" w:fill="FFFFFF" w:themeFill="background1"/>
        <w:rPr>
          <w:rFonts w:ascii="Arial" w:hAnsi="Arial" w:cs="Arial"/>
        </w:rPr>
      </w:pPr>
    </w:p>
    <w:p w14:paraId="3711DA1E" w14:textId="77777777" w:rsidR="0010347E" w:rsidRPr="00215B2F" w:rsidRDefault="0010347E" w:rsidP="0010347E">
      <w:pPr>
        <w:pStyle w:val="Pripombabesedilo"/>
        <w:shd w:val="clear" w:color="auto" w:fill="FFFFFF" w:themeFill="background1"/>
        <w:rPr>
          <w:rFonts w:ascii="Arial" w:hAnsi="Arial" w:cs="Arial"/>
          <w:i/>
        </w:rPr>
      </w:pPr>
      <w:r w:rsidRPr="00215B2F">
        <w:rPr>
          <w:rFonts w:ascii="Arial" w:hAnsi="Arial" w:cs="Arial"/>
          <w:i/>
        </w:rPr>
        <w:t xml:space="preserve">»Kadar subjekti ne zagotovijo predhodnega uradnega obvestila o nameravanem poslu v skladu s členom 27f(1), države članice od pristojnih organov zahtevajo, da sprejmejo ustrezne ukrepe.« </w:t>
      </w:r>
    </w:p>
    <w:p w14:paraId="030C5DE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C7C55F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_Ref202965505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270</w:t>
      </w:r>
      <w:r w:rsidRPr="00215B2F">
        <w:rPr>
          <w:rFonts w:ascii="Arial" w:hAnsi="Arial" w:cs="Arial"/>
          <w:b/>
          <w:bCs/>
          <w:sz w:val="20"/>
          <w:szCs w:val="20"/>
        </w:rPr>
        <w:fldChar w:fldCharType="end"/>
      </w:r>
      <w:r w:rsidRPr="00215B2F">
        <w:rPr>
          <w:rFonts w:ascii="Arial" w:hAnsi="Arial" w:cs="Arial"/>
          <w:b/>
          <w:bCs/>
          <w:sz w:val="20"/>
          <w:szCs w:val="20"/>
        </w:rPr>
        <w:t>. členu (veljavni 228. člen ZBan-3)</w:t>
      </w:r>
    </w:p>
    <w:p w14:paraId="18FBC5A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DDA29A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(228. člen) ni vsebinskih sprememb. Člen ureja poročila banke o pomembnih dejstvih in okoliščinah. </w:t>
      </w:r>
    </w:p>
    <w:p w14:paraId="057C59F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E93878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mora poročati pristojnemu organu o spremembah podatkov, ki se vpisujejo v sodni register; sklicu skupščine in vseh sklepih, sprejetih na skupščini; imetnikih delnic banke ter o pridobitvi oziroma spremembi kvalificiranih deležev; pridobitvi oziroma odtujitvi delnic, poslovnih deležev oziroma članskih pravic v pravnih osebah; prenehanju opravljanja določenih storitev, ki jih opravlja banka, in o drugih dejstvih in okoliščinah iz podzakonskih predpisov. </w:t>
      </w:r>
    </w:p>
    <w:p w14:paraId="4CC3D3E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FA4EC1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Uprava banke mora pristojni organ nemudoma obvestiti o nesposobnosti banke za izplačilo dospele vloge, nezagotavljanju ali verjetnem nezagotavljanju kapitalske ustreznosti, obširnejši prenovi </w:t>
      </w:r>
      <w:r w:rsidRPr="00215B2F">
        <w:rPr>
          <w:rFonts w:ascii="Arial" w:hAnsi="Arial" w:cs="Arial"/>
          <w:sz w:val="20"/>
          <w:szCs w:val="20"/>
        </w:rPr>
        <w:lastRenderedPageBreak/>
        <w:t>informacijskih sistemov, razvoju nove ponudbe storitev in drugih dogodkih, ki lahko pomembno vplivajo na poslovanje banke v skladu s pravili o upravljanju tveganj.</w:t>
      </w:r>
    </w:p>
    <w:p w14:paraId="450131A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9DB8A1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_Ref202965512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271</w:t>
      </w:r>
      <w:r w:rsidRPr="00215B2F">
        <w:rPr>
          <w:rFonts w:ascii="Arial" w:hAnsi="Arial" w:cs="Arial"/>
          <w:b/>
          <w:bCs/>
          <w:sz w:val="20"/>
          <w:szCs w:val="20"/>
        </w:rPr>
        <w:fldChar w:fldCharType="end"/>
      </w:r>
      <w:r w:rsidRPr="00215B2F">
        <w:rPr>
          <w:rFonts w:ascii="Arial" w:hAnsi="Arial" w:cs="Arial"/>
          <w:b/>
          <w:bCs/>
          <w:sz w:val="20"/>
          <w:szCs w:val="20"/>
        </w:rPr>
        <w:t>. členu (veljavni 229. člen ZBan-3)</w:t>
      </w:r>
    </w:p>
    <w:p w14:paraId="564DA92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C5F800E" w14:textId="2EBAA951"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(229. člen) ni vsebinskih sprememb. S členom se prenaša 128. člen CRD. Opredeljeni so izrazi, ki so povezani s kapitalskimi blažilniki. Z novo 9. točko (v primerjavi z ZBan-2) se opredeljuje blažilnik količnika finančnega vzvoda, ta pomeni temeljni kapital, ki ga mora banka zagotavljati za izpolnjevanje zahtev, določenih s </w:t>
      </w:r>
      <w:r w:rsidR="00A62CD8" w:rsidRPr="00215B2F">
        <w:rPr>
          <w:rFonts w:cs="Arial"/>
          <w:sz w:val="20"/>
          <w:szCs w:val="20"/>
        </w:rPr>
        <w:t xml:space="preserve">1a odstavkom 92. </w:t>
      </w:r>
      <w:r w:rsidRPr="00215B2F">
        <w:rPr>
          <w:rFonts w:cs="Arial"/>
          <w:sz w:val="20"/>
          <w:szCs w:val="20"/>
        </w:rPr>
        <w:t>člen</w:t>
      </w:r>
      <w:r w:rsidR="00A62CD8" w:rsidRPr="00215B2F">
        <w:rPr>
          <w:rFonts w:cs="Arial"/>
          <w:sz w:val="20"/>
          <w:szCs w:val="20"/>
        </w:rPr>
        <w:t>a</w:t>
      </w:r>
      <w:r w:rsidRPr="00215B2F">
        <w:rPr>
          <w:rFonts w:cs="Arial"/>
          <w:sz w:val="20"/>
          <w:szCs w:val="20"/>
        </w:rPr>
        <w:t xml:space="preserve"> CRR. </w:t>
      </w:r>
    </w:p>
    <w:p w14:paraId="76C0841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298022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_Ref202965519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272</w:t>
      </w:r>
      <w:r w:rsidRPr="00215B2F">
        <w:rPr>
          <w:rFonts w:ascii="Arial" w:hAnsi="Arial" w:cs="Arial"/>
          <w:b/>
          <w:bCs/>
          <w:sz w:val="20"/>
          <w:szCs w:val="20"/>
        </w:rPr>
        <w:fldChar w:fldCharType="end"/>
      </w:r>
      <w:r w:rsidRPr="00215B2F">
        <w:rPr>
          <w:rFonts w:ascii="Arial" w:hAnsi="Arial" w:cs="Arial"/>
          <w:b/>
          <w:bCs/>
          <w:sz w:val="20"/>
          <w:szCs w:val="20"/>
        </w:rPr>
        <w:t>. členu (veljavni 230. člen ZBan-3)</w:t>
      </w:r>
    </w:p>
    <w:p w14:paraId="2C977AF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A564088"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(230. člen) ni vsebinskih sprememb. Določene so pristojnosti Banke Slovenije v povezavi s kapitalskimi blažilniki. Banka Slovenije določi banki zahteve po vzdrževanju kapitalskih blažilnikov z namenom preprečevanja ali omejevanja makrobonitetnega in sistemskega tveganja. Z upoštevanjem Uredbe 1024/2013/EU in okvirne uredbe ECB 468/2014 Banka Slovenije, kadar poleg kapitalskih zahtev na podlagi predloga zakona ali Uredbe 575/2013/EU uveljavlja zahteve za kapitalske blažilnike ali uporabi druge ukrepe, katerih namen je odpravljanje sistemskih ali makrobonitetnih tveganj, o svoji nameri v skladu s 5. členom Uredbe 1024/2013/EU deset delovnih dni pred sprejetjem takšne odločitve ustrezno uradno obvesti ECB in pred odločitvijo preuči morebitne razloge, ki jih navede ECB.</w:t>
      </w:r>
    </w:p>
    <w:p w14:paraId="69F68E9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2C89032" w14:textId="30E86F83"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Na podlagi drugega odstavka 5. člena Uredbe 1024/2013/EU lahko ECB poleg zahtev, ki jih določi Banka Slovenije, če Banka Slovenije ne uporabi makrobonitetnih orodij, samostojno določi zahteve za kapitalske blažilnike, ki jih morajo vzdrževati banke, vključno s stopnjami proticikličnih blažilnikov, ki presegajo tovrstne zahteve Banke Slovenije, in lahko uporablja strožje ukrepe, določene v predlogu zakona ali v Uredbi </w:t>
      </w:r>
      <w:r w:rsidR="00D24496" w:rsidRPr="00215B2F">
        <w:rPr>
          <w:rFonts w:ascii="Arial" w:hAnsi="Arial" w:cs="Arial"/>
          <w:sz w:val="20"/>
          <w:szCs w:val="20"/>
        </w:rPr>
        <w:t>575/2013/EU</w:t>
      </w:r>
      <w:r w:rsidRPr="00215B2F">
        <w:rPr>
          <w:rFonts w:ascii="Arial" w:hAnsi="Arial" w:cs="Arial"/>
          <w:sz w:val="20"/>
          <w:szCs w:val="20"/>
        </w:rPr>
        <w:t>, katerih namen je odpravljanje sistemskih ali makrobonitetnih tveganj na ravni bank. V tem primeru ECB deset delovnih dni pred sprejetjem takšne odločitve o svoji nameri uradno obvesti Banko Slovenije, ki v petih delovnih dneh navede morebitne razloge, ki so pomembni za odločitev ECB.</w:t>
      </w:r>
    </w:p>
    <w:p w14:paraId="53508C2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41CB025" w14:textId="58609F5E"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ECB uporablja makrobonitetna orodja neposredno na podlagi Uredbe 1024/2013/EU ter okvirne uredbe ECB 468/2014, kadar so makrobonitetna orodja določena z direktivo, pa ob upoštevanju določb predloga zakona, s katerimi se prenašajo določbe direktive. ECB lahko torej namesto ali poleg zahtev, ki jih določi Banka Slovenije, določi (a) zahteve za kapitalske blažilnike, kot so opredeljene v predlogu zakona, (b) ukrepe po 458. členu Uredbe </w:t>
      </w:r>
      <w:r w:rsidR="00D24496" w:rsidRPr="00215B2F">
        <w:rPr>
          <w:rFonts w:ascii="Arial" w:hAnsi="Arial" w:cs="Arial"/>
          <w:sz w:val="20"/>
          <w:szCs w:val="20"/>
        </w:rPr>
        <w:t xml:space="preserve">575/2013/EU </w:t>
      </w:r>
      <w:r w:rsidRPr="00215B2F">
        <w:rPr>
          <w:rFonts w:ascii="Arial" w:hAnsi="Arial" w:cs="Arial"/>
          <w:sz w:val="20"/>
          <w:szCs w:val="20"/>
        </w:rPr>
        <w:t xml:space="preserve">in (c) vse druge ukrepe, ki jih lahko sprejme Banka Slovenije za odpravljanje sistemskih ali makrobonitetnih tveganj, kot so določeni v Uredbi </w:t>
      </w:r>
      <w:r w:rsidR="00D24496" w:rsidRPr="00215B2F">
        <w:rPr>
          <w:rFonts w:ascii="Arial" w:hAnsi="Arial" w:cs="Arial"/>
          <w:sz w:val="20"/>
          <w:szCs w:val="20"/>
        </w:rPr>
        <w:t>575/2013/EU</w:t>
      </w:r>
      <w:r w:rsidRPr="00215B2F">
        <w:rPr>
          <w:rFonts w:ascii="Arial" w:hAnsi="Arial" w:cs="Arial"/>
          <w:sz w:val="20"/>
          <w:szCs w:val="20"/>
        </w:rPr>
        <w:t xml:space="preserve"> in predlogu zakona, ki prenaša CRD. Makrobonitetni postopki, ki jih uporabi ECB, ne pomenijo nadzorniških postopkov ECB, kadar ECB določi zahteve, ki so naslovljene na posamezno banko, pa se uporabljajo določbe 22. člena Uredbe 1024/2013/EU o postopku pri sprejemanju nadzorniških odločitev ECB. </w:t>
      </w:r>
    </w:p>
    <w:p w14:paraId="6B9E535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3EFC03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bookmarkStart w:id="622" w:name="_Hlk203395551"/>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_Ref202965534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273</w:t>
      </w:r>
      <w:r w:rsidRPr="00215B2F">
        <w:rPr>
          <w:rFonts w:ascii="Arial" w:hAnsi="Arial" w:cs="Arial"/>
          <w:b/>
          <w:bCs/>
          <w:sz w:val="20"/>
          <w:szCs w:val="20"/>
        </w:rPr>
        <w:fldChar w:fldCharType="end"/>
      </w:r>
      <w:r w:rsidRPr="00215B2F">
        <w:rPr>
          <w:rFonts w:ascii="Arial" w:hAnsi="Arial" w:cs="Arial"/>
          <w:b/>
          <w:bCs/>
          <w:sz w:val="20"/>
          <w:szCs w:val="20"/>
        </w:rPr>
        <w:t>. členu (veljavni 231. člen ZBan-3)</w:t>
      </w:r>
    </w:p>
    <w:p w14:paraId="0FACE940" w14:textId="77777777" w:rsidR="0010347E" w:rsidRPr="00215B2F" w:rsidRDefault="0010347E" w:rsidP="0010347E">
      <w:pPr>
        <w:pStyle w:val="Alineazaodstavkom"/>
        <w:numPr>
          <w:ilvl w:val="0"/>
          <w:numId w:val="0"/>
        </w:numPr>
        <w:shd w:val="clear" w:color="auto" w:fill="FFFFFF" w:themeFill="background1"/>
        <w:ind w:left="425" w:hanging="425"/>
        <w:rPr>
          <w:rFonts w:cs="Arial"/>
          <w:sz w:val="20"/>
          <w:szCs w:val="20"/>
        </w:rPr>
      </w:pPr>
    </w:p>
    <w:p w14:paraId="777D00BB" w14:textId="17E0B56F"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(231. člen) ni vsebinskih sprememb. Predlog člena določa, da mora banka vzdrževati varovalni kapitalski blažilnik v višini 2,5 % skupne izpostavljenosti tveganjem, izračunane na posamični in konsolidirani podlagi, v skladu z Uredbo </w:t>
      </w:r>
      <w:r w:rsidR="00D24496" w:rsidRPr="00215B2F">
        <w:rPr>
          <w:rFonts w:cs="Arial"/>
          <w:sz w:val="20"/>
          <w:szCs w:val="20"/>
        </w:rPr>
        <w:t>575/2013/EU</w:t>
      </w:r>
      <w:r w:rsidRPr="00215B2F">
        <w:rPr>
          <w:rFonts w:cs="Arial"/>
          <w:sz w:val="20"/>
          <w:szCs w:val="20"/>
        </w:rPr>
        <w:t>. Ta blažilnik mora biti v celoti krit z navadnim lastniškim temeljnim kapitalom. Poleg tega se določa, da tega kapitala banka ne sme uporabiti za izpolnjevanje osnovnih kapitalskih zahtev iz prvega odstavka 92. člena navedene uredbe, s čimer se zagotavlja dodatna kapitalska odpornost banke.</w:t>
      </w:r>
    </w:p>
    <w:p w14:paraId="119206E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A1EFD2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_Ref202965540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274</w:t>
      </w:r>
      <w:r w:rsidRPr="00215B2F">
        <w:rPr>
          <w:rFonts w:ascii="Arial" w:hAnsi="Arial" w:cs="Arial"/>
          <w:b/>
          <w:bCs/>
          <w:sz w:val="20"/>
          <w:szCs w:val="20"/>
        </w:rPr>
        <w:fldChar w:fldCharType="end"/>
      </w:r>
      <w:r w:rsidRPr="00215B2F">
        <w:rPr>
          <w:rFonts w:ascii="Arial" w:hAnsi="Arial" w:cs="Arial"/>
          <w:b/>
          <w:bCs/>
          <w:sz w:val="20"/>
          <w:szCs w:val="20"/>
        </w:rPr>
        <w:t>. členu (veljavni 232. člen ZBan-3)</w:t>
      </w:r>
    </w:p>
    <w:p w14:paraId="01E33823"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04ED3E35"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(232. člen) ni vsebinskih sprememb. Predlog člena določa obveznost banke, da vzdržuje lastni proticiklični kapitalski blažilnik, ki se izračuna kot produkt skupne izpostavljenosti tveganjem in tehtanega povprečja stopenj proticikličnega blažilnika, veljavnih v državah, kjer ima banka kreditne izpostavljenosti. Ta blažilnik mora biti v celoti krit z navadnim lastniškim temeljnim kapitalom. Podrobnejša pravila za izračun teh stopenj bo predpisala Banka Slovenije.</w:t>
      </w:r>
    </w:p>
    <w:p w14:paraId="1C78202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776E2D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_Ref202965549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275</w:t>
      </w:r>
      <w:r w:rsidRPr="00215B2F">
        <w:rPr>
          <w:rFonts w:ascii="Arial" w:hAnsi="Arial" w:cs="Arial"/>
          <w:b/>
          <w:bCs/>
          <w:sz w:val="20"/>
          <w:szCs w:val="20"/>
        </w:rPr>
        <w:fldChar w:fldCharType="end"/>
      </w:r>
      <w:r w:rsidRPr="00215B2F">
        <w:rPr>
          <w:rFonts w:ascii="Arial" w:hAnsi="Arial" w:cs="Arial"/>
          <w:b/>
          <w:bCs/>
          <w:sz w:val="20"/>
          <w:szCs w:val="20"/>
        </w:rPr>
        <w:t>. členu (veljavni 233. člen ZBan-3)</w:t>
      </w:r>
    </w:p>
    <w:p w14:paraId="36E8F270" w14:textId="77777777" w:rsidR="0010347E" w:rsidRPr="00215B2F" w:rsidRDefault="0010347E" w:rsidP="0010347E">
      <w:pPr>
        <w:pStyle w:val="Alineazaodstavkom"/>
        <w:numPr>
          <w:ilvl w:val="0"/>
          <w:numId w:val="0"/>
        </w:numPr>
        <w:shd w:val="clear" w:color="auto" w:fill="FFFFFF" w:themeFill="background1"/>
        <w:ind w:left="425" w:hanging="425"/>
        <w:rPr>
          <w:rFonts w:cs="Arial"/>
          <w:sz w:val="20"/>
          <w:szCs w:val="20"/>
        </w:rPr>
      </w:pPr>
    </w:p>
    <w:bookmarkEnd w:id="622"/>
    <w:p w14:paraId="21A987CF" w14:textId="77777777" w:rsidR="0010347E" w:rsidRPr="00215B2F" w:rsidRDefault="0010347E" w:rsidP="0010347E">
      <w:pPr>
        <w:pStyle w:val="Navadensplet"/>
        <w:shd w:val="clear" w:color="auto" w:fill="FFFFFF" w:themeFill="background1"/>
        <w:spacing w:after="0"/>
        <w:ind w:right="225"/>
        <w:rPr>
          <w:rFonts w:ascii="Arial" w:hAnsi="Arial" w:cs="Arial"/>
          <w:color w:val="auto"/>
          <w:sz w:val="20"/>
          <w:szCs w:val="20"/>
        </w:rPr>
      </w:pPr>
      <w:r w:rsidRPr="00215B2F">
        <w:rPr>
          <w:rFonts w:ascii="Arial" w:hAnsi="Arial" w:cs="Arial"/>
          <w:color w:val="auto"/>
          <w:sz w:val="20"/>
          <w:szCs w:val="20"/>
        </w:rPr>
        <w:lastRenderedPageBreak/>
        <w:t xml:space="preserve">V primerjavi z ZBan-3 (233. člen) ni vsebinskih sprememb. Predlog člena določa, da Banka Slovenije četrtletno izračunava vodilo za proticiklični kapitalski blažilnik, ki temelji na odstopanju razmerja med krediti in BDP od dolgoročnega trenda, ob upoštevanju rasti kreditov in smernic Evropskega odbora za sistemska tveganja. Na podlagi ocene cikličnega sistemskega tveganja nato določi ali prilagodi stopnjo proticikličnega blažilnika za Slovenijo. Pri tem upošteva izračunano vodilo, evropske smernice in druge pomembne dejavnike, ki vplivajo na oceno tveganj. S členom se delno prenaša 136. člen CRD. </w:t>
      </w:r>
    </w:p>
    <w:p w14:paraId="7FCBD0DC" w14:textId="77777777" w:rsidR="0010347E" w:rsidRPr="00215B2F" w:rsidRDefault="0010347E" w:rsidP="0010347E">
      <w:pPr>
        <w:pStyle w:val="Navadensplet"/>
        <w:shd w:val="clear" w:color="auto" w:fill="FFFFFF" w:themeFill="background1"/>
        <w:spacing w:after="0"/>
        <w:ind w:right="225"/>
        <w:rPr>
          <w:rFonts w:ascii="Arial" w:hAnsi="Arial" w:cs="Arial"/>
          <w:color w:val="auto"/>
          <w:sz w:val="20"/>
          <w:szCs w:val="20"/>
        </w:rPr>
      </w:pPr>
    </w:p>
    <w:p w14:paraId="49187EC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_Ref202965556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276</w:t>
      </w:r>
      <w:r w:rsidRPr="00215B2F">
        <w:rPr>
          <w:rFonts w:ascii="Arial" w:hAnsi="Arial" w:cs="Arial"/>
          <w:b/>
          <w:bCs/>
          <w:sz w:val="20"/>
          <w:szCs w:val="20"/>
        </w:rPr>
        <w:fldChar w:fldCharType="end"/>
      </w:r>
      <w:r w:rsidRPr="00215B2F">
        <w:rPr>
          <w:rFonts w:ascii="Arial" w:hAnsi="Arial" w:cs="Arial"/>
          <w:b/>
          <w:bCs/>
          <w:sz w:val="20"/>
          <w:szCs w:val="20"/>
        </w:rPr>
        <w:t>. členu (veljavni 234. člen ZBan-3)</w:t>
      </w:r>
    </w:p>
    <w:p w14:paraId="4BC3B59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E1B1969" w14:textId="77777777" w:rsidR="0010347E" w:rsidRPr="00215B2F" w:rsidRDefault="0010347E" w:rsidP="0010347E">
      <w:pPr>
        <w:pStyle w:val="Navadensplet"/>
        <w:shd w:val="clear" w:color="auto" w:fill="FFFFFF" w:themeFill="background1"/>
        <w:spacing w:after="0"/>
        <w:ind w:right="225"/>
        <w:rPr>
          <w:rFonts w:ascii="Arial" w:hAnsi="Arial" w:cs="Arial"/>
          <w:color w:val="auto"/>
          <w:sz w:val="20"/>
          <w:szCs w:val="20"/>
        </w:rPr>
      </w:pPr>
      <w:r w:rsidRPr="00215B2F">
        <w:rPr>
          <w:rFonts w:ascii="Arial" w:hAnsi="Arial" w:cs="Arial"/>
          <w:color w:val="auto"/>
          <w:sz w:val="20"/>
          <w:szCs w:val="20"/>
        </w:rPr>
        <w:t>V primerjavi z ZBan-3 (234. člen) ni vsebinskih sprememb. S členom se delno prenaša 136. člen CRD. Banka Slovenije določi stopnjo proticikličnega blažilnika za Republiko Slovenijo v razponu med 0 % in 2,5 % zneska skupne izpostavljenosti tveganjem, pri čemer se stopnja določa v korakih po 0,25 odstotne točke ali z večkratniki 0,25 odstotne točke.</w:t>
      </w:r>
    </w:p>
    <w:p w14:paraId="60AA8EA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A2FC81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_Ref202965563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277</w:t>
      </w:r>
      <w:r w:rsidRPr="00215B2F">
        <w:rPr>
          <w:rFonts w:ascii="Arial" w:hAnsi="Arial" w:cs="Arial"/>
          <w:b/>
          <w:bCs/>
          <w:sz w:val="20"/>
          <w:szCs w:val="20"/>
        </w:rPr>
        <w:fldChar w:fldCharType="end"/>
      </w:r>
      <w:r w:rsidRPr="00215B2F">
        <w:rPr>
          <w:rFonts w:ascii="Arial" w:hAnsi="Arial" w:cs="Arial"/>
          <w:b/>
          <w:bCs/>
          <w:sz w:val="20"/>
          <w:szCs w:val="20"/>
        </w:rPr>
        <w:t>. členu (veljavni 235. člen ZBan-3)</w:t>
      </w:r>
    </w:p>
    <w:p w14:paraId="661C7E0F"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6E1D05E0"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(235. člen) ni vsebinskih sprememb. S členom se delno prenaša 136. člen CRD. Določen je začetek uporabe proticikličnega blažilnika.</w:t>
      </w:r>
    </w:p>
    <w:p w14:paraId="6A7748F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D3685B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_Ref202965569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278</w:t>
      </w:r>
      <w:r w:rsidRPr="00215B2F">
        <w:rPr>
          <w:rFonts w:ascii="Arial" w:hAnsi="Arial" w:cs="Arial"/>
          <w:b/>
          <w:bCs/>
          <w:sz w:val="20"/>
          <w:szCs w:val="20"/>
        </w:rPr>
        <w:fldChar w:fldCharType="end"/>
      </w:r>
      <w:r w:rsidRPr="00215B2F">
        <w:rPr>
          <w:rFonts w:ascii="Arial" w:hAnsi="Arial" w:cs="Arial"/>
          <w:b/>
          <w:bCs/>
          <w:sz w:val="20"/>
          <w:szCs w:val="20"/>
        </w:rPr>
        <w:t>. členu (veljavni 236. člen ZBan-3)</w:t>
      </w:r>
    </w:p>
    <w:p w14:paraId="2FB5A05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5D50D09" w14:textId="77777777" w:rsidR="0010347E" w:rsidRPr="00215B2F" w:rsidRDefault="0010347E" w:rsidP="0010347E">
      <w:pPr>
        <w:pStyle w:val="Navadensplet"/>
        <w:shd w:val="clear" w:color="auto" w:fill="FFFFFF" w:themeFill="background1"/>
        <w:tabs>
          <w:tab w:val="left" w:pos="3261"/>
        </w:tabs>
        <w:spacing w:after="0"/>
        <w:ind w:right="225"/>
        <w:rPr>
          <w:rFonts w:ascii="Arial" w:hAnsi="Arial" w:cs="Arial"/>
          <w:color w:val="auto"/>
          <w:sz w:val="20"/>
          <w:szCs w:val="20"/>
        </w:rPr>
      </w:pPr>
      <w:r w:rsidRPr="00215B2F">
        <w:rPr>
          <w:rFonts w:ascii="Arial" w:hAnsi="Arial" w:cs="Arial"/>
          <w:color w:val="auto"/>
          <w:sz w:val="20"/>
          <w:szCs w:val="20"/>
        </w:rPr>
        <w:t>V primerjavi z ZBan-3 (236. člen) ni vsebinskih sprememb. S členom se prenašata 137. in 140. člen CRD. Določena so pravila glede priznavanje stopenj proticikličnega blažilnika, ki presegajo 2,5 %, ko imenovani organ druge države določi stopnjo proticikličnega blažilnika za to državo, ki presega 2,5 % zneska skupne izpostavljenosti tveganjem. Banka Slovenije lahko: (i) prizna to stopnjo blažilnika za namene izračuna banki lastnega proticikličnega kapitalskega blažilnika; (ii) če Banka Slovenije ne prizna stopnje proticikličnega blažilnika druge države, ki presega 2,5 % zneska skupne izpostavljenosti tveganjem, banke pri izračunu svojega lastnega proticikličnega kapitalskega blažilnika v zvezi z izpostavljenostmi v tej državi članici ali tretji državi upoštevajo stopnjo proticikličnega blažilnika v višini 2,5 %.</w:t>
      </w:r>
    </w:p>
    <w:p w14:paraId="3961ED8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CE25D6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_Ref202965579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279</w:t>
      </w:r>
      <w:r w:rsidRPr="00215B2F">
        <w:rPr>
          <w:rFonts w:ascii="Arial" w:hAnsi="Arial" w:cs="Arial"/>
          <w:b/>
          <w:bCs/>
          <w:sz w:val="20"/>
          <w:szCs w:val="20"/>
        </w:rPr>
        <w:fldChar w:fldCharType="end"/>
      </w:r>
      <w:r w:rsidRPr="00215B2F">
        <w:rPr>
          <w:rFonts w:ascii="Arial" w:hAnsi="Arial" w:cs="Arial"/>
          <w:b/>
          <w:bCs/>
          <w:sz w:val="20"/>
          <w:szCs w:val="20"/>
        </w:rPr>
        <w:t>. členu (veljavni 237. člen ZBan-3)</w:t>
      </w:r>
    </w:p>
    <w:p w14:paraId="132576C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F4AAC00"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(237. člen) ni vsebinskih sprememb. S členom se prenašata 138. in 139. člen CRD. Določena so pravila glede odločitve o stopnjah proticikličnega blažilnika za izpostavljenosti bank v tretjih državah. </w:t>
      </w:r>
    </w:p>
    <w:p w14:paraId="0EB5519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D07122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_Ref202965585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280</w:t>
      </w:r>
      <w:r w:rsidRPr="00215B2F">
        <w:rPr>
          <w:rFonts w:ascii="Arial" w:hAnsi="Arial" w:cs="Arial"/>
          <w:b/>
          <w:bCs/>
          <w:sz w:val="20"/>
          <w:szCs w:val="20"/>
        </w:rPr>
        <w:fldChar w:fldCharType="end"/>
      </w:r>
      <w:r w:rsidRPr="00215B2F">
        <w:rPr>
          <w:rFonts w:ascii="Arial" w:hAnsi="Arial" w:cs="Arial"/>
          <w:b/>
          <w:bCs/>
          <w:sz w:val="20"/>
          <w:szCs w:val="20"/>
        </w:rPr>
        <w:t>. členu (veljavni 238. člen ZBan-3)</w:t>
      </w:r>
    </w:p>
    <w:p w14:paraId="735019E9"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62FF053D" w14:textId="77777777" w:rsidR="0010347E" w:rsidRPr="00215B2F" w:rsidRDefault="0010347E" w:rsidP="0010347E">
      <w:pPr>
        <w:pStyle w:val="tevilnatoka"/>
        <w:numPr>
          <w:ilvl w:val="0"/>
          <w:numId w:val="0"/>
        </w:numPr>
        <w:shd w:val="clear" w:color="auto" w:fill="FFFFFF" w:themeFill="background1"/>
        <w:rPr>
          <w:rFonts w:cs="Arial"/>
          <w:b/>
          <w:sz w:val="20"/>
          <w:szCs w:val="20"/>
        </w:rPr>
      </w:pPr>
      <w:r w:rsidRPr="00215B2F">
        <w:rPr>
          <w:rFonts w:cs="Arial"/>
          <w:sz w:val="20"/>
          <w:szCs w:val="20"/>
        </w:rPr>
        <w:t>V primerjavi z ZBan-3 (280. člen) ni vsebinskih sprememb.</w:t>
      </w:r>
      <w:r w:rsidRPr="00215B2F">
        <w:rPr>
          <w:rFonts w:cs="Arial"/>
          <w:b/>
          <w:sz w:val="20"/>
          <w:szCs w:val="20"/>
        </w:rPr>
        <w:t xml:space="preserve"> </w:t>
      </w:r>
      <w:r w:rsidRPr="00215B2F">
        <w:rPr>
          <w:rFonts w:cs="Arial"/>
          <w:bCs/>
          <w:sz w:val="20"/>
          <w:szCs w:val="20"/>
        </w:rPr>
        <w:t xml:space="preserve">Predlog člena določa, da Banka Slovenije četrtletno objavi stopnjo proticikličnega kapitalskega blažilnika za Republiko Slovenijo na svoji spletni strani, pri čemer si prizadeva za usklajenost z objavami drugih pristojnih organov. Objava vključuje ključne informacije, kot so veljavna stopnja blažilnika, razmerje med krediti in BDP, izračunano vodilo za blažilnik, utemeljitev stopnje ter podatki o začetku uporabe višje stopnje ali razlogih za zgodnejšo uporabo. V primeru znižanja stopnje se navede tudi pričakovano obdobje stabilnosti. O vsaki spremembi Banka Slovenije uradno obvesti Evropski odbor za sistemska tveganja. </w:t>
      </w:r>
      <w:r w:rsidRPr="00215B2F">
        <w:rPr>
          <w:rFonts w:cs="Arial"/>
          <w:sz w:val="20"/>
          <w:szCs w:val="20"/>
        </w:rPr>
        <w:t xml:space="preserve">S členom se prenaša 136. člen CRD. </w:t>
      </w:r>
    </w:p>
    <w:p w14:paraId="6C78F04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4A1BB7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_Ref202965593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281</w:t>
      </w:r>
      <w:r w:rsidRPr="00215B2F">
        <w:rPr>
          <w:rFonts w:ascii="Arial" w:hAnsi="Arial" w:cs="Arial"/>
          <w:b/>
          <w:bCs/>
          <w:sz w:val="20"/>
          <w:szCs w:val="20"/>
        </w:rPr>
        <w:fldChar w:fldCharType="end"/>
      </w:r>
      <w:r w:rsidRPr="00215B2F">
        <w:rPr>
          <w:rFonts w:ascii="Arial" w:hAnsi="Arial" w:cs="Arial"/>
          <w:b/>
          <w:bCs/>
          <w:sz w:val="20"/>
          <w:szCs w:val="20"/>
        </w:rPr>
        <w:t>. členu (veljavni 239. člen ZBan-3)</w:t>
      </w:r>
    </w:p>
    <w:p w14:paraId="2BA2207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5C38930" w14:textId="77777777" w:rsidR="0010347E" w:rsidRPr="00215B2F" w:rsidRDefault="0010347E" w:rsidP="0010347E">
      <w:pPr>
        <w:pStyle w:val="Navadensplet"/>
        <w:shd w:val="clear" w:color="auto" w:fill="FFFFFF" w:themeFill="background1"/>
        <w:spacing w:after="0"/>
        <w:ind w:right="225"/>
        <w:rPr>
          <w:rFonts w:ascii="Arial" w:hAnsi="Arial" w:cs="Arial"/>
          <w:color w:val="auto"/>
          <w:sz w:val="20"/>
          <w:szCs w:val="20"/>
        </w:rPr>
      </w:pPr>
      <w:r w:rsidRPr="00215B2F">
        <w:rPr>
          <w:rFonts w:ascii="Arial" w:hAnsi="Arial" w:cs="Arial"/>
          <w:color w:val="auto"/>
          <w:sz w:val="20"/>
          <w:szCs w:val="20"/>
        </w:rPr>
        <w:t>V primerjavi z ZBan-3 (239. člen) ni vsebinskih sprememb. S členom se prenaša 139. člen CRD. Določena so pravila glede objave. Banka Slovenije na svojih spletnih straneh</w:t>
      </w:r>
      <w:r w:rsidRPr="00215B2F" w:rsidDel="00AB769F">
        <w:rPr>
          <w:rFonts w:ascii="Arial" w:hAnsi="Arial" w:cs="Arial"/>
          <w:color w:val="auto"/>
          <w:sz w:val="20"/>
          <w:szCs w:val="20"/>
        </w:rPr>
        <w:t xml:space="preserve"> </w:t>
      </w:r>
      <w:r w:rsidRPr="00215B2F">
        <w:rPr>
          <w:rFonts w:ascii="Arial" w:hAnsi="Arial" w:cs="Arial"/>
          <w:color w:val="auto"/>
          <w:sz w:val="20"/>
          <w:szCs w:val="20"/>
        </w:rPr>
        <w:t xml:space="preserve">objavi stopnje proticikličnega blažilnika za izpostavljenosti bank v tretji državi s strani Banke Slovenije. </w:t>
      </w:r>
    </w:p>
    <w:p w14:paraId="3972ACC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F5A82C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_Ref202965600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282</w:t>
      </w:r>
      <w:r w:rsidRPr="00215B2F">
        <w:rPr>
          <w:rFonts w:ascii="Arial" w:hAnsi="Arial" w:cs="Arial"/>
          <w:b/>
          <w:bCs/>
          <w:sz w:val="20"/>
          <w:szCs w:val="20"/>
        </w:rPr>
        <w:fldChar w:fldCharType="end"/>
      </w:r>
      <w:r w:rsidRPr="00215B2F">
        <w:rPr>
          <w:rFonts w:ascii="Arial" w:hAnsi="Arial" w:cs="Arial"/>
          <w:b/>
          <w:bCs/>
          <w:sz w:val="20"/>
          <w:szCs w:val="20"/>
        </w:rPr>
        <w:t>. členu (veljavni 240. člen ZBan-3)</w:t>
      </w:r>
    </w:p>
    <w:p w14:paraId="4E576F7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B5B44F4" w14:textId="77777777" w:rsidR="0010347E" w:rsidRPr="00215B2F" w:rsidRDefault="0010347E" w:rsidP="0010347E">
      <w:pPr>
        <w:pStyle w:val="Navadensplet"/>
        <w:shd w:val="clear" w:color="auto" w:fill="FFFFFF" w:themeFill="background1"/>
        <w:spacing w:after="0"/>
        <w:ind w:right="225"/>
        <w:rPr>
          <w:rFonts w:ascii="Arial" w:hAnsi="Arial" w:cs="Arial"/>
          <w:color w:val="auto"/>
          <w:sz w:val="20"/>
          <w:szCs w:val="20"/>
        </w:rPr>
      </w:pPr>
      <w:r w:rsidRPr="00215B2F">
        <w:rPr>
          <w:rFonts w:ascii="Arial" w:hAnsi="Arial" w:cs="Arial"/>
          <w:color w:val="auto"/>
          <w:sz w:val="20"/>
          <w:szCs w:val="20"/>
        </w:rPr>
        <w:t xml:space="preserve">V primerjavi z ZBan-3 (240. člen) ni vsebinskih sprememb. S členom se prenaša 137. člen CRD. S členom se podrobneje določa, katere podatke mora Banka Slovenije objaviti na svoji spletni strani v primeru, ko v skladu z zakonom prizna stopnjo blažilnika za drugo državo članico ali tretjo državo, ki </w:t>
      </w:r>
      <w:r w:rsidRPr="00215B2F">
        <w:rPr>
          <w:rFonts w:ascii="Arial" w:hAnsi="Arial" w:cs="Arial"/>
          <w:color w:val="auto"/>
          <w:sz w:val="20"/>
          <w:szCs w:val="20"/>
        </w:rPr>
        <w:lastRenderedPageBreak/>
        <w:t>presega 2,5 % zneska skupne izpostavljenosti tveganjem (na primer navesti mora državo članico ali tretjo državo, za katero se blažilnik uporablja).</w:t>
      </w:r>
    </w:p>
    <w:p w14:paraId="477104A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5CB72F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_Ref202965612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283</w:t>
      </w:r>
      <w:r w:rsidRPr="00215B2F">
        <w:rPr>
          <w:rFonts w:ascii="Arial" w:hAnsi="Arial" w:cs="Arial"/>
          <w:b/>
          <w:bCs/>
          <w:sz w:val="20"/>
          <w:szCs w:val="20"/>
        </w:rPr>
        <w:fldChar w:fldCharType="end"/>
      </w:r>
      <w:r w:rsidRPr="00215B2F">
        <w:rPr>
          <w:rFonts w:ascii="Arial" w:hAnsi="Arial" w:cs="Arial"/>
          <w:b/>
          <w:bCs/>
          <w:sz w:val="20"/>
          <w:szCs w:val="20"/>
        </w:rPr>
        <w:t>. členu (veljavni 241. člen ZBan-3)</w:t>
      </w:r>
    </w:p>
    <w:p w14:paraId="7906962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CBBD60D" w14:textId="77777777" w:rsidR="0010347E" w:rsidRPr="00215B2F" w:rsidRDefault="0010347E" w:rsidP="0010347E">
      <w:pPr>
        <w:pStyle w:val="Navadensplet"/>
        <w:shd w:val="clear" w:color="auto" w:fill="FFFFFF" w:themeFill="background1"/>
        <w:spacing w:after="0"/>
        <w:ind w:right="227"/>
        <w:rPr>
          <w:rFonts w:ascii="Arial" w:hAnsi="Arial" w:cs="Arial"/>
          <w:color w:val="auto"/>
          <w:sz w:val="20"/>
          <w:szCs w:val="20"/>
        </w:rPr>
      </w:pPr>
      <w:r w:rsidRPr="00215B2F">
        <w:rPr>
          <w:rFonts w:ascii="Arial" w:hAnsi="Arial" w:cs="Arial"/>
          <w:color w:val="auto"/>
          <w:sz w:val="20"/>
          <w:szCs w:val="20"/>
        </w:rPr>
        <w:t xml:space="preserve">V primerjavi z ZBan-3 (241. člen) ni vsebinskih sprememb. S členom se prenaša 131. člen CRD. </w:t>
      </w:r>
    </w:p>
    <w:p w14:paraId="1D0F6FE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4443605"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lahko kot globalno sistemsko pomembno banko (GSPB) določi posamezno banko ali skupino bank s sedežem v Sloveniji, če bi njihov propad ali slabo poslovanje lahko povzročilo sistemsko tveganje globalnega pomena. Določitev temelji na metodologiji, ki vključuje pet enakovredno uteženih kazalnikov: velikost, medsebojno povezanost, nadomestljivost storitev, zapletenost in čezmejno dejavnost. Na podlagi skupnega rezultata teh kazalnikov banka ali skupina dobi razvrstitev v eno od petih podkategorij GSPB, kar vpliva na višino kapitalskega blažilnika, ki ga mora vzdrževati. V posebnih okoliščinah lahko Banka Slovenije odstopi od rezultatov metodologije in banko prerazvrsti ali določi kot GSPB, tudi če ne dosega praga.</w:t>
      </w:r>
    </w:p>
    <w:p w14:paraId="77D966DB" w14:textId="77777777" w:rsidR="0010347E" w:rsidRPr="00215B2F" w:rsidRDefault="0010347E" w:rsidP="0010347E">
      <w:pPr>
        <w:pStyle w:val="Odstavek"/>
        <w:shd w:val="clear" w:color="auto" w:fill="FFFFFF" w:themeFill="background1"/>
        <w:spacing w:before="0"/>
        <w:ind w:firstLine="0"/>
        <w:rPr>
          <w:rFonts w:cs="Arial"/>
          <w:b/>
          <w:bCs/>
          <w:sz w:val="20"/>
          <w:szCs w:val="20"/>
        </w:rPr>
      </w:pPr>
    </w:p>
    <w:p w14:paraId="6A4BE84D"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letno preverja razvrstitev GSPB in lahko na podlagi nove ocene spremeni podkategorijo ali ugotovi, da banka ne izpolnjuje več meril za GSPB. V takih primerih določi novo podkategorijo ali odpravi status GSPB ter določi rok za prilagoditev kapitalskih zahtev. O vseh spremembah obvesti Evropski odbor za sistemska tveganja in objavi razvrstitev na svoji spletni strani. Poleg tega mora podatke o razvrstitvi in metodologiji predložiti na evropsko enotno točko dostopa v strukturirani obliki z ustreznimi metapodatki, kar zagotavlja preglednost in dostopnost informacij na ravni EU.</w:t>
      </w:r>
    </w:p>
    <w:p w14:paraId="7D1BBED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C753B6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_Ref202965633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284</w:t>
      </w:r>
      <w:r w:rsidRPr="00215B2F">
        <w:rPr>
          <w:rFonts w:ascii="Arial" w:hAnsi="Arial" w:cs="Arial"/>
          <w:b/>
          <w:bCs/>
          <w:sz w:val="20"/>
          <w:szCs w:val="20"/>
        </w:rPr>
        <w:fldChar w:fldCharType="end"/>
      </w:r>
      <w:r w:rsidRPr="00215B2F">
        <w:rPr>
          <w:rFonts w:ascii="Arial" w:hAnsi="Arial" w:cs="Arial"/>
          <w:b/>
          <w:bCs/>
          <w:sz w:val="20"/>
          <w:szCs w:val="20"/>
        </w:rPr>
        <w:t>. členu (veljavni 242. člen ZBan-3)</w:t>
      </w:r>
    </w:p>
    <w:p w14:paraId="2874136B"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0819AA2B"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(242. člen) ni vsebinskih sprememb. S členom se prenaša 131. člen CRD. </w:t>
      </w:r>
    </w:p>
    <w:p w14:paraId="5BA1F33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EFD26CD" w14:textId="49FE4D22"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lahko kot </w:t>
      </w:r>
      <w:r w:rsidR="001C4079" w:rsidRPr="00215B2F">
        <w:rPr>
          <w:rFonts w:cs="Arial"/>
          <w:sz w:val="20"/>
          <w:szCs w:val="20"/>
        </w:rPr>
        <w:t xml:space="preserve">drugo </w:t>
      </w:r>
      <w:r w:rsidRPr="00215B2F">
        <w:rPr>
          <w:rFonts w:cs="Arial"/>
          <w:sz w:val="20"/>
          <w:szCs w:val="20"/>
        </w:rPr>
        <w:t>sistemsko pomembno banko (DSPB) določi posamezno banko ali skupino bank s sedežem v Sloveniji, če bi njihov propad ali slabo poslovanje lahko povzročilo sistemsko tveganje za slovenski finančni sistem. Pri tem upošteva merila, kot so velikost, pomen za gospodarstvo, pomen čezmejnih dejavnosti in medsebojna povezanost s finančnim sistemom. Ob določitvi DSPB določi tudi ustrezno stopnjo kapitalskega blažilnika in rok za njegovo izpolnitev. Status DSPB in višina blažilnika se letno preverjata, spremembe pa se sporočijo Evropskemu odboru za sistemska tveganja in objavijo na spletni strani Banke Slovenije. Podatki se pošljejo tudi na evropsko enotno točko dostopa v strukturirani obliki z ustreznimi metapodatki.</w:t>
      </w:r>
    </w:p>
    <w:p w14:paraId="00C676C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8C8080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_Ref202965640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285</w:t>
      </w:r>
      <w:r w:rsidRPr="00215B2F">
        <w:rPr>
          <w:rFonts w:ascii="Arial" w:hAnsi="Arial" w:cs="Arial"/>
          <w:b/>
          <w:bCs/>
          <w:sz w:val="20"/>
          <w:szCs w:val="20"/>
        </w:rPr>
        <w:fldChar w:fldCharType="end"/>
      </w:r>
      <w:r w:rsidRPr="00215B2F">
        <w:rPr>
          <w:rFonts w:ascii="Arial" w:hAnsi="Arial" w:cs="Arial"/>
          <w:b/>
          <w:bCs/>
          <w:sz w:val="20"/>
          <w:szCs w:val="20"/>
        </w:rPr>
        <w:t>. členu (veljavni 243. člen ZBan-3)</w:t>
      </w:r>
    </w:p>
    <w:p w14:paraId="0CE832C3"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42F00F59"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0E899F2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(243. člen) ni vsebinskih sprememb. S členom se prenaša 131. člen CRD. </w:t>
      </w:r>
    </w:p>
    <w:p w14:paraId="50AA67A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456D05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Globalno sistemsko pomembna banka (GSPB) mora na konsolidirani podlagi vzdrževati kapitalski blažilnik, katerega višina je odvisna od podkategorije, v katero je razvrščena. Višina blažilnika se giblje od 1 % skupne izpostavljenosti tveganjem za najnižjo podkategorijo do 3,5 % za najvišjo. Ta zahteva se izpolnjuje izključno z navadnim lastniškim temeljnim kapitalom, kar zagotavlja dodatno kapitalsko odpornost bank z največjim sistemskim pomenom.</w:t>
      </w:r>
    </w:p>
    <w:p w14:paraId="0182E084"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14EBCBB2" w14:textId="77777777" w:rsidR="0010347E" w:rsidRPr="00215B2F" w:rsidRDefault="0010347E" w:rsidP="0010347E">
      <w:pPr>
        <w:pStyle w:val="Navadensplet"/>
        <w:shd w:val="clear" w:color="auto" w:fill="FFFFFF" w:themeFill="background1"/>
        <w:spacing w:after="0"/>
        <w:ind w:right="225"/>
        <w:rPr>
          <w:rFonts w:ascii="Arial" w:hAnsi="Arial" w:cs="Arial"/>
          <w:color w:val="auto"/>
          <w:sz w:val="20"/>
          <w:szCs w:val="20"/>
        </w:rPr>
      </w:pPr>
      <w:r w:rsidRPr="00215B2F">
        <w:rPr>
          <w:rFonts w:ascii="Arial" w:hAnsi="Arial" w:cs="Arial"/>
          <w:color w:val="auto"/>
          <w:sz w:val="20"/>
          <w:szCs w:val="20"/>
        </w:rPr>
        <w:t xml:space="preserve">Skupaj je pet kategorij, višina blažilnika za posamezno kategorijo pa je prikazana v spodnji preglednici: </w:t>
      </w:r>
    </w:p>
    <w:p w14:paraId="34F237CB" w14:textId="77777777" w:rsidR="0010347E" w:rsidRPr="00215B2F" w:rsidRDefault="0010347E" w:rsidP="0010347E">
      <w:pPr>
        <w:pStyle w:val="Navadensplet"/>
        <w:shd w:val="clear" w:color="auto" w:fill="FFFFFF" w:themeFill="background1"/>
        <w:spacing w:after="0"/>
        <w:ind w:right="225"/>
        <w:rPr>
          <w:rFonts w:ascii="Arial" w:hAnsi="Arial" w:cs="Arial"/>
          <w:color w:val="auto"/>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06"/>
        <w:gridCol w:w="1650"/>
      </w:tblGrid>
      <w:tr w:rsidR="0010347E" w:rsidRPr="00215B2F" w14:paraId="3E338831" w14:textId="77777777" w:rsidTr="00F624EB">
        <w:trPr>
          <w:jc w:val="center"/>
        </w:trPr>
        <w:tc>
          <w:tcPr>
            <w:tcW w:w="1306" w:type="dxa"/>
          </w:tcPr>
          <w:p w14:paraId="4B533AB4" w14:textId="77777777" w:rsidR="0010347E" w:rsidRPr="00215B2F" w:rsidRDefault="0010347E" w:rsidP="00F624EB">
            <w:pPr>
              <w:shd w:val="clear" w:color="auto" w:fill="FFFFFF" w:themeFill="background1"/>
              <w:spacing w:after="0" w:line="240" w:lineRule="auto"/>
              <w:jc w:val="both"/>
              <w:rPr>
                <w:rFonts w:ascii="Arial" w:hAnsi="Arial" w:cs="Arial"/>
                <w:sz w:val="20"/>
                <w:szCs w:val="20"/>
              </w:rPr>
            </w:pPr>
            <w:r w:rsidRPr="00215B2F">
              <w:rPr>
                <w:rFonts w:ascii="Arial" w:hAnsi="Arial" w:cs="Arial"/>
                <w:b/>
                <w:bCs/>
                <w:kern w:val="24"/>
                <w:sz w:val="20"/>
                <w:szCs w:val="20"/>
              </w:rPr>
              <w:t>Kategorija</w:t>
            </w:r>
          </w:p>
        </w:tc>
        <w:tc>
          <w:tcPr>
            <w:tcW w:w="1650" w:type="dxa"/>
          </w:tcPr>
          <w:p w14:paraId="52FFE651" w14:textId="77777777" w:rsidR="0010347E" w:rsidRPr="00215B2F" w:rsidRDefault="0010347E" w:rsidP="00F624EB">
            <w:pPr>
              <w:shd w:val="clear" w:color="auto" w:fill="FFFFFF" w:themeFill="background1"/>
              <w:spacing w:after="0" w:line="240" w:lineRule="auto"/>
              <w:jc w:val="both"/>
              <w:rPr>
                <w:rFonts w:ascii="Arial" w:hAnsi="Arial" w:cs="Arial"/>
                <w:sz w:val="20"/>
                <w:szCs w:val="20"/>
              </w:rPr>
            </w:pPr>
            <w:r w:rsidRPr="00215B2F">
              <w:rPr>
                <w:rFonts w:ascii="Arial" w:hAnsi="Arial" w:cs="Arial"/>
                <w:b/>
                <w:bCs/>
                <w:kern w:val="24"/>
                <w:sz w:val="20"/>
                <w:szCs w:val="20"/>
              </w:rPr>
              <w:t>GSPI blažilnik</w:t>
            </w:r>
          </w:p>
        </w:tc>
      </w:tr>
      <w:tr w:rsidR="0010347E" w:rsidRPr="00215B2F" w14:paraId="43CF3B9D" w14:textId="77777777" w:rsidTr="00F624EB">
        <w:trPr>
          <w:jc w:val="center"/>
        </w:trPr>
        <w:tc>
          <w:tcPr>
            <w:tcW w:w="1306" w:type="dxa"/>
          </w:tcPr>
          <w:p w14:paraId="59FCA6AD" w14:textId="77777777" w:rsidR="0010347E" w:rsidRPr="00215B2F" w:rsidRDefault="0010347E" w:rsidP="00F624EB">
            <w:pPr>
              <w:shd w:val="clear" w:color="auto" w:fill="FFFFFF" w:themeFill="background1"/>
              <w:spacing w:after="0" w:line="240" w:lineRule="auto"/>
              <w:jc w:val="center"/>
              <w:rPr>
                <w:rFonts w:ascii="Arial" w:hAnsi="Arial" w:cs="Arial"/>
                <w:sz w:val="20"/>
                <w:szCs w:val="20"/>
              </w:rPr>
            </w:pPr>
            <w:r w:rsidRPr="00215B2F">
              <w:rPr>
                <w:rFonts w:ascii="Arial" w:hAnsi="Arial" w:cs="Arial"/>
                <w:kern w:val="24"/>
                <w:sz w:val="20"/>
                <w:szCs w:val="20"/>
              </w:rPr>
              <w:t>5</w:t>
            </w:r>
          </w:p>
        </w:tc>
        <w:tc>
          <w:tcPr>
            <w:tcW w:w="1650" w:type="dxa"/>
          </w:tcPr>
          <w:p w14:paraId="4C9323BF" w14:textId="77777777" w:rsidR="0010347E" w:rsidRPr="00215B2F" w:rsidRDefault="0010347E" w:rsidP="00F624EB">
            <w:pPr>
              <w:shd w:val="clear" w:color="auto" w:fill="FFFFFF" w:themeFill="background1"/>
              <w:spacing w:after="0" w:line="240" w:lineRule="auto"/>
              <w:jc w:val="center"/>
              <w:rPr>
                <w:rFonts w:ascii="Arial" w:hAnsi="Arial" w:cs="Arial"/>
                <w:sz w:val="20"/>
                <w:szCs w:val="20"/>
              </w:rPr>
            </w:pPr>
            <w:r w:rsidRPr="00215B2F">
              <w:rPr>
                <w:rFonts w:ascii="Arial" w:hAnsi="Arial" w:cs="Arial"/>
                <w:kern w:val="24"/>
                <w:sz w:val="20"/>
                <w:szCs w:val="20"/>
              </w:rPr>
              <w:t>3,5 %</w:t>
            </w:r>
          </w:p>
        </w:tc>
      </w:tr>
      <w:tr w:rsidR="0010347E" w:rsidRPr="00215B2F" w14:paraId="74041B8D" w14:textId="77777777" w:rsidTr="00F624EB">
        <w:trPr>
          <w:jc w:val="center"/>
        </w:trPr>
        <w:tc>
          <w:tcPr>
            <w:tcW w:w="1306" w:type="dxa"/>
          </w:tcPr>
          <w:p w14:paraId="002EDF17" w14:textId="77777777" w:rsidR="0010347E" w:rsidRPr="00215B2F" w:rsidRDefault="0010347E" w:rsidP="00F624EB">
            <w:pPr>
              <w:shd w:val="clear" w:color="auto" w:fill="FFFFFF" w:themeFill="background1"/>
              <w:spacing w:after="0" w:line="240" w:lineRule="auto"/>
              <w:jc w:val="center"/>
              <w:rPr>
                <w:rFonts w:ascii="Arial" w:hAnsi="Arial" w:cs="Arial"/>
                <w:sz w:val="20"/>
                <w:szCs w:val="20"/>
              </w:rPr>
            </w:pPr>
            <w:r w:rsidRPr="00215B2F">
              <w:rPr>
                <w:rFonts w:ascii="Arial" w:hAnsi="Arial" w:cs="Arial"/>
                <w:kern w:val="24"/>
                <w:sz w:val="20"/>
                <w:szCs w:val="20"/>
              </w:rPr>
              <w:t>4</w:t>
            </w:r>
          </w:p>
        </w:tc>
        <w:tc>
          <w:tcPr>
            <w:tcW w:w="1650" w:type="dxa"/>
          </w:tcPr>
          <w:p w14:paraId="21311BCC" w14:textId="77777777" w:rsidR="0010347E" w:rsidRPr="00215B2F" w:rsidRDefault="0010347E" w:rsidP="00F624EB">
            <w:pPr>
              <w:shd w:val="clear" w:color="auto" w:fill="FFFFFF" w:themeFill="background1"/>
              <w:spacing w:after="0" w:line="240" w:lineRule="auto"/>
              <w:jc w:val="center"/>
              <w:rPr>
                <w:rFonts w:ascii="Arial" w:hAnsi="Arial" w:cs="Arial"/>
                <w:sz w:val="20"/>
                <w:szCs w:val="20"/>
              </w:rPr>
            </w:pPr>
            <w:r w:rsidRPr="00215B2F">
              <w:rPr>
                <w:rFonts w:ascii="Arial" w:hAnsi="Arial" w:cs="Arial"/>
                <w:kern w:val="24"/>
                <w:sz w:val="20"/>
                <w:szCs w:val="20"/>
              </w:rPr>
              <w:t>2,5 %</w:t>
            </w:r>
          </w:p>
        </w:tc>
      </w:tr>
      <w:tr w:rsidR="0010347E" w:rsidRPr="00215B2F" w14:paraId="31844044" w14:textId="77777777" w:rsidTr="00F624EB">
        <w:trPr>
          <w:jc w:val="center"/>
        </w:trPr>
        <w:tc>
          <w:tcPr>
            <w:tcW w:w="1306" w:type="dxa"/>
          </w:tcPr>
          <w:p w14:paraId="5CA1F286" w14:textId="77777777" w:rsidR="0010347E" w:rsidRPr="00215B2F" w:rsidRDefault="0010347E" w:rsidP="00F624EB">
            <w:pPr>
              <w:shd w:val="clear" w:color="auto" w:fill="FFFFFF" w:themeFill="background1"/>
              <w:spacing w:after="0" w:line="240" w:lineRule="auto"/>
              <w:jc w:val="center"/>
              <w:rPr>
                <w:rFonts w:ascii="Arial" w:hAnsi="Arial" w:cs="Arial"/>
                <w:sz w:val="20"/>
                <w:szCs w:val="20"/>
              </w:rPr>
            </w:pPr>
            <w:r w:rsidRPr="00215B2F">
              <w:rPr>
                <w:rFonts w:ascii="Arial" w:hAnsi="Arial" w:cs="Arial"/>
                <w:kern w:val="24"/>
                <w:sz w:val="20"/>
                <w:szCs w:val="20"/>
              </w:rPr>
              <w:t>3</w:t>
            </w:r>
          </w:p>
        </w:tc>
        <w:tc>
          <w:tcPr>
            <w:tcW w:w="1650" w:type="dxa"/>
          </w:tcPr>
          <w:p w14:paraId="4BE1D3B9" w14:textId="77777777" w:rsidR="0010347E" w:rsidRPr="00215B2F" w:rsidRDefault="0010347E" w:rsidP="00F624EB">
            <w:pPr>
              <w:shd w:val="clear" w:color="auto" w:fill="FFFFFF" w:themeFill="background1"/>
              <w:spacing w:after="0" w:line="240" w:lineRule="auto"/>
              <w:jc w:val="center"/>
              <w:rPr>
                <w:rFonts w:ascii="Arial" w:hAnsi="Arial" w:cs="Arial"/>
                <w:sz w:val="20"/>
                <w:szCs w:val="20"/>
              </w:rPr>
            </w:pPr>
            <w:r w:rsidRPr="00215B2F">
              <w:rPr>
                <w:rFonts w:ascii="Arial" w:hAnsi="Arial" w:cs="Arial"/>
                <w:kern w:val="24"/>
                <w:sz w:val="20"/>
                <w:szCs w:val="20"/>
              </w:rPr>
              <w:t>2 %</w:t>
            </w:r>
          </w:p>
        </w:tc>
      </w:tr>
      <w:tr w:rsidR="0010347E" w:rsidRPr="00215B2F" w14:paraId="14BDBEAB" w14:textId="77777777" w:rsidTr="00F624EB">
        <w:trPr>
          <w:jc w:val="center"/>
        </w:trPr>
        <w:tc>
          <w:tcPr>
            <w:tcW w:w="1306" w:type="dxa"/>
          </w:tcPr>
          <w:p w14:paraId="39A2454C" w14:textId="77777777" w:rsidR="0010347E" w:rsidRPr="00215B2F" w:rsidRDefault="0010347E" w:rsidP="00F624EB">
            <w:pPr>
              <w:shd w:val="clear" w:color="auto" w:fill="FFFFFF" w:themeFill="background1"/>
              <w:spacing w:after="0" w:line="240" w:lineRule="auto"/>
              <w:jc w:val="center"/>
              <w:rPr>
                <w:rFonts w:ascii="Arial" w:hAnsi="Arial" w:cs="Arial"/>
                <w:sz w:val="20"/>
                <w:szCs w:val="20"/>
              </w:rPr>
            </w:pPr>
            <w:r w:rsidRPr="00215B2F">
              <w:rPr>
                <w:rFonts w:ascii="Arial" w:hAnsi="Arial" w:cs="Arial"/>
                <w:kern w:val="24"/>
                <w:sz w:val="20"/>
                <w:szCs w:val="20"/>
              </w:rPr>
              <w:t>2</w:t>
            </w:r>
          </w:p>
        </w:tc>
        <w:tc>
          <w:tcPr>
            <w:tcW w:w="1650" w:type="dxa"/>
          </w:tcPr>
          <w:p w14:paraId="21495139" w14:textId="77777777" w:rsidR="0010347E" w:rsidRPr="00215B2F" w:rsidRDefault="0010347E" w:rsidP="00F624EB">
            <w:pPr>
              <w:shd w:val="clear" w:color="auto" w:fill="FFFFFF" w:themeFill="background1"/>
              <w:spacing w:after="0" w:line="240" w:lineRule="auto"/>
              <w:jc w:val="center"/>
              <w:rPr>
                <w:rFonts w:ascii="Arial" w:hAnsi="Arial" w:cs="Arial"/>
                <w:sz w:val="20"/>
                <w:szCs w:val="20"/>
              </w:rPr>
            </w:pPr>
            <w:r w:rsidRPr="00215B2F">
              <w:rPr>
                <w:rFonts w:ascii="Arial" w:hAnsi="Arial" w:cs="Arial"/>
                <w:kern w:val="24"/>
                <w:sz w:val="20"/>
                <w:szCs w:val="20"/>
              </w:rPr>
              <w:t>1,5 %</w:t>
            </w:r>
          </w:p>
        </w:tc>
      </w:tr>
      <w:tr w:rsidR="0010347E" w:rsidRPr="00215B2F" w14:paraId="10DCC03E" w14:textId="77777777" w:rsidTr="00F624EB">
        <w:trPr>
          <w:jc w:val="center"/>
        </w:trPr>
        <w:tc>
          <w:tcPr>
            <w:tcW w:w="1306" w:type="dxa"/>
          </w:tcPr>
          <w:p w14:paraId="4E485A1F" w14:textId="77777777" w:rsidR="0010347E" w:rsidRPr="00215B2F" w:rsidRDefault="0010347E" w:rsidP="00F624EB">
            <w:pPr>
              <w:shd w:val="clear" w:color="auto" w:fill="FFFFFF" w:themeFill="background1"/>
              <w:spacing w:after="0" w:line="240" w:lineRule="auto"/>
              <w:jc w:val="center"/>
              <w:rPr>
                <w:rFonts w:ascii="Arial" w:hAnsi="Arial" w:cs="Arial"/>
                <w:sz w:val="20"/>
                <w:szCs w:val="20"/>
              </w:rPr>
            </w:pPr>
            <w:r w:rsidRPr="00215B2F">
              <w:rPr>
                <w:rFonts w:ascii="Arial" w:hAnsi="Arial" w:cs="Arial"/>
                <w:kern w:val="24"/>
                <w:sz w:val="20"/>
                <w:szCs w:val="20"/>
              </w:rPr>
              <w:t>1</w:t>
            </w:r>
          </w:p>
        </w:tc>
        <w:tc>
          <w:tcPr>
            <w:tcW w:w="1650" w:type="dxa"/>
          </w:tcPr>
          <w:p w14:paraId="48B63359" w14:textId="77777777" w:rsidR="0010347E" w:rsidRPr="00215B2F" w:rsidRDefault="0010347E" w:rsidP="00F624EB">
            <w:pPr>
              <w:shd w:val="clear" w:color="auto" w:fill="FFFFFF" w:themeFill="background1"/>
              <w:spacing w:after="0" w:line="240" w:lineRule="auto"/>
              <w:jc w:val="center"/>
              <w:rPr>
                <w:rFonts w:ascii="Arial" w:hAnsi="Arial" w:cs="Arial"/>
                <w:sz w:val="20"/>
                <w:szCs w:val="20"/>
              </w:rPr>
            </w:pPr>
            <w:r w:rsidRPr="00215B2F">
              <w:rPr>
                <w:rFonts w:ascii="Arial" w:hAnsi="Arial" w:cs="Arial"/>
                <w:kern w:val="24"/>
                <w:sz w:val="20"/>
                <w:szCs w:val="20"/>
              </w:rPr>
              <w:t>1 %</w:t>
            </w:r>
          </w:p>
        </w:tc>
      </w:tr>
    </w:tbl>
    <w:p w14:paraId="7FC7B50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B77E73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_Ref202965648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286</w:t>
      </w:r>
      <w:r w:rsidRPr="00215B2F">
        <w:rPr>
          <w:rFonts w:ascii="Arial" w:hAnsi="Arial" w:cs="Arial"/>
          <w:b/>
          <w:bCs/>
          <w:sz w:val="20"/>
          <w:szCs w:val="20"/>
        </w:rPr>
        <w:fldChar w:fldCharType="end"/>
      </w:r>
      <w:r w:rsidRPr="00215B2F">
        <w:rPr>
          <w:rFonts w:ascii="Arial" w:hAnsi="Arial" w:cs="Arial"/>
          <w:b/>
          <w:bCs/>
          <w:sz w:val="20"/>
          <w:szCs w:val="20"/>
        </w:rPr>
        <w:t>. členu (veljavni 244. člen ZBan-3)</w:t>
      </w:r>
    </w:p>
    <w:p w14:paraId="31ED182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FC41902" w14:textId="3BE200D8"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lastRenderedPageBreak/>
        <w:t xml:space="preserve">ZBan-3 (244. člen) določa, da mora </w:t>
      </w:r>
      <w:r w:rsidR="009D7707" w:rsidRPr="00215B2F">
        <w:rPr>
          <w:rFonts w:cs="Arial"/>
          <w:sz w:val="20"/>
          <w:szCs w:val="20"/>
        </w:rPr>
        <w:t xml:space="preserve">druga </w:t>
      </w:r>
      <w:r w:rsidRPr="00215B2F">
        <w:rPr>
          <w:rFonts w:cs="Arial"/>
          <w:sz w:val="20"/>
          <w:szCs w:val="20"/>
        </w:rPr>
        <w:t>sistemsko pomembna banka (DSPB) vzdrževati kapitalski blažilnik v višini, ki ga določi Banka Slovenije, pri čemer se ta lahko določi do 3 % skupne izpostavljenosti tveganjem, izjemoma tudi višje, če to odobri Evropska komisija. Blažilnik se vzdržuje z navadnim lastniškim temeljnim kapitalom in se lahko določi na posamični, subkonsolidirani ali konsolidirani podlagi. Če je DSPB podrejena drugi sistemsko pomembni instituciji, se uporabi nižja izmed določenih vrednosti blažilnika. Banka Slovenije mora pred določitvijo ali spremembo blažilnika obvestiti Evropski odbor za sistemska tveganja in predložiti utemeljitev, oceno učinkov na notranji trg ter predlagano stopnjo blažilnika. S členom se prenaša 131. člen CRD.</w:t>
      </w:r>
    </w:p>
    <w:p w14:paraId="51004C3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3781EB7"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zakona se dodatno določa, da ko postane DSPB </w:t>
      </w:r>
      <w:r w:rsidRPr="00215B2F">
        <w:rPr>
          <w:rFonts w:eastAsia="Arial" w:cs="Arial"/>
          <w:sz w:val="20"/>
          <w:szCs w:val="20"/>
        </w:rPr>
        <w:t xml:space="preserve">zavezana spoštovati izstopni prag, Banka Slovenije najpozneje do datuma letnega pregleda stopnjo blažilnika za DSPB in jo po potrebi prilagodi tako, da ostane njegova umerjenost ustrezna. Gre za prenos točke (c) šestega odstavka 131. člena CRD. </w:t>
      </w:r>
    </w:p>
    <w:p w14:paraId="023F125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8AEA45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_Ref202965655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287</w:t>
      </w:r>
      <w:r w:rsidRPr="00215B2F">
        <w:rPr>
          <w:rFonts w:ascii="Arial" w:hAnsi="Arial" w:cs="Arial"/>
          <w:b/>
          <w:bCs/>
          <w:sz w:val="20"/>
          <w:szCs w:val="20"/>
        </w:rPr>
        <w:fldChar w:fldCharType="end"/>
      </w:r>
      <w:r w:rsidRPr="00215B2F">
        <w:rPr>
          <w:rFonts w:ascii="Arial" w:hAnsi="Arial" w:cs="Arial"/>
          <w:b/>
          <w:bCs/>
          <w:sz w:val="20"/>
          <w:szCs w:val="20"/>
        </w:rPr>
        <w:t>. členu (veljavni 245. člen ZBan-3)</w:t>
      </w:r>
    </w:p>
    <w:p w14:paraId="6EE35B3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32E89D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(245. člen) ni vsebinskih sprememb. Z določbo se določa, da kadar za skupino na konsolidirani podlagi veljata tako zahteva po vzdrževanju blažilnika za GSPB kot zahteva po vzdrževanju blažilnika za DSPB, se uporabi višja zahteva od obeh.</w:t>
      </w:r>
    </w:p>
    <w:p w14:paraId="4B6B06E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3F480D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_Ref202965663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288</w:t>
      </w:r>
      <w:r w:rsidRPr="00215B2F">
        <w:rPr>
          <w:rFonts w:ascii="Arial" w:hAnsi="Arial" w:cs="Arial"/>
          <w:b/>
          <w:bCs/>
          <w:sz w:val="20"/>
          <w:szCs w:val="20"/>
        </w:rPr>
        <w:fldChar w:fldCharType="end"/>
      </w:r>
      <w:r w:rsidRPr="00215B2F">
        <w:rPr>
          <w:rFonts w:ascii="Arial" w:hAnsi="Arial" w:cs="Arial"/>
          <w:b/>
          <w:bCs/>
          <w:sz w:val="20"/>
          <w:szCs w:val="20"/>
        </w:rPr>
        <w:t>. členu (veljavni 246. člen ZBan-3)</w:t>
      </w:r>
    </w:p>
    <w:p w14:paraId="35FEB4E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76F001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ZBan-3 (246. člen) določa, da lahko Banka Slovenije določi blažilnik sistemskih tveganj za vse ali določene podskupine izpostavljenosti bank, kadar želi preprečiti ali zmanjšati sistemska ali makrobonitetna tveganja, ki niso zajeta z drugimi kapitalskimi zahtevami. Ta blažilnik se lahko zahteva za vse banke ali le za določene skupine bank in se izračuna na posamični, subkonsolidirani ali konsolidirani podlagi, pri čemer se uporablja navadni lastniški temeljni kapital. Pri določanju teh zahtev Banka Slovenije posebej upošteva tveganja, ki bi lahko povzročila resne motnje v finančnem sistemu ali negativno vplivala na realno gospodarstvo v Sloveniji. Gre za prenos prvega odstavka 133. člena CRD. </w:t>
      </w:r>
    </w:p>
    <w:p w14:paraId="4863946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F41EF2B" w14:textId="10E5EDC0" w:rsidR="0010347E" w:rsidRPr="00215B2F" w:rsidRDefault="0010347E" w:rsidP="0010347E">
      <w:pPr>
        <w:pStyle w:val="Odstavek"/>
        <w:shd w:val="clear" w:color="auto" w:fill="FFFFFF" w:themeFill="background1"/>
        <w:spacing w:before="0"/>
        <w:ind w:firstLine="0"/>
        <w:rPr>
          <w:rFonts w:eastAsia="Arial" w:cs="Arial"/>
          <w:sz w:val="20"/>
          <w:szCs w:val="20"/>
        </w:rPr>
      </w:pPr>
      <w:r w:rsidRPr="00215B2F">
        <w:rPr>
          <w:rFonts w:cs="Arial"/>
          <w:sz w:val="20"/>
          <w:szCs w:val="20"/>
        </w:rPr>
        <w:t xml:space="preserve">S predlogom zakona se dodatno določi, da lahko Banka Slovenije </w:t>
      </w:r>
      <w:r w:rsidRPr="00215B2F">
        <w:rPr>
          <w:rFonts w:eastAsia="Arial" w:cs="Arial"/>
          <w:sz w:val="20"/>
          <w:szCs w:val="20"/>
        </w:rPr>
        <w:t xml:space="preserve">določi blažilnik sistemskih tveganj za vse izpostavljenosti ali za eno ali več podskupin izpostavljenosti vključno z makrobonitetnimi ali sistemskimi tveganji, ki izhajajo iz podnebnih sprememb, zlasti tveganje motenj v finančnem sistemu, ki bi utegnile imeti resne posledice za finančni sistem in realno gospodarstvo v Republiki Sloveniji. Gre za prenos prvega odstavka 133. člena CRD. </w:t>
      </w:r>
    </w:p>
    <w:p w14:paraId="0F8108B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438CC0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_Ref202965669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289</w:t>
      </w:r>
      <w:r w:rsidRPr="00215B2F">
        <w:rPr>
          <w:rFonts w:ascii="Arial" w:hAnsi="Arial" w:cs="Arial"/>
          <w:b/>
          <w:bCs/>
          <w:sz w:val="20"/>
          <w:szCs w:val="20"/>
        </w:rPr>
        <w:fldChar w:fldCharType="end"/>
      </w:r>
      <w:r w:rsidRPr="00215B2F">
        <w:rPr>
          <w:rFonts w:ascii="Arial" w:hAnsi="Arial" w:cs="Arial"/>
          <w:b/>
          <w:bCs/>
          <w:sz w:val="20"/>
          <w:szCs w:val="20"/>
        </w:rPr>
        <w:t>. členu (veljavni 247. člen ZBan-3)</w:t>
      </w:r>
    </w:p>
    <w:p w14:paraId="71F8A13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A4E291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ZBan-3 (247. člen) določa, da lahko Banka Slovenije določi blažilnik sistemskih tveganj za vse ali določene skupine bank glede različnih vrst izpostavljenosti, kot so izpostavljenosti v Sloveniji, drugih državah članicah, tretjih državah in po sektorjih (npr. do fizičnih oseb z zavarovanji ali pravnih oseb). Stopnje blažilnika so določene v korakih po 0,5 odstotne točke in se lahko razlikujejo med bankami ter vrstami izpostavljenosti. Blažilnik se ne uporablja za nekatera specifična tveganja, pri čemer Banka Slovenije zagotavlja, da njegova uvedba ne povzroči nesorazmernih negativnih učinkov na finančni sistem ali notranji trg EU. Ustreznost blažilnika se preverja vsaj vsaki dve leti, njegova uvedba pa zahteva tudi priporočilo Evropskega odbora za sistemska tveganja. Gre za prenos petega in osmega odstavka 133. člena CRD ter petega odstavka 134. člena CRD.</w:t>
      </w:r>
    </w:p>
    <w:p w14:paraId="538BAE2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0A5C51F" w14:textId="77777777" w:rsidR="0010347E" w:rsidRPr="00215B2F" w:rsidRDefault="0010347E" w:rsidP="0010347E">
      <w:pPr>
        <w:pStyle w:val="Odstavek"/>
        <w:shd w:val="clear" w:color="auto" w:fill="FFFFFF" w:themeFill="background1"/>
        <w:spacing w:before="0"/>
        <w:ind w:firstLine="0"/>
        <w:rPr>
          <w:rFonts w:eastAsia="Arial" w:cs="Arial"/>
          <w:sz w:val="20"/>
          <w:szCs w:val="20"/>
        </w:rPr>
      </w:pPr>
      <w:r w:rsidRPr="00215B2F">
        <w:rPr>
          <w:rFonts w:cs="Arial"/>
          <w:sz w:val="20"/>
          <w:szCs w:val="20"/>
        </w:rPr>
        <w:t xml:space="preserve">S predlogom zakona se dodatno določa, da se </w:t>
      </w:r>
      <w:r w:rsidRPr="00215B2F">
        <w:rPr>
          <w:rFonts w:eastAsia="Arial" w:cs="Arial"/>
          <w:sz w:val="20"/>
          <w:szCs w:val="20"/>
        </w:rPr>
        <w:t xml:space="preserve">blažilnik sistemskih tveganj uporablja za obravnavo tveganj, ki jih v celoti zajema izračun iz tretjega odstavka 92. člena Uredbe 575/2013/EU. Gre za prenos 133. člena CRD (osmi odstavek, točka c). </w:t>
      </w:r>
    </w:p>
    <w:p w14:paraId="628808C2" w14:textId="77777777" w:rsidR="0010347E" w:rsidRPr="00215B2F" w:rsidRDefault="0010347E" w:rsidP="0010347E">
      <w:pPr>
        <w:pStyle w:val="Odstavek"/>
        <w:shd w:val="clear" w:color="auto" w:fill="FFFFFF" w:themeFill="background1"/>
        <w:spacing w:before="0"/>
        <w:ind w:firstLine="0"/>
        <w:rPr>
          <w:rFonts w:eastAsia="Arial" w:cs="Arial"/>
          <w:sz w:val="20"/>
          <w:szCs w:val="20"/>
        </w:rPr>
      </w:pPr>
    </w:p>
    <w:p w14:paraId="17C4D3CB" w14:textId="4F5EC4FB"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Dodatno </w:t>
      </w:r>
      <w:r w:rsidR="005B6BE7" w:rsidRPr="00215B2F">
        <w:rPr>
          <w:rFonts w:ascii="Arial" w:eastAsia="Arial" w:hAnsi="Arial" w:cs="Arial"/>
          <w:sz w:val="20"/>
          <w:szCs w:val="20"/>
        </w:rPr>
        <w:t xml:space="preserve">se </w:t>
      </w:r>
      <w:r w:rsidRPr="00215B2F">
        <w:rPr>
          <w:rFonts w:ascii="Arial" w:eastAsia="Arial" w:hAnsi="Arial" w:cs="Arial"/>
          <w:sz w:val="20"/>
          <w:szCs w:val="20"/>
        </w:rPr>
        <w:t>s predlogom določa, da kadar za blažilnik sistemskih tveganj velja znesek skupne izpostavljenosti tveganjem banke in ko ta banka postane zavezana spoštovati izstopni prag, Banka Slovenije najpozneje do datuma dveletnega pregleda iz prejšnjega odstavka pregleda zahtevo banke glede blažilnika sistemskih tveganj in jo po potrebi prilagodi, da ostane umerjenost ustrezna. Gre za prenos 133. člena CRD (osmi odstavek, točka d).</w:t>
      </w:r>
    </w:p>
    <w:p w14:paraId="74FDDA0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9A1283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_Ref202965682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290</w:t>
      </w:r>
      <w:r w:rsidRPr="00215B2F">
        <w:rPr>
          <w:rFonts w:ascii="Arial" w:hAnsi="Arial" w:cs="Arial"/>
          <w:b/>
          <w:bCs/>
          <w:sz w:val="20"/>
          <w:szCs w:val="20"/>
        </w:rPr>
        <w:fldChar w:fldCharType="end"/>
      </w:r>
      <w:r w:rsidRPr="00215B2F">
        <w:rPr>
          <w:rFonts w:ascii="Arial" w:hAnsi="Arial" w:cs="Arial"/>
          <w:b/>
          <w:bCs/>
          <w:sz w:val="20"/>
          <w:szCs w:val="20"/>
        </w:rPr>
        <w:t>. členu (veljavni 248. člen ZBan-3)</w:t>
      </w:r>
    </w:p>
    <w:p w14:paraId="469177EA"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55B217FC"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(248. člen) ni vsebinskih sprememb. Gre za določbo, v okviru katere gre za prenos drugega odstavka 133. člena CRD, ki določa izračun blažilnika sistemskih tveganj. </w:t>
      </w:r>
    </w:p>
    <w:p w14:paraId="2C4EFF6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DA9F37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_Ref202965689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291</w:t>
      </w:r>
      <w:r w:rsidRPr="00215B2F">
        <w:rPr>
          <w:rFonts w:ascii="Arial" w:hAnsi="Arial" w:cs="Arial"/>
          <w:b/>
          <w:bCs/>
          <w:sz w:val="20"/>
          <w:szCs w:val="20"/>
        </w:rPr>
        <w:fldChar w:fldCharType="end"/>
      </w:r>
      <w:r w:rsidRPr="00215B2F">
        <w:rPr>
          <w:rFonts w:ascii="Arial" w:hAnsi="Arial" w:cs="Arial"/>
          <w:b/>
          <w:bCs/>
          <w:sz w:val="20"/>
          <w:szCs w:val="20"/>
        </w:rPr>
        <w:t>. členu (veljavni 249. člen ZBan-3)</w:t>
      </w:r>
    </w:p>
    <w:p w14:paraId="2BEE8B5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963E0A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ZBan-3 (249. člen) določa, da mora Banka Slovenije pred določitvijo ali spremembo stopenj blažilnika sistemskih tveganj obvestiti Evropski odbor za sistemska tveganja in druge pristojne organe, kadar so vključene banke z nadrejenimi osebami v tujini ali izpostavljenosti v tretjih državah. Obvestilo mora vsebovati podrobno utemeljitev sistemskih tveganj, načrtovanih stopenj blažilnika in njihovega učinka na finančni sistem in notranji trg. Če sprememba ne pomeni zvišanja že določenih stopenj ali ne presega 3 %, zadošča zgolj obvestilo. Če stopnja preseže 3 % in ne presega 5 %, mora Banka Slovenije pridobiti mnenje Komisije in ga upoštevati ali utemeljiti odstopanje. V primeru vključitve podrejenih bank iz drugih držav članic se lahko postopek prekine in vključi Evropski bančni organ, če pride do nestrinjanja. Če predlagana stopnja preseže 5 %, mora Banka Slovenije zaprositi Komisijo za dovoljenje, ki odloča s posebnim izvedbenim aktom. Za izpostavljenosti v drugih državah članicah EU mora biti blažilnik enoten, razen če je priznana drugačna stopnja po zakonu. Gre za prenos devetega do dvanajstega odstavka ter petnajstega odstavka 133. člena CRD.</w:t>
      </w:r>
    </w:p>
    <w:p w14:paraId="07AEE11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AFD97E7"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zakona se dopolnjuje peti odstavek tako, da </w:t>
      </w:r>
      <w:r w:rsidRPr="00215B2F">
        <w:rPr>
          <w:rFonts w:eastAsia="Arial" w:cs="Arial"/>
          <w:sz w:val="20"/>
          <w:szCs w:val="20"/>
        </w:rPr>
        <w:t xml:space="preserve">Banka Slovenije v obvestilu Evropskemu odboru za sistemska tveganja zaprosi za mnenje tudi Evropski odbor za sistemska tveganja. Gre za prenos 133. člena CRD (enajsti odstavek). </w:t>
      </w:r>
    </w:p>
    <w:p w14:paraId="4DB9586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A80447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S predlogom zakona se dodaja novi šesti odstavek (glede na ZBan-3), ki določa, da v primeru določitve ali spremembe blažilnika sistemskih tveganj Evropski odbor za sistemska tveganja v enem mesecu po prejemu obvestila da Komisiji mnenje o primernosti predlaganih stopenj. Komisija nato v dveh mesecih izda svoje mnenje, pri čemer upošteva stališče odbora. Banka Slovenije mora odločitev o stopnji blažilnika sprejeti v skladu z mnenjem Komisije ali pojasniti razloge za morebitno odstopanje.</w:t>
      </w:r>
      <w:r w:rsidRPr="00215B2F">
        <w:rPr>
          <w:rFonts w:eastAsia="Arial" w:cs="Arial"/>
          <w:sz w:val="20"/>
          <w:szCs w:val="20"/>
        </w:rPr>
        <w:t xml:space="preserve"> Gre za prenos 133. člena CRD (enajsti odstavek).</w:t>
      </w:r>
    </w:p>
    <w:p w14:paraId="05CEC6F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8B4E898"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skladu z direktivo se spreminja tudi obstoječi šesti odstavek (novi sedmi odstavek), s katerim se določa, da če se predlagana stopnja blažilnika sistemskih tveganj nanaša na banke, katerih nadrejena oseba ima sedež v drugi državi članici, morata Evropski odbor za sistemska tveganja in Komisija v svojih mnenjih oceniti primernost uporabe teh stopenj za te banke. Banka Slovenije v takem primeru zaprosi za priporočilo obeh organov. Če se nadrejeni organ banke ne strinja s predlaganimi stopnjami ali če sta mnenji Komisije in odbora negativni, lahko Banka Slovenije bodisi prekine postopek in zaprosi za pomoč Evropski bančni organ ali pa postopek določitve predlaganih stopenj ustavi.</w:t>
      </w:r>
    </w:p>
    <w:p w14:paraId="7F4C05C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285A497" w14:textId="77777777"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r w:rsidRPr="00215B2F">
        <w:rPr>
          <w:rFonts w:ascii="Arial" w:hAnsi="Arial" w:cs="Arial"/>
          <w:sz w:val="20"/>
          <w:szCs w:val="20"/>
        </w:rPr>
        <w:t xml:space="preserve">V obstoječem sedmem odstavku (novem osmem glede na ZBan-3) se dodaja določba, da se </w:t>
      </w:r>
      <w:r w:rsidRPr="00215B2F">
        <w:rPr>
          <w:rFonts w:ascii="Arial" w:eastAsia="Arial" w:hAnsi="Arial" w:cs="Arial"/>
          <w:sz w:val="20"/>
          <w:szCs w:val="20"/>
        </w:rPr>
        <w:t xml:space="preserve">za namene tega odstavka v izračunu navedenega praga ne upošteva stopnja blažilnika sistemskih tveganj, ki jo določi druga država članica. Gre za prenos 133. člena CRD (dvanajsti odstavek). </w:t>
      </w:r>
    </w:p>
    <w:p w14:paraId="7C0808D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B485E6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_Ref202965699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292</w:t>
      </w:r>
      <w:r w:rsidRPr="00215B2F">
        <w:rPr>
          <w:rFonts w:ascii="Arial" w:hAnsi="Arial" w:cs="Arial"/>
          <w:b/>
          <w:bCs/>
          <w:sz w:val="20"/>
          <w:szCs w:val="20"/>
        </w:rPr>
        <w:fldChar w:fldCharType="end"/>
      </w:r>
      <w:r w:rsidRPr="00215B2F">
        <w:rPr>
          <w:rFonts w:ascii="Arial" w:hAnsi="Arial" w:cs="Arial"/>
          <w:b/>
          <w:bCs/>
          <w:sz w:val="20"/>
          <w:szCs w:val="20"/>
        </w:rPr>
        <w:t>. členu (veljavni 250. člen ZBan-3)</w:t>
      </w:r>
    </w:p>
    <w:p w14:paraId="025B3D2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1462544"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(250. člen) ni vsebinskih sprememb. S členom se prenaša 133. člen CRD. Banka Slovenije mora na svoji spletni strani objaviti odločitve o stopnjah blažilnika sistemskih tveganj. S členom se določa, kaj mora taka objava vključevati, med drugim tudi utemeljitev za določitev stopenj blažilnika sistemskih tveganj. Če bi utemeljitev ogrozila stabilnost finančnega sistema, Banka Slovenije te informacije ne vključi v objavo. Naknadno mora Banka Slovenije objaviti tudi odločitev o odpravi katere koli izmed stopenj blažilnika sistemskih tveganj.</w:t>
      </w:r>
    </w:p>
    <w:p w14:paraId="7B104D3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B6FFC1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_Ref202965705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293</w:t>
      </w:r>
      <w:r w:rsidRPr="00215B2F">
        <w:rPr>
          <w:rFonts w:ascii="Arial" w:hAnsi="Arial" w:cs="Arial"/>
          <w:b/>
          <w:bCs/>
          <w:sz w:val="20"/>
          <w:szCs w:val="20"/>
        </w:rPr>
        <w:fldChar w:fldCharType="end"/>
      </w:r>
      <w:r w:rsidRPr="00215B2F">
        <w:rPr>
          <w:rFonts w:ascii="Arial" w:hAnsi="Arial" w:cs="Arial"/>
          <w:b/>
          <w:bCs/>
          <w:sz w:val="20"/>
          <w:szCs w:val="20"/>
        </w:rPr>
        <w:t>. členu (veljavni 251. člen ZBan-3)</w:t>
      </w:r>
    </w:p>
    <w:p w14:paraId="5226CA6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52FDFA2"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(250. člen) ni bistvenih vsebinskih sprememb. V tretjem členu se dodajajo le bolj ustrezni sklici na direktivo, ker gre za stopnje, ki jih določajo druge države članice na podlagi direktive, in ne na podlagi predmetnega zakona. </w:t>
      </w:r>
    </w:p>
    <w:p w14:paraId="08A31A41" w14:textId="77777777" w:rsidR="0010347E" w:rsidRPr="00215B2F" w:rsidRDefault="0010347E" w:rsidP="0010347E">
      <w:pPr>
        <w:pStyle w:val="Navadensplet"/>
        <w:shd w:val="clear" w:color="auto" w:fill="FFFFFF" w:themeFill="background1"/>
        <w:spacing w:after="0"/>
        <w:ind w:right="225"/>
        <w:rPr>
          <w:rFonts w:ascii="Arial" w:hAnsi="Arial" w:cs="Arial"/>
          <w:color w:val="auto"/>
          <w:sz w:val="20"/>
          <w:szCs w:val="20"/>
        </w:rPr>
      </w:pPr>
    </w:p>
    <w:p w14:paraId="7432DF44" w14:textId="77777777" w:rsidR="0010347E" w:rsidRPr="00215B2F" w:rsidRDefault="0010347E" w:rsidP="0010347E">
      <w:pPr>
        <w:pStyle w:val="Navadensplet"/>
        <w:shd w:val="clear" w:color="auto" w:fill="FFFFFF" w:themeFill="background1"/>
        <w:spacing w:after="0"/>
        <w:ind w:right="225"/>
        <w:rPr>
          <w:rFonts w:ascii="Arial" w:hAnsi="Arial" w:cs="Arial"/>
          <w:color w:val="auto"/>
          <w:sz w:val="20"/>
          <w:szCs w:val="20"/>
        </w:rPr>
      </w:pPr>
      <w:r w:rsidRPr="00215B2F">
        <w:rPr>
          <w:rFonts w:ascii="Arial" w:hAnsi="Arial" w:cs="Arial"/>
          <w:color w:val="auto"/>
          <w:sz w:val="20"/>
          <w:szCs w:val="20"/>
        </w:rPr>
        <w:t xml:space="preserve">S členom se sicer (že v okviru ZBan-3) prenaša 134. člen CRD. Banka Slovenije lahko prizna stopnje blažilnika sistemskih tveganj, ki jih določijo organi drugih držav članic, ter jih uporablja za banke z izpostavljenostmi v teh državah. O priznanju obvesti Evropski odbor za sistemska tveganja in objavi </w:t>
      </w:r>
      <w:r w:rsidRPr="00215B2F">
        <w:rPr>
          <w:rFonts w:ascii="Arial" w:hAnsi="Arial" w:cs="Arial"/>
          <w:color w:val="auto"/>
          <w:sz w:val="20"/>
          <w:szCs w:val="20"/>
        </w:rPr>
        <w:lastRenderedPageBreak/>
        <w:t>odločitev na svoji spletni strani. Pri tem upošteva informacije, ki jih je zadevna država članica javno objavila. Če priznani blažilnik ureja druga tveganja kot domači, se lahko oba seštevata; če pa urejata ista tveganja, se uporabi le višji od obeh.</w:t>
      </w:r>
    </w:p>
    <w:p w14:paraId="5EAC219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C92BC9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_Ref202965719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294</w:t>
      </w:r>
      <w:r w:rsidRPr="00215B2F">
        <w:rPr>
          <w:rFonts w:ascii="Arial" w:hAnsi="Arial" w:cs="Arial"/>
          <w:b/>
          <w:bCs/>
          <w:sz w:val="20"/>
          <w:szCs w:val="20"/>
        </w:rPr>
        <w:fldChar w:fldCharType="end"/>
      </w:r>
      <w:r w:rsidRPr="00215B2F">
        <w:rPr>
          <w:rFonts w:ascii="Arial" w:hAnsi="Arial" w:cs="Arial"/>
          <w:b/>
          <w:bCs/>
          <w:sz w:val="20"/>
          <w:szCs w:val="20"/>
        </w:rPr>
        <w:t>. členu (veljavni 252. člen ZBan-3)</w:t>
      </w:r>
    </w:p>
    <w:p w14:paraId="74598893"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29D9778C" w14:textId="5FDEA628"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ZBan-3 (252. člen) določa, da če za banko velja blažilnik sistemskih tveganj, se ta prišteje blažilniku za globalno ali </w:t>
      </w:r>
      <w:r w:rsidR="005B6BE7" w:rsidRPr="00215B2F">
        <w:rPr>
          <w:rFonts w:cs="Arial"/>
          <w:sz w:val="20"/>
          <w:szCs w:val="20"/>
        </w:rPr>
        <w:t xml:space="preserve">drugo </w:t>
      </w:r>
      <w:r w:rsidRPr="00215B2F">
        <w:rPr>
          <w:rFonts w:cs="Arial"/>
          <w:sz w:val="20"/>
          <w:szCs w:val="20"/>
        </w:rPr>
        <w:t>sistemsko pomembno banko (GSPB oziroma DSPB). Kadar skupna stopnja teh blažilnikov preseže 5 % skupne izpostavljenosti tveganjem, mora Banka Slovenije predhodno pridobiti pooblastilo Evropske komisije. V takem primeru mora tri mesece pred objavo odločitve o uvedbi višjega blažilnika obvestiti Evropski odbor za sistemska tveganja.</w:t>
      </w:r>
    </w:p>
    <w:p w14:paraId="16CC115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DC254DB"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Navedeni vsebini se dodaja določba, da </w:t>
      </w:r>
      <w:r w:rsidRPr="00215B2F">
        <w:rPr>
          <w:rFonts w:eastAsia="Arial" w:cs="Arial"/>
          <w:sz w:val="20"/>
          <w:szCs w:val="20"/>
        </w:rPr>
        <w:t xml:space="preserve">kadar odločitev o določitvi blažilnika sistemskih tveganj, blažilnika za DSPB ali blažilnika za GSPB privede do znižanja predhodno določene stopnje ali se le-ta ne spremeni, se postopek iz prejšnjega odstavka ne uporablja. Gre za prenos 131. člena CRD (petnajsti odstavek – drugi pododstavek). </w:t>
      </w:r>
    </w:p>
    <w:p w14:paraId="133E210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185468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_Ref202965729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295</w:t>
      </w:r>
      <w:r w:rsidRPr="00215B2F">
        <w:rPr>
          <w:rFonts w:ascii="Arial" w:hAnsi="Arial" w:cs="Arial"/>
          <w:b/>
          <w:bCs/>
          <w:sz w:val="20"/>
          <w:szCs w:val="20"/>
        </w:rPr>
        <w:fldChar w:fldCharType="end"/>
      </w:r>
      <w:r w:rsidRPr="00215B2F">
        <w:rPr>
          <w:rFonts w:ascii="Arial" w:hAnsi="Arial" w:cs="Arial"/>
          <w:b/>
          <w:bCs/>
          <w:sz w:val="20"/>
          <w:szCs w:val="20"/>
        </w:rPr>
        <w:t>. členu (veljavni 253. člen ZBan-3)</w:t>
      </w:r>
    </w:p>
    <w:p w14:paraId="00F0A6F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B41B1A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(253. člen) ni vsebinskih sprememb. Banka mora stalno izpolnjevati zahtevo po skupnem blažilniku z navadnim lastniškim temeljnim kapitalom, pri čemer kapital, namenjen za en element blažilnika, ne sme biti uporabljen za druge elemente ali za izpolnjevanje osnovnih kapitalskih zahtev, dodatnih kapitalskih zahtev, notranjih kapitalskih ocen ali drugih regulativnih obveznosti. Če banka ne razpolaga z dovolj kakovostnim kapitalom za hkratno izpolnjevanje vseh teh zahtev, se šteje, da ne izpolnjuje zahteve po skupnem blažilniku, kar sproži omejitve glede razdelitev dobička. Namen teh določb je zagotoviti, da banke ohranjajo ustrezno kapitalsko odpornost brez prekrivanja med različnimi regulativnimi zahtevami. Med drugim gre za prenos 128. in 141.a člena CRD.</w:t>
      </w:r>
    </w:p>
    <w:p w14:paraId="1249842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95E9BE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_Ref202965737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296</w:t>
      </w:r>
      <w:r w:rsidRPr="00215B2F">
        <w:rPr>
          <w:rFonts w:ascii="Arial" w:hAnsi="Arial" w:cs="Arial"/>
          <w:b/>
          <w:bCs/>
          <w:sz w:val="20"/>
          <w:szCs w:val="20"/>
        </w:rPr>
        <w:fldChar w:fldCharType="end"/>
      </w:r>
      <w:r w:rsidRPr="00215B2F">
        <w:rPr>
          <w:rFonts w:ascii="Arial" w:hAnsi="Arial" w:cs="Arial"/>
          <w:b/>
          <w:bCs/>
          <w:sz w:val="20"/>
          <w:szCs w:val="20"/>
        </w:rPr>
        <w:t>. členu (veljavni 254. člen ZBan-3)</w:t>
      </w:r>
    </w:p>
    <w:p w14:paraId="2D8FA7B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B2157C0" w14:textId="32449736"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(253. člen) ni vsebinskih sprememb. S členom se določajo omejitve razdelitev v zvezi z neizpolnjevanjem zahteve po skupnem blažilniku. Banka, ki izpolnjuje zahtevo po skupnem blažilniku, ne sme izvajati izplačil, ki bi zmanjšala njen navadni lastniški temeljni kapital pod zahtevano raven. Če te zahteve ne izpolnjuje, mora izračunati maksimalni znesek za razdelitev (MDA</w:t>
      </w:r>
      <w:r w:rsidR="000C53AF" w:rsidRPr="00215B2F">
        <w:rPr>
          <w:rFonts w:cs="Arial"/>
          <w:sz w:val="20"/>
          <w:szCs w:val="20"/>
        </w:rPr>
        <w:t xml:space="preserve"> </w:t>
      </w:r>
      <w:r w:rsidR="000C53AF" w:rsidRPr="00215B2F">
        <w:rPr>
          <w:rFonts w:eastAsia="Arial" w:cs="Arial"/>
          <w:sz w:val="20"/>
          <w:szCs w:val="20"/>
        </w:rPr>
        <w:t xml:space="preserve">iz angl. </w:t>
      </w:r>
      <w:r w:rsidR="000C53AF" w:rsidRPr="00215B2F">
        <w:rPr>
          <w:rFonts w:eastAsia="Arial" w:cs="Arial"/>
          <w:i/>
          <w:sz w:val="20"/>
          <w:szCs w:val="20"/>
        </w:rPr>
        <w:t>Maximum Distributable Amount</w:t>
      </w:r>
      <w:r w:rsidRPr="00215B2F">
        <w:rPr>
          <w:rFonts w:cs="Arial"/>
          <w:sz w:val="20"/>
          <w:szCs w:val="20"/>
        </w:rPr>
        <w:t>), o tem obvestiti Banko Slovenije in predložiti načrt za ohranitev kapitala. Do izračuna MDA banka ne sme izvajati določenih izplačil, kot so dividende, variabilni prejemki ali odkupi lastnih delnic. Izplačila so nato dovoljena le do višine izračunanega MDA, če ne povzročajo zmanjšanja kapitala ali dobička in ne sprožijo insolvenčnih postopkov. Če omejitve izplačil ne zadostujejo za izboljšanje kapitalske pozicije glede na sistemska tveganja, lahko Banka Slovenije izreče dodatne nadzorne ukrepe. S členom se prenašata 141. člen CRD in sedmi odstavek 133. člena CRD.</w:t>
      </w:r>
    </w:p>
    <w:p w14:paraId="4930618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019D17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_Ref202965750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297</w:t>
      </w:r>
      <w:r w:rsidRPr="00215B2F">
        <w:rPr>
          <w:rFonts w:ascii="Arial" w:hAnsi="Arial" w:cs="Arial"/>
          <w:b/>
          <w:bCs/>
          <w:sz w:val="20"/>
          <w:szCs w:val="20"/>
        </w:rPr>
        <w:fldChar w:fldCharType="end"/>
      </w:r>
      <w:r w:rsidRPr="00215B2F">
        <w:rPr>
          <w:rFonts w:ascii="Arial" w:hAnsi="Arial" w:cs="Arial"/>
          <w:b/>
          <w:bCs/>
          <w:sz w:val="20"/>
          <w:szCs w:val="20"/>
        </w:rPr>
        <w:t>. členu (veljavni 255. člen ZBan-3)</w:t>
      </w:r>
    </w:p>
    <w:p w14:paraId="59853A70"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671FB8B8" w14:textId="77777777" w:rsidR="0010347E" w:rsidRPr="00215B2F" w:rsidRDefault="0010347E" w:rsidP="0010347E">
      <w:pPr>
        <w:pStyle w:val="tevilnatoka"/>
        <w:numPr>
          <w:ilvl w:val="0"/>
          <w:numId w:val="0"/>
        </w:numPr>
        <w:shd w:val="clear" w:color="auto" w:fill="FFFFFF" w:themeFill="background1"/>
        <w:rPr>
          <w:rFonts w:cs="Arial"/>
          <w:b/>
          <w:sz w:val="20"/>
          <w:szCs w:val="20"/>
        </w:rPr>
      </w:pPr>
      <w:r w:rsidRPr="00215B2F">
        <w:rPr>
          <w:rFonts w:cs="Arial"/>
          <w:sz w:val="20"/>
          <w:szCs w:val="20"/>
        </w:rPr>
        <w:t xml:space="preserve">V primerjavi z ZBan-3 (255. člen) ni vsebinskih sprememb. </w:t>
      </w:r>
      <w:r w:rsidRPr="00215B2F">
        <w:rPr>
          <w:rFonts w:cs="Arial"/>
          <w:bCs/>
          <w:sz w:val="20"/>
          <w:szCs w:val="20"/>
        </w:rPr>
        <w:t xml:space="preserve">Banka izračuna maksimalni znesek za razdelitev (MDA) tako, da zmnoži ustrezno prilagojeno vsoto dobičkov z določenim faktorjem, ki je odvisen od stopnje izpolnjevanja zahteve po skupnem blažilniku. Faktor se giblje med 0 in 0,6 glede na to, kolikšen delež blažilnika banka pokriva z navadnim lastniškim temeljnim kapitalom. Pri tem se upošteva le kapital, ki ni že uporabljen za izpolnjevanje osnovnih in dodatnih kapitalskih zahtev ter notranjih ocen kapitala. Izračunani MDA se nato zmanjša za že izvedena izplačila, davke in druge razdelitve, povezane z dobičkom, ki niso vključene v kapital. </w:t>
      </w:r>
      <w:r w:rsidRPr="00215B2F">
        <w:rPr>
          <w:rFonts w:cs="Arial"/>
          <w:sz w:val="20"/>
          <w:szCs w:val="20"/>
        </w:rPr>
        <w:t xml:space="preserve">S členom se prenaša 141. člen CRD. </w:t>
      </w:r>
    </w:p>
    <w:p w14:paraId="46FE6979" w14:textId="77777777" w:rsidR="0010347E" w:rsidRPr="00215B2F" w:rsidRDefault="0010347E" w:rsidP="0010347E">
      <w:pPr>
        <w:pStyle w:val="Navadensplet"/>
        <w:shd w:val="clear" w:color="auto" w:fill="FFFFFF" w:themeFill="background1"/>
        <w:spacing w:after="0"/>
        <w:ind w:right="34"/>
        <w:rPr>
          <w:rFonts w:ascii="Arial" w:hAnsi="Arial" w:cs="Arial"/>
          <w:color w:val="auto"/>
          <w:sz w:val="20"/>
          <w:szCs w:val="20"/>
        </w:rPr>
      </w:pPr>
    </w:p>
    <w:p w14:paraId="29211FC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_Ref202965758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298</w:t>
      </w:r>
      <w:r w:rsidRPr="00215B2F">
        <w:rPr>
          <w:rFonts w:ascii="Arial" w:hAnsi="Arial" w:cs="Arial"/>
          <w:b/>
          <w:bCs/>
          <w:sz w:val="20"/>
          <w:szCs w:val="20"/>
        </w:rPr>
        <w:fldChar w:fldCharType="end"/>
      </w:r>
      <w:r w:rsidRPr="00215B2F">
        <w:rPr>
          <w:rFonts w:ascii="Arial" w:hAnsi="Arial" w:cs="Arial"/>
          <w:b/>
          <w:bCs/>
          <w:sz w:val="20"/>
          <w:szCs w:val="20"/>
        </w:rPr>
        <w:t>. členu (veljavni 256. člen ZBan-3)</w:t>
      </w:r>
    </w:p>
    <w:p w14:paraId="76CBC59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2681E95"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(256. člen) ni vsebinskih sprememb. S členom se prenaša 141. člen CRD. Banka, ki ne izpolnjuje zahteve po skupnem blažilniku, mora najpozneje en mesec pred nameravanim izplačilom razpoložljivega dobička ali izvedbo dejanj pred izračunom MDA o tem obvestiti Banko Slovenije in navesti ustrezne podatke.</w:t>
      </w:r>
    </w:p>
    <w:p w14:paraId="6F69DCD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B4941F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_Ref202965766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299</w:t>
      </w:r>
      <w:r w:rsidRPr="00215B2F">
        <w:rPr>
          <w:rFonts w:ascii="Arial" w:hAnsi="Arial" w:cs="Arial"/>
          <w:b/>
          <w:bCs/>
          <w:sz w:val="20"/>
          <w:szCs w:val="20"/>
        </w:rPr>
        <w:fldChar w:fldCharType="end"/>
      </w:r>
      <w:r w:rsidRPr="00215B2F">
        <w:rPr>
          <w:rFonts w:ascii="Arial" w:hAnsi="Arial" w:cs="Arial"/>
          <w:b/>
          <w:bCs/>
          <w:sz w:val="20"/>
          <w:szCs w:val="20"/>
        </w:rPr>
        <w:t xml:space="preserve">. do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_Ref203381926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302</w:t>
      </w:r>
      <w:r w:rsidRPr="00215B2F">
        <w:rPr>
          <w:rFonts w:ascii="Arial" w:hAnsi="Arial" w:cs="Arial"/>
          <w:b/>
          <w:bCs/>
          <w:sz w:val="20"/>
          <w:szCs w:val="20"/>
        </w:rPr>
        <w:fldChar w:fldCharType="end"/>
      </w:r>
      <w:r w:rsidRPr="00215B2F">
        <w:rPr>
          <w:rFonts w:ascii="Arial" w:hAnsi="Arial" w:cs="Arial"/>
          <w:b/>
          <w:bCs/>
          <w:sz w:val="20"/>
          <w:szCs w:val="20"/>
        </w:rPr>
        <w:t>. členu (veljavni 257. do 260. člen ZBan-3)</w:t>
      </w:r>
    </w:p>
    <w:p w14:paraId="5473FA2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050226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lastRenderedPageBreak/>
        <w:t xml:space="preserve">V primerjavi z ZBan-3 (257. do 260. člen) ni vsebinskih sprememb. Gre za prenos 141.b člena CRD. </w:t>
      </w:r>
    </w:p>
    <w:p w14:paraId="1D439AE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59AB4E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Določa se, kdaj banka ne izpolnjuje zahteve po blažilniku količnika finančnega vzvoda. </w:t>
      </w:r>
    </w:p>
    <w:p w14:paraId="5B1B35D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DEC97B3" w14:textId="068FFC45"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Določajo se tudi omejitve razdelitev v zvezi z neizpolnjevanjem zahteve po blažilniku količnika finančnega vzvoda. Banka, ki izpolnjuje zahtevo po blažilniku finančnega vzvoda, ne izvede izplačil oziroma razdelitev v zvezi s temeljnim kapitalom v obsegu, ki bi zmanjšal njen temeljni kapital na raven, na kateri zahteva po blažilniku količnika finančnega vzvoda ne bi bila več izpolnjena. Banka, ki ne izpolnjuje zahteve po blažilniku količnika finančnega vzvoda, mora izračunati maksimalni znesek za razdelitev glede na količnik finančnega vzvoda (L-MDA</w:t>
      </w:r>
      <w:r w:rsidR="000C53AF" w:rsidRPr="00215B2F">
        <w:rPr>
          <w:rFonts w:cs="Arial"/>
          <w:sz w:val="20"/>
          <w:szCs w:val="20"/>
        </w:rPr>
        <w:t xml:space="preserve"> </w:t>
      </w:r>
      <w:r w:rsidR="000C53AF" w:rsidRPr="00215B2F">
        <w:rPr>
          <w:rFonts w:eastAsia="Arial" w:cs="Arial"/>
          <w:sz w:val="20"/>
          <w:szCs w:val="20"/>
        </w:rPr>
        <w:t xml:space="preserve">iz angl. </w:t>
      </w:r>
      <w:r w:rsidR="000C53AF" w:rsidRPr="00215B2F">
        <w:rPr>
          <w:rFonts w:eastAsia="Arial" w:cs="Arial"/>
          <w:i/>
          <w:iCs/>
          <w:sz w:val="20"/>
          <w:szCs w:val="20"/>
        </w:rPr>
        <w:t>Leverage Maximum Distributable Amount</w:t>
      </w:r>
      <w:r w:rsidRPr="00215B2F">
        <w:rPr>
          <w:rFonts w:cs="Arial"/>
          <w:sz w:val="20"/>
          <w:szCs w:val="20"/>
        </w:rPr>
        <w:t xml:space="preserve">). Če banka ne izpolnjuje zahteve po blažilniku količnika finančnega vzvoda ali je ne presega, lahko opravi izplačila (iz tretjega odstavka) največ v višini L-MDA. Omejitve izplačil se uporabljajo le za plačila, ki povzročijo zmanjšanje temeljnega kapitala ali zmanjšanje dobička, in kadar ustavitev ali neizvedba plačila ne pomeni nastopa dogodka neplačila ali pogoja za začetek postopka insolventnosti. </w:t>
      </w:r>
    </w:p>
    <w:p w14:paraId="388482C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E99AA1D"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Določa se tudi izračun maksimalnega zneska za razdelitev glede na količnik finančnega vzvoda (L-MDA). </w:t>
      </w:r>
    </w:p>
    <w:p w14:paraId="781FFF9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E9E052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F3857D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Določa se tudi, da banka, ki ne izpolnjuje zahteve po blažilniku količnika finančnega vzvoda, najpozneje en mesec pred nameravanim izplačilom razpoložljivega dobička ali izvedbo zahtevanih dejanj o tem obvesti Banko Slovenije ter predloži podatke, ki jih člen podrobneje opredeljuje. Banka mora vzpostaviti in vzdrževati ureditve, s katerimi zagotavlja natančni izračun zneska razpoložljivega dobička in L-MDA, ter na zahtevo Banke Slovenije to tudi dokazati.</w:t>
      </w:r>
    </w:p>
    <w:p w14:paraId="7F8EFFF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BFE824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_Ref202965782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303</w:t>
      </w:r>
      <w:r w:rsidRPr="00215B2F">
        <w:rPr>
          <w:rFonts w:ascii="Arial" w:hAnsi="Arial" w:cs="Arial"/>
          <w:b/>
          <w:bCs/>
          <w:sz w:val="20"/>
          <w:szCs w:val="20"/>
        </w:rPr>
        <w:fldChar w:fldCharType="end"/>
      </w:r>
      <w:r w:rsidRPr="00215B2F">
        <w:rPr>
          <w:rFonts w:ascii="Arial" w:hAnsi="Arial" w:cs="Arial"/>
          <w:b/>
          <w:bCs/>
          <w:sz w:val="20"/>
          <w:szCs w:val="20"/>
        </w:rPr>
        <w:t>. členu (veljavni 261. člen ZBan-3)</w:t>
      </w:r>
    </w:p>
    <w:p w14:paraId="5DD94FE3"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74DA8CBB" w14:textId="77777777"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bCs/>
          <w:sz w:val="20"/>
          <w:szCs w:val="20"/>
        </w:rPr>
        <w:t>V primerjavi z ZBan-3 (261. člen) ni bistvenih sprememb. Če banka ne izpolnjuje zahteve po skupnem blažilniku ali blažilniku količnika finančnega vzvoda, mora v petih delovnih dneh pripraviti in Banki Slovenije predložiti načrt za ohranitev kapitala, ki vključuje oceno prihodkov in odhodkov, ukrepe za povečanje kapitala ter časovni okvir za izpolnitev zahtev. Banka Slovenije lahko rok podaljša do deset dni in zahteva dodatne informacije. Načrt odobri, če oceni, da bo z njim mogoče zagotoviti zadostni kapital v razumnem roku, sicer zahteva spremembe načrta ali naloži dodatne ukrepe, kot je povečanje kapitala ali strožje omejitve izplačil. S členom se prenaša 142. člen CRD.</w:t>
      </w:r>
      <w:r w:rsidRPr="00215B2F">
        <w:rPr>
          <w:rFonts w:cs="Arial"/>
          <w:b/>
          <w:sz w:val="20"/>
          <w:szCs w:val="20"/>
        </w:rPr>
        <w:t xml:space="preserve"> </w:t>
      </w:r>
    </w:p>
    <w:p w14:paraId="7F55D6E5"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1B21FDD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_Ref202966824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304</w:t>
      </w:r>
      <w:r w:rsidRPr="00215B2F">
        <w:rPr>
          <w:rFonts w:ascii="Arial" w:hAnsi="Arial" w:cs="Arial"/>
          <w:b/>
          <w:bCs/>
          <w:sz w:val="20"/>
          <w:szCs w:val="20"/>
        </w:rPr>
        <w:fldChar w:fldCharType="end"/>
      </w:r>
      <w:r w:rsidRPr="00215B2F">
        <w:rPr>
          <w:rFonts w:ascii="Arial" w:hAnsi="Arial" w:cs="Arial"/>
          <w:b/>
          <w:bCs/>
          <w:sz w:val="20"/>
          <w:szCs w:val="20"/>
        </w:rPr>
        <w:t>. členu (veljavni 262. člen ZBan-3)</w:t>
      </w:r>
    </w:p>
    <w:p w14:paraId="0214C5B4"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71F149A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(262. člen) ni vsebinskih sprememb. Določeno je, da lahko Banka Slovenije podrobneje predpiše vsebino poročil ter roke in način poročanja v zvezi z zahtevami po kapitalskih blažilnikih.</w:t>
      </w:r>
    </w:p>
    <w:p w14:paraId="50A28B0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6BC0E0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_Ref202966897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305</w:t>
      </w:r>
      <w:r w:rsidRPr="00215B2F">
        <w:rPr>
          <w:rFonts w:ascii="Arial" w:hAnsi="Arial" w:cs="Arial"/>
          <w:b/>
          <w:bCs/>
          <w:sz w:val="20"/>
          <w:szCs w:val="20"/>
        </w:rPr>
        <w:fldChar w:fldCharType="end"/>
      </w:r>
      <w:r w:rsidRPr="00215B2F">
        <w:rPr>
          <w:rFonts w:ascii="Arial" w:hAnsi="Arial" w:cs="Arial"/>
          <w:b/>
          <w:bCs/>
          <w:sz w:val="20"/>
          <w:szCs w:val="20"/>
        </w:rPr>
        <w:t>. členu (veljavni 263. člen ZBan-3)</w:t>
      </w:r>
    </w:p>
    <w:p w14:paraId="7772891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001344F" w14:textId="77777777" w:rsidR="0010347E" w:rsidRPr="00215B2F" w:rsidRDefault="0010347E" w:rsidP="0010347E">
      <w:pPr>
        <w:pStyle w:val="tevilnatoka"/>
        <w:numPr>
          <w:ilvl w:val="0"/>
          <w:numId w:val="0"/>
        </w:numPr>
        <w:shd w:val="clear" w:color="auto" w:fill="FFFFFF" w:themeFill="background1"/>
        <w:rPr>
          <w:rFonts w:cs="Arial"/>
          <w:b/>
          <w:sz w:val="20"/>
          <w:szCs w:val="20"/>
        </w:rPr>
      </w:pPr>
      <w:r w:rsidRPr="00215B2F">
        <w:rPr>
          <w:rFonts w:cs="Arial"/>
          <w:sz w:val="20"/>
          <w:szCs w:val="20"/>
        </w:rPr>
        <w:t>V primerjavi z ZBan-3 (263. člen) ni vsebinskih sprememb.</w:t>
      </w:r>
      <w:r w:rsidRPr="00215B2F">
        <w:rPr>
          <w:rFonts w:cs="Arial"/>
          <w:b/>
          <w:sz w:val="20"/>
          <w:szCs w:val="20"/>
        </w:rPr>
        <w:t xml:space="preserve"> </w:t>
      </w:r>
      <w:r w:rsidRPr="00215B2F">
        <w:rPr>
          <w:rFonts w:cs="Arial"/>
          <w:bCs/>
          <w:sz w:val="20"/>
          <w:szCs w:val="20"/>
        </w:rPr>
        <w:t xml:space="preserve">Banka Slovenije lahko banko opredeli kot majhno in nekompleksno, če ta izpolnjuje vse pogoje iz Uredbe 575/2013/EU, pri čemer se za enega od pogojev upošteva izjava banke. Izpolnjevanje pogojev se preverja najmanj enkrat letno, in če banka pogojev ne izpolnjuje več, ji Banka Slovenije z odločbo določi rok za uskladitev z vsemi zahtevami, ki veljajo za banke. Prav tako se status prekine, če banka sama vloži ugovor glede opredelitve kot majhna in nekompleksna. </w:t>
      </w:r>
    </w:p>
    <w:p w14:paraId="49407A2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99B715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_Ref202966908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306</w:t>
      </w:r>
      <w:r w:rsidRPr="00215B2F">
        <w:rPr>
          <w:rFonts w:ascii="Arial" w:hAnsi="Arial" w:cs="Arial"/>
          <w:b/>
          <w:bCs/>
          <w:sz w:val="20"/>
          <w:szCs w:val="20"/>
        </w:rPr>
        <w:fldChar w:fldCharType="end"/>
      </w:r>
      <w:r w:rsidRPr="00215B2F">
        <w:rPr>
          <w:rFonts w:ascii="Arial" w:hAnsi="Arial" w:cs="Arial"/>
          <w:b/>
          <w:bCs/>
          <w:sz w:val="20"/>
          <w:szCs w:val="20"/>
        </w:rPr>
        <w:t>. členu</w:t>
      </w:r>
    </w:p>
    <w:p w14:paraId="6B57839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75F7300"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Za potrebe tega poglavja izraz »podružnica iz tretje države« pomeni podružnico, ki jo v Sloveniji ustanovi bodisi družba bodisi kreditna institucija s sedežem v tretji državi za izvajanje določenih bančnih dejavnosti. Izraz »matična družba« pa označuje družbo s sedežem v tretji državi, ki ustanovi tako podružnico, vključno z njenimi vmesnimi ali končnimi nadrejenimi osebami, če je to ustrezno. Gre za prenos 47. člena CRD (tretji odstavek). </w:t>
      </w:r>
    </w:p>
    <w:p w14:paraId="43CB7D5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093A71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_Ref202966957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307</w:t>
      </w:r>
      <w:r w:rsidRPr="00215B2F">
        <w:rPr>
          <w:rFonts w:ascii="Arial" w:hAnsi="Arial" w:cs="Arial"/>
          <w:b/>
          <w:bCs/>
          <w:sz w:val="20"/>
          <w:szCs w:val="20"/>
        </w:rPr>
        <w:fldChar w:fldCharType="end"/>
      </w:r>
      <w:r w:rsidRPr="00215B2F">
        <w:rPr>
          <w:rFonts w:ascii="Arial" w:hAnsi="Arial" w:cs="Arial"/>
          <w:b/>
          <w:bCs/>
          <w:sz w:val="20"/>
          <w:szCs w:val="20"/>
        </w:rPr>
        <w:t>. členu</w:t>
      </w:r>
    </w:p>
    <w:p w14:paraId="6B7D808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8B7D7C3" w14:textId="77777777"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Določa se, da Banka Slovenije pri izvajanju nadzora po tem zakonu ne uporablja določb, ki podružnice iz tretjih držav obravnavajo ugodneje od podružnic institucij s sedežem v drugi državi članici. Gre za prenos 48. člena CRD. </w:t>
      </w:r>
    </w:p>
    <w:p w14:paraId="4FDD3A4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511282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_Ref202966962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308</w:t>
      </w:r>
      <w:r w:rsidRPr="00215B2F">
        <w:rPr>
          <w:rFonts w:ascii="Arial" w:hAnsi="Arial" w:cs="Arial"/>
          <w:b/>
          <w:bCs/>
          <w:sz w:val="20"/>
          <w:szCs w:val="20"/>
        </w:rPr>
        <w:fldChar w:fldCharType="end"/>
      </w:r>
      <w:r w:rsidRPr="00215B2F">
        <w:rPr>
          <w:rFonts w:ascii="Arial" w:hAnsi="Arial" w:cs="Arial"/>
          <w:b/>
          <w:bCs/>
          <w:sz w:val="20"/>
          <w:szCs w:val="20"/>
        </w:rPr>
        <w:t>. členu</w:t>
      </w:r>
    </w:p>
    <w:p w14:paraId="2E3E5E2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9ADB224"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razvrsti podružnice iz tretjih držav v razred 1 ali razred 2 glede na merila, kot so obseg sredstev, obseg vlog neprofesionalnih strank in status kvalificirane podružnice. Podružnice, ki izpolnjujejo vsaj enega od določenih pogojev, se uvrstijo v razred 1, druge pa v razred 2. Če se pogoji spremenijo, Banka Slovenije po uradni dolžnosti izvede postopek prerazvrstitve, pri čemer mora prerazvrstitev v razred 1 počakati najmanj štiri mesece od začetka izpolnjevanja pogojev. Razvrstitev se opravi ob izdaji dovoljenja ali naknadno, če pride do sprememb. Gre za prenos 48.a člena CRD. </w:t>
      </w:r>
    </w:p>
    <w:p w14:paraId="0797D19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651594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Dodatno velja pojasniti, da o razvrstitvi odloči Banka Slovenije z odločbo. Če gre za novo podružnico, se odločitev združi z odločbo o izdaji dovoljenja</w:t>
      </w:r>
    </w:p>
    <w:p w14:paraId="59DA486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617F122"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Člen 48a(3) CRD določa, da se podružnica nemudoma prerazvrsti, vendar glede na to, da prerazvrstitev zahteva presojo pogojev, tega pravno gledano ni mogoče narediti brez odločbe in pravice do izjave, zato je v drugem odstavku določba prilagojena na dikcijo »začne postopek«. </w:t>
      </w:r>
    </w:p>
    <w:p w14:paraId="7F8A5FC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A89E2A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_Ref202966971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309</w:t>
      </w:r>
      <w:r w:rsidRPr="00215B2F">
        <w:rPr>
          <w:rFonts w:ascii="Arial" w:hAnsi="Arial" w:cs="Arial"/>
          <w:b/>
          <w:bCs/>
          <w:sz w:val="20"/>
          <w:szCs w:val="20"/>
        </w:rPr>
        <w:fldChar w:fldCharType="end"/>
      </w:r>
      <w:r w:rsidRPr="00215B2F">
        <w:rPr>
          <w:rFonts w:ascii="Arial" w:hAnsi="Arial" w:cs="Arial"/>
          <w:b/>
          <w:bCs/>
          <w:sz w:val="20"/>
          <w:szCs w:val="20"/>
        </w:rPr>
        <w:t>. členu</w:t>
      </w:r>
    </w:p>
    <w:p w14:paraId="16C9473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2BE9A8B" w14:textId="77777777" w:rsidR="0010347E" w:rsidRPr="00215B2F" w:rsidRDefault="0010347E" w:rsidP="0010347E">
      <w:pPr>
        <w:pStyle w:val="Odstavek"/>
        <w:shd w:val="clear" w:color="auto" w:fill="FFFFFF" w:themeFill="background1"/>
        <w:spacing w:before="0"/>
        <w:ind w:firstLine="0"/>
        <w:rPr>
          <w:rFonts w:cs="Arial"/>
          <w:sz w:val="20"/>
          <w:szCs w:val="20"/>
          <w:u w:val="single"/>
        </w:rPr>
      </w:pPr>
      <w:r w:rsidRPr="00215B2F">
        <w:rPr>
          <w:rFonts w:cs="Arial"/>
          <w:sz w:val="20"/>
          <w:szCs w:val="20"/>
          <w:u w:val="single"/>
        </w:rPr>
        <w:t>Splošno pojasnilo:</w:t>
      </w:r>
    </w:p>
    <w:p w14:paraId="253BA6D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C7CE9A9" w14:textId="77777777" w:rsidR="0010347E" w:rsidRPr="00215B2F" w:rsidRDefault="0010347E" w:rsidP="0010347E">
      <w:pPr>
        <w:pStyle w:val="Pripombabesedilo"/>
        <w:shd w:val="clear" w:color="auto" w:fill="FFFFFF" w:themeFill="background1"/>
        <w:jc w:val="both"/>
        <w:rPr>
          <w:rFonts w:ascii="Arial" w:hAnsi="Arial" w:cs="Arial"/>
        </w:rPr>
      </w:pPr>
      <w:r w:rsidRPr="00215B2F">
        <w:rPr>
          <w:rFonts w:ascii="Arial" w:hAnsi="Arial" w:cs="Arial"/>
        </w:rPr>
        <w:t xml:space="preserve">CRD člen 48a(4) določa: </w:t>
      </w:r>
      <w:r w:rsidRPr="00215B2F">
        <w:rPr>
          <w:rFonts w:ascii="Arial" w:hAnsi="Arial" w:cs="Arial"/>
          <w:i/>
        </w:rPr>
        <w:t xml:space="preserve">»4. Države članice lahko za podružnice iz tretjih držav, ki imajo dovoljenje na njihovem ozemlju, ali za določene kategorije teh podružnic namesto zahtev iz tega naslova uporabljajo enake zahteve kot za kreditne institucije, ki imajo dovoljenje na podlagi te direktive. Kadar se obravnava iz tega odstavka uporablja samo za nekatere kategorije podružnic iz tretjih držav, države članice za namene te obravnave določijo ustrezna merila za razvrstitev. Odstavki 1, 2 in 3 tega člena se ne uporabljajo za te podružnice iz tretjih držav, razen za namene člena 48p.« </w:t>
      </w:r>
    </w:p>
    <w:p w14:paraId="5F1CEAE2" w14:textId="77777777" w:rsidR="0010347E" w:rsidRPr="00215B2F" w:rsidRDefault="0010347E" w:rsidP="0010347E">
      <w:pPr>
        <w:pStyle w:val="Pripombabesedilo"/>
        <w:shd w:val="clear" w:color="auto" w:fill="FFFFFF" w:themeFill="background1"/>
        <w:rPr>
          <w:rFonts w:ascii="Arial" w:hAnsi="Arial" w:cs="Arial"/>
        </w:rPr>
      </w:pPr>
    </w:p>
    <w:p w14:paraId="736BCEEB"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Gre za diskrecijo držav članic, da zahteve za podružnice tretjih držav uredijo drugače, pri čemer se pričakuje, da države članice v tem primeru oblikujejo celotni nabor zahtev, ki veljajo za kreditne institucije, prilagojeno na naravo poslovanja podružnice.</w:t>
      </w:r>
    </w:p>
    <w:p w14:paraId="09EE000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A8349A3" w14:textId="77777777" w:rsidR="0010347E" w:rsidRPr="00215B2F" w:rsidRDefault="0010347E" w:rsidP="0010347E">
      <w:pPr>
        <w:pStyle w:val="Odstavek"/>
        <w:shd w:val="clear" w:color="auto" w:fill="FFFFFF" w:themeFill="background1"/>
        <w:spacing w:before="0"/>
        <w:ind w:firstLine="0"/>
        <w:rPr>
          <w:rFonts w:cs="Arial"/>
          <w:sz w:val="20"/>
          <w:szCs w:val="20"/>
          <w:u w:val="single"/>
        </w:rPr>
      </w:pPr>
      <w:r w:rsidRPr="00215B2F">
        <w:rPr>
          <w:rFonts w:cs="Arial"/>
          <w:sz w:val="20"/>
          <w:szCs w:val="20"/>
          <w:u w:val="single"/>
        </w:rPr>
        <w:t xml:space="preserve">Pojasnilo k členu: </w:t>
      </w:r>
    </w:p>
    <w:p w14:paraId="69AC9DD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E2F768E"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Podružnica iz tretje države se šteje za kvalificirano, če njena matična družba izpolnjuje pogoje glede enakovrednosti bonitetnih standardov in nadzora, zaupnosti nadzornih organov ter če ima sedež v državi, ki ni na seznamu tretjih držav z visokim tveganjem glede pranja denarja in financiranja terorizma. Banka Slovenije pri presoji upošteva javni register tretjih držav, ki ga vodi Evropski bančni organ. Če država ni v registru in ni na seznamu tveganih držav, mora Banka Slovenije zaprositi Evropsko komisijo za oceno regulativnega okvira; do odločitve Komisije pa se podružnica začasno razvrsti v razred 1. Gre za prenos 48.b člena CRD. </w:t>
      </w:r>
    </w:p>
    <w:p w14:paraId="1DE3E35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A94DAC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_Ref202966974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310</w:t>
      </w:r>
      <w:r w:rsidRPr="00215B2F">
        <w:rPr>
          <w:rFonts w:ascii="Arial" w:hAnsi="Arial" w:cs="Arial"/>
          <w:b/>
          <w:bCs/>
          <w:sz w:val="20"/>
          <w:szCs w:val="20"/>
        </w:rPr>
        <w:fldChar w:fldCharType="end"/>
      </w:r>
      <w:r w:rsidRPr="00215B2F">
        <w:rPr>
          <w:rFonts w:ascii="Arial" w:hAnsi="Arial" w:cs="Arial"/>
          <w:b/>
          <w:bCs/>
          <w:sz w:val="20"/>
          <w:szCs w:val="20"/>
        </w:rPr>
        <w:t>. členu</w:t>
      </w:r>
    </w:p>
    <w:p w14:paraId="4B99757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93BE4B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si prizadeva, da pred začetkom poslovanja podružnice iz tretje države v Sloveniji sklene upravni ali drug dogovor s pristojnimi organi te države, pri čemer se opira na model, ki ga pripravi Evropski bančni organ. Poleg tega mora Banka Slovenije brez odlašanja poslati Evropskemu bančnemu organu vse informacije o sklenjenih dogovorih s tretjimi državami. Gre za prenos 48.c člena CRD. </w:t>
      </w:r>
    </w:p>
    <w:p w14:paraId="69C1364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44D770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_Ref202966978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311</w:t>
      </w:r>
      <w:r w:rsidRPr="00215B2F">
        <w:rPr>
          <w:rFonts w:ascii="Arial" w:hAnsi="Arial" w:cs="Arial"/>
          <w:b/>
          <w:bCs/>
          <w:sz w:val="20"/>
          <w:szCs w:val="20"/>
        </w:rPr>
        <w:fldChar w:fldCharType="end"/>
      </w:r>
      <w:r w:rsidRPr="00215B2F">
        <w:rPr>
          <w:rFonts w:ascii="Arial" w:hAnsi="Arial" w:cs="Arial"/>
          <w:b/>
          <w:bCs/>
          <w:sz w:val="20"/>
          <w:szCs w:val="20"/>
        </w:rPr>
        <w:t>. členu</w:t>
      </w:r>
    </w:p>
    <w:p w14:paraId="1ADB0FF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100762F"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S členom se opredeljuje dovoljenje za opravljanje storitev podružnic tretjih držav. Gre za prenos 48.c člena CRD. Družba iz tretje države, ki želi ustanoviti podružnico v Sloveniji, mora pred tem pridobiti dovoljenje Banke Slovenije, ki ji omogoča opravljanje določenih bančnih in finančnih storitev. Če podružnica želi opravljati dodatne storitve, ki niso zajete v prvotnem dovoljenju, mora za te storitve pridobiti dodatno dovoljenje Banke Slovenije.</w:t>
      </w:r>
    </w:p>
    <w:p w14:paraId="69C2C1C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F913E9E" w14:textId="5B8222D2"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lastRenderedPageBreak/>
        <w:t xml:space="preserve">To poglavje (torej zahteve glede dovoljenja) se uporablja za podružnice razreda 1 in razreda 2. Dodatno velja pojasniti, da so vsebine drugega in tretjega odstavka smiselno povzete po sedanji ureditvi (137. člen ZBan-3). Glede določbe v tretjem odstavku glede smiselne uporabe določb tega </w:t>
      </w:r>
      <w:r w:rsidR="00653598" w:rsidRPr="00215B2F">
        <w:rPr>
          <w:rFonts w:cs="Arial"/>
          <w:sz w:val="20"/>
          <w:szCs w:val="20"/>
        </w:rPr>
        <w:t xml:space="preserve">pododdelka </w:t>
      </w:r>
      <w:r w:rsidRPr="00215B2F">
        <w:rPr>
          <w:rFonts w:cs="Arial"/>
          <w:sz w:val="20"/>
          <w:szCs w:val="20"/>
        </w:rPr>
        <w:t>je mišljeno, da gre za določbe glede izdaje dovoljenja za opravljanje storitev podružnic tretjih držav.</w:t>
      </w:r>
    </w:p>
    <w:p w14:paraId="321C243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CA7274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_Ref202966983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312</w:t>
      </w:r>
      <w:r w:rsidRPr="00215B2F">
        <w:rPr>
          <w:rFonts w:ascii="Arial" w:hAnsi="Arial" w:cs="Arial"/>
          <w:b/>
          <w:bCs/>
          <w:sz w:val="20"/>
          <w:szCs w:val="20"/>
        </w:rPr>
        <w:fldChar w:fldCharType="end"/>
      </w:r>
      <w:r w:rsidRPr="00215B2F">
        <w:rPr>
          <w:rFonts w:ascii="Arial" w:hAnsi="Arial" w:cs="Arial"/>
          <w:b/>
          <w:bCs/>
          <w:sz w:val="20"/>
          <w:szCs w:val="20"/>
        </w:rPr>
        <w:t>. členu</w:t>
      </w:r>
    </w:p>
    <w:p w14:paraId="339AB6F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16927F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Družba iz tretje države, ki želi ustanoviti podružnico v Sloveniji, mora pri Banki Slovenije vložiti zahtevo za dovoljenje, ki ji priloži obsežno dokumentacijo, vključno z registrskimi izpiski, statutom, podatki o vodstvu in lastništvu, revidiranimi poročili, dovoljenji matične države, poslovnim načrtom, opisom storitev, organizacijsko strukturo, sistemom upravljanja tveganj in drugimi dokazili o sposobnosti za opravljanje storitev. Banka Slovenije lahko z izvedbenim predpisom dodatno določi vsebino dokumentacije, ki jo mora vložnik predložiti. Gre za prenos 48.c člena CRD (tretji odstavek –11. in 12. točka). Dodatno velja pojasniti, da je v CRD glede nabora dokumentacije predvidena tudi izdaja smernic EBA. </w:t>
      </w:r>
    </w:p>
    <w:p w14:paraId="4A2F4EE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3F3C14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_Ref202966987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313</w:t>
      </w:r>
      <w:r w:rsidRPr="00215B2F">
        <w:rPr>
          <w:rFonts w:ascii="Arial" w:hAnsi="Arial" w:cs="Arial"/>
          <w:b/>
          <w:bCs/>
          <w:sz w:val="20"/>
          <w:szCs w:val="20"/>
        </w:rPr>
        <w:fldChar w:fldCharType="end"/>
      </w:r>
      <w:r w:rsidRPr="00215B2F">
        <w:rPr>
          <w:rFonts w:ascii="Arial" w:hAnsi="Arial" w:cs="Arial"/>
          <w:b/>
          <w:bCs/>
          <w:sz w:val="20"/>
          <w:szCs w:val="20"/>
        </w:rPr>
        <w:t>. členu</w:t>
      </w:r>
    </w:p>
    <w:p w14:paraId="094A78D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90AA4D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izda dovoljenje za podružnico tretje države, če so izpolnjeni pogoji glede skladnosti z regulativnimi zahtevami, dovoljenj v matični državi, obveščenosti nadzornega organa matične družbe, možnosti nadzornega sodelovanja ter glede odsotnosti tveganja pranja denarja ali financiranja terorizma. Pri tem se posvetuje z Uradom Republike Slovenije za preprečevanje pranja denarja. V dovoljenju lahko določi pogoje ali omejitve za opravljanje storitev in izrecno omeji delovanje podružnice na ozemlje Republike Slovenije, razen v posameznih primerih znotraj skupine ali na pobudo stranke. Gre za prenos 48.c člena CRD (četrti odstavek). </w:t>
      </w:r>
    </w:p>
    <w:p w14:paraId="7863036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9858552"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Dodatno velja pojasniti, da se (kot bo to podrobneje opredeljeno tudi v podzakonskem aktu o dokumentaciji) pričakuje, da to potrdilo o obveščanju matičnega organa predloži vložnik.</w:t>
      </w:r>
    </w:p>
    <w:p w14:paraId="62584F9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0F3160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_Ref202966995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314</w:t>
      </w:r>
      <w:r w:rsidRPr="00215B2F">
        <w:rPr>
          <w:rFonts w:ascii="Arial" w:hAnsi="Arial" w:cs="Arial"/>
          <w:b/>
          <w:bCs/>
          <w:sz w:val="20"/>
          <w:szCs w:val="20"/>
        </w:rPr>
        <w:fldChar w:fldCharType="end"/>
      </w:r>
      <w:r w:rsidRPr="00215B2F">
        <w:rPr>
          <w:rFonts w:ascii="Arial" w:hAnsi="Arial" w:cs="Arial"/>
          <w:b/>
          <w:bCs/>
          <w:sz w:val="20"/>
          <w:szCs w:val="20"/>
        </w:rPr>
        <w:t>. členu</w:t>
      </w:r>
    </w:p>
    <w:p w14:paraId="38A1A64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C7586A8"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zavrne izdajo dovoljenja za podružnico tretje države, če podružnica ne izpolnjuje pogojev iz zakona ali če matična družba oziroma njena skupina ne izpolnjuje bonitetnih zahtev po pravu tretje države oziroma obstaja utemeljeni sum, da jih ne bo izpolnjevala v prihodnjih 12 mesecih. V primeru nastanka takšnih okoliščin mora podružnica nemudoma uradno obvestiti Banko Slovenije. Gre za prenos 48.d člena CRD (prvi odstavek). </w:t>
      </w:r>
    </w:p>
    <w:p w14:paraId="33BB94B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E45782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_Ref202966998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315</w:t>
      </w:r>
      <w:r w:rsidRPr="00215B2F">
        <w:rPr>
          <w:rFonts w:ascii="Arial" w:hAnsi="Arial" w:cs="Arial"/>
          <w:b/>
          <w:bCs/>
          <w:sz w:val="20"/>
          <w:szCs w:val="20"/>
        </w:rPr>
        <w:fldChar w:fldCharType="end"/>
      </w:r>
      <w:r w:rsidRPr="00215B2F">
        <w:rPr>
          <w:rFonts w:ascii="Arial" w:hAnsi="Arial" w:cs="Arial"/>
          <w:b/>
          <w:bCs/>
          <w:sz w:val="20"/>
          <w:szCs w:val="20"/>
        </w:rPr>
        <w:t>. členu</w:t>
      </w:r>
    </w:p>
    <w:p w14:paraId="0A1FBFD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F1094F7"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Dovoljenje za podružnico iz tretje države preneha veljati, če ta v 12 mesecih ne začne opravljati storitev, jih prekine za več kot 6 mesecev ali sama izjavi, da je prenehala opravljati storitve. V takih primerih Banka Slovenije izda odločbo o prenehanju dovoljenja, pri čemer se kot datum prenehanja šteje iztek roka ali dan prenehanja sprejemanja depozitov. Po prenehanju dovoljenja podružnica ne sme več sklepati novih poslov v zvezi z zadevnimi storitvami. Gre za prenos 48.d člena CRD5. </w:t>
      </w:r>
    </w:p>
    <w:p w14:paraId="3A2FC87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62A0CB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_Ref202967002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316</w:t>
      </w:r>
      <w:r w:rsidRPr="00215B2F">
        <w:rPr>
          <w:rFonts w:ascii="Arial" w:hAnsi="Arial" w:cs="Arial"/>
          <w:b/>
          <w:bCs/>
          <w:sz w:val="20"/>
          <w:szCs w:val="20"/>
        </w:rPr>
        <w:fldChar w:fldCharType="end"/>
      </w:r>
      <w:r w:rsidRPr="00215B2F">
        <w:rPr>
          <w:rFonts w:ascii="Arial" w:hAnsi="Arial" w:cs="Arial"/>
          <w:b/>
          <w:bCs/>
          <w:sz w:val="20"/>
          <w:szCs w:val="20"/>
        </w:rPr>
        <w:t>. členu</w:t>
      </w:r>
    </w:p>
    <w:p w14:paraId="26379F8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EEEE078"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Podružnice iz tretjih držav morajo ves čas zagotavljati minimalni jamstveni kapital, ki je odvisen od razreda podružnice: za razred 1 znaša najmanj 2,5 % povprečnih obveznosti v zadnjih treh letih oziroma ob pridobitvi dovoljenja, vendar ne manj kot 10 milijonov evrov; za razred 2 znaša najmanj 0,5 % povprečnih obveznosti oziroma ob pridobitvi dovoljenja, vendar ne manj kot 5 milijonov evrov. Ta kapital ne nadomešča drugih zakonskih kapitalskih zahtev. Podružnice lahko kapital zagotovijo v obliki denarja, določenih dolžniških vrednostnih papirjev ali drugih instrumentov, ki so takoj razpoložljivi za pokrivanje izgub. Vsa sredstva morajo biti položena na posebni račun v Sloveniji pri neodvisni banki ali Banki Slovenije in so namenjena za reševanje ali prenehanje podružnice v skladu z zakonodajo. Gre za prenos 48.e člena CRD.</w:t>
      </w:r>
    </w:p>
    <w:p w14:paraId="6D2635C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DEB145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zvezi z minimalnimi jamstvi (v prvem odstavku predloga člena) velja pojasniti, da so mišljene morebitne zahteve po ustanovnem kapitalu podružnice, npr. iz ZGD-1.</w:t>
      </w:r>
    </w:p>
    <w:p w14:paraId="6E78858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0A86FB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lastRenderedPageBreak/>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_Ref202967005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317</w:t>
      </w:r>
      <w:r w:rsidRPr="00215B2F">
        <w:rPr>
          <w:rFonts w:ascii="Arial" w:hAnsi="Arial" w:cs="Arial"/>
          <w:b/>
          <w:bCs/>
          <w:sz w:val="20"/>
          <w:szCs w:val="20"/>
        </w:rPr>
        <w:fldChar w:fldCharType="end"/>
      </w:r>
      <w:r w:rsidRPr="00215B2F">
        <w:rPr>
          <w:rFonts w:ascii="Arial" w:hAnsi="Arial" w:cs="Arial"/>
          <w:b/>
          <w:bCs/>
          <w:sz w:val="20"/>
          <w:szCs w:val="20"/>
        </w:rPr>
        <w:t>. členu</w:t>
      </w:r>
    </w:p>
    <w:p w14:paraId="78D315F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4FFD94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Podružnice iz tretjih držav morajo ne glede na druge zakonske zahteve ves čas zagotavljati neobremenjena in likvidna sredstva, ki zadoščajo za pokritje likvidnostnih odlivov za najmanj 30 dni. Podružnice razreda 1 se štejejo za skladne, če izpolnjujejo likvidnostne zahteve iz evropske bančne zakonodaje (Uredba 575/2013/EU in Delegirana uredba 2015/61). Ta sredstva morajo biti položena na račun v Sloveniji pri neodvisni kreditni instituciji ali Banki Slovenije. Če po uporabi za pokritje odlivov ostanejo sredstva, so ta namenjena tudi za reševanje ali prenehanje podružnice. Banka Slovenije pa lahko posamezni kvalificirani podružnici prizna izjemo od te zahteve. Gre za prenos 48.f člena CRD.</w:t>
      </w:r>
    </w:p>
    <w:p w14:paraId="763EC27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0B75B58"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zvezi s členom velja dodatno pojasniti, da naj bi bila računa za jamstveni kapital in likvidnostne zahteve ločena.</w:t>
      </w:r>
    </w:p>
    <w:p w14:paraId="7538329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7F9626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_Ref202967009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318</w:t>
      </w:r>
      <w:r w:rsidRPr="00215B2F">
        <w:rPr>
          <w:rFonts w:ascii="Arial" w:hAnsi="Arial" w:cs="Arial"/>
          <w:b/>
          <w:bCs/>
          <w:sz w:val="20"/>
          <w:szCs w:val="20"/>
        </w:rPr>
        <w:fldChar w:fldCharType="end"/>
      </w:r>
      <w:r w:rsidRPr="00215B2F">
        <w:rPr>
          <w:rFonts w:ascii="Arial" w:hAnsi="Arial" w:cs="Arial"/>
          <w:b/>
          <w:bCs/>
          <w:sz w:val="20"/>
          <w:szCs w:val="20"/>
        </w:rPr>
        <w:t>. členu</w:t>
      </w:r>
    </w:p>
    <w:p w14:paraId="054024F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8D5F524" w14:textId="42DCBCBE"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Podružnica iz tretje države mora v Sloveniji imeti vsaj dve osebi, ki dejansko vodita njeno poslovanje, pri čemer mora vsak član poslovodstva pred začetkom dela pridobiti dovoljenje Banke Slovenije v skladu z določbami za člane uprave banke. Za podružnice razreda 1 veljajo strožje zahteve glede notranjega upravljanja, vključno z možnostjo zahteve po lokalnem upravljalnem odboru, medtem ko morajo podružnice razreda 2 vzpostaviti funkcije notranje kontrole, razen določenih izjem. Banka Slovenije lahko glede na značilnosti podružnice razreda 2 zahteva imenovanje vodij teh funkcij. Vse podružnice morajo vzpostaviti sistem poročanja matični družbi o tveganjih in upravljanju ter imeti ustrezne IKT sisteme in nadzor nad zunanjim izvajanjem. Pri vzajemnih ali skupinskih poslih morajo imeti vire za upravljanje kreditnega tveganja nasprotne stranke. Glavne naloge, ki jih izvaja matična družba, morajo biti urejene z notranjimi dogovori. Neodvisna tretja oseba mora vsaj letno oceniti skladnost podružnice z zahtevami, Banka Slovenije pa ima pravico do popolnega dostopa do vseh potrebnih informacij. Gre za prenos 48.g člena CRD.</w:t>
      </w:r>
    </w:p>
    <w:p w14:paraId="132A136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03778D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_Ref202967012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319</w:t>
      </w:r>
      <w:r w:rsidRPr="00215B2F">
        <w:rPr>
          <w:rFonts w:ascii="Arial" w:hAnsi="Arial" w:cs="Arial"/>
          <w:b/>
          <w:bCs/>
          <w:sz w:val="20"/>
          <w:szCs w:val="20"/>
        </w:rPr>
        <w:fldChar w:fldCharType="end"/>
      </w:r>
      <w:r w:rsidRPr="00215B2F">
        <w:rPr>
          <w:rFonts w:ascii="Arial" w:hAnsi="Arial" w:cs="Arial"/>
          <w:b/>
          <w:bCs/>
          <w:sz w:val="20"/>
          <w:szCs w:val="20"/>
        </w:rPr>
        <w:t>. členu</w:t>
      </w:r>
    </w:p>
    <w:p w14:paraId="7B24885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38EFABF"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Podružnice iz tretjih držav morajo voditi register, ki omogoča natančno spremljanje vseh sredstev in obveznosti v Sloveniji ter samostojno upravljanje teh postavk, vključno z informacijami o tveganjih in njihovem upravljanju. Ob tem morajo oblikovati politiko knjiženja, ki jo redno posodabljajo in usklajujejo s poslovno strategijo, pri čemer jo mora potrditi organ upravljanja matične družbe. Poleg tega morajo najmanj enkrat letno zagotoviti neodvisno oceno izvajanja teh zahtev, ki jo pripravi tretja oseba in pošlje Banki Slovenije. Gre za prenos 48.h člena CRD.</w:t>
      </w:r>
    </w:p>
    <w:p w14:paraId="5F36518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1E236E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_Ref202967016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320</w:t>
      </w:r>
      <w:r w:rsidRPr="00215B2F">
        <w:rPr>
          <w:rFonts w:ascii="Arial" w:hAnsi="Arial" w:cs="Arial"/>
          <w:b/>
          <w:bCs/>
          <w:sz w:val="20"/>
          <w:szCs w:val="20"/>
        </w:rPr>
        <w:fldChar w:fldCharType="end"/>
      </w:r>
      <w:r w:rsidRPr="00215B2F">
        <w:rPr>
          <w:rFonts w:ascii="Arial" w:hAnsi="Arial" w:cs="Arial"/>
          <w:b/>
          <w:bCs/>
          <w:sz w:val="20"/>
          <w:szCs w:val="20"/>
        </w:rPr>
        <w:t>. členu</w:t>
      </w:r>
    </w:p>
    <w:p w14:paraId="1E602E3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ADA54C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lahko zahteva, da se podružnica iz tretje države preoblikuje v gospodarsko družbo s sedežem v Sloveniji in zaprosi za dovoljenje za opravljanje bančnih in finančnih storitev, če podružnica posluje z drugimi državami članicami v nasprotju z zakonom, če izpolnjuje kazalnike sistemske pomembnosti ali če skupni znesek sredstev presega določene pragove (40 milijard evrov v EU ali 10 milijard evrov v Sloveniji). Poleg tega lahko Banka Slovenije zahtevo izda tudi iz drugih nadzornih razlogov. Pred odločitvijo se posvetuje z Evropskim bančnim organom in pristojnimi organi drugih držav članic. Pri oceni sistemske pomembnosti upošteva več kazalnikov, kot so velikost, kompleksnost, povezanost s finančnim sistemom, tržni delež, vpliv na likvidnost in infrastrukturo ter vloga podružnice v skupini in pri reševanju. Gre za prenos 48.i člena CRD.</w:t>
      </w:r>
    </w:p>
    <w:p w14:paraId="54F2BA0B" w14:textId="77777777" w:rsidR="0010347E" w:rsidRPr="00215B2F" w:rsidRDefault="0010347E" w:rsidP="0010347E">
      <w:pPr>
        <w:pStyle w:val="Pripombabesedilo"/>
        <w:shd w:val="clear" w:color="auto" w:fill="FFFFFF" w:themeFill="background1"/>
        <w:jc w:val="both"/>
        <w:rPr>
          <w:rFonts w:ascii="Arial" w:hAnsi="Arial" w:cs="Arial"/>
        </w:rPr>
      </w:pPr>
    </w:p>
    <w:p w14:paraId="7ED825EA" w14:textId="2941AE13" w:rsidR="0010347E" w:rsidRPr="00215B2F" w:rsidRDefault="0010347E" w:rsidP="0010347E">
      <w:pPr>
        <w:pStyle w:val="Pripombabesedilo"/>
        <w:shd w:val="clear" w:color="auto" w:fill="FFFFFF" w:themeFill="background1"/>
        <w:jc w:val="both"/>
        <w:rPr>
          <w:rFonts w:ascii="Arial" w:hAnsi="Arial" w:cs="Arial"/>
        </w:rPr>
      </w:pPr>
      <w:r w:rsidRPr="00215B2F">
        <w:rPr>
          <w:rFonts w:ascii="Arial" w:hAnsi="Arial" w:cs="Arial"/>
        </w:rPr>
        <w:t>Dodatno velja pojasniti, da se pri uporabi ukrepa preoblikovanj</w:t>
      </w:r>
      <w:r w:rsidR="00703974" w:rsidRPr="00215B2F">
        <w:rPr>
          <w:rFonts w:ascii="Arial" w:hAnsi="Arial" w:cs="Arial"/>
        </w:rPr>
        <w:t>a</w:t>
      </w:r>
      <w:r w:rsidRPr="00215B2F">
        <w:rPr>
          <w:rFonts w:ascii="Arial" w:hAnsi="Arial" w:cs="Arial"/>
        </w:rPr>
        <w:t xml:space="preserve"> v podrejeno družbo upošteva načelo sorazmernosti v skladu s katerim se ukrep uporabi, če milejši ukrepi ne bi zadostovali. </w:t>
      </w:r>
    </w:p>
    <w:p w14:paraId="45336DC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10666B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_Ref202967029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321</w:t>
      </w:r>
      <w:r w:rsidRPr="00215B2F">
        <w:rPr>
          <w:rFonts w:ascii="Arial" w:hAnsi="Arial" w:cs="Arial"/>
          <w:b/>
          <w:bCs/>
          <w:sz w:val="20"/>
          <w:szCs w:val="20"/>
        </w:rPr>
        <w:fldChar w:fldCharType="end"/>
      </w:r>
      <w:r w:rsidRPr="00215B2F">
        <w:rPr>
          <w:rFonts w:ascii="Arial" w:hAnsi="Arial" w:cs="Arial"/>
          <w:b/>
          <w:bCs/>
          <w:sz w:val="20"/>
          <w:szCs w:val="20"/>
        </w:rPr>
        <w:t>. členu</w:t>
      </w:r>
    </w:p>
    <w:p w14:paraId="4DA07AD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0964315"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Če skupina iz tretje države prek svojih podružnic v EU doseže skupni znesek sredstev v višini najmanj 40 milijard evrov (v povprečju ali absolutno v določenem obdobju), mora Banka Slovenije kot nadzorni organ oceniti, ali je podružnica, ki jo nadzoruje, sistemsko pomembna in ali pomeni tveganje za finančno stabilnost Slovenije ali EU. Pri tem se iz ocene izključijo sredstva, povezana s posli s centralnimi bankami. Ocenjevanje temelji na kazalnikih sistemske pomembnosti, kot so velikost, kompleksnost, povezanost s finančnim sistemom in vpliv na trge. Banka Slovenije se mora posvetovati z Evropskim </w:t>
      </w:r>
      <w:r w:rsidRPr="00215B2F">
        <w:rPr>
          <w:rFonts w:cs="Arial"/>
          <w:sz w:val="20"/>
          <w:szCs w:val="20"/>
        </w:rPr>
        <w:lastRenderedPageBreak/>
        <w:t>bančnim odborom in drugimi pristojnimi organi držav članic, kjer ima skupina prisotnost, ter jim predložiti obrazloženo oceno. Če pride do nestrinjanja, imajo organi 10 dni za odziv, nato pa si skupaj z Evropskim bančnim organom prizadevajo doseči soglasje v treh mesecih. Če soglasja ni, Banka Slovenije sprejme končno odločitev. Enak postopek velja tudi obratno, kadar je drug organ nosilec ocene, Banka Slovenije pa sodeluje kot zadevni organ. Gre za prenos 48.</w:t>
      </w:r>
      <w:r w:rsidRPr="00215B2F">
        <w:rPr>
          <w:rFonts w:cs="Arial"/>
        </w:rPr>
        <w:t>j</w:t>
      </w:r>
      <w:r w:rsidRPr="00215B2F">
        <w:rPr>
          <w:rFonts w:cs="Arial"/>
          <w:sz w:val="20"/>
          <w:szCs w:val="20"/>
        </w:rPr>
        <w:t xml:space="preserve"> člena CRD.</w:t>
      </w:r>
    </w:p>
    <w:p w14:paraId="3F984B7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0937E4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_Ref202967032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322</w:t>
      </w:r>
      <w:r w:rsidRPr="00215B2F">
        <w:rPr>
          <w:rFonts w:ascii="Arial" w:hAnsi="Arial" w:cs="Arial"/>
          <w:b/>
          <w:bCs/>
          <w:sz w:val="20"/>
          <w:szCs w:val="20"/>
        </w:rPr>
        <w:fldChar w:fldCharType="end"/>
      </w:r>
      <w:r w:rsidRPr="00215B2F">
        <w:rPr>
          <w:rFonts w:ascii="Arial" w:hAnsi="Arial" w:cs="Arial"/>
          <w:b/>
          <w:bCs/>
          <w:sz w:val="20"/>
          <w:szCs w:val="20"/>
        </w:rPr>
        <w:t>. členu</w:t>
      </w:r>
    </w:p>
    <w:p w14:paraId="45603B2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7CA9E24"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lahko za sistemsko pomembne podružnice iz tretjih držav uvede ciljno usmerjene ukrepe za zmanjšanje tveganj, in sicer bodisi zahteva prestrukturiranje sredstev ali dejavnosti, da podružnica ne bi več veljala za sistemsko pomembno oziroma ne bi več pomenila tveganja za finančno stabilnost, bodisi naloži dodatne bonitetne zahteve. Če se Banka Slovenije odloči, da teh ukrepov ne bo uvedla, mora Evropskemu bančnemu organu in pristojnim organom drugih držav članic predložiti obrazloženo uradno obvestilo z razlogi za takšno odločitev. Gre za prenos 48.</w:t>
      </w:r>
      <w:r w:rsidRPr="00215B2F">
        <w:rPr>
          <w:rFonts w:cs="Arial"/>
        </w:rPr>
        <w:t>j</w:t>
      </w:r>
      <w:r w:rsidRPr="00215B2F">
        <w:rPr>
          <w:rFonts w:cs="Arial"/>
          <w:sz w:val="20"/>
          <w:szCs w:val="20"/>
        </w:rPr>
        <w:t xml:space="preserve"> člena CRD (četrti odstavek).</w:t>
      </w:r>
    </w:p>
    <w:p w14:paraId="5321836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7BBB6D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_Ref202967035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323</w:t>
      </w:r>
      <w:r w:rsidRPr="00215B2F">
        <w:rPr>
          <w:rFonts w:ascii="Arial" w:hAnsi="Arial" w:cs="Arial"/>
          <w:b/>
          <w:bCs/>
          <w:sz w:val="20"/>
          <w:szCs w:val="20"/>
        </w:rPr>
        <w:fldChar w:fldCharType="end"/>
      </w:r>
      <w:r w:rsidRPr="00215B2F">
        <w:rPr>
          <w:rFonts w:ascii="Arial" w:hAnsi="Arial" w:cs="Arial"/>
          <w:b/>
          <w:bCs/>
          <w:sz w:val="20"/>
          <w:szCs w:val="20"/>
        </w:rPr>
        <w:t>. členu</w:t>
      </w:r>
    </w:p>
    <w:p w14:paraId="0762A34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E1E018D" w14:textId="765C6932"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Podružnice iz tretjih držav morajo Banki Slovenije redno sporočati podrobne informacije o svojih sredstvih in obveznostih v Sloveniji, vključno z razčlenitvami po vrstah nasprotnih strank, koncentracijah izpostavljenosti, notranjih transakcijah z matično družbo ter skladnosti z zakonodajnimi zahtevami in ureditvami glede jamstev za vloge. Te informacije morajo biti pripravljene v skladu z mednarodnimi standardi</w:t>
      </w:r>
      <w:r w:rsidR="00703974" w:rsidRPr="00215B2F">
        <w:rPr>
          <w:rFonts w:cs="Arial"/>
          <w:sz w:val="20"/>
          <w:szCs w:val="20"/>
        </w:rPr>
        <w:t xml:space="preserve"> računovodskega poročanja</w:t>
      </w:r>
      <w:r w:rsidRPr="00215B2F">
        <w:rPr>
          <w:rFonts w:cs="Arial"/>
          <w:sz w:val="20"/>
          <w:szCs w:val="20"/>
        </w:rPr>
        <w:t>. Poleg tega morajo poročati tudi o matični družbi, vključno z njenimi sredstvi in obveznostmi v EU, skladnostjo z bonitetnimi zahtevami, nadzornimi pregledi, sanacijskimi načrti, poslovno strategijo in storitvami za stranke v EU. Banka Slovenije lahko zahteva dodatna poročila, če meni, da so potrebna za celoviti nadzor nad poslovanjem podružnice ali njene matične družbe. Gre za prenos 48.k člena CRD.</w:t>
      </w:r>
    </w:p>
    <w:p w14:paraId="102E719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0C96362" w14:textId="77777777" w:rsidR="0010347E" w:rsidRPr="00215B2F" w:rsidRDefault="0010347E" w:rsidP="0010347E">
      <w:pPr>
        <w:pStyle w:val="Pripombabesedilo"/>
        <w:shd w:val="clear" w:color="auto" w:fill="FFFFFF" w:themeFill="background1"/>
        <w:rPr>
          <w:rFonts w:ascii="Arial" w:hAnsi="Arial" w:cs="Arial"/>
        </w:rPr>
      </w:pPr>
      <w:r w:rsidRPr="00215B2F">
        <w:rPr>
          <w:rFonts w:ascii="Arial" w:hAnsi="Arial" w:cs="Arial"/>
        </w:rPr>
        <w:t xml:space="preserve">Dodatno velja pojasniti, da se kot matična družba za namene poročanja štejejo vse matične družbe v verigi: (i) neposredno nadrejena, (ii) vmesna/vmesne, (iii) končna (angl. </w:t>
      </w:r>
      <w:r w:rsidRPr="00215B2F">
        <w:rPr>
          <w:rFonts w:ascii="Arial" w:hAnsi="Arial" w:cs="Arial"/>
          <w:i/>
        </w:rPr>
        <w:t>parent undertaking</w:t>
      </w:r>
      <w:r w:rsidRPr="00215B2F">
        <w:rPr>
          <w:rFonts w:ascii="Arial" w:hAnsi="Arial" w:cs="Arial"/>
        </w:rPr>
        <w:t>).</w:t>
      </w:r>
    </w:p>
    <w:p w14:paraId="28F68E2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5B8490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_Ref202967046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324</w:t>
      </w:r>
      <w:r w:rsidRPr="00215B2F">
        <w:rPr>
          <w:rFonts w:ascii="Arial" w:hAnsi="Arial" w:cs="Arial"/>
          <w:b/>
          <w:bCs/>
          <w:sz w:val="20"/>
          <w:szCs w:val="20"/>
        </w:rPr>
        <w:fldChar w:fldCharType="end"/>
      </w:r>
      <w:r w:rsidRPr="00215B2F">
        <w:rPr>
          <w:rFonts w:ascii="Arial" w:hAnsi="Arial" w:cs="Arial"/>
          <w:b/>
          <w:bCs/>
          <w:sz w:val="20"/>
          <w:szCs w:val="20"/>
        </w:rPr>
        <w:t>. členu</w:t>
      </w:r>
    </w:p>
    <w:p w14:paraId="59D7849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C065AE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Podružnice iz tretjih držav morajo Banki Slovenije sporočati regulativne in finančne informacije glede na svoj razred: podružnice razreda 1 najmanj dvakrat letno, podružnice razreda 2 pa najmanj enkrat letno. Banka Slovenije lahko za kvalificirane podružnice opusti poročanje o matični družbi, če te informacije lahko pridobi neposredno od nadzornega organa tretje države. Prav tako lahko predpiše podrobnejša pravila o pogostosti, načinu in obliki poročanja, pri čemer mora upoštevati načelo sorazmernosti glede na razvrstitev podružnice. Gre za prenos 48.l člena CRD.</w:t>
      </w:r>
    </w:p>
    <w:p w14:paraId="5ADA967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ECBAD8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_Ref202967049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325</w:t>
      </w:r>
      <w:r w:rsidRPr="00215B2F">
        <w:rPr>
          <w:rFonts w:ascii="Arial" w:hAnsi="Arial" w:cs="Arial"/>
          <w:b/>
          <w:bCs/>
          <w:sz w:val="20"/>
          <w:szCs w:val="20"/>
        </w:rPr>
        <w:fldChar w:fldCharType="end"/>
      </w:r>
      <w:r w:rsidRPr="00215B2F">
        <w:rPr>
          <w:rFonts w:ascii="Arial" w:hAnsi="Arial" w:cs="Arial"/>
          <w:b/>
          <w:bCs/>
          <w:sz w:val="20"/>
          <w:szCs w:val="20"/>
        </w:rPr>
        <w:t>. členu</w:t>
      </w:r>
    </w:p>
    <w:p w14:paraId="36CBBF8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180329A" w14:textId="523C9714"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pri nadzoru nad podružnicami iz tretjih držav ravna po določbah tega pod</w:t>
      </w:r>
      <w:r w:rsidR="00653598" w:rsidRPr="00215B2F">
        <w:rPr>
          <w:rFonts w:cs="Arial"/>
          <w:sz w:val="20"/>
          <w:szCs w:val="20"/>
        </w:rPr>
        <w:t>oddelka</w:t>
      </w:r>
      <w:r w:rsidRPr="00215B2F">
        <w:rPr>
          <w:rFonts w:cs="Arial"/>
          <w:sz w:val="20"/>
          <w:szCs w:val="20"/>
        </w:rPr>
        <w:t>, hkrati pa smiselno uporablja tudi druge določbe zakona, ki se nanašajo na banke, razen če je v tem poglavju določeno drugače. Poleg tega vključuje podružnice iz tretjih držav v načrt rednih nadzorniških pregledov. Gre za prenos 48.m člena CRD.</w:t>
      </w:r>
    </w:p>
    <w:p w14:paraId="6E22287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F784ED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_Ref202967054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326</w:t>
      </w:r>
      <w:r w:rsidRPr="00215B2F">
        <w:rPr>
          <w:rFonts w:ascii="Arial" w:hAnsi="Arial" w:cs="Arial"/>
          <w:b/>
          <w:bCs/>
          <w:sz w:val="20"/>
          <w:szCs w:val="20"/>
        </w:rPr>
        <w:fldChar w:fldCharType="end"/>
      </w:r>
      <w:r w:rsidRPr="00215B2F">
        <w:rPr>
          <w:rFonts w:ascii="Arial" w:hAnsi="Arial" w:cs="Arial"/>
          <w:b/>
          <w:bCs/>
          <w:sz w:val="20"/>
          <w:szCs w:val="20"/>
        </w:rPr>
        <w:t>. členu</w:t>
      </w:r>
    </w:p>
    <w:p w14:paraId="3575DC6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594779E"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v okviru nadzora nad podružnicami iz tretjih držav pregleduje njihove ureditve, strategije, postopke in mehanizme za zagotavljanje skladnosti z zakonodajo EU in nacionalnimi predpisi. Na podlagi teh pregledov ocenjuje, ali podružnice ustrezno upravljajo tveganja, imajo zadostni jamstveni kapital in likvidnost ter poslujejo preudarno. Pri tem uporablja načelo sorazmernosti glede na razvrstitev podružnic in druge dejavnike, kot sta obseg in kompleksnost dejavnosti. Če obstaja sum pranja denarja ali financiranja terorizma, mora Banka Slovenije o tem nemudoma obvestiti Evropski bančni organ in lahko sprejme ukrepe, vključno z odvzemom dovoljenja. Poleg tega tesno sodeluje z Uradom Republike Slovenije za preprečevanje pranja denarja in si izmenjuje informacije, razen če bi to posegalo v postopke preiskovanja ali pregona. V primeru nesoglasij glede nadzora lahko posreduje Evropski bančni organ. Gre za prenos 48.n člena CRD.</w:t>
      </w:r>
    </w:p>
    <w:p w14:paraId="2BBD9DF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4622E6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lastRenderedPageBreak/>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_Ref202967057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327</w:t>
      </w:r>
      <w:r w:rsidRPr="00215B2F">
        <w:rPr>
          <w:rFonts w:ascii="Arial" w:hAnsi="Arial" w:cs="Arial"/>
          <w:b/>
          <w:bCs/>
          <w:sz w:val="20"/>
          <w:szCs w:val="20"/>
        </w:rPr>
        <w:fldChar w:fldCharType="end"/>
      </w:r>
      <w:r w:rsidRPr="00215B2F">
        <w:rPr>
          <w:rFonts w:ascii="Arial" w:hAnsi="Arial" w:cs="Arial"/>
          <w:b/>
          <w:bCs/>
          <w:sz w:val="20"/>
          <w:szCs w:val="20"/>
        </w:rPr>
        <w:t>. členu</w:t>
      </w:r>
    </w:p>
    <w:p w14:paraId="659BE4A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8A10CA8"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tesno sodeluje in si izmenjuje informacije s pristojnimi organi drugih držav članic, ki nadzorujejo podružnice ali podrejene institucije iste skupine iz tretje države, ter z njimi sklepa pisne dogovore o sodelovanju. Če nadzoruje podružnico razreda 1, sodeluje v kolegiju nadzornikov, ki se ustanovi glede na prisotnost skupine v EU. V določenih primerih, ko je Banka Slovenije nadzornik največje podružnice v EU, postane glavni pristojni organ in ima vlogo podobno konsolidacijskemu nadzorniku. V tem primeru kolegij nadzornikov pripravlja letna poročila o skupini, izmenjuje nadzorne informacije in usklajuje ukrepe. Kolegij po potrebi sodeluje tudi z nadzorniki iz tretjih držav. Če Banka Slovenije ni glavni nadzornik, kljub temu sodeluje pri nalogah kolegija. Gre za prenos 48.p člena CRD.</w:t>
      </w:r>
    </w:p>
    <w:p w14:paraId="456F3EE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7CD14C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_Ref202967064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328</w:t>
      </w:r>
      <w:r w:rsidRPr="00215B2F">
        <w:rPr>
          <w:rFonts w:ascii="Arial" w:hAnsi="Arial" w:cs="Arial"/>
          <w:b/>
          <w:bCs/>
          <w:sz w:val="20"/>
          <w:szCs w:val="20"/>
        </w:rPr>
        <w:fldChar w:fldCharType="end"/>
      </w:r>
      <w:r w:rsidRPr="00215B2F">
        <w:rPr>
          <w:rFonts w:ascii="Arial" w:hAnsi="Arial" w:cs="Arial"/>
          <w:b/>
          <w:bCs/>
          <w:sz w:val="20"/>
          <w:szCs w:val="20"/>
        </w:rPr>
        <w:t>. členu</w:t>
      </w:r>
    </w:p>
    <w:p w14:paraId="71A2457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94F00A0"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mora Evropski bančni organ uradno obveščati o vseh izdanih dovoljenjih za podružnice iz tretjih držav in vseh njihovih spremembah, o skupnih sredstvih in obveznostih teh podružnic, kot se redno sporočajo, ter o imenu skupine iz tretje države, ki ji posamezna podružnica pripada. Gre za prenos 48.q člena CRD.</w:t>
      </w:r>
    </w:p>
    <w:p w14:paraId="66D7EEA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4EACE7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_Ref202967073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329</w:t>
      </w:r>
      <w:r w:rsidRPr="00215B2F">
        <w:rPr>
          <w:rFonts w:ascii="Arial" w:hAnsi="Arial" w:cs="Arial"/>
          <w:b/>
          <w:bCs/>
          <w:sz w:val="20"/>
          <w:szCs w:val="20"/>
        </w:rPr>
        <w:fldChar w:fldCharType="end"/>
      </w:r>
      <w:r w:rsidRPr="00215B2F">
        <w:rPr>
          <w:rFonts w:ascii="Arial" w:hAnsi="Arial" w:cs="Arial"/>
          <w:b/>
          <w:bCs/>
          <w:sz w:val="20"/>
          <w:szCs w:val="20"/>
        </w:rPr>
        <w:t>. členu (veljavni 264. člen ZBan-3)</w:t>
      </w:r>
    </w:p>
    <w:p w14:paraId="3EFE75C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2F84980" w14:textId="77777777" w:rsidR="0010347E" w:rsidRPr="00215B2F" w:rsidRDefault="0010347E" w:rsidP="0010347E">
      <w:pPr>
        <w:pStyle w:val="tevilnatoka"/>
        <w:numPr>
          <w:ilvl w:val="0"/>
          <w:numId w:val="0"/>
        </w:numPr>
        <w:shd w:val="clear" w:color="auto" w:fill="FFFFFF" w:themeFill="background1"/>
        <w:rPr>
          <w:rFonts w:cs="Arial"/>
          <w:sz w:val="20"/>
          <w:szCs w:val="20"/>
        </w:rPr>
      </w:pPr>
      <w:r w:rsidRPr="00215B2F">
        <w:rPr>
          <w:rFonts w:cs="Arial"/>
          <w:sz w:val="20"/>
          <w:szCs w:val="20"/>
        </w:rPr>
        <w:t xml:space="preserve">V primerjavi z ZBan-3 (264. člen) ni vsebinskih sprememb. V členu je določeno, da nadzor v skladu s tem zakonom opravlja Banka Slovenije, razen če je za izvajanje določenih nalog, pristojnosti in ukrepov nadzora, ki jih določa ta zakon, v skladu z Uredbo (EU) št. 1024/2013 pristojna </w:t>
      </w:r>
      <w:r w:rsidRPr="00215B2F">
        <w:rPr>
          <w:rFonts w:eastAsia="Arial" w:cs="Arial"/>
          <w:sz w:val="20"/>
          <w:szCs w:val="20"/>
        </w:rPr>
        <w:t>ECB. Poleg tega</w:t>
      </w:r>
      <w:r w:rsidRPr="00215B2F">
        <w:rPr>
          <w:rFonts w:cs="Arial"/>
          <w:sz w:val="20"/>
          <w:szCs w:val="20"/>
        </w:rPr>
        <w:t xml:space="preserve"> so določeni cilji nadzora (drugi odstavek) in načini opravljanja nadzora (tretji odstavek). Člen ureja tudi delitev pristojnosti v zvezi z opravljanjem nadzora nad banko med Banko Slovenije in </w:t>
      </w:r>
      <w:r w:rsidRPr="00215B2F">
        <w:rPr>
          <w:rFonts w:eastAsia="Arial" w:cs="Arial"/>
          <w:sz w:val="20"/>
          <w:szCs w:val="20"/>
        </w:rPr>
        <w:t>ECB</w:t>
      </w:r>
      <w:r w:rsidRPr="00215B2F">
        <w:rPr>
          <w:rFonts w:cs="Arial"/>
          <w:sz w:val="20"/>
          <w:szCs w:val="20"/>
        </w:rPr>
        <w:t xml:space="preserve"> (peti odstavek). Ta člen določa tudi ravnanje Banke Slovenije v primeru prejema vloge od subjekta nadzora, za reševanje katere je pristojna </w:t>
      </w:r>
      <w:r w:rsidRPr="00215B2F">
        <w:rPr>
          <w:rFonts w:eastAsia="Arial" w:cs="Arial"/>
          <w:sz w:val="20"/>
          <w:szCs w:val="20"/>
        </w:rPr>
        <w:t>ECB</w:t>
      </w:r>
      <w:r w:rsidRPr="00215B2F">
        <w:rPr>
          <w:rFonts w:cs="Arial"/>
          <w:sz w:val="20"/>
          <w:szCs w:val="20"/>
        </w:rPr>
        <w:t>.</w:t>
      </w:r>
    </w:p>
    <w:p w14:paraId="4A288BE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08C76B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_Ref202967086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330</w:t>
      </w:r>
      <w:r w:rsidRPr="00215B2F">
        <w:rPr>
          <w:rFonts w:ascii="Arial" w:hAnsi="Arial" w:cs="Arial"/>
          <w:b/>
          <w:bCs/>
          <w:sz w:val="20"/>
          <w:szCs w:val="20"/>
        </w:rPr>
        <w:fldChar w:fldCharType="end"/>
      </w:r>
      <w:r w:rsidRPr="00215B2F">
        <w:rPr>
          <w:rFonts w:ascii="Arial" w:hAnsi="Arial" w:cs="Arial"/>
          <w:b/>
          <w:bCs/>
          <w:sz w:val="20"/>
          <w:szCs w:val="20"/>
        </w:rPr>
        <w:t>. členu (veljavni 265. člen ZBan-3)</w:t>
      </w:r>
    </w:p>
    <w:p w14:paraId="77B3E542"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4B6F027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eastAsia="Times New Roman" w:hAnsi="Arial" w:cs="Arial"/>
          <w:kern w:val="0"/>
          <w:sz w:val="20"/>
          <w:szCs w:val="20"/>
          <w:lang w:eastAsia="sl-SI"/>
          <w14:ligatures w14:val="none"/>
        </w:rPr>
        <w:t>V primerjavi z ZBan-3 (264. člen) ni vsebinskih sprememb.</w:t>
      </w:r>
      <w:r w:rsidRPr="00215B2F">
        <w:rPr>
          <w:rFonts w:ascii="Arial" w:hAnsi="Arial" w:cs="Arial"/>
          <w:sz w:val="20"/>
          <w:szCs w:val="20"/>
        </w:rPr>
        <w:t xml:space="preserve"> S členom se ureja načrt nadzorniških pregledov, ki ga mora Banka Slovenije sprejeti vsaj enkrat letno. Določeno je, po katerih merilih mora Banka Slovenije v načrtu nadzorniških pregledov opredeliti banke ter aktivnosti in ukrepe, ki jih bo izvajala v posamezni banki, ter tudi pogoje za njihovo izvedbo. Poleg tega člen ureja obveznosti Banke Slovenije v primeru okrepljenega nadzora v banki. Banka Slovenije lahko izvaja nadzor tudi nad podružnicami bank tujih držav članic, ne glede na nadzor matičnih organov.</w:t>
      </w:r>
    </w:p>
    <w:p w14:paraId="7CBDB7C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5409B3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_Ref202967101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331</w:t>
      </w:r>
      <w:r w:rsidRPr="00215B2F">
        <w:rPr>
          <w:rFonts w:ascii="Arial" w:hAnsi="Arial" w:cs="Arial"/>
          <w:b/>
          <w:bCs/>
          <w:sz w:val="20"/>
          <w:szCs w:val="20"/>
        </w:rPr>
        <w:fldChar w:fldCharType="end"/>
      </w:r>
      <w:r w:rsidRPr="00215B2F">
        <w:rPr>
          <w:rFonts w:ascii="Arial" w:hAnsi="Arial" w:cs="Arial"/>
          <w:b/>
          <w:bCs/>
          <w:sz w:val="20"/>
          <w:szCs w:val="20"/>
        </w:rPr>
        <w:t>. členu (veljavni 266. člen ZBan-3)</w:t>
      </w:r>
    </w:p>
    <w:p w14:paraId="6A8EACB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E841934" w14:textId="797CB41A"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w:t>
      </w:r>
      <w:r w:rsidR="00B666C2" w:rsidRPr="00215B2F">
        <w:rPr>
          <w:rFonts w:ascii="Arial" w:hAnsi="Arial" w:cs="Arial"/>
          <w:sz w:val="20"/>
          <w:szCs w:val="20"/>
        </w:rPr>
        <w:t xml:space="preserve">3 </w:t>
      </w:r>
      <w:r w:rsidRPr="00215B2F">
        <w:rPr>
          <w:rFonts w:ascii="Arial" w:hAnsi="Arial" w:cs="Arial"/>
          <w:sz w:val="20"/>
          <w:szCs w:val="20"/>
        </w:rPr>
        <w:t>(266. člen) ni vsebinskih sprememb. Banka Slovenije lahko subjektom nadzora izreče ukrepe nadzora z odločbo ali odredbo, pri čemer upošteva okoliščine kršitve (npr. resnost, trajanje, finančni učinki, sodelovanje, predhodne kršitve). Če bi bil formalni ukrep nesorazmeren, lahko Banka Slovenije subjekt le pisno obvesti in izda nadzorniško pismo s priporočili ali pričakovanji glede ustreznih ukrepov za zagotovitev skladnosti poslovanja.</w:t>
      </w:r>
    </w:p>
    <w:p w14:paraId="2CC7D95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9EA161C" w14:textId="77777777" w:rsidR="0010347E" w:rsidRPr="00215B2F" w:rsidRDefault="0010347E" w:rsidP="0010347E">
      <w:pPr>
        <w:pStyle w:val="Odstavek"/>
        <w:shd w:val="clear" w:color="auto" w:fill="FFFFFF" w:themeFill="background1"/>
        <w:spacing w:before="0"/>
        <w:ind w:firstLine="0"/>
        <w:jc w:val="center"/>
        <w:rPr>
          <w:rFonts w:cs="Arial"/>
          <w:sz w:val="20"/>
          <w:szCs w:val="20"/>
        </w:rPr>
      </w:pPr>
      <w:r w:rsidRPr="00215B2F">
        <w:rPr>
          <w:rFonts w:cs="Arial"/>
          <w:sz w:val="20"/>
          <w:szCs w:val="20"/>
        </w:rPr>
        <w:t>* * *</w:t>
      </w:r>
    </w:p>
    <w:p w14:paraId="745EDD6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66193B5"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Kaj stori nadzorni organ, ko v pismu izrazi pričakovanja, subjekt nadzora pa zahtevanega ne izvede? Po svoji vsebini in namenu je nadzorniško pismo del nadzorniškega dialoga s subjektom nadzora in opozarja na prakso, ki bi lahko vodila v kršitev, ali na neskladnosti pri delovanju in poslovanju, ki glede na okoliščine, resnost in trajanje niso primerne za odredbo o odpravi kršitev. Pismo izraža pričakovanja nadzornika, vendar pa ni ukrep nadzora in za subjekt nadzora nima neposrednih negativnih posledic, zato zoper pismo tudi ni predvideno pravno varstvo. Zaradi tega ni treba posebej opredeliti pravnih posledic, ki nastopijo za subjekt nadzora, če ne izvede vsebine nadzorniškega pisma. </w:t>
      </w:r>
    </w:p>
    <w:p w14:paraId="186C835D" w14:textId="77777777" w:rsidR="0010347E" w:rsidRPr="00215B2F" w:rsidRDefault="0010347E" w:rsidP="0010347E">
      <w:pPr>
        <w:pStyle w:val="Telobesedila2"/>
        <w:shd w:val="clear" w:color="auto" w:fill="FFFFFF" w:themeFill="background1"/>
        <w:ind w:right="20"/>
        <w:jc w:val="both"/>
        <w:rPr>
          <w:rFonts w:ascii="Arial" w:hAnsi="Arial" w:cs="Arial"/>
          <w:color w:val="auto"/>
          <w:sz w:val="20"/>
          <w:lang w:val="sl-SI"/>
        </w:rPr>
      </w:pPr>
    </w:p>
    <w:p w14:paraId="15F83CF6" w14:textId="77777777" w:rsidR="0010347E" w:rsidRPr="00215B2F" w:rsidRDefault="0010347E" w:rsidP="0010347E">
      <w:pPr>
        <w:pStyle w:val="Telobesedila2"/>
        <w:shd w:val="clear" w:color="auto" w:fill="FFFFFF" w:themeFill="background1"/>
        <w:ind w:right="20"/>
        <w:jc w:val="both"/>
        <w:rPr>
          <w:rFonts w:ascii="Arial" w:hAnsi="Arial" w:cs="Arial"/>
          <w:color w:val="auto"/>
          <w:sz w:val="20"/>
          <w:lang w:val="sl-SI"/>
        </w:rPr>
      </w:pPr>
      <w:r w:rsidRPr="00215B2F">
        <w:rPr>
          <w:rFonts w:ascii="Arial" w:hAnsi="Arial" w:cs="Arial"/>
          <w:color w:val="auto"/>
          <w:sz w:val="20"/>
          <w:lang w:val="sl-SI"/>
        </w:rPr>
        <w:t xml:space="preserve">Upoštevaje celotno ureditev in pristojnosti, se ocenjuje, da lahko nadzornik, če subjekt nadzora vsebine nadzorniškega pisma ne upošteva, naknadno uporabi nabor novih oziroma strožjih ukrepov, ki jih ima na voljo: izda novo nadzorniško pismo ali glede na okoliščine primera ukrepanje stopnjuje tako, da izda odredbo o odpravi kršitev. Posredno je nespoštovanje nadzorniških pisem lahko tudi eden od elementov </w:t>
      </w:r>
      <w:r w:rsidRPr="00215B2F">
        <w:rPr>
          <w:rFonts w:ascii="Arial" w:hAnsi="Arial" w:cs="Arial"/>
          <w:color w:val="auto"/>
          <w:sz w:val="20"/>
          <w:lang w:val="sl-SI"/>
        </w:rPr>
        <w:lastRenderedPageBreak/>
        <w:t xml:space="preserve">pri naknadni presoji primernosti članov uprave in nadzornega sveta ter izvajalcev ključnih funkcij ter lahko vpliva tudi na naknadno presojo odgovornosti pri sankcioniranju. </w:t>
      </w:r>
    </w:p>
    <w:p w14:paraId="6F47695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1A1A68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_Ref202967109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332</w:t>
      </w:r>
      <w:r w:rsidRPr="00215B2F">
        <w:rPr>
          <w:rFonts w:ascii="Arial" w:hAnsi="Arial" w:cs="Arial"/>
          <w:b/>
          <w:bCs/>
          <w:sz w:val="20"/>
          <w:szCs w:val="20"/>
        </w:rPr>
        <w:fldChar w:fldCharType="end"/>
      </w:r>
      <w:r w:rsidRPr="00215B2F">
        <w:rPr>
          <w:rFonts w:ascii="Arial" w:hAnsi="Arial" w:cs="Arial"/>
          <w:b/>
          <w:bCs/>
          <w:sz w:val="20"/>
          <w:szCs w:val="20"/>
        </w:rPr>
        <w:t>. členu (veljavni 267. člen ZBan-3)</w:t>
      </w:r>
    </w:p>
    <w:p w14:paraId="517EFE4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FEDFD8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(267. člen) ni vsebinskih sprememb. Posamezne naloge pri izvajanju nadzora Banke Slovenije lahko opravlja:</w:t>
      </w:r>
    </w:p>
    <w:p w14:paraId="3824EB8E" w14:textId="77777777" w:rsidR="0010347E" w:rsidRPr="00215B2F" w:rsidRDefault="0010347E" w:rsidP="0010347E">
      <w:pPr>
        <w:pStyle w:val="Odstavekseznama"/>
        <w:numPr>
          <w:ilvl w:val="0"/>
          <w:numId w:val="22"/>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oseba, zaposlena pri Banki Slovenije, na podlagi pogodbe o zaposlitvi in v skladu z internimi akti Banke Slovenije;</w:t>
      </w:r>
    </w:p>
    <w:p w14:paraId="7B6D7E8C" w14:textId="77777777" w:rsidR="0010347E" w:rsidRPr="00215B2F" w:rsidRDefault="0010347E" w:rsidP="0010347E">
      <w:pPr>
        <w:pStyle w:val="Odstavekseznama"/>
        <w:numPr>
          <w:ilvl w:val="0"/>
          <w:numId w:val="22"/>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pooblaščeni revizor ali druga strokovno usposobljena oseba, ki ni zaposlena pri Banki Slovenije, če se za to osebo uveljavijo zahteve glede varovanja zaupnih informacij.</w:t>
      </w:r>
    </w:p>
    <w:p w14:paraId="329CCA8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4118444"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Ob izvajanju nadzora lahko nastopijo okoliščine, ko bi izvedba postopkov javnega naročanja za storitve, ki so potrebne za izvedbo ukrepov oziroma nadzora Banke Slovenije, onemogočila učinkovito izvajanje teh pristojnosti Banke Slovenije. V primeru večjih težav v bankah je treba ukrepati izjemno hitro, kar pomeni, da je treba hitro izpeljati tudi postopke naročanja. Poleg tega bi objava naročila storitev v zvezi z izvedbo ukrepov Banke Slovenije (npr. najem neodvisnih cenilcev) po običajnih postopkih javnega naročanja lahko vnaprej razkrila možne ukrepe Banke Slovenije. S tem bi se bistveno zmanjšala učinkovitost ukrepov, saj bi se položaj bank zaradi predčasnega razkritja njihovih težav poslabšal. Zaradi predhodnega razkritja ukrepov bi lahko nastal tudi nepotreben dvom o varnosti sredstev varčevalcev v bankah, kar lahko privede do množičnega dviga vlog v bankah in s tem do zloma bančnega sistema. Zato določbe tretjega odstavka tega člena Banki Slovenije omogočajo izvedbo postopka pogajanj brez predhodne objave za revizorje in svetovalce, saj tak postopek omogoča hitrejšo izvedbo naročila in omejeno razkrivanje podatkov. Izvedba tega postopka se bo izvedla v skladu zakonom, ki ureja javno naročanje na področju obrambe in varnosti, s čimer se upoštevajo tudi obstoječa pravila na področju javnega naročanja. V izjemnih primerih, ko ne bi bilo mogoče izpeljati niti postopka s pogajanji brez predhodne objave, pa določbe četrtega odstavka tega člena Banki Slovenije omogočajo neposredno oddajo naročila izvajalcu. Tudi v tem primeru se upoštevajo obstoječa pravila naročanja za oddajo tovrstnih naročil.</w:t>
      </w:r>
    </w:p>
    <w:p w14:paraId="6F0BF08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817645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_Ref202967114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333</w:t>
      </w:r>
      <w:r w:rsidRPr="00215B2F">
        <w:rPr>
          <w:rFonts w:ascii="Arial" w:hAnsi="Arial" w:cs="Arial"/>
          <w:b/>
          <w:bCs/>
          <w:sz w:val="20"/>
          <w:szCs w:val="20"/>
        </w:rPr>
        <w:fldChar w:fldCharType="end"/>
      </w:r>
      <w:r w:rsidRPr="00215B2F">
        <w:rPr>
          <w:rFonts w:ascii="Arial" w:hAnsi="Arial" w:cs="Arial"/>
          <w:b/>
          <w:bCs/>
          <w:sz w:val="20"/>
          <w:szCs w:val="20"/>
        </w:rPr>
        <w:t>. členu (veljavni 268. člen ZBan-3)</w:t>
      </w:r>
    </w:p>
    <w:p w14:paraId="7471AD87"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3D4B2D64" w14:textId="29E4668C" w:rsidR="00D4081A" w:rsidRPr="00215B2F" w:rsidRDefault="0010347E" w:rsidP="00D4081A">
      <w:pPr>
        <w:shd w:val="clear" w:color="auto" w:fill="FFFFFF" w:themeFill="background1"/>
        <w:spacing w:after="0" w:line="240" w:lineRule="auto"/>
        <w:jc w:val="both"/>
        <w:rPr>
          <w:rFonts w:ascii="Arial" w:eastAsia="Arial" w:hAnsi="Arial" w:cs="Arial"/>
          <w:sz w:val="20"/>
          <w:szCs w:val="20"/>
        </w:rPr>
      </w:pPr>
      <w:r w:rsidRPr="00215B2F">
        <w:rPr>
          <w:rFonts w:ascii="Arial" w:hAnsi="Arial" w:cs="Arial"/>
          <w:sz w:val="20"/>
          <w:szCs w:val="20"/>
        </w:rPr>
        <w:t xml:space="preserve">V primerjavi z ZBan-3 (268. člen) ni </w:t>
      </w:r>
      <w:r w:rsidR="00D4081A" w:rsidRPr="00215B2F">
        <w:rPr>
          <w:rFonts w:ascii="Arial" w:hAnsi="Arial" w:cs="Arial"/>
          <w:sz w:val="20"/>
          <w:szCs w:val="20"/>
        </w:rPr>
        <w:t xml:space="preserve">bistvenih </w:t>
      </w:r>
      <w:r w:rsidRPr="00215B2F">
        <w:rPr>
          <w:rFonts w:ascii="Arial" w:hAnsi="Arial" w:cs="Arial"/>
          <w:sz w:val="20"/>
          <w:szCs w:val="20"/>
        </w:rPr>
        <w:t>vsebinskih sprememb. Banke plačujejo Banki Slovenije nadomestilo za nadzor, ki ga opravlja Banka Slovenije na podlagi tega zakona in Uredbe (EU) št. 1024/2013. Banka Slovenije določi nadomestila v taki višini, da vsota nadomestil, ki so jih dolžne plačati vse banke za posamezno leto, ne preseže dejanskih stroškov nadzora Banke Slovenije v tem letu, zmanjšanih za prihodke iz taks, ki se zaračunajo v zvezi s postopki za izdajo dovoljenj in postopki nadzora Banke Slovenije na podlagi tega zakona. Banka plača letno nadomestilo za nadzor, izračunano na podlagi dejanskih stroškov nadzora v preteklem letu, do 31. marca za preteklo leto.</w:t>
      </w:r>
      <w:r w:rsidR="00D4081A" w:rsidRPr="00215B2F">
        <w:rPr>
          <w:rFonts w:ascii="Arial" w:hAnsi="Arial" w:cs="Arial"/>
          <w:sz w:val="20"/>
          <w:szCs w:val="20"/>
        </w:rPr>
        <w:t xml:space="preserve"> Na novo se med drugim dodaja, da </w:t>
      </w:r>
      <w:r w:rsidR="00D4081A" w:rsidRPr="00215B2F">
        <w:rPr>
          <w:rFonts w:ascii="Arial" w:eastAsia="Arial" w:hAnsi="Arial" w:cs="Arial"/>
          <w:sz w:val="20"/>
          <w:szCs w:val="20"/>
        </w:rPr>
        <w:t xml:space="preserve">se ta člen smiselno uporablja tudi za nadomestilo za nadzor nad bankami, ki ga Banka Slovenije izvaja na podlagi drugih zakonov. </w:t>
      </w:r>
    </w:p>
    <w:p w14:paraId="481B1645" w14:textId="0819371D"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232233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87DE02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_Ref202967121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334</w:t>
      </w:r>
      <w:r w:rsidRPr="00215B2F">
        <w:rPr>
          <w:rFonts w:ascii="Arial" w:hAnsi="Arial" w:cs="Arial"/>
          <w:b/>
          <w:bCs/>
          <w:sz w:val="20"/>
          <w:szCs w:val="20"/>
        </w:rPr>
        <w:fldChar w:fldCharType="end"/>
      </w:r>
      <w:r w:rsidRPr="00215B2F">
        <w:rPr>
          <w:rFonts w:ascii="Arial" w:hAnsi="Arial" w:cs="Arial"/>
          <w:b/>
          <w:bCs/>
          <w:sz w:val="20"/>
          <w:szCs w:val="20"/>
        </w:rPr>
        <w:t>. členu (veljavni 269. člen ZBan-3)</w:t>
      </w:r>
    </w:p>
    <w:p w14:paraId="400C221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C84868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(269. člen) ni vsebinskih sprememb. Uvedba sistema obveščanja o kršitvah zahtev ali omejitev pomeni novost, ki jo določa CRD. Sistem obveščanja vzpostavi Banka Slovenije, omogočati pa mora preprost in lahko dostopen način pošiljanja prijav kršitev, zlasti od zaposlenih v bankah. Banka Slovenije mora tudi zagotoviti ustrezno varstvo osebnih podatkov oseb, ki so vložile prijavo zoper banko, in oseb, ki so domnevno odgovorne za kršitev, v skladu z določbami zakona, ki ureja varstvo osebnih podatkov, ter da se vsi podatki o osebah, ki so vložile prijavo zoper banko, obravnavajo kot zaupni, z izjemami, določenimi v četrtem odstavku tega člena.</w:t>
      </w:r>
    </w:p>
    <w:p w14:paraId="7328B48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BA2FC6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_Ref202967126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335</w:t>
      </w:r>
      <w:r w:rsidRPr="00215B2F">
        <w:rPr>
          <w:rFonts w:ascii="Arial" w:hAnsi="Arial" w:cs="Arial"/>
          <w:b/>
          <w:bCs/>
          <w:sz w:val="20"/>
          <w:szCs w:val="20"/>
        </w:rPr>
        <w:fldChar w:fldCharType="end"/>
      </w:r>
      <w:r w:rsidRPr="00215B2F">
        <w:rPr>
          <w:rFonts w:ascii="Arial" w:hAnsi="Arial" w:cs="Arial"/>
          <w:b/>
          <w:bCs/>
          <w:sz w:val="20"/>
          <w:szCs w:val="20"/>
        </w:rPr>
        <w:t>. členu (veljavni 270. člen ZBan-3)</w:t>
      </w:r>
    </w:p>
    <w:p w14:paraId="36B904F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2FFFE3F"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ZBan-3 (270. člen) določa, da ima Banka Slovenije pristojnost zbirati in obdelovati vse informacije, vključno z osebnimi podatki, ki so povezane z njenimi nadzorstvenimi nalogami. Državni organi in nosilci javnih pooblastil ji morajo na zahtevo poslati potrebne informacije. Ti podatki vključujejo informacije o dovoljenjih za opravljanje bančnih storitev, članih uprave in nadzornikov bank, čezmejnem poslovanju bank, finančnem položaju nadzorovanih subjektov ter o sumih nezakonitega sprejemanja depozitov. </w:t>
      </w:r>
      <w:r w:rsidRPr="00215B2F">
        <w:rPr>
          <w:rFonts w:cs="Arial"/>
          <w:sz w:val="20"/>
          <w:szCs w:val="20"/>
        </w:rPr>
        <w:lastRenderedPageBreak/>
        <w:t>Banka Slovenije je oproščena plačila taks za podatke iz uradnih registrov in lahko pri presoji ugleda posameznikov uporablja tudi informacije iz evropskih zbirk podatkov in kazenske evidence.</w:t>
      </w:r>
    </w:p>
    <w:p w14:paraId="61C9AF8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15F6C3E"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S predlogom zakona se (glede na ZBan-3) dodaja novi peti odstavek, ki določa, da lahko pooblaščena oseba Banke Slovenije pri izvajanju svojih pristojnosti prek elektronskega sistema dostopa do podatkov iz centralnega registra prebivalstva o posameznikih, in sicer do naslednjih podatkov: ime in priimek, kraj rojstva, EMŠO, državljanstvo, prebivališče (vključno z vrsto prebivališča in naslovom za vročanje), datumi in podatki o spremembah, dogodkih in popravkih teh podatkov.</w:t>
      </w:r>
    </w:p>
    <w:p w14:paraId="14C841B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18DF659" w14:textId="77777777" w:rsidR="0010347E" w:rsidRPr="00215B2F" w:rsidRDefault="0010347E" w:rsidP="0010347E">
      <w:pPr>
        <w:pStyle w:val="Pripombabesedilo"/>
        <w:shd w:val="clear" w:color="auto" w:fill="FFFFFF" w:themeFill="background1"/>
        <w:jc w:val="both"/>
        <w:rPr>
          <w:rFonts w:ascii="Arial" w:hAnsi="Arial" w:cs="Arial"/>
        </w:rPr>
      </w:pPr>
      <w:r w:rsidRPr="00215B2F">
        <w:rPr>
          <w:rFonts w:ascii="Arial" w:hAnsi="Arial" w:cs="Arial"/>
        </w:rPr>
        <w:t xml:space="preserve">Banka Slovenije lahko že po obstoječi ureditvi brezplačno pridobiva podatke iz centralnega registra prebivalstva, vendar z ročnimi oziroma pisnimi zahtevami. Za večjo učinkovitost in tudi administrativno razbremenitev se z dopolnitvijo predlaga, da se Banki Slovenije omogoči elektronski dostop podobno, kot ga imajo drugi javni organi in nosilci javnih pooblastil, odvetniki, notarji in drugi. </w:t>
      </w:r>
    </w:p>
    <w:p w14:paraId="1E30B19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D1AA27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_Ref202967133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336</w:t>
      </w:r>
      <w:r w:rsidRPr="00215B2F">
        <w:rPr>
          <w:rFonts w:ascii="Arial" w:hAnsi="Arial" w:cs="Arial"/>
          <w:b/>
          <w:bCs/>
          <w:sz w:val="20"/>
          <w:szCs w:val="20"/>
        </w:rPr>
        <w:fldChar w:fldCharType="end"/>
      </w:r>
      <w:r w:rsidRPr="00215B2F">
        <w:rPr>
          <w:rFonts w:ascii="Arial" w:hAnsi="Arial" w:cs="Arial"/>
          <w:b/>
          <w:bCs/>
          <w:sz w:val="20"/>
          <w:szCs w:val="20"/>
        </w:rPr>
        <w:t>. členu (veljavni 271. člen ZBan-3)</w:t>
      </w:r>
    </w:p>
    <w:p w14:paraId="11D84FB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276925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(271. člen) ni vsebinskih sprememb. V členu je urejena pristojnost Banke Slovenije zahtevati poročila in informacije, ki jih potrebuje za opravljanje nadzora nad poslovanjem banke.</w:t>
      </w:r>
    </w:p>
    <w:p w14:paraId="09DA022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B91827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_Ref202967139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337</w:t>
      </w:r>
      <w:r w:rsidRPr="00215B2F">
        <w:rPr>
          <w:rFonts w:ascii="Arial" w:hAnsi="Arial" w:cs="Arial"/>
          <w:b/>
          <w:bCs/>
          <w:sz w:val="20"/>
          <w:szCs w:val="20"/>
        </w:rPr>
        <w:fldChar w:fldCharType="end"/>
      </w:r>
      <w:r w:rsidRPr="00215B2F">
        <w:rPr>
          <w:rFonts w:ascii="Arial" w:hAnsi="Arial" w:cs="Arial"/>
          <w:b/>
          <w:bCs/>
          <w:sz w:val="20"/>
          <w:szCs w:val="20"/>
        </w:rPr>
        <w:t>. členu (veljavni 272. člen ZBan-3)</w:t>
      </w:r>
    </w:p>
    <w:p w14:paraId="6847B399"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21C1EBA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(272. člen) ni vsebinskih sprememb. V členu so določene obveznosti banke v postopku pregleda poslovanja banke, ki vključuje zlasti pregled poslovnih knjig, administrativnih oziroma poslovnih evidenc in druge poslovne dokumentacije banke.</w:t>
      </w:r>
    </w:p>
    <w:p w14:paraId="2779E47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A3EAD0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_Ref202967145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338</w:t>
      </w:r>
      <w:r w:rsidRPr="00215B2F">
        <w:rPr>
          <w:rFonts w:ascii="Arial" w:hAnsi="Arial" w:cs="Arial"/>
          <w:b/>
          <w:bCs/>
          <w:sz w:val="20"/>
          <w:szCs w:val="20"/>
        </w:rPr>
        <w:fldChar w:fldCharType="end"/>
      </w:r>
      <w:r w:rsidRPr="00215B2F">
        <w:rPr>
          <w:rFonts w:ascii="Arial" w:hAnsi="Arial" w:cs="Arial"/>
          <w:b/>
          <w:bCs/>
          <w:sz w:val="20"/>
          <w:szCs w:val="20"/>
        </w:rPr>
        <w:t>. členu (veljavni 273. člen ZBan-3)</w:t>
      </w:r>
    </w:p>
    <w:p w14:paraId="2180D2C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62362C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(273. člen) ni vsebinskih sprememb. Postopek pregleda poslovanja banke se začne z zahtevo za pregled poslovanja, ki jo banki izda Banka Slovenije. V tem členu so zato določeni rok za izdajo navedene zahteve ter njena vsebina. Če se bodo okoliščine, ki so bile znane ob izdaji navedene zahteve, pozneje spremenile, bo Banka Slovenije lahko zahtevo za pregled poslovanja dopolnila.</w:t>
      </w:r>
    </w:p>
    <w:p w14:paraId="76914C7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F30AD0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_Ref202967156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339</w:t>
      </w:r>
      <w:r w:rsidRPr="00215B2F">
        <w:rPr>
          <w:rFonts w:ascii="Arial" w:hAnsi="Arial" w:cs="Arial"/>
          <w:b/>
          <w:bCs/>
          <w:sz w:val="20"/>
          <w:szCs w:val="20"/>
        </w:rPr>
        <w:fldChar w:fldCharType="end"/>
      </w:r>
      <w:r w:rsidRPr="00215B2F">
        <w:rPr>
          <w:rFonts w:ascii="Arial" w:hAnsi="Arial" w:cs="Arial"/>
          <w:b/>
          <w:bCs/>
          <w:sz w:val="20"/>
          <w:szCs w:val="20"/>
        </w:rPr>
        <w:t>. členu (veljavni 274. člen ZBan-3)</w:t>
      </w:r>
    </w:p>
    <w:p w14:paraId="496AE05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42DAB5F" w14:textId="1B1DCB43"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(274. člen) ni vsebinskih sprememb. Pregled poslovanja banke opravi strokovni delavec ali druga pooblaščena oseba Banke Slovenije (inšpektor), ki jo za to pooblasti guverner. Pregled se izvaja ob delavnikih med 8. in 18. uro, izjemoma tudi izven tega časa, če to zahteva obseg ali narava pregleda. Izvaja se tako, da čim manj ovira redno poslovanje banke. Inšpektor lahko pripravi preliminarno poročilo, ki je informativne narave in ne prejudicira končnih ukrepov; banka lahko na njegovi podlagi da dodatna pojasnila. Pri pregledu se ne uporabljajo določbe ZUP o zapisniku.</w:t>
      </w:r>
    </w:p>
    <w:p w14:paraId="07142AB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BB761B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_Ref202967164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340</w:t>
      </w:r>
      <w:r w:rsidRPr="00215B2F">
        <w:rPr>
          <w:rFonts w:ascii="Arial" w:hAnsi="Arial" w:cs="Arial"/>
          <w:b/>
          <w:bCs/>
          <w:sz w:val="20"/>
          <w:szCs w:val="20"/>
        </w:rPr>
        <w:fldChar w:fldCharType="end"/>
      </w:r>
      <w:r w:rsidRPr="00215B2F">
        <w:rPr>
          <w:rFonts w:ascii="Arial" w:hAnsi="Arial" w:cs="Arial"/>
          <w:b/>
          <w:bCs/>
          <w:sz w:val="20"/>
          <w:szCs w:val="20"/>
        </w:rPr>
        <w:t>. členu (veljavni 275. člen ZBan-3)</w:t>
      </w:r>
    </w:p>
    <w:p w14:paraId="352D2611"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201A199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(275. člen) ni vsebinskih sprememb. V členu so podrobneje določene obveznosti banke in njenih članov uprave in drugih zaposlenih v postopku pregleda poslovanja banke.</w:t>
      </w:r>
    </w:p>
    <w:p w14:paraId="24539CC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6B2549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_Ref202967170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341</w:t>
      </w:r>
      <w:r w:rsidRPr="00215B2F">
        <w:rPr>
          <w:rFonts w:ascii="Arial" w:hAnsi="Arial" w:cs="Arial"/>
          <w:b/>
          <w:bCs/>
          <w:sz w:val="20"/>
          <w:szCs w:val="20"/>
        </w:rPr>
        <w:fldChar w:fldCharType="end"/>
      </w:r>
      <w:r w:rsidRPr="00215B2F">
        <w:rPr>
          <w:rFonts w:ascii="Arial" w:hAnsi="Arial" w:cs="Arial"/>
          <w:b/>
          <w:bCs/>
          <w:sz w:val="20"/>
          <w:szCs w:val="20"/>
        </w:rPr>
        <w:t xml:space="preserve">. do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_Ref202967175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342</w:t>
      </w:r>
      <w:r w:rsidRPr="00215B2F">
        <w:rPr>
          <w:rFonts w:ascii="Arial" w:hAnsi="Arial" w:cs="Arial"/>
          <w:b/>
          <w:bCs/>
          <w:sz w:val="20"/>
          <w:szCs w:val="20"/>
        </w:rPr>
        <w:fldChar w:fldCharType="end"/>
      </w:r>
      <w:r w:rsidRPr="00215B2F">
        <w:rPr>
          <w:rFonts w:ascii="Arial" w:hAnsi="Arial" w:cs="Arial"/>
          <w:b/>
          <w:bCs/>
          <w:sz w:val="20"/>
          <w:szCs w:val="20"/>
        </w:rPr>
        <w:t>. členu (veljavna 276. in 277. člen ZBan-3)</w:t>
      </w:r>
    </w:p>
    <w:p w14:paraId="7264C81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F5D68B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(276. do 277. člen) ni vsebinskih sprememb. V členih so določeni pogoji, ki jih mora banka zagotoviti v zvezi z opravljanjem pregleda poslovanja.</w:t>
      </w:r>
    </w:p>
    <w:p w14:paraId="5D86CAE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72225D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_Ref203490201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343</w:t>
      </w:r>
      <w:r w:rsidRPr="00215B2F">
        <w:rPr>
          <w:rFonts w:ascii="Arial" w:hAnsi="Arial" w:cs="Arial"/>
          <w:b/>
          <w:bCs/>
          <w:sz w:val="20"/>
          <w:szCs w:val="20"/>
        </w:rPr>
        <w:fldChar w:fldCharType="end"/>
      </w:r>
      <w:r w:rsidRPr="00215B2F">
        <w:rPr>
          <w:rFonts w:ascii="Arial" w:hAnsi="Arial" w:cs="Arial"/>
          <w:b/>
          <w:bCs/>
          <w:sz w:val="20"/>
          <w:szCs w:val="20"/>
        </w:rPr>
        <w:t>. členu (veljavni 278. člen ZBan-3)</w:t>
      </w:r>
    </w:p>
    <w:p w14:paraId="14130FAA"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3A4C9CB6" w14:textId="4016417B"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w:t>
      </w:r>
      <w:r w:rsidR="00134569" w:rsidRPr="00215B2F">
        <w:rPr>
          <w:rFonts w:ascii="Arial" w:hAnsi="Arial" w:cs="Arial"/>
          <w:sz w:val="20"/>
          <w:szCs w:val="20"/>
        </w:rPr>
        <w:t xml:space="preserve">3 </w:t>
      </w:r>
      <w:r w:rsidRPr="00215B2F">
        <w:rPr>
          <w:rFonts w:ascii="Arial" w:hAnsi="Arial" w:cs="Arial"/>
          <w:sz w:val="20"/>
          <w:szCs w:val="20"/>
        </w:rPr>
        <w:t xml:space="preserve">(278. člen) ni vsebinskih sprememb. Če je to potrebno za učinkovito izvajanje nadzora nad banko, lahko Banka Slovenije zahteva poslovno dokumentacijo, poročila in informacije tudi od določenih povezanih oseb, kot so osebe v tesni povezanosti z banko, zunanji izvajalci (vključno z IKT ponudniki), imetniki kvalificiranih deležev, družbe z naložbo banke, nadrejeni holdingi ter druge osebe v okviru konsolidiranega nadzora. Enake zahteve lahko naslovi tudi na njihove člane organov </w:t>
      </w:r>
      <w:r w:rsidRPr="00215B2F">
        <w:rPr>
          <w:rFonts w:ascii="Arial" w:hAnsi="Arial" w:cs="Arial"/>
          <w:sz w:val="20"/>
          <w:szCs w:val="20"/>
        </w:rPr>
        <w:lastRenderedPageBreak/>
        <w:t>vodenja in zaposlene. Po potrebi lahko Banka Slovenije pri teh osebah opravi pregled poslovanja, pri čemer veljajo enaka pravila kot za pregled banke. Če je za nadzor nad temi osebami pristojen drug organ, se pregled izvede v sodelovanju z njim. Z vsebino se delno prenaša tretji odstavek 65. člena CRD.</w:t>
      </w:r>
    </w:p>
    <w:p w14:paraId="2824D58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8213720" w14:textId="30DAE539"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r w:rsidRPr="00215B2F">
        <w:rPr>
          <w:rFonts w:ascii="Arial" w:hAnsi="Arial" w:cs="Arial"/>
          <w:sz w:val="20"/>
          <w:szCs w:val="20"/>
        </w:rPr>
        <w:t xml:space="preserve">S predlogom zakona se v prvem odstavku (glede na ZBan-3) dodatno določa, da lahko, </w:t>
      </w:r>
      <w:r w:rsidRPr="00215B2F">
        <w:rPr>
          <w:rFonts w:ascii="Arial" w:eastAsia="Arial" w:hAnsi="Arial" w:cs="Arial"/>
          <w:sz w:val="20"/>
          <w:szCs w:val="20"/>
        </w:rPr>
        <w:t xml:space="preserve">če je to potrebno za dosego namena nadzora nad banko, Banka Slovenije zahteva predložitev poslovne dokumentacije, ustrezna poročila in informacije tudi od oseb, </w:t>
      </w:r>
      <w:r w:rsidR="00134569" w:rsidRPr="00215B2F">
        <w:rPr>
          <w:rFonts w:ascii="Arial" w:eastAsia="Arial" w:hAnsi="Arial" w:cs="Arial"/>
          <w:sz w:val="20"/>
          <w:szCs w:val="20"/>
        </w:rPr>
        <w:t>ki</w:t>
      </w:r>
      <w:r w:rsidRPr="00215B2F">
        <w:rPr>
          <w:rFonts w:ascii="Arial" w:eastAsia="Arial" w:hAnsi="Arial" w:cs="Arial"/>
          <w:sz w:val="20"/>
          <w:szCs w:val="20"/>
        </w:rPr>
        <w:t xml:space="preserve"> so za banke prevzele zunanje izvajanje funkcij ali dejavnosti, vključno s tretjimi ponudniki storitev IKT iz poglavja V Uredbe 2022/2554/EU. Gre za prenos 65. člena CRD (četrti odstavek). </w:t>
      </w:r>
    </w:p>
    <w:p w14:paraId="75EE11A7" w14:textId="77777777" w:rsidR="009C0FCF" w:rsidRPr="00215B2F" w:rsidRDefault="009C0FCF" w:rsidP="0010347E">
      <w:pPr>
        <w:shd w:val="clear" w:color="auto" w:fill="FFFFFF" w:themeFill="background1"/>
        <w:spacing w:after="0" w:line="240" w:lineRule="auto"/>
        <w:jc w:val="both"/>
        <w:rPr>
          <w:rFonts w:ascii="Arial" w:eastAsia="Arial" w:hAnsi="Arial" w:cs="Arial"/>
          <w:sz w:val="20"/>
          <w:szCs w:val="20"/>
        </w:rPr>
      </w:pPr>
    </w:p>
    <w:p w14:paraId="7292D2FC" w14:textId="1B69D3B6" w:rsidR="009C0FCF" w:rsidRPr="00215B2F" w:rsidRDefault="009C0FCF" w:rsidP="009C0FCF">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V tretjem odstavku je določeno, da kadar je to potrebno, da se preveri dokumentacija, poročila in informacije, prejete na podlagi prvega ali drugega odstavka tega člena, lahko Banka Slovenije pri pravnih osebah iz prvega odstavka tega člena opravi pregled poslovanja. Nadalje je navedeno, da se za pregled poslovanja v tem primeru smiselno uporabljajo določbe tega zakona o pregledu poslovanja banke. Gre namreč za člene iz poglavja 10.2. </w:t>
      </w:r>
    </w:p>
    <w:p w14:paraId="1D4C833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B53B95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_Ref202967182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344</w:t>
      </w:r>
      <w:r w:rsidRPr="00215B2F">
        <w:rPr>
          <w:rFonts w:ascii="Arial" w:hAnsi="Arial" w:cs="Arial"/>
          <w:b/>
          <w:bCs/>
          <w:sz w:val="20"/>
          <w:szCs w:val="20"/>
        </w:rPr>
        <w:fldChar w:fldCharType="end"/>
      </w:r>
      <w:r w:rsidRPr="00215B2F">
        <w:rPr>
          <w:rFonts w:ascii="Arial" w:hAnsi="Arial" w:cs="Arial"/>
          <w:b/>
          <w:bCs/>
          <w:sz w:val="20"/>
          <w:szCs w:val="20"/>
        </w:rPr>
        <w:t>. členu (veljavni 279. člen ZBan-3)</w:t>
      </w:r>
    </w:p>
    <w:p w14:paraId="75FA13F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5DC26D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(279. člen) ni vsebinskih sprememb. Odredba za odpravo kršitev banke je ukrep nadzora, s katerim Banka Slovenije banki naloži, da preneha izvajati tako ravnanje in odpravi kršitve ter v določenem roku Banki Slovenije predloži pisno poročilo, v katerem opiše ukrepe za odpravo kršitev ter predloži ustrezna dokazila. Z odredbo za odpravo kršitev banke se lahko tudi odredi, da banka izvede dodatne ukrepe, da se odpravijo kršitve oziroma prepreči nastanek kršitev. V tretjem odstavku so navedene okoliščine, za katere se šteje, da imajo pomembni učinek na varno in skrbno upravljanje banke.</w:t>
      </w:r>
    </w:p>
    <w:p w14:paraId="39CB171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F41B96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_Ref202967189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345</w:t>
      </w:r>
      <w:r w:rsidRPr="00215B2F">
        <w:rPr>
          <w:rFonts w:ascii="Arial" w:hAnsi="Arial" w:cs="Arial"/>
          <w:b/>
          <w:bCs/>
          <w:sz w:val="20"/>
          <w:szCs w:val="20"/>
        </w:rPr>
        <w:fldChar w:fldCharType="end"/>
      </w:r>
      <w:r w:rsidRPr="00215B2F">
        <w:rPr>
          <w:rFonts w:ascii="Arial" w:hAnsi="Arial" w:cs="Arial"/>
          <w:b/>
          <w:bCs/>
          <w:sz w:val="20"/>
          <w:szCs w:val="20"/>
        </w:rPr>
        <w:t>. členu (veljavni 280. člen ZBan-3)</w:t>
      </w:r>
    </w:p>
    <w:p w14:paraId="57727B6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DF54090"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ZBan-3 (280. člen) določa dodatne ukrepe Banke Slovenije. Ta lahko banki ali njenemu upravljalnemu organu z odredbo naloži izvedbo dodatnih ukrepov za odpravo kršitev zakonodaje ali uredbe EU, če se s tem pričakujeta učinkovitejše delovanje banke in preprečevanje prihodnjih kršitev. Ti ukrepi lahko vključujejo zahteve po dodatnem kapitalu, izboljšanje notranjega upravljanja in ocenjevanja kapitala, omejitve poslovanja, prepoved določenih poslov, zahteve po spremembi vodstva, poročanju, razkritjih in politiki izplačil. Ukrepi morajo biti primerni, sorazmerni in ne smejo podvajati že obstoječih poročil. Posebno pozornost Banka Slovenije namenja tudi zagotavljanju ustrezne likvidnosti banke glede na njen poslovni model, upravljanje tveganj ter rezultate nadzornih pregledov. Gre za ukrepe, ki jih v 104. členu določa CRD.</w:t>
      </w:r>
    </w:p>
    <w:p w14:paraId="24BAB0D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91F5B30"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zakona se (glede na ZBan-3) v drugem odstavku dodajajo ukrepi, ki sledijo prenosu ukrepov iz 91.a in 104. člena CRD: </w:t>
      </w:r>
    </w:p>
    <w:p w14:paraId="32F9F88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AC161A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lahko banki naloži naslednje dodatne ukrepe:</w:t>
      </w:r>
    </w:p>
    <w:p w14:paraId="27CC76D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9F73BBD" w14:textId="77777777" w:rsidR="0010347E" w:rsidRPr="00215B2F" w:rsidRDefault="0010347E" w:rsidP="003D4DE0">
      <w:pPr>
        <w:pStyle w:val="Odstavek"/>
        <w:numPr>
          <w:ilvl w:val="0"/>
          <w:numId w:val="350"/>
        </w:numPr>
        <w:shd w:val="clear" w:color="auto" w:fill="FFFFFF" w:themeFill="background1"/>
        <w:spacing w:before="0"/>
        <w:rPr>
          <w:rFonts w:cs="Arial"/>
          <w:sz w:val="20"/>
          <w:szCs w:val="20"/>
        </w:rPr>
      </w:pPr>
      <w:r w:rsidRPr="00215B2F">
        <w:rPr>
          <w:rFonts w:cs="Arial"/>
          <w:sz w:val="20"/>
          <w:szCs w:val="20"/>
        </w:rPr>
        <w:t>Zahteva zmanjšanje kratkoročnih, srednjeročnih in dolgoročnih tveganj, povezanih z ESG dejavniki (okoljskimi, družbenimi in upravljavskimi), zlasti tistih, ki izhajajo iz prehoda k trajnostnemu poslovanju, ter prilagoditev poslovne strategije, upravljanja in sistema upravljanja tveganj.</w:t>
      </w:r>
    </w:p>
    <w:p w14:paraId="4CBBBF9D" w14:textId="77777777" w:rsidR="0010347E" w:rsidRPr="00215B2F" w:rsidRDefault="0010347E" w:rsidP="003D4DE0">
      <w:pPr>
        <w:pStyle w:val="Odstavek"/>
        <w:numPr>
          <w:ilvl w:val="0"/>
          <w:numId w:val="350"/>
        </w:numPr>
        <w:shd w:val="clear" w:color="auto" w:fill="FFFFFF" w:themeFill="background1"/>
        <w:spacing w:before="0"/>
        <w:rPr>
          <w:rFonts w:cs="Arial"/>
          <w:sz w:val="20"/>
          <w:szCs w:val="20"/>
        </w:rPr>
      </w:pPr>
      <w:r w:rsidRPr="00215B2F">
        <w:rPr>
          <w:rFonts w:cs="Arial"/>
          <w:sz w:val="20"/>
          <w:szCs w:val="20"/>
        </w:rPr>
        <w:t>Zahteva izvedbo stresnih testov in analiz scenarijev za oceno tveganj, povezanih z izpostavljenostjo do kriptosredstev in storitvami v zvezi z njimi.</w:t>
      </w:r>
    </w:p>
    <w:p w14:paraId="59B2D0D6" w14:textId="77777777" w:rsidR="0010347E" w:rsidRPr="00215B2F" w:rsidRDefault="0010347E" w:rsidP="003D4DE0">
      <w:pPr>
        <w:pStyle w:val="Odstavek"/>
        <w:numPr>
          <w:ilvl w:val="0"/>
          <w:numId w:val="350"/>
        </w:numPr>
        <w:shd w:val="clear" w:color="auto" w:fill="FFFFFF" w:themeFill="background1"/>
        <w:spacing w:before="0"/>
        <w:rPr>
          <w:rFonts w:cs="Arial"/>
          <w:sz w:val="20"/>
          <w:szCs w:val="20"/>
        </w:rPr>
      </w:pPr>
      <w:r w:rsidRPr="00215B2F">
        <w:rPr>
          <w:rFonts w:cs="Arial"/>
          <w:sz w:val="20"/>
          <w:szCs w:val="20"/>
        </w:rPr>
        <w:t>Če obstaja čezmerno tveganje koncentracije do centralne nasprotne stranke, zahteva zmanjšanje izpostavljenosti ali ponovno uskladitev izpostavljenosti na klirinških računih v skladu z evropsko uredbo.</w:t>
      </w:r>
    </w:p>
    <w:p w14:paraId="3C0283AD" w14:textId="77777777" w:rsidR="0010347E" w:rsidRPr="00215B2F" w:rsidRDefault="0010347E" w:rsidP="003D4DE0">
      <w:pPr>
        <w:pStyle w:val="Odstavek"/>
        <w:numPr>
          <w:ilvl w:val="0"/>
          <w:numId w:val="350"/>
        </w:numPr>
        <w:shd w:val="clear" w:color="auto" w:fill="FFFFFF" w:themeFill="background1"/>
        <w:spacing w:before="0"/>
        <w:rPr>
          <w:rFonts w:cs="Arial"/>
          <w:sz w:val="20"/>
          <w:szCs w:val="20"/>
        </w:rPr>
      </w:pPr>
      <w:r w:rsidRPr="00215B2F">
        <w:rPr>
          <w:rFonts w:cs="Arial"/>
          <w:sz w:val="20"/>
          <w:szCs w:val="20"/>
        </w:rPr>
        <w:t>Lahko omeji poslovanje banke, vključno s sprejemanjem depozitov ali drugimi dejavnostmi, oziroma zahteva odsvojitev dejavnosti, ki pomenijo preveliko tveganje za stabilnost banke.</w:t>
      </w:r>
    </w:p>
    <w:p w14:paraId="478246D5" w14:textId="77777777" w:rsidR="0010347E" w:rsidRPr="00215B2F" w:rsidRDefault="0010347E" w:rsidP="003D4DE0">
      <w:pPr>
        <w:pStyle w:val="Odstavek"/>
        <w:numPr>
          <w:ilvl w:val="0"/>
          <w:numId w:val="350"/>
        </w:numPr>
        <w:shd w:val="clear" w:color="auto" w:fill="FFFFFF" w:themeFill="background1"/>
        <w:spacing w:before="0"/>
        <w:rPr>
          <w:rFonts w:cs="Arial"/>
          <w:sz w:val="20"/>
          <w:szCs w:val="20"/>
        </w:rPr>
      </w:pPr>
      <w:r w:rsidRPr="00215B2F">
        <w:rPr>
          <w:rFonts w:cs="Arial"/>
          <w:sz w:val="20"/>
          <w:szCs w:val="20"/>
        </w:rPr>
        <w:t>Zahteva, da banka sprejme ukrepe za zagotovitev primernosti članov uprave ali nadzornega sveta, vključno z oceno kolektivne primernosti celotnega organa.</w:t>
      </w:r>
    </w:p>
    <w:p w14:paraId="6BE4420D" w14:textId="77777777" w:rsidR="0010347E" w:rsidRPr="00215B2F" w:rsidRDefault="0010347E" w:rsidP="003D4DE0">
      <w:pPr>
        <w:pStyle w:val="Odstavek"/>
        <w:numPr>
          <w:ilvl w:val="0"/>
          <w:numId w:val="350"/>
        </w:numPr>
        <w:shd w:val="clear" w:color="auto" w:fill="FFFFFF" w:themeFill="background1"/>
        <w:spacing w:before="0"/>
        <w:rPr>
          <w:rFonts w:cs="Arial"/>
          <w:sz w:val="20"/>
          <w:szCs w:val="20"/>
        </w:rPr>
      </w:pPr>
      <w:r w:rsidRPr="00215B2F">
        <w:rPr>
          <w:rFonts w:cs="Arial"/>
          <w:sz w:val="20"/>
          <w:szCs w:val="20"/>
        </w:rPr>
        <w:t>Zahteva ukrepe za zagotovitev primernosti nosilcev ključnih funkcij, vključno z možnostjo začasne prepovedi opravljanja teh funkcij.</w:t>
      </w:r>
    </w:p>
    <w:p w14:paraId="2EC6E369" w14:textId="77777777" w:rsidR="0010347E" w:rsidRPr="00215B2F" w:rsidRDefault="0010347E" w:rsidP="003D4DE0">
      <w:pPr>
        <w:pStyle w:val="Odstavek"/>
        <w:numPr>
          <w:ilvl w:val="0"/>
          <w:numId w:val="350"/>
        </w:numPr>
        <w:shd w:val="clear" w:color="auto" w:fill="FFFFFF" w:themeFill="background1"/>
        <w:spacing w:before="0"/>
        <w:rPr>
          <w:rFonts w:cs="Arial"/>
          <w:sz w:val="20"/>
          <w:szCs w:val="20"/>
        </w:rPr>
      </w:pPr>
      <w:r w:rsidRPr="00215B2F">
        <w:rPr>
          <w:rFonts w:cs="Arial"/>
          <w:sz w:val="20"/>
          <w:szCs w:val="20"/>
        </w:rPr>
        <w:t>Zahteva razrešitev pomembnega nosilca ključne funkcije, če to zahteva nadzorni interes.</w:t>
      </w:r>
    </w:p>
    <w:p w14:paraId="1F0F023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DD403D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lastRenderedPageBreak/>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_Ref202967204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346</w:t>
      </w:r>
      <w:r w:rsidRPr="00215B2F">
        <w:rPr>
          <w:rFonts w:ascii="Arial" w:hAnsi="Arial" w:cs="Arial"/>
          <w:b/>
          <w:bCs/>
          <w:sz w:val="20"/>
          <w:szCs w:val="20"/>
        </w:rPr>
        <w:fldChar w:fldCharType="end"/>
      </w:r>
      <w:r w:rsidRPr="00215B2F">
        <w:rPr>
          <w:rFonts w:ascii="Arial" w:hAnsi="Arial" w:cs="Arial"/>
          <w:b/>
          <w:bCs/>
          <w:sz w:val="20"/>
          <w:szCs w:val="20"/>
        </w:rPr>
        <w:t>. členu (veljavni 281. člen ZBan-3)</w:t>
      </w:r>
    </w:p>
    <w:p w14:paraId="69A43A7A"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5C643F52"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(281. člen) ni vsebinskih sprememb. Po členu mora banka o odpravi kršitev Banki Slovenije predložiti poročilo o odpravi kršitev, ki ga sestavi sama. Če Banka Slovenije ugotovi pomembnejše kršitve, lahko banki z odredbo o odpravi kršitev naloži, da o odpravi kršitev predloži tudi mnenje pooblaščenega revizorja o odpravi kršitev.</w:t>
      </w:r>
    </w:p>
    <w:p w14:paraId="0CDE274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19667C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_Ref202967209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347</w:t>
      </w:r>
      <w:r w:rsidRPr="00215B2F">
        <w:rPr>
          <w:rFonts w:ascii="Arial" w:hAnsi="Arial" w:cs="Arial"/>
          <w:b/>
          <w:bCs/>
          <w:sz w:val="20"/>
          <w:szCs w:val="20"/>
        </w:rPr>
        <w:fldChar w:fldCharType="end"/>
      </w:r>
      <w:r w:rsidRPr="00215B2F">
        <w:rPr>
          <w:rFonts w:ascii="Arial" w:hAnsi="Arial" w:cs="Arial"/>
          <w:b/>
          <w:bCs/>
          <w:sz w:val="20"/>
          <w:szCs w:val="20"/>
        </w:rPr>
        <w:t>. členu (veljavni 282. člen ZBan-3)</w:t>
      </w:r>
    </w:p>
    <w:p w14:paraId="4217F69D"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2C5CBD2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(282. člen) ni vsebinskih sprememb. Na podlagi poročila o odpravi kršitev mora Banka Slovenije presoditi, ali so kršitve odpravljene, in lahko za ta namen zahteva dopolnitev poročila ali opravi ponovni pregled poslovanja. Če so kršitve odpravljene, izda Banka Slovenije ugotovitveno odločbo o odpravi kršitev. Skrajni rok za izdajo ugotovitvene odločbe je tri mesece po prejemu celovitega poročila banke o odpravi kršitev. </w:t>
      </w:r>
    </w:p>
    <w:p w14:paraId="7CD14C0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45E474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_Ref202967216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348</w:t>
      </w:r>
      <w:r w:rsidRPr="00215B2F">
        <w:rPr>
          <w:rFonts w:ascii="Arial" w:hAnsi="Arial" w:cs="Arial"/>
          <w:b/>
          <w:bCs/>
          <w:sz w:val="20"/>
          <w:szCs w:val="20"/>
        </w:rPr>
        <w:fldChar w:fldCharType="end"/>
      </w:r>
      <w:r w:rsidRPr="00215B2F">
        <w:rPr>
          <w:rFonts w:ascii="Arial" w:hAnsi="Arial" w:cs="Arial"/>
          <w:b/>
          <w:bCs/>
          <w:sz w:val="20"/>
          <w:szCs w:val="20"/>
        </w:rPr>
        <w:t>. členu (veljavni 283. člen ZBan-3)</w:t>
      </w:r>
    </w:p>
    <w:p w14:paraId="2FE0C17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C6AA9D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(283. člen) ni vsebinskih sprememb. Če so v banki ugotovljene kršitve ali bodo verjetno ugotovljene, lahko Banka Slovenije v primeru hitrega slabšanja finančnega položaja banke, zlasti v primeru hitrega slabšanja likvidnosti, naraščanja stopnje zadolženosti, obsega nedonosnih posojil ali koncentracije izpostavljenosti, z odredbo zahteva, da banka ali upravljalni organ izvede dodatne ukrepe. Banka Slovenije ob oceni slabšanja finančnega položaja banke določi prage kazalnikov, ki utemeljujejo ukrepe, in lahko upošteva povečano minimalno kapitalsko zahtevo.</w:t>
      </w:r>
    </w:p>
    <w:p w14:paraId="0301FB5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E1308F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S četrtim do sedmim odstavkom se prenaša prvi odstavek 68. člena Direktive (EU) 2019/879 Evropskega parlamenta in Sveta z dne 20. maja 2019 o spremembi Direktive 2014/59/EU glede sposobnosti kreditnih institucij in investicijskih podjetij za pokrivanje izgub in dokapitalizacijo ter Direktive 98/26/ES. Ureja primer uporabe ukrepov zgodnjega posredovanja</w:t>
      </w:r>
      <w:r w:rsidRPr="00215B2F">
        <w:rPr>
          <w:rFonts w:ascii="Arial" w:hAnsi="Arial" w:cs="Arial"/>
          <w:bCs/>
          <w:sz w:val="20"/>
          <w:szCs w:val="20"/>
        </w:rPr>
        <w:t>, ko se</w:t>
      </w:r>
      <w:r w:rsidRPr="00215B2F">
        <w:rPr>
          <w:rFonts w:ascii="Arial" w:hAnsi="Arial" w:cs="Arial"/>
          <w:sz w:val="20"/>
          <w:szCs w:val="20"/>
        </w:rPr>
        <w:t xml:space="preserve"> bistvene obveznosti iz pogodbe, ki jo je banka sklenila z nasprotno pogodbeno stranko, vključno z obveznostmi plačila in izročitve ter z zagotavljanjem zavarovanja s premoženjem, po začetku postopka reševanja še naprej izpolnjujejo v okviru sklenjene pogodbe. Zgolj uporaba teh ukrepov sama po sebi ne šteje za (i) dogodek neizpolnitve ali drug podoben dogodek, ki je dogovorjen med strankami in na podlagi katerega ima prejemnik zavarovanja pravico realizirati finančno zavarovanje ali uveljaviti pravico predčasnega pobota v skladu z zakonom, ki ureja finančna zavarovanja; (ii) postopek zaradi insolventnosti oziroma drug ukrep, ki izključuje ali omejuje izvršitev nalogov člana plačilnega sistema v skladu z zakonom, ki ureja plačilne storitve in sisteme.</w:t>
      </w:r>
    </w:p>
    <w:p w14:paraId="3B4C1B4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1BFC6C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_Ref202967223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349</w:t>
      </w:r>
      <w:r w:rsidRPr="00215B2F">
        <w:rPr>
          <w:rFonts w:ascii="Arial" w:hAnsi="Arial" w:cs="Arial"/>
          <w:b/>
          <w:bCs/>
          <w:sz w:val="20"/>
          <w:szCs w:val="20"/>
        </w:rPr>
        <w:fldChar w:fldCharType="end"/>
      </w:r>
      <w:r w:rsidRPr="00215B2F">
        <w:rPr>
          <w:rFonts w:ascii="Arial" w:hAnsi="Arial" w:cs="Arial"/>
          <w:b/>
          <w:bCs/>
          <w:sz w:val="20"/>
          <w:szCs w:val="20"/>
        </w:rPr>
        <w:t>. členu (veljavni 284. člen ZBan-3)</w:t>
      </w:r>
    </w:p>
    <w:p w14:paraId="653921B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BCF8BD9"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(284. člen) ni vsebinskih sprememb.</w:t>
      </w:r>
      <w:r w:rsidRPr="00215B2F">
        <w:rPr>
          <w:rFonts w:ascii="Arial" w:hAnsi="Arial" w:cs="Arial"/>
          <w:b/>
          <w:sz w:val="20"/>
          <w:szCs w:val="20"/>
        </w:rPr>
        <w:t xml:space="preserve"> </w:t>
      </w:r>
      <w:r w:rsidRPr="00215B2F">
        <w:rPr>
          <w:rFonts w:ascii="Arial" w:hAnsi="Arial" w:cs="Arial"/>
          <w:sz w:val="20"/>
          <w:szCs w:val="20"/>
        </w:rPr>
        <w:t>V tem členu se urejajo posebna pravila glede sklica in odločanja na skupščini v zvezi s sprejetjem določenih ukrepov z namenom sanacije, vključno z ukrepi za povečanje osnovnega kapitala banke ter ukrepi za zmanjšanje osnovnega kapitala zaradi pokrivanja izgube ali prenosa v kapitalske rezerve.</w:t>
      </w:r>
    </w:p>
    <w:p w14:paraId="4434F54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EB2586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_Ref202967230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350</w:t>
      </w:r>
      <w:r w:rsidRPr="00215B2F">
        <w:rPr>
          <w:rFonts w:ascii="Arial" w:hAnsi="Arial" w:cs="Arial"/>
          <w:b/>
          <w:bCs/>
          <w:sz w:val="20"/>
          <w:szCs w:val="20"/>
        </w:rPr>
        <w:fldChar w:fldCharType="end"/>
      </w:r>
      <w:r w:rsidRPr="00215B2F">
        <w:rPr>
          <w:rFonts w:ascii="Arial" w:hAnsi="Arial" w:cs="Arial"/>
          <w:b/>
          <w:bCs/>
          <w:sz w:val="20"/>
          <w:szCs w:val="20"/>
        </w:rPr>
        <w:t>. členu (veljavni 285. člen ZBan-3)</w:t>
      </w:r>
    </w:p>
    <w:p w14:paraId="5AF6E07A"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4C0E9FD5"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(285. člen) ni vsebinskih sprememb.</w:t>
      </w:r>
      <w:r w:rsidRPr="00215B2F">
        <w:rPr>
          <w:rFonts w:ascii="Arial" w:hAnsi="Arial" w:cs="Arial"/>
          <w:b/>
          <w:sz w:val="20"/>
          <w:szCs w:val="20"/>
        </w:rPr>
        <w:t xml:space="preserve"> </w:t>
      </w:r>
      <w:r w:rsidRPr="00215B2F">
        <w:rPr>
          <w:rFonts w:ascii="Arial" w:hAnsi="Arial" w:cs="Arial"/>
          <w:sz w:val="20"/>
          <w:szCs w:val="20"/>
        </w:rPr>
        <w:t>Pri odločanju skupščine o sprejetju ukrepov se uveljavljajo določene omejitve glede pravic delničarjev v zvezi z uvrstitvijo delničarjevih predlogov na dnevni red skupščine, glede ločenega zasedanja, glede večine, ki se zahteva za potrditev sklepa in drugo. Tako predlog v zvezi s potrditvijo sklepa o povečanju osnovnega kapitala na podlagi odredbe Banke Slovenije in o spremembah statuta, ki so nujne za izvedbo ukrepov sanacije, določa kot obvezno zahtevo potrditev sklepa z navadno večino pri odločanju zastopanega kapitala, če je zastopanega najmanj polovica vpisanega kapitala z glasovalno pravico. Če pri glasovanju ni zastopana vsaj polovica vpisanega kapitala z glasovalno pravico, je sklep veljavno potrjen z dvema tretjinama pri odločanju zastopanega kapitala z glasovalno pravico. Predlagani člen ureja tudi okoliščine v zvezi s poenostavljenim zmanjšanjem osnovnega kapitala in izdajo instrumenta z namenom povečanja kapitala banke.</w:t>
      </w:r>
    </w:p>
    <w:p w14:paraId="68167D5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1D3D0C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_Ref202967240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351</w:t>
      </w:r>
      <w:r w:rsidRPr="00215B2F">
        <w:rPr>
          <w:rFonts w:ascii="Arial" w:hAnsi="Arial" w:cs="Arial"/>
          <w:b/>
          <w:bCs/>
          <w:sz w:val="20"/>
          <w:szCs w:val="20"/>
        </w:rPr>
        <w:fldChar w:fldCharType="end"/>
      </w:r>
      <w:r w:rsidRPr="00215B2F">
        <w:rPr>
          <w:rFonts w:ascii="Arial" w:hAnsi="Arial" w:cs="Arial"/>
          <w:b/>
          <w:bCs/>
          <w:sz w:val="20"/>
          <w:szCs w:val="20"/>
        </w:rPr>
        <w:t>. členu (veljavni 286. člen ZBan-3)</w:t>
      </w:r>
    </w:p>
    <w:p w14:paraId="75FCDEB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0F8374C"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lastRenderedPageBreak/>
        <w:t>V primerjavi z ZBan-3 (286. člen) ni vsebinskih sprememb.</w:t>
      </w:r>
      <w:r w:rsidRPr="00215B2F">
        <w:rPr>
          <w:rFonts w:ascii="Arial" w:hAnsi="Arial" w:cs="Arial"/>
          <w:b/>
          <w:sz w:val="20"/>
          <w:szCs w:val="20"/>
        </w:rPr>
        <w:t xml:space="preserve"> </w:t>
      </w:r>
      <w:r w:rsidRPr="00215B2F">
        <w:rPr>
          <w:rFonts w:ascii="Arial" w:hAnsi="Arial" w:cs="Arial"/>
          <w:sz w:val="20"/>
          <w:szCs w:val="20"/>
        </w:rPr>
        <w:t>S predlagano ureditvijo se določajo možnosti povečanja osnovnega kapitala banke s stvarnimi vložki, kadar je povečanje osnovnega kapitala potrebno zaradi zagotavljanja kapitalske ustreznosti banke. Povečanje osnovnega kapitala banke se izvede s stvarnimi vložki, katerih predmet so lahko tudi terjatve posameznih upnikov banke, ki morajo dati izjavo, da bodo predmet stvarnega vložka po potrditvi sklepa o povečanju osnovnega kapitala banke prenesli na banko.</w:t>
      </w:r>
    </w:p>
    <w:p w14:paraId="4D6E0FF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2682B4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_Ref202967245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352</w:t>
      </w:r>
      <w:r w:rsidRPr="00215B2F">
        <w:rPr>
          <w:rFonts w:ascii="Arial" w:hAnsi="Arial" w:cs="Arial"/>
          <w:b/>
          <w:bCs/>
          <w:sz w:val="20"/>
          <w:szCs w:val="20"/>
        </w:rPr>
        <w:fldChar w:fldCharType="end"/>
      </w:r>
      <w:r w:rsidRPr="00215B2F">
        <w:rPr>
          <w:rFonts w:ascii="Arial" w:hAnsi="Arial" w:cs="Arial"/>
          <w:b/>
          <w:bCs/>
          <w:sz w:val="20"/>
          <w:szCs w:val="20"/>
        </w:rPr>
        <w:t>. členu (veljavni 287. člen ZBan-3)</w:t>
      </w:r>
    </w:p>
    <w:p w14:paraId="415174A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CF5CC90" w14:textId="589897DE"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w:t>
      </w:r>
      <w:r w:rsidR="00530351" w:rsidRPr="00215B2F">
        <w:rPr>
          <w:rFonts w:ascii="Arial" w:hAnsi="Arial" w:cs="Arial"/>
          <w:sz w:val="20"/>
          <w:szCs w:val="20"/>
        </w:rPr>
        <w:t>n-</w:t>
      </w:r>
      <w:r w:rsidRPr="00215B2F">
        <w:rPr>
          <w:rFonts w:ascii="Arial" w:hAnsi="Arial" w:cs="Arial"/>
          <w:sz w:val="20"/>
          <w:szCs w:val="20"/>
        </w:rPr>
        <w:t xml:space="preserve">3 (287. člen) ni vsebinskih sprememb. Zaradi pravne gotovosti je v tem členu izrecno urejeno razmerje tega zakona kot </w:t>
      </w:r>
      <w:r w:rsidRPr="00215B2F">
        <w:rPr>
          <w:rFonts w:ascii="Arial" w:hAnsi="Arial" w:cs="Arial"/>
          <w:i/>
          <w:sz w:val="20"/>
          <w:szCs w:val="20"/>
        </w:rPr>
        <w:t>lex specialis</w:t>
      </w:r>
      <w:r w:rsidRPr="00215B2F">
        <w:rPr>
          <w:rFonts w:ascii="Arial" w:hAnsi="Arial" w:cs="Arial"/>
          <w:sz w:val="20"/>
          <w:szCs w:val="20"/>
        </w:rPr>
        <w:t xml:space="preserve"> v razmerju do ureditve v ZGD-1 tudi v zvezi z ureditvijo izpodbojnih razlogov pri preizkusu skupščinskih sklepov.</w:t>
      </w:r>
    </w:p>
    <w:p w14:paraId="2CB5A79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FEB790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_Ref202967251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353</w:t>
      </w:r>
      <w:r w:rsidRPr="00215B2F">
        <w:rPr>
          <w:rFonts w:ascii="Arial" w:hAnsi="Arial" w:cs="Arial"/>
          <w:b/>
          <w:bCs/>
          <w:sz w:val="20"/>
          <w:szCs w:val="20"/>
        </w:rPr>
        <w:fldChar w:fldCharType="end"/>
      </w:r>
      <w:r w:rsidRPr="00215B2F">
        <w:rPr>
          <w:rFonts w:ascii="Arial" w:hAnsi="Arial" w:cs="Arial"/>
          <w:b/>
          <w:bCs/>
          <w:sz w:val="20"/>
          <w:szCs w:val="20"/>
        </w:rPr>
        <w:t>. členu (veljavni 288. člen ZBan-3)</w:t>
      </w:r>
    </w:p>
    <w:p w14:paraId="178E5F87"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4BF3860C"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(288. člen) ni vsebinskih sprememb.</w:t>
      </w:r>
      <w:r w:rsidRPr="00215B2F">
        <w:rPr>
          <w:rFonts w:ascii="Arial" w:hAnsi="Arial" w:cs="Arial"/>
          <w:b/>
          <w:sz w:val="20"/>
          <w:szCs w:val="20"/>
        </w:rPr>
        <w:t xml:space="preserve"> </w:t>
      </w:r>
      <w:r w:rsidRPr="00215B2F">
        <w:rPr>
          <w:rFonts w:ascii="Arial" w:hAnsi="Arial" w:cs="Arial"/>
          <w:sz w:val="20"/>
          <w:szCs w:val="20"/>
        </w:rPr>
        <w:t>Predlagani člen ureja ravnanje Banke Slovenije v primeru, ko se odloči za uporabo ukrepa zgodnjega posredovanja, to je razrešitev ali zamenjavo posameznega ali več članov upravljalnega organa ali višjega vodstva banke, če te osebe niso primerne za opravljanje svojih nalog. Uporaba tega ukrepa pa ne izključuje uporabe drugih ukrepov iz tega zakona.</w:t>
      </w:r>
    </w:p>
    <w:p w14:paraId="586A698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560355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_Ref202967257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354</w:t>
      </w:r>
      <w:r w:rsidRPr="00215B2F">
        <w:rPr>
          <w:rFonts w:ascii="Arial" w:hAnsi="Arial" w:cs="Arial"/>
          <w:b/>
          <w:bCs/>
          <w:sz w:val="20"/>
          <w:szCs w:val="20"/>
        </w:rPr>
        <w:fldChar w:fldCharType="end"/>
      </w:r>
      <w:r w:rsidRPr="00215B2F">
        <w:rPr>
          <w:rFonts w:ascii="Arial" w:hAnsi="Arial" w:cs="Arial"/>
          <w:b/>
          <w:bCs/>
          <w:sz w:val="20"/>
          <w:szCs w:val="20"/>
        </w:rPr>
        <w:t>. členu (veljavni 289. člen ZBan-3)</w:t>
      </w:r>
    </w:p>
    <w:p w14:paraId="56EB32C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8070263" w14:textId="71070985"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w:t>
      </w:r>
      <w:r w:rsidR="00530351" w:rsidRPr="00215B2F">
        <w:rPr>
          <w:rFonts w:cs="Arial"/>
          <w:sz w:val="20"/>
          <w:szCs w:val="20"/>
        </w:rPr>
        <w:t xml:space="preserve">3 </w:t>
      </w:r>
      <w:r w:rsidRPr="00215B2F">
        <w:rPr>
          <w:rFonts w:cs="Arial"/>
          <w:sz w:val="20"/>
          <w:szCs w:val="20"/>
        </w:rPr>
        <w:t>(289. člen) ni vsebinskih sprememb. Banka Slovenije lahko z odredbo imenuje posebnega pooblaščenca v banki, kadar razrešitev vodstva ni dovolj za odpravo kršitev ali izboljšanje finančnega položaja. Pooblaščenec lahko opravlja funkcijo člana uprave ali posamezne naloge brez pooblastila za zastopanje. Imenovana oseba mora biti strokovno usposobljena; če opravlja funkcijo člana uprave, mora izpolnjevati zakonske pogoje. Banka Slovenije določi vlogo, pristojnosti in morebitne omejitve pooblaščenca, ki lahko vključujejo sodelovanje z upravo ali Banko Slovenije, nadzor nad poslovanjem banke ali ukrepanje za ponovno vzpostavitev stabilnosti. Banka lahko istočasno izreče tudi druge nadzorne ukrepe. Informacije o imenovanju se objavijo na evropski enotni dostopni točki z ustreznimi metapodatki.</w:t>
      </w:r>
    </w:p>
    <w:p w14:paraId="5FF3557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523D88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_Ref202967263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355</w:t>
      </w:r>
      <w:r w:rsidRPr="00215B2F">
        <w:rPr>
          <w:rFonts w:ascii="Arial" w:hAnsi="Arial" w:cs="Arial"/>
          <w:b/>
          <w:bCs/>
          <w:sz w:val="20"/>
          <w:szCs w:val="20"/>
        </w:rPr>
        <w:fldChar w:fldCharType="end"/>
      </w:r>
      <w:r w:rsidRPr="00215B2F">
        <w:rPr>
          <w:rFonts w:ascii="Arial" w:hAnsi="Arial" w:cs="Arial"/>
          <w:b/>
          <w:bCs/>
          <w:sz w:val="20"/>
          <w:szCs w:val="20"/>
        </w:rPr>
        <w:t>. členu (veljavni 290. člen ZBan-3)</w:t>
      </w:r>
    </w:p>
    <w:p w14:paraId="1B379D40" w14:textId="77777777" w:rsidR="0010347E" w:rsidRPr="00215B2F" w:rsidRDefault="0010347E" w:rsidP="0010347E">
      <w:pPr>
        <w:pStyle w:val="Odstavek"/>
        <w:shd w:val="clear" w:color="auto" w:fill="FFFFFF" w:themeFill="background1"/>
        <w:spacing w:before="0"/>
        <w:ind w:firstLine="0"/>
        <w:rPr>
          <w:rFonts w:cs="Arial"/>
          <w:b/>
          <w:sz w:val="20"/>
          <w:szCs w:val="20"/>
        </w:rPr>
      </w:pPr>
    </w:p>
    <w:p w14:paraId="3F9855AD"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(290. člen) ni vsebinskih sprememb.</w:t>
      </w:r>
      <w:r w:rsidRPr="00215B2F">
        <w:rPr>
          <w:rFonts w:ascii="Arial" w:hAnsi="Arial" w:cs="Arial"/>
          <w:b/>
          <w:sz w:val="20"/>
          <w:szCs w:val="20"/>
        </w:rPr>
        <w:t xml:space="preserve"> </w:t>
      </w:r>
      <w:r w:rsidRPr="00215B2F">
        <w:rPr>
          <w:rFonts w:ascii="Arial" w:hAnsi="Arial" w:cs="Arial"/>
          <w:sz w:val="20"/>
          <w:szCs w:val="20"/>
        </w:rPr>
        <w:t>Ukrep z imenovanjem posebnega</w:t>
      </w:r>
      <w:r w:rsidRPr="00215B2F" w:rsidDel="00286B08">
        <w:rPr>
          <w:rFonts w:ascii="Arial" w:hAnsi="Arial" w:cs="Arial"/>
          <w:sz w:val="20"/>
          <w:szCs w:val="20"/>
        </w:rPr>
        <w:t xml:space="preserve"> </w:t>
      </w:r>
      <w:r w:rsidRPr="00215B2F">
        <w:rPr>
          <w:rFonts w:ascii="Arial" w:hAnsi="Arial" w:cs="Arial"/>
          <w:sz w:val="20"/>
          <w:szCs w:val="20"/>
        </w:rPr>
        <w:t xml:space="preserve">pooblaščenca je časovno omejen na obdobje največ enega leta z možnostjo izjemnega podaljšanja iz utemeljenih razlogov. Hkrati ima Banka Slovenije pravico, da lahko kadar koli razreši posebnega pooblaščenca, če ugotovi, da so prenehali razlogi iz prvega odstavka tega člena, ali če so podani drugi razlogi za njegovo razrešitev. </w:t>
      </w:r>
    </w:p>
    <w:p w14:paraId="521B94E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72B5D1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_Ref202967269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356</w:t>
      </w:r>
      <w:r w:rsidRPr="00215B2F">
        <w:rPr>
          <w:rFonts w:ascii="Arial" w:hAnsi="Arial" w:cs="Arial"/>
          <w:b/>
          <w:bCs/>
          <w:sz w:val="20"/>
          <w:szCs w:val="20"/>
        </w:rPr>
        <w:fldChar w:fldCharType="end"/>
      </w:r>
      <w:r w:rsidRPr="00215B2F">
        <w:rPr>
          <w:rFonts w:ascii="Arial" w:hAnsi="Arial" w:cs="Arial"/>
          <w:b/>
          <w:bCs/>
          <w:sz w:val="20"/>
          <w:szCs w:val="20"/>
        </w:rPr>
        <w:t>. členu (veljavni 291. člen ZBan-3)</w:t>
      </w:r>
    </w:p>
    <w:p w14:paraId="259E538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5F65F2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(291. člen) ni vsebinskih sprememb. V tem členu se določa pravni okvir delovanja posebnega</w:t>
      </w:r>
      <w:r w:rsidRPr="00215B2F" w:rsidDel="00286B08">
        <w:rPr>
          <w:rFonts w:ascii="Arial" w:hAnsi="Arial" w:cs="Arial"/>
          <w:sz w:val="20"/>
          <w:szCs w:val="20"/>
        </w:rPr>
        <w:t xml:space="preserve"> </w:t>
      </w:r>
      <w:r w:rsidRPr="00215B2F">
        <w:rPr>
          <w:rFonts w:ascii="Arial" w:hAnsi="Arial" w:cs="Arial"/>
          <w:sz w:val="20"/>
          <w:szCs w:val="20"/>
        </w:rPr>
        <w:t>pooblaščenca v skladu z veljavnimi predpisi, strokovnimi standardi, internimi akti banke in navodili Banke Slovenije. Ti standardi so tudi merilo odgovornosti posebnega</w:t>
      </w:r>
      <w:r w:rsidRPr="00215B2F" w:rsidDel="00286B08">
        <w:rPr>
          <w:rFonts w:ascii="Arial" w:hAnsi="Arial" w:cs="Arial"/>
          <w:sz w:val="20"/>
          <w:szCs w:val="20"/>
        </w:rPr>
        <w:t xml:space="preserve"> </w:t>
      </w:r>
      <w:r w:rsidRPr="00215B2F">
        <w:rPr>
          <w:rFonts w:ascii="Arial" w:hAnsi="Arial" w:cs="Arial"/>
          <w:sz w:val="20"/>
          <w:szCs w:val="20"/>
        </w:rPr>
        <w:t>pooblaščenca pri izvajanju njegovih funkcij v banki in v razmerju do Banke Slovenije. Določajo se tudi ustrezne razmere, ki jih mora banka zagotoviti posebnemu</w:t>
      </w:r>
      <w:r w:rsidRPr="00215B2F" w:rsidDel="00286B08">
        <w:rPr>
          <w:rFonts w:ascii="Arial" w:hAnsi="Arial" w:cs="Arial"/>
          <w:sz w:val="20"/>
          <w:szCs w:val="20"/>
        </w:rPr>
        <w:t xml:space="preserve"> </w:t>
      </w:r>
      <w:r w:rsidRPr="00215B2F">
        <w:rPr>
          <w:rFonts w:ascii="Arial" w:hAnsi="Arial" w:cs="Arial"/>
          <w:sz w:val="20"/>
          <w:szCs w:val="20"/>
        </w:rPr>
        <w:t>pooblaščencu za nemoteno opravljanje dela, ter obveznosti posebnega</w:t>
      </w:r>
      <w:r w:rsidRPr="00215B2F" w:rsidDel="00286B08">
        <w:rPr>
          <w:rFonts w:ascii="Arial" w:hAnsi="Arial" w:cs="Arial"/>
          <w:sz w:val="20"/>
          <w:szCs w:val="20"/>
        </w:rPr>
        <w:t xml:space="preserve"> </w:t>
      </w:r>
      <w:r w:rsidRPr="00215B2F">
        <w:rPr>
          <w:rFonts w:ascii="Arial" w:hAnsi="Arial" w:cs="Arial"/>
          <w:sz w:val="20"/>
          <w:szCs w:val="20"/>
        </w:rPr>
        <w:t>pooblaščenca.</w:t>
      </w:r>
    </w:p>
    <w:p w14:paraId="17ACDBC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D77D96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_Ref202967273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357</w:t>
      </w:r>
      <w:r w:rsidRPr="00215B2F">
        <w:rPr>
          <w:rFonts w:ascii="Arial" w:hAnsi="Arial" w:cs="Arial"/>
          <w:b/>
          <w:bCs/>
          <w:sz w:val="20"/>
          <w:szCs w:val="20"/>
        </w:rPr>
        <w:fldChar w:fldCharType="end"/>
      </w:r>
      <w:r w:rsidRPr="00215B2F">
        <w:rPr>
          <w:rFonts w:ascii="Arial" w:hAnsi="Arial" w:cs="Arial"/>
          <w:b/>
          <w:bCs/>
          <w:sz w:val="20"/>
          <w:szCs w:val="20"/>
        </w:rPr>
        <w:t>. členu (veljavni 292. člen ZBan-3)</w:t>
      </w:r>
    </w:p>
    <w:p w14:paraId="59DD01AA"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0E95B32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(292. člen) ni vsebinskih sprememb. Ta člen podrobneje ureja okoliščine glede imenovanja posebnega</w:t>
      </w:r>
      <w:r w:rsidRPr="00215B2F" w:rsidDel="00286B08">
        <w:rPr>
          <w:rFonts w:ascii="Arial" w:hAnsi="Arial" w:cs="Arial"/>
          <w:sz w:val="20"/>
          <w:szCs w:val="20"/>
        </w:rPr>
        <w:t xml:space="preserve"> </w:t>
      </w:r>
      <w:r w:rsidRPr="00215B2F">
        <w:rPr>
          <w:rFonts w:ascii="Arial" w:hAnsi="Arial" w:cs="Arial"/>
          <w:sz w:val="20"/>
          <w:szCs w:val="20"/>
        </w:rPr>
        <w:t>pooblaščenca v primeru, ko Banka Slovenije nastopa v funkciji konsolidacijskega nadzornika.</w:t>
      </w:r>
    </w:p>
    <w:p w14:paraId="20066AD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13E3A4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_Ref202967295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358</w:t>
      </w:r>
      <w:r w:rsidRPr="00215B2F">
        <w:rPr>
          <w:rFonts w:ascii="Arial" w:hAnsi="Arial" w:cs="Arial"/>
          <w:b/>
          <w:bCs/>
          <w:sz w:val="20"/>
          <w:szCs w:val="20"/>
        </w:rPr>
        <w:fldChar w:fldCharType="end"/>
      </w:r>
      <w:r w:rsidRPr="00215B2F">
        <w:rPr>
          <w:rFonts w:ascii="Arial" w:hAnsi="Arial" w:cs="Arial"/>
          <w:b/>
          <w:bCs/>
          <w:sz w:val="20"/>
          <w:szCs w:val="20"/>
        </w:rPr>
        <w:t xml:space="preserve">. in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_Ref203490665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359</w:t>
      </w:r>
      <w:r w:rsidRPr="00215B2F">
        <w:rPr>
          <w:rFonts w:ascii="Arial" w:hAnsi="Arial" w:cs="Arial"/>
          <w:b/>
          <w:bCs/>
          <w:sz w:val="20"/>
          <w:szCs w:val="20"/>
        </w:rPr>
        <w:fldChar w:fldCharType="end"/>
      </w:r>
      <w:r w:rsidRPr="00215B2F">
        <w:rPr>
          <w:rFonts w:ascii="Arial" w:hAnsi="Arial" w:cs="Arial"/>
          <w:b/>
          <w:bCs/>
          <w:sz w:val="20"/>
          <w:szCs w:val="20"/>
        </w:rPr>
        <w:t>. členu (veljavna 292.a in 292.b člen)</w:t>
      </w:r>
    </w:p>
    <w:p w14:paraId="3B4EDD7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B93A527" w14:textId="7E9F3D9E"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(292.a in 292.b člen) ni vsebinskih sprememb. S členoma se določa, da lahko </w:t>
      </w:r>
      <w:r w:rsidRPr="00215B2F">
        <w:rPr>
          <w:rFonts w:ascii="Arial" w:hAnsi="Arial" w:cs="Arial"/>
          <w:bCs/>
          <w:sz w:val="20"/>
          <w:szCs w:val="20"/>
        </w:rPr>
        <w:t>Banka Slovenije pri izvajanju nadzora ugotovi, da banka v skladu z zakonom, ki ureja</w:t>
      </w:r>
      <w:r w:rsidR="00FF0A15" w:rsidRPr="00215B2F">
        <w:rPr>
          <w:rFonts w:ascii="Arial" w:hAnsi="Arial" w:cs="Arial"/>
          <w:bCs/>
          <w:sz w:val="20"/>
          <w:szCs w:val="20"/>
        </w:rPr>
        <w:t xml:space="preserve"> reševanje in</w:t>
      </w:r>
      <w:r w:rsidRPr="00215B2F">
        <w:rPr>
          <w:rFonts w:ascii="Arial" w:hAnsi="Arial" w:cs="Arial"/>
          <w:bCs/>
          <w:sz w:val="20"/>
          <w:szCs w:val="20"/>
        </w:rPr>
        <w:t xml:space="preserve"> </w:t>
      </w:r>
      <w:r w:rsidRPr="00215B2F">
        <w:rPr>
          <w:rFonts w:ascii="Arial" w:hAnsi="Arial" w:cs="Arial"/>
          <w:bCs/>
          <w:sz w:val="20"/>
          <w:szCs w:val="20"/>
        </w:rPr>
        <w:lastRenderedPageBreak/>
        <w:t xml:space="preserve">prisilno prenehanje bank, propada ali bo verjetno propadla </w:t>
      </w:r>
      <w:r w:rsidRPr="00215B2F">
        <w:rPr>
          <w:rFonts w:ascii="Arial" w:hAnsi="Arial" w:cs="Arial"/>
          <w:sz w:val="20"/>
          <w:szCs w:val="20"/>
        </w:rPr>
        <w:t xml:space="preserve">(angl. </w:t>
      </w:r>
      <w:r w:rsidRPr="00215B2F">
        <w:rPr>
          <w:rFonts w:ascii="Arial" w:hAnsi="Arial" w:cs="Arial"/>
          <w:i/>
          <w:sz w:val="20"/>
          <w:szCs w:val="20"/>
        </w:rPr>
        <w:t>fail or likely to fail</w:t>
      </w:r>
      <w:r w:rsidRPr="00215B2F">
        <w:rPr>
          <w:rFonts w:ascii="Arial" w:hAnsi="Arial" w:cs="Arial"/>
          <w:sz w:val="20"/>
          <w:szCs w:val="20"/>
        </w:rPr>
        <w:t xml:space="preserve">), </w:t>
      </w:r>
      <w:r w:rsidRPr="00215B2F">
        <w:rPr>
          <w:rFonts w:ascii="Arial" w:hAnsi="Arial" w:cs="Arial"/>
          <w:bCs/>
          <w:sz w:val="20"/>
          <w:szCs w:val="20"/>
        </w:rPr>
        <w:t xml:space="preserve">z odredbo zahteva, da banka ali upravljalni organ izvede dodatne ukrepe in ukrepe zgodnjega posredovanja. </w:t>
      </w:r>
      <w:r w:rsidRPr="00215B2F">
        <w:rPr>
          <w:rFonts w:ascii="Arial" w:hAnsi="Arial" w:cs="Arial"/>
          <w:sz w:val="20"/>
          <w:szCs w:val="20"/>
        </w:rPr>
        <w:t xml:space="preserve">Z drugim členom se v tej zvezi določa tudi, da lahko </w:t>
      </w:r>
      <w:r w:rsidRPr="00215B2F">
        <w:rPr>
          <w:rFonts w:ascii="Arial" w:hAnsi="Arial" w:cs="Arial"/>
          <w:bCs/>
          <w:sz w:val="20"/>
          <w:szCs w:val="20"/>
        </w:rPr>
        <w:t xml:space="preserve">Banka Slovenije z odredbo določi začasne omejitve poslovanja dejavnosti banke. </w:t>
      </w:r>
    </w:p>
    <w:p w14:paraId="4A33B17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C2C1C70" w14:textId="447D7CF6"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Razlogi za verjetni propad banke so določeni v 69. členu Zakona o reševanju in prisilnem prenehanju bank (Uradni list RS, št. 92/21</w:t>
      </w:r>
      <w:r w:rsidR="00FF0A15" w:rsidRPr="00215B2F">
        <w:rPr>
          <w:rFonts w:cs="Arial"/>
          <w:sz w:val="20"/>
          <w:szCs w:val="20"/>
        </w:rPr>
        <w:t>, 133/23 in 102/24)</w:t>
      </w:r>
      <w:r w:rsidRPr="00215B2F">
        <w:rPr>
          <w:rFonts w:cs="Arial"/>
          <w:sz w:val="20"/>
          <w:szCs w:val="20"/>
        </w:rPr>
        <w:t xml:space="preserve">; v nadaljnjem besedilu: ZRPPB-1), za sprejetje odločitve pa je pristojna Banka Slovenije oziroma </w:t>
      </w:r>
      <w:r w:rsidRPr="00215B2F">
        <w:rPr>
          <w:rFonts w:eastAsia="Arial" w:cs="Arial"/>
          <w:sz w:val="20"/>
          <w:szCs w:val="20"/>
        </w:rPr>
        <w:t>ECB,</w:t>
      </w:r>
      <w:r w:rsidRPr="00215B2F">
        <w:rPr>
          <w:rFonts w:cs="Arial"/>
          <w:sz w:val="20"/>
          <w:szCs w:val="20"/>
        </w:rPr>
        <w:t xml:space="preserve"> upoštevaje razmejitev pristojnosti v skladu z Uredbo (EU) št. 1024/2013 (torej Banka Slovenije za lokalne sistemske institucije in </w:t>
      </w:r>
      <w:r w:rsidRPr="00215B2F">
        <w:rPr>
          <w:rFonts w:eastAsia="Arial" w:cs="Arial"/>
          <w:sz w:val="20"/>
          <w:szCs w:val="20"/>
        </w:rPr>
        <w:t>ECB</w:t>
      </w:r>
      <w:r w:rsidRPr="00215B2F">
        <w:rPr>
          <w:rFonts w:cs="Arial"/>
          <w:sz w:val="20"/>
          <w:szCs w:val="20"/>
        </w:rPr>
        <w:t xml:space="preserve"> za sistemske institucije). Sama odločitev nima neposrednih posledic za banko, omogoča pa izvajanje nadaljnjih ukrepov oziroma pristojnosti v skladu z ZRPPB-1 in ZBan-3. Navedeno je pomembno zlasti, kadar niso izpolnjeni pogoji za reševanje in predmetni odločitvi sledi postopek prisilne likvidacije, ki se v skladu z drugim odstavkom 173. člena ZRPPB-1 začne šele, ko </w:t>
      </w:r>
      <w:r w:rsidRPr="00215B2F">
        <w:rPr>
          <w:rFonts w:eastAsia="Arial" w:cs="Arial"/>
          <w:sz w:val="20"/>
          <w:szCs w:val="20"/>
        </w:rPr>
        <w:t>ECB</w:t>
      </w:r>
      <w:r w:rsidRPr="00215B2F">
        <w:rPr>
          <w:rFonts w:cs="Arial"/>
          <w:sz w:val="20"/>
          <w:szCs w:val="20"/>
        </w:rPr>
        <w:t xml:space="preserve"> odvzame banki dovoljenje za opravljanje storitev oziroma to preneha. Odločitev o odvzemu dovoljenja zahteva namreč kar nekaj časa, zato je pomembno, da ima pristojni nadzorni organ v vmesnem času na voljo dodatne ukrepe, s katerimi omeji morebitne škodljive posledice, ki bi lahko nastale pri poslovanju banke. Dodatni ukrepi tako določajo možnosti ukrepanja Banke Slovenije v času od sprejetja odločitve za propad ali verjetni propad banke do odločitve o reševanju ali likvidaciji oziroma do začetka postopka likvidacije. Podobno ureditev ima na primer tudi Avstrija.</w:t>
      </w:r>
    </w:p>
    <w:p w14:paraId="034BD85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FAAF9C9" w14:textId="77777777" w:rsidR="00952BDE" w:rsidRPr="00215B2F" w:rsidRDefault="00952BDE" w:rsidP="00952BDE">
      <w:pPr>
        <w:shd w:val="clear" w:color="auto" w:fill="FFFFFF" w:themeFill="background1"/>
        <w:spacing w:after="0" w:line="240" w:lineRule="auto"/>
        <w:jc w:val="both"/>
        <w:rPr>
          <w:rFonts w:ascii="Arial" w:hAnsi="Arial" w:cs="Arial"/>
          <w:sz w:val="20"/>
          <w:szCs w:val="20"/>
        </w:rPr>
      </w:pPr>
      <w:r w:rsidRPr="00215B2F">
        <w:rPr>
          <w:rFonts w:ascii="Arial" w:eastAsia="Arial" w:hAnsi="Arial" w:cs="Arial"/>
          <w:sz w:val="20"/>
          <w:szCs w:val="20"/>
        </w:rPr>
        <w:t xml:space="preserve">S tretjim odstavkom se določa, da se za začasno omejitev poslovanja se smiselno uporabljajo četrti do sedmi odstavek 348. člena tega zakona. </w:t>
      </w:r>
      <w:r w:rsidRPr="00215B2F">
        <w:rPr>
          <w:rFonts w:ascii="Arial" w:hAnsi="Arial" w:cs="Arial"/>
          <w:sz w:val="20"/>
          <w:szCs w:val="20"/>
        </w:rPr>
        <w:t>Gre za podobno ureditev, kot trenutno velja za ukrepe zgodnjega posredovanja, in sicer da uporaba ukrepa sama po sebi ne pomeni dogodka neplačila, če se obveznosti še naprej izpolnjujejo, (da uporaba ukrepa, če se obveznosti še naprej izpolnjujejo, ne omogoča pravice do odpovedi, mirovanja, spremembe, izravnave ali pobota da zgornje določbe ne posegajo v pravico posameznika, da uveljavlja dogodek neizpolnitve ali pravico do odstopa, mirovanja, spremembe, izravnave ali pobota, če razlog za to ni izključno uporaba ukrepov iz tega odstavka.</w:t>
      </w:r>
    </w:p>
    <w:p w14:paraId="2D1F66CA" w14:textId="77777777" w:rsidR="00284F53" w:rsidRPr="00215B2F" w:rsidRDefault="00284F53" w:rsidP="0010347E">
      <w:pPr>
        <w:pStyle w:val="Odstavek"/>
        <w:shd w:val="clear" w:color="auto" w:fill="FFFFFF" w:themeFill="background1"/>
        <w:spacing w:before="0"/>
        <w:ind w:firstLine="0"/>
        <w:rPr>
          <w:rFonts w:cs="Arial"/>
          <w:sz w:val="20"/>
          <w:szCs w:val="20"/>
        </w:rPr>
      </w:pPr>
    </w:p>
    <w:p w14:paraId="0FB771C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_Ref202967374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360</w:t>
      </w:r>
      <w:r w:rsidRPr="00215B2F">
        <w:rPr>
          <w:rFonts w:ascii="Arial" w:hAnsi="Arial" w:cs="Arial"/>
          <w:b/>
          <w:bCs/>
          <w:sz w:val="20"/>
          <w:szCs w:val="20"/>
        </w:rPr>
        <w:fldChar w:fldCharType="end"/>
      </w:r>
      <w:r w:rsidRPr="00215B2F">
        <w:rPr>
          <w:rFonts w:ascii="Arial" w:hAnsi="Arial" w:cs="Arial"/>
          <w:b/>
          <w:bCs/>
          <w:sz w:val="20"/>
          <w:szCs w:val="20"/>
        </w:rPr>
        <w:t>. členu (veljavni 293. člen ZBan-3)</w:t>
      </w:r>
    </w:p>
    <w:p w14:paraId="0B948F8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D53DDCD" w14:textId="65FB51DD"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ZBan-3 (293. člen) določa, da lahko Banka Slovenije odvzame dovoljenje za opravljanje bančnih storitev, če ta banka huje krši zakonodajo, zahtevane pogoje ali nadzorne ukrepe, in ni verjetno, da bo kršitve v primernem roku odpravila. Dovoljenje se lahko odvzame tudi zaradi neresničnih podatkov ob pridobitvi dovoljenja, neskladnosti z bonitetnimi zahtevami, neizpolnjevanja ukrepov Banke Slovenije, nezmožnosti izpolnjevanja obveznosti do upnikov, oviranja nadzora ali če nadrejena oseba banke ne ravna v skladu z bonitetnimi ali likvidnostnimi zahtevami. Če banka ne izpolnjuje pogojev za posamezne vrste poslov, se ji lahko ti prepovejo namesto odvzema dovoljenja. Banka Slovenije mora o resnih razlogih obvestiti pristojni organ za reševanje, ki lahko prepreči odvzem dovoljenja z izvedbo reševalnih ukrepov. Gre za prenos vsebine CRD (18. člen, 67. člen in drugi). </w:t>
      </w:r>
    </w:p>
    <w:p w14:paraId="7570E98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7BC852B" w14:textId="77777777"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r w:rsidRPr="00215B2F">
        <w:rPr>
          <w:rFonts w:ascii="Arial" w:hAnsi="Arial" w:cs="Arial"/>
          <w:sz w:val="20"/>
          <w:szCs w:val="20"/>
        </w:rPr>
        <w:t xml:space="preserve">S predlogom zakona se (glede na ZBan-3) dodatno določa, da se </w:t>
      </w:r>
      <w:r w:rsidRPr="00215B2F">
        <w:rPr>
          <w:rFonts w:ascii="Arial" w:eastAsia="Arial" w:hAnsi="Arial" w:cs="Arial"/>
          <w:sz w:val="20"/>
          <w:szCs w:val="20"/>
        </w:rPr>
        <w:t>dovoljenje za opravljanje bančnih storitev lahko odvzame, če so izpolnjeni vsi naslednji pogoji (9. točka drugega odstavka):</w:t>
      </w:r>
    </w:p>
    <w:p w14:paraId="664D65E9" w14:textId="77777777"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p>
    <w:p w14:paraId="424B8AB0" w14:textId="77777777" w:rsidR="0010347E" w:rsidRPr="00215B2F" w:rsidRDefault="0010347E" w:rsidP="003D4DE0">
      <w:pPr>
        <w:pStyle w:val="Odstavekseznama"/>
        <w:numPr>
          <w:ilvl w:val="0"/>
          <w:numId w:val="347"/>
        </w:num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banka v skladu s 1. točko prvega odstavka 68. člena ZRPPB-1 oziroma člena 32(1), točka (a), Direktive 2014/59/EU ali v skladu s členom 18(1), točka (a), Uredbe 806/2014/EU propada ali bo verjetno propadla;</w:t>
      </w:r>
    </w:p>
    <w:p w14:paraId="6714631E" w14:textId="77777777" w:rsidR="0010347E" w:rsidRPr="00215B2F" w:rsidRDefault="0010347E" w:rsidP="003D4DE0">
      <w:pPr>
        <w:pStyle w:val="Odstavekseznama"/>
        <w:numPr>
          <w:ilvl w:val="0"/>
          <w:numId w:val="347"/>
        </w:num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v zvezi z banko je izpolnjen pogoj iz 2. točke prvega odstavka 68. člena ZRPPB-1 oziroma člena 32(1), točka (b), Direktive 2014/59/EU ali iz člena 18(1), točka (b), Uredbe 806/2014/EU; </w:t>
      </w:r>
    </w:p>
    <w:p w14:paraId="142B664B" w14:textId="77777777" w:rsidR="0010347E" w:rsidRPr="00215B2F" w:rsidRDefault="0010347E" w:rsidP="003D4DE0">
      <w:pPr>
        <w:pStyle w:val="Odstavekseznama"/>
        <w:numPr>
          <w:ilvl w:val="0"/>
          <w:numId w:val="347"/>
        </w:num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v zvezi z banko ni izpolnjen pogoj iz 3. točke prvega odstavka 68. člena ZRPPB-1 oziroma člena 32(1), točka (c), Direktive 2014/59/EU ali iz člena 18(1), točka (c), Uredbe 806/2014/EU.</w:t>
      </w:r>
    </w:p>
    <w:p w14:paraId="60001067" w14:textId="77777777"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p>
    <w:p w14:paraId="7D82325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Gre za prenos 18. člena CRD (prvi odstavek, točka g).</w:t>
      </w:r>
    </w:p>
    <w:p w14:paraId="06D2BF5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E02AD2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_Ref202967386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361</w:t>
      </w:r>
      <w:r w:rsidRPr="00215B2F">
        <w:rPr>
          <w:rFonts w:ascii="Arial" w:hAnsi="Arial" w:cs="Arial"/>
          <w:b/>
          <w:bCs/>
          <w:sz w:val="20"/>
          <w:szCs w:val="20"/>
        </w:rPr>
        <w:fldChar w:fldCharType="end"/>
      </w:r>
      <w:r w:rsidRPr="00215B2F">
        <w:rPr>
          <w:rFonts w:ascii="Arial" w:hAnsi="Arial" w:cs="Arial"/>
          <w:b/>
          <w:bCs/>
          <w:sz w:val="20"/>
          <w:szCs w:val="20"/>
        </w:rPr>
        <w:t>. členu (veljavni 294. člen ZBan-3)</w:t>
      </w:r>
    </w:p>
    <w:p w14:paraId="27B91DB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3B4BA1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(294. člen) ni vsebinskih sprememb. S členom se določijo razlogi, zaradi katerih se banki odvzame dovoljenje za opravljanje finančnih ali dodatnih finančnih storitev. Podobno kot v primeru opravljanja bančnih storitev je tudi v primeru opravljanja finančnih in dodatnih finančnih storitev pod določenimi pogoji mogoč le izrek prepovedi opravljati posamezne posle iz naslova finančnih ali dodatnih finančnih storitev.</w:t>
      </w:r>
    </w:p>
    <w:p w14:paraId="4753ACF7"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701F6AC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_Ref202967421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362</w:t>
      </w:r>
      <w:r w:rsidRPr="00215B2F">
        <w:rPr>
          <w:rFonts w:ascii="Arial" w:hAnsi="Arial" w:cs="Arial"/>
          <w:b/>
          <w:bCs/>
          <w:sz w:val="20"/>
          <w:szCs w:val="20"/>
        </w:rPr>
        <w:fldChar w:fldCharType="end"/>
      </w:r>
      <w:r w:rsidRPr="00215B2F">
        <w:rPr>
          <w:rFonts w:ascii="Arial" w:hAnsi="Arial" w:cs="Arial"/>
          <w:b/>
          <w:bCs/>
          <w:sz w:val="20"/>
          <w:szCs w:val="20"/>
        </w:rPr>
        <w:t>. členu (veljavni 294.a člen ZBan-3)</w:t>
      </w:r>
    </w:p>
    <w:p w14:paraId="005129F8"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44C3CD5C" w14:textId="77777777" w:rsidR="0010347E" w:rsidRPr="00215B2F" w:rsidRDefault="0010347E" w:rsidP="0010347E">
      <w:pPr>
        <w:pStyle w:val="tevilnatoka"/>
        <w:numPr>
          <w:ilvl w:val="0"/>
          <w:numId w:val="0"/>
        </w:numPr>
        <w:shd w:val="clear" w:color="auto" w:fill="FFFFFF" w:themeFill="background1"/>
        <w:rPr>
          <w:rFonts w:cs="Arial"/>
          <w:b/>
          <w:sz w:val="20"/>
          <w:szCs w:val="20"/>
        </w:rPr>
      </w:pPr>
      <w:r w:rsidRPr="00215B2F">
        <w:rPr>
          <w:rFonts w:cs="Arial"/>
          <w:sz w:val="20"/>
          <w:szCs w:val="20"/>
        </w:rPr>
        <w:t xml:space="preserve">V primerjavi z ZBan-3 (294.a člen) ni vsebinskih sprememb. S členom se ureja odvzem dovoljenja za opravljanje investicijskih </w:t>
      </w:r>
      <w:r w:rsidRPr="00215B2F">
        <w:rPr>
          <w:rFonts w:cs="Arial"/>
          <w:bCs/>
          <w:sz w:val="20"/>
          <w:szCs w:val="20"/>
        </w:rPr>
        <w:t>storitev in poslov</w:t>
      </w:r>
      <w:r w:rsidRPr="00215B2F">
        <w:rPr>
          <w:rFonts w:cs="Arial"/>
          <w:sz w:val="20"/>
          <w:szCs w:val="20"/>
        </w:rPr>
        <w:t xml:space="preserve"> iz 3. in 6. točke prvega odstavka 11. člena zakona, ki ureja trg finančnih instrumentov. Člen je vsebinsko podoben členu glede odvzema dovoljenja za opravljanje finančnih storitev in dodatnih finančnih storitev, le da je smiselno prilagojen izključno za kreditne družbe. S členom se določa, kdaj lahko Banka Slovenije odvzame kreditni družbi dovoljenje za opravljanje investicijskih </w:t>
      </w:r>
      <w:r w:rsidRPr="00215B2F">
        <w:rPr>
          <w:rFonts w:cs="Arial"/>
          <w:bCs/>
          <w:sz w:val="20"/>
          <w:szCs w:val="20"/>
        </w:rPr>
        <w:t xml:space="preserve">storitev in poslov </w:t>
      </w:r>
      <w:r w:rsidRPr="00215B2F">
        <w:rPr>
          <w:rFonts w:cs="Arial"/>
          <w:sz w:val="20"/>
          <w:szCs w:val="20"/>
        </w:rPr>
        <w:t>iz 3. in 6. točke prvega odstavka 11. člena zakona, ki ureja trg finančnih instrumentov. Gre za prenos sedmega odstavka 62. člena Direktive 2019/2034/EU (sprememba 18. člena Direktive 2013/36/EU).</w:t>
      </w:r>
    </w:p>
    <w:p w14:paraId="26AA1A1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6B7BA2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_Ref202967429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363</w:t>
      </w:r>
      <w:r w:rsidRPr="00215B2F">
        <w:rPr>
          <w:rFonts w:ascii="Arial" w:hAnsi="Arial" w:cs="Arial"/>
          <w:b/>
          <w:bCs/>
          <w:sz w:val="20"/>
          <w:szCs w:val="20"/>
        </w:rPr>
        <w:fldChar w:fldCharType="end"/>
      </w:r>
      <w:r w:rsidRPr="00215B2F">
        <w:rPr>
          <w:rFonts w:ascii="Arial" w:hAnsi="Arial" w:cs="Arial"/>
          <w:b/>
          <w:bCs/>
          <w:sz w:val="20"/>
          <w:szCs w:val="20"/>
        </w:rPr>
        <w:t>. členu (veljavni 295. člen ZBan-3)</w:t>
      </w:r>
    </w:p>
    <w:p w14:paraId="316D1CD2"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41F7760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(295. člen) ni vsebinskih sprememb. V členu je urejena možnost izreka milejšega ukrepa, in sicer pogojni odvzem dovoljenja in tudi njegov preklic, če banka v preizkusni dobi stori novo kršitev, zaradi katere je mogoče odvzeti dovoljenje, ali če ne izpolni dodatnih pogojev iz drugega odstavka tega člena.</w:t>
      </w:r>
    </w:p>
    <w:p w14:paraId="4D7817A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32F459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_Ref202967436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364</w:t>
      </w:r>
      <w:r w:rsidRPr="00215B2F">
        <w:rPr>
          <w:rFonts w:ascii="Arial" w:hAnsi="Arial" w:cs="Arial"/>
          <w:b/>
          <w:bCs/>
          <w:sz w:val="20"/>
          <w:szCs w:val="20"/>
        </w:rPr>
        <w:fldChar w:fldCharType="end"/>
      </w:r>
      <w:r w:rsidRPr="00215B2F">
        <w:rPr>
          <w:rFonts w:ascii="Arial" w:hAnsi="Arial" w:cs="Arial"/>
          <w:b/>
          <w:bCs/>
          <w:sz w:val="20"/>
          <w:szCs w:val="20"/>
        </w:rPr>
        <w:t>. členu (veljavni 296. člen ZBan-3)</w:t>
      </w:r>
    </w:p>
    <w:p w14:paraId="178DA45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FE6B2C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Spremembe (veljavnega 296. člena ZBan-3) sledijo konceptu prilagoditve določb o kvalificiranih imetnikih. S členom se določa, da odločba o nenasprotovanju preneha veljati, če kvalificirani imetnik kot nadrejena družba ali finančni holding ne odpravi kršitev zakonskih obveznosti kljub ukazom pristojnih organov ali če Banka Slovenije ugotovi druge razloge za nasprotovanje kvalificiranemu deležu. Pravne posledice odvzema dovoljenja za kvalificirani delež začnejo veljati z dokončnostjo te odločbe.</w:t>
      </w:r>
    </w:p>
    <w:p w14:paraId="4065BBA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9DD18C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_Ref202967443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365</w:t>
      </w:r>
      <w:r w:rsidRPr="00215B2F">
        <w:rPr>
          <w:rFonts w:ascii="Arial" w:hAnsi="Arial" w:cs="Arial"/>
          <w:b/>
          <w:bCs/>
          <w:sz w:val="20"/>
          <w:szCs w:val="20"/>
        </w:rPr>
        <w:fldChar w:fldCharType="end"/>
      </w:r>
      <w:r w:rsidRPr="00215B2F">
        <w:rPr>
          <w:rFonts w:ascii="Arial" w:hAnsi="Arial" w:cs="Arial"/>
          <w:b/>
          <w:bCs/>
          <w:sz w:val="20"/>
          <w:szCs w:val="20"/>
        </w:rPr>
        <w:t>. členu (veljavni 297. člen ZBan-3)</w:t>
      </w:r>
    </w:p>
    <w:p w14:paraId="520CC16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E64FD0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Spremembe (veljavnega 297. člena ZBan-3) sledijo konceptu prilagoditve določb o kvalificiranih imetnikih. Banka Slovenije lahko z odredbo naloži imetniku kvalificiranega deleža, ki nima veljavne odločitve o nenasprotovanju za ta delež, da ta delež odsvoji v roku od 3 do 6 mesecev. Enaka pravila veljajo tudi, če je bila zahteva za oceno primernosti zavrnjena, umaknjena ali če je odločitev o nenasprotovanju prenehala veljati zaradi spremenjenih okoliščin. Določbe o odredbi se uporabljajo tudi za odredbo o odsvojitvi deleža.</w:t>
      </w:r>
    </w:p>
    <w:p w14:paraId="134B3F7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8CDCCB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_Ref202967450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366</w:t>
      </w:r>
      <w:r w:rsidRPr="00215B2F">
        <w:rPr>
          <w:rFonts w:ascii="Arial" w:hAnsi="Arial" w:cs="Arial"/>
          <w:b/>
          <w:bCs/>
          <w:sz w:val="20"/>
          <w:szCs w:val="20"/>
        </w:rPr>
        <w:fldChar w:fldCharType="end"/>
      </w:r>
      <w:r w:rsidRPr="00215B2F">
        <w:rPr>
          <w:rFonts w:ascii="Arial" w:hAnsi="Arial" w:cs="Arial"/>
          <w:b/>
          <w:bCs/>
          <w:sz w:val="20"/>
          <w:szCs w:val="20"/>
        </w:rPr>
        <w:t>. členu (veljavni 298. člen ZBan-3)</w:t>
      </w:r>
    </w:p>
    <w:p w14:paraId="1A3322DC"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36CD0300" w14:textId="77777777" w:rsidR="0010347E" w:rsidRPr="00215B2F" w:rsidRDefault="0010347E" w:rsidP="0010347E">
      <w:pPr>
        <w:pStyle w:val="tevilnatoka"/>
        <w:numPr>
          <w:ilvl w:val="0"/>
          <w:numId w:val="0"/>
        </w:numPr>
        <w:shd w:val="clear" w:color="auto" w:fill="FFFFFF" w:themeFill="background1"/>
        <w:rPr>
          <w:rFonts w:cs="Arial"/>
          <w:sz w:val="20"/>
          <w:szCs w:val="20"/>
        </w:rPr>
      </w:pPr>
      <w:r w:rsidRPr="00215B2F">
        <w:rPr>
          <w:rFonts w:cs="Arial"/>
          <w:sz w:val="20"/>
          <w:szCs w:val="20"/>
        </w:rPr>
        <w:t>Spremembe (veljavnega 298. člena ZBan-3) sledijo konceptu prilagoditve določb o kvalificiranih imetnikih. Imetnik kvalificiranega deleža, ki mu je bila naložena odsvojitev deleža, mora do roka v odredbi predložiti Banki Slovenije poročilo z dokazi o odsvojitvi in podatki o pridobitelju deleža. Banka lahko pridobitelja pozove, da pojasni, ali je delež pridobil zase ali za drugega, in zahteva dodatne dokaze. Če Banka Slovenije ugotovi, da je delež pridobljen nezakonito, a je bil odsvojen pred odredbo ali je pridobitelj imel dovoljenje, lahko izda ugotovitveno odločbo, da je kršitev odpravljena. Pred izdajo te odločbe Banka Slovenije pisno obvesti imetnika o ugotovitvah in mu omogoči, da se izjavi.</w:t>
      </w:r>
    </w:p>
    <w:p w14:paraId="71F8EFD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616DB7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_Ref202967502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367</w:t>
      </w:r>
      <w:r w:rsidRPr="00215B2F">
        <w:rPr>
          <w:rFonts w:ascii="Arial" w:hAnsi="Arial" w:cs="Arial"/>
          <w:b/>
          <w:bCs/>
          <w:sz w:val="20"/>
          <w:szCs w:val="20"/>
        </w:rPr>
        <w:fldChar w:fldCharType="end"/>
      </w:r>
      <w:r w:rsidRPr="00215B2F">
        <w:rPr>
          <w:rFonts w:ascii="Arial" w:hAnsi="Arial" w:cs="Arial"/>
          <w:b/>
          <w:bCs/>
          <w:sz w:val="20"/>
          <w:szCs w:val="20"/>
        </w:rPr>
        <w:t>. členu (veljavni 300. člen ZBan-3)</w:t>
      </w:r>
    </w:p>
    <w:p w14:paraId="65EE002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Spremembe (veljavnega 300. člena ZBan-3) sledijo konceptu prilagoditve določb o kvalificiranih imetnikih. Če neposredni imetnik kvalificiranega deleža ne odsvoji deleža v določenem roku ali če ima neupravičenega pridobitelja, Banka Slovenije izda odločbo, s katero prepove imetniku in neupravičenim pridobiteljem uresničevanje vseh pravic iz teh delnic. Po izdaji te odločbe lahko skupaj uresničujejo pravice le iz omejenega števila delnic. Odločba vsebuje podatke o imetniku, morebitnih neupravičenih pridobiteljih in število delnic za uresničevanje pravic. Banka mora spoštovati odločbo in ne dovoliti uresničevanja pravic iz teh delnic. Če je banka medtem izplačala dividendo za te delnice, jo mora vrniti novemu imetniku v osmih dneh po prejemu obvestila o pridobitvi delnic.</w:t>
      </w:r>
    </w:p>
    <w:p w14:paraId="7689B51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BF5C931"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_Ref202967685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368</w:t>
      </w:r>
      <w:r w:rsidRPr="00215B2F">
        <w:rPr>
          <w:rFonts w:cs="Arial"/>
          <w:b/>
          <w:bCs/>
          <w:sz w:val="20"/>
          <w:szCs w:val="20"/>
        </w:rPr>
        <w:fldChar w:fldCharType="end"/>
      </w:r>
      <w:r w:rsidRPr="00215B2F">
        <w:rPr>
          <w:rFonts w:cs="Arial"/>
          <w:b/>
          <w:bCs/>
          <w:sz w:val="20"/>
          <w:szCs w:val="20"/>
        </w:rPr>
        <w:t>. členu (veljavni 301. člen ZBan-3)</w:t>
      </w:r>
    </w:p>
    <w:p w14:paraId="3F34245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E63A2CE"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Spremembe (veljavnega 301. člena ZBan-3) sledijo konceptu prilagoditve določb o kvalificiranih imetnikih. Če neupravičeni imetnik delnic v šestih mesecih po pravnomočni odločbi o prepovedi </w:t>
      </w:r>
      <w:r w:rsidRPr="00215B2F">
        <w:rPr>
          <w:rFonts w:cs="Arial"/>
          <w:sz w:val="20"/>
          <w:szCs w:val="20"/>
        </w:rPr>
        <w:lastRenderedPageBreak/>
        <w:t>uresničevanja pravic ne odsvoji delnic, Banka Slovenije izda odločbo o prisilni prodaji teh delnic. Prodaja poteka z rubežem, prodajo in prenosom delnic. V odločbi Banka Slovenije določi neupravičenega imetnika, delnice za prodajo, skrbnika prodaje (npr. investicijsko podjetje ali odvetnika), višino nadomestila za skrbnika ter morebitne pogoje prodaje. Odločba se vroči tudi klirinško-depotni družbi, ki vpiše prepoved razpolaganja in druge podatke o prodaji. Prodaja mora potekati pregledno, pošteno, brez favoriziranja, pod tržnimi pogoji in s ciljem doseči najvišjo možno ceno. Kupec kvalificiranega deleža mora imeti dovoljenje Banke Slovenije. Skrbnik za prodajo redno poroča Banki Slovenije.</w:t>
      </w:r>
    </w:p>
    <w:p w14:paraId="5F699A5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151FB5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_Ref202967537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369</w:t>
      </w:r>
      <w:r w:rsidRPr="00215B2F">
        <w:rPr>
          <w:rFonts w:ascii="Arial" w:hAnsi="Arial" w:cs="Arial"/>
          <w:b/>
          <w:bCs/>
          <w:sz w:val="20"/>
          <w:szCs w:val="20"/>
        </w:rPr>
        <w:fldChar w:fldCharType="end"/>
      </w:r>
      <w:r w:rsidRPr="00215B2F">
        <w:rPr>
          <w:rFonts w:ascii="Arial" w:hAnsi="Arial" w:cs="Arial"/>
          <w:b/>
          <w:bCs/>
          <w:sz w:val="20"/>
          <w:szCs w:val="20"/>
        </w:rPr>
        <w:t>. členu</w:t>
      </w:r>
    </w:p>
    <w:p w14:paraId="7123A08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ED335BC"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Rubež delnic se izvede z vpisom odločbe o prisilni prodaji v centralni register. Če so delnice uvrščene na organizirani trg, jih proda pooblaščeni skrbnik prek trga v sodelovanju s klirinško-depotno družbo. Če delnice niso uvrščene na trg, se prodajo z neposredno pogodbo ali na javni dražbi, ob upoštevanju pravil izvršbe. Banka Slovenije potrdi prodajo z odločbo, ki omogoča prenos v register. S prenosom se izbriše prepoved razpolaganja. Če prodaja ni uspešna v razumnem roku, se postopek ustavi, a to ne preprečuje nove prisilne prodaje, če so pogoji ponovno izpolnjeni.</w:t>
      </w:r>
    </w:p>
    <w:p w14:paraId="07C1588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F6DBD7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_Ref202967553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370</w:t>
      </w:r>
      <w:r w:rsidRPr="00215B2F">
        <w:rPr>
          <w:rFonts w:ascii="Arial" w:hAnsi="Arial" w:cs="Arial"/>
          <w:b/>
          <w:bCs/>
          <w:sz w:val="20"/>
          <w:szCs w:val="20"/>
        </w:rPr>
        <w:fldChar w:fldCharType="end"/>
      </w:r>
      <w:r w:rsidRPr="00215B2F">
        <w:rPr>
          <w:rFonts w:ascii="Arial" w:hAnsi="Arial" w:cs="Arial"/>
          <w:b/>
          <w:bCs/>
          <w:sz w:val="20"/>
          <w:szCs w:val="20"/>
        </w:rPr>
        <w:t>. členu</w:t>
      </w:r>
    </w:p>
    <w:p w14:paraId="500A14D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DCF1038"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zahteva od neposrednega neupravičenega imetnika delnic povračilo vseh stroškov, povezanih s prisilno prodajo delnic. Upoštevajo se dejanski stroški, kot so: nadomestilo za delo skrbnika, cenitev, postopek prodaje in prenosa delnic ter najem strokovnjakov. Skrbnik mora stroške priglasiti v enem mesecu po odločbi o prenosu delnic. Banka Slovenije nato s sklepom odloči o višini stroškov, zoper sklep je možen posebni sodni postopek. Neupravičenemu imetniku se izkupiček prodaje izplača zmanjšan za te stroške.</w:t>
      </w:r>
    </w:p>
    <w:p w14:paraId="7BADF51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B9FFE1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_Ref202967568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371</w:t>
      </w:r>
      <w:r w:rsidRPr="00215B2F">
        <w:rPr>
          <w:rFonts w:ascii="Arial" w:hAnsi="Arial" w:cs="Arial"/>
          <w:b/>
          <w:bCs/>
          <w:sz w:val="20"/>
          <w:szCs w:val="20"/>
        </w:rPr>
        <w:fldChar w:fldCharType="end"/>
      </w:r>
      <w:r w:rsidRPr="00215B2F">
        <w:rPr>
          <w:rFonts w:ascii="Arial" w:hAnsi="Arial" w:cs="Arial"/>
          <w:b/>
          <w:bCs/>
          <w:sz w:val="20"/>
          <w:szCs w:val="20"/>
        </w:rPr>
        <w:t>. členu</w:t>
      </w:r>
    </w:p>
    <w:p w14:paraId="23E2D17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F8B2676"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Neupravičeni imetnik delnic lahko med postopkom prisilne prodaje predlaga prodajo delnic izbranemu kupcu z neposredno pogodbo. Predlog skupaj s pogodbo pošlje Banki Slovenije in skrbniku za prodajo. Če gre za kvalificirani delež, mora kupec imeti ustrezno dovoljenje. Banka Slovenije lahko preveri, ali kupec delnice pridobiva zase ali za drugega. Če ni poskusa izogibanja pravilom o kvalificiranih deležih, Banka Slovenije prodajo potrdi z odločbo. Stroški prodaje se povrnejo.</w:t>
      </w:r>
    </w:p>
    <w:p w14:paraId="284F615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8565D1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_Ref202967728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372</w:t>
      </w:r>
      <w:r w:rsidRPr="00215B2F">
        <w:rPr>
          <w:rFonts w:ascii="Arial" w:hAnsi="Arial" w:cs="Arial"/>
          <w:b/>
          <w:bCs/>
          <w:sz w:val="20"/>
          <w:szCs w:val="20"/>
        </w:rPr>
        <w:fldChar w:fldCharType="end"/>
      </w:r>
      <w:r w:rsidRPr="00215B2F">
        <w:rPr>
          <w:rFonts w:ascii="Arial" w:hAnsi="Arial" w:cs="Arial"/>
          <w:b/>
          <w:bCs/>
          <w:sz w:val="20"/>
          <w:szCs w:val="20"/>
        </w:rPr>
        <w:t>. členu (veljavni 302. člen ZBan-3)</w:t>
      </w:r>
    </w:p>
    <w:p w14:paraId="743CFE75"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62FAD1E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(302. člen) ni vsebinskih sprememb. Določeni so ukrepi nadzora zoper člane upravljalnega organa banke. Prvi in najmilejši ukrep je izdaja odredbe, s katero Banka Slovenije članu upravljalnega organa banke naloži, da preneha določeno ravnanje ali odpravi ugotovljene kršitve. Banka Slovenije o tem obvesti nadzorni svet in upravo banke.</w:t>
      </w:r>
    </w:p>
    <w:p w14:paraId="4B54620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F41030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_Ref202967736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373</w:t>
      </w:r>
      <w:r w:rsidRPr="00215B2F">
        <w:rPr>
          <w:rFonts w:ascii="Arial" w:hAnsi="Arial" w:cs="Arial"/>
          <w:b/>
          <w:bCs/>
          <w:sz w:val="20"/>
          <w:szCs w:val="20"/>
        </w:rPr>
        <w:fldChar w:fldCharType="end"/>
      </w:r>
      <w:r w:rsidRPr="00215B2F">
        <w:rPr>
          <w:rFonts w:ascii="Arial" w:hAnsi="Arial" w:cs="Arial"/>
          <w:b/>
          <w:bCs/>
          <w:sz w:val="20"/>
          <w:szCs w:val="20"/>
        </w:rPr>
        <w:t>. členu (veljavni 303. člen ZBan-3)</w:t>
      </w:r>
    </w:p>
    <w:p w14:paraId="7C1DF9A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4FEB0D1" w14:textId="5A0D6A49"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(303. člen) ni vsebinskih sprememb. Ureditev razlogov za odvzem dovoljenja za opravljanje funkcije člana uprave je usklajena z ureditvijo obveznosti in odgovornosti uprave banke. Dovoljenje se tako odvzame, če je bilo pridobljeno z navajanjem neresničnih podatkov in je to bistveno vplivalo na odločitev o izdaji dovoljenja, če član ne izpolnjuje več pogojev za imenovanje ali če huje krši dolžnosti člana uprave. Člen tudi opredeljuje hujše kršitve dolžnosti člana uprave ter posvetovalno obveznost za Banko Slovenije v primeru, ko gre za izdajo odločbe o odvzemu dovoljenja za opravljanje funkcije </w:t>
      </w:r>
      <w:r w:rsidR="00882103" w:rsidRPr="00215B2F">
        <w:rPr>
          <w:rFonts w:ascii="Arial" w:hAnsi="Arial" w:cs="Arial"/>
          <w:sz w:val="20"/>
          <w:szCs w:val="20"/>
        </w:rPr>
        <w:t>člana uprave</w:t>
      </w:r>
      <w:r w:rsidRPr="00215B2F">
        <w:rPr>
          <w:rFonts w:ascii="Arial" w:hAnsi="Arial" w:cs="Arial"/>
          <w:sz w:val="20"/>
          <w:szCs w:val="20"/>
        </w:rPr>
        <w:t>, ki je vključena v skupino skupaj z bankami drugih držav članic.</w:t>
      </w:r>
    </w:p>
    <w:p w14:paraId="59D20A3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9DF5E2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_Ref202967743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374</w:t>
      </w:r>
      <w:r w:rsidRPr="00215B2F">
        <w:rPr>
          <w:rFonts w:ascii="Arial" w:hAnsi="Arial" w:cs="Arial"/>
          <w:b/>
          <w:bCs/>
          <w:sz w:val="20"/>
          <w:szCs w:val="20"/>
        </w:rPr>
        <w:fldChar w:fldCharType="end"/>
      </w:r>
      <w:r w:rsidRPr="00215B2F">
        <w:rPr>
          <w:rFonts w:ascii="Arial" w:hAnsi="Arial" w:cs="Arial"/>
          <w:b/>
          <w:bCs/>
          <w:sz w:val="20"/>
          <w:szCs w:val="20"/>
        </w:rPr>
        <w:t>. členu (veljavni 304. člen ZBan-3)</w:t>
      </w:r>
    </w:p>
    <w:p w14:paraId="392B435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BC396FB" w14:textId="3050CB62"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(304. člen) ni vsebinskih sprememb. S členom se ukrep odvzema dovoljenja za opravljanje funkcije </w:t>
      </w:r>
      <w:r w:rsidR="00882103" w:rsidRPr="00215B2F">
        <w:rPr>
          <w:rFonts w:ascii="Arial" w:hAnsi="Arial" w:cs="Arial"/>
          <w:sz w:val="20"/>
          <w:szCs w:val="20"/>
        </w:rPr>
        <w:t>člana uprave</w:t>
      </w:r>
      <w:r w:rsidRPr="00215B2F">
        <w:rPr>
          <w:rFonts w:ascii="Arial" w:hAnsi="Arial" w:cs="Arial"/>
          <w:sz w:val="20"/>
          <w:szCs w:val="20"/>
        </w:rPr>
        <w:t xml:space="preserve"> nekoliko omili, saj ima Banka Slovenije možnost, da v odločbi o odvzemu hkrati izreče, da se odvzem pod določenimi pogoji ne bo izvršil. </w:t>
      </w:r>
    </w:p>
    <w:p w14:paraId="2983F95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702715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_Ref202967752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375</w:t>
      </w:r>
      <w:r w:rsidRPr="00215B2F">
        <w:rPr>
          <w:rFonts w:ascii="Arial" w:hAnsi="Arial" w:cs="Arial"/>
          <w:b/>
          <w:bCs/>
          <w:sz w:val="20"/>
          <w:szCs w:val="20"/>
        </w:rPr>
        <w:fldChar w:fldCharType="end"/>
      </w:r>
      <w:r w:rsidRPr="00215B2F">
        <w:rPr>
          <w:rFonts w:ascii="Arial" w:hAnsi="Arial" w:cs="Arial"/>
          <w:b/>
          <w:bCs/>
          <w:sz w:val="20"/>
          <w:szCs w:val="20"/>
        </w:rPr>
        <w:t>. členu (veljavni 305. člen ZBan-3)</w:t>
      </w:r>
    </w:p>
    <w:p w14:paraId="43C35A3E"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3869E07B" w14:textId="3CE824F6"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lastRenderedPageBreak/>
        <w:t xml:space="preserve">V primerjavi z ZBan-3 (305. člen) ni vsebinskih sprememb. S členom se določa odvzem dovoljenja za opravljanje funkcije člana </w:t>
      </w:r>
      <w:r w:rsidR="00354135" w:rsidRPr="00215B2F">
        <w:rPr>
          <w:rFonts w:cs="Arial"/>
          <w:sz w:val="20"/>
          <w:szCs w:val="20"/>
        </w:rPr>
        <w:t>nadzornega sveta</w:t>
      </w:r>
      <w:r w:rsidRPr="00215B2F">
        <w:rPr>
          <w:rFonts w:cs="Arial"/>
          <w:sz w:val="20"/>
          <w:szCs w:val="20"/>
        </w:rPr>
        <w:t xml:space="preserve">. Na podlagi tega zakona Banka Slovenije članu nadzornega sveta z odločbo prepove opravljanje funkcije, če (i) </w:t>
      </w:r>
      <w:r w:rsidRPr="00215B2F">
        <w:rPr>
          <w:rFonts w:eastAsia="Arial" w:cs="Arial"/>
          <w:sz w:val="20"/>
          <w:szCs w:val="20"/>
        </w:rPr>
        <w:t>je bilo dovoljenje za opravljanje funkcije člana nadzornega sveta pridobljeno z navajanjem neresničnih podatkov in je to bistveno vplivalo na odločitev o izdaji dovoljenja,</w:t>
      </w:r>
      <w:r w:rsidRPr="00215B2F">
        <w:rPr>
          <w:rFonts w:cs="Arial"/>
          <w:sz w:val="20"/>
          <w:szCs w:val="20"/>
        </w:rPr>
        <w:t xml:space="preserve"> (i) član ob imenovanju ali po nastopu funkcije ne izpolnjuje več pogojev za imenovanje, (ii) imenovanje člana ni v skladu s tem zakonom ali (iii) član huje krši dolžnosti člana </w:t>
      </w:r>
      <w:r w:rsidR="00354135" w:rsidRPr="00215B2F">
        <w:rPr>
          <w:rFonts w:cs="Arial"/>
          <w:sz w:val="20"/>
          <w:szCs w:val="20"/>
        </w:rPr>
        <w:t>nadzornega sveta</w:t>
      </w:r>
      <w:r w:rsidRPr="00215B2F">
        <w:rPr>
          <w:rFonts w:cs="Arial"/>
          <w:sz w:val="20"/>
          <w:szCs w:val="20"/>
        </w:rPr>
        <w:t xml:space="preserve">. </w:t>
      </w:r>
    </w:p>
    <w:p w14:paraId="50D58DF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BB55C2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_Ref202967770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376</w:t>
      </w:r>
      <w:r w:rsidRPr="00215B2F">
        <w:rPr>
          <w:rFonts w:ascii="Arial" w:hAnsi="Arial" w:cs="Arial"/>
          <w:b/>
          <w:bCs/>
          <w:sz w:val="20"/>
          <w:szCs w:val="20"/>
        </w:rPr>
        <w:fldChar w:fldCharType="end"/>
      </w:r>
      <w:r w:rsidRPr="00215B2F">
        <w:rPr>
          <w:rFonts w:ascii="Arial" w:hAnsi="Arial" w:cs="Arial"/>
          <w:b/>
          <w:bCs/>
          <w:sz w:val="20"/>
          <w:szCs w:val="20"/>
        </w:rPr>
        <w:t>. členu</w:t>
      </w:r>
    </w:p>
    <w:p w14:paraId="679C5EC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4ED4E6F"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lahko pomembnemu nosilcu ključne funkcije z odločbo prepove opravljanje funkcije, če ne izpolnjuje več pogojev, pri čemer se za takšno odločbo smiselno uporabljajo določbe o odvzemu dovoljenja. Gre za prenos 91.a člena CRD (šesti odstavek, točka b).</w:t>
      </w:r>
    </w:p>
    <w:p w14:paraId="4EE6FD7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E96DC4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_Ref202967777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377</w:t>
      </w:r>
      <w:r w:rsidRPr="00215B2F">
        <w:rPr>
          <w:rFonts w:ascii="Arial" w:hAnsi="Arial" w:cs="Arial"/>
          <w:b/>
          <w:bCs/>
          <w:sz w:val="20"/>
          <w:szCs w:val="20"/>
        </w:rPr>
        <w:fldChar w:fldCharType="end"/>
      </w:r>
      <w:r w:rsidRPr="00215B2F">
        <w:rPr>
          <w:rFonts w:ascii="Arial" w:hAnsi="Arial" w:cs="Arial"/>
          <w:b/>
          <w:bCs/>
          <w:sz w:val="20"/>
          <w:szCs w:val="20"/>
        </w:rPr>
        <w:t>. členu (veljavni 306. člen ZBan-3)</w:t>
      </w:r>
    </w:p>
    <w:p w14:paraId="4C8C868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611A583" w14:textId="77777777" w:rsidR="0010347E" w:rsidRPr="00215B2F" w:rsidRDefault="0010347E" w:rsidP="0010347E">
      <w:pPr>
        <w:pStyle w:val="Odstavek"/>
        <w:shd w:val="clear" w:color="auto" w:fill="FFFFFF" w:themeFill="background1"/>
        <w:spacing w:before="0"/>
        <w:ind w:firstLine="0"/>
        <w:rPr>
          <w:rFonts w:cs="Arial"/>
        </w:rPr>
      </w:pPr>
      <w:r w:rsidRPr="00215B2F">
        <w:rPr>
          <w:rFonts w:cs="Arial"/>
          <w:sz w:val="20"/>
          <w:szCs w:val="20"/>
        </w:rPr>
        <w:t xml:space="preserve">V primerjavi z ZBan-3 (306. člen) ni vsebinskih sprememb. S členom se prenaša šesti odstavek 21.a člena CRD in določa odredba za vzpostavitev skladnosti. Če Banka Slovenije kot konsolidacijski nadzornik ugotovi, da finančni holding ali mešani finančni holding ne izpolnjuje več pogojev za odobritev, odredi, da finančni holding ali mešani finančni holding sprejme ukrepe, s katerimi se zagotovi oziroma ponovno vzpostavi kontinuiteta in celovitost konsolidiranega nadzora ter se zagotovi izpolnjevanje ustreznih zahtev. V okviru člena se podrobneje določa, kakšne ukrepe v zvezi z navedenim lahko odredi Banka Slovenije. Pri ukrepih v zvezi z mešanim finančnim holdingom Banka Slovenije upošteva njihov vpliv na finančni konglomerat. </w:t>
      </w:r>
    </w:p>
    <w:p w14:paraId="2E075C7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5ED02AB" w14:textId="77777777" w:rsidR="009C0FCF" w:rsidRPr="00215B2F" w:rsidRDefault="009C0FCF" w:rsidP="009C0FCF">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t xml:space="preserve">V četrtem odstavku je navedeno, da se za odredbo za vzpostavitev skladnosti smiselno uporabljajo določbe tega zakona o odredbi o odpravi kršitev. V zvezi s tem velja izpostaviti, da se uporabljajo tako določbe 10.3.1. in 10.3.2. podpoglavja. </w:t>
      </w:r>
    </w:p>
    <w:p w14:paraId="247B8EF1" w14:textId="77777777" w:rsidR="009C0FCF" w:rsidRPr="00215B2F" w:rsidRDefault="009C0FCF" w:rsidP="0010347E">
      <w:pPr>
        <w:pStyle w:val="Odstavek"/>
        <w:shd w:val="clear" w:color="auto" w:fill="FFFFFF" w:themeFill="background1"/>
        <w:spacing w:before="0"/>
        <w:ind w:firstLine="0"/>
        <w:rPr>
          <w:rFonts w:cs="Arial"/>
          <w:sz w:val="20"/>
          <w:szCs w:val="20"/>
        </w:rPr>
      </w:pPr>
    </w:p>
    <w:p w14:paraId="6B73452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_Ref202967793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378</w:t>
      </w:r>
      <w:r w:rsidRPr="00215B2F">
        <w:rPr>
          <w:rFonts w:ascii="Arial" w:hAnsi="Arial" w:cs="Arial"/>
          <w:b/>
          <w:bCs/>
          <w:sz w:val="20"/>
          <w:szCs w:val="20"/>
        </w:rPr>
        <w:fldChar w:fldCharType="end"/>
      </w:r>
      <w:r w:rsidRPr="00215B2F">
        <w:rPr>
          <w:rFonts w:ascii="Arial" w:hAnsi="Arial" w:cs="Arial"/>
          <w:b/>
          <w:bCs/>
          <w:sz w:val="20"/>
          <w:szCs w:val="20"/>
        </w:rPr>
        <w:t>. členu</w:t>
      </w:r>
    </w:p>
    <w:p w14:paraId="4031CA8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1338E8F"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Če pridobitelj pomembnega deleža – torej banka, finančni holding ali mešani finančni holding z ustrezno odobritvijo – ne vloži zahteve za oceno ustreznosti pred pridobitvijo deleža ali ga pridobi kljub nasprotovanju Banke Slovenije, mu ta začasno prepove uresničevanje glasovalnih pravic iz tega deleža, pri čemer so vse glasovalne pravice, ki jih kljub prepovedi uveljavlja, pravno nične. Gre za prenos 27.e člena CRD. </w:t>
      </w:r>
    </w:p>
    <w:p w14:paraId="41F0E4E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18A73C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_Ref202967796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379</w:t>
      </w:r>
      <w:r w:rsidRPr="00215B2F">
        <w:rPr>
          <w:rFonts w:ascii="Arial" w:hAnsi="Arial" w:cs="Arial"/>
          <w:b/>
          <w:bCs/>
          <w:sz w:val="20"/>
          <w:szCs w:val="20"/>
        </w:rPr>
        <w:fldChar w:fldCharType="end"/>
      </w:r>
      <w:r w:rsidRPr="00215B2F">
        <w:rPr>
          <w:rFonts w:ascii="Arial" w:hAnsi="Arial" w:cs="Arial"/>
          <w:b/>
          <w:bCs/>
          <w:sz w:val="20"/>
          <w:szCs w:val="20"/>
        </w:rPr>
        <w:t>. členu</w:t>
      </w:r>
    </w:p>
    <w:p w14:paraId="47881E1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BF723CF"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Če pridobitelj pomembnega deleža – banka, finančni holding ali mešani finančni holding z odobritvijo – ne vloži pravočasne zahteve za oceno ustreznosti ali pridobi delež kljub nasprotovanju Banke Slovenije, mu ta z odločbo določi rok za zmanjšanje, odsvojitev, preoblikovanje deleža ali vložitev zahteve; hkrati lahko Banka Slovenije z eno odločbo odloči tudi o prepovedi glasovalnih pravic in ukrepih za uskladitev, pri čemer prepoved glasovalnih pravic velja ne glede na rok za uskladitev, razen če ni odločeno drugače. Gre za prenos 48.d člena CRD (prvi, drugi in tretji odstavek) in 48.o člena CRD. </w:t>
      </w:r>
    </w:p>
    <w:p w14:paraId="632592A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378752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_Ref202967801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380</w:t>
      </w:r>
      <w:r w:rsidRPr="00215B2F">
        <w:rPr>
          <w:rFonts w:ascii="Arial" w:hAnsi="Arial" w:cs="Arial"/>
          <w:b/>
          <w:bCs/>
          <w:sz w:val="20"/>
          <w:szCs w:val="20"/>
        </w:rPr>
        <w:fldChar w:fldCharType="end"/>
      </w:r>
      <w:r w:rsidRPr="00215B2F">
        <w:rPr>
          <w:rFonts w:ascii="Arial" w:hAnsi="Arial" w:cs="Arial"/>
          <w:b/>
          <w:bCs/>
          <w:sz w:val="20"/>
          <w:szCs w:val="20"/>
        </w:rPr>
        <w:t>. členu</w:t>
      </w:r>
    </w:p>
    <w:p w14:paraId="2F321FA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0F4E0AC"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lahko podružnici banke iz tretje države z odredbo naloži zgodnje ukrepe za zagotovitev skladnosti z zakonodajo in Direktivo 2013/36/EU ter za preudarno upravljanje pomembnih tveganj in uspešno poslovanje; med temi ukrepi so lahko povečanje kapitala in likvidnosti nad minimalne zakonske zahteve, okrepitev upravljanja in nadzora tveganj, omejitve poslovanja, zmanjšanje tveganj, povezanih z dejavnostmi in produkti, dodatne zahteve glede poročanja in javnega razkrivanja podatkov, pri čemer se za te ukrepe uporabljajo pravila o odpravi kršitev. Gre za prenos 48.d člena CRD (prvi, drugi in tretji odstavek) in 48.o člena CRD.</w:t>
      </w:r>
    </w:p>
    <w:p w14:paraId="3D5BF74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C29717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_Ref202967811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381</w:t>
      </w:r>
      <w:r w:rsidRPr="00215B2F">
        <w:rPr>
          <w:rFonts w:ascii="Arial" w:hAnsi="Arial" w:cs="Arial"/>
          <w:b/>
          <w:bCs/>
          <w:sz w:val="20"/>
          <w:szCs w:val="20"/>
        </w:rPr>
        <w:fldChar w:fldCharType="end"/>
      </w:r>
      <w:r w:rsidRPr="00215B2F">
        <w:rPr>
          <w:rFonts w:ascii="Arial" w:hAnsi="Arial" w:cs="Arial"/>
          <w:b/>
          <w:bCs/>
          <w:sz w:val="20"/>
          <w:szCs w:val="20"/>
        </w:rPr>
        <w:t>. členu</w:t>
      </w:r>
    </w:p>
    <w:p w14:paraId="2CF3084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2912CB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odvzame dovoljenje podružnici iz tretje države, če ta ne izpolnjuje pogojev za izdajo dovoljenja ali če njena matična družba oz. skupina ne izpolnjuje bonitetnih zahtev ali obstaja utemeljeni </w:t>
      </w:r>
      <w:r w:rsidRPr="00215B2F">
        <w:rPr>
          <w:rFonts w:cs="Arial"/>
          <w:sz w:val="20"/>
          <w:szCs w:val="20"/>
        </w:rPr>
        <w:lastRenderedPageBreak/>
        <w:t>sum, da jih ne bo izpolnjevala v prihodnosti; dovoljenje se lahko odvzame tudi zaradi neresničnih navedb ob pridobitvi dovoljenja, neizpolnjevanja pogojev, nezmožnosti izpolnjevanja obveznosti do upnikov, hujših kršitev zakona ali suma pranja denarja oziroma financiranja terorizma, pri čemer se Banka Slovenije o tem posvetuje z ustreznim uradom. Gre za prenos 48.d člena CRD (prvi, drugi, tretji in četrti odstavek) in 48.o člena CRD.</w:t>
      </w:r>
    </w:p>
    <w:p w14:paraId="166C2BD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ED9962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_Ref202967818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382</w:t>
      </w:r>
      <w:r w:rsidRPr="00215B2F">
        <w:rPr>
          <w:rFonts w:ascii="Arial" w:hAnsi="Arial" w:cs="Arial"/>
          <w:b/>
          <w:bCs/>
          <w:sz w:val="20"/>
          <w:szCs w:val="20"/>
        </w:rPr>
        <w:fldChar w:fldCharType="end"/>
      </w:r>
      <w:r w:rsidRPr="00215B2F">
        <w:rPr>
          <w:rFonts w:ascii="Arial" w:hAnsi="Arial" w:cs="Arial"/>
          <w:b/>
          <w:bCs/>
          <w:sz w:val="20"/>
          <w:szCs w:val="20"/>
        </w:rPr>
        <w:t>. členu (veljavni 307. člen ZBan-3)</w:t>
      </w:r>
    </w:p>
    <w:p w14:paraId="0C62C4A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41F8DD1" w14:textId="77777777" w:rsidR="0010347E" w:rsidRPr="00215B2F" w:rsidRDefault="0010347E" w:rsidP="0010347E">
      <w:pPr>
        <w:pStyle w:val="Pripombabesedilo"/>
        <w:shd w:val="clear" w:color="auto" w:fill="FFFFFF" w:themeFill="background1"/>
        <w:jc w:val="both"/>
        <w:rPr>
          <w:rFonts w:ascii="Arial" w:hAnsi="Arial" w:cs="Arial"/>
          <w:lang w:eastAsia="sl-SI"/>
        </w:rPr>
      </w:pPr>
      <w:r w:rsidRPr="00215B2F">
        <w:rPr>
          <w:rFonts w:ascii="Arial" w:hAnsi="Arial" w:cs="Arial"/>
          <w:lang w:eastAsia="sl-SI"/>
        </w:rPr>
        <w:t>V primerjavi z ZBan-3 (307. člen) ni vsebinskih sprememb. Člen določa obveznost Banke Slovenije, da na svoji spletni strani javno objavi pomembne informacije o nadzoru nad bankami. To vključuje besedila zakonov, predpisov, smernic in navodil, način izvrševanja opcij in diskrecij iz Direktive 2013/36/EU in Uredbe 575/2013/EU ter metodologije, ki jih banka uporablja pri nadzoru. Poleg tega mora objaviti agregirane statistične podatke o varnem upravljanju tveganj in zbirne informacije o ukrepih nadzora ter sankcijah zaradi kršitev. Razkritja morajo omogočiti primerjavo pristopov nadzornih organov v različnih državah članicah, redno pa se morajo dopolnjevati in posodabljati.</w:t>
      </w:r>
    </w:p>
    <w:p w14:paraId="09905F86" w14:textId="77777777" w:rsidR="0010347E" w:rsidRPr="00215B2F" w:rsidRDefault="0010347E" w:rsidP="0010347E">
      <w:pPr>
        <w:pStyle w:val="Pripombabesedilo"/>
        <w:shd w:val="clear" w:color="auto" w:fill="FFFFFF" w:themeFill="background1"/>
        <w:jc w:val="both"/>
        <w:rPr>
          <w:rFonts w:ascii="Arial" w:hAnsi="Arial" w:cs="Arial"/>
          <w:lang w:eastAsia="sl-SI"/>
        </w:rPr>
      </w:pPr>
    </w:p>
    <w:p w14:paraId="02AD4DE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_Ref202967824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383</w:t>
      </w:r>
      <w:r w:rsidRPr="00215B2F">
        <w:rPr>
          <w:rFonts w:ascii="Arial" w:hAnsi="Arial" w:cs="Arial"/>
          <w:b/>
          <w:bCs/>
          <w:sz w:val="20"/>
          <w:szCs w:val="20"/>
        </w:rPr>
        <w:fldChar w:fldCharType="end"/>
      </w:r>
      <w:r w:rsidRPr="00215B2F">
        <w:rPr>
          <w:rFonts w:ascii="Arial" w:hAnsi="Arial" w:cs="Arial"/>
          <w:b/>
          <w:bCs/>
          <w:sz w:val="20"/>
          <w:szCs w:val="20"/>
        </w:rPr>
        <w:t>. členu (veljavni 308. člen ZBan-3)</w:t>
      </w:r>
    </w:p>
    <w:p w14:paraId="4D936A6B"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2B66653D" w14:textId="66D8A555"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(308. člen) ni vsebinskih sprememb. S členom se določa razkritje posebnih informacij o nadzoru. Banka Slovenije v zvezi z izvajanjem pristojnosti na svoji spletni strani med drugim javno objavi tudi naslednje informacije: (i) sprejeta splošna merila in metodologije za pregled skladnosti s 405. do 409. členom Uredbe </w:t>
      </w:r>
      <w:r w:rsidR="00D24496" w:rsidRPr="00215B2F">
        <w:rPr>
          <w:rFonts w:cs="Arial"/>
          <w:sz w:val="20"/>
          <w:szCs w:val="20"/>
        </w:rPr>
        <w:t>575/2013/EU</w:t>
      </w:r>
      <w:r w:rsidRPr="00215B2F">
        <w:rPr>
          <w:rFonts w:cs="Arial"/>
          <w:sz w:val="20"/>
          <w:szCs w:val="20"/>
        </w:rPr>
        <w:t>; (ii) povzetek izida nadzorniškega pregledovanja in opis izrečenih ukrepov v primerih ugotovljenih neskladnosti z zahtevami iz 405. do 409. člena Uredbe (</w:t>
      </w:r>
      <w:r w:rsidR="00D24496" w:rsidRPr="00215B2F">
        <w:rPr>
          <w:rFonts w:cs="Arial"/>
          <w:sz w:val="20"/>
          <w:szCs w:val="20"/>
        </w:rPr>
        <w:t>575/2013/EU</w:t>
      </w:r>
      <w:r w:rsidRPr="00215B2F">
        <w:rPr>
          <w:rFonts w:cs="Arial"/>
          <w:sz w:val="20"/>
          <w:szCs w:val="20"/>
        </w:rPr>
        <w:t>, ugotovljenih na letni ravni.</w:t>
      </w:r>
    </w:p>
    <w:p w14:paraId="1246A1E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ABD5B4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_Ref202967830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384</w:t>
      </w:r>
      <w:r w:rsidRPr="00215B2F">
        <w:rPr>
          <w:rFonts w:ascii="Arial" w:hAnsi="Arial" w:cs="Arial"/>
          <w:b/>
          <w:bCs/>
          <w:sz w:val="20"/>
          <w:szCs w:val="20"/>
        </w:rPr>
        <w:fldChar w:fldCharType="end"/>
      </w:r>
      <w:r w:rsidRPr="00215B2F">
        <w:rPr>
          <w:rFonts w:ascii="Arial" w:hAnsi="Arial" w:cs="Arial"/>
          <w:b/>
          <w:bCs/>
          <w:sz w:val="20"/>
          <w:szCs w:val="20"/>
        </w:rPr>
        <w:t>. členu (veljavni 309. člen ZBan-3)</w:t>
      </w:r>
    </w:p>
    <w:p w14:paraId="0D64910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61BD31D"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ZBan-3 (309. člen) določa, da Banka Slovenije na svojih spletnih straneh objavlja informacije o izdanih dovoljenjih za bančne storitve, kreditne družbe, pridobitev kvalificiranega deleža ter za člane uprave in nadzornega sveta bank. Objavljeni podatki o kvalificiranem deležu vključujejo datum dovoljenja, ime pridobitelja, banko ter delež lastništva. Če vložnik to zahteva, se lahko objavita tudi izrek in povzetek razlogov za zavrnitev dovoljenja za pridobitev kvalificiranega deleža.</w:t>
      </w:r>
    </w:p>
    <w:p w14:paraId="547EF41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5683B6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zakona se člen dopolnjuje na način prilagoditve spremembam glede pridobitve kvalificiranega deleža. </w:t>
      </w:r>
    </w:p>
    <w:p w14:paraId="2ABAC43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A0652D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_Ref202967837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385</w:t>
      </w:r>
      <w:r w:rsidRPr="00215B2F">
        <w:rPr>
          <w:rFonts w:ascii="Arial" w:hAnsi="Arial" w:cs="Arial"/>
          <w:b/>
          <w:bCs/>
          <w:sz w:val="20"/>
          <w:szCs w:val="20"/>
        </w:rPr>
        <w:fldChar w:fldCharType="end"/>
      </w:r>
      <w:r w:rsidRPr="00215B2F">
        <w:rPr>
          <w:rFonts w:ascii="Arial" w:hAnsi="Arial" w:cs="Arial"/>
          <w:b/>
          <w:bCs/>
          <w:sz w:val="20"/>
          <w:szCs w:val="20"/>
        </w:rPr>
        <w:t>. členu (veljavni 310. člen ZBan-3)</w:t>
      </w:r>
    </w:p>
    <w:p w14:paraId="3FA5BCC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449007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ZBan-3 (385. člen) določa, da Banka Slovenije na svojih spletnih straneh javno objavi podatke o izdanih dovoljenjih za banke, kreditne družbe, odločitvah o nasprotovanju pridobitvi kvalificiranega deleža ter dovoljenjih za člane uprave in nadzornega sveta bank. Pri odločbah o nenasprotovanju kvalificiranega deleža so objavljeni datum izdaje, ime pravne ali fizične osebe, banka in delež, na katerega se odločba nanaša. Poleg tega, če to zahteva vlagatelj, Banka Slovenije objavi tudi odločbo o zavrnitvi dovoljenja za pridobitev kvalificiranega deleža s povzetkom razlogov, ne glede na splošno zaupnost informacij. S členom se med drugim prenaša 68. člen CRD. </w:t>
      </w:r>
    </w:p>
    <w:p w14:paraId="0FA439C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A48C7D5"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zakona se (glede na ZBan-3) spreminjata prvi in drugi odstavek na način uskladitve navajanja »dovoljenje </w:t>
      </w:r>
      <w:r w:rsidRPr="00215B2F">
        <w:rPr>
          <w:rFonts w:eastAsia="Arial" w:cs="Arial"/>
          <w:sz w:val="20"/>
          <w:szCs w:val="20"/>
        </w:rPr>
        <w:t>za pridobitev kvalificiranega deleža«, ki se nadomešča z »odločbo o nenasprotovanju za pridobitev kvalificiranega deleža«.</w:t>
      </w:r>
    </w:p>
    <w:p w14:paraId="4526EFA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1C39E47"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_Ref202967867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386</w:t>
      </w:r>
      <w:r w:rsidRPr="00215B2F">
        <w:rPr>
          <w:rFonts w:cs="Arial"/>
          <w:b/>
          <w:bCs/>
          <w:sz w:val="20"/>
          <w:szCs w:val="20"/>
        </w:rPr>
        <w:fldChar w:fldCharType="end"/>
      </w:r>
      <w:r w:rsidRPr="00215B2F">
        <w:rPr>
          <w:rFonts w:cs="Arial"/>
          <w:b/>
          <w:bCs/>
          <w:sz w:val="20"/>
          <w:szCs w:val="20"/>
        </w:rPr>
        <w:t>. členu (veljavni 311. člen ZBan-3)</w:t>
      </w:r>
    </w:p>
    <w:p w14:paraId="489BB26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p>
    <w:p w14:paraId="1818047F" w14:textId="356A4AD0"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Vsebino razkritja identitete kršitelja že ureja veljavni 311. člen ZBan-3. Obstoječi člen ne upošteva ustrezno razlik med odločanjem z odredbo, odločbo o ukrepu nazora ali odločbo o izrečeni sankciji. Sprememba ureja te razlike z rešitvami, prilagojenimi posebnostim različnih možnih odločitev. Banka Slovenije tako lahko odloči, da se informacije o identiteti kršitelja ne objavijo, če objava ni sorazmerna, bi ogrozila finančne trge ali kazensko preiskavo ali bi povzročila nesorazmerno škodo. Pred izdajo ukrepov Banka </w:t>
      </w:r>
      <w:r w:rsidR="00565B3B" w:rsidRPr="00215B2F">
        <w:rPr>
          <w:rFonts w:ascii="Arial" w:hAnsi="Arial" w:cs="Arial"/>
          <w:sz w:val="20"/>
          <w:szCs w:val="20"/>
        </w:rPr>
        <w:t xml:space="preserve">Slovenije </w:t>
      </w:r>
      <w:r w:rsidRPr="00215B2F">
        <w:rPr>
          <w:rFonts w:ascii="Arial" w:hAnsi="Arial" w:cs="Arial"/>
          <w:sz w:val="20"/>
          <w:szCs w:val="20"/>
        </w:rPr>
        <w:t xml:space="preserve">kršitelja opozori na javno objavo in mu omogoči, da vloži ugovor z dokazi za zadržanje objave. Ugovor začasno zadrži objavo, razen če je takojšnja objava nujna za varno upravljanje banke. Odločanje o ugovoru poteka po podobnih pravilih kot za druge odločitve. Banka lahko </w:t>
      </w:r>
      <w:r w:rsidRPr="00215B2F">
        <w:rPr>
          <w:rFonts w:ascii="Arial" w:hAnsi="Arial" w:cs="Arial"/>
          <w:sz w:val="20"/>
          <w:szCs w:val="20"/>
        </w:rPr>
        <w:lastRenderedPageBreak/>
        <w:t>tudi začasno zadrži ali v celoti prepreči objavo identitete kršitelja. Proti zavrnitvi ugovora lahko kršitelj vloži sodno varstvo. Fizična oseba lahko zahteva umik svoje identitete z objave pred potekom petih let, ob upoštevanju enakih pravil za ugovor.</w:t>
      </w:r>
    </w:p>
    <w:p w14:paraId="6C7135E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E2DE0D8"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_Ref202967891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387</w:t>
      </w:r>
      <w:r w:rsidRPr="00215B2F">
        <w:rPr>
          <w:rFonts w:cs="Arial"/>
          <w:b/>
          <w:bCs/>
          <w:sz w:val="20"/>
          <w:szCs w:val="20"/>
        </w:rPr>
        <w:fldChar w:fldCharType="end"/>
      </w:r>
      <w:r w:rsidRPr="00215B2F">
        <w:rPr>
          <w:rFonts w:cs="Arial"/>
          <w:b/>
          <w:bCs/>
          <w:sz w:val="20"/>
          <w:szCs w:val="20"/>
        </w:rPr>
        <w:t xml:space="preserve">. členu </w:t>
      </w:r>
    </w:p>
    <w:p w14:paraId="5117971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10CE272" w14:textId="77777777" w:rsidR="0010347E" w:rsidRPr="00215B2F" w:rsidRDefault="0010347E" w:rsidP="0010347E">
      <w:pPr>
        <w:pStyle w:val="Pripombabesedilo"/>
        <w:shd w:val="clear" w:color="auto" w:fill="FFFFFF" w:themeFill="background1"/>
        <w:jc w:val="both"/>
        <w:rPr>
          <w:rFonts w:ascii="Arial" w:hAnsi="Arial" w:cs="Arial"/>
        </w:rPr>
      </w:pPr>
      <w:r w:rsidRPr="00215B2F">
        <w:rPr>
          <w:rFonts w:ascii="Arial" w:hAnsi="Arial" w:cs="Arial"/>
        </w:rPr>
        <w:t xml:space="preserve">65. člen CRD (drugi odstavek) zahteva, da se upravne kazni, periodične denarne kazni in drugi upravni ukrepi lahko izrečejo: </w:t>
      </w:r>
    </w:p>
    <w:p w14:paraId="3657D7A7" w14:textId="77777777" w:rsidR="0010347E" w:rsidRPr="00215B2F" w:rsidRDefault="0010347E" w:rsidP="0010347E">
      <w:pPr>
        <w:pStyle w:val="Pripombabesedilo"/>
        <w:shd w:val="clear" w:color="auto" w:fill="FFFFFF" w:themeFill="background1"/>
        <w:jc w:val="both"/>
        <w:rPr>
          <w:rFonts w:ascii="Arial" w:hAnsi="Arial" w:cs="Arial"/>
        </w:rPr>
      </w:pPr>
    </w:p>
    <w:p w14:paraId="62F8E9E6" w14:textId="77777777" w:rsidR="0010347E" w:rsidRPr="00215B2F" w:rsidRDefault="0010347E" w:rsidP="003D4DE0">
      <w:pPr>
        <w:pStyle w:val="Pripombabesedilo"/>
        <w:numPr>
          <w:ilvl w:val="0"/>
          <w:numId w:val="348"/>
        </w:numPr>
        <w:shd w:val="clear" w:color="auto" w:fill="FFFFFF" w:themeFill="background1"/>
        <w:jc w:val="both"/>
        <w:rPr>
          <w:rFonts w:ascii="Arial" w:hAnsi="Arial" w:cs="Arial"/>
        </w:rPr>
      </w:pPr>
      <w:r w:rsidRPr="00215B2F">
        <w:rPr>
          <w:rFonts w:ascii="Arial" w:hAnsi="Arial" w:cs="Arial"/>
        </w:rPr>
        <w:t>institucijam in (mešanim) finančnim holdingom,</w:t>
      </w:r>
    </w:p>
    <w:p w14:paraId="0231FA4B" w14:textId="77777777" w:rsidR="0010347E" w:rsidRPr="00215B2F" w:rsidRDefault="0010347E" w:rsidP="003D4DE0">
      <w:pPr>
        <w:pStyle w:val="Pripombabesedilo"/>
        <w:numPr>
          <w:ilvl w:val="0"/>
          <w:numId w:val="348"/>
        </w:numPr>
        <w:shd w:val="clear" w:color="auto" w:fill="FFFFFF" w:themeFill="background1"/>
        <w:jc w:val="both"/>
        <w:rPr>
          <w:rFonts w:ascii="Arial" w:hAnsi="Arial" w:cs="Arial"/>
        </w:rPr>
      </w:pPr>
      <w:r w:rsidRPr="00215B2F">
        <w:rPr>
          <w:rFonts w:ascii="Arial" w:hAnsi="Arial" w:cs="Arial"/>
        </w:rPr>
        <w:t>članom upravljalnega organa,</w:t>
      </w:r>
    </w:p>
    <w:p w14:paraId="525BCBA3" w14:textId="77777777" w:rsidR="0010347E" w:rsidRPr="00215B2F" w:rsidRDefault="0010347E" w:rsidP="003D4DE0">
      <w:pPr>
        <w:pStyle w:val="Pripombabesedilo"/>
        <w:numPr>
          <w:ilvl w:val="0"/>
          <w:numId w:val="348"/>
        </w:numPr>
        <w:shd w:val="clear" w:color="auto" w:fill="FFFFFF" w:themeFill="background1"/>
        <w:jc w:val="both"/>
        <w:rPr>
          <w:rFonts w:ascii="Arial" w:hAnsi="Arial" w:cs="Arial"/>
        </w:rPr>
      </w:pPr>
      <w:r w:rsidRPr="00215B2F">
        <w:rPr>
          <w:rFonts w:ascii="Arial" w:hAnsi="Arial" w:cs="Arial"/>
        </w:rPr>
        <w:t>višjemu vodstvu,</w:t>
      </w:r>
    </w:p>
    <w:p w14:paraId="26A0157E" w14:textId="77777777" w:rsidR="0010347E" w:rsidRPr="00215B2F" w:rsidRDefault="0010347E" w:rsidP="003D4DE0">
      <w:pPr>
        <w:pStyle w:val="Pripombabesedilo"/>
        <w:numPr>
          <w:ilvl w:val="0"/>
          <w:numId w:val="348"/>
        </w:numPr>
        <w:shd w:val="clear" w:color="auto" w:fill="FFFFFF" w:themeFill="background1"/>
        <w:jc w:val="both"/>
        <w:rPr>
          <w:rFonts w:ascii="Arial" w:hAnsi="Arial" w:cs="Arial"/>
        </w:rPr>
      </w:pPr>
      <w:r w:rsidRPr="00215B2F">
        <w:rPr>
          <w:rFonts w:ascii="Arial" w:hAnsi="Arial" w:cs="Arial"/>
        </w:rPr>
        <w:t>nosilcem ključnih funkcij,</w:t>
      </w:r>
    </w:p>
    <w:p w14:paraId="6665551E" w14:textId="77777777" w:rsidR="0010347E" w:rsidRPr="00215B2F" w:rsidRDefault="0010347E" w:rsidP="003D4DE0">
      <w:pPr>
        <w:pStyle w:val="Pripombabesedilo"/>
        <w:numPr>
          <w:ilvl w:val="0"/>
          <w:numId w:val="348"/>
        </w:numPr>
        <w:shd w:val="clear" w:color="auto" w:fill="FFFFFF" w:themeFill="background1"/>
        <w:jc w:val="both"/>
        <w:rPr>
          <w:rFonts w:ascii="Arial" w:hAnsi="Arial" w:cs="Arial"/>
        </w:rPr>
      </w:pPr>
      <w:r w:rsidRPr="00215B2F">
        <w:rPr>
          <w:rFonts w:ascii="Arial" w:hAnsi="Arial" w:cs="Arial"/>
        </w:rPr>
        <w:t>drugim zaposlenim, katerih poklicne dejavnosti pomembno vplivajo na profil tveganja institucije,</w:t>
      </w:r>
    </w:p>
    <w:p w14:paraId="587F51A3" w14:textId="77777777" w:rsidR="0010347E" w:rsidRPr="00215B2F" w:rsidRDefault="0010347E" w:rsidP="003D4DE0">
      <w:pPr>
        <w:pStyle w:val="Pripombabesedilo"/>
        <w:numPr>
          <w:ilvl w:val="0"/>
          <w:numId w:val="348"/>
        </w:numPr>
        <w:shd w:val="clear" w:color="auto" w:fill="FFFFFF" w:themeFill="background1"/>
        <w:jc w:val="both"/>
        <w:rPr>
          <w:rFonts w:ascii="Arial" w:hAnsi="Arial" w:cs="Arial"/>
        </w:rPr>
      </w:pPr>
      <w:r w:rsidRPr="00215B2F">
        <w:rPr>
          <w:rFonts w:ascii="Arial" w:hAnsi="Arial" w:cs="Arial"/>
        </w:rPr>
        <w:t>drugim FO, če so na podlagi nacionalnega prava odgovorne za kršitev.</w:t>
      </w:r>
    </w:p>
    <w:p w14:paraId="276BD014" w14:textId="77777777" w:rsidR="0010347E" w:rsidRPr="00215B2F" w:rsidRDefault="0010347E" w:rsidP="0010347E">
      <w:pPr>
        <w:pStyle w:val="Pripombabesedilo"/>
        <w:shd w:val="clear" w:color="auto" w:fill="FFFFFF" w:themeFill="background1"/>
        <w:jc w:val="both"/>
        <w:rPr>
          <w:rFonts w:ascii="Arial" w:hAnsi="Arial" w:cs="Arial"/>
        </w:rPr>
      </w:pPr>
    </w:p>
    <w:p w14:paraId="6E1A5E63" w14:textId="77777777" w:rsidR="0010347E" w:rsidRPr="00215B2F" w:rsidRDefault="0010347E" w:rsidP="0010347E">
      <w:pPr>
        <w:pStyle w:val="Pripombabesedilo"/>
        <w:shd w:val="clear" w:color="auto" w:fill="FFFFFF" w:themeFill="background1"/>
        <w:jc w:val="both"/>
        <w:rPr>
          <w:rFonts w:ascii="Arial" w:hAnsi="Arial" w:cs="Arial"/>
        </w:rPr>
      </w:pPr>
      <w:r w:rsidRPr="00215B2F">
        <w:rPr>
          <w:rFonts w:ascii="Arial" w:hAnsi="Arial" w:cs="Arial"/>
        </w:rPr>
        <w:t>Glede na slovenski pravni red je sankcije zoper FO mogoče izreči samo v postopku o prekršku, zato so v nadaljevanju administrativne sankcije možne samo zoper pravne osebe, za fizične osebe pa so na koncu ostali prekrški.</w:t>
      </w:r>
    </w:p>
    <w:p w14:paraId="04A3F4FA" w14:textId="77777777" w:rsidR="0010347E" w:rsidRPr="00215B2F" w:rsidRDefault="0010347E" w:rsidP="0010347E">
      <w:pPr>
        <w:pStyle w:val="Pripombabesedilo"/>
        <w:shd w:val="clear" w:color="auto" w:fill="FFFFFF" w:themeFill="background1"/>
        <w:jc w:val="both"/>
        <w:rPr>
          <w:rFonts w:ascii="Arial" w:hAnsi="Arial" w:cs="Arial"/>
        </w:rPr>
      </w:pPr>
    </w:p>
    <w:p w14:paraId="20F9DBC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Pri tem navedeno ne velja za periodične denarne kazni, ki jih direktiva uvaja na novo in so mišljene kot izvršilni ukrep (</w:t>
      </w:r>
      <w:r w:rsidRPr="00215B2F">
        <w:rPr>
          <w:rFonts w:cs="Arial"/>
          <w:i/>
          <w:sz w:val="20"/>
          <w:szCs w:val="20"/>
        </w:rPr>
        <w:t>enforcement measure</w:t>
      </w:r>
      <w:r w:rsidRPr="00215B2F">
        <w:rPr>
          <w:rFonts w:cs="Arial"/>
          <w:sz w:val="20"/>
          <w:szCs w:val="20"/>
        </w:rPr>
        <w:t>), ki se lahko naloži tudi FO v upravnem postopku.</w:t>
      </w:r>
    </w:p>
    <w:p w14:paraId="2C71740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77C16DE"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_Ref202967914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388</w:t>
      </w:r>
      <w:r w:rsidRPr="00215B2F">
        <w:rPr>
          <w:rFonts w:cs="Arial"/>
          <w:b/>
          <w:bCs/>
          <w:sz w:val="20"/>
          <w:szCs w:val="20"/>
        </w:rPr>
        <w:fldChar w:fldCharType="end"/>
      </w:r>
      <w:r w:rsidRPr="00215B2F">
        <w:rPr>
          <w:rFonts w:cs="Arial"/>
          <w:b/>
          <w:bCs/>
          <w:sz w:val="20"/>
          <w:szCs w:val="20"/>
        </w:rPr>
        <w:t xml:space="preserve">. členu </w:t>
      </w:r>
    </w:p>
    <w:p w14:paraId="0E86079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6DDBD2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pri izvajanju administrativnih ukrepov uporablja vsa pooblastila in podatke, zbrane v okviru nadzorniških pristojnosti, pri čemer ukrepe izvajajo njeni zaposleni v skladu z internimi akti, guverner pa lahko za posamezne naloge pooblasti tudi zunanjega strokovnjaka, če ta izpolnjuje pogoje glede varovanja zaupnih informacij.</w:t>
      </w:r>
    </w:p>
    <w:p w14:paraId="43AECC8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3E9097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zvezi z vsemi pooblastili velja dodatno pojasniti, da gre zlasti za pooblastilo glede zahteve za predložitev dodatnih podatkov in informacij in vključitev stroškov v nadomestilo za nadzor.</w:t>
      </w:r>
    </w:p>
    <w:p w14:paraId="3E1D23C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EF335D4"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_Ref202967917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389</w:t>
      </w:r>
      <w:r w:rsidRPr="00215B2F">
        <w:rPr>
          <w:rFonts w:cs="Arial"/>
          <w:b/>
          <w:bCs/>
          <w:sz w:val="20"/>
          <w:szCs w:val="20"/>
        </w:rPr>
        <w:fldChar w:fldCharType="end"/>
      </w:r>
      <w:r w:rsidRPr="00215B2F">
        <w:rPr>
          <w:rFonts w:cs="Arial"/>
          <w:b/>
          <w:bCs/>
          <w:sz w:val="20"/>
          <w:szCs w:val="20"/>
        </w:rPr>
        <w:t xml:space="preserve">. členu </w:t>
      </w:r>
    </w:p>
    <w:p w14:paraId="5364F55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325A14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lahko izreče periodične denarne kazni in administrativne sankcije, če ugotovi kršitve predpisov s strani pravnih oseb, zlasti bank in povezanih subjektov. Te kršitve zajemajo:</w:t>
      </w:r>
    </w:p>
    <w:p w14:paraId="35A8753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AA470DB" w14:textId="77777777" w:rsidR="0010347E" w:rsidRPr="00215B2F" w:rsidRDefault="0010347E" w:rsidP="003D4DE0">
      <w:pPr>
        <w:pStyle w:val="Pripombabesedilo"/>
        <w:numPr>
          <w:ilvl w:val="0"/>
          <w:numId w:val="348"/>
        </w:numPr>
        <w:shd w:val="clear" w:color="auto" w:fill="FFFFFF" w:themeFill="background1"/>
        <w:jc w:val="both"/>
        <w:rPr>
          <w:rFonts w:ascii="Arial" w:hAnsi="Arial" w:cs="Arial"/>
        </w:rPr>
      </w:pPr>
      <w:r w:rsidRPr="00215B2F">
        <w:rPr>
          <w:rFonts w:ascii="Arial" w:hAnsi="Arial" w:cs="Arial"/>
        </w:rPr>
        <w:t>Opravljanje bančnih dejavnosti brez dovoljenja ali brez ustreznih pogojev (npr. sprejemanje depozitov, ustanavljanje podružnic, neposredne storitve v tujini).</w:t>
      </w:r>
    </w:p>
    <w:p w14:paraId="318A40CD" w14:textId="77777777" w:rsidR="0010347E" w:rsidRPr="00215B2F" w:rsidRDefault="0010347E" w:rsidP="003D4DE0">
      <w:pPr>
        <w:pStyle w:val="Pripombabesedilo"/>
        <w:numPr>
          <w:ilvl w:val="0"/>
          <w:numId w:val="348"/>
        </w:numPr>
        <w:shd w:val="clear" w:color="auto" w:fill="FFFFFF" w:themeFill="background1"/>
        <w:jc w:val="both"/>
        <w:rPr>
          <w:rFonts w:ascii="Arial" w:hAnsi="Arial" w:cs="Arial"/>
        </w:rPr>
      </w:pPr>
      <w:r w:rsidRPr="00215B2F">
        <w:rPr>
          <w:rFonts w:ascii="Arial" w:hAnsi="Arial" w:cs="Arial"/>
        </w:rPr>
        <w:t>Kršitve v zvezi s kvalificiranimi deleži v banki (npr. pridobitve/odsvojitve brez soglasja).</w:t>
      </w:r>
    </w:p>
    <w:p w14:paraId="1FE4B7A4" w14:textId="77777777" w:rsidR="0010347E" w:rsidRPr="00215B2F" w:rsidRDefault="0010347E" w:rsidP="003D4DE0">
      <w:pPr>
        <w:pStyle w:val="Pripombabesedilo"/>
        <w:numPr>
          <w:ilvl w:val="0"/>
          <w:numId w:val="348"/>
        </w:numPr>
        <w:shd w:val="clear" w:color="auto" w:fill="FFFFFF" w:themeFill="background1"/>
        <w:jc w:val="both"/>
        <w:rPr>
          <w:rFonts w:ascii="Arial" w:hAnsi="Arial" w:cs="Arial"/>
        </w:rPr>
      </w:pPr>
      <w:r w:rsidRPr="00215B2F">
        <w:rPr>
          <w:rFonts w:ascii="Arial" w:hAnsi="Arial" w:cs="Arial"/>
        </w:rPr>
        <w:t>Nepravilnosti glede notranjega upravljanja, revizije, razkritij in poročanja (npr. kapitalske, likvidnostne in računovodske zahteve, prejemki, letna poročila).</w:t>
      </w:r>
    </w:p>
    <w:p w14:paraId="2465C6C7" w14:textId="72D382B9" w:rsidR="0010347E" w:rsidRPr="00215B2F" w:rsidRDefault="0010347E" w:rsidP="003D4DE0">
      <w:pPr>
        <w:pStyle w:val="Pripombabesedilo"/>
        <w:numPr>
          <w:ilvl w:val="0"/>
          <w:numId w:val="348"/>
        </w:numPr>
        <w:shd w:val="clear" w:color="auto" w:fill="FFFFFF" w:themeFill="background1"/>
        <w:jc w:val="both"/>
        <w:rPr>
          <w:rFonts w:ascii="Arial" w:hAnsi="Arial" w:cs="Arial"/>
        </w:rPr>
      </w:pPr>
      <w:r w:rsidRPr="00215B2F">
        <w:rPr>
          <w:rFonts w:ascii="Arial" w:hAnsi="Arial" w:cs="Arial"/>
        </w:rPr>
        <w:t xml:space="preserve">Neizpolnjevanje obveznosti iz Uredbe </w:t>
      </w:r>
      <w:r w:rsidR="00D24496" w:rsidRPr="00215B2F">
        <w:rPr>
          <w:rFonts w:ascii="Arial" w:hAnsi="Arial" w:cs="Arial"/>
        </w:rPr>
        <w:t>575/2013/EU</w:t>
      </w:r>
      <w:r w:rsidRPr="00215B2F">
        <w:rPr>
          <w:rFonts w:ascii="Arial" w:hAnsi="Arial" w:cs="Arial"/>
        </w:rPr>
        <w:t>, vključno s kapitalskimi zahtevami, likvidnostjo, velikimi izpostavljenostmi, finančnim vzvodom, razkritji in poročanjem.</w:t>
      </w:r>
    </w:p>
    <w:p w14:paraId="6F877C9C" w14:textId="77777777" w:rsidR="0010347E" w:rsidRPr="00215B2F" w:rsidRDefault="0010347E" w:rsidP="003D4DE0">
      <w:pPr>
        <w:pStyle w:val="Pripombabesedilo"/>
        <w:numPr>
          <w:ilvl w:val="0"/>
          <w:numId w:val="348"/>
        </w:numPr>
        <w:shd w:val="clear" w:color="auto" w:fill="FFFFFF" w:themeFill="background1"/>
        <w:jc w:val="both"/>
        <w:rPr>
          <w:rFonts w:ascii="Arial" w:hAnsi="Arial" w:cs="Arial"/>
        </w:rPr>
      </w:pPr>
      <w:r w:rsidRPr="00215B2F">
        <w:rPr>
          <w:rFonts w:ascii="Arial" w:hAnsi="Arial" w:cs="Arial"/>
        </w:rPr>
        <w:t>Neizpolnjevanje zahtev glede upravljalnih organov, komisij in poslovnih knjig.</w:t>
      </w:r>
    </w:p>
    <w:p w14:paraId="3BC44EFA" w14:textId="77777777" w:rsidR="0010347E" w:rsidRPr="00215B2F" w:rsidRDefault="0010347E" w:rsidP="003D4DE0">
      <w:pPr>
        <w:pStyle w:val="Pripombabesedilo"/>
        <w:numPr>
          <w:ilvl w:val="0"/>
          <w:numId w:val="348"/>
        </w:numPr>
        <w:shd w:val="clear" w:color="auto" w:fill="FFFFFF" w:themeFill="background1"/>
        <w:jc w:val="both"/>
        <w:rPr>
          <w:rFonts w:ascii="Arial" w:hAnsi="Arial" w:cs="Arial"/>
        </w:rPr>
      </w:pPr>
      <w:r w:rsidRPr="00215B2F">
        <w:rPr>
          <w:rFonts w:ascii="Arial" w:hAnsi="Arial" w:cs="Arial"/>
        </w:rPr>
        <w:t>Kršitve v zvezi s skupinami (bančne skupine, holdingi) glede nadzora, pošiljanja informacij in dovoljenj.</w:t>
      </w:r>
    </w:p>
    <w:p w14:paraId="7516B2A5" w14:textId="77777777" w:rsidR="0010347E" w:rsidRPr="00215B2F" w:rsidRDefault="0010347E" w:rsidP="003D4DE0">
      <w:pPr>
        <w:pStyle w:val="Pripombabesedilo"/>
        <w:numPr>
          <w:ilvl w:val="0"/>
          <w:numId w:val="348"/>
        </w:numPr>
        <w:shd w:val="clear" w:color="auto" w:fill="FFFFFF" w:themeFill="background1"/>
        <w:jc w:val="both"/>
        <w:rPr>
          <w:rFonts w:ascii="Arial" w:hAnsi="Arial" w:cs="Arial"/>
        </w:rPr>
      </w:pPr>
      <w:r w:rsidRPr="00215B2F">
        <w:rPr>
          <w:rFonts w:ascii="Arial" w:hAnsi="Arial" w:cs="Arial"/>
        </w:rPr>
        <w:t>Oviranje nadzora s strani Banke Slovenije ali posebnih pooblaščencev.</w:t>
      </w:r>
    </w:p>
    <w:p w14:paraId="02D05E61" w14:textId="77777777" w:rsidR="0010347E" w:rsidRPr="00215B2F" w:rsidRDefault="0010347E" w:rsidP="003D4DE0">
      <w:pPr>
        <w:pStyle w:val="Pripombabesedilo"/>
        <w:numPr>
          <w:ilvl w:val="0"/>
          <w:numId w:val="348"/>
        </w:numPr>
        <w:shd w:val="clear" w:color="auto" w:fill="FFFFFF" w:themeFill="background1"/>
        <w:jc w:val="both"/>
        <w:rPr>
          <w:rFonts w:ascii="Arial" w:hAnsi="Arial" w:cs="Arial"/>
        </w:rPr>
      </w:pPr>
      <w:r w:rsidRPr="00215B2F">
        <w:rPr>
          <w:rFonts w:ascii="Arial" w:hAnsi="Arial" w:cs="Arial"/>
        </w:rPr>
        <w:t>Lažne ali zavajajoče izjave, na podlagi katerih je bila pridobljena odločitev ali dovoljenje.</w:t>
      </w:r>
    </w:p>
    <w:p w14:paraId="0EC15B3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AD56517"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Skupno je naštetih 67 kršitev, ki lahko vodijo do ukrepanja Banke Slovenije.</w:t>
      </w:r>
    </w:p>
    <w:p w14:paraId="5793E37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640D994" w14:textId="0A82F317" w:rsidR="00EE1352" w:rsidRPr="00215B2F" w:rsidRDefault="00EE1352" w:rsidP="00EE1352">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Banka Slovenije lahko izreče administrativno sankcijo samo, če je dejanje subjekta nadzora, ki pomeni kršitev predpisov bilo z zakonom določeno kot kršitev, za katero se lahko izreče administrativna sankcija in predpisana administrativna sankcija. Če se po storitvi kršitve spremenijo določbe o administrativni sankciji, se uporabi zakon, ki je za subjekt nadzora milejši. </w:t>
      </w:r>
    </w:p>
    <w:p w14:paraId="135C9A51" w14:textId="77777777" w:rsidR="00EE1352" w:rsidRPr="00215B2F" w:rsidRDefault="00EE1352" w:rsidP="0010347E">
      <w:pPr>
        <w:pStyle w:val="Odstavek"/>
        <w:shd w:val="clear" w:color="auto" w:fill="FFFFFF" w:themeFill="background1"/>
        <w:spacing w:before="0"/>
        <w:ind w:firstLine="0"/>
        <w:rPr>
          <w:rFonts w:cs="Arial"/>
          <w:sz w:val="20"/>
          <w:szCs w:val="20"/>
        </w:rPr>
      </w:pPr>
    </w:p>
    <w:p w14:paraId="5F8B4531"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_Ref202967928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390</w:t>
      </w:r>
      <w:r w:rsidRPr="00215B2F">
        <w:rPr>
          <w:rFonts w:cs="Arial"/>
          <w:b/>
          <w:bCs/>
          <w:sz w:val="20"/>
          <w:szCs w:val="20"/>
        </w:rPr>
        <w:fldChar w:fldCharType="end"/>
      </w:r>
      <w:r w:rsidRPr="00215B2F">
        <w:rPr>
          <w:rFonts w:cs="Arial"/>
          <w:b/>
          <w:bCs/>
          <w:sz w:val="20"/>
          <w:szCs w:val="20"/>
        </w:rPr>
        <w:t xml:space="preserve">. členu </w:t>
      </w:r>
    </w:p>
    <w:p w14:paraId="7CEA62A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6D6C807"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lastRenderedPageBreak/>
        <w:t xml:space="preserve">Banka Slovenije lahko banki ali drugemu nadziranemu subjektu z odredbo naloži plačilo periodične denarne kazni za vsak dan trajajoče kršitve, in sicer do višine 5 % povprečnega dnevnega neto prometa. Fizični osebi, kot so člani upravljalnega organa, višje vodstvo, nosilci ključnih funkcij ali druge odgovorne osebe v banki, pa lahko naloži dnevno denarno kazen do 50.000 evrov. Kazen se plačuje za vsak dan trajanja kršitve, od datuma, določenega v odredbi, dokler kršitev ni odpravljena in ponovno ni dosežena skladnost z obveznostjo, vendar največ za obdobje šestih mesecev. Naložitev kazni lahko začne učinkovati pozneje, Banka Slovenije pa lahko o njej odloči skupaj z odredbo o odpravi kršitve. Povprečni dnevni neto promet se določi kot letni neto promet, deljen s 365. Gre za prenos 66. člena (drugi odstavek) in 67. člena (drugi odstavek) CRD. </w:t>
      </w:r>
    </w:p>
    <w:p w14:paraId="38C4930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8494F41"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_Ref202967932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391</w:t>
      </w:r>
      <w:r w:rsidRPr="00215B2F">
        <w:rPr>
          <w:rFonts w:cs="Arial"/>
          <w:b/>
          <w:bCs/>
          <w:sz w:val="20"/>
          <w:szCs w:val="20"/>
        </w:rPr>
        <w:fldChar w:fldCharType="end"/>
      </w:r>
      <w:r w:rsidRPr="00215B2F">
        <w:rPr>
          <w:rFonts w:cs="Arial"/>
          <w:b/>
          <w:bCs/>
          <w:sz w:val="20"/>
          <w:szCs w:val="20"/>
        </w:rPr>
        <w:t xml:space="preserve">. členu </w:t>
      </w:r>
    </w:p>
    <w:p w14:paraId="5F72570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0820016"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Pri določanju uporabe in višine dnevnega zneska periodične denarne kazni Banka Slovenije upošteva vse pomembne okoliščine primera. Posebno pozornost nameni resnosti in trajanju kršitve, stopnji odgovornosti odgovorne osebe ter njeni finančni trdnosti, kot jo kaže promet pravne osebe ali letni prihodek fizične osebe. Upoštevajo se tudi dobički ali preprečene izgube, nastale zaradi kršitve, ter škoda tretjim osebam, če jo je mogoče določiti. Pomembna dejavnika sta še pripravljenost odgovorne osebe na sodelovanje z Banko Slovenije in morebitni sistemski vplivi kršitve.</w:t>
      </w:r>
    </w:p>
    <w:p w14:paraId="564A239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543F1ED"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_Ref202967937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392</w:t>
      </w:r>
      <w:r w:rsidRPr="00215B2F">
        <w:rPr>
          <w:rFonts w:cs="Arial"/>
          <w:b/>
          <w:bCs/>
          <w:sz w:val="20"/>
          <w:szCs w:val="20"/>
        </w:rPr>
        <w:fldChar w:fldCharType="end"/>
      </w:r>
      <w:r w:rsidRPr="00215B2F">
        <w:rPr>
          <w:rFonts w:cs="Arial"/>
          <w:b/>
          <w:bCs/>
          <w:sz w:val="20"/>
          <w:szCs w:val="20"/>
        </w:rPr>
        <w:t xml:space="preserve">. členu </w:t>
      </w:r>
    </w:p>
    <w:p w14:paraId="4AA5196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ACBFAC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po odpravi kršitev ali po preteku šestih mesecev določi skupni znesek periodične denarne kazni in rok za plačilo v posebni odločbi. Če banka ali drug subjekt nadzora odpravi kršitve oziroma ponovno izpolni obveznosti pred začetkom uporabe kazni, Banka Slovenije izda ugotovitveno odločbo.</w:t>
      </w:r>
    </w:p>
    <w:p w14:paraId="3E5F876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1D9F9E4"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_Ref202967941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393</w:t>
      </w:r>
      <w:r w:rsidRPr="00215B2F">
        <w:rPr>
          <w:rFonts w:cs="Arial"/>
          <w:b/>
          <w:bCs/>
          <w:sz w:val="20"/>
          <w:szCs w:val="20"/>
        </w:rPr>
        <w:fldChar w:fldCharType="end"/>
      </w:r>
      <w:r w:rsidRPr="00215B2F">
        <w:rPr>
          <w:rFonts w:cs="Arial"/>
          <w:b/>
          <w:bCs/>
          <w:sz w:val="20"/>
          <w:szCs w:val="20"/>
        </w:rPr>
        <w:t xml:space="preserve">. členu </w:t>
      </w:r>
    </w:p>
    <w:p w14:paraId="5254959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1FC968F"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lahko pravni osebi z odločbo naloži enkratno denarno kazen (administrativno sankcijo), če pri nadzoru ugotovi katero koli kršitev (kot izhaja iz člena). V postopku izrekanja sankcije lahko Banka Slovenije upošteva dejansko stanje, ugotovljeno z dokončno odredbo za odpravo kršitev. Gre za prenos 66. člena (drugi odstavek) in 67. člena (drugi odstavek) CRD. </w:t>
      </w:r>
    </w:p>
    <w:p w14:paraId="22289C5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B030F93"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_Ref202967945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394</w:t>
      </w:r>
      <w:r w:rsidRPr="00215B2F">
        <w:rPr>
          <w:rFonts w:cs="Arial"/>
          <w:b/>
          <w:bCs/>
          <w:sz w:val="20"/>
          <w:szCs w:val="20"/>
        </w:rPr>
        <w:fldChar w:fldCharType="end"/>
      </w:r>
      <w:r w:rsidRPr="00215B2F">
        <w:rPr>
          <w:rFonts w:cs="Arial"/>
          <w:b/>
          <w:bCs/>
          <w:sz w:val="20"/>
          <w:szCs w:val="20"/>
        </w:rPr>
        <w:t xml:space="preserve">. členu </w:t>
      </w:r>
    </w:p>
    <w:p w14:paraId="0F793CF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923A86B"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izreče pravni osebi administrativno sankcijo v enkratnem denarnem znesku do največ 10 % skupnega letnega neto prometa ali do dvakratnika dobička, pridobljenega s kršitvijo, oziroma preprečene izgube, če je mogoče. Skupni letni neto promet se izračuna na podlagi različnih vrst prihodkov in odhodkov, določenih v izvedbeni uredbi EU, in temelji na najnovejših nadzorniških finančnih podatkih ali ustreznem računovodskem okviru. Pri določanju višine kazni Banka Slovenije upošteva resnost in trajanje kršitve, odgovornost kršitelja, njegovo finančno stanje, pridobljene dobičke ali preprečene izgube, izgube tretjih oseb, sodelovanje z Banko Slovenije, predhodne kršitve, sistemske posledice ter že izrečene kazni za enako kršitev. Če je pravna oseba storila več povezanih kršitev, se izreče ena kazen, pri čemer se število kršitev upošteva pri odmeri. Rok za plačilo kazni določi Banka Slovenije in znaša od 8 dni do 3 mesece.</w:t>
      </w:r>
    </w:p>
    <w:p w14:paraId="2800D38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2C0E1C0"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_Ref202967949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395</w:t>
      </w:r>
      <w:r w:rsidRPr="00215B2F">
        <w:rPr>
          <w:rFonts w:cs="Arial"/>
          <w:b/>
          <w:bCs/>
          <w:sz w:val="20"/>
          <w:szCs w:val="20"/>
        </w:rPr>
        <w:fldChar w:fldCharType="end"/>
      </w:r>
      <w:r w:rsidRPr="00215B2F">
        <w:rPr>
          <w:rFonts w:cs="Arial"/>
          <w:b/>
          <w:bCs/>
          <w:sz w:val="20"/>
          <w:szCs w:val="20"/>
        </w:rPr>
        <w:t xml:space="preserve">. členu </w:t>
      </w:r>
    </w:p>
    <w:p w14:paraId="7CA1638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6753280"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lahko, upoštevajoč posebne olajševalne okoliščine ali če kršitev nima pomembnega vpliva na varno upravljanje pravne osebe oziroma stabilnost finančnega sistema in je bila že odpravljena, namesto izreka administrativne sankcije izreče pravni osebi opomin ali se odloči, da postopka ne bo začela. O tem pravno osebo pisno obvesti.</w:t>
      </w:r>
    </w:p>
    <w:p w14:paraId="691F325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CDB0546"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_Ref202967952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396</w:t>
      </w:r>
      <w:r w:rsidRPr="00215B2F">
        <w:rPr>
          <w:rFonts w:cs="Arial"/>
          <w:b/>
          <w:bCs/>
          <w:sz w:val="20"/>
          <w:szCs w:val="20"/>
        </w:rPr>
        <w:fldChar w:fldCharType="end"/>
      </w:r>
      <w:r w:rsidRPr="00215B2F">
        <w:rPr>
          <w:rFonts w:cs="Arial"/>
          <w:b/>
          <w:bCs/>
          <w:sz w:val="20"/>
          <w:szCs w:val="20"/>
        </w:rPr>
        <w:t xml:space="preserve">. členu </w:t>
      </w:r>
    </w:p>
    <w:p w14:paraId="29664E2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4D22F60"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Pravna oseba ali Banka Slovenije lahko pred vročitvijo poziva za administrativno sankcijo predlagata pogajanja o priznanju kršitve (postopek poravnave). Če se strinjata, Banka Slovenije pravno osebo pisno seznani z očitki, dokazi, razponom sankcije in rokom za vložitev vloge za poravnavo. Vloga mora vsebovati priznanje odgovornosti, opis kršitve, znesek sankcije, soglasje k izdaji odločbe in potrditev, da je bila pravna oseba ustrezno obveščena. Banka Slovenije lahko sprejme vlogo in izda odločbo o </w:t>
      </w:r>
      <w:r w:rsidRPr="00215B2F">
        <w:rPr>
          <w:rFonts w:cs="Arial"/>
          <w:sz w:val="20"/>
          <w:szCs w:val="20"/>
        </w:rPr>
        <w:lastRenderedPageBreak/>
        <w:t>sankciji, ki se lahko zniža do 20 % kot nagrada za sodelovanje. Pravna oseba lahko vlogo umakne v osmih dneh ali se odpove tej pravici. Če vloga ni vložena, ni sprejeta ali je umaknjena, dokazi iz postopka poravnave ne smejo biti uporabljeni v postopku sankcije. Odločba, izdana na podlagi poravnave, se ne sme izpodbijati zaradi nepravilnega ugotavljanja dejanskega stanja. Podrobnejša pravila za znižanje sankcije določi Banka Slovenije.</w:t>
      </w:r>
    </w:p>
    <w:p w14:paraId="1E70489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49DDD70"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_Ref202967955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397</w:t>
      </w:r>
      <w:r w:rsidRPr="00215B2F">
        <w:rPr>
          <w:rFonts w:cs="Arial"/>
          <w:b/>
          <w:bCs/>
          <w:sz w:val="20"/>
          <w:szCs w:val="20"/>
        </w:rPr>
        <w:fldChar w:fldCharType="end"/>
      </w:r>
      <w:r w:rsidRPr="00215B2F">
        <w:rPr>
          <w:rFonts w:cs="Arial"/>
          <w:b/>
          <w:bCs/>
          <w:sz w:val="20"/>
          <w:szCs w:val="20"/>
        </w:rPr>
        <w:t xml:space="preserve">. členu </w:t>
      </w:r>
    </w:p>
    <w:p w14:paraId="4744F2F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B28FEE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Banka Slovenije pri naložitvi administrativnih sankcij tesno sodeluje z drugimi pristojnimi organi doma in v tujini, da se dosežejo cilji zakona in Direktive 2013/36/EU. V čezmejnih primerih usklajuje ukrepe z organi drugih držav članic, da prepreči kopičenje in prekrivanje sankcij. Če se sankcije in postopki kopičijo za isto kršitev, mora to biti nujno in sorazmerno za dosego različnih javnih interesov. Če Banka Slovenije sumi, da kršitev vsebuje kaznivo dejanje, o tem obvesti državno tožilstvo, ki po preučitvi obvesti Banko, če uvede kazenski postopek. Prav tako mora tožilstvo obvestiti Banko Slovenije, če začne kazenski postopek zoper banko ali drug subjekt nadzora. Za učinkovito izmenjavo informacij lahko Banka Slovenije in vrhovno državno tožilstvo skleneta sporazum o sodelovanju. Gre za prenos 70. člena CRD. </w:t>
      </w:r>
    </w:p>
    <w:p w14:paraId="2EC8180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D4F514F"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zvezi s tretjim odstavkom glede izrekanja administrativnih sankcij velja dodatno pojasniti, da gre za prepis direktive. V zvezi s četrtim odstavkom glede uporabe administrativnih sankcij velja dodatno pojasniti, da za Banko Slovenije že na podlagi Zakona o kazenskem postopku velja, da mora kot nosilka javnih pooblastil naznaniti kaznivo dejanje. </w:t>
      </w:r>
    </w:p>
    <w:p w14:paraId="76EF327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16F04B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_Ref202967963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398</w:t>
      </w:r>
      <w:r w:rsidRPr="00215B2F">
        <w:rPr>
          <w:rFonts w:ascii="Arial" w:hAnsi="Arial" w:cs="Arial"/>
          <w:b/>
          <w:bCs/>
          <w:sz w:val="20"/>
          <w:szCs w:val="20"/>
        </w:rPr>
        <w:fldChar w:fldCharType="end"/>
      </w:r>
      <w:r w:rsidRPr="00215B2F">
        <w:rPr>
          <w:rFonts w:ascii="Arial" w:hAnsi="Arial" w:cs="Arial"/>
          <w:b/>
          <w:bCs/>
          <w:sz w:val="20"/>
          <w:szCs w:val="20"/>
        </w:rPr>
        <w:t>. členu (veljavni 312. člen ZBan-3)</w:t>
      </w:r>
    </w:p>
    <w:p w14:paraId="2B1507C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0D8E7B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(312. člen) ni vsebinskih sprememb. V členu je v skladu z 41. oziroma 50. členom CRD urejena obveznost Banke Slovenije sodelovati z nadzornimi organi držav članic, v katerih banka neposredno ali prek podružnice opravlja storitve banke. Gre zlasti za obojestransko izmenjavo vseh informacij, ki so ključne ali pomembne za izvajanje nadzora nad banko. Določen je tudi postopek, če pristojni organ države članice zavrne zahtevo Banke Slovenije za sodelovanje, in sicer lahko Banka Slovenije o tem obvesti Evropski bančni organ. Vendar pri tem ne gre le za izmenjavo na zahtevo z vidika rednega poslovanja banke, temveč tudi za obveznost takojšnjega poročanja v primerih, ko ima banka likvidnostne težave ali se lahko razumno pričakuje, da se bodo te težave pojavile. Hkrati se nadzornemu organu države članice pošljejo tudi informacije o izvedenih in načrtovanih ukrepih sanacije za odpravljanje težav banke, vključno z ukrepi nadzora, ki jih je Banka Slovenije že izrekla.</w:t>
      </w:r>
    </w:p>
    <w:p w14:paraId="7C3F143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AF6E0D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_Ref202967993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399</w:t>
      </w:r>
      <w:r w:rsidRPr="00215B2F">
        <w:rPr>
          <w:rFonts w:ascii="Arial" w:hAnsi="Arial" w:cs="Arial"/>
          <w:b/>
          <w:bCs/>
          <w:sz w:val="20"/>
          <w:szCs w:val="20"/>
        </w:rPr>
        <w:fldChar w:fldCharType="end"/>
      </w:r>
      <w:r w:rsidRPr="00215B2F">
        <w:rPr>
          <w:rFonts w:ascii="Arial" w:hAnsi="Arial" w:cs="Arial"/>
          <w:b/>
          <w:bCs/>
          <w:sz w:val="20"/>
          <w:szCs w:val="20"/>
        </w:rPr>
        <w:t>. členu (veljavni 313. člen ZBan-3)</w:t>
      </w:r>
    </w:p>
    <w:p w14:paraId="0C1D4D5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B2CA7EB" w14:textId="30DED1F3" w:rsidR="0010347E" w:rsidRPr="00215B2F" w:rsidRDefault="0010347E" w:rsidP="0010347E">
      <w:pPr>
        <w:pStyle w:val="tevilnatoka"/>
        <w:numPr>
          <w:ilvl w:val="0"/>
          <w:numId w:val="0"/>
        </w:numPr>
        <w:shd w:val="clear" w:color="auto" w:fill="FFFFFF" w:themeFill="background1"/>
        <w:rPr>
          <w:rFonts w:cs="Arial"/>
          <w:b/>
          <w:sz w:val="20"/>
          <w:szCs w:val="20"/>
        </w:rPr>
      </w:pPr>
      <w:r w:rsidRPr="00215B2F">
        <w:rPr>
          <w:rFonts w:cs="Arial"/>
          <w:sz w:val="20"/>
          <w:szCs w:val="20"/>
        </w:rPr>
        <w:t>V primerjavi z ZBan-3 (313. člen) ni vsebinskih sprememb.</w:t>
      </w:r>
      <w:r w:rsidRPr="00215B2F">
        <w:rPr>
          <w:rFonts w:cs="Arial"/>
          <w:b/>
          <w:sz w:val="20"/>
          <w:szCs w:val="20"/>
        </w:rPr>
        <w:t xml:space="preserve"> </w:t>
      </w:r>
      <w:r w:rsidRPr="00215B2F">
        <w:rPr>
          <w:rFonts w:cs="Arial"/>
          <w:sz w:val="20"/>
          <w:szCs w:val="20"/>
        </w:rPr>
        <w:t>Pristojnosti za opredelitev banke kot pomembne ima po tem zakonu Banka Slovenije na podlagi podrobnejših meril, ki jih bo določila. Pri določanju podrobnejših meril za pomembne banke mora Banka Slovenije upoštevati velikost in notranjo organiziranost banke, naravo, obseg in zapletenost dejavnosti, ki jih banka opravlja, ter pomen banke za lokalni trg. Tovrstna opredelitev je pomembna, saj prinaša določene posledice v zvezi z zahtevami glede poslovanja teh kreditnih institucij. V nadaljevanju zakona je dodatno določeno, da lahko tudi pristojni organ države članice, v kateri banka opravlja storitve prek podružnice, pri Banki Slovenije zahteva opredelitev te podružnice kot pomembne, in v tem primeru si Banka Slovenije v sodelovanju s tem pristojnim organom prizadeva za sprejetje skupne odločitve. V primeru, da skupna odločitev o opredelitvi podružnice kot pomembne ni sprejeta, končno odločitev sprejme pristojni organ države članice in je za Banko Slovenije zavezujoča.</w:t>
      </w:r>
    </w:p>
    <w:p w14:paraId="5B32CDB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70BD70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_Ref202967999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400</w:t>
      </w:r>
      <w:r w:rsidRPr="00215B2F">
        <w:rPr>
          <w:rFonts w:ascii="Arial" w:hAnsi="Arial" w:cs="Arial"/>
          <w:b/>
          <w:bCs/>
          <w:sz w:val="20"/>
          <w:szCs w:val="20"/>
        </w:rPr>
        <w:fldChar w:fldCharType="end"/>
      </w:r>
      <w:r w:rsidRPr="00215B2F">
        <w:rPr>
          <w:rFonts w:ascii="Arial" w:hAnsi="Arial" w:cs="Arial"/>
          <w:b/>
          <w:bCs/>
          <w:sz w:val="20"/>
          <w:szCs w:val="20"/>
        </w:rPr>
        <w:t>. členu (veljavni 314. člen ZBan-3)</w:t>
      </w:r>
    </w:p>
    <w:p w14:paraId="2C44FBB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D78681A" w14:textId="6F293649"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w:t>
      </w:r>
      <w:r w:rsidR="002E2CC2" w:rsidRPr="00215B2F">
        <w:rPr>
          <w:rFonts w:ascii="Arial" w:hAnsi="Arial" w:cs="Arial"/>
          <w:sz w:val="20"/>
          <w:szCs w:val="20"/>
        </w:rPr>
        <w:t xml:space="preserve">3 </w:t>
      </w:r>
      <w:r w:rsidRPr="00215B2F">
        <w:rPr>
          <w:rFonts w:ascii="Arial" w:hAnsi="Arial" w:cs="Arial"/>
          <w:sz w:val="20"/>
          <w:szCs w:val="20"/>
        </w:rPr>
        <w:t xml:space="preserve">(314. člen) ni vsebinskih sprememb. V členu je urejeno sodelovanje v zvezi z nadzorom nad poslovanjem pomembnih podružnic bank v drugih državah članicah. Gre zlasti za pošiljanje informacij o poslovanju banke in o neugodnem razvoju poslovanja banke ali drugih subjektov v skupini, ki bi lahko resno vplivali na institucije v tej državi članici, o pomembnejših kaznih in ukrepih nadzora in ukrepih za omejitev uporabe naprednega pristopa pri izračunu kapitalske zahteve, o ugotovitvah na podlagi ocene tveganj banke oziroma o skupnih odločitvah pristojnih organov ter o odločitvah glede ukrepov nadzora, če so te ocene in odločitve pomembne z vidika poslovanja pomembne podružnice banke v drugih državah članicah. Določa tudi možnost ustanovitve kolegija </w:t>
      </w:r>
      <w:r w:rsidRPr="00215B2F">
        <w:rPr>
          <w:rFonts w:ascii="Arial" w:hAnsi="Arial" w:cs="Arial"/>
          <w:sz w:val="20"/>
          <w:szCs w:val="20"/>
        </w:rPr>
        <w:lastRenderedPageBreak/>
        <w:t>pristojnih organov pod vodstvom Banke Slovenije, če tak kolegij ni ustanovljen na podlagi drugih določb tega zakona.</w:t>
      </w:r>
    </w:p>
    <w:p w14:paraId="3F3E8D2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DB9032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_Ref202968011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401</w:t>
      </w:r>
      <w:r w:rsidRPr="00215B2F">
        <w:rPr>
          <w:rFonts w:ascii="Arial" w:hAnsi="Arial" w:cs="Arial"/>
          <w:b/>
          <w:bCs/>
          <w:sz w:val="20"/>
          <w:szCs w:val="20"/>
        </w:rPr>
        <w:fldChar w:fldCharType="end"/>
      </w:r>
      <w:r w:rsidRPr="00215B2F">
        <w:rPr>
          <w:rFonts w:ascii="Arial" w:hAnsi="Arial" w:cs="Arial"/>
          <w:b/>
          <w:bCs/>
          <w:sz w:val="20"/>
          <w:szCs w:val="20"/>
        </w:rPr>
        <w:t>. členu (veljavni 315. člen ZBan-3)</w:t>
      </w:r>
    </w:p>
    <w:p w14:paraId="1DBBCD89"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48C8C1BB"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(315. člen) ni vsebinskih sprememb.</w:t>
      </w:r>
      <w:r w:rsidRPr="00215B2F">
        <w:rPr>
          <w:rFonts w:ascii="Arial" w:hAnsi="Arial" w:cs="Arial"/>
          <w:b/>
          <w:sz w:val="20"/>
          <w:szCs w:val="20"/>
        </w:rPr>
        <w:t xml:space="preserve"> </w:t>
      </w:r>
      <w:r w:rsidRPr="00215B2F">
        <w:rPr>
          <w:rFonts w:ascii="Arial" w:hAnsi="Arial" w:cs="Arial"/>
          <w:sz w:val="20"/>
          <w:szCs w:val="20"/>
        </w:rPr>
        <w:t xml:space="preserve">Banka Slovenije je pristojna in odgovorna za izvajanje nadzora nad bankami, razen glede nalog in pristojnosti bonitetnega nadzora, za katere je v skladu z Uredbo EU št. 1024/2013 pristojna in odgovorna </w:t>
      </w:r>
      <w:r w:rsidRPr="00215B2F">
        <w:rPr>
          <w:rFonts w:ascii="Arial" w:eastAsia="Arial" w:hAnsi="Arial" w:cs="Arial"/>
          <w:sz w:val="20"/>
          <w:szCs w:val="20"/>
        </w:rPr>
        <w:t>ECB</w:t>
      </w:r>
      <w:r w:rsidRPr="00215B2F">
        <w:rPr>
          <w:rFonts w:ascii="Arial" w:hAnsi="Arial" w:cs="Arial"/>
          <w:sz w:val="20"/>
          <w:szCs w:val="20"/>
        </w:rPr>
        <w:t>. V nadaljevanju zakona so določena pravila za primere, ko Banka Slovenije namerava opraviti pregled poslovanja podružnice banke v državi članici. Pregled lahko opravi neposredno (po predhodnem obvestilu pristojnega organa države članice, v kateri banka opravlja vzajemno priznane storitve), lahko pa za pregled zaprosi pristojni organ te države članice.</w:t>
      </w:r>
    </w:p>
    <w:p w14:paraId="58BD0F4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80009A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_Ref202968015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402</w:t>
      </w:r>
      <w:r w:rsidRPr="00215B2F">
        <w:rPr>
          <w:rFonts w:ascii="Arial" w:hAnsi="Arial" w:cs="Arial"/>
          <w:b/>
          <w:bCs/>
          <w:sz w:val="20"/>
          <w:szCs w:val="20"/>
        </w:rPr>
        <w:fldChar w:fldCharType="end"/>
      </w:r>
      <w:r w:rsidRPr="00215B2F">
        <w:rPr>
          <w:rFonts w:ascii="Arial" w:hAnsi="Arial" w:cs="Arial"/>
          <w:b/>
          <w:bCs/>
          <w:sz w:val="20"/>
          <w:szCs w:val="20"/>
        </w:rPr>
        <w:t>. členu (veljavni 316. člen ZBan-3)</w:t>
      </w:r>
    </w:p>
    <w:p w14:paraId="647F5D5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52C3D8E" w14:textId="1B1474A6"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w:t>
      </w:r>
      <w:r w:rsidR="00E35A59" w:rsidRPr="00215B2F">
        <w:rPr>
          <w:rFonts w:ascii="Arial" w:hAnsi="Arial" w:cs="Arial"/>
          <w:sz w:val="20"/>
          <w:szCs w:val="20"/>
        </w:rPr>
        <w:t>3</w:t>
      </w:r>
      <w:r w:rsidRPr="00215B2F">
        <w:rPr>
          <w:rFonts w:ascii="Arial" w:hAnsi="Arial" w:cs="Arial"/>
          <w:sz w:val="20"/>
          <w:szCs w:val="20"/>
        </w:rPr>
        <w:t xml:space="preserve"> (316. člen) ni vsebinskih sprememb. V členu je v skladu z 41. členom CRD urejena obveznost Banke Slovenije banki izreči ustrezne ukrepe nadzora glede kršitve, storjene na območju druge države članice.</w:t>
      </w:r>
    </w:p>
    <w:p w14:paraId="0D42227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D31EE3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_Ref202968020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403</w:t>
      </w:r>
      <w:r w:rsidRPr="00215B2F">
        <w:rPr>
          <w:rFonts w:ascii="Arial" w:hAnsi="Arial" w:cs="Arial"/>
          <w:b/>
          <w:bCs/>
          <w:sz w:val="20"/>
          <w:szCs w:val="20"/>
        </w:rPr>
        <w:fldChar w:fldCharType="end"/>
      </w:r>
      <w:r w:rsidRPr="00215B2F">
        <w:rPr>
          <w:rFonts w:ascii="Arial" w:hAnsi="Arial" w:cs="Arial"/>
          <w:b/>
          <w:bCs/>
          <w:sz w:val="20"/>
          <w:szCs w:val="20"/>
        </w:rPr>
        <w:t>. členu (veljavni 317. člen ZBan-3)</w:t>
      </w:r>
    </w:p>
    <w:p w14:paraId="3F8BFDB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891DBA7" w14:textId="7ACBCDF5"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w:t>
      </w:r>
      <w:r w:rsidR="00E35A59" w:rsidRPr="00215B2F">
        <w:rPr>
          <w:rFonts w:ascii="Arial" w:hAnsi="Arial" w:cs="Arial"/>
          <w:sz w:val="20"/>
          <w:szCs w:val="20"/>
        </w:rPr>
        <w:t xml:space="preserve">3 </w:t>
      </w:r>
      <w:r w:rsidRPr="00215B2F">
        <w:rPr>
          <w:rFonts w:ascii="Arial" w:hAnsi="Arial" w:cs="Arial"/>
          <w:sz w:val="20"/>
          <w:szCs w:val="20"/>
        </w:rPr>
        <w:t xml:space="preserve">(317. člen) ni vsebinskih sprememb. Ta člen določa obveznost za Banko Slovenije glede pisnega obveščanja pristojnih organov držav članic, če banki, ki opravlja storitve v teh državah članicah, odvzame dovoljenje za opravljanje bančnih storitev oziroma ji prepove opravljati posamezne storitve. </w:t>
      </w:r>
    </w:p>
    <w:p w14:paraId="0EA4850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88F9AE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_Ref202968027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404</w:t>
      </w:r>
      <w:r w:rsidRPr="00215B2F">
        <w:rPr>
          <w:rFonts w:ascii="Arial" w:hAnsi="Arial" w:cs="Arial"/>
          <w:b/>
          <w:bCs/>
          <w:sz w:val="20"/>
          <w:szCs w:val="20"/>
        </w:rPr>
        <w:fldChar w:fldCharType="end"/>
      </w:r>
      <w:r w:rsidRPr="00215B2F">
        <w:rPr>
          <w:rFonts w:ascii="Arial" w:hAnsi="Arial" w:cs="Arial"/>
          <w:b/>
          <w:bCs/>
          <w:sz w:val="20"/>
          <w:szCs w:val="20"/>
        </w:rPr>
        <w:t>. členu (veljavni 318. člen ZBan-3)</w:t>
      </w:r>
    </w:p>
    <w:p w14:paraId="18378A4F"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25C1B71E" w14:textId="77A91F0B"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(318. člen) ni vsebinskih sprememb. Pod</w:t>
      </w:r>
      <w:r w:rsidR="00653598" w:rsidRPr="00215B2F">
        <w:rPr>
          <w:rFonts w:ascii="Arial" w:hAnsi="Arial" w:cs="Arial"/>
          <w:sz w:val="20"/>
          <w:szCs w:val="20"/>
        </w:rPr>
        <w:t>oddelek</w:t>
      </w:r>
      <w:r w:rsidRPr="00215B2F">
        <w:rPr>
          <w:rFonts w:ascii="Arial" w:hAnsi="Arial" w:cs="Arial"/>
          <w:sz w:val="20"/>
          <w:szCs w:val="20"/>
        </w:rPr>
        <w:t xml:space="preserve"> 10.2 ureja nadzor nad poslovanjem banke države članice na območju Republike Slovenije. Ureditev te oblike posebnega nadzora smiselno sledi ureditvi nadzora nad banko v zvezi s poslovanjem na območju druge države članice. Tako je v členu določeno, na kakšen način Banka Slovenije sodeluje s pristojnim organom države članice z namenom izvajanja nadzora nad poslovanjem banke države članice, ki opravlja storitve neposredno ali prek podružnice v Republiki Sloveniji. Gre zlasti za izmenjavo informacij, ki so ključne ali pomembne za izvajanje nadzora nad banko države članice, vključno z informacijami glede likvidnosti, kapitalske ustreznosti, jamstva za vloge, omejitev velikih izpostavljenosti, mehanizma notranjih kontrol ter glede drugih dejavnikov, ki lahko vplivajo na sistemsko tveganje, ki ga pomeni banka države članice v Republiki Sloveniji.</w:t>
      </w:r>
    </w:p>
    <w:p w14:paraId="139AB92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1BD593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_Ref202968035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405</w:t>
      </w:r>
      <w:r w:rsidRPr="00215B2F">
        <w:rPr>
          <w:rFonts w:ascii="Arial" w:hAnsi="Arial" w:cs="Arial"/>
          <w:b/>
          <w:bCs/>
          <w:sz w:val="20"/>
          <w:szCs w:val="20"/>
        </w:rPr>
        <w:fldChar w:fldCharType="end"/>
      </w:r>
      <w:r w:rsidRPr="00215B2F">
        <w:rPr>
          <w:rFonts w:ascii="Arial" w:hAnsi="Arial" w:cs="Arial"/>
          <w:b/>
          <w:bCs/>
          <w:sz w:val="20"/>
          <w:szCs w:val="20"/>
        </w:rPr>
        <w:t>. členu (veljavni 319. člen ZBan-3)</w:t>
      </w:r>
    </w:p>
    <w:p w14:paraId="48157E1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B92CE4E"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(319. člen) ni vsebinskih sprememb.</w:t>
      </w:r>
      <w:r w:rsidRPr="00215B2F">
        <w:rPr>
          <w:rFonts w:ascii="Arial" w:hAnsi="Arial" w:cs="Arial"/>
          <w:b/>
          <w:sz w:val="20"/>
          <w:szCs w:val="20"/>
        </w:rPr>
        <w:t xml:space="preserve"> </w:t>
      </w:r>
      <w:r w:rsidRPr="00215B2F">
        <w:rPr>
          <w:rFonts w:ascii="Arial" w:hAnsi="Arial" w:cs="Arial"/>
          <w:sz w:val="20"/>
          <w:szCs w:val="20"/>
        </w:rPr>
        <w:t>Ta člen ureja pogoje in način opredelitve podružnice banke države članice kot pomembne. Takšna opredelitev je zlasti pomembna za izvajanje nalog pristojnega organa države članice v zvezi s to podružnico, medtem ko ne vpliva na pristojnosti in odgovornosti Banke Slovenije po tem zakonu.</w:t>
      </w:r>
    </w:p>
    <w:p w14:paraId="4A018F0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8D7FF3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_Ref202968041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406</w:t>
      </w:r>
      <w:r w:rsidRPr="00215B2F">
        <w:rPr>
          <w:rFonts w:ascii="Arial" w:hAnsi="Arial" w:cs="Arial"/>
          <w:b/>
          <w:bCs/>
          <w:sz w:val="20"/>
          <w:szCs w:val="20"/>
        </w:rPr>
        <w:fldChar w:fldCharType="end"/>
      </w:r>
      <w:r w:rsidRPr="00215B2F">
        <w:rPr>
          <w:rFonts w:ascii="Arial" w:hAnsi="Arial" w:cs="Arial"/>
          <w:b/>
          <w:bCs/>
          <w:sz w:val="20"/>
          <w:szCs w:val="20"/>
        </w:rPr>
        <w:t>. členu (veljavni 320. člen ZBan-3)</w:t>
      </w:r>
    </w:p>
    <w:p w14:paraId="5165CED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9BE133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(320. člen) ni vsebinskih sprememb. V členu je v skladu z 52. členom CRD urejen postopek opravljanja pregleda poslovanja podružnice banke države članice. Tudi ta ureditev smiselno sledi ureditvi v primeru, ko Banka Slovenije namerava opraviti pregled poslovanja podružnice banke v državi članici. O nameravanem pregledu poslovanja mora tako pristojni organ države članice predhodno obvestiti Banko Slovenije, ki se lahko pregleda udeleži, lahko pa le zaprosi, da Banka Slovenije opravi pregled poslovanja podružnice banke te države članice. Banka Slovenije lahko od podružnice zahteva tudi vse informacije o njenem poslovanju, če so te informacije pomembne za oceno tveganja podružnice za stabilnost finančnega sistema Republike Slovenije, in jih pošlje pristojnemu organu države članice.</w:t>
      </w:r>
    </w:p>
    <w:p w14:paraId="1BF3BC1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082633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_Ref202968046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407</w:t>
      </w:r>
      <w:r w:rsidRPr="00215B2F">
        <w:rPr>
          <w:rFonts w:ascii="Arial" w:hAnsi="Arial" w:cs="Arial"/>
          <w:b/>
          <w:bCs/>
          <w:sz w:val="20"/>
          <w:szCs w:val="20"/>
        </w:rPr>
        <w:fldChar w:fldCharType="end"/>
      </w:r>
      <w:r w:rsidRPr="00215B2F">
        <w:rPr>
          <w:rFonts w:ascii="Arial" w:hAnsi="Arial" w:cs="Arial"/>
          <w:b/>
          <w:bCs/>
          <w:sz w:val="20"/>
          <w:szCs w:val="20"/>
        </w:rPr>
        <w:t>. členu (veljavni 321. člen ZBan-3)</w:t>
      </w:r>
    </w:p>
    <w:p w14:paraId="55241D2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580212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lastRenderedPageBreak/>
        <w:t>V primerjavi z ZBan-3 (321. člen) ni vsebinskih sprememb. Člen določa obveznost poročanja banke države članice, ki prek podružnice opravlja storitve v Republiki Sloveniji, Banki Slovenije.</w:t>
      </w:r>
    </w:p>
    <w:p w14:paraId="7F86001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2BF0B8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_Ref202968060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408</w:t>
      </w:r>
      <w:r w:rsidRPr="00215B2F">
        <w:rPr>
          <w:rFonts w:ascii="Arial" w:hAnsi="Arial" w:cs="Arial"/>
          <w:b/>
          <w:bCs/>
          <w:sz w:val="20"/>
          <w:szCs w:val="20"/>
        </w:rPr>
        <w:fldChar w:fldCharType="end"/>
      </w:r>
      <w:r w:rsidRPr="00215B2F">
        <w:rPr>
          <w:rFonts w:ascii="Arial" w:hAnsi="Arial" w:cs="Arial"/>
          <w:b/>
          <w:bCs/>
          <w:sz w:val="20"/>
          <w:szCs w:val="20"/>
        </w:rPr>
        <w:t>. členu (veljavni 322. člen ZBan-3)</w:t>
      </w:r>
    </w:p>
    <w:p w14:paraId="062B619E"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494C96C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(322. člen) ni vsebinskih sprememb. Če banka države članice, ki opravlja storitve na območju Republike Slovenije, krši zahteve, ki jih določa ta zakon, mora v prvi vrsti ukrepati pristojni organ države članice, vendar pa lahko z namenom zaščite javne koristi ukrepa tudi Banka Slovenije, in sicer z odredbo naloži odpravo kršitev ali ji izreče druge ukrepe po tem zakonu. Dodatno lahko v primeru, ko pristojni organ ni ukrepal zoper banko države članice ali sprejeti ukrepi niso ustrezni, Banka Slovenije, potem ko je obvestila pristojni organ države članice in Evropski bančni organ, sprejme ukrepe v skladu s tem zakonom z namenom, da se preprečijo nadaljnje kršitve banke države članice pri poslovanju v Republiki Slovenije ter da se zaščitijo interesi vlagateljev, investitorjev in drugih, za katere se opravljajo storitve, ali da se zagotovi stabilnost finančnega sistema. Pod pogoji, določenimi v tem členu, lahko Banka Slovenije sprejme tudi začasne ukrepe, ki morajo biti sorazmerni z namenom, zaradi katerih so bili uporabljeni. </w:t>
      </w:r>
    </w:p>
    <w:p w14:paraId="1A40585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189962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_Ref202968067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409</w:t>
      </w:r>
      <w:r w:rsidRPr="00215B2F">
        <w:rPr>
          <w:rFonts w:ascii="Arial" w:hAnsi="Arial" w:cs="Arial"/>
          <w:b/>
          <w:bCs/>
          <w:sz w:val="20"/>
          <w:szCs w:val="20"/>
        </w:rPr>
        <w:fldChar w:fldCharType="end"/>
      </w:r>
      <w:r w:rsidRPr="00215B2F">
        <w:rPr>
          <w:rFonts w:ascii="Arial" w:hAnsi="Arial" w:cs="Arial"/>
          <w:b/>
          <w:bCs/>
          <w:sz w:val="20"/>
          <w:szCs w:val="20"/>
        </w:rPr>
        <w:t>. členu (veljavni 323. člen ZBan-3)</w:t>
      </w:r>
    </w:p>
    <w:p w14:paraId="06518DB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1B6668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(323. člen) ni vsebinskih sprememb. Ta člen določa ravnanje Banke Slovenije v primeru, ko jo pristojni organ države članice sedeža banke obvesti, da je bilo banki, ki neposredno ali prek podružnice opravlja storitve v Republiki Sloveniji, odvzeto dovoljenje za opravljanje bančnih storitev oziroma ji je bilo prepovedano opravljati posamezne storitve.</w:t>
      </w:r>
    </w:p>
    <w:p w14:paraId="4D87C94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D412472"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_Ref202968074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410</w:t>
      </w:r>
      <w:r w:rsidRPr="00215B2F">
        <w:rPr>
          <w:rFonts w:cs="Arial"/>
          <w:b/>
          <w:bCs/>
          <w:sz w:val="20"/>
          <w:szCs w:val="20"/>
        </w:rPr>
        <w:fldChar w:fldCharType="end"/>
      </w:r>
      <w:r w:rsidRPr="00215B2F">
        <w:rPr>
          <w:rFonts w:cs="Arial"/>
          <w:b/>
          <w:bCs/>
          <w:sz w:val="20"/>
          <w:szCs w:val="20"/>
        </w:rPr>
        <w:t xml:space="preserve">. členu </w:t>
      </w:r>
    </w:p>
    <w:p w14:paraId="77202C1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8483FCE"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člena se določa, da se predmetno poglavje uporablja za skupine investicijskih podjetij, če za vsaj eno podjetje v skupini velja Uredba 575/2013/EU na podlagi Uredbe 2019/2033/EU. Če pa za nobeno podjetje v skupini ta uredba ne velja, se poglavje ne uporablja. Gre za prenos 110.a člena CRD. </w:t>
      </w:r>
    </w:p>
    <w:p w14:paraId="76C4866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C64B23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_Ref202968084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411</w:t>
      </w:r>
      <w:r w:rsidRPr="00215B2F">
        <w:rPr>
          <w:rFonts w:ascii="Arial" w:hAnsi="Arial" w:cs="Arial"/>
          <w:b/>
          <w:bCs/>
          <w:sz w:val="20"/>
          <w:szCs w:val="20"/>
        </w:rPr>
        <w:fldChar w:fldCharType="end"/>
      </w:r>
      <w:r w:rsidRPr="00215B2F">
        <w:rPr>
          <w:rFonts w:ascii="Arial" w:hAnsi="Arial" w:cs="Arial"/>
          <w:b/>
          <w:bCs/>
          <w:sz w:val="20"/>
          <w:szCs w:val="20"/>
        </w:rPr>
        <w:t>. členu (veljavni 324. člen ZBan-3)</w:t>
      </w:r>
    </w:p>
    <w:p w14:paraId="6E1707E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497343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(324. člen) ni vsebinskih sprememb. Banka Slovenije je pristojna za nadzor na konsolidirani podlagi, kadar nadzoruje nadrejeno banko v Sloveniji ali EU oziroma kadar je banka podrejena določenim investicijskim podjetjem ali (mešanim) finančnim holdingom. Pristojnost temelji na velikosti bilančne vsote v primerjavi z drugimi povezanimi institucijami v skupini. Tudi če je konsolidacija zahtevana na podlagi Uredbe 575/2013/EU ali če se z drugim pristojnim organom doseže dogovor, lahko Banka Slovenije prevzame ta nadzor. Če v skupini ni podrejene banke in je nadrejeni subjekt investicijsko podjetje s sedežem v Sloveniji, nadzor opravlja Agencija za trg vrednostnih papirjev. Določbe se smiselno uporabljajo tudi za investicijska podjetja, finančni holdingi pa so vključeni v nadzor Banke Slovenije, razen če zakon določa drugače. Gre za prenos prvega do petega odstavka 111. člena CRD. </w:t>
      </w:r>
    </w:p>
    <w:p w14:paraId="37BAC8D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3B8D0E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_Ref202968093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412</w:t>
      </w:r>
      <w:r w:rsidRPr="00215B2F">
        <w:rPr>
          <w:rFonts w:ascii="Arial" w:hAnsi="Arial" w:cs="Arial"/>
          <w:b/>
          <w:bCs/>
          <w:sz w:val="20"/>
          <w:szCs w:val="20"/>
        </w:rPr>
        <w:fldChar w:fldCharType="end"/>
      </w:r>
      <w:r w:rsidRPr="00215B2F">
        <w:rPr>
          <w:rFonts w:ascii="Arial" w:hAnsi="Arial" w:cs="Arial"/>
          <w:b/>
          <w:bCs/>
          <w:sz w:val="20"/>
          <w:szCs w:val="20"/>
        </w:rPr>
        <w:t>. členu (veljavni 325. člen ZBan-3)</w:t>
      </w:r>
    </w:p>
    <w:p w14:paraId="3433091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4F12CD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(325. člen) ni vsebinskih sprememb. V členu je v skladu s členom 111(5) CRD določena podlaga za dogovor o prenosu ali prevzemu pristojnosti med nadzornimi organi držav članic.</w:t>
      </w:r>
    </w:p>
    <w:p w14:paraId="5351503A"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je pristojna za nadzor na konsolidirani podlagi, kadar nadzoruje nadrejeno banko ali kadar je banka podrejena investicijskim podjetjem ali (mešanim) finančnim holdingom iz Slovenije ali EU. Pristojnost temelji na primerjavi bilančnih vsot v skupini, pri čemer Banka Slovenije nadzira skupino, če ima največji delež. Nadzor lahko prevzame tudi na podlagi dogovora z drugim organom. Če v skupini ni banke, nadzor opravlja Agencija za trg vrednostnih papirjev. Določbe se uporabljajo tudi za investicijska podjetja, finančni holdingi z bankami pa so vključeni v nadzor Banke Slovenije, razen če zakon določa drugače.</w:t>
      </w:r>
    </w:p>
    <w:p w14:paraId="717F960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6ABD6B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_Ref202968099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413</w:t>
      </w:r>
      <w:r w:rsidRPr="00215B2F">
        <w:rPr>
          <w:rFonts w:ascii="Arial" w:hAnsi="Arial" w:cs="Arial"/>
          <w:b/>
          <w:bCs/>
          <w:sz w:val="20"/>
          <w:szCs w:val="20"/>
        </w:rPr>
        <w:fldChar w:fldCharType="end"/>
      </w:r>
      <w:r w:rsidRPr="00215B2F">
        <w:rPr>
          <w:rFonts w:ascii="Arial" w:hAnsi="Arial" w:cs="Arial"/>
          <w:b/>
          <w:bCs/>
          <w:sz w:val="20"/>
          <w:szCs w:val="20"/>
        </w:rPr>
        <w:t>. členu (veljavni 326. člen ZBan-3)</w:t>
      </w:r>
    </w:p>
    <w:p w14:paraId="49594FF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25ECCD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(326. člen) ni vsebinskih sprememb. V členu so v skladu s 112. členom CRD določene dodatne naloge Banke Slovenije v zvezi z nadzorom na konsolidirani podlagi. Dodatne naloge </w:t>
      </w:r>
      <w:r w:rsidRPr="00215B2F">
        <w:rPr>
          <w:rFonts w:ascii="Arial" w:hAnsi="Arial" w:cs="Arial"/>
          <w:sz w:val="20"/>
          <w:szCs w:val="20"/>
        </w:rPr>
        <w:lastRenderedPageBreak/>
        <w:t>se nanašajo na usklajevanje zbiranja in pošiljanja ključnih informacij med pristojnimi organi, vključenimi v nadzor na konsolidirani podlagi, ter na načrtovanje in usklajevanje izvajanja nadzora.</w:t>
      </w:r>
    </w:p>
    <w:p w14:paraId="09E540D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AF4CE0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_Ref202968105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414</w:t>
      </w:r>
      <w:r w:rsidRPr="00215B2F">
        <w:rPr>
          <w:rFonts w:ascii="Arial" w:hAnsi="Arial" w:cs="Arial"/>
          <w:b/>
          <w:bCs/>
          <w:sz w:val="20"/>
          <w:szCs w:val="20"/>
        </w:rPr>
        <w:fldChar w:fldCharType="end"/>
      </w:r>
      <w:r w:rsidRPr="00215B2F">
        <w:rPr>
          <w:rFonts w:ascii="Arial" w:hAnsi="Arial" w:cs="Arial"/>
          <w:b/>
          <w:bCs/>
          <w:sz w:val="20"/>
          <w:szCs w:val="20"/>
        </w:rPr>
        <w:t>. členu (veljavni 327. člen ZBan-3)</w:t>
      </w:r>
    </w:p>
    <w:p w14:paraId="5C8F9D5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C9340B6"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(327. člen) ni vsebinskih sprememb. Banka Slovenije kot konsolidacijski nadzornik v sodelovanju z drugimi pristojnimi organi EU sprejema skupne odločitve glede kapitalske ustreznosti, obvladovanja likvidnostnega tveganja in dodatnih kapitalskih zahtev za bančne skupine. Te odločitve morajo biti sprejete v štirih mesecih po predložitvi ustreznih poročil. Če soglasje ni doseženo, lahko Banka Slovenije ali drug organ sproži postopek pri Evropskem bančnem organu (EBA), sicer Banka Slovenije sama sprejme odločitev, ki jo mora pisno utemeljiti in upoštevati mnenja drugih organov. Če nadzor izvaja tuj nadzornik, lahko Banka Slovenije samostojno odloča za banke v Sloveniji. Vse odločitve je treba posodabljati najmanj enkrat letno ali na utemeljeno zahtevo drugega nadzornega organa. Med drugim gre za prenos prvega in drugega odstavka 113. člena CRD. </w:t>
      </w:r>
    </w:p>
    <w:p w14:paraId="08264B8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02B4EF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_Ref202968120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415</w:t>
      </w:r>
      <w:r w:rsidRPr="00215B2F">
        <w:rPr>
          <w:rFonts w:ascii="Arial" w:hAnsi="Arial" w:cs="Arial"/>
          <w:b/>
          <w:bCs/>
          <w:sz w:val="20"/>
          <w:szCs w:val="20"/>
        </w:rPr>
        <w:fldChar w:fldCharType="end"/>
      </w:r>
      <w:r w:rsidRPr="00215B2F">
        <w:rPr>
          <w:rFonts w:ascii="Arial" w:hAnsi="Arial" w:cs="Arial"/>
          <w:b/>
          <w:bCs/>
          <w:sz w:val="20"/>
          <w:szCs w:val="20"/>
        </w:rPr>
        <w:t>. členu (veljavni 328. člen ZBan-3)</w:t>
      </w:r>
    </w:p>
    <w:p w14:paraId="5881D916"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0871FC09" w14:textId="77777777" w:rsidR="0010347E" w:rsidRPr="00215B2F" w:rsidRDefault="0010347E" w:rsidP="0010347E">
      <w:pPr>
        <w:pStyle w:val="tevilnatoka"/>
        <w:numPr>
          <w:ilvl w:val="0"/>
          <w:numId w:val="0"/>
        </w:numPr>
        <w:shd w:val="clear" w:color="auto" w:fill="FFFFFF" w:themeFill="background1"/>
        <w:rPr>
          <w:rFonts w:cs="Arial"/>
          <w:sz w:val="20"/>
          <w:szCs w:val="20"/>
        </w:rPr>
      </w:pPr>
      <w:r w:rsidRPr="00215B2F">
        <w:rPr>
          <w:rFonts w:cs="Arial"/>
          <w:sz w:val="20"/>
          <w:szCs w:val="20"/>
        </w:rPr>
        <w:t>V primerjavi z ZBan-3 (328. člen) ni vsebinskih sprememb.</w:t>
      </w:r>
      <w:r w:rsidRPr="00215B2F">
        <w:rPr>
          <w:rFonts w:eastAsiaTheme="minorHAnsi" w:cs="Arial"/>
          <w:kern w:val="2"/>
          <w:sz w:val="24"/>
          <w:szCs w:val="24"/>
          <w:lang w:eastAsia="en-US"/>
          <w14:ligatures w14:val="standardContextual"/>
        </w:rPr>
        <w:t xml:space="preserve"> </w:t>
      </w:r>
      <w:r w:rsidRPr="00215B2F">
        <w:rPr>
          <w:rFonts w:cs="Arial"/>
          <w:sz w:val="20"/>
          <w:szCs w:val="20"/>
        </w:rPr>
        <w:t xml:space="preserve">Banka Slovenije kot konsolidacijski nadzornik ustanovi kolegij pristojnih organov za učinkovito sodelovanje z drugimi nadzornimi organi EU (in po potrebi tudi tretjih držav) pri nadzoru čezmejnih bančnih skupin. Kolegij omogoča izmenjavo informacij, usklajevanje nadzorniških nalog, pripravo skupnih nadzornih načrtov ter dosledno uporabo bonitetnih zahtev. V kolegiju lahko sodelujejo tudi centralne banke, organi tretjih držav in organi držav, kjer imajo pomembne podružnice. Banka Slovenije vodi kolegij, obvešča člane in Evropski bančni organ o ključnih dejavnostih ter upošteva učinke odločitev na stabilnost finančnega sistema drugih držav. Ustanovitev kolegija ne vpliva na pristojnosti Banke Slovenije, ki sodeluje tudi v kolegijih, ki jih vodijo organi drugih držav članic. S členom se prenaša 116. člen CRD, ki ureja ustanovitev, sestavo in pristojnosti kolegija pristojnih organov, ki ga vodi Banka Slovenije kot konsolidacijski nadzornik. </w:t>
      </w:r>
    </w:p>
    <w:p w14:paraId="17DE8CF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FD35D5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_Ref202968128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416</w:t>
      </w:r>
      <w:r w:rsidRPr="00215B2F">
        <w:rPr>
          <w:rFonts w:ascii="Arial" w:hAnsi="Arial" w:cs="Arial"/>
          <w:b/>
          <w:bCs/>
          <w:sz w:val="20"/>
          <w:szCs w:val="20"/>
        </w:rPr>
        <w:fldChar w:fldCharType="end"/>
      </w:r>
      <w:r w:rsidRPr="00215B2F">
        <w:rPr>
          <w:rFonts w:ascii="Arial" w:hAnsi="Arial" w:cs="Arial"/>
          <w:b/>
          <w:bCs/>
          <w:sz w:val="20"/>
          <w:szCs w:val="20"/>
        </w:rPr>
        <w:t>. členu (veljavni 329. člen ZBan-3)</w:t>
      </w:r>
    </w:p>
    <w:p w14:paraId="7AB18D0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87B3F8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(329. člen) ni vsebinskih sprememb. V členu je v skladu s 114. členom CRD urejena obveznost Banke Slovenije kot konsolidacijskega nadzornika obvestiti druge organe o morebitnem nastopu kriznih razmer.</w:t>
      </w:r>
    </w:p>
    <w:p w14:paraId="7B3FC6C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8B9796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_Ref202968133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417</w:t>
      </w:r>
      <w:r w:rsidRPr="00215B2F">
        <w:rPr>
          <w:rFonts w:ascii="Arial" w:hAnsi="Arial" w:cs="Arial"/>
          <w:b/>
          <w:bCs/>
          <w:sz w:val="20"/>
          <w:szCs w:val="20"/>
        </w:rPr>
        <w:fldChar w:fldCharType="end"/>
      </w:r>
      <w:r w:rsidRPr="00215B2F">
        <w:rPr>
          <w:rFonts w:ascii="Arial" w:hAnsi="Arial" w:cs="Arial"/>
          <w:b/>
          <w:bCs/>
          <w:sz w:val="20"/>
          <w:szCs w:val="20"/>
        </w:rPr>
        <w:t>. členu (veljavni 330. člen ZBan-3)</w:t>
      </w:r>
    </w:p>
    <w:p w14:paraId="5E72B4B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18AA917"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(330. člen) ni vsebinskih sprememb.</w:t>
      </w:r>
      <w:r w:rsidRPr="00215B2F">
        <w:rPr>
          <w:rFonts w:ascii="Arial" w:hAnsi="Arial" w:cs="Arial"/>
          <w:b/>
          <w:sz w:val="20"/>
          <w:szCs w:val="20"/>
        </w:rPr>
        <w:t xml:space="preserve"> </w:t>
      </w:r>
      <w:r w:rsidRPr="00215B2F">
        <w:rPr>
          <w:rFonts w:ascii="Arial" w:hAnsi="Arial" w:cs="Arial"/>
          <w:sz w:val="20"/>
          <w:szCs w:val="20"/>
        </w:rPr>
        <w:t>V členu je v skladu s členom 114 (2) CRD urejen postopek pridobivanja informacij od drugih nadzornih organov z namenom preprečiti podvajanje pošiljanja teh informacij različnim nadzornim organom.</w:t>
      </w:r>
    </w:p>
    <w:p w14:paraId="6F85B96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827CEA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_Ref202968143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418</w:t>
      </w:r>
      <w:r w:rsidRPr="00215B2F">
        <w:rPr>
          <w:rFonts w:ascii="Arial" w:hAnsi="Arial" w:cs="Arial"/>
          <w:b/>
          <w:bCs/>
          <w:sz w:val="20"/>
          <w:szCs w:val="20"/>
        </w:rPr>
        <w:fldChar w:fldCharType="end"/>
      </w:r>
      <w:r w:rsidRPr="00215B2F">
        <w:rPr>
          <w:rFonts w:ascii="Arial" w:hAnsi="Arial" w:cs="Arial"/>
          <w:b/>
          <w:bCs/>
          <w:sz w:val="20"/>
          <w:szCs w:val="20"/>
        </w:rPr>
        <w:t>. členu (veljavni 331. člen ZBan-3)</w:t>
      </w:r>
    </w:p>
    <w:p w14:paraId="2A30F70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38281B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(331. člen) ni vsebinskih sprememb.</w:t>
      </w:r>
      <w:r w:rsidRPr="00215B2F">
        <w:rPr>
          <w:rFonts w:ascii="Arial" w:hAnsi="Arial" w:cs="Arial"/>
          <w:b/>
          <w:sz w:val="20"/>
          <w:szCs w:val="20"/>
        </w:rPr>
        <w:t xml:space="preserve"> </w:t>
      </w:r>
      <w:r w:rsidRPr="00215B2F">
        <w:rPr>
          <w:rFonts w:ascii="Arial" w:hAnsi="Arial" w:cs="Arial"/>
          <w:sz w:val="20"/>
          <w:szCs w:val="20"/>
        </w:rPr>
        <w:t>V členu je v skladu s 115. členom CRD urejena obveznost Banke Slovenije, da s pisnimi dogovori z drugimi nadzornimi organi uredi medsebojna razmerja glede opravljanja nadzora na konsolidirani podlagi. S tovrstnimi dogovori se lahko</w:t>
      </w:r>
    </w:p>
    <w:p w14:paraId="30B73B13" w14:textId="77777777" w:rsidR="0010347E" w:rsidRPr="00215B2F" w:rsidRDefault="0010347E" w:rsidP="0010347E">
      <w:pPr>
        <w:pStyle w:val="tevilnatoka"/>
        <w:numPr>
          <w:ilvl w:val="0"/>
          <w:numId w:val="0"/>
        </w:numPr>
        <w:shd w:val="clear" w:color="auto" w:fill="FFFFFF" w:themeFill="background1"/>
        <w:rPr>
          <w:rFonts w:eastAsiaTheme="minorHAnsi" w:cs="Arial"/>
          <w:kern w:val="2"/>
          <w:sz w:val="20"/>
          <w:szCs w:val="20"/>
          <w:lang w:eastAsia="en-US"/>
          <w14:ligatures w14:val="standardContextual"/>
        </w:rPr>
      </w:pPr>
      <w:r w:rsidRPr="00215B2F">
        <w:rPr>
          <w:rFonts w:eastAsiaTheme="minorHAnsi" w:cs="Arial"/>
          <w:kern w:val="2"/>
          <w:sz w:val="20"/>
          <w:szCs w:val="20"/>
          <w:lang w:eastAsia="en-US"/>
          <w14:ligatures w14:val="standardContextual"/>
        </w:rPr>
        <w:t xml:space="preserve">določijo dodatne naloge za konsolidacijskega nadzornika, postopki za sprejemanje odločitev ter sodelovanje z drugimi pristojnimi organi. Banka Slovenije ima možnost prenesti pristojnost za nadzor nad podrejeno banko na pristojni organ druge države članice, če ta nadzoruje nadrejeno banko. Poleg tega lahko prevzame odgovornost za nadzor nad podrejeno družbo v drugi državi članici, če je pristojna za nadzor nad nadrejeno banko in o tem obvesti Evropski bančni organ. </w:t>
      </w:r>
    </w:p>
    <w:p w14:paraId="00620978" w14:textId="77777777" w:rsidR="0010347E" w:rsidRPr="00215B2F" w:rsidRDefault="0010347E" w:rsidP="0010347E">
      <w:pPr>
        <w:pStyle w:val="tevilnatoka"/>
        <w:numPr>
          <w:ilvl w:val="0"/>
          <w:numId w:val="0"/>
        </w:numPr>
        <w:shd w:val="clear" w:color="auto" w:fill="FFFFFF" w:themeFill="background1"/>
        <w:rPr>
          <w:rFonts w:eastAsiaTheme="minorHAnsi" w:cs="Arial"/>
          <w:kern w:val="2"/>
          <w:sz w:val="20"/>
          <w:szCs w:val="20"/>
          <w:lang w:eastAsia="en-US"/>
          <w14:ligatures w14:val="standardContextual"/>
        </w:rPr>
      </w:pPr>
    </w:p>
    <w:p w14:paraId="4C11F199" w14:textId="77777777" w:rsidR="0010347E" w:rsidRPr="00215B2F" w:rsidRDefault="0010347E" w:rsidP="0010347E">
      <w:pPr>
        <w:pStyle w:val="tevilnatoka"/>
        <w:numPr>
          <w:ilvl w:val="0"/>
          <w:numId w:val="0"/>
        </w:numPr>
        <w:shd w:val="clear" w:color="auto" w:fill="FFFFFF" w:themeFill="background1"/>
        <w:rPr>
          <w:rFonts w:eastAsiaTheme="minorHAnsi" w:cs="Arial"/>
          <w:kern w:val="2"/>
          <w:sz w:val="20"/>
          <w:szCs w:val="20"/>
          <w:lang w:eastAsia="en-US"/>
          <w14:ligatures w14:val="standardContextual"/>
        </w:rPr>
      </w:pPr>
      <w:r w:rsidRPr="00215B2F">
        <w:rPr>
          <w:rFonts w:eastAsiaTheme="minorHAnsi" w:cs="Arial"/>
          <w:kern w:val="2"/>
          <w:sz w:val="20"/>
          <w:szCs w:val="20"/>
          <w:lang w:eastAsia="en-US"/>
          <w14:ligatures w14:val="standardContextual"/>
        </w:rPr>
        <w:t xml:space="preserve">Za namene nadzora </w:t>
      </w:r>
      <w:r w:rsidRPr="00215B2F">
        <w:rPr>
          <w:rFonts w:eastAsia="Arial" w:cs="Arial"/>
          <w:sz w:val="20"/>
          <w:szCs w:val="20"/>
        </w:rPr>
        <w:t xml:space="preserve">na konsolidirani podlagi v zvezi z odobrenim finančnim holdingom oziroma mešanim finančnim holdingom </w:t>
      </w:r>
      <w:r w:rsidRPr="00215B2F">
        <w:rPr>
          <w:rFonts w:eastAsiaTheme="minorHAnsi" w:cs="Arial"/>
          <w:kern w:val="2"/>
          <w:sz w:val="20"/>
          <w:szCs w:val="20"/>
          <w:lang w:eastAsia="en-US"/>
          <w14:ligatures w14:val="standardContextual"/>
        </w:rPr>
        <w:t xml:space="preserve">lahko Banka Slovenije sklene dogovor z drugimi pristojnimi organi, kjer je sedež tega holdinga, ali s konsolidacijskim nadzornikom. Če je sedež tega holdinga v Republiki Sloveniji, vendar Banka Slovenije ni konsolidacijski nadzornik, mora sodelovati s koordinatorjem v skladu z zakonom in ustreznimi uredbami. </w:t>
      </w:r>
    </w:p>
    <w:p w14:paraId="676E4C7A" w14:textId="77777777" w:rsidR="0010347E" w:rsidRPr="00215B2F" w:rsidRDefault="0010347E" w:rsidP="0010347E">
      <w:pPr>
        <w:pStyle w:val="tevilnatoka"/>
        <w:numPr>
          <w:ilvl w:val="0"/>
          <w:numId w:val="0"/>
        </w:numPr>
        <w:shd w:val="clear" w:color="auto" w:fill="FFFFFF" w:themeFill="background1"/>
        <w:rPr>
          <w:rFonts w:eastAsiaTheme="minorHAnsi" w:cs="Arial"/>
          <w:kern w:val="2"/>
          <w:sz w:val="20"/>
          <w:szCs w:val="20"/>
          <w:lang w:eastAsia="en-US"/>
          <w14:ligatures w14:val="standardContextual"/>
        </w:rPr>
      </w:pPr>
    </w:p>
    <w:p w14:paraId="0D78E101" w14:textId="77777777" w:rsidR="0010347E" w:rsidRPr="00215B2F" w:rsidRDefault="0010347E" w:rsidP="0010347E">
      <w:pPr>
        <w:pStyle w:val="tevilnatoka"/>
        <w:numPr>
          <w:ilvl w:val="0"/>
          <w:numId w:val="0"/>
        </w:numPr>
        <w:shd w:val="clear" w:color="auto" w:fill="FFFFFF" w:themeFill="background1"/>
        <w:rPr>
          <w:rFonts w:eastAsiaTheme="minorHAnsi" w:cs="Arial"/>
          <w:kern w:val="2"/>
          <w:sz w:val="20"/>
          <w:szCs w:val="20"/>
          <w:lang w:eastAsia="en-US"/>
          <w14:ligatures w14:val="standardContextual"/>
        </w:rPr>
      </w:pPr>
      <w:r w:rsidRPr="00215B2F">
        <w:rPr>
          <w:rFonts w:cs="Arial"/>
          <w:sz w:val="20"/>
          <w:szCs w:val="20"/>
        </w:rPr>
        <w:t xml:space="preserve">Kadar je Banka Slovenije konsolidacijski nadzornik skupine z nadrejenim mešanim finančnim holdingom, vendar ni koordinator v skladu z zakonom, ki ureja finančne konglomerate, Banka Slovenije </w:t>
      </w:r>
      <w:r w:rsidRPr="00215B2F">
        <w:rPr>
          <w:rFonts w:cs="Arial"/>
          <w:sz w:val="20"/>
          <w:szCs w:val="20"/>
        </w:rPr>
        <w:lastRenderedPageBreak/>
        <w:t>sodeluje s koordinatorjem na konsolidirani podlagi ter za učinkovito sodelovanje z njim sklene dogovor. Gre za prenos prvega odstavka 125. člena CRD.</w:t>
      </w:r>
    </w:p>
    <w:p w14:paraId="715CA06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983773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_Ref202968156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419</w:t>
      </w:r>
      <w:r w:rsidRPr="00215B2F">
        <w:rPr>
          <w:rFonts w:ascii="Arial" w:hAnsi="Arial" w:cs="Arial"/>
          <w:b/>
          <w:bCs/>
          <w:sz w:val="20"/>
          <w:szCs w:val="20"/>
        </w:rPr>
        <w:fldChar w:fldCharType="end"/>
      </w:r>
      <w:r w:rsidRPr="00215B2F">
        <w:rPr>
          <w:rFonts w:ascii="Arial" w:hAnsi="Arial" w:cs="Arial"/>
          <w:b/>
          <w:bCs/>
          <w:sz w:val="20"/>
          <w:szCs w:val="20"/>
        </w:rPr>
        <w:t>. členu (veljavni 332. člen ZBan-3)</w:t>
      </w:r>
    </w:p>
    <w:p w14:paraId="1381A8D7"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7036FF7E"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(332. člen) ni vsebinskih sprememb.</w:t>
      </w:r>
      <w:r w:rsidRPr="00215B2F">
        <w:rPr>
          <w:rFonts w:ascii="Arial" w:hAnsi="Arial" w:cs="Arial"/>
          <w:b/>
          <w:sz w:val="20"/>
          <w:szCs w:val="20"/>
        </w:rPr>
        <w:t xml:space="preserve"> </w:t>
      </w:r>
      <w:r w:rsidRPr="00215B2F">
        <w:rPr>
          <w:rFonts w:ascii="Arial" w:hAnsi="Arial" w:cs="Arial"/>
          <w:sz w:val="20"/>
          <w:szCs w:val="20"/>
        </w:rPr>
        <w:t>Ureditev v členu daje v skladu s 117. členom CRD ustrezno podlago za izmenjavo informacij med nadzornimi organi držav članic glede nadzora na konsolidirani podlagi.</w:t>
      </w:r>
    </w:p>
    <w:p w14:paraId="08F4783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5B5928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_Ref202968162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420</w:t>
      </w:r>
      <w:r w:rsidRPr="00215B2F">
        <w:rPr>
          <w:rFonts w:ascii="Arial" w:hAnsi="Arial" w:cs="Arial"/>
          <w:b/>
          <w:bCs/>
          <w:sz w:val="20"/>
          <w:szCs w:val="20"/>
        </w:rPr>
        <w:fldChar w:fldCharType="end"/>
      </w:r>
      <w:r w:rsidRPr="00215B2F">
        <w:rPr>
          <w:rFonts w:ascii="Arial" w:hAnsi="Arial" w:cs="Arial"/>
          <w:b/>
          <w:bCs/>
          <w:sz w:val="20"/>
          <w:szCs w:val="20"/>
        </w:rPr>
        <w:t>. členu (veljavni 333. člen ZBan-3)</w:t>
      </w:r>
    </w:p>
    <w:p w14:paraId="41C4159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A7E4BE8"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(333. člen) ni vsebinskih sprememb.</w:t>
      </w:r>
      <w:r w:rsidRPr="00215B2F">
        <w:rPr>
          <w:rFonts w:ascii="Arial" w:hAnsi="Arial" w:cs="Arial"/>
          <w:b/>
          <w:sz w:val="20"/>
          <w:szCs w:val="20"/>
        </w:rPr>
        <w:t xml:space="preserve"> </w:t>
      </w:r>
      <w:r w:rsidRPr="00215B2F">
        <w:rPr>
          <w:rFonts w:ascii="Arial" w:hAnsi="Arial" w:cs="Arial"/>
          <w:sz w:val="20"/>
          <w:szCs w:val="20"/>
        </w:rPr>
        <w:t>V členu je v skladu s členom 117 (4) CRD urejena obveznost Banke Slovenije, da se posvetuje z nadzornimi organi drugih držav članic glede odločitev, ki so pomembne tudi za opravljanje njihovih nadzornih nalog.</w:t>
      </w:r>
    </w:p>
    <w:p w14:paraId="7A32C04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80711B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_Ref202968172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421</w:t>
      </w:r>
      <w:r w:rsidRPr="00215B2F">
        <w:rPr>
          <w:rFonts w:ascii="Arial" w:hAnsi="Arial" w:cs="Arial"/>
          <w:b/>
          <w:bCs/>
          <w:sz w:val="20"/>
          <w:szCs w:val="20"/>
        </w:rPr>
        <w:fldChar w:fldCharType="end"/>
      </w:r>
      <w:r w:rsidRPr="00215B2F">
        <w:rPr>
          <w:rFonts w:ascii="Arial" w:hAnsi="Arial" w:cs="Arial"/>
          <w:b/>
          <w:bCs/>
          <w:sz w:val="20"/>
          <w:szCs w:val="20"/>
        </w:rPr>
        <w:t>. členu (veljavni 334. člen ZBan-3)</w:t>
      </w:r>
    </w:p>
    <w:p w14:paraId="123FCD6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4B70703"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(334. člen) ni vsebinskih sprememb.</w:t>
      </w:r>
      <w:r w:rsidRPr="00215B2F">
        <w:rPr>
          <w:rFonts w:ascii="Arial" w:hAnsi="Arial" w:cs="Arial"/>
          <w:b/>
          <w:sz w:val="20"/>
          <w:szCs w:val="20"/>
        </w:rPr>
        <w:t xml:space="preserve"> </w:t>
      </w:r>
      <w:r w:rsidRPr="00215B2F">
        <w:rPr>
          <w:rFonts w:ascii="Arial" w:hAnsi="Arial" w:cs="Arial"/>
          <w:sz w:val="20"/>
          <w:szCs w:val="20"/>
        </w:rPr>
        <w:t>S členom se urejajo obveznosti podrejenih družb in nadrejenega finančnega holdinga ali nadrejenega mešanega finančnega holdinga glede nadzora na konsolidirani podlagi. Gre zlasti za pošiljanje informacij podrejeni banki s strani nadrejenega finančnega holdinga ali nadrejenega mešanega finančnega holdinga, ki jih potrebuje za izpolnitev obveznosti na konsolidirani podlagi. Poleg tega morajo podrejene družbe in nadrejeni finančni holding ali nadrejeni mešani finančni holding Banki Slovenije oziroma drugemu organu, pristojnemu in odgovornemu za nadzor na konsolidirani podlagi, omogočiti, da opravi pregled poslovanja zaradi preveritve informacij, ki jih pošiljajo podrejeni banki.</w:t>
      </w:r>
    </w:p>
    <w:p w14:paraId="6C94D2D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4691FE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_Ref202968182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422</w:t>
      </w:r>
      <w:r w:rsidRPr="00215B2F">
        <w:rPr>
          <w:rFonts w:ascii="Arial" w:hAnsi="Arial" w:cs="Arial"/>
          <w:b/>
          <w:bCs/>
          <w:sz w:val="20"/>
          <w:szCs w:val="20"/>
        </w:rPr>
        <w:fldChar w:fldCharType="end"/>
      </w:r>
      <w:r w:rsidRPr="00215B2F">
        <w:rPr>
          <w:rFonts w:ascii="Arial" w:hAnsi="Arial" w:cs="Arial"/>
          <w:b/>
          <w:bCs/>
          <w:sz w:val="20"/>
          <w:szCs w:val="20"/>
        </w:rPr>
        <w:t>. členu (veljavni 335. člen ZBan-3)</w:t>
      </w:r>
    </w:p>
    <w:p w14:paraId="6FFAAC53"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7EB1D53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(335. člen) ni vsebinskih sprememb. Člen določa izjemo za mešani finančni holding glede izpolnjevanja obveznosti na konsolidirani podlagi, če so za to izpolnjeni pogoji iz tega člena.</w:t>
      </w:r>
    </w:p>
    <w:p w14:paraId="074CF8D9"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2EF33EED"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Člen določa, da lahko Banka Slovenije kot konsolidacijski nadzornik, v primeru, ko za mešani finančni holding veljajo enakovredne določbe zakona in ZFK, uporabi le ustrezne določbe ZFK po posvetovanju z drugimi pristojnimi nadzornimi organi. Če pa za mešani finančni holding veljajo določbe tega zakona in zakona, ki ureja zavarovalništvo, lahko Banka Slovenije kot konsolidacijski nadzornik </w:t>
      </w:r>
      <w:r w:rsidRPr="00215B2F">
        <w:rPr>
          <w:rFonts w:eastAsia="Arial" w:cs="Arial"/>
          <w:sz w:val="20"/>
          <w:szCs w:val="20"/>
        </w:rPr>
        <w:t>v dogovoru z nadzornim organom, pristojnim za nadzor zavarovalniške skupine</w:t>
      </w:r>
      <w:r w:rsidRPr="00215B2F">
        <w:rPr>
          <w:rFonts w:cs="Arial"/>
          <w:sz w:val="20"/>
          <w:szCs w:val="20"/>
        </w:rPr>
        <w:t>, v skladu s 120. členom CRD uporabi le določbe tega zakona, ki se nanašajo na bančni sektor, če je ta najpomembnejši v okviru finančnega konglomerata. Poleg tega mora Banka Slovenije obvestiti Evropski bančni organ in Evropski organ za zavarovanja in poklicne pokojnine o sklepih, sprejetih na podlagi teh določb.</w:t>
      </w:r>
    </w:p>
    <w:p w14:paraId="44C1D66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B49F74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_Ref202968187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423</w:t>
      </w:r>
      <w:r w:rsidRPr="00215B2F">
        <w:rPr>
          <w:rFonts w:ascii="Arial" w:hAnsi="Arial" w:cs="Arial"/>
          <w:b/>
          <w:bCs/>
          <w:sz w:val="20"/>
          <w:szCs w:val="20"/>
        </w:rPr>
        <w:fldChar w:fldCharType="end"/>
      </w:r>
      <w:r w:rsidRPr="00215B2F">
        <w:rPr>
          <w:rFonts w:ascii="Arial" w:hAnsi="Arial" w:cs="Arial"/>
          <w:b/>
          <w:bCs/>
          <w:sz w:val="20"/>
          <w:szCs w:val="20"/>
        </w:rPr>
        <w:t>. členu (veljavni 336. člen ZBan-3)</w:t>
      </w:r>
    </w:p>
    <w:p w14:paraId="3F9FD61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1E57A96"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(336. člen) ni vsebinskih sprememb.</w:t>
      </w:r>
      <w:r w:rsidRPr="00215B2F">
        <w:rPr>
          <w:rFonts w:ascii="Arial" w:hAnsi="Arial" w:cs="Arial"/>
          <w:b/>
          <w:sz w:val="20"/>
          <w:szCs w:val="20"/>
        </w:rPr>
        <w:t xml:space="preserve"> </w:t>
      </w:r>
      <w:r w:rsidRPr="00215B2F">
        <w:rPr>
          <w:rFonts w:ascii="Arial" w:hAnsi="Arial" w:cs="Arial"/>
          <w:sz w:val="20"/>
          <w:szCs w:val="20"/>
        </w:rPr>
        <w:t>V členu so v skladu s 122. členom CRD določene obveznosti mešanega poslovnega holdinga in njegovih podrejenih družb glede nadzora na konsolidirani podlagi. Nadzor se lahko izvaja s pošiljanjem informacij in neposrednim nadzorom.</w:t>
      </w:r>
    </w:p>
    <w:p w14:paraId="0B9CAFD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512EC4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_Ref202968194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424</w:t>
      </w:r>
      <w:r w:rsidRPr="00215B2F">
        <w:rPr>
          <w:rFonts w:ascii="Arial" w:hAnsi="Arial" w:cs="Arial"/>
          <w:b/>
          <w:bCs/>
          <w:sz w:val="20"/>
          <w:szCs w:val="20"/>
        </w:rPr>
        <w:fldChar w:fldCharType="end"/>
      </w:r>
      <w:r w:rsidRPr="00215B2F">
        <w:rPr>
          <w:rFonts w:ascii="Arial" w:hAnsi="Arial" w:cs="Arial"/>
          <w:b/>
          <w:bCs/>
          <w:sz w:val="20"/>
          <w:szCs w:val="20"/>
        </w:rPr>
        <w:t>. členu (veljavni 337. člen ZBan-3)</w:t>
      </w:r>
    </w:p>
    <w:p w14:paraId="11FF2E7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5A680CC" w14:textId="2A5E71E1"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(337. člen) ni vsebinskih sprememb.</w:t>
      </w:r>
      <w:r w:rsidRPr="00215B2F">
        <w:rPr>
          <w:rFonts w:ascii="Arial" w:hAnsi="Arial" w:cs="Arial"/>
          <w:b/>
          <w:sz w:val="20"/>
          <w:szCs w:val="20"/>
        </w:rPr>
        <w:t xml:space="preserve"> </w:t>
      </w:r>
      <w:r w:rsidRPr="00215B2F">
        <w:rPr>
          <w:rFonts w:ascii="Arial" w:hAnsi="Arial" w:cs="Arial"/>
          <w:sz w:val="20"/>
          <w:szCs w:val="20"/>
        </w:rPr>
        <w:t xml:space="preserve">V členu je v skladu s 123. členom CRD urejen nadzor nad posli med mešanim poslovnim holdingom in njegovimi podrejenimi družbami. Banka, katere nadrejena družba je mešani poslovni holding, mora tako Banki Slovenije poročati o vseh pomembnih poslih z mešanim poslovnim holdingom in njegovimi drugimi podrejenimi družbami, ki niso vključene v poročanje na podlagi 394. člena Uredbe </w:t>
      </w:r>
      <w:r w:rsidR="00D24496" w:rsidRPr="00215B2F">
        <w:rPr>
          <w:rFonts w:ascii="Arial" w:hAnsi="Arial" w:cs="Arial"/>
          <w:sz w:val="20"/>
          <w:szCs w:val="20"/>
        </w:rPr>
        <w:t>575/2013/EU</w:t>
      </w:r>
      <w:r w:rsidRPr="00215B2F">
        <w:rPr>
          <w:rFonts w:ascii="Arial" w:hAnsi="Arial" w:cs="Arial"/>
          <w:sz w:val="20"/>
          <w:szCs w:val="20"/>
        </w:rPr>
        <w:t>. Banka Slovenije bo lahko podrobneje predpisala način izvajanja tega člena.</w:t>
      </w:r>
    </w:p>
    <w:p w14:paraId="5FA7C55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24B3D8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_Ref202968200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425</w:t>
      </w:r>
      <w:r w:rsidRPr="00215B2F">
        <w:rPr>
          <w:rFonts w:ascii="Arial" w:hAnsi="Arial" w:cs="Arial"/>
          <w:b/>
          <w:bCs/>
          <w:sz w:val="20"/>
          <w:szCs w:val="20"/>
        </w:rPr>
        <w:fldChar w:fldCharType="end"/>
      </w:r>
      <w:r w:rsidRPr="00215B2F">
        <w:rPr>
          <w:rFonts w:ascii="Arial" w:hAnsi="Arial" w:cs="Arial"/>
          <w:b/>
          <w:bCs/>
          <w:sz w:val="20"/>
          <w:szCs w:val="20"/>
        </w:rPr>
        <w:t>. členu (veljavni 338. člen ZBan-3)</w:t>
      </w:r>
    </w:p>
    <w:p w14:paraId="5B852FF9"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1F8E56ED"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lastRenderedPageBreak/>
        <w:t>V primerjavi z ZBan-3 (338. člen) ni vsebinskih sprememb.</w:t>
      </w:r>
      <w:r w:rsidRPr="00215B2F">
        <w:rPr>
          <w:rFonts w:ascii="Arial" w:hAnsi="Arial" w:cs="Arial"/>
          <w:b/>
          <w:sz w:val="20"/>
          <w:szCs w:val="20"/>
        </w:rPr>
        <w:t xml:space="preserve"> </w:t>
      </w:r>
      <w:r w:rsidRPr="00215B2F">
        <w:rPr>
          <w:rFonts w:ascii="Arial" w:hAnsi="Arial" w:cs="Arial"/>
          <w:sz w:val="20"/>
          <w:szCs w:val="20"/>
        </w:rPr>
        <w:t>S predlaganim členom se ureja izmenjava informacij za namen nadzora na konsolidirani podlagi med nadzornimi organi, vključenimi v nadzor na konsolidirani podlagi.</w:t>
      </w:r>
    </w:p>
    <w:p w14:paraId="32A9720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989402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_Ref202968205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426</w:t>
      </w:r>
      <w:r w:rsidRPr="00215B2F">
        <w:rPr>
          <w:rFonts w:ascii="Arial" w:hAnsi="Arial" w:cs="Arial"/>
          <w:b/>
          <w:bCs/>
          <w:sz w:val="20"/>
          <w:szCs w:val="20"/>
        </w:rPr>
        <w:fldChar w:fldCharType="end"/>
      </w:r>
      <w:r w:rsidRPr="00215B2F">
        <w:rPr>
          <w:rFonts w:ascii="Arial" w:hAnsi="Arial" w:cs="Arial"/>
          <w:b/>
          <w:bCs/>
          <w:sz w:val="20"/>
          <w:szCs w:val="20"/>
        </w:rPr>
        <w:t>. členu (veljavni 339. člen ZBan-3)</w:t>
      </w:r>
    </w:p>
    <w:p w14:paraId="116EF36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87DA5F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(329. člen) ni vsebinskih sprememb. Banka Slovenije sodeluje z nadzornimi organi, pristojnimi za nadzor nad podrejenimi družbami z dovoljenjem za zavarovalniške ali investicijske storitve, in si z njimi izmenjuje vse pomembne informacije za lažji nadzor nad njihovim poslovanjem in finančnim položajem. Pri nadzoru nad mešanimi poslovnimi holdingi, ki vključujejo zavarovalnice, lahko pregledi potekajo v sodelovanju z zavarovalniškim nadzornim organom. Vsaka pridobljena informacija pri nadzoru na konsolidirani podlagi mora biti zaščitena z zahtevami za varovanje poklicne skrivnosti, ki so enakovredne zakonskim standardom. Gre za prenos 125. člena CRD. </w:t>
      </w:r>
    </w:p>
    <w:p w14:paraId="3753E65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8B9797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_Ref202968210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427</w:t>
      </w:r>
      <w:r w:rsidRPr="00215B2F">
        <w:rPr>
          <w:rFonts w:ascii="Arial" w:hAnsi="Arial" w:cs="Arial"/>
          <w:b/>
          <w:bCs/>
          <w:sz w:val="20"/>
          <w:szCs w:val="20"/>
        </w:rPr>
        <w:fldChar w:fldCharType="end"/>
      </w:r>
      <w:r w:rsidRPr="00215B2F">
        <w:rPr>
          <w:rFonts w:ascii="Arial" w:hAnsi="Arial" w:cs="Arial"/>
          <w:b/>
          <w:bCs/>
          <w:sz w:val="20"/>
          <w:szCs w:val="20"/>
        </w:rPr>
        <w:t>. členu (veljavni 340. člen ZBan-3)</w:t>
      </w:r>
    </w:p>
    <w:p w14:paraId="6E76AC5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9BE7014"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(340. člen) ni vsebinskih sprememb.</w:t>
      </w:r>
      <w:r w:rsidRPr="00215B2F">
        <w:rPr>
          <w:rFonts w:ascii="Arial" w:hAnsi="Arial" w:cs="Arial"/>
          <w:b/>
          <w:sz w:val="20"/>
          <w:szCs w:val="20"/>
        </w:rPr>
        <w:t xml:space="preserve"> </w:t>
      </w:r>
      <w:r w:rsidRPr="00215B2F">
        <w:rPr>
          <w:rFonts w:ascii="Arial" w:hAnsi="Arial" w:cs="Arial"/>
          <w:sz w:val="20"/>
          <w:szCs w:val="20"/>
        </w:rPr>
        <w:t>Predlagani člen v skladu s členom 125 (3) CRD za Banko Slovenije določa obveznost, da pripravi seznam nadrejenih finančnih holdingov ali nadrejenih mešanih finančnih holdingov ter z njim seznani pristojne organe.</w:t>
      </w:r>
    </w:p>
    <w:p w14:paraId="79DE8D7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9E55AF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_Ref202968215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428</w:t>
      </w:r>
      <w:r w:rsidRPr="00215B2F">
        <w:rPr>
          <w:rFonts w:ascii="Arial" w:hAnsi="Arial" w:cs="Arial"/>
          <w:b/>
          <w:bCs/>
          <w:sz w:val="20"/>
          <w:szCs w:val="20"/>
        </w:rPr>
        <w:fldChar w:fldCharType="end"/>
      </w:r>
      <w:r w:rsidRPr="00215B2F">
        <w:rPr>
          <w:rFonts w:ascii="Arial" w:hAnsi="Arial" w:cs="Arial"/>
          <w:b/>
          <w:bCs/>
          <w:sz w:val="20"/>
          <w:szCs w:val="20"/>
        </w:rPr>
        <w:t>. členu (veljavni 341. člen ZBan-3)</w:t>
      </w:r>
    </w:p>
    <w:p w14:paraId="1EE01FB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72E2CE4"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(341. člen) ni vsebinskih sprememb.</w:t>
      </w:r>
      <w:r w:rsidRPr="00215B2F">
        <w:rPr>
          <w:rFonts w:ascii="Arial" w:hAnsi="Arial" w:cs="Arial"/>
          <w:b/>
          <w:sz w:val="20"/>
          <w:szCs w:val="20"/>
        </w:rPr>
        <w:t xml:space="preserve"> </w:t>
      </w:r>
      <w:r w:rsidRPr="00215B2F">
        <w:rPr>
          <w:rFonts w:ascii="Arial" w:hAnsi="Arial" w:cs="Arial"/>
          <w:sz w:val="20"/>
          <w:szCs w:val="20"/>
        </w:rPr>
        <w:t xml:space="preserve">S členom se v skladu s 118. členom CRD ureja postopek v zvezi s pregledom poslovanja s strani Banke Slovenije zaradi preveritve informacij, potrebnih za nadzor na konsolidirani podlagi. Člen določa, da lahko Banka Slovenije za preverjanje informacij z namenom </w:t>
      </w:r>
      <w:r w:rsidRPr="00215B2F">
        <w:rPr>
          <w:rFonts w:ascii="Arial" w:eastAsia="Arial" w:hAnsi="Arial" w:cs="Arial"/>
          <w:sz w:val="20"/>
          <w:szCs w:val="20"/>
        </w:rPr>
        <w:t>nadzora, za katerega je pristojna</w:t>
      </w:r>
      <w:r w:rsidRPr="00215B2F">
        <w:rPr>
          <w:rFonts w:ascii="Arial" w:hAnsi="Arial" w:cs="Arial"/>
          <w:sz w:val="20"/>
          <w:szCs w:val="20"/>
        </w:rPr>
        <w:t>, zaprosi pristojni organ druge države članice, da opravi pregled poslovanja ali ji omogoči, da to stori sama. Pristojni organ, ki je odgovoren za nadzor na konsolidirani podlagi, lahko na območju Slovenije opravi pregled poslovanja družbe, vendar mora Banko Slovenije o tem predhodno obvestiti. Pristojni organ ima pri izvajanju pregleda enake pristojnosti kot Banka Slovenije. Na zaprosilo pristojnega organa druge države članice mora Banka Slovenije opraviti pregled poslovanja, pri čemer se lahko pristojni organ udeleži tega pregleda.</w:t>
      </w:r>
    </w:p>
    <w:p w14:paraId="617CE62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F95DF9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_Ref202968220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429</w:t>
      </w:r>
      <w:r w:rsidRPr="00215B2F">
        <w:rPr>
          <w:rFonts w:ascii="Arial" w:hAnsi="Arial" w:cs="Arial"/>
          <w:b/>
          <w:bCs/>
          <w:sz w:val="20"/>
          <w:szCs w:val="20"/>
        </w:rPr>
        <w:fldChar w:fldCharType="end"/>
      </w:r>
      <w:r w:rsidRPr="00215B2F">
        <w:rPr>
          <w:rFonts w:ascii="Arial" w:hAnsi="Arial" w:cs="Arial"/>
          <w:b/>
          <w:bCs/>
          <w:sz w:val="20"/>
          <w:szCs w:val="20"/>
        </w:rPr>
        <w:t>. členu (veljavni 342. člen ZBan-3)</w:t>
      </w:r>
    </w:p>
    <w:p w14:paraId="03AEE4D8"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678DEF2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ZBan-3 (342. člen) določa, da mora nadrejeni finančni holding ali mešani finančni holding zagotoviti, da njihov upravljalni organ izpolnjuje določene zakonske pogoje, pri čemer se ta zahteva, če upravljalni organ ne obstaja, smiselno nanaša na poslovodstvo ali osebe, ki dejansko vodijo ta holding. Gre za prenos 91. člena CRD.</w:t>
      </w:r>
    </w:p>
    <w:p w14:paraId="4B1CD6A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C64A26F" w14:textId="77777777" w:rsidR="0010347E" w:rsidRPr="00215B2F" w:rsidRDefault="0010347E" w:rsidP="0010347E">
      <w:pPr>
        <w:pStyle w:val="Odstavek"/>
        <w:shd w:val="clear" w:color="auto" w:fill="FFFFFF" w:themeFill="background1"/>
        <w:spacing w:before="0"/>
        <w:ind w:firstLine="0"/>
        <w:rPr>
          <w:rFonts w:eastAsia="Arial" w:cs="Arial"/>
          <w:sz w:val="20"/>
          <w:szCs w:val="20"/>
        </w:rPr>
      </w:pPr>
      <w:r w:rsidRPr="00215B2F">
        <w:rPr>
          <w:rFonts w:cs="Arial"/>
          <w:sz w:val="20"/>
          <w:szCs w:val="20"/>
        </w:rPr>
        <w:t xml:space="preserve">S predlogom zakona se dodatno določa (v prvem odstavku), </w:t>
      </w:r>
      <w:r w:rsidRPr="00215B2F">
        <w:rPr>
          <w:rFonts w:eastAsia="Arial" w:cs="Arial"/>
          <w:sz w:val="20"/>
          <w:szCs w:val="20"/>
        </w:rPr>
        <w:t xml:space="preserve">da gre v primeru nadrejenega finančnega holdinga ali nadrejenega mešanega finančnega holdinga za tiste, ki niso pridobili odobritve. Dodatno se določa, da je za izpolnjevanje navedenih pogojev primarno odgovoren nadrejeni finančni holding ali nadrejeni mešani finančni holding. Gre za prenos 121. člena CRD. </w:t>
      </w:r>
    </w:p>
    <w:p w14:paraId="2BB8524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938E1A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_Ref202968226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430</w:t>
      </w:r>
      <w:r w:rsidRPr="00215B2F">
        <w:rPr>
          <w:rFonts w:ascii="Arial" w:hAnsi="Arial" w:cs="Arial"/>
          <w:b/>
          <w:bCs/>
          <w:sz w:val="20"/>
          <w:szCs w:val="20"/>
        </w:rPr>
        <w:fldChar w:fldCharType="end"/>
      </w:r>
      <w:r w:rsidRPr="00215B2F">
        <w:rPr>
          <w:rFonts w:ascii="Arial" w:hAnsi="Arial" w:cs="Arial"/>
          <w:b/>
          <w:bCs/>
          <w:sz w:val="20"/>
          <w:szCs w:val="20"/>
        </w:rPr>
        <w:t>. členu (veljavni 343. člen ZBan-3)</w:t>
      </w:r>
    </w:p>
    <w:p w14:paraId="7635B38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5356FE1" w14:textId="2E18F0B1"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w:t>
      </w:r>
      <w:r w:rsidR="00E35A59" w:rsidRPr="00215B2F">
        <w:rPr>
          <w:rFonts w:ascii="Arial" w:hAnsi="Arial" w:cs="Arial"/>
          <w:sz w:val="20"/>
          <w:szCs w:val="20"/>
        </w:rPr>
        <w:t xml:space="preserve">3 </w:t>
      </w:r>
      <w:r w:rsidRPr="00215B2F">
        <w:rPr>
          <w:rFonts w:ascii="Arial" w:hAnsi="Arial" w:cs="Arial"/>
          <w:sz w:val="20"/>
          <w:szCs w:val="20"/>
        </w:rPr>
        <w:t>(343. člen) ni vsebinskih sprememb.</w:t>
      </w:r>
      <w:r w:rsidRPr="00215B2F">
        <w:rPr>
          <w:rFonts w:ascii="Arial" w:hAnsi="Arial" w:cs="Arial"/>
          <w:b/>
          <w:sz w:val="20"/>
          <w:szCs w:val="20"/>
        </w:rPr>
        <w:t xml:space="preserve"> </w:t>
      </w:r>
      <w:r w:rsidRPr="00215B2F">
        <w:rPr>
          <w:rFonts w:ascii="Arial" w:hAnsi="Arial" w:cs="Arial"/>
          <w:sz w:val="20"/>
          <w:szCs w:val="20"/>
        </w:rPr>
        <w:t>V členu so v skladu s 127. členom CRD določena posebna pravila za nadzor na konsolidirani podlagi, če ima nadrejena oseba sedež v tretji državi.</w:t>
      </w:r>
    </w:p>
    <w:p w14:paraId="6E11CDC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C10FAC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_Ref202968236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431</w:t>
      </w:r>
      <w:r w:rsidRPr="00215B2F">
        <w:rPr>
          <w:rFonts w:ascii="Arial" w:hAnsi="Arial" w:cs="Arial"/>
          <w:b/>
          <w:bCs/>
          <w:sz w:val="20"/>
          <w:szCs w:val="20"/>
        </w:rPr>
        <w:fldChar w:fldCharType="end"/>
      </w:r>
      <w:r w:rsidRPr="00215B2F">
        <w:rPr>
          <w:rFonts w:ascii="Arial" w:hAnsi="Arial" w:cs="Arial"/>
          <w:b/>
          <w:bCs/>
          <w:sz w:val="20"/>
          <w:szCs w:val="20"/>
        </w:rPr>
        <w:t>. členu (veljavni 344. člen ZBan-3)</w:t>
      </w:r>
    </w:p>
    <w:p w14:paraId="72708A7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27CD497" w14:textId="03F85FC4"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(344. člen) ni vsebinskih sprememb.</w:t>
      </w:r>
      <w:r w:rsidRPr="00215B2F">
        <w:rPr>
          <w:rFonts w:ascii="Arial" w:hAnsi="Arial" w:cs="Arial"/>
          <w:b/>
          <w:sz w:val="20"/>
          <w:szCs w:val="20"/>
        </w:rPr>
        <w:t xml:space="preserve"> </w:t>
      </w:r>
      <w:r w:rsidRPr="00215B2F">
        <w:rPr>
          <w:rFonts w:ascii="Arial" w:hAnsi="Arial" w:cs="Arial"/>
          <w:sz w:val="20"/>
          <w:szCs w:val="20"/>
        </w:rPr>
        <w:t xml:space="preserve">S pravilom, določenim v členu, je v skladu s </w:t>
      </w:r>
      <w:r w:rsidR="00A62CD8" w:rsidRPr="00215B2F">
        <w:rPr>
          <w:rFonts w:ascii="Arial" w:hAnsi="Arial" w:cs="Arial"/>
          <w:sz w:val="20"/>
          <w:szCs w:val="20"/>
        </w:rPr>
        <w:t xml:space="preserve">tretjim odstavkom </w:t>
      </w:r>
      <w:r w:rsidRPr="00215B2F">
        <w:rPr>
          <w:rFonts w:ascii="Arial" w:hAnsi="Arial" w:cs="Arial"/>
          <w:sz w:val="20"/>
          <w:szCs w:val="20"/>
        </w:rPr>
        <w:t>124</w:t>
      </w:r>
      <w:r w:rsidR="00A62CD8" w:rsidRPr="00215B2F">
        <w:rPr>
          <w:rFonts w:ascii="Arial" w:hAnsi="Arial" w:cs="Arial"/>
          <w:sz w:val="20"/>
          <w:szCs w:val="20"/>
        </w:rPr>
        <w:t>. člena</w:t>
      </w:r>
      <w:r w:rsidRPr="00215B2F">
        <w:rPr>
          <w:rFonts w:ascii="Arial" w:hAnsi="Arial" w:cs="Arial"/>
          <w:sz w:val="20"/>
          <w:szCs w:val="20"/>
        </w:rPr>
        <w:t xml:space="preserve"> CRD izključena odgovornost Banke Slovenije za nadzor na posamični podlagi nad tistimi pravnimi osebami, ki niso banke in nad katerimi opravlja nadzor samo zaradi ustreznega nadzora na konsolidirani podlagi nad poslovanjem bank. To so: </w:t>
      </w:r>
      <w:r w:rsidRPr="00215B2F">
        <w:rPr>
          <w:rFonts w:ascii="Arial" w:eastAsia="Arial" w:hAnsi="Arial" w:cs="Arial"/>
          <w:sz w:val="20"/>
          <w:szCs w:val="20"/>
        </w:rPr>
        <w:t>finančni holdingi, mešani finančni holdingi, finančne institucije ali druge družbe, ki niso banke.</w:t>
      </w:r>
    </w:p>
    <w:p w14:paraId="69F48B4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5902E9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_Ref202968240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432</w:t>
      </w:r>
      <w:r w:rsidRPr="00215B2F">
        <w:rPr>
          <w:rFonts w:ascii="Arial" w:hAnsi="Arial" w:cs="Arial"/>
          <w:b/>
          <w:bCs/>
          <w:sz w:val="20"/>
          <w:szCs w:val="20"/>
        </w:rPr>
        <w:fldChar w:fldCharType="end"/>
      </w:r>
      <w:r w:rsidRPr="00215B2F">
        <w:rPr>
          <w:rFonts w:ascii="Arial" w:hAnsi="Arial" w:cs="Arial"/>
          <w:b/>
          <w:bCs/>
          <w:sz w:val="20"/>
          <w:szCs w:val="20"/>
        </w:rPr>
        <w:t>. členu (veljavni 345. člen ZBan-3)</w:t>
      </w:r>
    </w:p>
    <w:p w14:paraId="6758EE43"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59B96724" w14:textId="77777777" w:rsidR="0010347E" w:rsidRPr="00215B2F" w:rsidRDefault="0010347E" w:rsidP="0010347E">
      <w:pPr>
        <w:pStyle w:val="tevilnatoka"/>
        <w:numPr>
          <w:ilvl w:val="0"/>
          <w:numId w:val="0"/>
        </w:numPr>
        <w:shd w:val="clear" w:color="auto" w:fill="FFFFFF" w:themeFill="background1"/>
        <w:rPr>
          <w:rFonts w:cs="Arial"/>
          <w:sz w:val="20"/>
          <w:szCs w:val="20"/>
        </w:rPr>
      </w:pPr>
      <w:r w:rsidRPr="00215B2F">
        <w:rPr>
          <w:rFonts w:cs="Arial"/>
          <w:sz w:val="20"/>
          <w:szCs w:val="20"/>
        </w:rPr>
        <w:lastRenderedPageBreak/>
        <w:t>V primerjavi z ZBan-3 (345. člen) ni vsebinskih sprememb. Če oseba nezakonito zbira depozite od javnosti, ji Banka Slovenije izda odredbo, da s tem preneha, lahko pa pred tem preveri poslovne knjige in dejavnost osebe. Oseba mora v določenem roku predložiti poročilo o ukrepih za prenehanje zbiranja depozitov ter se lahko izjavi o razlogih za odredbo. Če se oseba, brez dovoljenja, predstavlja kot banka ali opravlja bančne dejavnosti, ji prav tako naloži prenehanje tega ravnanja. Če je kršitev odpravljena pred izdajo odredbe, lahko Banka Slovenije izda ugotovitveno odločbo, s katero potrdi kršitev in njeno odpravo, pri čemer mora kršitelja predhodno obvestiti in mu dati možnost za izjavo. Med drugim gre za prenos 66. člena CRD.</w:t>
      </w:r>
    </w:p>
    <w:p w14:paraId="38B6B20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3D7E01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_Ref202968246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433</w:t>
      </w:r>
      <w:r w:rsidRPr="00215B2F">
        <w:rPr>
          <w:rFonts w:ascii="Arial" w:hAnsi="Arial" w:cs="Arial"/>
          <w:b/>
          <w:bCs/>
          <w:sz w:val="20"/>
          <w:szCs w:val="20"/>
        </w:rPr>
        <w:fldChar w:fldCharType="end"/>
      </w:r>
      <w:r w:rsidRPr="00215B2F">
        <w:rPr>
          <w:rFonts w:ascii="Arial" w:hAnsi="Arial" w:cs="Arial"/>
          <w:b/>
          <w:bCs/>
          <w:sz w:val="20"/>
          <w:szCs w:val="20"/>
        </w:rPr>
        <w:t>. členu (veljavni 346. člen ZBan-3)</w:t>
      </w:r>
    </w:p>
    <w:p w14:paraId="1BBC219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B60FB17"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(346. člen) ni vsebinskih sprememb.</w:t>
      </w:r>
      <w:r w:rsidRPr="00215B2F">
        <w:rPr>
          <w:rFonts w:ascii="Arial" w:hAnsi="Arial" w:cs="Arial"/>
          <w:b/>
          <w:sz w:val="20"/>
          <w:szCs w:val="20"/>
        </w:rPr>
        <w:t xml:space="preserve"> </w:t>
      </w:r>
      <w:r w:rsidRPr="00215B2F">
        <w:rPr>
          <w:rFonts w:ascii="Arial" w:hAnsi="Arial" w:cs="Arial"/>
          <w:sz w:val="20"/>
          <w:szCs w:val="20"/>
        </w:rPr>
        <w:t xml:space="preserve">Po členu lahko Banka Slovenije pravni osebi, ki ni ravnala v skladu z odredbo, izreče dodatni ukrep, to je izda odločbo o ugotovitvi razloga za prisilno likvidacijo. Na podlagi te odločbe začne pristojno sodišče postopek prisilne likvidacije po določbah ZFPPIPP. Po posebnem pravilu, določenem v četrtem odstavku tega člena, sodišču ni treba opraviti preizkusa pogojev za začetek likvidacije, saj zadošča že predlog Banke Slovenije. </w:t>
      </w:r>
    </w:p>
    <w:p w14:paraId="728D706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71E117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_Ref202968252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434</w:t>
      </w:r>
      <w:r w:rsidRPr="00215B2F">
        <w:rPr>
          <w:rFonts w:ascii="Arial" w:hAnsi="Arial" w:cs="Arial"/>
          <w:b/>
          <w:bCs/>
          <w:sz w:val="20"/>
          <w:szCs w:val="20"/>
        </w:rPr>
        <w:fldChar w:fldCharType="end"/>
      </w:r>
      <w:r w:rsidRPr="00215B2F">
        <w:rPr>
          <w:rFonts w:ascii="Arial" w:hAnsi="Arial" w:cs="Arial"/>
          <w:b/>
          <w:bCs/>
          <w:sz w:val="20"/>
          <w:szCs w:val="20"/>
        </w:rPr>
        <w:t>. členu (veljavni 347. člen ZBan-3)</w:t>
      </w:r>
    </w:p>
    <w:p w14:paraId="1790A10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27E561F"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členom se določa, da se za </w:t>
      </w:r>
      <w:r w:rsidRPr="00215B2F">
        <w:rPr>
          <w:rFonts w:eastAsia="Arial" w:cs="Arial"/>
          <w:sz w:val="20"/>
          <w:szCs w:val="20"/>
        </w:rPr>
        <w:t>hranilnice uporabljajo določbe drugih poglavij tega zakona, ki se nanašajo na banke, če ni v tem poglavju drugače določeno.</w:t>
      </w:r>
    </w:p>
    <w:p w14:paraId="63BAAF2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BDEB82D"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(347. člen) je črtan drugi odstavek, ki določa, da lahko hranilnice opravljanje nalog notranjega revidiranja s pogodbo prenesejo na osebo, ki izpolnjuje pogoje za opravljanje teh nalog. Glede na to, da je v skladu z zahtevami CRD notranja revizija opredeljena kot funkcija notranje kontrole, možnost prenosa na zunanje osebe ni več primerna. </w:t>
      </w:r>
    </w:p>
    <w:p w14:paraId="7A4C489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B8AF764"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_Ref203556709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435</w:t>
      </w:r>
      <w:r w:rsidRPr="00215B2F">
        <w:rPr>
          <w:rFonts w:cs="Arial"/>
          <w:b/>
          <w:bCs/>
          <w:sz w:val="20"/>
          <w:szCs w:val="20"/>
        </w:rPr>
        <w:fldChar w:fldCharType="end"/>
      </w:r>
      <w:r w:rsidRPr="00215B2F">
        <w:rPr>
          <w:rFonts w:cs="Arial"/>
          <w:b/>
          <w:bCs/>
          <w:sz w:val="20"/>
          <w:szCs w:val="20"/>
        </w:rPr>
        <w:t>. členu (veljavni 348. člen ZBan-3)</w:t>
      </w:r>
    </w:p>
    <w:p w14:paraId="7D41AC7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B814138" w14:textId="77777777"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r w:rsidRPr="00215B2F">
        <w:rPr>
          <w:rFonts w:ascii="Arial" w:hAnsi="Arial" w:cs="Arial"/>
          <w:sz w:val="20"/>
          <w:szCs w:val="20"/>
        </w:rPr>
        <w:t>V primerjavi z ZBan-3 (348. člen) ni vsebinskih sprememb.</w:t>
      </w:r>
      <w:r w:rsidRPr="00215B2F">
        <w:rPr>
          <w:rFonts w:ascii="Arial" w:eastAsia="Arial" w:hAnsi="Arial" w:cs="Arial"/>
          <w:sz w:val="20"/>
          <w:szCs w:val="20"/>
        </w:rPr>
        <w:t xml:space="preserve"> Hranilnica sme začeti opravljati posle v tujih valutah, če pridobi dovoljenje za opravljanje teh poslov v skladu s tem zakonom.</w:t>
      </w:r>
    </w:p>
    <w:p w14:paraId="08AFD6F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CD772FD"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_Ref203556714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436</w:t>
      </w:r>
      <w:r w:rsidRPr="00215B2F">
        <w:rPr>
          <w:rFonts w:cs="Arial"/>
          <w:b/>
          <w:bCs/>
          <w:sz w:val="20"/>
          <w:szCs w:val="20"/>
        </w:rPr>
        <w:fldChar w:fldCharType="end"/>
      </w:r>
      <w:r w:rsidRPr="00215B2F">
        <w:rPr>
          <w:rFonts w:cs="Arial"/>
          <w:b/>
          <w:bCs/>
          <w:sz w:val="20"/>
          <w:szCs w:val="20"/>
        </w:rPr>
        <w:t>. členu (veljavni 349. člen ZBan-3)</w:t>
      </w:r>
    </w:p>
    <w:p w14:paraId="50632DE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7E4B02B" w14:textId="77777777" w:rsidR="0010347E" w:rsidRPr="00215B2F" w:rsidRDefault="0010347E" w:rsidP="0010347E">
      <w:pPr>
        <w:pStyle w:val="Odstavek"/>
        <w:shd w:val="clear" w:color="auto" w:fill="FFFFFF" w:themeFill="background1"/>
        <w:spacing w:before="0"/>
        <w:ind w:firstLine="0"/>
        <w:rPr>
          <w:rFonts w:eastAsia="Arial" w:cs="Arial"/>
          <w:sz w:val="20"/>
          <w:szCs w:val="20"/>
        </w:rPr>
      </w:pPr>
      <w:r w:rsidRPr="00215B2F">
        <w:rPr>
          <w:rFonts w:cs="Arial"/>
          <w:sz w:val="20"/>
          <w:szCs w:val="20"/>
        </w:rPr>
        <w:t xml:space="preserve">ZBan-3 (349. člen) določa, da je </w:t>
      </w:r>
      <w:r w:rsidRPr="00215B2F">
        <w:rPr>
          <w:rFonts w:eastAsia="Arial" w:cs="Arial"/>
          <w:sz w:val="20"/>
          <w:szCs w:val="20"/>
        </w:rPr>
        <w:t>najnižji znesek ustanovnega kapitala hranilnice 1.000.000 evrov.</w:t>
      </w:r>
    </w:p>
    <w:p w14:paraId="6B470C67" w14:textId="77777777" w:rsidR="0010347E" w:rsidRPr="00215B2F" w:rsidRDefault="0010347E" w:rsidP="0010347E">
      <w:pPr>
        <w:pStyle w:val="Odstavek"/>
        <w:shd w:val="clear" w:color="auto" w:fill="FFFFFF" w:themeFill="background1"/>
        <w:spacing w:before="0"/>
        <w:ind w:firstLine="0"/>
        <w:rPr>
          <w:rFonts w:eastAsia="Arial" w:cs="Arial"/>
          <w:sz w:val="20"/>
          <w:szCs w:val="20"/>
        </w:rPr>
      </w:pPr>
    </w:p>
    <w:p w14:paraId="1FB3C0C2"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eastAsia="Arial" w:cs="Arial"/>
          <w:sz w:val="20"/>
          <w:szCs w:val="20"/>
        </w:rPr>
        <w:t>S predlogom zakona se dodatno določa dikcija, da najnižji znesek ustanovnega kapitala hranilnice vključuje eno ali več postavk iz točk (a) do (e) prvega odstavka 26. člena Uredbe 575/2013/EU.</w:t>
      </w:r>
    </w:p>
    <w:p w14:paraId="4DF6975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8189550"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_Ref202968288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437</w:t>
      </w:r>
      <w:r w:rsidRPr="00215B2F">
        <w:rPr>
          <w:rFonts w:cs="Arial"/>
          <w:b/>
          <w:bCs/>
          <w:sz w:val="20"/>
          <w:szCs w:val="20"/>
        </w:rPr>
        <w:fldChar w:fldCharType="end"/>
      </w:r>
      <w:r w:rsidRPr="00215B2F">
        <w:rPr>
          <w:rFonts w:cs="Arial"/>
          <w:b/>
          <w:bCs/>
          <w:sz w:val="20"/>
          <w:szCs w:val="20"/>
        </w:rPr>
        <w:t xml:space="preserve">. členu </w:t>
      </w:r>
    </w:p>
    <w:p w14:paraId="3224D41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9E92868"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Hranilnica, ki želi postati banka, mora predhodno pridobiti dovoljenje Banke Slovenije za preoblikovanje. Zahtevo za dovoljenje vloži hranilnica skupaj z ustrezno dokumentacijo, ki omogoča presojo izpolnjevanja pogojev glede kapitala, notranje revizije in poslovanja v tujih valutah. Banka Slovenije lahko zahtevo zavrne, če ti pogoji niso izpolnjeni. Ob izdaji dovoljenja Banka Slovenije poskrbi, da je postopek čim bolj učinkovit, in upošteva že razpoložljive informacije iz obstoječih dovoljenj.</w:t>
      </w:r>
    </w:p>
    <w:p w14:paraId="10C0048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179CA3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Gre za zapolnitev pravne praznine, glede katere so se hranilnice v praksi že obrnile na Banko Slovenije in ECB. Predlog tako sledi usmeritvam ECB v posameznih postopkih, da se za preoblikovanje zahtev uporabi odločitev ECB v smislu pristojnosti za izdajo dovoljenja. Gre za usmeritve oz. pričakovanja ECB, ki so bila predložena v okviru obravnave posameznih primerov. Splošnih usmeritev ECB na tem področju ni, ker se ureditev na področju dovoljenj za opravljanje storitev med državami članicami razlikuje. Države članice poznajo tudi različne oblike kreditnih institucij, zato ni mogoče podati enotnega stališča oz. usmeritve. </w:t>
      </w:r>
    </w:p>
    <w:p w14:paraId="284E80E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6B42C94"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_Ref202968297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438</w:t>
      </w:r>
      <w:r w:rsidRPr="00215B2F">
        <w:rPr>
          <w:rFonts w:cs="Arial"/>
          <w:b/>
          <w:bCs/>
          <w:sz w:val="20"/>
          <w:szCs w:val="20"/>
        </w:rPr>
        <w:fldChar w:fldCharType="end"/>
      </w:r>
      <w:r w:rsidRPr="00215B2F">
        <w:rPr>
          <w:rFonts w:cs="Arial"/>
          <w:b/>
          <w:bCs/>
          <w:sz w:val="20"/>
          <w:szCs w:val="20"/>
        </w:rPr>
        <w:t xml:space="preserve">. in </w:t>
      </w:r>
      <w:r w:rsidRPr="00215B2F">
        <w:rPr>
          <w:rFonts w:cs="Arial"/>
          <w:b/>
          <w:bCs/>
          <w:sz w:val="20"/>
          <w:szCs w:val="20"/>
        </w:rPr>
        <w:fldChar w:fldCharType="begin"/>
      </w:r>
      <w:r w:rsidRPr="00215B2F">
        <w:rPr>
          <w:rFonts w:cs="Arial"/>
          <w:b/>
          <w:bCs/>
          <w:sz w:val="20"/>
          <w:szCs w:val="20"/>
        </w:rPr>
        <w:instrText xml:space="preserve"> REF _Ref202968308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439</w:t>
      </w:r>
      <w:r w:rsidRPr="00215B2F">
        <w:rPr>
          <w:rFonts w:cs="Arial"/>
          <w:b/>
          <w:bCs/>
          <w:sz w:val="20"/>
          <w:szCs w:val="20"/>
        </w:rPr>
        <w:fldChar w:fldCharType="end"/>
      </w:r>
      <w:r w:rsidRPr="00215B2F">
        <w:rPr>
          <w:rFonts w:cs="Arial"/>
          <w:b/>
          <w:bCs/>
          <w:sz w:val="20"/>
          <w:szCs w:val="20"/>
        </w:rPr>
        <w:t xml:space="preserve">. členu </w:t>
      </w:r>
    </w:p>
    <w:p w14:paraId="291F23F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AB3EB1D"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primerjavi z ZBan-3 (349.a in 349.b člen) ni vsebinskih sprememb. </w:t>
      </w:r>
    </w:p>
    <w:p w14:paraId="534F815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C21BD3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lastRenderedPageBreak/>
        <w:t xml:space="preserve">S poglavjem »Kreditne družbe« se opredeljuje uporaba določb o kreditnih družbah (349.a člen) in opravljanje storitev kreditne družbe (novi 349.b člen). Za kreditne družbe se (podobno kot za hranilnice) uporabljajo določbe drugih poglavij tega zakona, ki se nanašajo na banke, če v tem zakonu ni določeno drugače. Kreditna družba lahko opravlja finančne storitve in dodatne finančne storitve, ko pridobi dovoljenje za opravljanje teh storitev. Gre za vsebino, ki se nanaša na dosledno izvajanje določb Uredbe 2019/2033/EU glede kreditnih družb. </w:t>
      </w:r>
    </w:p>
    <w:p w14:paraId="25650CA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0A30716"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tretjem odstavku (obstoječega 349.b) člena se določa, da kreditna družba ne sme opravljati drugih dejavnosti in storitev, razen storitev iz prvega in drugega odstavka tega člena. Dikcija je podobna dikciji za opravljanje storitev bank. Za banke je tovrstna opredelitev nacionalna posebnost in ni predmet zahtev Direktive 2013/36/EU. Podobna ureditev je predvidena tudi za kreditne družbe.</w:t>
      </w:r>
    </w:p>
    <w:p w14:paraId="7953951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68C1CE7"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_Ref202968313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440</w:t>
      </w:r>
      <w:r w:rsidRPr="00215B2F">
        <w:rPr>
          <w:rFonts w:cs="Arial"/>
          <w:b/>
          <w:bCs/>
          <w:sz w:val="20"/>
          <w:szCs w:val="20"/>
        </w:rPr>
        <w:fldChar w:fldCharType="end"/>
      </w:r>
      <w:r w:rsidRPr="00215B2F">
        <w:rPr>
          <w:rFonts w:cs="Arial"/>
          <w:b/>
          <w:bCs/>
          <w:sz w:val="20"/>
          <w:szCs w:val="20"/>
        </w:rPr>
        <w:t>. členu (veljavni 350. člen ZBan-3)</w:t>
      </w:r>
    </w:p>
    <w:p w14:paraId="183D999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E392CB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ZBan-3 (350. člen) ni vsebinskih sprememb. S členom je določena obveznost banke po vzpostavitvi ustrezne sheme zunajsodnega reševanja sporov med ponudniki storitev in strankami. Podrobneje je določeno tudi, kaj mora v tej zvezi banka objaviti na svoji spletni strani in v vseh svojih prostorih.</w:t>
      </w:r>
    </w:p>
    <w:p w14:paraId="4276191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7AC62D0"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_Ref202968320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441</w:t>
      </w:r>
      <w:r w:rsidRPr="00215B2F">
        <w:rPr>
          <w:rFonts w:ascii="Arial" w:hAnsi="Arial" w:cs="Arial"/>
          <w:b/>
          <w:bCs/>
          <w:sz w:val="20"/>
          <w:szCs w:val="20"/>
        </w:rPr>
        <w:fldChar w:fldCharType="end"/>
      </w:r>
      <w:r w:rsidRPr="00215B2F">
        <w:rPr>
          <w:rFonts w:ascii="Arial" w:hAnsi="Arial" w:cs="Arial"/>
          <w:b/>
          <w:bCs/>
          <w:sz w:val="20"/>
          <w:szCs w:val="20"/>
        </w:rPr>
        <w:t>. členu (veljavni 351. člen ZBan-3)</w:t>
      </w:r>
    </w:p>
    <w:p w14:paraId="3B57A3E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C377C55"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(351. člen) ni vsebinskih sprememb.</w:t>
      </w:r>
      <w:r w:rsidRPr="00215B2F">
        <w:rPr>
          <w:rFonts w:ascii="Arial" w:hAnsi="Arial" w:cs="Arial"/>
          <w:b/>
          <w:sz w:val="20"/>
          <w:szCs w:val="20"/>
        </w:rPr>
        <w:t xml:space="preserve"> </w:t>
      </w:r>
      <w:r w:rsidRPr="00215B2F">
        <w:rPr>
          <w:rFonts w:ascii="Arial" w:hAnsi="Arial" w:cs="Arial"/>
          <w:sz w:val="20"/>
          <w:szCs w:val="20"/>
        </w:rPr>
        <w:t xml:space="preserve">Postopek odločanja Banke Slovenije o posamičnih zadevah je urejen kot posebna vrsta upravnega postopka. Bančništvo je namreč specifično upravno področje, za katero pravila splošnega upravnega postopka v celoti ne zadoščajo oziroma ne ustrezajo. </w:t>
      </w:r>
    </w:p>
    <w:p w14:paraId="67A9912F" w14:textId="77777777" w:rsidR="0010347E" w:rsidRPr="00215B2F" w:rsidRDefault="0010347E" w:rsidP="0010347E">
      <w:pPr>
        <w:shd w:val="clear" w:color="auto" w:fill="FFFFFF" w:themeFill="background1"/>
        <w:spacing w:after="0" w:line="240" w:lineRule="auto"/>
        <w:ind w:firstLine="284"/>
        <w:jc w:val="both"/>
        <w:rPr>
          <w:rFonts w:ascii="Arial" w:hAnsi="Arial" w:cs="Arial"/>
          <w:sz w:val="20"/>
          <w:szCs w:val="20"/>
        </w:rPr>
      </w:pPr>
    </w:p>
    <w:p w14:paraId="6F339CC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Posebna postopkovna pravila so določena ob upoštevanju:</w:t>
      </w:r>
    </w:p>
    <w:p w14:paraId="2A125CE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1. posebnega pomena nadzora nad poslovanjem bank in drugih pristojnosti Banke Slovenije za stabilnost finančnega sistema in</w:t>
      </w:r>
    </w:p>
    <w:p w14:paraId="1D83D9D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2. posebne značilnosti teh postopkov, v katerih imajo stranke položaj profesionalne osebe.</w:t>
      </w:r>
    </w:p>
    <w:p w14:paraId="66483271" w14:textId="77777777" w:rsidR="0010347E" w:rsidRPr="00215B2F" w:rsidRDefault="0010347E" w:rsidP="0010347E">
      <w:pPr>
        <w:shd w:val="clear" w:color="auto" w:fill="FFFFFF" w:themeFill="background1"/>
        <w:spacing w:after="0" w:line="240" w:lineRule="auto"/>
        <w:ind w:firstLine="284"/>
        <w:jc w:val="both"/>
        <w:rPr>
          <w:rFonts w:ascii="Arial" w:hAnsi="Arial" w:cs="Arial"/>
          <w:sz w:val="20"/>
          <w:szCs w:val="20"/>
        </w:rPr>
      </w:pPr>
    </w:p>
    <w:p w14:paraId="7AC3FB21"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Zato je pri ureditvi postopka posebej poudarjeno načelo hitrosti postopka, ki se zagotavlja zlasti s temi pravili:</w:t>
      </w:r>
    </w:p>
    <w:p w14:paraId="4B861846"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25E15DC" w14:textId="77777777" w:rsidR="0010347E" w:rsidRPr="00215B2F" w:rsidRDefault="0010347E" w:rsidP="0010347E">
      <w:pPr>
        <w:pStyle w:val="Odstavekseznama"/>
        <w:numPr>
          <w:ilvl w:val="0"/>
          <w:numId w:val="23"/>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z izključitvijo vrnitve v prejšnje stanje in izrednih pravnih sredstev;</w:t>
      </w:r>
    </w:p>
    <w:p w14:paraId="1E79905C" w14:textId="6A7EA782" w:rsidR="0010347E" w:rsidRPr="00215B2F" w:rsidRDefault="0010347E" w:rsidP="0010347E">
      <w:pPr>
        <w:pStyle w:val="Odstavekseznama"/>
        <w:numPr>
          <w:ilvl w:val="0"/>
          <w:numId w:val="23"/>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s splošnim pravilom o pisnosti postopka; določene so izjeme od tega pravila (</w:t>
      </w:r>
      <w:r w:rsidR="00E35A59" w:rsidRPr="00215B2F">
        <w:rPr>
          <w:rFonts w:ascii="Arial" w:hAnsi="Arial" w:cs="Arial"/>
          <w:sz w:val="20"/>
          <w:szCs w:val="20"/>
        </w:rPr>
        <w:t xml:space="preserve">primerjalno </w:t>
      </w:r>
      <w:r w:rsidRPr="00215B2F">
        <w:rPr>
          <w:rFonts w:ascii="Arial" w:hAnsi="Arial" w:cs="Arial"/>
          <w:sz w:val="20"/>
          <w:szCs w:val="20"/>
        </w:rPr>
        <w:t xml:space="preserve">tudi prvi odstavek 154. člena </w:t>
      </w:r>
      <w:r w:rsidR="00E35A59" w:rsidRPr="00215B2F">
        <w:rPr>
          <w:rFonts w:ascii="Arial" w:hAnsi="Arial" w:cs="Arial"/>
          <w:sz w:val="20"/>
          <w:szCs w:val="20"/>
        </w:rPr>
        <w:t xml:space="preserve">Zakona o splošnem upravnem postopku (Uradni list RS, št. 24/06 – uradno prečiščeno besedilo, 105/06 – ZUS-1, 126/07, 65/08, 8/10, 82/13, 175/20 – ZIUOPDVE in 3/22 – ZDeb; v nadaljnjem besedilu: </w:t>
      </w:r>
      <w:r w:rsidRPr="00215B2F">
        <w:rPr>
          <w:rFonts w:ascii="Arial" w:hAnsi="Arial" w:cs="Arial"/>
          <w:sz w:val="20"/>
          <w:szCs w:val="20"/>
        </w:rPr>
        <w:t>ZUP);</w:t>
      </w:r>
    </w:p>
    <w:p w14:paraId="38A3E194" w14:textId="77777777" w:rsidR="0010347E" w:rsidRPr="00215B2F" w:rsidRDefault="0010347E" w:rsidP="0010347E">
      <w:pPr>
        <w:pStyle w:val="Odstavekseznama"/>
        <w:numPr>
          <w:ilvl w:val="0"/>
          <w:numId w:val="23"/>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s pravili o prekluziji navajanja novih dejstev in predlaganja novih dokazov </w:t>
      </w:r>
    </w:p>
    <w:p w14:paraId="0211C189"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E3A654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Pravila splošnega upravnega postopka se uporabljajo dopolnilno glede tistih vprašanj, ki jih posebni upravni postopek ne ureja.</w:t>
      </w:r>
    </w:p>
    <w:p w14:paraId="214C640F"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0AA7696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Po tem posebnem upravnem postopku Banka Slovenije opravlja tudi procesna dejanja, za katera je v skladu Uredbo (EU) št. 1024/2013 pristojna </w:t>
      </w:r>
      <w:r w:rsidRPr="00215B2F">
        <w:rPr>
          <w:rFonts w:ascii="Arial" w:eastAsia="Arial" w:hAnsi="Arial" w:cs="Arial"/>
          <w:sz w:val="20"/>
          <w:szCs w:val="20"/>
        </w:rPr>
        <w:t>ECB</w:t>
      </w:r>
      <w:r w:rsidRPr="00215B2F">
        <w:rPr>
          <w:rFonts w:ascii="Arial" w:hAnsi="Arial" w:cs="Arial"/>
          <w:sz w:val="20"/>
          <w:szCs w:val="20"/>
        </w:rPr>
        <w:t>.</w:t>
      </w:r>
    </w:p>
    <w:p w14:paraId="5383084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4E17BA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_Ref202968328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442</w:t>
      </w:r>
      <w:r w:rsidRPr="00215B2F">
        <w:rPr>
          <w:rFonts w:ascii="Arial" w:hAnsi="Arial" w:cs="Arial"/>
          <w:b/>
          <w:bCs/>
          <w:sz w:val="20"/>
          <w:szCs w:val="20"/>
        </w:rPr>
        <w:fldChar w:fldCharType="end"/>
      </w:r>
      <w:r w:rsidRPr="00215B2F">
        <w:rPr>
          <w:rFonts w:ascii="Arial" w:hAnsi="Arial" w:cs="Arial"/>
          <w:b/>
          <w:bCs/>
          <w:sz w:val="20"/>
          <w:szCs w:val="20"/>
        </w:rPr>
        <w:t>. členu (veljavni 352. člen ZBan-3)</w:t>
      </w:r>
    </w:p>
    <w:p w14:paraId="3951E381"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15918EED"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(352. člen) ni vsebinskih sprememb. S</w:t>
      </w:r>
      <w:r w:rsidRPr="00215B2F">
        <w:rPr>
          <w:rFonts w:ascii="Arial" w:hAnsi="Arial" w:cs="Arial"/>
          <w:b/>
          <w:sz w:val="20"/>
          <w:szCs w:val="20"/>
        </w:rPr>
        <w:t xml:space="preserve"> </w:t>
      </w:r>
      <w:r w:rsidRPr="00215B2F">
        <w:rPr>
          <w:rFonts w:ascii="Arial" w:hAnsi="Arial" w:cs="Arial"/>
          <w:sz w:val="20"/>
          <w:szCs w:val="20"/>
        </w:rPr>
        <w:t>členom je določena ureditev, ki pooblastilo za odločanje daje Svetu Banke Slovenije kot kolegijskemu organu, postopek do izdaje odločitve pa vodi strokovni delavec Banke Slovenije, ki izpolnjuje pogoje glede izobrazbe in strokovnega izpita iz upravnega postopka, kot so določeni v Zakonu o splošnem upravnem postopku.</w:t>
      </w:r>
    </w:p>
    <w:p w14:paraId="0C24E36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E33CC70" w14:textId="77777777" w:rsidR="0010347E" w:rsidRPr="00215B2F" w:rsidRDefault="0010347E" w:rsidP="0010347E">
      <w:pPr>
        <w:pStyle w:val="Odstavek"/>
        <w:shd w:val="clear" w:color="auto" w:fill="FFFFFF" w:themeFill="background1"/>
        <w:spacing w:before="0"/>
        <w:ind w:firstLine="0"/>
        <w:rPr>
          <w:rFonts w:cs="Arial"/>
          <w:b/>
          <w:bCs/>
          <w:sz w:val="20"/>
          <w:szCs w:val="20"/>
        </w:rPr>
      </w:pPr>
      <w:bookmarkStart w:id="623" w:name="_Hlk203140615"/>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_Ref202968344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443</w:t>
      </w:r>
      <w:r w:rsidRPr="00215B2F">
        <w:rPr>
          <w:rFonts w:cs="Arial"/>
          <w:b/>
          <w:bCs/>
          <w:sz w:val="20"/>
          <w:szCs w:val="20"/>
        </w:rPr>
        <w:fldChar w:fldCharType="end"/>
      </w:r>
      <w:r w:rsidRPr="00215B2F">
        <w:rPr>
          <w:rFonts w:cs="Arial"/>
          <w:b/>
          <w:bCs/>
          <w:sz w:val="20"/>
          <w:szCs w:val="20"/>
        </w:rPr>
        <w:t>. členu (veljavni 452. člen ZBan-3)</w:t>
      </w:r>
    </w:p>
    <w:bookmarkEnd w:id="623"/>
    <w:p w14:paraId="2436DA7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7684279"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ZBan-3 (452. člen) opredeljujejo elektronske vloge oziroma se vzpostavlja pravna podlaga za vse elektronske vloge. Te se vložijo tako, da se po elektronski poti pošljejo v informacijski sistem Banke Slovenije. Vloge v skupnih postopkih Banke Slovenije in </w:t>
      </w:r>
      <w:r w:rsidRPr="00215B2F">
        <w:rPr>
          <w:rFonts w:eastAsia="Arial" w:cs="Arial"/>
          <w:sz w:val="20"/>
          <w:szCs w:val="20"/>
        </w:rPr>
        <w:t>ECB</w:t>
      </w:r>
      <w:r w:rsidRPr="00215B2F">
        <w:rPr>
          <w:rFonts w:cs="Arial"/>
          <w:sz w:val="20"/>
          <w:szCs w:val="20"/>
        </w:rPr>
        <w:t xml:space="preserve"> se v elektronski obliki lahko pošljejo tudi </w:t>
      </w:r>
      <w:r w:rsidRPr="00215B2F">
        <w:rPr>
          <w:rFonts w:cs="Arial"/>
          <w:sz w:val="20"/>
          <w:szCs w:val="20"/>
        </w:rPr>
        <w:lastRenderedPageBreak/>
        <w:t xml:space="preserve">v informacijski sistem </w:t>
      </w:r>
      <w:r w:rsidRPr="00215B2F">
        <w:rPr>
          <w:rFonts w:eastAsia="Arial" w:cs="Arial"/>
          <w:sz w:val="20"/>
          <w:szCs w:val="20"/>
        </w:rPr>
        <w:t>ECB</w:t>
      </w:r>
      <w:r w:rsidRPr="00215B2F">
        <w:rPr>
          <w:rFonts w:cs="Arial"/>
          <w:sz w:val="20"/>
          <w:szCs w:val="20"/>
        </w:rPr>
        <w:t>. Pogoje in način vložitve vlog v elektronski obliki oziroma po elektronski poti pri Banki Slovenije določi Banka Slovenije s podzakonskim aktom.</w:t>
      </w:r>
    </w:p>
    <w:p w14:paraId="25CB191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B8E47DE" w14:textId="66F2A841"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členom se določa izjema od uporabe 63. člena ZUP, ki opredeljuje vročanje vlog. Novi 352.a člen je potreben zaradi možnosti uporabe portala AUT/IMAS </w:t>
      </w:r>
      <w:r w:rsidRPr="00215B2F">
        <w:rPr>
          <w:rFonts w:eastAsia="Arial" w:cs="Arial"/>
          <w:sz w:val="20"/>
          <w:szCs w:val="20"/>
        </w:rPr>
        <w:t>ECB</w:t>
      </w:r>
      <w:r w:rsidRPr="00215B2F">
        <w:rPr>
          <w:rFonts w:cs="Arial"/>
          <w:sz w:val="20"/>
          <w:szCs w:val="20"/>
        </w:rPr>
        <w:t>. Portal je spletna platforma, ki je bila prvič vzpostavljena oktobra 2020, prek katere lahko vsi nadzorovani subjekti in zadevne tretje osebe predložijo vloge in informacije v zvezi z nadzornimi postopki enotnega mehanizma nadzora (SSM), spremljajo status takih postopkov ter si učinkovito, varno in pregledno izmenjujejo informacije z nadzorniki. Portal je obravnavan kot temeljni kamen v strategiji digitalizacije SSM. Razvit je bil kot odziv na velik obseg prihajajočih vlog, obvestil in interakcij z nadzorovanimi entitetami in tretjimi stranmi. Uporaba portala je v drugih državah članicah SSM povečala kakovost prejetih vlog, skrajšala čas rešitve vlog in tako povečala učinkovitost tako za nadzornike kot za uporabnike. Uporaba enovite platforme, če se uporablja v vseh državah članicah SSM, je tudi pomemben dejavnik pri povečevanju usklajenosti in skladnosti nadzornih praks po celotnem SSM in s tem pri spodbujanju enakih pogojev za bančni nadzor na ravni SSM. Portal IMAS prav tako prispeva k ciljem integracije SSM.</w:t>
      </w:r>
    </w:p>
    <w:p w14:paraId="1C67F88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BB6F816"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zakona (drugi odstavek) se dodatno določa, da se vloge v postopkih, kjer </w:t>
      </w:r>
      <w:r w:rsidRPr="00215B2F">
        <w:rPr>
          <w:rFonts w:eastAsia="Arial" w:cs="Arial"/>
          <w:sz w:val="20"/>
          <w:szCs w:val="20"/>
        </w:rPr>
        <w:t>ECB</w:t>
      </w:r>
      <w:r w:rsidRPr="00215B2F">
        <w:rPr>
          <w:rFonts w:cs="Arial"/>
          <w:sz w:val="20"/>
          <w:szCs w:val="20"/>
        </w:rPr>
        <w:t xml:space="preserve"> izvaja nadzor po Uredbi 1024/2013/EU, v skladu z okvirno uredbo ECB 468/2014/EU in tem zakonom lahko vložijo pri Banki Slovenije ali elektronsko neposredno v informacijski sistem </w:t>
      </w:r>
      <w:r w:rsidRPr="00215B2F">
        <w:rPr>
          <w:rFonts w:eastAsia="Arial" w:cs="Arial"/>
          <w:sz w:val="20"/>
          <w:szCs w:val="20"/>
        </w:rPr>
        <w:t>ECB.</w:t>
      </w:r>
    </w:p>
    <w:p w14:paraId="15584D0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7906BC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_Ref202968353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444</w:t>
      </w:r>
      <w:r w:rsidRPr="00215B2F">
        <w:rPr>
          <w:rFonts w:ascii="Arial" w:hAnsi="Arial" w:cs="Arial"/>
          <w:b/>
          <w:bCs/>
          <w:sz w:val="20"/>
          <w:szCs w:val="20"/>
        </w:rPr>
        <w:fldChar w:fldCharType="end"/>
      </w:r>
      <w:r w:rsidRPr="00215B2F">
        <w:rPr>
          <w:rFonts w:ascii="Arial" w:hAnsi="Arial" w:cs="Arial"/>
          <w:b/>
          <w:bCs/>
          <w:sz w:val="20"/>
          <w:szCs w:val="20"/>
        </w:rPr>
        <w:t>. členu (veljavni 353. člen ZBan-3)</w:t>
      </w:r>
    </w:p>
    <w:p w14:paraId="7A8451E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14771EC" w14:textId="23CE90B0"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(353. člen) ni vsebinskih sprememb.</w:t>
      </w:r>
      <w:r w:rsidRPr="00215B2F">
        <w:rPr>
          <w:rFonts w:ascii="Arial" w:hAnsi="Arial" w:cs="Arial"/>
          <w:b/>
          <w:sz w:val="20"/>
          <w:szCs w:val="20"/>
        </w:rPr>
        <w:t xml:space="preserve"> </w:t>
      </w:r>
      <w:r w:rsidRPr="00215B2F">
        <w:rPr>
          <w:rFonts w:ascii="Arial" w:hAnsi="Arial" w:cs="Arial"/>
          <w:sz w:val="20"/>
          <w:szCs w:val="20"/>
        </w:rPr>
        <w:t xml:space="preserve">Predlog zakona ohranja dosedanje splošno pravilo o pisnosti postopka, določa pa tudi izjeme od tega pravila, in sicer se ustna obravnava razpiše, če je treba zaslišati priče ali izvedence, če sta v postopku udeleženi dve ali več strank z nasprotujočimi si interesi, če je treba opraviti ustno obravnavo v postopku izdaje dovoljenja za opravljanje funkcije </w:t>
      </w:r>
      <w:r w:rsidR="00882103" w:rsidRPr="00215B2F">
        <w:rPr>
          <w:rFonts w:ascii="Arial" w:hAnsi="Arial" w:cs="Arial"/>
          <w:sz w:val="20"/>
          <w:szCs w:val="20"/>
        </w:rPr>
        <w:t>člana uprave</w:t>
      </w:r>
      <w:r w:rsidRPr="00215B2F">
        <w:rPr>
          <w:rFonts w:ascii="Arial" w:hAnsi="Arial" w:cs="Arial"/>
          <w:sz w:val="20"/>
          <w:szCs w:val="20"/>
        </w:rPr>
        <w:t xml:space="preserve"> ali v drugih primerih, če Banka Slovenije presodi, da je to koristno za razjasnitev zadeve.</w:t>
      </w:r>
    </w:p>
    <w:p w14:paraId="6CEA449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2558D1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_Ref202968361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445</w:t>
      </w:r>
      <w:r w:rsidRPr="00215B2F">
        <w:rPr>
          <w:rFonts w:ascii="Arial" w:hAnsi="Arial" w:cs="Arial"/>
          <w:b/>
          <w:bCs/>
          <w:sz w:val="20"/>
          <w:szCs w:val="20"/>
        </w:rPr>
        <w:fldChar w:fldCharType="end"/>
      </w:r>
      <w:r w:rsidRPr="00215B2F">
        <w:rPr>
          <w:rFonts w:ascii="Arial" w:hAnsi="Arial" w:cs="Arial"/>
          <w:b/>
          <w:bCs/>
          <w:sz w:val="20"/>
          <w:szCs w:val="20"/>
        </w:rPr>
        <w:t>. členu (veljavni 354. člen ZBan-3)</w:t>
      </w:r>
    </w:p>
    <w:p w14:paraId="5711EB7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5822A49"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(354. člen) ni vsebinskih sprememb.</w:t>
      </w:r>
      <w:r w:rsidRPr="00215B2F">
        <w:rPr>
          <w:rFonts w:ascii="Arial" w:hAnsi="Arial" w:cs="Arial"/>
          <w:b/>
          <w:sz w:val="20"/>
          <w:szCs w:val="20"/>
        </w:rPr>
        <w:t xml:space="preserve"> </w:t>
      </w:r>
      <w:r w:rsidRPr="00215B2F">
        <w:rPr>
          <w:rFonts w:ascii="Arial" w:hAnsi="Arial" w:cs="Arial"/>
          <w:sz w:val="20"/>
          <w:szCs w:val="20"/>
        </w:rPr>
        <w:t>Predlagani člen podobno kot v veljavni ureditvi zagotavlja uresničevanje temeljnega načela upravnega postopka, in sicer načela zaslišanja stranke, ki organu, ki vodi postopek, nalaga, da pred odločitvijo o stvari stranko zasliši oziroma ji da možnost udeležbe in sodelovanja v ugotovitvenem in dokaznem postopku. Na bančnem področju se to načelo uresničuje praviloma s pisno izjavo, kot je pojasnjeno v obrazložitvi k prejšnjemu členu. Predlog zakona enako kot doslej določa obvezno vsebino poziva o dejstvih in okoliščinah, ki so pomembne za odločitev, ki ga mora stranki poslati Banka Slovenije, če v posameznem primeru stranki ni bila zagotovljena drugačna možnost, da se o tem izjavi.</w:t>
      </w:r>
    </w:p>
    <w:p w14:paraId="4D9D235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0626F6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_Ref202968366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446</w:t>
      </w:r>
      <w:r w:rsidRPr="00215B2F">
        <w:rPr>
          <w:rFonts w:ascii="Arial" w:hAnsi="Arial" w:cs="Arial"/>
          <w:b/>
          <w:bCs/>
          <w:sz w:val="20"/>
          <w:szCs w:val="20"/>
        </w:rPr>
        <w:fldChar w:fldCharType="end"/>
      </w:r>
      <w:r w:rsidRPr="00215B2F">
        <w:rPr>
          <w:rFonts w:ascii="Arial" w:hAnsi="Arial" w:cs="Arial"/>
          <w:b/>
          <w:bCs/>
          <w:sz w:val="20"/>
          <w:szCs w:val="20"/>
        </w:rPr>
        <w:t>. členu (veljavni 355. člen ZBan-3)</w:t>
      </w:r>
    </w:p>
    <w:p w14:paraId="7B58298A"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003E87A7" w14:textId="54F87026"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(355. člen) ni vsebinskih sprememb. V postopkih po zakonu se dokumenti pravnim osebam vročajo pooblaščeni osebi ali drugemu zaposlenemu v poslovnem prostoru, medtem ko se vročitve članom uprave in </w:t>
      </w:r>
      <w:r w:rsidR="00354135" w:rsidRPr="00215B2F">
        <w:rPr>
          <w:rFonts w:ascii="Arial" w:hAnsi="Arial" w:cs="Arial"/>
          <w:sz w:val="20"/>
          <w:szCs w:val="20"/>
        </w:rPr>
        <w:t>nadzornega sveta</w:t>
      </w:r>
      <w:r w:rsidRPr="00215B2F">
        <w:rPr>
          <w:rFonts w:ascii="Arial" w:hAnsi="Arial" w:cs="Arial"/>
          <w:sz w:val="20"/>
          <w:szCs w:val="20"/>
        </w:rPr>
        <w:t xml:space="preserve"> štejejo za opravljene, če so vročene banki. Kandidatom za ti mesti se dokumenti prav tako vročajo banki, razen če je določeno drugače, pri čemer se v končnih odločbah prekrijejo podatki, ki jih banka ne sme pridobiti, in odločba se vroči tudi kandidatom. Če stranko zastopa odvetnik, se vročitev šteje za opravljeno, če so dokumenti vročeni odvetniku ali njegovemu zaposlenemu.</w:t>
      </w:r>
    </w:p>
    <w:p w14:paraId="79E6B02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201125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_Ref202968373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447</w:t>
      </w:r>
      <w:r w:rsidRPr="00215B2F">
        <w:rPr>
          <w:rFonts w:ascii="Arial" w:hAnsi="Arial" w:cs="Arial"/>
          <w:b/>
          <w:bCs/>
          <w:sz w:val="20"/>
          <w:szCs w:val="20"/>
        </w:rPr>
        <w:fldChar w:fldCharType="end"/>
      </w:r>
      <w:r w:rsidRPr="00215B2F">
        <w:rPr>
          <w:rFonts w:ascii="Arial" w:hAnsi="Arial" w:cs="Arial"/>
          <w:b/>
          <w:bCs/>
          <w:sz w:val="20"/>
          <w:szCs w:val="20"/>
        </w:rPr>
        <w:t>. členu (veljavni 356. člen ZBan-3)</w:t>
      </w:r>
    </w:p>
    <w:p w14:paraId="1E28E4E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1E32BB8"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(356. člen) ni vsebinskih sprememb.</w:t>
      </w:r>
      <w:r w:rsidRPr="00215B2F">
        <w:rPr>
          <w:rFonts w:ascii="Arial" w:hAnsi="Arial" w:cs="Arial"/>
          <w:b/>
          <w:sz w:val="20"/>
          <w:szCs w:val="20"/>
        </w:rPr>
        <w:t xml:space="preserve"> </w:t>
      </w:r>
      <w:r w:rsidRPr="00215B2F">
        <w:rPr>
          <w:rFonts w:ascii="Arial" w:hAnsi="Arial" w:cs="Arial"/>
          <w:sz w:val="20"/>
          <w:szCs w:val="20"/>
        </w:rPr>
        <w:t>V skladu s splošnim pravilom o pisnosti postopka Banka Slovenije odloča brez naroka, predlagani člen pa kot v veljavni ureditvi ureja tudi izjeme od tega pravila in določa, kdaj Banka Slovenije razpiše ustno obravnavo.</w:t>
      </w:r>
    </w:p>
    <w:p w14:paraId="2311009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E509D6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_Ref202968379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448</w:t>
      </w:r>
      <w:r w:rsidRPr="00215B2F">
        <w:rPr>
          <w:rFonts w:ascii="Arial" w:hAnsi="Arial" w:cs="Arial"/>
          <w:b/>
          <w:bCs/>
          <w:sz w:val="20"/>
          <w:szCs w:val="20"/>
        </w:rPr>
        <w:fldChar w:fldCharType="end"/>
      </w:r>
      <w:r w:rsidRPr="00215B2F">
        <w:rPr>
          <w:rFonts w:ascii="Arial" w:hAnsi="Arial" w:cs="Arial"/>
          <w:b/>
          <w:bCs/>
          <w:sz w:val="20"/>
          <w:szCs w:val="20"/>
        </w:rPr>
        <w:t>. členu (veljavni 357. člen ZBan-3)</w:t>
      </w:r>
    </w:p>
    <w:p w14:paraId="55B2B47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3C1D002"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ZBan-3 (357. člen) določa, da Banka Slovenije odloča z odločbami, sklepi in odredbami. Odločbe se nanašajo na dovoljenja, ocene primernosti, odobritve in podobno, sklepi pa na postopkovna vprašanja. Vsi akti morajo biti obrazloženi, razen če zakon določa drugače. Izrek akta mora vsebovati osebne </w:t>
      </w:r>
      <w:r w:rsidRPr="00215B2F">
        <w:rPr>
          <w:rFonts w:cs="Arial"/>
          <w:sz w:val="20"/>
          <w:szCs w:val="20"/>
        </w:rPr>
        <w:lastRenderedPageBreak/>
        <w:t>podatke subjekta nadzora, kratek opis dejstev in pravno podlago. Obrazložitev vključuje izjavo subjekta, če je bila zahtevana, ter dejstva in dokaze, na katerih temelji odločitev. Pravni pouk vsebuje informacije o pravicah do pravnega sredstva, rokih, načinu vložitve in pristojnem organu.</w:t>
      </w:r>
    </w:p>
    <w:p w14:paraId="7D55BEF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D8B9BDD" w14:textId="77777777" w:rsidR="0010347E" w:rsidRPr="00215B2F" w:rsidRDefault="0010347E" w:rsidP="0010347E">
      <w:pPr>
        <w:pStyle w:val="Odstavek"/>
        <w:shd w:val="clear" w:color="auto" w:fill="FFFFFF" w:themeFill="background1"/>
        <w:spacing w:before="0"/>
        <w:ind w:firstLine="0"/>
        <w:rPr>
          <w:rFonts w:eastAsia="Arial" w:cs="Arial"/>
          <w:sz w:val="20"/>
          <w:szCs w:val="20"/>
        </w:rPr>
      </w:pPr>
      <w:r w:rsidRPr="00215B2F">
        <w:rPr>
          <w:rFonts w:cs="Arial"/>
          <w:sz w:val="20"/>
          <w:szCs w:val="20"/>
        </w:rPr>
        <w:t xml:space="preserve">S predlogom zakona se (glede na ZBan-3) dopolnjuje drugi odstavek tako, da </w:t>
      </w:r>
      <w:r w:rsidRPr="00215B2F">
        <w:rPr>
          <w:rFonts w:eastAsia="Arial" w:cs="Arial"/>
          <w:sz w:val="20"/>
          <w:szCs w:val="20"/>
        </w:rPr>
        <w:t xml:space="preserve">Banka Slovenije z odločbo odloča tudi o zahtevah za oceno primernosti, ustreznosti, odobritvah, izvzetjih in opustitvah. </w:t>
      </w:r>
      <w:r w:rsidRPr="00215B2F">
        <w:rPr>
          <w:rFonts w:cs="Arial"/>
          <w:sz w:val="20"/>
          <w:szCs w:val="20"/>
        </w:rPr>
        <w:t xml:space="preserve">Glede na to, da so v prvem odstavku opredeljene vse odločitve Banke Slovenije, torej tudi npr. dovoljenja ali ugotovitvene odločbe, kjer ne gre za kršitev, se temu smiselno prilagaja tudi druga točka petega odstavka. </w:t>
      </w:r>
    </w:p>
    <w:p w14:paraId="4FE745A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666EAE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_Ref202968385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449</w:t>
      </w:r>
      <w:r w:rsidRPr="00215B2F">
        <w:rPr>
          <w:rFonts w:ascii="Arial" w:hAnsi="Arial" w:cs="Arial"/>
          <w:b/>
          <w:bCs/>
          <w:sz w:val="20"/>
          <w:szCs w:val="20"/>
        </w:rPr>
        <w:fldChar w:fldCharType="end"/>
      </w:r>
      <w:r w:rsidRPr="00215B2F">
        <w:rPr>
          <w:rFonts w:ascii="Arial" w:hAnsi="Arial" w:cs="Arial"/>
          <w:b/>
          <w:bCs/>
          <w:sz w:val="20"/>
          <w:szCs w:val="20"/>
        </w:rPr>
        <w:t>. členu (veljavni 358. člen ZBan-3)</w:t>
      </w:r>
    </w:p>
    <w:p w14:paraId="654DBF2F"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72AC5B3E"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(358. člen) ni vsebinskih sprememb.</w:t>
      </w:r>
      <w:r w:rsidRPr="00215B2F">
        <w:rPr>
          <w:rFonts w:ascii="Arial" w:hAnsi="Arial" w:cs="Arial"/>
          <w:b/>
          <w:sz w:val="20"/>
          <w:szCs w:val="20"/>
        </w:rPr>
        <w:t xml:space="preserve"> </w:t>
      </w:r>
      <w:r w:rsidRPr="00215B2F">
        <w:rPr>
          <w:rFonts w:ascii="Arial" w:hAnsi="Arial" w:cs="Arial"/>
          <w:sz w:val="20"/>
          <w:szCs w:val="20"/>
        </w:rPr>
        <w:t xml:space="preserve">Predlog člena uresničuje ustavno zagotovljeno pravico do pravnega sredstva. Proti aktom, ki jih izda Banka Slovenije, sicer ni pritožbe, je pa zagotovljeno sodno varstvo. Proti odredbam pa je v zakonsko določenih primerih dopusten tudi ugovor. </w:t>
      </w:r>
    </w:p>
    <w:p w14:paraId="59354C5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CBD7D6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_Ref202968390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450</w:t>
      </w:r>
      <w:r w:rsidRPr="00215B2F">
        <w:rPr>
          <w:rFonts w:ascii="Arial" w:hAnsi="Arial" w:cs="Arial"/>
          <w:b/>
          <w:bCs/>
          <w:sz w:val="20"/>
          <w:szCs w:val="20"/>
        </w:rPr>
        <w:fldChar w:fldCharType="end"/>
      </w:r>
      <w:r w:rsidRPr="00215B2F">
        <w:rPr>
          <w:rFonts w:ascii="Arial" w:hAnsi="Arial" w:cs="Arial"/>
          <w:b/>
          <w:bCs/>
          <w:sz w:val="20"/>
          <w:szCs w:val="20"/>
        </w:rPr>
        <w:t>. členu (veljavni 359. člen ZBan-3)</w:t>
      </w:r>
    </w:p>
    <w:p w14:paraId="3C80477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0433817"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ZBan-3 (359. člen) ureja izvršljivost odločb Banke Slovenije, in sicer odločbe praviloma postanejo izvršljive z njihovo dokončnostjo. Dokončne pa postanejo z njihovo izdajo, ker je pritožba izključena. Odločbe, s katerimi se izreče globa ali določa denarna obveznost banke, postanejo izvršljive z njihovo pravnomočnostjo. Po splošnem pravilu odredbe Banke Slovenije ni mogoče izvršiti.</w:t>
      </w:r>
    </w:p>
    <w:p w14:paraId="4DCB8E3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51CA9B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S predlogom zakona se črta dikcija »izreče globe« banke. Globe se namreč izrekajo po ZP-1, ki ima glede izvršljivosti svoje določbe, denarna obveznost pa se lahko v okviru sprememb CRD (zlasti periodičnih denarnih kazni) naloži tudi drugim subjektom.</w:t>
      </w:r>
    </w:p>
    <w:p w14:paraId="07A8302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A4CB52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_Ref202968396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451</w:t>
      </w:r>
      <w:r w:rsidRPr="00215B2F">
        <w:rPr>
          <w:rFonts w:ascii="Arial" w:hAnsi="Arial" w:cs="Arial"/>
          <w:b/>
          <w:bCs/>
          <w:sz w:val="20"/>
          <w:szCs w:val="20"/>
        </w:rPr>
        <w:fldChar w:fldCharType="end"/>
      </w:r>
      <w:r w:rsidRPr="00215B2F">
        <w:rPr>
          <w:rFonts w:ascii="Arial" w:hAnsi="Arial" w:cs="Arial"/>
          <w:b/>
          <w:bCs/>
          <w:sz w:val="20"/>
          <w:szCs w:val="20"/>
        </w:rPr>
        <w:t>. členu (veljavni 360. člen ZBan-3)</w:t>
      </w:r>
    </w:p>
    <w:p w14:paraId="4BCEFA6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E691BB4"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(360. člen) ni vsebinskih sprememb.</w:t>
      </w:r>
      <w:r w:rsidRPr="00215B2F">
        <w:rPr>
          <w:rFonts w:ascii="Arial" w:hAnsi="Arial" w:cs="Arial"/>
          <w:b/>
          <w:sz w:val="20"/>
          <w:szCs w:val="20"/>
        </w:rPr>
        <w:t xml:space="preserve"> </w:t>
      </w:r>
      <w:r w:rsidRPr="00215B2F">
        <w:rPr>
          <w:rFonts w:ascii="Arial" w:hAnsi="Arial" w:cs="Arial"/>
          <w:sz w:val="20"/>
          <w:szCs w:val="20"/>
        </w:rPr>
        <w:t xml:space="preserve">Podobno kot je pravica do obrambe urejena v 32. členu Uredbe (EU) št. 468/2014 Evropske centralne banke z dne 16. aprila 2014 o vzpostavitvi okvira za sodelovanje znotraj enotnega mehanizma nadzora med </w:t>
      </w:r>
      <w:r w:rsidRPr="00215B2F">
        <w:rPr>
          <w:rFonts w:ascii="Arial" w:eastAsia="Arial" w:hAnsi="Arial" w:cs="Arial"/>
          <w:sz w:val="20"/>
          <w:szCs w:val="20"/>
        </w:rPr>
        <w:t>ECB</w:t>
      </w:r>
      <w:r w:rsidRPr="00215B2F">
        <w:rPr>
          <w:rFonts w:ascii="Arial" w:hAnsi="Arial" w:cs="Arial"/>
          <w:sz w:val="20"/>
          <w:szCs w:val="20"/>
        </w:rPr>
        <w:t xml:space="preserve"> in pristojnimi nacionalnimi organi ter z imenovanimi nacionalnimi organi (okvirna uredba o EMN) z določitvijo vpogleda v spise v nadzorniškem postopku </w:t>
      </w:r>
      <w:r w:rsidRPr="00215B2F">
        <w:rPr>
          <w:rFonts w:ascii="Arial" w:eastAsia="Arial" w:hAnsi="Arial" w:cs="Arial"/>
          <w:sz w:val="20"/>
          <w:szCs w:val="20"/>
        </w:rPr>
        <w:t>ECB</w:t>
      </w:r>
      <w:r w:rsidRPr="00215B2F">
        <w:rPr>
          <w:rFonts w:ascii="Arial" w:hAnsi="Arial" w:cs="Arial"/>
          <w:sz w:val="20"/>
          <w:szCs w:val="20"/>
        </w:rPr>
        <w:t>, predlog člena ureja pregled dokumentov v postopku odločanja Banke Slovenije in dostop do zaupnih informacij. To je tudi ena od pravic, ki jih predvideva tudi splošni upravni postopek (82. člen ZUP), pri čemer pa predlagani člen dopušča zgolj fizični dostop (ne pa tudi dostopa prek informacijskega sistema) in tudi ne dovoljuje pritožbe zoper odločbo o zavrnitvi dostopa, temveč omogoča sodno varstvo po tem predlogu zakona.</w:t>
      </w:r>
    </w:p>
    <w:p w14:paraId="0158C3E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55F290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_Ref202968416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452</w:t>
      </w:r>
      <w:r w:rsidRPr="00215B2F">
        <w:rPr>
          <w:rFonts w:ascii="Arial" w:hAnsi="Arial" w:cs="Arial"/>
          <w:b/>
          <w:bCs/>
          <w:sz w:val="20"/>
          <w:szCs w:val="20"/>
        </w:rPr>
        <w:fldChar w:fldCharType="end"/>
      </w:r>
      <w:r w:rsidRPr="00215B2F">
        <w:rPr>
          <w:rFonts w:ascii="Arial" w:hAnsi="Arial" w:cs="Arial"/>
          <w:b/>
          <w:bCs/>
          <w:sz w:val="20"/>
          <w:szCs w:val="20"/>
        </w:rPr>
        <w:t>. členu (veljavni 361. člen ZBan-3)</w:t>
      </w:r>
    </w:p>
    <w:p w14:paraId="6EB6351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F203542" w14:textId="77777777" w:rsidR="0010347E" w:rsidRPr="00215B2F" w:rsidRDefault="0010347E" w:rsidP="0010347E">
      <w:pPr>
        <w:shd w:val="clear" w:color="auto" w:fill="FFFFFF" w:themeFill="background1"/>
        <w:spacing w:after="0" w:line="240" w:lineRule="auto"/>
        <w:jc w:val="both"/>
        <w:rPr>
          <w:rFonts w:ascii="Arial" w:hAnsi="Arial" w:cs="Arial"/>
          <w:bCs/>
          <w:sz w:val="20"/>
          <w:szCs w:val="20"/>
        </w:rPr>
      </w:pPr>
      <w:r w:rsidRPr="00215B2F">
        <w:rPr>
          <w:rFonts w:ascii="Arial" w:hAnsi="Arial" w:cs="Arial"/>
          <w:sz w:val="20"/>
          <w:szCs w:val="20"/>
        </w:rPr>
        <w:t xml:space="preserve">V ZBan-3 je med drugim določeno (361. člen), da se </w:t>
      </w:r>
      <w:r w:rsidRPr="00215B2F">
        <w:rPr>
          <w:rFonts w:ascii="Arial" w:hAnsi="Arial" w:cs="Arial"/>
          <w:bCs/>
          <w:sz w:val="20"/>
          <w:szCs w:val="20"/>
        </w:rPr>
        <w:t xml:space="preserve">določbe predmetnega </w:t>
      </w:r>
      <w:r w:rsidRPr="00215B2F">
        <w:rPr>
          <w:rFonts w:ascii="Arial" w:hAnsi="Arial" w:cs="Arial"/>
          <w:sz w:val="20"/>
          <w:szCs w:val="20"/>
        </w:rPr>
        <w:t>oddelka</w:t>
      </w:r>
      <w:r w:rsidRPr="00215B2F">
        <w:rPr>
          <w:rFonts w:ascii="Arial" w:hAnsi="Arial" w:cs="Arial"/>
          <w:bCs/>
          <w:sz w:val="20"/>
          <w:szCs w:val="20"/>
        </w:rPr>
        <w:t xml:space="preserve"> uporabljajo pri odločanju Banke Slovenije o izdaji dovoljenj ali soglasij na podlagi zakona in Uredbe 1024/2013/EU, razen če zakon za posamezni postopek določa drugače. Poleg tega se v teh postopkih uporabljajo tudi določbe predhodnega </w:t>
      </w:r>
      <w:r w:rsidRPr="00215B2F">
        <w:rPr>
          <w:rFonts w:ascii="Arial" w:hAnsi="Arial" w:cs="Arial"/>
          <w:sz w:val="20"/>
          <w:szCs w:val="20"/>
        </w:rPr>
        <w:t>oddelka</w:t>
      </w:r>
      <w:r w:rsidRPr="00215B2F">
        <w:rPr>
          <w:rFonts w:ascii="Arial" w:hAnsi="Arial" w:cs="Arial"/>
          <w:bCs/>
          <w:sz w:val="20"/>
          <w:szCs w:val="20"/>
        </w:rPr>
        <w:t xml:space="preserve">, razen če ta </w:t>
      </w:r>
      <w:r w:rsidRPr="00215B2F">
        <w:rPr>
          <w:rFonts w:ascii="Arial" w:hAnsi="Arial" w:cs="Arial"/>
          <w:sz w:val="20"/>
          <w:szCs w:val="20"/>
        </w:rPr>
        <w:t xml:space="preserve">oddelek </w:t>
      </w:r>
      <w:r w:rsidRPr="00215B2F">
        <w:rPr>
          <w:rFonts w:ascii="Arial" w:hAnsi="Arial" w:cs="Arial"/>
          <w:bCs/>
          <w:sz w:val="20"/>
          <w:szCs w:val="20"/>
        </w:rPr>
        <w:t>določa posebna pravila.</w:t>
      </w:r>
    </w:p>
    <w:p w14:paraId="71A806E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61DDBA1"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Dopolnitve predloga zakona (nov drugi odstavek) sledijo prilagoditvam določb in terminologije v poglavju o kvalificiranih deležih. Ker se o kvalificiranih deležih ne bo več izdajalo dovoljenje, je treba ustrezno določiti uporabo zadevnega poglavja za odločanje o zahtevah za oceno primernosti.</w:t>
      </w:r>
    </w:p>
    <w:p w14:paraId="527F985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403135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_Ref202968437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453</w:t>
      </w:r>
      <w:r w:rsidRPr="00215B2F">
        <w:rPr>
          <w:rFonts w:ascii="Arial" w:hAnsi="Arial" w:cs="Arial"/>
          <w:b/>
          <w:bCs/>
          <w:sz w:val="20"/>
          <w:szCs w:val="20"/>
        </w:rPr>
        <w:fldChar w:fldCharType="end"/>
      </w:r>
      <w:r w:rsidRPr="00215B2F">
        <w:rPr>
          <w:rFonts w:ascii="Arial" w:hAnsi="Arial" w:cs="Arial"/>
          <w:b/>
          <w:bCs/>
          <w:sz w:val="20"/>
          <w:szCs w:val="20"/>
        </w:rPr>
        <w:t>. členu (veljavni 362. člen ZBan-3)</w:t>
      </w:r>
    </w:p>
    <w:p w14:paraId="05091DF7"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49CF32CB" w14:textId="77777777"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bCs/>
          <w:sz w:val="20"/>
          <w:szCs w:val="20"/>
        </w:rPr>
        <w:t xml:space="preserve">ZBan-3 (362. člen) določa, da morajo vložniki ali prejemniki dovoljenj, ki jih Banka Slovenije izdaja na podlagi Zakona o bančništvu ali Uredbe 575/2013/EU, bodisi na zahtevo bodisi po uradni dolžnosti, plačati takso, določeno s tarifo Banke Slovenije. Taksa mora biti plačana tudi v primerih, ko Banka Slovenije opravlja posamezna dejanja v postopkih, za katere je sicer pristojna </w:t>
      </w:r>
      <w:r w:rsidRPr="00215B2F">
        <w:rPr>
          <w:rFonts w:eastAsia="Arial" w:cs="Arial"/>
          <w:sz w:val="20"/>
          <w:szCs w:val="20"/>
        </w:rPr>
        <w:t>ECB</w:t>
      </w:r>
      <w:r w:rsidRPr="00215B2F">
        <w:rPr>
          <w:rFonts w:cs="Arial"/>
          <w:bCs/>
          <w:sz w:val="20"/>
          <w:szCs w:val="20"/>
        </w:rPr>
        <w:t xml:space="preserve"> na podlagi Uredbe 1024/2013/EU.</w:t>
      </w:r>
    </w:p>
    <w:p w14:paraId="2CDC7A14"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21440D10" w14:textId="4C42F30A"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lastRenderedPageBreak/>
        <w:t>S predlogom zakona (tretji odstavek) se dodatno določa, da morajo vložniki uradnih obvestil in zahtev za izdajo dovoljenj ter osebe, katerim se dovoljenje odvzame na podlagi Uredbe 648/2012/EU, za obravnavo in odločanje plačati takso po tarifi Banke Slovenije. Ta namreč za izvajanje nadzora, del katerega je tudi izdaja uradnih obvestil in odločanje o dovoljenjih po navedeni uredbi, zaračunava ustrezno nadomestilo. Gre za konkretizacijo stroškov posameznega postopka, ki se sicer obračunavajo v okviru letnega nadomestila za nadzor.</w:t>
      </w:r>
      <w:r w:rsidR="008675D3" w:rsidRPr="00215B2F">
        <w:rPr>
          <w:rFonts w:cs="Arial"/>
          <w:sz w:val="20"/>
          <w:szCs w:val="20"/>
        </w:rPr>
        <w:t xml:space="preserve"> </w:t>
      </w:r>
    </w:p>
    <w:p w14:paraId="6E6703C6" w14:textId="77777777" w:rsidR="008675D3" w:rsidRPr="00215B2F" w:rsidRDefault="008675D3" w:rsidP="008675D3">
      <w:pPr>
        <w:pStyle w:val="Odstavek"/>
        <w:shd w:val="clear" w:color="auto" w:fill="FFFFFF" w:themeFill="background1"/>
        <w:spacing w:before="0"/>
        <w:ind w:firstLine="0"/>
        <w:rPr>
          <w:rFonts w:cs="Arial"/>
          <w:sz w:val="20"/>
          <w:szCs w:val="20"/>
        </w:rPr>
      </w:pPr>
    </w:p>
    <w:p w14:paraId="0108A970" w14:textId="2A7EAFE0" w:rsidR="008675D3" w:rsidRPr="00215B2F" w:rsidRDefault="008675D3" w:rsidP="008675D3">
      <w:pPr>
        <w:spacing w:after="0" w:line="240" w:lineRule="auto"/>
        <w:jc w:val="both"/>
        <w:rPr>
          <w:rFonts w:ascii="Arial" w:hAnsi="Arial" w:cs="Arial"/>
          <w:sz w:val="20"/>
          <w:szCs w:val="20"/>
        </w:rPr>
      </w:pPr>
      <w:r w:rsidRPr="00215B2F">
        <w:rPr>
          <w:rFonts w:ascii="Arial" w:hAnsi="Arial" w:cs="Arial"/>
          <w:sz w:val="20"/>
          <w:szCs w:val="20"/>
        </w:rPr>
        <w:t xml:space="preserve">S predlogom zakona (četrti odstavek) se dodatno določa, da se ta člen se smiselno uporablja tudi za takse za odločanje v postopkih na zahtevo subjektov nadzora po tem zakonu, o katerih Banka Slovenije odloča na podlagi drugih zakonov. </w:t>
      </w:r>
    </w:p>
    <w:p w14:paraId="4AB5D05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C0675E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_Ref202968444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454</w:t>
      </w:r>
      <w:r w:rsidRPr="00215B2F">
        <w:rPr>
          <w:rFonts w:ascii="Arial" w:hAnsi="Arial" w:cs="Arial"/>
          <w:b/>
          <w:bCs/>
          <w:sz w:val="20"/>
          <w:szCs w:val="20"/>
        </w:rPr>
        <w:fldChar w:fldCharType="end"/>
      </w:r>
      <w:r w:rsidRPr="00215B2F">
        <w:rPr>
          <w:rFonts w:ascii="Arial" w:hAnsi="Arial" w:cs="Arial"/>
          <w:b/>
          <w:bCs/>
          <w:sz w:val="20"/>
          <w:szCs w:val="20"/>
        </w:rPr>
        <w:t>. členu (veljavni 363. člen ZBan-3)</w:t>
      </w:r>
    </w:p>
    <w:p w14:paraId="5EE689D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D4201C6"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(363. člen) ni vsebinskih sprememb.</w:t>
      </w:r>
      <w:r w:rsidRPr="00215B2F">
        <w:rPr>
          <w:rFonts w:ascii="Arial" w:hAnsi="Arial" w:cs="Arial"/>
          <w:b/>
          <w:sz w:val="20"/>
          <w:szCs w:val="20"/>
        </w:rPr>
        <w:t xml:space="preserve"> </w:t>
      </w:r>
      <w:r w:rsidRPr="00215B2F">
        <w:rPr>
          <w:rFonts w:ascii="Arial" w:hAnsi="Arial" w:cs="Arial"/>
          <w:sz w:val="20"/>
          <w:szCs w:val="20"/>
        </w:rPr>
        <w:t>Predlog člena določa, kdo so udeleženci v postopku odločanja o zahtevi za izdajo dovoljenja. Stranka v postopku je vložnik zahteve, udeleženci pa so pod zakonsko določenimi pogoji lahko tudi druge osebe, in sicer predlog člena posebej določa, kdo lahko sodeluje v postopku z zahtevo za izdajo dovoljenja banki in v postopku z zahtevo za izdajo dovoljenja članu uprave, članu nadzornega sveta ali imetniku kvalificiranega deleža. Poleg teh je v postopku odločanja o izdaji dovoljenj lahko udeleženec v postopku tudi oseba, ki jo Banka Slovenije na podlagi predloga subjekta nadzora povabi k sodelovanju, če ugotovi, da utegne biti pravni interes te osebe z izdajo dovoljenja prizadet. To pomeni razliko od dosedanje ureditve, ko je taka oseba svojo udeležbo morala sama priglasiti s pisno vlogo.</w:t>
      </w:r>
    </w:p>
    <w:p w14:paraId="784AE38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C072FF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_Ref202968454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455</w:t>
      </w:r>
      <w:r w:rsidRPr="00215B2F">
        <w:rPr>
          <w:rFonts w:ascii="Arial" w:hAnsi="Arial" w:cs="Arial"/>
          <w:b/>
          <w:bCs/>
          <w:sz w:val="20"/>
          <w:szCs w:val="20"/>
        </w:rPr>
        <w:fldChar w:fldCharType="end"/>
      </w:r>
      <w:r w:rsidRPr="00215B2F">
        <w:rPr>
          <w:rFonts w:ascii="Arial" w:hAnsi="Arial" w:cs="Arial"/>
          <w:b/>
          <w:bCs/>
          <w:sz w:val="20"/>
          <w:szCs w:val="20"/>
        </w:rPr>
        <w:t>. členu (veljavni 364. člen ZBan-3)</w:t>
      </w:r>
    </w:p>
    <w:p w14:paraId="6AC72D7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627B38C" w14:textId="77777777" w:rsidR="0010347E" w:rsidRPr="00215B2F" w:rsidRDefault="0010347E" w:rsidP="0010347E">
      <w:pPr>
        <w:shd w:val="clear" w:color="auto" w:fill="FFFFFF" w:themeFill="background1"/>
        <w:spacing w:after="0" w:line="240" w:lineRule="auto"/>
        <w:jc w:val="both"/>
        <w:rPr>
          <w:rFonts w:ascii="Arial" w:hAnsi="Arial" w:cs="Arial"/>
          <w:bCs/>
          <w:sz w:val="20"/>
          <w:szCs w:val="20"/>
        </w:rPr>
      </w:pPr>
      <w:r w:rsidRPr="00215B2F">
        <w:rPr>
          <w:rFonts w:ascii="Arial" w:hAnsi="Arial" w:cs="Arial"/>
          <w:bCs/>
          <w:sz w:val="20"/>
          <w:szCs w:val="20"/>
        </w:rPr>
        <w:t>ZBan-3 (364. člen) določa, da se postopek pri Banki Slovenije začne z vložitvijo zahteve za izdajo dovoljenja. Po uradni dolžnosti ali na predlog drugega organa pa Banka Slovenije začne postopek le, če to določa zakon ali predpis EU (npr. Uredba 575/2013/EU ali Uredba 1024/2013/EU).</w:t>
      </w:r>
    </w:p>
    <w:p w14:paraId="6C1FFE2A" w14:textId="77777777" w:rsidR="0010347E" w:rsidRPr="00215B2F" w:rsidRDefault="0010347E" w:rsidP="0010347E">
      <w:pPr>
        <w:shd w:val="clear" w:color="auto" w:fill="FFFFFF" w:themeFill="background1"/>
        <w:spacing w:after="0" w:line="240" w:lineRule="auto"/>
        <w:jc w:val="both"/>
        <w:rPr>
          <w:rFonts w:ascii="Arial" w:hAnsi="Arial" w:cs="Arial"/>
          <w:bCs/>
          <w:sz w:val="20"/>
          <w:szCs w:val="20"/>
        </w:rPr>
      </w:pPr>
    </w:p>
    <w:p w14:paraId="22667849" w14:textId="77777777" w:rsidR="0010347E" w:rsidRPr="00215B2F" w:rsidRDefault="0010347E" w:rsidP="0010347E">
      <w:pPr>
        <w:shd w:val="clear" w:color="auto" w:fill="FFFFFF" w:themeFill="background1"/>
        <w:spacing w:after="0" w:line="240" w:lineRule="auto"/>
        <w:jc w:val="both"/>
        <w:rPr>
          <w:rFonts w:ascii="Arial" w:hAnsi="Arial" w:cs="Arial"/>
          <w:bCs/>
          <w:sz w:val="20"/>
          <w:szCs w:val="20"/>
        </w:rPr>
      </w:pPr>
      <w:r w:rsidRPr="00215B2F">
        <w:rPr>
          <w:rFonts w:ascii="Arial" w:hAnsi="Arial" w:cs="Arial"/>
          <w:bCs/>
          <w:sz w:val="20"/>
          <w:szCs w:val="20"/>
        </w:rPr>
        <w:t xml:space="preserve">S predlogom zakona se dodatno določa, da se </w:t>
      </w:r>
      <w:r w:rsidRPr="00215B2F">
        <w:rPr>
          <w:rFonts w:ascii="Arial" w:eastAsia="Arial" w:hAnsi="Arial" w:cs="Arial"/>
          <w:bCs/>
          <w:sz w:val="20"/>
          <w:szCs w:val="20"/>
        </w:rPr>
        <w:t>postopek odločanja Banke Slovenije začne tudi z zahtevo za oceno primernosti, zahtevo za oceno ustreznosti, zahtevo za odobritev, zahtevo za izvzetje ali zahtevo za opustitev pri Banki Slovenije.</w:t>
      </w:r>
    </w:p>
    <w:p w14:paraId="5021591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A62C52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_Ref202968475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456</w:t>
      </w:r>
      <w:r w:rsidRPr="00215B2F">
        <w:rPr>
          <w:rFonts w:ascii="Arial" w:hAnsi="Arial" w:cs="Arial"/>
          <w:b/>
          <w:bCs/>
          <w:sz w:val="20"/>
          <w:szCs w:val="20"/>
        </w:rPr>
        <w:fldChar w:fldCharType="end"/>
      </w:r>
      <w:r w:rsidRPr="00215B2F">
        <w:rPr>
          <w:rFonts w:ascii="Arial" w:hAnsi="Arial" w:cs="Arial"/>
          <w:b/>
          <w:bCs/>
          <w:sz w:val="20"/>
          <w:szCs w:val="20"/>
        </w:rPr>
        <w:t>. členu (veljavni 365. člen ZBan-3)</w:t>
      </w:r>
    </w:p>
    <w:p w14:paraId="2A3168AB"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44892E41" w14:textId="59F3503F"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w:t>
      </w:r>
      <w:r w:rsidR="00B41199" w:rsidRPr="00215B2F">
        <w:rPr>
          <w:rFonts w:ascii="Arial" w:hAnsi="Arial" w:cs="Arial"/>
          <w:sz w:val="20"/>
          <w:szCs w:val="20"/>
        </w:rPr>
        <w:t xml:space="preserve">3 </w:t>
      </w:r>
      <w:r w:rsidRPr="00215B2F">
        <w:rPr>
          <w:rFonts w:ascii="Arial" w:hAnsi="Arial" w:cs="Arial"/>
          <w:sz w:val="20"/>
          <w:szCs w:val="20"/>
        </w:rPr>
        <w:t>(333. člen) ni vsebinskih sprememb.</w:t>
      </w:r>
      <w:r w:rsidRPr="00215B2F">
        <w:rPr>
          <w:rFonts w:ascii="Arial" w:hAnsi="Arial" w:cs="Arial"/>
          <w:b/>
          <w:sz w:val="20"/>
          <w:szCs w:val="20"/>
        </w:rPr>
        <w:t xml:space="preserve"> </w:t>
      </w:r>
      <w:r w:rsidRPr="00215B2F">
        <w:rPr>
          <w:rFonts w:ascii="Arial" w:hAnsi="Arial" w:cs="Arial"/>
          <w:sz w:val="20"/>
          <w:szCs w:val="20"/>
        </w:rPr>
        <w:t>Predlog člena ureja obvezno vsebino zahteve in listine, ki jih je zahtevi treba priložiti.</w:t>
      </w:r>
    </w:p>
    <w:p w14:paraId="5DC04E0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57F2BC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_Ref202968481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457</w:t>
      </w:r>
      <w:r w:rsidRPr="00215B2F">
        <w:rPr>
          <w:rFonts w:ascii="Arial" w:hAnsi="Arial" w:cs="Arial"/>
          <w:b/>
          <w:bCs/>
          <w:sz w:val="20"/>
          <w:szCs w:val="20"/>
        </w:rPr>
        <w:fldChar w:fldCharType="end"/>
      </w:r>
      <w:r w:rsidRPr="00215B2F">
        <w:rPr>
          <w:rFonts w:ascii="Arial" w:hAnsi="Arial" w:cs="Arial"/>
          <w:b/>
          <w:bCs/>
          <w:sz w:val="20"/>
          <w:szCs w:val="20"/>
        </w:rPr>
        <w:t>. členu (veljavni 366. člen ZBan-3)</w:t>
      </w:r>
    </w:p>
    <w:p w14:paraId="6ABF501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86FE07D"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ZBan-3 (366. člen) določa, da se v postopku predhodnega preizkusa Banka Slovenije preveri, ali so izpolnjene procesne predpostavke za odločanje o zahtevi (npr. ali jo je vložila upravičena oseba, ali vsebuje zahtevane podatke in listine ter dokazilo o plačilu takse). Če teh pogojev ni mogoče izpolniti, zahtevo zavrže s sklepom. Če pa jih je mogoče odpraviti, pozove vložnika, da to stori v roku od 8 do 15 dni; če pomanjkljivosti niso odpravljene, zahtevo prav tako zavrže. Zoper sklep o odpravi pomanjkljivosti ni posebnega sodnega varstva, Banka Slovenije pa mora o tem odločiti v dveh mesecih (za zahtevnejše vloge) oziroma enem mesecu.</w:t>
      </w:r>
    </w:p>
    <w:p w14:paraId="0703F15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D4EF0A6"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S predlogom zakona se dodatno določa (tretji odstavek), da </w:t>
      </w:r>
      <w:r w:rsidRPr="00215B2F">
        <w:rPr>
          <w:rFonts w:eastAsia="Arial" w:cs="Arial"/>
          <w:sz w:val="20"/>
          <w:szCs w:val="20"/>
        </w:rPr>
        <w:t>sklep o zavrženju zahteve Banka Slovenije izda v dveh mesecih.</w:t>
      </w:r>
    </w:p>
    <w:p w14:paraId="1872D9D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91ABB4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_Ref202968488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458</w:t>
      </w:r>
      <w:r w:rsidRPr="00215B2F">
        <w:rPr>
          <w:rFonts w:ascii="Arial" w:hAnsi="Arial" w:cs="Arial"/>
          <w:b/>
          <w:bCs/>
          <w:sz w:val="20"/>
          <w:szCs w:val="20"/>
        </w:rPr>
        <w:fldChar w:fldCharType="end"/>
      </w:r>
      <w:r w:rsidRPr="00215B2F">
        <w:rPr>
          <w:rFonts w:ascii="Arial" w:hAnsi="Arial" w:cs="Arial"/>
          <w:b/>
          <w:bCs/>
          <w:sz w:val="20"/>
          <w:szCs w:val="20"/>
        </w:rPr>
        <w:t>. členu (veljavni 367. člen ZBan-3)</w:t>
      </w:r>
    </w:p>
    <w:p w14:paraId="619088C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0DB6A20"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bookmarkStart w:id="624" w:name="_Hlk203571856"/>
      <w:r w:rsidRPr="00215B2F">
        <w:rPr>
          <w:rFonts w:ascii="Arial" w:hAnsi="Arial" w:cs="Arial"/>
          <w:sz w:val="20"/>
          <w:szCs w:val="20"/>
        </w:rPr>
        <w:t>V primerjavi z ZBan-3 (367. člen) ni vsebinskih sprememb</w:t>
      </w:r>
      <w:bookmarkEnd w:id="624"/>
      <w:r w:rsidRPr="00215B2F">
        <w:rPr>
          <w:rFonts w:ascii="Arial" w:hAnsi="Arial" w:cs="Arial"/>
          <w:sz w:val="20"/>
          <w:szCs w:val="20"/>
        </w:rPr>
        <w:t>.</w:t>
      </w:r>
      <w:r w:rsidRPr="00215B2F">
        <w:rPr>
          <w:rFonts w:ascii="Arial" w:hAnsi="Arial" w:cs="Arial"/>
          <w:b/>
          <w:sz w:val="20"/>
          <w:szCs w:val="20"/>
        </w:rPr>
        <w:t xml:space="preserve"> </w:t>
      </w:r>
      <w:r w:rsidRPr="00215B2F">
        <w:rPr>
          <w:rFonts w:ascii="Arial" w:hAnsi="Arial" w:cs="Arial"/>
          <w:sz w:val="20"/>
          <w:szCs w:val="20"/>
        </w:rPr>
        <w:t xml:space="preserve">Predlog člena enako kot v veljavni ureditvi določa, da lahko Banka Slovenije v postopku odločanja o zahtevi izvede tudi dokaze, ki jih vložnik ni predlagal, če so ti dokazi potrebni za ugotovitev dejstev, pomembnih za odločitev o zadevi. Pridobitev teh dokazov Banka Slovenije zahteva od vložnika ali jih pridobi s pregledom poslovanja. </w:t>
      </w:r>
    </w:p>
    <w:p w14:paraId="7C82F37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6C2EBA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_Ref202968496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459</w:t>
      </w:r>
      <w:r w:rsidRPr="00215B2F">
        <w:rPr>
          <w:rFonts w:ascii="Arial" w:hAnsi="Arial" w:cs="Arial"/>
          <w:b/>
          <w:bCs/>
          <w:sz w:val="20"/>
          <w:szCs w:val="20"/>
        </w:rPr>
        <w:fldChar w:fldCharType="end"/>
      </w:r>
      <w:r w:rsidRPr="00215B2F">
        <w:rPr>
          <w:rFonts w:ascii="Arial" w:hAnsi="Arial" w:cs="Arial"/>
          <w:b/>
          <w:bCs/>
          <w:sz w:val="20"/>
          <w:szCs w:val="20"/>
        </w:rPr>
        <w:t>. členu (veljavni 368. člen ZBan-3)</w:t>
      </w:r>
    </w:p>
    <w:p w14:paraId="3ED75FBA"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67803849" w14:textId="77777777" w:rsidR="0010347E" w:rsidRPr="00215B2F" w:rsidRDefault="0010347E" w:rsidP="0010347E">
      <w:pPr>
        <w:pStyle w:val="tevilnatoka"/>
        <w:numPr>
          <w:ilvl w:val="0"/>
          <w:numId w:val="0"/>
        </w:numPr>
        <w:shd w:val="clear" w:color="auto" w:fill="FFFFFF" w:themeFill="background1"/>
        <w:rPr>
          <w:rFonts w:cs="Arial"/>
          <w:sz w:val="20"/>
          <w:szCs w:val="20"/>
        </w:rPr>
      </w:pPr>
      <w:r w:rsidRPr="00215B2F">
        <w:rPr>
          <w:rFonts w:cs="Arial"/>
          <w:sz w:val="20"/>
          <w:szCs w:val="20"/>
        </w:rPr>
        <w:lastRenderedPageBreak/>
        <w:t>V primerjavi z ZBan-3 (368. člen) ni vsebinskih sprememb. Če Banka Slovenije namerava zavrniti zahtevo za dovoljenje na podlagi dejstev ali dokazov, ki jih vložnik ni predlagal, mora vložniku omogočiti, da se izjavi o teh pomembnih dejstvih in okoliščinah. Za to izjavo velja minimalni rok 15 dni, pri čemer se uporabljajo določbe o postopku iz zakona. Poziv k izjavi se vroči tudi kandidatu.</w:t>
      </w:r>
    </w:p>
    <w:p w14:paraId="3CFC40E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453C05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_Ref202968501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460</w:t>
      </w:r>
      <w:r w:rsidRPr="00215B2F">
        <w:rPr>
          <w:rFonts w:ascii="Arial" w:hAnsi="Arial" w:cs="Arial"/>
          <w:b/>
          <w:bCs/>
          <w:sz w:val="20"/>
          <w:szCs w:val="20"/>
        </w:rPr>
        <w:fldChar w:fldCharType="end"/>
      </w:r>
      <w:r w:rsidRPr="00215B2F">
        <w:rPr>
          <w:rFonts w:ascii="Arial" w:hAnsi="Arial" w:cs="Arial"/>
          <w:b/>
          <w:bCs/>
          <w:sz w:val="20"/>
          <w:szCs w:val="20"/>
        </w:rPr>
        <w:t>. členu (veljavni 369. člen ZBan-3)</w:t>
      </w:r>
    </w:p>
    <w:p w14:paraId="0C06368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5659A20"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ZBan-3 (369. člen) določa, da mora Banka Slovenije o določenih zahtevah za izdajo dovoljenj in soglasij odločiti v vnaprej določenih rokih, pri čemer je za ključna dovoljenja, kot so tista za opravljanje bančnih, finančnih in dodatnih finančnih storitev, dovoljenja za kreditno družbo, oceno združitve oziroma delitve finančnih deležnikov iz različnih skupin ter dovoljenja za podružnice iz tretjih držav, rok šest mesecev od prejema popolne zahteve. Za druge vrste dovoljenj in soglasij je običajni rok štiri mesece, razen če zakon, evropska uredba ali drug predpis določa drugačen časovni okvir. Če Banka Slovenije ugotovi pomanjkljivosti v vlogi, lahko stranko pozove k njihovi odpravi, pri čemer se rok za odločitev začasno ustavi in začne znova teči šele po prejemu dopolnjenih podatkov. Prav tako se rok prekine, če Banka Slovenije zahteva dodatno pojasnilo ali izjavo glede razlogov za morebitno zavrnitev zahteve; rok se nato nadaljuje po prejemu izjave ali po poteku določenega roka za njeno predložitev. Ta ureditev zagotavlja, da Banka Slovenije odloča v zakonsko določenih časovnih okvirih, hkrati pa omogoča fleksibilnost za zagotavljanje popolnih in pravilnih podatkov pred dokončno odločitvijo.</w:t>
      </w:r>
    </w:p>
    <w:p w14:paraId="05D69E5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585F602"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S predlogom zakona se v prvem odstavku (glede na 369. člen ZBan-3) natančno opredeljuje, da mora Banka Slovenije odločiti v šestih mesecih od prejema popolne zahteve, medtem ZBan-3 ne predvideva navedbe glede popolnosti. Poleg tega se dodaja pogoj, da se ocena združitve oziroma delitve nanaša le na primere, kjer finančni deležniki niso iz iste skupine. Dodaja se tudi odločanje o izdaji dovoljenja za podružnico iz tretje države.</w:t>
      </w:r>
    </w:p>
    <w:p w14:paraId="4F3B623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434FB94" w14:textId="77777777" w:rsidR="0010347E" w:rsidRPr="00215B2F" w:rsidRDefault="0010347E" w:rsidP="0010347E">
      <w:pPr>
        <w:pStyle w:val="Odstavek"/>
        <w:shd w:val="clear" w:color="auto" w:fill="FFFFFF" w:themeFill="background1"/>
        <w:spacing w:before="0"/>
        <w:ind w:firstLine="0"/>
        <w:rPr>
          <w:rFonts w:eastAsia="Arial" w:cs="Arial"/>
          <w:sz w:val="20"/>
          <w:szCs w:val="20"/>
        </w:rPr>
      </w:pPr>
      <w:r w:rsidRPr="00215B2F">
        <w:rPr>
          <w:rFonts w:cs="Arial"/>
          <w:sz w:val="20"/>
          <w:szCs w:val="20"/>
        </w:rPr>
        <w:t xml:space="preserve">V drugem odstavku se podaljšuje rok (s treh na štiri mesece) glede </w:t>
      </w:r>
      <w:r w:rsidRPr="00215B2F">
        <w:rPr>
          <w:rFonts w:eastAsia="Arial" w:cs="Arial"/>
          <w:sz w:val="20"/>
          <w:szCs w:val="20"/>
        </w:rPr>
        <w:t xml:space="preserve">zahteve za izdajo drugih dovoljenj in soglasij s strani Banke Slovenije. Gre za uskladitev s 179. točko </w:t>
      </w:r>
      <w:r w:rsidRPr="00215B2F">
        <w:rPr>
          <w:rFonts w:cs="Arial"/>
          <w:sz w:val="20"/>
          <w:szCs w:val="20"/>
        </w:rPr>
        <w:t>Smernic EBA o ocenjevanju primernosti članov upravljanega organa in nosilcev ključnih funkcij (EBA/GL/2021/06).</w:t>
      </w:r>
    </w:p>
    <w:p w14:paraId="6FA43DC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AE39D9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_Ref202968506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461</w:t>
      </w:r>
      <w:r w:rsidRPr="00215B2F">
        <w:rPr>
          <w:rFonts w:ascii="Arial" w:hAnsi="Arial" w:cs="Arial"/>
          <w:b/>
          <w:bCs/>
          <w:sz w:val="20"/>
          <w:szCs w:val="20"/>
        </w:rPr>
        <w:fldChar w:fldCharType="end"/>
      </w:r>
      <w:r w:rsidRPr="00215B2F">
        <w:rPr>
          <w:rFonts w:ascii="Arial" w:hAnsi="Arial" w:cs="Arial"/>
          <w:b/>
          <w:bCs/>
          <w:sz w:val="20"/>
          <w:szCs w:val="20"/>
        </w:rPr>
        <w:t>. členu (veljavni 370. člen ZBan-3)</w:t>
      </w:r>
    </w:p>
    <w:p w14:paraId="5920913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17037D5"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(370. člen) ni vsebinskih sprememb.</w:t>
      </w:r>
      <w:r w:rsidRPr="00215B2F">
        <w:rPr>
          <w:rFonts w:ascii="Arial" w:hAnsi="Arial" w:cs="Arial"/>
          <w:b/>
          <w:sz w:val="20"/>
          <w:szCs w:val="20"/>
        </w:rPr>
        <w:t xml:space="preserve"> </w:t>
      </w:r>
      <w:r w:rsidRPr="00215B2F">
        <w:rPr>
          <w:rFonts w:ascii="Arial" w:hAnsi="Arial" w:cs="Arial"/>
          <w:sz w:val="20"/>
          <w:szCs w:val="20"/>
        </w:rPr>
        <w:t xml:space="preserve">Določbe predmetnega oddelka imajo značilnost posebnih pravil v razmerju do splošnih določb o postopku. </w:t>
      </w:r>
    </w:p>
    <w:p w14:paraId="591AD77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5C80DE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_Ref202968513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462</w:t>
      </w:r>
      <w:r w:rsidRPr="00215B2F">
        <w:rPr>
          <w:rFonts w:ascii="Arial" w:hAnsi="Arial" w:cs="Arial"/>
          <w:b/>
          <w:bCs/>
          <w:sz w:val="20"/>
          <w:szCs w:val="20"/>
        </w:rPr>
        <w:fldChar w:fldCharType="end"/>
      </w:r>
      <w:r w:rsidRPr="00215B2F">
        <w:rPr>
          <w:rFonts w:ascii="Arial" w:hAnsi="Arial" w:cs="Arial"/>
          <w:b/>
          <w:bCs/>
          <w:sz w:val="20"/>
          <w:szCs w:val="20"/>
        </w:rPr>
        <w:t>. členu (veljavni 371. člen ZBan-3)</w:t>
      </w:r>
    </w:p>
    <w:p w14:paraId="16CB0AF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66FDBA1"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(371. člen) ni vsebinskih sprememb.</w:t>
      </w:r>
      <w:r w:rsidRPr="00215B2F">
        <w:rPr>
          <w:rFonts w:ascii="Arial" w:hAnsi="Arial" w:cs="Arial"/>
          <w:b/>
          <w:sz w:val="20"/>
          <w:szCs w:val="20"/>
        </w:rPr>
        <w:t xml:space="preserve"> </w:t>
      </w:r>
      <w:r w:rsidRPr="00215B2F">
        <w:rPr>
          <w:rFonts w:ascii="Arial" w:hAnsi="Arial" w:cs="Arial"/>
          <w:sz w:val="20"/>
          <w:szCs w:val="20"/>
        </w:rPr>
        <w:t xml:space="preserve">Predlog člena določa, kdo so udeleženci v postopku nadzora. Stranka v postopku nadzora in v postopku izdaje ukrepa nadzora je subjekt nadzora, udeleženec v postopku nadzora nad banko pa je pod zakonsko določenimi pogoji lahko tudi član nadzornega sveta, medtem ko član uprave sodeluje v postopku kot zakoniti zastopnik subjekta nadzora. V postopku izdaje ukrepa nadzora je lahko udeleženec v postopku tudi oseba, ki jo Banka Slovenije na podlagi zahteve subjekta nadzora povabi k sodelovanju, če ugotovi, da utegne biti pravni interes te osebe z izdajo dovoljenja prizadet. </w:t>
      </w:r>
    </w:p>
    <w:p w14:paraId="0C4970A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787477BC" w14:textId="4ACEBDE1"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Določba predlaganega člena zaradi narave postopka nadzora izrecno izključuje nekatere določbe ZUP o udeležbi (drugih) oseb, ki se imajo pravico udeleževati splošnega upravnega postopka. Postopek nadzora in ukrepi, ki se v tem postopku lahko izrečejo subjektu nadzora zaradi kršitev bonitetnih zahtev (glede upravljanja s tveganji), namreč ne posegajo v položaj tretjih, varovanju katerih je sicer namenjena pravica sodelovanja stranskih udeležencev v splošnem upravnem postopku. Ugotovitve v postopku nadzora ter posledično ukrepi nadzora so usmerjeni na ureditve (notranjega) upravljanja banke tako, da banka zagotovi ustrezne postopke in politike za obvladovanje tveganj in izpolnjevanje bonitetnih zahtev za varno in zanesljivo poslovanje. Ukrepi nadzora torej niso usmerjeni v urejanje posamičnih razmerij banke do tretjih oseb in tudi </w:t>
      </w:r>
      <w:r w:rsidR="00B41199" w:rsidRPr="00215B2F">
        <w:rPr>
          <w:rFonts w:ascii="Arial" w:hAnsi="Arial" w:cs="Arial"/>
          <w:sz w:val="20"/>
          <w:szCs w:val="20"/>
        </w:rPr>
        <w:t xml:space="preserve">ne </w:t>
      </w:r>
      <w:r w:rsidRPr="00215B2F">
        <w:rPr>
          <w:rFonts w:ascii="Arial" w:hAnsi="Arial" w:cs="Arial"/>
          <w:sz w:val="20"/>
          <w:szCs w:val="20"/>
        </w:rPr>
        <w:t xml:space="preserve">ustvarjajo neposrednih učinkov na takšna razmerja. Če zaradi uresničevanja ukrepa nadzora banka posledično spremeni pogoje poslovnega razmerja s tretjimi osebami, se morajo takšne spremembe in njihova upravičenost presojati v okviru splošnih pogodbenih okvirov, ki urejajo to poslovno razmerje. Kadar banka oceni, da izvedba posameznega ukrepa zahteva posege v položaje tretjih oseb tako, da jih glede na pravna pravila, ki urejajo posamezna razmerja, ni mogoče uresničiti tako, da ne bi neutemeljeno posegala v pravice in položaje tretjih oseb, lahko banka predlaga, da Banka Slovenije dovoli stransko udeležbo teh oseb v posameznem postopku nadzora. </w:t>
      </w:r>
      <w:r w:rsidRPr="00215B2F">
        <w:rPr>
          <w:rFonts w:ascii="Arial" w:hAnsi="Arial" w:cs="Arial"/>
          <w:sz w:val="20"/>
          <w:szCs w:val="20"/>
        </w:rPr>
        <w:lastRenderedPageBreak/>
        <w:t>Člani uprave, člani nadzornega sveta in imetniki kvalificiran</w:t>
      </w:r>
      <w:r w:rsidR="0087095C" w:rsidRPr="00215B2F">
        <w:rPr>
          <w:rFonts w:ascii="Arial" w:hAnsi="Arial" w:cs="Arial"/>
          <w:sz w:val="20"/>
          <w:szCs w:val="20"/>
        </w:rPr>
        <w:t>ih</w:t>
      </w:r>
      <w:r w:rsidRPr="00215B2F">
        <w:rPr>
          <w:rFonts w:ascii="Arial" w:hAnsi="Arial" w:cs="Arial"/>
          <w:sz w:val="20"/>
          <w:szCs w:val="20"/>
        </w:rPr>
        <w:t xml:space="preserve"> delež</w:t>
      </w:r>
      <w:r w:rsidR="0087095C" w:rsidRPr="00215B2F">
        <w:rPr>
          <w:rFonts w:ascii="Arial" w:hAnsi="Arial" w:cs="Arial"/>
          <w:sz w:val="20"/>
          <w:szCs w:val="20"/>
        </w:rPr>
        <w:t>ev</w:t>
      </w:r>
      <w:r w:rsidRPr="00215B2F">
        <w:rPr>
          <w:rFonts w:ascii="Arial" w:hAnsi="Arial" w:cs="Arial"/>
          <w:sz w:val="20"/>
          <w:szCs w:val="20"/>
        </w:rPr>
        <w:t xml:space="preserve"> nastopajo kot subjekt nadzora v okviru presoje pogojev za pridobitev in ohranitev zadevnega dovoljenja. </w:t>
      </w:r>
    </w:p>
    <w:p w14:paraId="27224DC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A0F7787" w14:textId="6F8C90EE"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Poleg stranske udeležbe je izključeno tudi sodelovanje državnega tožilca, državnega pravobranilca in drugih državnih organov po ZUP, ki v splošnem upravnem postopku lahko zastopajo javne koristi v skladu s svojimi pristojnostmi, ki pa bi v tem primeru lahko posegle v neodvisnost centralne banke kot temeljnega postulata statusa centralnih bank. Neodvisnost Banke Slovenije pri izvajanju njenih nalog, vključno z opravljanjem nadzora nad bankami, je v javnem interesu, da se zagotavlja stabilnost bančnega in s tem finančnega sistema države. Intervenc</w:t>
      </w:r>
      <w:r w:rsidR="00193506" w:rsidRPr="00215B2F">
        <w:rPr>
          <w:rFonts w:ascii="Arial" w:hAnsi="Arial" w:cs="Arial"/>
          <w:sz w:val="20"/>
          <w:szCs w:val="20"/>
        </w:rPr>
        <w:t>ij</w:t>
      </w:r>
      <w:r w:rsidRPr="00215B2F">
        <w:rPr>
          <w:rFonts w:ascii="Arial" w:hAnsi="Arial" w:cs="Arial"/>
          <w:sz w:val="20"/>
          <w:szCs w:val="20"/>
        </w:rPr>
        <w:t xml:space="preserve">a državnih organov v posameznih postopkih nadzora se zato mora izključiti v postopku do izdaje odločbe o ukrepu nadzora, ti pa so predmet izključno sodnega preizkusa. Čeprav se pristojnost navedenih državnih organov omejuje v posameznih postopkih nadzora, ki jih vodi Banka Slovenije, pa ti organi izvajajo vse svoje pristojnosti glede poslovanja bank in delovanja Banke Slovenije v skladu s področnimi predpisi. </w:t>
      </w:r>
    </w:p>
    <w:p w14:paraId="6E696FE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DF5CB8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_Ref202968519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463</w:t>
      </w:r>
      <w:r w:rsidRPr="00215B2F">
        <w:rPr>
          <w:rFonts w:ascii="Arial" w:hAnsi="Arial" w:cs="Arial"/>
          <w:b/>
          <w:bCs/>
          <w:sz w:val="20"/>
          <w:szCs w:val="20"/>
        </w:rPr>
        <w:fldChar w:fldCharType="end"/>
      </w:r>
      <w:r w:rsidRPr="00215B2F">
        <w:rPr>
          <w:rFonts w:ascii="Arial" w:hAnsi="Arial" w:cs="Arial"/>
          <w:b/>
          <w:bCs/>
          <w:sz w:val="20"/>
          <w:szCs w:val="20"/>
        </w:rPr>
        <w:t>. členu (veljavni 372. člen ZBan-3)</w:t>
      </w:r>
    </w:p>
    <w:p w14:paraId="398EBEB5"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34370178"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(372. člen) ni vsebinskih sprememb.</w:t>
      </w:r>
      <w:r w:rsidRPr="00215B2F">
        <w:rPr>
          <w:rFonts w:ascii="Arial" w:hAnsi="Arial" w:cs="Arial"/>
          <w:b/>
          <w:sz w:val="20"/>
          <w:szCs w:val="20"/>
        </w:rPr>
        <w:t xml:space="preserve"> </w:t>
      </w:r>
      <w:r w:rsidRPr="00215B2F">
        <w:rPr>
          <w:rFonts w:ascii="Arial" w:hAnsi="Arial" w:cs="Arial"/>
          <w:sz w:val="20"/>
          <w:szCs w:val="20"/>
        </w:rPr>
        <w:t>Po splošnem pravilu, določenem v prvem odstavku, postopek nadzora vodi Banka Slovenije po uradni dolžnosti. Izjema od tega splošnega pravila je, ko se postopek nadzora nad drugo osebo začne praviloma na podlagi prijave pristojne inšpekcije.</w:t>
      </w:r>
    </w:p>
    <w:p w14:paraId="3D4018A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EFECA7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_Ref202968525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464</w:t>
      </w:r>
      <w:r w:rsidRPr="00215B2F">
        <w:rPr>
          <w:rFonts w:ascii="Arial" w:hAnsi="Arial" w:cs="Arial"/>
          <w:b/>
          <w:bCs/>
          <w:sz w:val="20"/>
          <w:szCs w:val="20"/>
        </w:rPr>
        <w:fldChar w:fldCharType="end"/>
      </w:r>
      <w:r w:rsidRPr="00215B2F">
        <w:rPr>
          <w:rFonts w:ascii="Arial" w:hAnsi="Arial" w:cs="Arial"/>
          <w:b/>
          <w:bCs/>
          <w:sz w:val="20"/>
          <w:szCs w:val="20"/>
        </w:rPr>
        <w:t>. členu (veljavni 373. člen ZBan-3)</w:t>
      </w:r>
    </w:p>
    <w:p w14:paraId="6FAACEA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6C62A05" w14:textId="77777777" w:rsidR="0010347E" w:rsidRPr="00215B2F" w:rsidRDefault="0010347E" w:rsidP="0010347E">
      <w:pPr>
        <w:pStyle w:val="Odstavek"/>
        <w:shd w:val="clear" w:color="auto" w:fill="FFFFFF" w:themeFill="background1"/>
        <w:spacing w:before="0"/>
        <w:ind w:firstLine="0"/>
        <w:rPr>
          <w:rFonts w:eastAsia="Arial" w:cs="Arial"/>
          <w:sz w:val="20"/>
          <w:szCs w:val="20"/>
        </w:rPr>
      </w:pPr>
      <w:r w:rsidRPr="00215B2F">
        <w:rPr>
          <w:rFonts w:cs="Arial"/>
          <w:sz w:val="20"/>
          <w:szCs w:val="20"/>
        </w:rPr>
        <w:t xml:space="preserve">ZBan-3 določa, da se določbe predmetnega </w:t>
      </w:r>
      <w:r w:rsidRPr="00215B2F">
        <w:rPr>
          <w:rFonts w:eastAsia="Arial" w:cs="Arial"/>
          <w:sz w:val="20"/>
          <w:szCs w:val="20"/>
        </w:rPr>
        <w:t>pododdelka uporabljajo, kadar ta zakon določa, da Banka Slovenije odloča z odredbo.</w:t>
      </w:r>
    </w:p>
    <w:p w14:paraId="7B46BD62" w14:textId="77777777" w:rsidR="0010347E" w:rsidRPr="00215B2F" w:rsidRDefault="0010347E" w:rsidP="0010347E">
      <w:pPr>
        <w:pStyle w:val="Odstavek"/>
        <w:shd w:val="clear" w:color="auto" w:fill="FFFFFF" w:themeFill="background1"/>
        <w:spacing w:before="0"/>
        <w:ind w:firstLine="0"/>
        <w:rPr>
          <w:rFonts w:eastAsia="Arial" w:cs="Arial"/>
          <w:sz w:val="20"/>
          <w:szCs w:val="20"/>
        </w:rPr>
      </w:pPr>
    </w:p>
    <w:p w14:paraId="63DC41F3" w14:textId="240EA43F" w:rsidR="0010347E" w:rsidRPr="00215B2F" w:rsidRDefault="0010347E" w:rsidP="0010347E">
      <w:pPr>
        <w:pStyle w:val="Odstavek"/>
        <w:shd w:val="clear" w:color="auto" w:fill="FFFFFF" w:themeFill="background1"/>
        <w:spacing w:before="0"/>
        <w:ind w:firstLine="0"/>
        <w:rPr>
          <w:rFonts w:eastAsia="Arial" w:cs="Arial"/>
          <w:sz w:val="20"/>
          <w:szCs w:val="20"/>
        </w:rPr>
      </w:pPr>
      <w:r w:rsidRPr="00215B2F">
        <w:rPr>
          <w:rFonts w:eastAsia="Arial" w:cs="Arial"/>
          <w:sz w:val="20"/>
          <w:szCs w:val="20"/>
        </w:rPr>
        <w:t xml:space="preserve">S predlogom zakona se doda izjema navedene uporabnosti v primerih, če je za določeno odredbo </w:t>
      </w:r>
      <w:r w:rsidR="00AB215B" w:rsidRPr="00215B2F">
        <w:rPr>
          <w:rFonts w:eastAsia="Arial" w:cs="Arial"/>
          <w:sz w:val="20"/>
          <w:szCs w:val="20"/>
        </w:rPr>
        <w:t xml:space="preserve">v </w:t>
      </w:r>
      <w:r w:rsidRPr="00215B2F">
        <w:rPr>
          <w:rFonts w:eastAsia="Arial" w:cs="Arial"/>
          <w:sz w:val="20"/>
          <w:szCs w:val="20"/>
        </w:rPr>
        <w:t>zakonu določeno drugače.</w:t>
      </w:r>
    </w:p>
    <w:p w14:paraId="13DAF01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139F3B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_Ref202968545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465</w:t>
      </w:r>
      <w:r w:rsidRPr="00215B2F">
        <w:rPr>
          <w:rFonts w:ascii="Arial" w:hAnsi="Arial" w:cs="Arial"/>
          <w:b/>
          <w:bCs/>
          <w:sz w:val="20"/>
          <w:szCs w:val="20"/>
        </w:rPr>
        <w:fldChar w:fldCharType="end"/>
      </w:r>
      <w:r w:rsidRPr="00215B2F">
        <w:rPr>
          <w:rFonts w:ascii="Arial" w:hAnsi="Arial" w:cs="Arial"/>
          <w:b/>
          <w:bCs/>
          <w:sz w:val="20"/>
          <w:szCs w:val="20"/>
        </w:rPr>
        <w:t>. členu (veljavni 374. člen ZBan-3)</w:t>
      </w:r>
    </w:p>
    <w:p w14:paraId="37472D9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0ABB9BD"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(374. člen) ni vsebinskih sprememb.</w:t>
      </w:r>
      <w:r w:rsidRPr="00215B2F">
        <w:rPr>
          <w:rFonts w:ascii="Arial" w:hAnsi="Arial" w:cs="Arial"/>
          <w:b/>
          <w:sz w:val="20"/>
          <w:szCs w:val="20"/>
        </w:rPr>
        <w:t xml:space="preserve"> </w:t>
      </w:r>
      <w:r w:rsidRPr="00215B2F">
        <w:rPr>
          <w:rFonts w:ascii="Arial" w:hAnsi="Arial" w:cs="Arial"/>
          <w:sz w:val="20"/>
          <w:szCs w:val="20"/>
        </w:rPr>
        <w:t>Predlagani člen ureja vsebino uredbe, pri čemer določa obvezne sestavine izreka odredbe in obvezno vsebino pouka.</w:t>
      </w:r>
    </w:p>
    <w:p w14:paraId="17016BF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C98AB1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_Ref202968551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466</w:t>
      </w:r>
      <w:r w:rsidRPr="00215B2F">
        <w:rPr>
          <w:rFonts w:ascii="Arial" w:hAnsi="Arial" w:cs="Arial"/>
          <w:b/>
          <w:bCs/>
          <w:sz w:val="20"/>
          <w:szCs w:val="20"/>
        </w:rPr>
        <w:fldChar w:fldCharType="end"/>
      </w:r>
      <w:r w:rsidRPr="00215B2F">
        <w:rPr>
          <w:rFonts w:ascii="Arial" w:hAnsi="Arial" w:cs="Arial"/>
          <w:b/>
          <w:bCs/>
          <w:sz w:val="20"/>
          <w:szCs w:val="20"/>
        </w:rPr>
        <w:t>. členu (veljavni 375. člen ZBan-3)</w:t>
      </w:r>
    </w:p>
    <w:p w14:paraId="77E78310"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079BFF7E"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(375. člen) ni vsebinskih sprememb.</w:t>
      </w:r>
      <w:r w:rsidRPr="00215B2F">
        <w:rPr>
          <w:rFonts w:ascii="Arial" w:hAnsi="Arial" w:cs="Arial"/>
          <w:b/>
          <w:sz w:val="20"/>
          <w:szCs w:val="20"/>
        </w:rPr>
        <w:t xml:space="preserve"> </w:t>
      </w:r>
      <w:r w:rsidRPr="00215B2F">
        <w:rPr>
          <w:rFonts w:ascii="Arial" w:hAnsi="Arial" w:cs="Arial"/>
          <w:sz w:val="20"/>
          <w:szCs w:val="20"/>
        </w:rPr>
        <w:t>Predlog člena uresničuje ustavno zagotovljeno pravico do pravnega sredstva in v primerih, ko Banka Slovenije izda odredbo, subjektu nadzora oziroma drugim osebam daje pravico vložiti ugovor. Predlog člena določa tudi rok za vložitev ugovora (8 dni), možnost odločitve o nesuspenzivnosti ugovora in posledice, če subjekt nadzora ugovora ne vloži ali ga vloži prepozno.</w:t>
      </w:r>
    </w:p>
    <w:p w14:paraId="06A52FD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A29CF6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_Ref202968559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467</w:t>
      </w:r>
      <w:r w:rsidRPr="00215B2F">
        <w:rPr>
          <w:rFonts w:ascii="Arial" w:hAnsi="Arial" w:cs="Arial"/>
          <w:b/>
          <w:bCs/>
          <w:sz w:val="20"/>
          <w:szCs w:val="20"/>
        </w:rPr>
        <w:fldChar w:fldCharType="end"/>
      </w:r>
      <w:r w:rsidRPr="00215B2F">
        <w:rPr>
          <w:rFonts w:ascii="Arial" w:hAnsi="Arial" w:cs="Arial"/>
          <w:b/>
          <w:bCs/>
          <w:sz w:val="20"/>
          <w:szCs w:val="20"/>
        </w:rPr>
        <w:t>. členu (veljavni 376. člen ZBan-3)</w:t>
      </w:r>
    </w:p>
    <w:p w14:paraId="0106A36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6B63E23"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(376. člen) ni vsebinskih sprememb.</w:t>
      </w:r>
      <w:r w:rsidRPr="00215B2F">
        <w:rPr>
          <w:rFonts w:ascii="Arial" w:hAnsi="Arial" w:cs="Arial"/>
          <w:b/>
          <w:sz w:val="20"/>
          <w:szCs w:val="20"/>
        </w:rPr>
        <w:t xml:space="preserve"> </w:t>
      </w:r>
      <w:r w:rsidRPr="00215B2F">
        <w:rPr>
          <w:rFonts w:ascii="Arial" w:hAnsi="Arial" w:cs="Arial"/>
          <w:sz w:val="20"/>
          <w:szCs w:val="20"/>
        </w:rPr>
        <w:t>Razlogi za ugovor so smiselno enaki razlogom za pritožbo (primerjaj 237. člen ZUP). Ugovor je torej mogoče vložiti iz razloga napačne uporabe materialnih ali procesnih pravil ter nepopolne oziroma napačne ugotovitve dejanskega stanja.</w:t>
      </w:r>
    </w:p>
    <w:p w14:paraId="487AC19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862CE59"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_Ref202968570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468</w:t>
      </w:r>
      <w:r w:rsidRPr="00215B2F">
        <w:rPr>
          <w:rFonts w:ascii="Arial" w:hAnsi="Arial" w:cs="Arial"/>
          <w:b/>
          <w:bCs/>
          <w:sz w:val="20"/>
          <w:szCs w:val="20"/>
        </w:rPr>
        <w:fldChar w:fldCharType="end"/>
      </w:r>
      <w:r w:rsidRPr="00215B2F">
        <w:rPr>
          <w:rFonts w:ascii="Arial" w:hAnsi="Arial" w:cs="Arial"/>
          <w:b/>
          <w:bCs/>
          <w:sz w:val="20"/>
          <w:szCs w:val="20"/>
        </w:rPr>
        <w:t xml:space="preserve">. in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_Ref202967537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369</w:t>
      </w:r>
      <w:r w:rsidRPr="00215B2F">
        <w:rPr>
          <w:rFonts w:ascii="Arial" w:hAnsi="Arial" w:cs="Arial"/>
          <w:b/>
          <w:bCs/>
          <w:sz w:val="20"/>
          <w:szCs w:val="20"/>
        </w:rPr>
        <w:fldChar w:fldCharType="end"/>
      </w:r>
      <w:r w:rsidRPr="00215B2F">
        <w:rPr>
          <w:rFonts w:ascii="Arial" w:hAnsi="Arial" w:cs="Arial"/>
          <w:b/>
          <w:bCs/>
          <w:sz w:val="20"/>
          <w:szCs w:val="20"/>
        </w:rPr>
        <w:t>. členu (veljavna 377. in 378. člen ZBan-3)</w:t>
      </w:r>
    </w:p>
    <w:p w14:paraId="7193012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FA00053"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(377. in 378. člen) ni vsebinskih sprememb.</w:t>
      </w:r>
      <w:r w:rsidRPr="00215B2F">
        <w:rPr>
          <w:rFonts w:ascii="Arial" w:hAnsi="Arial" w:cs="Arial"/>
          <w:b/>
          <w:sz w:val="20"/>
          <w:szCs w:val="20"/>
        </w:rPr>
        <w:t xml:space="preserve"> </w:t>
      </w:r>
      <w:r w:rsidRPr="00215B2F">
        <w:rPr>
          <w:rFonts w:ascii="Arial" w:hAnsi="Arial" w:cs="Arial"/>
          <w:sz w:val="20"/>
          <w:szCs w:val="20"/>
        </w:rPr>
        <w:t>Ureditev vsebine ugovora in meje preizkusa ugovora so urejene ob upoštevanju posebnih značilnosti postopka odločanja Banke Slovenije. Banka Slovenije preizkusi odredbo v delu, v katerem se izpodbija z ugovorom, in v mejah v ugovoru navedenih razlogov.</w:t>
      </w:r>
    </w:p>
    <w:p w14:paraId="28392AD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42C9CB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_Ref202968580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470</w:t>
      </w:r>
      <w:r w:rsidRPr="00215B2F">
        <w:rPr>
          <w:rFonts w:ascii="Arial" w:hAnsi="Arial" w:cs="Arial"/>
          <w:b/>
          <w:bCs/>
          <w:sz w:val="20"/>
          <w:szCs w:val="20"/>
        </w:rPr>
        <w:fldChar w:fldCharType="end"/>
      </w:r>
      <w:r w:rsidRPr="00215B2F">
        <w:rPr>
          <w:rFonts w:ascii="Arial" w:hAnsi="Arial" w:cs="Arial"/>
          <w:b/>
          <w:bCs/>
          <w:sz w:val="20"/>
          <w:szCs w:val="20"/>
        </w:rPr>
        <w:t>. členu (veljavni 379. člen ZBan-3)</w:t>
      </w:r>
    </w:p>
    <w:p w14:paraId="2E8618C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971C935"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(379. člen) ni vsebinskih sprememb.</w:t>
      </w:r>
      <w:r w:rsidRPr="00215B2F">
        <w:rPr>
          <w:rFonts w:ascii="Arial" w:hAnsi="Arial" w:cs="Arial"/>
          <w:b/>
          <w:sz w:val="20"/>
          <w:szCs w:val="20"/>
        </w:rPr>
        <w:t xml:space="preserve"> </w:t>
      </w:r>
      <w:r w:rsidRPr="00215B2F">
        <w:rPr>
          <w:rFonts w:ascii="Arial" w:hAnsi="Arial" w:cs="Arial"/>
          <w:sz w:val="20"/>
          <w:szCs w:val="20"/>
        </w:rPr>
        <w:t>O ugovoru Banka Slovenije odloča z odločbo. Pri odločanju o ugovoru lahko Banka Slovenije ugovor zavrne ali zavrže, ali pa, če ugotovi, da je utemeljen, spremeni ali razveljavi odredbo.</w:t>
      </w:r>
    </w:p>
    <w:p w14:paraId="4D40EF9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F33441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lastRenderedPageBreak/>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_Ref202968585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471</w:t>
      </w:r>
      <w:r w:rsidRPr="00215B2F">
        <w:rPr>
          <w:rFonts w:ascii="Arial" w:hAnsi="Arial" w:cs="Arial"/>
          <w:b/>
          <w:bCs/>
          <w:sz w:val="20"/>
          <w:szCs w:val="20"/>
        </w:rPr>
        <w:fldChar w:fldCharType="end"/>
      </w:r>
      <w:r w:rsidRPr="00215B2F">
        <w:rPr>
          <w:rFonts w:ascii="Arial" w:hAnsi="Arial" w:cs="Arial"/>
          <w:b/>
          <w:bCs/>
          <w:sz w:val="20"/>
          <w:szCs w:val="20"/>
        </w:rPr>
        <w:t>. členu (veljavni 380. člen ZBan-3)</w:t>
      </w:r>
    </w:p>
    <w:p w14:paraId="7CC761C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7FFA13C"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(380. člen) ni vsebinskih sprememb.</w:t>
      </w:r>
      <w:r w:rsidRPr="00215B2F">
        <w:rPr>
          <w:rFonts w:cs="Arial"/>
          <w:b/>
          <w:sz w:val="20"/>
          <w:szCs w:val="20"/>
        </w:rPr>
        <w:t xml:space="preserve"> </w:t>
      </w:r>
      <w:r w:rsidRPr="00215B2F">
        <w:rPr>
          <w:rFonts w:cs="Arial"/>
          <w:sz w:val="20"/>
          <w:szCs w:val="20"/>
        </w:rPr>
        <w:t xml:space="preserve">Banka Slovenije začne postopek za odvzem dovoljenja, če na podlagi razpoložljivih podatkov obstaja utemeljeni sum, da so izpolnjeni zakonski pogoji za odvzem, razen če je za to v skladu z Uredbo 1024/2013/EU pristojna </w:t>
      </w:r>
      <w:r w:rsidRPr="00215B2F">
        <w:rPr>
          <w:rFonts w:eastAsia="Arial" w:cs="Arial"/>
          <w:sz w:val="20"/>
          <w:szCs w:val="20"/>
        </w:rPr>
        <w:t>ECB</w:t>
      </w:r>
      <w:r w:rsidRPr="00215B2F">
        <w:rPr>
          <w:rFonts w:cs="Arial"/>
          <w:sz w:val="20"/>
          <w:szCs w:val="20"/>
        </w:rPr>
        <w:t>. Postopek se začne z odločbo, ki mora vsebovati opis dejanj ali okoliščin, ki utemeljujejo začetek postopka, navedbo dokazov ter obrazložitev odločitve. V odločbi se določi tudi rok od 15 do 30 dni, v katerem se nadzorovani subjekt lahko izjavi o razlogih za odvzem dovoljenja.</w:t>
      </w:r>
    </w:p>
    <w:p w14:paraId="74D9314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B43FFEE"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_Ref203647338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472</w:t>
      </w:r>
      <w:r w:rsidRPr="00215B2F">
        <w:rPr>
          <w:rFonts w:cs="Arial"/>
          <w:b/>
          <w:bCs/>
          <w:sz w:val="20"/>
          <w:szCs w:val="20"/>
        </w:rPr>
        <w:fldChar w:fldCharType="end"/>
      </w:r>
      <w:r w:rsidRPr="00215B2F">
        <w:rPr>
          <w:rFonts w:cs="Arial"/>
          <w:b/>
          <w:bCs/>
          <w:sz w:val="20"/>
          <w:szCs w:val="20"/>
        </w:rPr>
        <w:t>. členu (veljavni 381. člen ZBan-3)</w:t>
      </w:r>
    </w:p>
    <w:p w14:paraId="0ABE1B9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A361AD2"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V primerjavi z ZBan-3 (381. člen) ni vsebinskih sprememb. Subjekt nadzora lahko v izjavi o razlogih za odvzem dovoljenja navaja dejstva in predlaga dokaze, ki kažejo, da odvzem ni utemeljen, pri čemer mora listinske dokaze, na katere se sklicuje, priložiti izjavi. Če teh dokazov ne priloži, se ne uporabljajo pravila o nepopolnih vlogah iz zakona o splošnem upravnem postopku, temveč Banka Slovenije upošteva le priložene dokaze. Po izteku roka za izjavo subjekt nadzora ne more več navajati novih dejstev ali predlagati dodatnih dokazov.</w:t>
      </w:r>
    </w:p>
    <w:p w14:paraId="48AFBA6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88E487A"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_Ref203647343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473</w:t>
      </w:r>
      <w:r w:rsidRPr="00215B2F">
        <w:rPr>
          <w:rFonts w:cs="Arial"/>
          <w:b/>
          <w:bCs/>
          <w:sz w:val="20"/>
          <w:szCs w:val="20"/>
        </w:rPr>
        <w:fldChar w:fldCharType="end"/>
      </w:r>
      <w:r w:rsidRPr="00215B2F">
        <w:rPr>
          <w:rFonts w:cs="Arial"/>
          <w:b/>
          <w:bCs/>
          <w:sz w:val="20"/>
          <w:szCs w:val="20"/>
        </w:rPr>
        <w:t>. členu (veljavni 382. člen ZBan-3)</w:t>
      </w:r>
    </w:p>
    <w:p w14:paraId="257F220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9481DE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ZBan-3 (382. člen) določa, da mora Banka Slovenije o odvzemu dovoljenja odločiti v 30 dneh po prejemu izjave o razlogih za odvzem ali po izteku roka za podajo te izjave. Pri odločanju sme upoštevati le tista dejanja, ravnanja ali okoliščine, ki so bili navedeni v odločbi o začetku postopka, ter le tiste dokaze, ki so bili v tej odločbi navedeni in jih je subjekt nadzora priložil svoji izjavi.</w:t>
      </w:r>
    </w:p>
    <w:p w14:paraId="7EAF56A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79CC9B8"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V praksi se je pokazalo, da subjekt nadzora v izjavi večkrat predlaga izvedbo dodatnih dokazov (npr. zaslišanja), ki jih ni mogoče izvesti v 30 dneh, zato je potrebna dopolnitev. V skladu z navedenim se dopolnjuje določba ZBan-3. </w:t>
      </w:r>
    </w:p>
    <w:p w14:paraId="44F36B6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96BA31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_Ref202968600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474</w:t>
      </w:r>
      <w:r w:rsidRPr="00215B2F">
        <w:rPr>
          <w:rFonts w:ascii="Arial" w:hAnsi="Arial" w:cs="Arial"/>
          <w:b/>
          <w:bCs/>
          <w:sz w:val="20"/>
          <w:szCs w:val="20"/>
        </w:rPr>
        <w:fldChar w:fldCharType="end"/>
      </w:r>
      <w:r w:rsidRPr="00215B2F">
        <w:rPr>
          <w:rFonts w:ascii="Arial" w:hAnsi="Arial" w:cs="Arial"/>
          <w:b/>
          <w:bCs/>
          <w:sz w:val="20"/>
          <w:szCs w:val="20"/>
        </w:rPr>
        <w:t xml:space="preserve">. in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_Ref203383907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475</w:t>
      </w:r>
      <w:r w:rsidRPr="00215B2F">
        <w:rPr>
          <w:rFonts w:ascii="Arial" w:hAnsi="Arial" w:cs="Arial"/>
          <w:b/>
          <w:bCs/>
          <w:sz w:val="20"/>
          <w:szCs w:val="20"/>
        </w:rPr>
        <w:fldChar w:fldCharType="end"/>
      </w:r>
      <w:r w:rsidRPr="00215B2F">
        <w:rPr>
          <w:rFonts w:ascii="Arial" w:hAnsi="Arial" w:cs="Arial"/>
          <w:b/>
          <w:bCs/>
          <w:sz w:val="20"/>
          <w:szCs w:val="20"/>
        </w:rPr>
        <w:t>. členu (veljavna 383. in 384. člen ZBan-3)</w:t>
      </w:r>
    </w:p>
    <w:p w14:paraId="415D4376"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p>
    <w:p w14:paraId="31F1DAFD" w14:textId="7857380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primerjavi z ZBan-</w:t>
      </w:r>
      <w:r w:rsidR="00575F84" w:rsidRPr="00215B2F">
        <w:rPr>
          <w:rFonts w:ascii="Arial" w:hAnsi="Arial" w:cs="Arial"/>
          <w:sz w:val="20"/>
          <w:szCs w:val="20"/>
        </w:rPr>
        <w:t xml:space="preserve">3 </w:t>
      </w:r>
      <w:r w:rsidRPr="00215B2F">
        <w:rPr>
          <w:rFonts w:ascii="Arial" w:hAnsi="Arial" w:cs="Arial"/>
          <w:sz w:val="20"/>
          <w:szCs w:val="20"/>
        </w:rPr>
        <w:t>(383. in 384. člen) ni vsebinskih sprememb.</w:t>
      </w:r>
      <w:r w:rsidRPr="00215B2F">
        <w:rPr>
          <w:rFonts w:ascii="Arial" w:hAnsi="Arial" w:cs="Arial"/>
          <w:b/>
          <w:sz w:val="20"/>
          <w:szCs w:val="20"/>
        </w:rPr>
        <w:t xml:space="preserve"> </w:t>
      </w:r>
      <w:r w:rsidRPr="00215B2F">
        <w:rPr>
          <w:rFonts w:ascii="Arial" w:hAnsi="Arial" w:cs="Arial"/>
          <w:sz w:val="20"/>
          <w:szCs w:val="20"/>
        </w:rPr>
        <w:t>V postopku odvzema dovoljenja lahko Banka Slovenije odloči (i) tako, da postopek ustavi, če razlogi za odvzem dovoljenja niso podani, ali (ii) tako, da dovoljenje z odločbo odvzame.</w:t>
      </w:r>
    </w:p>
    <w:p w14:paraId="266ADC9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C9CC3DF"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_Ref202968613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476</w:t>
      </w:r>
      <w:r w:rsidRPr="00215B2F">
        <w:rPr>
          <w:rFonts w:ascii="Arial" w:hAnsi="Arial" w:cs="Arial"/>
          <w:b/>
          <w:bCs/>
          <w:sz w:val="20"/>
          <w:szCs w:val="20"/>
        </w:rPr>
        <w:fldChar w:fldCharType="end"/>
      </w:r>
      <w:r w:rsidRPr="00215B2F">
        <w:rPr>
          <w:rFonts w:ascii="Arial" w:hAnsi="Arial" w:cs="Arial"/>
          <w:b/>
          <w:bCs/>
          <w:sz w:val="20"/>
          <w:szCs w:val="20"/>
        </w:rPr>
        <w:t>. členu (veljavni 385. člen ZBan-3)</w:t>
      </w:r>
    </w:p>
    <w:p w14:paraId="5513455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F58C44B"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(385. člen) ni vsebinskih sprememb.</w:t>
      </w:r>
      <w:r w:rsidRPr="00215B2F">
        <w:rPr>
          <w:rFonts w:ascii="Arial" w:hAnsi="Arial" w:cs="Arial"/>
          <w:b/>
          <w:sz w:val="20"/>
          <w:szCs w:val="20"/>
        </w:rPr>
        <w:t xml:space="preserve"> </w:t>
      </w:r>
      <w:r w:rsidRPr="00215B2F">
        <w:rPr>
          <w:rFonts w:ascii="Arial" w:hAnsi="Arial" w:cs="Arial"/>
          <w:sz w:val="20"/>
          <w:szCs w:val="20"/>
        </w:rPr>
        <w:t>Pravila o postopku odvzema dovoljenja se smiselno uporabljajo za preklic pogojnega odvzema dovoljenja, izrek opomina in preklic soglasja, ki ga je izdala Banka Slovenije.</w:t>
      </w:r>
    </w:p>
    <w:p w14:paraId="6B6F645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B691115"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_Ref203139305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477</w:t>
      </w:r>
      <w:r w:rsidRPr="00215B2F">
        <w:rPr>
          <w:rFonts w:cs="Arial"/>
          <w:b/>
          <w:bCs/>
          <w:sz w:val="20"/>
          <w:szCs w:val="20"/>
        </w:rPr>
        <w:fldChar w:fldCharType="end"/>
      </w:r>
      <w:r w:rsidRPr="00215B2F">
        <w:rPr>
          <w:rFonts w:cs="Arial"/>
          <w:b/>
          <w:bCs/>
          <w:sz w:val="20"/>
          <w:szCs w:val="20"/>
        </w:rPr>
        <w:t>. členu</w:t>
      </w:r>
    </w:p>
    <w:p w14:paraId="78C1245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49D573C" w14:textId="77777777" w:rsidR="0010347E" w:rsidRPr="00215B2F" w:rsidRDefault="0010347E" w:rsidP="0010347E">
      <w:pPr>
        <w:pStyle w:val="Odstavek"/>
        <w:shd w:val="clear" w:color="auto" w:fill="FFFFFF" w:themeFill="background1"/>
        <w:spacing w:before="0"/>
        <w:ind w:firstLine="0"/>
        <w:rPr>
          <w:rFonts w:cs="Arial"/>
          <w:i/>
          <w:sz w:val="20"/>
          <w:szCs w:val="20"/>
        </w:rPr>
      </w:pPr>
      <w:r w:rsidRPr="00215B2F">
        <w:rPr>
          <w:rFonts w:cs="Arial"/>
          <w:i/>
          <w:sz w:val="20"/>
          <w:szCs w:val="20"/>
        </w:rPr>
        <w:t>CRD neposredno sicer ne določa postopka z administrativnimi ukrepi, zahteva pa, da imajo pristojni organi (med drugim) pooblastila za izrek periodičnih denarnih kazni, kar zahteva tudi ureditev postopkovnih določb za uporabo takšnih pooblastil, ki pa se prepuščena nacionalnim ureditvam.</w:t>
      </w:r>
    </w:p>
    <w:p w14:paraId="4328630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F6CC3C8"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Izrek odredbe o periodični denarni kazni vsebuje odločbo Banke Slovenije ali ECB, ki jo subjekt nadzora krši, višino dnevnega zneska kazni in datum začetka njene uporabe.</w:t>
      </w:r>
    </w:p>
    <w:p w14:paraId="0A9FDC9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1DEA6AF"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_Ref202968644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478</w:t>
      </w:r>
      <w:r w:rsidRPr="00215B2F">
        <w:rPr>
          <w:rFonts w:cs="Arial"/>
          <w:b/>
          <w:bCs/>
          <w:sz w:val="20"/>
          <w:szCs w:val="20"/>
        </w:rPr>
        <w:fldChar w:fldCharType="end"/>
      </w:r>
      <w:r w:rsidRPr="00215B2F">
        <w:rPr>
          <w:rFonts w:cs="Arial"/>
          <w:b/>
          <w:bCs/>
          <w:sz w:val="20"/>
          <w:szCs w:val="20"/>
        </w:rPr>
        <w:t>. členu</w:t>
      </w:r>
    </w:p>
    <w:p w14:paraId="45AD5DE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6F7D743" w14:textId="450D55D6"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Ugovor zoper odredbo o periodični denarni kazni je dopusten, če ni kršitve odločbe Banke Slovenije ali ECB, če odmera dnevnega zneska ni pravilna, če datum začetka kazni ne upošteva določenega roka, če je kazen naložena subjektu brez pristojnosti Banke Slovenije, če je dejansko stanje v odredbi napačno ali nepopolno ugotovljeno ali če so bil</w:t>
      </w:r>
      <w:r w:rsidR="00E549ED" w:rsidRPr="00215B2F">
        <w:rPr>
          <w:rFonts w:cs="Arial"/>
          <w:sz w:val="20"/>
          <w:szCs w:val="20"/>
        </w:rPr>
        <w:t>a</w:t>
      </w:r>
      <w:r w:rsidRPr="00215B2F">
        <w:rPr>
          <w:rFonts w:cs="Arial"/>
          <w:sz w:val="20"/>
          <w:szCs w:val="20"/>
        </w:rPr>
        <w:t xml:space="preserve"> kršena postopkovna pravila. Ugovor ne zadrži začetka veljavnosti kazni.</w:t>
      </w:r>
    </w:p>
    <w:p w14:paraId="0D09DA3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E063924"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Dodatno velja pojasniti, da če je ugovor glede datuma, s katerim se začne uporabljati periodična denarna kazen, utemeljen, Banka Slovenije to upošteva oziroma o tem odloči v odločbi o ugovoru.</w:t>
      </w:r>
    </w:p>
    <w:p w14:paraId="5FCAF1E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7AEB38A"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_Ref202968653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479</w:t>
      </w:r>
      <w:r w:rsidRPr="00215B2F">
        <w:rPr>
          <w:rFonts w:cs="Arial"/>
          <w:b/>
          <w:bCs/>
          <w:sz w:val="20"/>
          <w:szCs w:val="20"/>
        </w:rPr>
        <w:fldChar w:fldCharType="end"/>
      </w:r>
      <w:r w:rsidRPr="00215B2F">
        <w:rPr>
          <w:rFonts w:cs="Arial"/>
          <w:b/>
          <w:bCs/>
          <w:sz w:val="20"/>
          <w:szCs w:val="20"/>
        </w:rPr>
        <w:t>. členu</w:t>
      </w:r>
    </w:p>
    <w:p w14:paraId="542A645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95821B6"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Če Banka Slovenije odloči o periodični denarni kazni skupaj z odredbo o odpravi kršitev, mora v sestavljeni odločbi navesti vse predpisane elemente. Ugovor zoper takšno odločbo je možen iz vseh določenih razlogov. Če ugovor zadeva le periodično denarno kazen, se rok za odpravo kršitev ne podaljša med obravnavo ugovora.</w:t>
      </w:r>
    </w:p>
    <w:p w14:paraId="4512479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9514B16"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_Ref202968657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480</w:t>
      </w:r>
      <w:r w:rsidRPr="00215B2F">
        <w:rPr>
          <w:rFonts w:cs="Arial"/>
          <w:b/>
          <w:bCs/>
          <w:sz w:val="20"/>
          <w:szCs w:val="20"/>
        </w:rPr>
        <w:fldChar w:fldCharType="end"/>
      </w:r>
      <w:r w:rsidRPr="00215B2F">
        <w:rPr>
          <w:rFonts w:cs="Arial"/>
          <w:b/>
          <w:bCs/>
          <w:sz w:val="20"/>
          <w:szCs w:val="20"/>
        </w:rPr>
        <w:t>. členu</w:t>
      </w:r>
    </w:p>
    <w:p w14:paraId="6EBA860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4B477C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Izrek odločbe o skupnem znesku periodične denarne kazni vključuje podatke o odredbi, višini dnevnega zneska, odpravi kršitev, obdobju uporabe kazni, skupnem znesku ter roku za plačilo (najmanj 15 dni). Ugotovitvena odločba vsebuje podatke o odredbi, odpravi kršitev in obdobju uporabe kazni, pri sestavljeni odredbi pa je ta ugotovitev del ugotovitvene odločbe.</w:t>
      </w:r>
    </w:p>
    <w:p w14:paraId="1A6336C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B384574"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_Ref202968662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481</w:t>
      </w:r>
      <w:r w:rsidRPr="00215B2F">
        <w:rPr>
          <w:rFonts w:cs="Arial"/>
          <w:b/>
          <w:bCs/>
          <w:sz w:val="20"/>
          <w:szCs w:val="20"/>
        </w:rPr>
        <w:fldChar w:fldCharType="end"/>
      </w:r>
      <w:r w:rsidRPr="00215B2F">
        <w:rPr>
          <w:rFonts w:cs="Arial"/>
          <w:b/>
          <w:bCs/>
          <w:sz w:val="20"/>
          <w:szCs w:val="20"/>
        </w:rPr>
        <w:t>. členu</w:t>
      </w:r>
    </w:p>
    <w:p w14:paraId="68CD6DF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BFFD207"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vodi postopek za izrek administrativnih sankcij po uradni dolžnosti in o začetku postopka pisno obvesti pravno osebo, pri čemer to obvestilo ni enako možnosti izjave po zakonu. V pozivu za izjavo Banka Slovenije vedno navede predvideno višino sankcije, pri čemer v določenih primerih doda tudi podatke o odredbi za odpravo kršitev in okoliščinah, ki vplivajo na višino sankcije.</w:t>
      </w:r>
    </w:p>
    <w:p w14:paraId="10292CB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6A5179D"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_Ref202968669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482</w:t>
      </w:r>
      <w:r w:rsidRPr="00215B2F">
        <w:rPr>
          <w:rFonts w:cs="Arial"/>
          <w:b/>
          <w:bCs/>
          <w:sz w:val="20"/>
          <w:szCs w:val="20"/>
        </w:rPr>
        <w:fldChar w:fldCharType="end"/>
      </w:r>
      <w:r w:rsidRPr="00215B2F">
        <w:rPr>
          <w:rFonts w:cs="Arial"/>
          <w:b/>
          <w:bCs/>
          <w:sz w:val="20"/>
          <w:szCs w:val="20"/>
        </w:rPr>
        <w:t>. členu</w:t>
      </w:r>
    </w:p>
    <w:p w14:paraId="56879F2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BF26395"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Odločba o administrativni sankciji vsebuje: ime pravne osebe, ki je kršila zakon, opis kršitve ali oznako odredbe za odpravo kršitev, višino sankcije in rok za plačilo. Odločba o opominu vsebuje ime pravne osebe, opis kršitve ali oznako odredbe ter navedbo, da je izrečen opomin. V določenih primerih Banka Slovenije v odločbi o sankciji navede tudi oznako odredbe za odpravo kršitev in okoliščine, ki so vplivale na odmero sankcije.</w:t>
      </w:r>
    </w:p>
    <w:p w14:paraId="0CE303A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C0EE950"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_Ref202968672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483</w:t>
      </w:r>
      <w:r w:rsidRPr="00215B2F">
        <w:rPr>
          <w:rFonts w:cs="Arial"/>
          <w:b/>
          <w:bCs/>
          <w:sz w:val="20"/>
          <w:szCs w:val="20"/>
        </w:rPr>
        <w:fldChar w:fldCharType="end"/>
      </w:r>
      <w:r w:rsidRPr="00215B2F">
        <w:rPr>
          <w:rFonts w:cs="Arial"/>
          <w:b/>
          <w:bCs/>
          <w:sz w:val="20"/>
          <w:szCs w:val="20"/>
        </w:rPr>
        <w:t>. členu</w:t>
      </w:r>
    </w:p>
    <w:p w14:paraId="63199A3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83F4A36"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Postopek za naložitev periodične denarne kazni ali administrativne sankcije ni dovoljen, če je od kršitve minilo več kot 5 let (pri ponavljajočih se kršitvah šteje od prenehanja zadnje kršitve). Zastaranje se prekine z vsakim postopkovnim dejanjem Banke Slovenije, po prekinitvi pa začne teči znova. Administrativne sankcije ni mogoče izreči, če je potekel dvakratni čas zastaralnega roka (10 let). Zastaranje ne teče med sodnim varstvom ali kazenskim postopkom, povezanimi z enakim dejanskim stanjem, in se nadaljuje po pravnomočnosti. Če je odločba razveljavljena z izrednim pravnim sredstvom in je zastaranje poteklo ali bi poteklo v manj kot dveh letih, se v novem postopku določi dvostranski rok zastaranja (2 leti).</w:t>
      </w:r>
    </w:p>
    <w:p w14:paraId="5F0EE5F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999013B"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_Ref202968678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484</w:t>
      </w:r>
      <w:r w:rsidRPr="00215B2F">
        <w:rPr>
          <w:rFonts w:cs="Arial"/>
          <w:b/>
          <w:bCs/>
          <w:sz w:val="20"/>
          <w:szCs w:val="20"/>
        </w:rPr>
        <w:fldChar w:fldCharType="end"/>
      </w:r>
      <w:r w:rsidRPr="00215B2F">
        <w:rPr>
          <w:rFonts w:cs="Arial"/>
          <w:b/>
          <w:bCs/>
          <w:sz w:val="20"/>
          <w:szCs w:val="20"/>
        </w:rPr>
        <w:t>. členu</w:t>
      </w:r>
    </w:p>
    <w:p w14:paraId="5DD11FB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ABB26F8"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Izvršbo periodične denarne kazni ali administrativne sankcije opravi pristojni davčni organ po davčnem izvršilnem postopku, na predlog Banke Slovenije. Banka Slovenije lahko pred, med izdajo odločbe ali po njej do pravnomočnosti izvede ukrepe za zavarovanje izvršbe in izpolnitve obveznosti, pri čemer se uporabljajo pravila o zavarovanju in plačilu davčnih obveznosti iz davčnega postopka.</w:t>
      </w:r>
    </w:p>
    <w:p w14:paraId="38D2D05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A903237"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_Ref202968682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485</w:t>
      </w:r>
      <w:r w:rsidRPr="00215B2F">
        <w:rPr>
          <w:rFonts w:cs="Arial"/>
          <w:b/>
          <w:bCs/>
          <w:sz w:val="20"/>
          <w:szCs w:val="20"/>
        </w:rPr>
        <w:fldChar w:fldCharType="end"/>
      </w:r>
      <w:r w:rsidRPr="00215B2F">
        <w:rPr>
          <w:rFonts w:cs="Arial"/>
          <w:b/>
          <w:bCs/>
          <w:sz w:val="20"/>
          <w:szCs w:val="20"/>
        </w:rPr>
        <w:t>. členu</w:t>
      </w:r>
    </w:p>
    <w:p w14:paraId="58E324D2"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D087903"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Izvrševanje periodičnih denarnih kazni ali administrativnih sankcij se ne sme začeti, če sta minili dve leti od pravnomočnosti odločbe o skupnem znesku kazni. Zastaranje ne teče, ko zakon prepoveduje izvrševanje. Vsako dejanje Banke Slovenije ali davčnega organa, ki usmerja izvršbo, prekine zastaranje, ki nato teče znova, a izvrševanje ni dovoljeno po štirih letih od pravnomočnosti odločbe. Izvrševanje ni dovoljeno tudi po poteku zastaralnih rokov iz davčnega izvršilnega zakona.</w:t>
      </w:r>
    </w:p>
    <w:p w14:paraId="69173111"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9C2563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_Ref202968688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486</w:t>
      </w:r>
      <w:r w:rsidRPr="00215B2F">
        <w:rPr>
          <w:rFonts w:ascii="Arial" w:hAnsi="Arial" w:cs="Arial"/>
          <w:b/>
          <w:bCs/>
          <w:sz w:val="20"/>
          <w:szCs w:val="20"/>
        </w:rPr>
        <w:fldChar w:fldCharType="end"/>
      </w:r>
      <w:r w:rsidRPr="00215B2F">
        <w:rPr>
          <w:rFonts w:ascii="Arial" w:hAnsi="Arial" w:cs="Arial"/>
          <w:b/>
          <w:bCs/>
          <w:sz w:val="20"/>
          <w:szCs w:val="20"/>
        </w:rPr>
        <w:t>. členu (veljavni 386. člen ZBan-3)</w:t>
      </w:r>
    </w:p>
    <w:p w14:paraId="6F72F55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83AF7A1" w14:textId="0F1645CE"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(386. člen) ni vsebinskih sprememb.</w:t>
      </w:r>
      <w:r w:rsidRPr="00215B2F">
        <w:rPr>
          <w:rFonts w:ascii="Arial" w:hAnsi="Arial" w:cs="Arial"/>
          <w:b/>
          <w:sz w:val="20"/>
          <w:szCs w:val="20"/>
        </w:rPr>
        <w:t xml:space="preserve"> </w:t>
      </w:r>
      <w:r w:rsidRPr="00215B2F">
        <w:rPr>
          <w:rFonts w:ascii="Arial" w:hAnsi="Arial" w:cs="Arial"/>
          <w:sz w:val="20"/>
          <w:szCs w:val="20"/>
        </w:rPr>
        <w:t xml:space="preserve">Sodno varstvo proti odločbam Banke Slovenije se zagotavlja v posebnem postopku sodnega varstva, za katerega se podrejeno uporabljajo </w:t>
      </w:r>
      <w:r w:rsidRPr="00215B2F">
        <w:rPr>
          <w:rFonts w:ascii="Arial" w:hAnsi="Arial" w:cs="Arial"/>
          <w:sz w:val="20"/>
          <w:szCs w:val="20"/>
        </w:rPr>
        <w:lastRenderedPageBreak/>
        <w:t>določbe ZUS</w:t>
      </w:r>
      <w:r w:rsidR="00C322CC" w:rsidRPr="00215B2F">
        <w:rPr>
          <w:rFonts w:ascii="Arial" w:hAnsi="Arial" w:cs="Arial"/>
          <w:sz w:val="20"/>
          <w:szCs w:val="20"/>
        </w:rPr>
        <w:t>-1</w:t>
      </w:r>
      <w:r w:rsidRPr="00215B2F">
        <w:rPr>
          <w:rFonts w:ascii="Arial" w:hAnsi="Arial" w:cs="Arial"/>
          <w:sz w:val="20"/>
          <w:szCs w:val="20"/>
        </w:rPr>
        <w:t>. Zaradi zahtevnosti postopka predlog člena določa tudi sojenje v specializiranem senatu treh sodnikov.</w:t>
      </w:r>
    </w:p>
    <w:p w14:paraId="793A9A0D"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5834D843" w14:textId="5C9E40A4"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Za postopke sodnega varstva zoper odločbo o denarni kazni se uporabljajo določbe zakona o prekrških glede zahteve za sodno varstvo zoper odločbo o prekršku, s katero se v hitrem postopku kršitelju izreče globa. O zahtevi za sodno varstvo zoper odločbo Banke Slovenije o izrečeni globi se določi pristojnost okrajnega sodišča. To v okviru postopka sodnega varstva kot sodišče, specializirano za kaznovalne postopke, pri presoji odločbe o globi ugotavlja okoliščine glede odgovornosti kršitelja in glede ustreznosti višine izrečene denarne sankcije, medtem ko se za presojo drugih okoliščin (glede obstoja kršitve in ustreznosti izrečenih ukrepov nadzora) določi pristojnost upravnega sodišča.</w:t>
      </w:r>
    </w:p>
    <w:p w14:paraId="7E595FC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5BC1C2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_Ref202968695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487</w:t>
      </w:r>
      <w:r w:rsidRPr="00215B2F">
        <w:rPr>
          <w:rFonts w:ascii="Arial" w:hAnsi="Arial" w:cs="Arial"/>
          <w:b/>
          <w:bCs/>
          <w:sz w:val="20"/>
          <w:szCs w:val="20"/>
        </w:rPr>
        <w:fldChar w:fldCharType="end"/>
      </w:r>
      <w:r w:rsidRPr="00215B2F">
        <w:rPr>
          <w:rFonts w:ascii="Arial" w:hAnsi="Arial" w:cs="Arial"/>
          <w:b/>
          <w:bCs/>
          <w:sz w:val="20"/>
          <w:szCs w:val="20"/>
        </w:rPr>
        <w:t>. členu (veljavni 387. člen ZBan-3)</w:t>
      </w:r>
    </w:p>
    <w:p w14:paraId="5C91BDE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E2EC1F9"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(387. člen) ni vsebinskih sprememb.</w:t>
      </w:r>
      <w:r w:rsidRPr="00215B2F">
        <w:rPr>
          <w:rFonts w:ascii="Arial" w:hAnsi="Arial" w:cs="Arial"/>
          <w:b/>
          <w:sz w:val="20"/>
          <w:szCs w:val="20"/>
        </w:rPr>
        <w:t xml:space="preserve"> </w:t>
      </w:r>
      <w:r w:rsidRPr="00215B2F">
        <w:rPr>
          <w:rFonts w:ascii="Arial" w:hAnsi="Arial" w:cs="Arial"/>
          <w:sz w:val="20"/>
          <w:szCs w:val="20"/>
        </w:rPr>
        <w:t>Predlog člena ureja aktivno legitimacijo za vložitev tožbe ali zahteve za sodno varstvo zoper akte, ki jih v postopku nadzora izda Banka Slovenije, in sicer je aktivno procesno legitimiran le subjekt nadzora. Zaradi zahtevnosti postopka pa predlog hkrati določa, da lahko dejanja v postopku tega sodnega varstva opravlja le oseba z opravljenim državnim pravniškim izpitom.</w:t>
      </w:r>
    </w:p>
    <w:p w14:paraId="42D447B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4D13F8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_Ref202968703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488</w:t>
      </w:r>
      <w:r w:rsidRPr="00215B2F">
        <w:rPr>
          <w:rFonts w:ascii="Arial" w:hAnsi="Arial" w:cs="Arial"/>
          <w:b/>
          <w:bCs/>
          <w:sz w:val="20"/>
          <w:szCs w:val="20"/>
        </w:rPr>
        <w:fldChar w:fldCharType="end"/>
      </w:r>
      <w:r w:rsidRPr="00215B2F">
        <w:rPr>
          <w:rFonts w:ascii="Arial" w:hAnsi="Arial" w:cs="Arial"/>
          <w:b/>
          <w:bCs/>
          <w:sz w:val="20"/>
          <w:szCs w:val="20"/>
        </w:rPr>
        <w:t>. členu (veljavni 388. člen ZBan-3)</w:t>
      </w:r>
    </w:p>
    <w:p w14:paraId="4A7E1EE4"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6373E14D" w14:textId="134012FC"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bCs/>
          <w:sz w:val="20"/>
          <w:szCs w:val="20"/>
        </w:rPr>
        <w:t xml:space="preserve">ZBan-3 (388. člen) določa, da se lahko </w:t>
      </w:r>
      <w:r w:rsidR="00C307E8" w:rsidRPr="00215B2F">
        <w:rPr>
          <w:rFonts w:cs="Arial"/>
          <w:bCs/>
          <w:sz w:val="20"/>
          <w:szCs w:val="20"/>
        </w:rPr>
        <w:t xml:space="preserve">postopek </w:t>
      </w:r>
      <w:r w:rsidRPr="00215B2F">
        <w:rPr>
          <w:rFonts w:cs="Arial"/>
          <w:bCs/>
          <w:sz w:val="20"/>
          <w:szCs w:val="20"/>
        </w:rPr>
        <w:t>sodn</w:t>
      </w:r>
      <w:r w:rsidR="00C307E8" w:rsidRPr="00215B2F">
        <w:rPr>
          <w:rFonts w:cs="Arial"/>
          <w:bCs/>
          <w:sz w:val="20"/>
          <w:szCs w:val="20"/>
        </w:rPr>
        <w:t>ega</w:t>
      </w:r>
      <w:r w:rsidRPr="00215B2F">
        <w:rPr>
          <w:rFonts w:cs="Arial"/>
          <w:bCs/>
          <w:sz w:val="20"/>
          <w:szCs w:val="20"/>
        </w:rPr>
        <w:t xml:space="preserve"> varstv</w:t>
      </w:r>
      <w:r w:rsidR="00C307E8" w:rsidRPr="00215B2F">
        <w:rPr>
          <w:rFonts w:cs="Arial"/>
          <w:bCs/>
          <w:sz w:val="20"/>
          <w:szCs w:val="20"/>
        </w:rPr>
        <w:t>a</w:t>
      </w:r>
      <w:r w:rsidRPr="00215B2F">
        <w:rPr>
          <w:rFonts w:cs="Arial"/>
          <w:bCs/>
          <w:sz w:val="20"/>
          <w:szCs w:val="20"/>
        </w:rPr>
        <w:t xml:space="preserve"> začne z vložitvijo tožbe proti odločbi Banke Slovenije, razen če zakon določa drugače. Ni posebnega sodnega varstva proti odločbi, s katero Banka Slovenije začne postopek odvzema dovoljenja, oziroma proti odločbi o zavrnitvi, spremembi ali zavrženju ugovora zoper odredbo. Odločbo o začetku postopka odvzema dovoljenja je mogoče izpodbiti šele s tožbo zoper odločbo o odvzemu dovoljenja, medtem ko je odločbo o zavrnitvi ugovora proti odredbi mogoče izpodbiti zoper odločbo, ki zavrne ta ugovor. </w:t>
      </w:r>
      <w:r w:rsidR="000F5868" w:rsidRPr="00215B2F">
        <w:rPr>
          <w:rFonts w:cs="Arial"/>
          <w:bCs/>
          <w:sz w:val="20"/>
          <w:szCs w:val="20"/>
        </w:rPr>
        <w:t>Postopek s</w:t>
      </w:r>
      <w:r w:rsidRPr="00215B2F">
        <w:rPr>
          <w:rFonts w:cs="Arial"/>
          <w:bCs/>
          <w:sz w:val="20"/>
          <w:szCs w:val="20"/>
        </w:rPr>
        <w:t>odnega varstva se lahko uporabi tudi proti sklepu, ki zaključi postopek odločanja, kadar zakon to posebej dovoljuje. Za odredbe Banke Slovenije pa ni predviden posebni postopek sodnega varstva.</w:t>
      </w:r>
    </w:p>
    <w:p w14:paraId="6F9723F5"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144B57CE" w14:textId="77777777"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bCs/>
          <w:sz w:val="20"/>
          <w:szCs w:val="20"/>
        </w:rPr>
        <w:t xml:space="preserve">S predlogom zakona se (glede na ZBan-3) črtata 2. točka prvega odstavka in četrti odstavek. Vsebini sta si namreč nasprotujoči, </w:t>
      </w:r>
      <w:r w:rsidRPr="00215B2F">
        <w:rPr>
          <w:rFonts w:cs="Arial"/>
          <w:sz w:val="20"/>
          <w:szCs w:val="20"/>
        </w:rPr>
        <w:t>zato je z vidika jasnosti zakona smiselno oboje brisati – iz tega namreč izhaja, da je zoper odločbo o zavrnitvi ugovora zoper odredbo mogoč postopek sodnega varstva.</w:t>
      </w:r>
    </w:p>
    <w:p w14:paraId="29743F9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BB8882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_Ref202968709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489</w:t>
      </w:r>
      <w:r w:rsidRPr="00215B2F">
        <w:rPr>
          <w:rFonts w:ascii="Arial" w:hAnsi="Arial" w:cs="Arial"/>
          <w:b/>
          <w:bCs/>
          <w:sz w:val="20"/>
          <w:szCs w:val="20"/>
        </w:rPr>
        <w:fldChar w:fldCharType="end"/>
      </w:r>
      <w:r w:rsidRPr="00215B2F">
        <w:rPr>
          <w:rFonts w:ascii="Arial" w:hAnsi="Arial" w:cs="Arial"/>
          <w:b/>
          <w:bCs/>
          <w:sz w:val="20"/>
          <w:szCs w:val="20"/>
        </w:rPr>
        <w:t>. členu (veljavni 389. člen ZBan-3)</w:t>
      </w:r>
    </w:p>
    <w:p w14:paraId="214D1E0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6850FB7"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(389. člen) ni vsebinskih sprememb.</w:t>
      </w:r>
      <w:r w:rsidRPr="00215B2F">
        <w:rPr>
          <w:rFonts w:ascii="Arial" w:hAnsi="Arial" w:cs="Arial"/>
          <w:b/>
          <w:sz w:val="20"/>
          <w:szCs w:val="20"/>
        </w:rPr>
        <w:t xml:space="preserve"> </w:t>
      </w:r>
      <w:r w:rsidRPr="00215B2F">
        <w:rPr>
          <w:rFonts w:ascii="Arial" w:hAnsi="Arial" w:cs="Arial"/>
          <w:sz w:val="20"/>
          <w:szCs w:val="20"/>
        </w:rPr>
        <w:t xml:space="preserve">Zakon o sodiščih (Uradni list RS, št. </w:t>
      </w:r>
      <w:hyperlink r:id="rId28" w:tgtFrame="_blank" w:tooltip="Zakon o sodiščih (uradno prečiščeno besedilo)" w:history="1">
        <w:r w:rsidRPr="00215B2F">
          <w:rPr>
            <w:rFonts w:ascii="Arial" w:hAnsi="Arial" w:cs="Arial"/>
            <w:sz w:val="20"/>
            <w:szCs w:val="20"/>
          </w:rPr>
          <w:t>94/07</w:t>
        </w:r>
      </w:hyperlink>
      <w:r w:rsidRPr="00215B2F">
        <w:rPr>
          <w:rFonts w:ascii="Arial" w:hAnsi="Arial" w:cs="Arial"/>
          <w:sz w:val="20"/>
          <w:szCs w:val="20"/>
        </w:rPr>
        <w:t xml:space="preserve"> – uradno prečiščeno besedilo, </w:t>
      </w:r>
      <w:hyperlink r:id="rId29" w:tgtFrame="_blank" w:tooltip="Zakon o spremembah in dopolnitvah Zakona o sodiščih" w:history="1">
        <w:r w:rsidRPr="00215B2F">
          <w:rPr>
            <w:rFonts w:ascii="Arial" w:hAnsi="Arial" w:cs="Arial"/>
            <w:sz w:val="20"/>
            <w:szCs w:val="20"/>
          </w:rPr>
          <w:t>45/08</w:t>
        </w:r>
      </w:hyperlink>
      <w:r w:rsidRPr="00215B2F">
        <w:rPr>
          <w:rFonts w:ascii="Arial" w:hAnsi="Arial" w:cs="Arial"/>
          <w:sz w:val="20"/>
          <w:szCs w:val="20"/>
        </w:rPr>
        <w:t xml:space="preserve">, </w:t>
      </w:r>
      <w:hyperlink r:id="rId30" w:tgtFrame="_blank" w:tooltip="Zakon o spremembah in dopolnitvah Zakona o sodiščih" w:history="1">
        <w:r w:rsidRPr="00215B2F">
          <w:rPr>
            <w:rFonts w:ascii="Arial" w:hAnsi="Arial" w:cs="Arial"/>
            <w:sz w:val="20"/>
            <w:szCs w:val="20"/>
          </w:rPr>
          <w:t>96/09</w:t>
        </w:r>
      </w:hyperlink>
      <w:r w:rsidRPr="00215B2F">
        <w:rPr>
          <w:rFonts w:ascii="Arial" w:hAnsi="Arial" w:cs="Arial"/>
          <w:sz w:val="20"/>
          <w:szCs w:val="20"/>
        </w:rPr>
        <w:t xml:space="preserve">, </w:t>
      </w:r>
      <w:hyperlink r:id="rId31" w:tgtFrame="_blank" w:tooltip="Zakon o Javnem nepremičninskem skladu Republike Slovenije" w:history="1">
        <w:r w:rsidRPr="00215B2F">
          <w:rPr>
            <w:rFonts w:ascii="Arial" w:hAnsi="Arial" w:cs="Arial"/>
            <w:sz w:val="20"/>
            <w:szCs w:val="20"/>
          </w:rPr>
          <w:t>86/10</w:t>
        </w:r>
      </w:hyperlink>
      <w:r w:rsidRPr="00215B2F">
        <w:rPr>
          <w:rFonts w:ascii="Arial" w:hAnsi="Arial" w:cs="Arial"/>
          <w:sz w:val="20"/>
          <w:szCs w:val="20"/>
        </w:rPr>
        <w:t xml:space="preserve"> – ZJNepS, </w:t>
      </w:r>
      <w:hyperlink r:id="rId32" w:tgtFrame="_blank" w:tooltip="Zakon o spremembah in dopolnitvah Zakona o sodiščih" w:history="1">
        <w:r w:rsidRPr="00215B2F">
          <w:rPr>
            <w:rFonts w:ascii="Arial" w:hAnsi="Arial" w:cs="Arial"/>
            <w:sz w:val="20"/>
            <w:szCs w:val="20"/>
          </w:rPr>
          <w:t>33/11</w:t>
        </w:r>
      </w:hyperlink>
      <w:r w:rsidRPr="00215B2F">
        <w:rPr>
          <w:rFonts w:ascii="Arial" w:hAnsi="Arial" w:cs="Arial"/>
          <w:sz w:val="20"/>
          <w:szCs w:val="20"/>
        </w:rPr>
        <w:t xml:space="preserve">, </w:t>
      </w:r>
      <w:hyperlink r:id="rId33" w:tgtFrame="_blank" w:tooltip="Zakon o spremembah in dopolnitvah Zakona o stvarnem premoženju države in samoupravnih lokalnih skupnosti" w:history="1">
        <w:r w:rsidRPr="00215B2F">
          <w:rPr>
            <w:rFonts w:ascii="Arial" w:hAnsi="Arial" w:cs="Arial"/>
            <w:sz w:val="20"/>
            <w:szCs w:val="20"/>
          </w:rPr>
          <w:t>75/12</w:t>
        </w:r>
      </w:hyperlink>
      <w:r w:rsidRPr="00215B2F">
        <w:rPr>
          <w:rFonts w:ascii="Arial" w:hAnsi="Arial" w:cs="Arial"/>
          <w:sz w:val="20"/>
          <w:szCs w:val="20"/>
        </w:rPr>
        <w:t xml:space="preserve"> – ZSPDSLS-A in </w:t>
      </w:r>
      <w:hyperlink r:id="rId34" w:tgtFrame="_blank" w:tooltip="Zakon o spremembah in dopolnitvah Zakona o sodiščih" w:history="1">
        <w:r w:rsidRPr="00215B2F">
          <w:rPr>
            <w:rFonts w:ascii="Arial" w:hAnsi="Arial" w:cs="Arial"/>
            <w:sz w:val="20"/>
            <w:szCs w:val="20"/>
          </w:rPr>
          <w:t>63/13</w:t>
        </w:r>
      </w:hyperlink>
      <w:r w:rsidRPr="00215B2F">
        <w:rPr>
          <w:rFonts w:ascii="Arial" w:hAnsi="Arial" w:cs="Arial"/>
          <w:sz w:val="20"/>
          <w:szCs w:val="20"/>
        </w:rPr>
        <w:t>)</w:t>
      </w:r>
      <w:r w:rsidRPr="00215B2F">
        <w:rPr>
          <w:rFonts w:ascii="Arial" w:hAnsi="Arial" w:cs="Arial"/>
          <w:b/>
          <w:bCs/>
          <w:sz w:val="20"/>
          <w:szCs w:val="20"/>
        </w:rPr>
        <w:t xml:space="preserve"> </w:t>
      </w:r>
      <w:r w:rsidRPr="00215B2F">
        <w:rPr>
          <w:rFonts w:ascii="Arial" w:hAnsi="Arial" w:cs="Arial"/>
          <w:sz w:val="20"/>
          <w:szCs w:val="20"/>
        </w:rPr>
        <w:t>v 1. do 8. točki drugega odstavka 83. člena našteva zadeve, ki se štejejo za nujne. Po 9. točki navedene določbe pa so to tudi druge zadeve, za katere tako določa (drug) zakon. Glede na to, da je namen nadzora, ki ga opravlja Banka Slovenije, to je zagotoviti stabilnost finančnega sistema in zaupanje vlagateljev, mogoče uresničiti samo, če je nadzor učinkovit, predlog člena določa, da so zadeve v postopku sodnega varstva nujne in da o njih sodišče odloča prednostno.</w:t>
      </w:r>
    </w:p>
    <w:p w14:paraId="59B8A2E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B4ED72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_Ref202968717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490</w:t>
      </w:r>
      <w:r w:rsidRPr="00215B2F">
        <w:rPr>
          <w:rFonts w:ascii="Arial" w:hAnsi="Arial" w:cs="Arial"/>
          <w:b/>
          <w:bCs/>
          <w:sz w:val="20"/>
          <w:szCs w:val="20"/>
        </w:rPr>
        <w:fldChar w:fldCharType="end"/>
      </w:r>
      <w:r w:rsidRPr="00215B2F">
        <w:rPr>
          <w:rFonts w:ascii="Arial" w:hAnsi="Arial" w:cs="Arial"/>
          <w:b/>
          <w:bCs/>
          <w:sz w:val="20"/>
          <w:szCs w:val="20"/>
        </w:rPr>
        <w:t>. členu (veljavni 390. člen ZBan-3)</w:t>
      </w:r>
    </w:p>
    <w:p w14:paraId="3A9FEAF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4053D94"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(390. člen) ni vsebinskih sprememb.</w:t>
      </w:r>
      <w:r w:rsidRPr="00215B2F">
        <w:rPr>
          <w:rFonts w:ascii="Arial" w:hAnsi="Arial" w:cs="Arial"/>
          <w:b/>
          <w:sz w:val="20"/>
          <w:szCs w:val="20"/>
        </w:rPr>
        <w:t xml:space="preserve"> </w:t>
      </w:r>
      <w:r w:rsidRPr="00215B2F">
        <w:rPr>
          <w:rFonts w:ascii="Arial" w:hAnsi="Arial" w:cs="Arial"/>
          <w:sz w:val="20"/>
          <w:szCs w:val="20"/>
        </w:rPr>
        <w:t>Iz istega razloga, kot je v predlogu zakona predlagano prednostno določanje, to je zagotoviti učinkovit nadzor z namenom zagotavljanja stabilnosti finančnega sistema in zaupanja vlagateljev, predlog člena določa tudi krajše roke, kot jih predvideva sistemski zakon, za vložitev tožbe in odgovor na tožbo. V postopku sodnega varstva zoper akte Banke Slovenije je tako določen 15-dnevni rok namesto 30-dnevnega splošnega roka.</w:t>
      </w:r>
    </w:p>
    <w:p w14:paraId="78180D4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DC398E4"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_Ref202968721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491</w:t>
      </w:r>
      <w:r w:rsidRPr="00215B2F">
        <w:rPr>
          <w:rFonts w:ascii="Arial" w:hAnsi="Arial" w:cs="Arial"/>
          <w:b/>
          <w:bCs/>
          <w:sz w:val="20"/>
          <w:szCs w:val="20"/>
        </w:rPr>
        <w:fldChar w:fldCharType="end"/>
      </w:r>
      <w:r w:rsidRPr="00215B2F">
        <w:rPr>
          <w:rFonts w:ascii="Arial" w:hAnsi="Arial" w:cs="Arial"/>
          <w:b/>
          <w:bCs/>
          <w:sz w:val="20"/>
          <w:szCs w:val="20"/>
        </w:rPr>
        <w:t>. členu (veljavni 391. člen ZBan-3)</w:t>
      </w:r>
    </w:p>
    <w:p w14:paraId="63CD532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6FB96FE" w14:textId="77777777" w:rsidR="0010347E" w:rsidRPr="00215B2F" w:rsidRDefault="0010347E" w:rsidP="0010347E">
      <w:pPr>
        <w:shd w:val="clear" w:color="auto" w:fill="FFFFFF" w:themeFill="background1"/>
        <w:spacing w:after="0" w:line="240" w:lineRule="auto"/>
        <w:jc w:val="both"/>
        <w:rPr>
          <w:rFonts w:ascii="Arial" w:hAnsi="Arial" w:cs="Arial"/>
          <w:iCs/>
          <w:sz w:val="20"/>
          <w:szCs w:val="20"/>
        </w:rPr>
      </w:pPr>
      <w:r w:rsidRPr="00215B2F">
        <w:rPr>
          <w:rFonts w:ascii="Arial" w:hAnsi="Arial" w:cs="Arial"/>
          <w:sz w:val="20"/>
          <w:szCs w:val="20"/>
        </w:rPr>
        <w:t xml:space="preserve">V primerjavi z ZBan-3 (391. člen) ni vsebinskih sprememb. Člen določa, da </w:t>
      </w:r>
      <w:r w:rsidRPr="00215B2F">
        <w:rPr>
          <w:rFonts w:ascii="Arial" w:hAnsi="Arial" w:cs="Arial"/>
          <w:iCs/>
          <w:sz w:val="20"/>
          <w:szCs w:val="20"/>
        </w:rPr>
        <w:t xml:space="preserve">tožnik v postopku sodnega varstva ne more navajati novih dejstev in predlagati novih dokazov, </w:t>
      </w:r>
      <w:r w:rsidRPr="00215B2F">
        <w:rPr>
          <w:rFonts w:ascii="Arial" w:eastAsia="Arial" w:hAnsi="Arial" w:cs="Arial"/>
          <w:sz w:val="20"/>
          <w:szCs w:val="20"/>
        </w:rPr>
        <w:t>razen če izkaže, da jih brez svoje krivde ni mogel uveljaviti v postopku pred Banko Slovenije.</w:t>
      </w:r>
    </w:p>
    <w:p w14:paraId="0CDC855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2F3FFC6"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_Ref202968739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492</w:t>
      </w:r>
      <w:r w:rsidRPr="00215B2F">
        <w:rPr>
          <w:rFonts w:ascii="Arial" w:hAnsi="Arial" w:cs="Arial"/>
          <w:b/>
          <w:bCs/>
          <w:sz w:val="20"/>
          <w:szCs w:val="20"/>
        </w:rPr>
        <w:fldChar w:fldCharType="end"/>
      </w:r>
      <w:r w:rsidRPr="00215B2F">
        <w:rPr>
          <w:rFonts w:ascii="Arial" w:hAnsi="Arial" w:cs="Arial"/>
          <w:b/>
          <w:bCs/>
          <w:sz w:val="20"/>
          <w:szCs w:val="20"/>
        </w:rPr>
        <w:t>. členu (veljavni 392. člen ZBan-3)</w:t>
      </w:r>
    </w:p>
    <w:p w14:paraId="65A80600"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79FB1B3F"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lastRenderedPageBreak/>
        <w:t>V primerjavi z ZBan-3 (392. člen) ni vsebinskih sprememb.</w:t>
      </w:r>
      <w:r w:rsidRPr="00215B2F">
        <w:rPr>
          <w:rFonts w:ascii="Arial" w:hAnsi="Arial" w:cs="Arial"/>
          <w:b/>
          <w:sz w:val="20"/>
          <w:szCs w:val="20"/>
        </w:rPr>
        <w:t xml:space="preserve"> </w:t>
      </w:r>
      <w:r w:rsidRPr="00215B2F">
        <w:rPr>
          <w:rFonts w:ascii="Arial" w:hAnsi="Arial" w:cs="Arial"/>
          <w:sz w:val="20"/>
          <w:szCs w:val="20"/>
        </w:rPr>
        <w:t>Glede na posebej poudarjeno načelo hitrosti postopka predlog člena določa tudi omejitev preizkusa odločbe, po katerem sodišče preizkusi odločbo Banke Slovenije le v mejah tožbenega zahtevka in v mejah razlogov, ki so navedeni v tožbi, pri tem pa pazi po uradni dolžnosti na zakonsko določene bistvene kršitve določb postopka.</w:t>
      </w:r>
    </w:p>
    <w:p w14:paraId="31512A4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1D009AA"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_Ref202968763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493</w:t>
      </w:r>
      <w:r w:rsidRPr="00215B2F">
        <w:rPr>
          <w:rFonts w:ascii="Arial" w:hAnsi="Arial" w:cs="Arial"/>
          <w:b/>
          <w:bCs/>
          <w:sz w:val="20"/>
          <w:szCs w:val="20"/>
        </w:rPr>
        <w:fldChar w:fldCharType="end"/>
      </w:r>
      <w:r w:rsidRPr="00215B2F">
        <w:rPr>
          <w:rFonts w:ascii="Arial" w:hAnsi="Arial" w:cs="Arial"/>
          <w:b/>
          <w:bCs/>
          <w:sz w:val="20"/>
          <w:szCs w:val="20"/>
        </w:rPr>
        <w:t>. členu (veljavni 393. člen ZBan-3)</w:t>
      </w:r>
    </w:p>
    <w:p w14:paraId="750F7BB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E0B490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primerjavi z ZBan-3 (393. člen) ni vsebinskih sprememb. Člen določa, da </w:t>
      </w:r>
      <w:r w:rsidRPr="00215B2F">
        <w:rPr>
          <w:rFonts w:ascii="Arial" w:hAnsi="Arial" w:cs="Arial"/>
          <w:iCs/>
          <w:sz w:val="20"/>
          <w:szCs w:val="20"/>
        </w:rPr>
        <w:t>sodišče lahko odloči brez glavne obravnave, če dejansko stanje, ki je bilo podlaga za izdajo odločbe, med tožnikom in Banko Slovenije ni sporno. Stranke se lahko odpovedo glavni obravnavi, v tem primeru pa sodišče odloči na seji, pri čemer upošteva dejansko stanje iz postopka izdaje upravnega akta ter nova dejstva in dokaze, ki jih stranke predložijo in ki jih sodišče lahko upošteva v skladu s predlaganim zakonom.</w:t>
      </w:r>
    </w:p>
    <w:p w14:paraId="41FE122C"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B0C0078"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Določbe temeljijo na sodbi Evropskega sodišča za človekove pravice v zadevi PRO PLUS proti Sloveniji ter sodni odločbi Vrhovnega sodišča opr. št. X Ips 22/2020, z dne 26. avgusta 2020 </w:t>
      </w:r>
      <w:r w:rsidRPr="00215B2F">
        <w:rPr>
          <w:rFonts w:ascii="Arial" w:hAnsi="Arial" w:cs="Arial"/>
          <w:b/>
          <w:bCs/>
          <w:sz w:val="20"/>
          <w:szCs w:val="20"/>
        </w:rPr>
        <w:t>(</w:t>
      </w:r>
      <w:hyperlink r:id="rId35" w:history="1">
        <w:r w:rsidRPr="00215B2F">
          <w:rPr>
            <w:rStyle w:val="Hiperpovezava"/>
            <w:rFonts w:ascii="Arial" w:hAnsi="Arial" w:cs="Arial"/>
            <w:b w:val="0"/>
            <w:bCs/>
            <w:color w:val="auto"/>
            <w:sz w:val="20"/>
            <w:szCs w:val="20"/>
          </w:rPr>
          <w:t>http://www.sodisce.si/vsrs/objave/2020090210114618/</w:t>
        </w:r>
      </w:hyperlink>
      <w:r w:rsidRPr="00215B2F">
        <w:rPr>
          <w:rFonts w:ascii="Arial" w:hAnsi="Arial" w:cs="Arial"/>
          <w:sz w:val="20"/>
          <w:szCs w:val="20"/>
        </w:rPr>
        <w:t>), v kateri je</w:t>
      </w:r>
      <w:r w:rsidRPr="00215B2F">
        <w:rPr>
          <w:rFonts w:ascii="Arial" w:eastAsia="Calibri" w:hAnsi="Arial" w:cs="Arial"/>
          <w:sz w:val="20"/>
          <w:szCs w:val="20"/>
        </w:rPr>
        <w:t xml:space="preserve"> v 17. točki med drugim ugotovilo, da je glede na pravico do glavne obravnave iz 22. člena Ustave RS treba šteti, da je določba drugega odstavka 59. člena ZUS-1 protiustavna, saj gre za nedopustno izjemo od glavne obravnave. </w:t>
      </w:r>
    </w:p>
    <w:p w14:paraId="267AD74F"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1A2B1C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_Ref202968775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494</w:t>
      </w:r>
      <w:r w:rsidRPr="00215B2F">
        <w:rPr>
          <w:rFonts w:ascii="Arial" w:hAnsi="Arial" w:cs="Arial"/>
          <w:b/>
          <w:bCs/>
          <w:sz w:val="20"/>
          <w:szCs w:val="20"/>
        </w:rPr>
        <w:fldChar w:fldCharType="end"/>
      </w:r>
      <w:r w:rsidRPr="00215B2F">
        <w:rPr>
          <w:rFonts w:ascii="Arial" w:hAnsi="Arial" w:cs="Arial"/>
          <w:b/>
          <w:bCs/>
          <w:sz w:val="20"/>
          <w:szCs w:val="20"/>
        </w:rPr>
        <w:t>. členu (veljavni 394. člen ZBan-3)</w:t>
      </w:r>
    </w:p>
    <w:p w14:paraId="698A6B4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E42F3D5"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(394. člen) ni vsebinskih sprememb.</w:t>
      </w:r>
      <w:r w:rsidRPr="00215B2F">
        <w:rPr>
          <w:rFonts w:ascii="Arial" w:hAnsi="Arial" w:cs="Arial"/>
          <w:b/>
          <w:sz w:val="20"/>
          <w:szCs w:val="20"/>
        </w:rPr>
        <w:t xml:space="preserve"> </w:t>
      </w:r>
      <w:r w:rsidRPr="00215B2F">
        <w:rPr>
          <w:rFonts w:ascii="Arial" w:hAnsi="Arial" w:cs="Arial"/>
          <w:sz w:val="20"/>
          <w:szCs w:val="20"/>
        </w:rPr>
        <w:t xml:space="preserve">Predlog člena določa primere, v katerih sodišče izpodbijanega akta ne odpravi, ampak zgolj ugotovi njegovo nezakonitost, če ugotovi razloge, zaradi katerih se izpodbijani akt lahko odpravi. </w:t>
      </w:r>
    </w:p>
    <w:p w14:paraId="69913F8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43F996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_Ref202968787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495</w:t>
      </w:r>
      <w:r w:rsidRPr="00215B2F">
        <w:rPr>
          <w:rFonts w:ascii="Arial" w:hAnsi="Arial" w:cs="Arial"/>
          <w:b/>
          <w:bCs/>
          <w:sz w:val="20"/>
          <w:szCs w:val="20"/>
        </w:rPr>
        <w:fldChar w:fldCharType="end"/>
      </w:r>
      <w:r w:rsidRPr="00215B2F">
        <w:rPr>
          <w:rFonts w:ascii="Arial" w:hAnsi="Arial" w:cs="Arial"/>
          <w:b/>
          <w:bCs/>
          <w:sz w:val="20"/>
          <w:szCs w:val="20"/>
        </w:rPr>
        <w:t>. členu (veljavni 395. člen ZBan-3)</w:t>
      </w:r>
    </w:p>
    <w:p w14:paraId="16EDD3F3"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3C527EF2" w14:textId="77777777" w:rsidR="00BB17FD" w:rsidRPr="00215B2F" w:rsidRDefault="0010347E" w:rsidP="00BB17FD">
      <w:pPr>
        <w:shd w:val="clear" w:color="auto" w:fill="FFFFFF" w:themeFill="background1"/>
        <w:spacing w:after="0" w:line="240" w:lineRule="auto"/>
        <w:jc w:val="both"/>
        <w:rPr>
          <w:rFonts w:ascii="Arial" w:hAnsi="Arial" w:cs="Arial"/>
          <w:b/>
          <w:bCs/>
          <w:sz w:val="20"/>
          <w:szCs w:val="20"/>
        </w:rPr>
      </w:pPr>
      <w:bookmarkStart w:id="625" w:name="_Hlk61863382"/>
      <w:r w:rsidRPr="00215B2F">
        <w:rPr>
          <w:rFonts w:ascii="Arial" w:hAnsi="Arial" w:cs="Arial"/>
          <w:sz w:val="20"/>
          <w:szCs w:val="20"/>
        </w:rPr>
        <w:t>V primerjavi z ZBan-3 (395. člen) ni vsebinskih sprememb.</w:t>
      </w:r>
      <w:r w:rsidRPr="00215B2F">
        <w:rPr>
          <w:rFonts w:ascii="Arial" w:hAnsi="Arial" w:cs="Arial"/>
          <w:b/>
          <w:sz w:val="20"/>
          <w:szCs w:val="20"/>
        </w:rPr>
        <w:t xml:space="preserve"> </w:t>
      </w:r>
      <w:r w:rsidRPr="00215B2F">
        <w:rPr>
          <w:rFonts w:ascii="Arial" w:hAnsi="Arial" w:cs="Arial"/>
          <w:sz w:val="20"/>
          <w:szCs w:val="20"/>
        </w:rPr>
        <w:t xml:space="preserve">Člen opredeljuje predpise, ki določajo pogoje in zahteve pri izvajanju izrednih ukrepov, ki jih izreka Banka Slovenije v zvezi z reševanjem bank. </w:t>
      </w:r>
      <w:r w:rsidR="00BB17FD" w:rsidRPr="00215B2F">
        <w:rPr>
          <w:rFonts w:ascii="Arial" w:hAnsi="Arial" w:cs="Arial"/>
          <w:bCs/>
          <w:sz w:val="20"/>
          <w:szCs w:val="20"/>
        </w:rPr>
        <w:t>Črtan je zakon, ki ureja organ in sklad za reševanje bank, ki s 1. 1. 2025 ne velja več. Referenca na določbe ZBan-2 in s tem na Zakon o bančništvu (Uradni list RS, št. </w:t>
      </w:r>
      <w:hyperlink r:id="rId36" w:tgtFrame="_blank" w:tooltip="Zakon o bančništvu (uradno prečiščeno besedilo) (ZBan-1-UPB5)" w:history="1">
        <w:r w:rsidR="00BB17FD" w:rsidRPr="00215B2F">
          <w:rPr>
            <w:rStyle w:val="Hiperpovezava"/>
            <w:rFonts w:ascii="Arial" w:hAnsi="Arial" w:cs="Arial"/>
            <w:b w:val="0"/>
            <w:color w:val="auto"/>
            <w:sz w:val="20"/>
            <w:szCs w:val="20"/>
            <w:u w:val="none"/>
          </w:rPr>
          <w:t>99/10</w:t>
        </w:r>
      </w:hyperlink>
      <w:r w:rsidR="00BB17FD" w:rsidRPr="00215B2F">
        <w:rPr>
          <w:rFonts w:ascii="Arial" w:hAnsi="Arial" w:cs="Arial"/>
          <w:bCs/>
          <w:sz w:val="20"/>
          <w:szCs w:val="20"/>
        </w:rPr>
        <w:t> – uradno prečiščeno besedilo, </w:t>
      </w:r>
      <w:hyperlink r:id="rId37" w:tgtFrame="_blank" w:tooltip="Zakon o spremembah in dopolnitvah Zakona o plačilnih storitvah in sistemih (ZPlaSS-B)" w:history="1">
        <w:r w:rsidR="00BB17FD" w:rsidRPr="00215B2F">
          <w:rPr>
            <w:rStyle w:val="Hiperpovezava"/>
            <w:rFonts w:ascii="Arial" w:hAnsi="Arial" w:cs="Arial"/>
            <w:b w:val="0"/>
            <w:color w:val="auto"/>
            <w:sz w:val="20"/>
            <w:szCs w:val="20"/>
            <w:u w:val="none"/>
          </w:rPr>
          <w:t>9/11</w:t>
        </w:r>
      </w:hyperlink>
      <w:r w:rsidR="00BB17FD" w:rsidRPr="00215B2F">
        <w:rPr>
          <w:rFonts w:ascii="Arial" w:hAnsi="Arial" w:cs="Arial"/>
          <w:bCs/>
          <w:sz w:val="20"/>
          <w:szCs w:val="20"/>
        </w:rPr>
        <w:t> – ZPlaSS-B, </w:t>
      </w:r>
      <w:hyperlink r:id="rId38" w:tgtFrame="_blank" w:tooltip="Zakon o spremembah in dopolnitvah Zakona o bančništvu (ZBan-1F)" w:history="1">
        <w:r w:rsidR="00BB17FD" w:rsidRPr="00215B2F">
          <w:rPr>
            <w:rStyle w:val="Hiperpovezava"/>
            <w:rFonts w:ascii="Arial" w:hAnsi="Arial" w:cs="Arial"/>
            <w:b w:val="0"/>
            <w:color w:val="auto"/>
            <w:sz w:val="20"/>
            <w:szCs w:val="20"/>
            <w:u w:val="none"/>
          </w:rPr>
          <w:t>35/11</w:t>
        </w:r>
      </w:hyperlink>
      <w:r w:rsidR="00BB17FD" w:rsidRPr="00215B2F">
        <w:rPr>
          <w:rFonts w:ascii="Arial" w:hAnsi="Arial" w:cs="Arial"/>
          <w:bCs/>
          <w:sz w:val="20"/>
          <w:szCs w:val="20"/>
        </w:rPr>
        <w:t>, </w:t>
      </w:r>
      <w:hyperlink r:id="rId39" w:tgtFrame="_blank" w:tooltip="Popravek uradnega prečiščenega besedila Zakona o bančništvu (ZBan-1-UPB5p)" w:history="1">
        <w:r w:rsidR="00BB17FD" w:rsidRPr="00215B2F">
          <w:rPr>
            <w:rStyle w:val="Hiperpovezava"/>
            <w:rFonts w:ascii="Arial" w:hAnsi="Arial" w:cs="Arial"/>
            <w:b w:val="0"/>
            <w:color w:val="auto"/>
            <w:sz w:val="20"/>
            <w:szCs w:val="20"/>
            <w:u w:val="none"/>
          </w:rPr>
          <w:t>52/11</w:t>
        </w:r>
      </w:hyperlink>
      <w:r w:rsidR="00BB17FD" w:rsidRPr="00215B2F">
        <w:rPr>
          <w:rFonts w:ascii="Arial" w:hAnsi="Arial" w:cs="Arial"/>
          <w:bCs/>
          <w:sz w:val="20"/>
          <w:szCs w:val="20"/>
        </w:rPr>
        <w:t> – popr., </w:t>
      </w:r>
      <w:hyperlink r:id="rId40" w:tgtFrame="_blank" w:tooltip="Zakon o spremembah in dopolnitvah Zakona o bančništvu (ZBan-1G)" w:history="1">
        <w:r w:rsidR="00BB17FD" w:rsidRPr="00215B2F">
          <w:rPr>
            <w:rStyle w:val="Hiperpovezava"/>
            <w:rFonts w:ascii="Arial" w:hAnsi="Arial" w:cs="Arial"/>
            <w:b w:val="0"/>
            <w:color w:val="auto"/>
            <w:sz w:val="20"/>
            <w:szCs w:val="20"/>
            <w:u w:val="none"/>
          </w:rPr>
          <w:t>59/11</w:t>
        </w:r>
      </w:hyperlink>
      <w:r w:rsidR="00BB17FD" w:rsidRPr="00215B2F">
        <w:rPr>
          <w:rFonts w:ascii="Arial" w:hAnsi="Arial" w:cs="Arial"/>
          <w:bCs/>
          <w:sz w:val="20"/>
          <w:szCs w:val="20"/>
        </w:rPr>
        <w:t>, </w:t>
      </w:r>
      <w:r w:rsidR="00BB17FD" w:rsidRPr="00215B2F">
        <w:rPr>
          <w:rFonts w:ascii="Arial" w:hAnsi="Arial" w:cs="Arial"/>
          <w:sz w:val="20"/>
          <w:szCs w:val="20"/>
        </w:rPr>
        <w:t>85/11,</w:t>
      </w:r>
      <w:r w:rsidR="00BB17FD" w:rsidRPr="00215B2F">
        <w:rPr>
          <w:rFonts w:ascii="Arial" w:hAnsi="Arial" w:cs="Arial"/>
          <w:bCs/>
          <w:sz w:val="20"/>
          <w:szCs w:val="20"/>
        </w:rPr>
        <w:t> </w:t>
      </w:r>
      <w:hyperlink r:id="rId41" w:tgtFrame="_blank" w:tooltip="Zakon o spremembah in dopolnitvah Zakona o bančništvu (ZBan-1I)" w:history="1">
        <w:r w:rsidR="00BB17FD" w:rsidRPr="00215B2F">
          <w:rPr>
            <w:rStyle w:val="Hiperpovezava"/>
            <w:rFonts w:ascii="Arial" w:hAnsi="Arial" w:cs="Arial"/>
            <w:b w:val="0"/>
            <w:color w:val="auto"/>
            <w:sz w:val="20"/>
            <w:szCs w:val="20"/>
            <w:u w:val="none"/>
          </w:rPr>
          <w:t>48/12</w:t>
        </w:r>
      </w:hyperlink>
      <w:r w:rsidR="00BB17FD" w:rsidRPr="00215B2F">
        <w:rPr>
          <w:rFonts w:ascii="Arial" w:hAnsi="Arial" w:cs="Arial"/>
          <w:bCs/>
          <w:sz w:val="20"/>
          <w:szCs w:val="20"/>
        </w:rPr>
        <w:t>, </w:t>
      </w:r>
      <w:hyperlink r:id="rId42" w:tgtFrame="_blank" w:tooltip="Zakon o spremembah in dopolnitvah Zakona o bančništvu (ZBan-1J)" w:history="1">
        <w:r w:rsidR="00BB17FD" w:rsidRPr="00215B2F">
          <w:rPr>
            <w:rStyle w:val="Hiperpovezava"/>
            <w:rFonts w:ascii="Arial" w:hAnsi="Arial" w:cs="Arial"/>
            <w:b w:val="0"/>
            <w:color w:val="auto"/>
            <w:sz w:val="20"/>
            <w:szCs w:val="20"/>
            <w:u w:val="none"/>
          </w:rPr>
          <w:t>105/12</w:t>
        </w:r>
      </w:hyperlink>
      <w:r w:rsidR="00BB17FD" w:rsidRPr="00215B2F">
        <w:rPr>
          <w:rFonts w:ascii="Arial" w:hAnsi="Arial" w:cs="Arial"/>
          <w:bCs/>
          <w:sz w:val="20"/>
          <w:szCs w:val="20"/>
        </w:rPr>
        <w:t>, </w:t>
      </w:r>
      <w:hyperlink r:id="rId43" w:tgtFrame="_blank" w:tooltip="Zakon o spremembah in dopolnitvah Zakona o bančništvu (ZBan-1K)" w:history="1">
        <w:r w:rsidR="00BB17FD" w:rsidRPr="00215B2F">
          <w:rPr>
            <w:rStyle w:val="Hiperpovezava"/>
            <w:rFonts w:ascii="Arial" w:hAnsi="Arial" w:cs="Arial"/>
            <w:b w:val="0"/>
            <w:color w:val="auto"/>
            <w:sz w:val="20"/>
            <w:szCs w:val="20"/>
            <w:u w:val="none"/>
          </w:rPr>
          <w:t>56/13</w:t>
        </w:r>
      </w:hyperlink>
      <w:r w:rsidR="00BB17FD" w:rsidRPr="00215B2F">
        <w:rPr>
          <w:rFonts w:ascii="Arial" w:hAnsi="Arial" w:cs="Arial"/>
          <w:bCs/>
          <w:sz w:val="20"/>
          <w:szCs w:val="20"/>
        </w:rPr>
        <w:t>, </w:t>
      </w:r>
      <w:hyperlink r:id="rId44" w:tgtFrame="_blank" w:tooltip="Zakon o spremembah in dopolnitvah Zakona o sodiščih (ZS-K)" w:history="1">
        <w:r w:rsidR="00BB17FD" w:rsidRPr="00215B2F">
          <w:rPr>
            <w:rStyle w:val="Hiperpovezava"/>
            <w:rFonts w:ascii="Arial" w:hAnsi="Arial" w:cs="Arial"/>
            <w:b w:val="0"/>
            <w:color w:val="auto"/>
            <w:sz w:val="20"/>
            <w:szCs w:val="20"/>
            <w:u w:val="none"/>
          </w:rPr>
          <w:t>63/13</w:t>
        </w:r>
      </w:hyperlink>
      <w:r w:rsidR="00BB17FD" w:rsidRPr="00215B2F">
        <w:rPr>
          <w:rFonts w:ascii="Arial" w:hAnsi="Arial" w:cs="Arial"/>
          <w:bCs/>
          <w:sz w:val="20"/>
          <w:szCs w:val="20"/>
        </w:rPr>
        <w:t> – ZS-K, </w:t>
      </w:r>
      <w:hyperlink r:id="rId45" w:tgtFrame="_blank" w:tooltip="Zakon o spremembah in dopolnitvah Zakona o bančništvu (ZBan-1L)" w:history="1">
        <w:r w:rsidR="00BB17FD" w:rsidRPr="00215B2F">
          <w:rPr>
            <w:rStyle w:val="Hiperpovezava"/>
            <w:rFonts w:ascii="Arial" w:hAnsi="Arial" w:cs="Arial"/>
            <w:b w:val="0"/>
            <w:color w:val="auto"/>
            <w:sz w:val="20"/>
            <w:szCs w:val="20"/>
            <w:u w:val="none"/>
          </w:rPr>
          <w:t>96/13</w:t>
        </w:r>
      </w:hyperlink>
      <w:r w:rsidR="00BB17FD" w:rsidRPr="00215B2F">
        <w:rPr>
          <w:rFonts w:ascii="Arial" w:hAnsi="Arial" w:cs="Arial"/>
          <w:bCs/>
          <w:sz w:val="20"/>
          <w:szCs w:val="20"/>
        </w:rPr>
        <w:t>, </w:t>
      </w:r>
      <w:hyperlink r:id="rId46" w:tgtFrame="_blank" w:tooltip="Zakon o bančništvu (ZBan-2)" w:history="1">
        <w:r w:rsidR="00BB17FD" w:rsidRPr="00215B2F">
          <w:rPr>
            <w:rStyle w:val="Hiperpovezava"/>
            <w:rFonts w:ascii="Arial" w:hAnsi="Arial" w:cs="Arial"/>
            <w:b w:val="0"/>
            <w:color w:val="auto"/>
            <w:sz w:val="20"/>
            <w:szCs w:val="20"/>
            <w:u w:val="none"/>
          </w:rPr>
          <w:t>25/15</w:t>
        </w:r>
      </w:hyperlink>
      <w:r w:rsidR="00BB17FD" w:rsidRPr="00215B2F">
        <w:rPr>
          <w:rFonts w:ascii="Arial" w:hAnsi="Arial" w:cs="Arial"/>
          <w:bCs/>
          <w:sz w:val="20"/>
          <w:szCs w:val="20"/>
        </w:rPr>
        <w:t> – ZBan-2, </w:t>
      </w:r>
      <w:hyperlink r:id="rId47" w:tgtFrame="_blank" w:tooltip="Zakon o sistemu jamstva za vloge (ZSJV)" w:history="1">
        <w:r w:rsidR="00BB17FD" w:rsidRPr="00215B2F">
          <w:rPr>
            <w:rStyle w:val="Hiperpovezava"/>
            <w:rFonts w:ascii="Arial" w:hAnsi="Arial" w:cs="Arial"/>
            <w:b w:val="0"/>
            <w:color w:val="auto"/>
            <w:sz w:val="20"/>
            <w:szCs w:val="20"/>
            <w:u w:val="none"/>
          </w:rPr>
          <w:t>27/16</w:t>
        </w:r>
      </w:hyperlink>
      <w:r w:rsidR="00BB17FD" w:rsidRPr="00215B2F">
        <w:rPr>
          <w:rFonts w:ascii="Arial" w:hAnsi="Arial" w:cs="Arial"/>
          <w:bCs/>
          <w:sz w:val="20"/>
          <w:szCs w:val="20"/>
        </w:rPr>
        <w:t> – ZSJV in </w:t>
      </w:r>
      <w:hyperlink r:id="rId48" w:tgtFrame="_blank" w:tooltip="Zakon o reševanju in prisilnem prenehanju bank (ZRPPB)" w:history="1">
        <w:r w:rsidR="00BB17FD" w:rsidRPr="00215B2F">
          <w:rPr>
            <w:rStyle w:val="Hiperpovezava"/>
            <w:rFonts w:ascii="Arial" w:hAnsi="Arial" w:cs="Arial"/>
            <w:b w:val="0"/>
            <w:color w:val="auto"/>
            <w:sz w:val="20"/>
            <w:szCs w:val="20"/>
            <w:u w:val="none"/>
          </w:rPr>
          <w:t>44/16</w:t>
        </w:r>
      </w:hyperlink>
      <w:r w:rsidR="00BB17FD" w:rsidRPr="00215B2F">
        <w:rPr>
          <w:rFonts w:ascii="Arial" w:hAnsi="Arial" w:cs="Arial"/>
          <w:bCs/>
          <w:sz w:val="20"/>
          <w:szCs w:val="20"/>
        </w:rPr>
        <w:t xml:space="preserve"> – ZRPPB; ZBan-1) se ohranijo, saj je kljub ureditvi postopka sodnega varstva nekdanjih imetnikov kvalificiranih obveznosti (Zakon o postopku sodnega varstva nekdanjih imetnikov kvalificiranih obveznosti bank) zoper izredne ukrepe izrečene na podlagi ZBan-1 še vedno vloženih veliko tožb po ZBan-1. Prehodno obdobje za postopke glede ZBan-1 je sicer urejal 265. člen </w:t>
      </w:r>
      <w:r w:rsidR="00BB17FD" w:rsidRPr="00215B2F">
        <w:rPr>
          <w:rFonts w:ascii="Arial" w:hAnsi="Arial" w:cs="Arial"/>
          <w:bCs/>
          <w:sz w:val="20"/>
          <w:szCs w:val="20"/>
        </w:rPr>
        <w:br/>
      </w:r>
      <w:r w:rsidR="00BB17FD" w:rsidRPr="00215B2F">
        <w:rPr>
          <w:rFonts w:ascii="Arial" w:hAnsi="Arial" w:cs="Arial"/>
          <w:sz w:val="20"/>
          <w:szCs w:val="20"/>
        </w:rPr>
        <w:t>Zakon o reševanju in prisilnem prenehanju bank</w:t>
      </w:r>
      <w:r w:rsidR="00BB17FD" w:rsidRPr="00215B2F">
        <w:rPr>
          <w:rFonts w:ascii="Arial" w:hAnsi="Arial" w:cs="Arial"/>
          <w:bCs/>
          <w:sz w:val="20"/>
          <w:szCs w:val="20"/>
        </w:rPr>
        <w:t xml:space="preserve">, ki pa je bil z odločbo Ustavnega sodišča ugotovljen kot neskladen z Ustavo. </w:t>
      </w:r>
    </w:p>
    <w:p w14:paraId="3CE8D397" w14:textId="43DCD392" w:rsidR="0010347E" w:rsidRPr="00215B2F" w:rsidRDefault="0010347E" w:rsidP="0010347E">
      <w:pPr>
        <w:shd w:val="clear" w:color="auto" w:fill="FFFFFF" w:themeFill="background1"/>
        <w:spacing w:after="0" w:line="240" w:lineRule="auto"/>
        <w:jc w:val="both"/>
        <w:rPr>
          <w:rFonts w:ascii="Arial" w:hAnsi="Arial" w:cs="Arial"/>
          <w:sz w:val="20"/>
          <w:szCs w:val="20"/>
        </w:rPr>
      </w:pPr>
    </w:p>
    <w:bookmarkEnd w:id="625"/>
    <w:p w14:paraId="4B0A182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D4E6BC2"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_Ref202968795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496</w:t>
      </w:r>
      <w:r w:rsidRPr="00215B2F">
        <w:rPr>
          <w:rFonts w:ascii="Arial" w:hAnsi="Arial" w:cs="Arial"/>
          <w:b/>
          <w:bCs/>
          <w:sz w:val="20"/>
          <w:szCs w:val="20"/>
        </w:rPr>
        <w:fldChar w:fldCharType="end"/>
      </w:r>
      <w:r w:rsidRPr="00215B2F">
        <w:rPr>
          <w:rFonts w:ascii="Arial" w:hAnsi="Arial" w:cs="Arial"/>
          <w:b/>
          <w:bCs/>
          <w:sz w:val="20"/>
          <w:szCs w:val="20"/>
        </w:rPr>
        <w:t>. členu (veljavni 396. člen ZBan-3)</w:t>
      </w:r>
    </w:p>
    <w:p w14:paraId="2488E38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28D2A54" w14:textId="6A30F7D1"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Določbe veljavnega 396. člena ZBan-3 so v skladu s spremembami glede administrativnih sankcij glede pravnih oseb prilagojene tako, da se prekrški izrekajo samo (odgovornim) fizičnim osebam. Predmetni člen ureja globe za kršitev odgovorne osebe banke. Člani uprave in </w:t>
      </w:r>
      <w:r w:rsidR="00354135" w:rsidRPr="00215B2F">
        <w:rPr>
          <w:rFonts w:cs="Arial"/>
          <w:sz w:val="20"/>
          <w:szCs w:val="20"/>
        </w:rPr>
        <w:t>nadzornega sveta</w:t>
      </w:r>
      <w:r w:rsidRPr="00215B2F">
        <w:rPr>
          <w:rFonts w:cs="Arial"/>
          <w:sz w:val="20"/>
          <w:szCs w:val="20"/>
        </w:rPr>
        <w:t>, ki naklepno ali iz hude malomarnosti kršijo svoje dolžnosti in povzročijo kršitev iz 311.b člena zakona, se kaznujejo z globo od 2.500 do 10.000 evrov, pri posebej hudih prekrških pa do 5.000.000 evrov, če je škoda ali pridobljena korist visoka ali gre za naklep z namenom koristoljubnosti. Odgovorne osebe banke, ki niso člani uprave ali nadzornega sveta, a povzročijo takšno kršitev, se kaznujejo z globo od 800 do 10.000 evrov, v hujših primerih pa od 2.500 do 30.000 evrov.</w:t>
      </w:r>
    </w:p>
    <w:p w14:paraId="6C9D972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4BCADAC"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_Ref203647889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497</w:t>
      </w:r>
      <w:r w:rsidRPr="00215B2F">
        <w:rPr>
          <w:rFonts w:cs="Arial"/>
          <w:b/>
          <w:bCs/>
          <w:sz w:val="20"/>
          <w:szCs w:val="20"/>
        </w:rPr>
        <w:fldChar w:fldCharType="end"/>
      </w:r>
      <w:r w:rsidRPr="00215B2F">
        <w:rPr>
          <w:rFonts w:cs="Arial"/>
          <w:b/>
          <w:bCs/>
          <w:sz w:val="20"/>
          <w:szCs w:val="20"/>
        </w:rPr>
        <w:t>. členu (veljavni 397. člen ZBan-3)</w:t>
      </w:r>
    </w:p>
    <w:p w14:paraId="055F9F1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066F5B8" w14:textId="5C4FF1BD"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Določbe veljavnega 397. člena ZBan-3 so v skladu s spremembami glede administrativnih sankcij glede pravnih oseb prilagojene tako, da se prekrški izrekajo samo (odgovornim) </w:t>
      </w:r>
      <w:r w:rsidR="000E5AFA" w:rsidRPr="00215B2F">
        <w:rPr>
          <w:rFonts w:cs="Arial"/>
          <w:sz w:val="20"/>
          <w:szCs w:val="20"/>
        </w:rPr>
        <w:t>posameznikom</w:t>
      </w:r>
      <w:r w:rsidRPr="00215B2F">
        <w:rPr>
          <w:rFonts w:cs="Arial"/>
          <w:sz w:val="20"/>
          <w:szCs w:val="20"/>
        </w:rPr>
        <w:t xml:space="preserve">. Predmetni člen ureja </w:t>
      </w:r>
      <w:r w:rsidRPr="00215B2F">
        <w:rPr>
          <w:rFonts w:eastAsia="Arial" w:cs="Arial"/>
          <w:sz w:val="20"/>
          <w:szCs w:val="20"/>
        </w:rPr>
        <w:t>globe za kršitev imetnika in odgovorne osebe imetnika kvalificiranega deleža</w:t>
      </w:r>
      <w:r w:rsidRPr="00215B2F">
        <w:rPr>
          <w:rFonts w:cs="Arial"/>
          <w:sz w:val="20"/>
          <w:szCs w:val="20"/>
        </w:rPr>
        <w:t xml:space="preserve">. Odgovorna oseba pravne osebe, ki kot imetnik kvalificiranega deleža ne odsvoji deleža v skladu z odredbo, je kaznovana z globo od 800 do 10.000 evrov, pri hujših prekrških pa od 2.500 do 30.000 evrov. </w:t>
      </w:r>
      <w:r w:rsidR="000E5AFA" w:rsidRPr="00215B2F">
        <w:rPr>
          <w:rFonts w:cs="Arial"/>
          <w:sz w:val="20"/>
          <w:szCs w:val="20"/>
        </w:rPr>
        <w:t>Posameznik</w:t>
      </w:r>
      <w:r w:rsidRPr="00215B2F">
        <w:rPr>
          <w:rFonts w:cs="Arial"/>
          <w:sz w:val="20"/>
          <w:szCs w:val="20"/>
        </w:rPr>
        <w:t xml:space="preserve">, ki ne odsvoji kvalificiranega deleža, je kaznovana z globo od 2.500 do 10.000 evrov, pri </w:t>
      </w:r>
      <w:r w:rsidRPr="00215B2F">
        <w:rPr>
          <w:rFonts w:cs="Arial"/>
          <w:sz w:val="20"/>
          <w:szCs w:val="20"/>
        </w:rPr>
        <w:lastRenderedPageBreak/>
        <w:t>posebej hudih prekrških pa do 5.000.000 evrov ali do dvakratnika dobička, pridobljenega s kršitvijo, oziroma preprečene izgube, če je ta višji.</w:t>
      </w:r>
    </w:p>
    <w:p w14:paraId="48ED6EC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7C0C24E"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_Ref202968815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498</w:t>
      </w:r>
      <w:r w:rsidRPr="00215B2F">
        <w:rPr>
          <w:rFonts w:ascii="Arial" w:hAnsi="Arial" w:cs="Arial"/>
          <w:b/>
          <w:bCs/>
          <w:sz w:val="20"/>
          <w:szCs w:val="20"/>
        </w:rPr>
        <w:fldChar w:fldCharType="end"/>
      </w:r>
      <w:r w:rsidRPr="00215B2F">
        <w:rPr>
          <w:rFonts w:ascii="Arial" w:hAnsi="Arial" w:cs="Arial"/>
          <w:b/>
          <w:bCs/>
          <w:sz w:val="20"/>
          <w:szCs w:val="20"/>
        </w:rPr>
        <w:t>. členu (veljavni 398. člen ZBan-3)</w:t>
      </w:r>
    </w:p>
    <w:p w14:paraId="18EB12A4" w14:textId="77777777" w:rsidR="0010347E" w:rsidRPr="00215B2F" w:rsidRDefault="0010347E" w:rsidP="0010347E">
      <w:pPr>
        <w:pStyle w:val="tevilnatoka"/>
        <w:numPr>
          <w:ilvl w:val="0"/>
          <w:numId w:val="0"/>
        </w:numPr>
        <w:shd w:val="clear" w:color="auto" w:fill="FFFFFF" w:themeFill="background1"/>
        <w:rPr>
          <w:rFonts w:cs="Arial"/>
          <w:bCs/>
          <w:sz w:val="20"/>
          <w:szCs w:val="20"/>
        </w:rPr>
      </w:pPr>
    </w:p>
    <w:p w14:paraId="0D36CB10" w14:textId="6DC49662" w:rsidR="0010347E" w:rsidRPr="00215B2F" w:rsidRDefault="0010347E" w:rsidP="0010347E">
      <w:pPr>
        <w:pStyle w:val="tevilnatoka"/>
        <w:numPr>
          <w:ilvl w:val="0"/>
          <w:numId w:val="0"/>
        </w:numPr>
        <w:shd w:val="clear" w:color="auto" w:fill="FFFFFF" w:themeFill="background1"/>
        <w:rPr>
          <w:rFonts w:cs="Arial"/>
          <w:bCs/>
          <w:sz w:val="20"/>
          <w:szCs w:val="20"/>
        </w:rPr>
      </w:pPr>
      <w:r w:rsidRPr="00215B2F">
        <w:rPr>
          <w:rFonts w:cs="Arial"/>
          <w:sz w:val="20"/>
          <w:szCs w:val="20"/>
        </w:rPr>
        <w:t xml:space="preserve">Določbe veljavnega 398. člena ZBan-3 so v skladu s spremembami glede administrativnih sankcij glede pravnih oseb prilagojene tako, da se prekrški izrekajo samo (odgovornim) osebam. Predmetni člen ureja </w:t>
      </w:r>
      <w:r w:rsidRPr="00215B2F">
        <w:rPr>
          <w:rFonts w:eastAsia="Arial" w:cs="Arial"/>
          <w:bCs/>
          <w:sz w:val="20"/>
          <w:szCs w:val="20"/>
        </w:rPr>
        <w:t>globe za kršitev odgovorne osebe finančnega holdinga ali mešanega finančnega holdinga. Člani upravljalnih organov finančnega ali mešanega finančnega holdinga, ki naklepno ali iz hude malomarnosti kršijo svoje dolžnosti in povzročijo kršitev zakona, so kaznovani z globo od 2.500 do 10.000 evrov, pri posebej hudih kršitvah pa do 5.000.000 evrov. Odgovorne osebe teh holdingov, ki niso člani upravljalnih organov, pa so za podobne prekrške kaznovane z globo od 800 do 10.000 evrov oziroma do 30.000 evrov, če gre za posebej hudo kršitev zaradi velikosti škode ali protipravne koristi</w:t>
      </w:r>
    </w:p>
    <w:p w14:paraId="0A18E21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7A6EF9C"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_Ref202968830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499</w:t>
      </w:r>
      <w:r w:rsidRPr="00215B2F">
        <w:rPr>
          <w:rFonts w:ascii="Arial" w:hAnsi="Arial" w:cs="Arial"/>
          <w:b/>
          <w:bCs/>
          <w:sz w:val="20"/>
          <w:szCs w:val="20"/>
        </w:rPr>
        <w:fldChar w:fldCharType="end"/>
      </w:r>
      <w:r w:rsidRPr="00215B2F">
        <w:rPr>
          <w:rFonts w:ascii="Arial" w:hAnsi="Arial" w:cs="Arial"/>
          <w:b/>
          <w:bCs/>
          <w:sz w:val="20"/>
          <w:szCs w:val="20"/>
        </w:rPr>
        <w:t>. členu (veljavni 399. člen ZBan-3)</w:t>
      </w:r>
    </w:p>
    <w:p w14:paraId="5A4330A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EAE4F9B" w14:textId="4B211708" w:rsidR="0010347E" w:rsidRPr="00215B2F" w:rsidRDefault="0010347E" w:rsidP="0010347E">
      <w:pPr>
        <w:shd w:val="clear" w:color="auto" w:fill="FFFFFF" w:themeFill="background1"/>
        <w:spacing w:after="0" w:line="240" w:lineRule="auto"/>
        <w:jc w:val="both"/>
        <w:rPr>
          <w:rFonts w:ascii="Arial" w:hAnsi="Arial" w:cs="Arial"/>
          <w:bCs/>
          <w:sz w:val="20"/>
          <w:szCs w:val="20"/>
        </w:rPr>
      </w:pPr>
      <w:r w:rsidRPr="00215B2F">
        <w:rPr>
          <w:rFonts w:ascii="Arial" w:hAnsi="Arial" w:cs="Arial"/>
          <w:bCs/>
          <w:sz w:val="20"/>
          <w:szCs w:val="20"/>
        </w:rPr>
        <w:t xml:space="preserve">Določbe veljavnega 399. člena ZBan-3 so v skladu s spremembami glede administrativnih sankcij glede pravnih oseb prilagojene tako, da se prekrški izrekajo samo (odgovornim) osebam. Predmetni člen ureja </w:t>
      </w:r>
      <w:r w:rsidRPr="00215B2F">
        <w:rPr>
          <w:rFonts w:ascii="Arial" w:eastAsia="Arial" w:hAnsi="Arial" w:cs="Arial"/>
          <w:bCs/>
          <w:sz w:val="20"/>
          <w:szCs w:val="20"/>
        </w:rPr>
        <w:t xml:space="preserve">kršitve drugih oseb. </w:t>
      </w:r>
      <w:r w:rsidRPr="00215B2F">
        <w:rPr>
          <w:rFonts w:ascii="Arial" w:hAnsi="Arial" w:cs="Arial"/>
          <w:bCs/>
          <w:sz w:val="20"/>
          <w:szCs w:val="20"/>
        </w:rPr>
        <w:t>Odgovorne osebe pravnih oseb, samostojni podjetniki in posamezniki se kaznujejo z globami za različne prekrške, kot so prepovedano sprejemanje depozitov od javnosti, ovira nadzora Banke Slovenije, pridobitev kvalificiranega deleža brez dovoljenja ter neobveščanje Banke Slovenije o pomembnih delničarskih sporazumih ali sklenitev pravnih poslov brez potrebnih dovoljenj. Globe za odgovorne osebe pravnih oseb so običajno od 2.500 do 10.000 evrov, pri posebej hudih primerih lahko dosežejo do 30.000 evrov. Za samostojne podjetnike so globe višje (do 150.000 evrov), za posameznike pa nižje, običajno med 400 in 5.000 evrov, z višjimi kaznimi do 15.000 evrov pri hudih kršitvah zaradi škode ali koristi.</w:t>
      </w:r>
    </w:p>
    <w:p w14:paraId="6030DE7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DD2C641"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_Ref202968841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500</w:t>
      </w:r>
      <w:r w:rsidRPr="00215B2F">
        <w:rPr>
          <w:rFonts w:ascii="Arial" w:hAnsi="Arial" w:cs="Arial"/>
          <w:b/>
          <w:bCs/>
          <w:sz w:val="20"/>
          <w:szCs w:val="20"/>
        </w:rPr>
        <w:fldChar w:fldCharType="end"/>
      </w:r>
      <w:r w:rsidRPr="00215B2F">
        <w:rPr>
          <w:rFonts w:ascii="Arial" w:hAnsi="Arial" w:cs="Arial"/>
          <w:b/>
          <w:bCs/>
          <w:sz w:val="20"/>
          <w:szCs w:val="20"/>
        </w:rPr>
        <w:t>. členu (veljavni 400. člen ZBan-3)</w:t>
      </w:r>
    </w:p>
    <w:p w14:paraId="2A0C9BB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0BE3E67" w14:textId="1AF8E56E" w:rsidR="0010347E" w:rsidRPr="00215B2F" w:rsidRDefault="0010347E" w:rsidP="0010347E">
      <w:pPr>
        <w:pStyle w:val="Odstavek"/>
        <w:shd w:val="clear" w:color="auto" w:fill="FFFFFF" w:themeFill="background1"/>
        <w:spacing w:before="0"/>
        <w:ind w:firstLine="0"/>
        <w:rPr>
          <w:rFonts w:cs="Arial"/>
        </w:rPr>
      </w:pPr>
      <w:r w:rsidRPr="00215B2F">
        <w:rPr>
          <w:rFonts w:cs="Arial"/>
          <w:bCs/>
          <w:sz w:val="20"/>
          <w:szCs w:val="20"/>
        </w:rPr>
        <w:t xml:space="preserve">Določbe veljavnega 400. člena ZBan-3 so v skladu s spremembami glede administrativnih sankcij za pravne osebe prilagojene tako, da se prekrški izrekajo samo (odgovornim) osebam. Predmetni člen ureja </w:t>
      </w:r>
      <w:r w:rsidRPr="00215B2F">
        <w:rPr>
          <w:rFonts w:eastAsia="Arial" w:cs="Arial"/>
          <w:bCs/>
          <w:sz w:val="20"/>
          <w:szCs w:val="20"/>
        </w:rPr>
        <w:t>globe za kršitve odgovornih oseb v zvezi z obveščanjem agencije, pristojne za finančne trge. Odgovorna oseba banke se kaznuje z globo od 1.000 do 10.000 evrov, če v treh delovnih dneh po pridobitvi ali odsvojitvi vrednostnih papirjev ciljne družbe ne obvesti pristojne agencije za finančne trge. Pri posebej hudih primerih, ko je povzročena velika škoda ali pridobljena nezakonita korist, znaša kazen od 2.500 do 30.000 evrov. Postopek izreka globe in zastaranje urejajo določbe ZPre-1.</w:t>
      </w:r>
    </w:p>
    <w:p w14:paraId="5D6CD27A"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2D38317"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_Ref202968850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501</w:t>
      </w:r>
      <w:r w:rsidRPr="00215B2F">
        <w:rPr>
          <w:rFonts w:ascii="Arial" w:hAnsi="Arial" w:cs="Arial"/>
          <w:b/>
          <w:bCs/>
          <w:sz w:val="20"/>
          <w:szCs w:val="20"/>
        </w:rPr>
        <w:fldChar w:fldCharType="end"/>
      </w:r>
      <w:r w:rsidRPr="00215B2F">
        <w:rPr>
          <w:rFonts w:ascii="Arial" w:hAnsi="Arial" w:cs="Arial"/>
          <w:b/>
          <w:bCs/>
          <w:sz w:val="20"/>
          <w:szCs w:val="20"/>
        </w:rPr>
        <w:t>. členu (veljavni 401. člen ZBan-3)</w:t>
      </w:r>
    </w:p>
    <w:p w14:paraId="7758CAF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470509C" w14:textId="14454DD1" w:rsidR="0010347E" w:rsidRPr="00215B2F" w:rsidRDefault="0010347E" w:rsidP="0010347E">
      <w:pPr>
        <w:pStyle w:val="Odstavek"/>
        <w:shd w:val="clear" w:color="auto" w:fill="FFFFFF" w:themeFill="background1"/>
        <w:spacing w:before="0"/>
        <w:ind w:firstLine="0"/>
        <w:rPr>
          <w:rFonts w:cs="Arial"/>
          <w:bCs/>
          <w:sz w:val="20"/>
          <w:szCs w:val="20"/>
        </w:rPr>
      </w:pPr>
      <w:r w:rsidRPr="00215B2F">
        <w:rPr>
          <w:rFonts w:cs="Arial"/>
          <w:bCs/>
          <w:sz w:val="20"/>
          <w:szCs w:val="20"/>
        </w:rPr>
        <w:t xml:space="preserve">Določbe veljavnega 401. člena ZBan-3 so v skladu s spremembami glede administrativnih sankcij za pravne osebe prilagojene tako, da se prekrški izrekajo samo (odgovornim) osebam. Predmetni člen ureja </w:t>
      </w:r>
      <w:r w:rsidRPr="00215B2F">
        <w:rPr>
          <w:rFonts w:eastAsia="Arial" w:cs="Arial"/>
          <w:bCs/>
          <w:sz w:val="20"/>
          <w:szCs w:val="20"/>
        </w:rPr>
        <w:t>kršitve odgovornih oseb v bančni skupini. Odgovorna oseba pravne osebe se kaznuje z globo od 2.500 do 10.000 evrov, če naklepno ali iz hude malomarnosti povzroči, da podrejena družba, nadrejeni finančni ali mešani finančni holding ne pošlje potrebnih informacij za izpolnitev obveznosti na konsolidirani podlagi ali ne omogoči pregleda poslovanja pristojnim nadzornim organom. Če je prekršek posebej hud zaradi velike škode, pridobljene koristi ali namena koristoljubnosti, je kazen višja in znaša od 2.500 do 30.000 evrov.</w:t>
      </w:r>
    </w:p>
    <w:p w14:paraId="03D13E87"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D5869F5"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_Ref202968855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502</w:t>
      </w:r>
      <w:r w:rsidRPr="00215B2F">
        <w:rPr>
          <w:rFonts w:ascii="Arial" w:hAnsi="Arial" w:cs="Arial"/>
          <w:b/>
          <w:bCs/>
          <w:sz w:val="20"/>
          <w:szCs w:val="20"/>
        </w:rPr>
        <w:fldChar w:fldCharType="end"/>
      </w:r>
      <w:r w:rsidRPr="00215B2F">
        <w:rPr>
          <w:rFonts w:ascii="Arial" w:hAnsi="Arial" w:cs="Arial"/>
          <w:b/>
          <w:bCs/>
          <w:sz w:val="20"/>
          <w:szCs w:val="20"/>
        </w:rPr>
        <w:t>. členu (veljavni 402. člen ZBan-3)</w:t>
      </w:r>
    </w:p>
    <w:p w14:paraId="13E5963A"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69C0E7B7" w14:textId="0D5F0176" w:rsidR="0010347E" w:rsidRPr="00215B2F" w:rsidRDefault="0010347E" w:rsidP="0010347E">
      <w:pPr>
        <w:pStyle w:val="Odstavek"/>
        <w:shd w:val="clear" w:color="auto" w:fill="FFFFFF" w:themeFill="background1"/>
        <w:spacing w:before="0"/>
        <w:ind w:firstLine="0"/>
        <w:rPr>
          <w:rFonts w:cs="Arial"/>
          <w:bCs/>
          <w:sz w:val="20"/>
          <w:szCs w:val="20"/>
        </w:rPr>
      </w:pPr>
      <w:r w:rsidRPr="00215B2F">
        <w:rPr>
          <w:rFonts w:cs="Arial"/>
          <w:bCs/>
          <w:sz w:val="20"/>
          <w:szCs w:val="20"/>
        </w:rPr>
        <w:t xml:space="preserve">Določbe veljavnega 402. člena ZBan-3 so v skladu s spremembami glede administrativnih sankcij za pravne osebe prilagojene tako, da se prekrški izrekajo samo (odgovornim) osebam. Predmetni člen ureja </w:t>
      </w:r>
      <w:r w:rsidRPr="00215B2F">
        <w:rPr>
          <w:rFonts w:eastAsia="Arial" w:cs="Arial"/>
          <w:bCs/>
          <w:sz w:val="20"/>
          <w:szCs w:val="20"/>
        </w:rPr>
        <w:t>kršitve odgovornih oseb revizijske družbe in pooblaščenega revizorja.</w:t>
      </w:r>
      <w:r w:rsidRPr="00215B2F">
        <w:rPr>
          <w:rFonts w:cs="Arial"/>
          <w:bCs/>
          <w:sz w:val="20"/>
          <w:szCs w:val="20"/>
        </w:rPr>
        <w:t xml:space="preserve"> Odgovorna oseba revizijske družbe se kaznuje z globo od 2.500 do 10.000 evrov, če naklepno ali iz hude malomarnosti ne opravi revizijskega pregleda oziroma ne izdela ustreznih poročil, ne da dodatnih pojasnil Banki Slovenije, ne popravi ali dopolni poročil po njeni zahtevi ali ne obvesti Banke Slovenije o pomembnih dejstvih. V primeru posebej hudega prekrška zaradi velike škode, pridobljene koristi ali koristoljubnega namena je globa lahko od 2.500 do 30.000 evrov.</w:t>
      </w:r>
    </w:p>
    <w:p w14:paraId="28863D9C"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40F65340"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_Ref202968871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503</w:t>
      </w:r>
      <w:r w:rsidRPr="00215B2F">
        <w:rPr>
          <w:rFonts w:cs="Arial"/>
          <w:b/>
          <w:bCs/>
          <w:sz w:val="20"/>
          <w:szCs w:val="20"/>
        </w:rPr>
        <w:fldChar w:fldCharType="end"/>
      </w:r>
      <w:r w:rsidRPr="00215B2F">
        <w:rPr>
          <w:rFonts w:cs="Arial"/>
          <w:b/>
          <w:bCs/>
          <w:sz w:val="20"/>
          <w:szCs w:val="20"/>
        </w:rPr>
        <w:t>. členu</w:t>
      </w:r>
    </w:p>
    <w:p w14:paraId="44E4A65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2CDA375"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Če odgovorna oseba pravne osebe stori več prekrškov, ki pomenijo enotno dejavnost ali ravnanje, ji Banka Slovenije izreče eno sankcijo, število prekrškov pa upošteva kot oteževalno okoliščino pri izbiri in odmeri sankcije.</w:t>
      </w:r>
    </w:p>
    <w:p w14:paraId="76048928"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70EB294"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_Ref202968875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504</w:t>
      </w:r>
      <w:r w:rsidRPr="00215B2F">
        <w:rPr>
          <w:rFonts w:cs="Arial"/>
          <w:b/>
          <w:bCs/>
          <w:sz w:val="20"/>
          <w:szCs w:val="20"/>
        </w:rPr>
        <w:fldChar w:fldCharType="end"/>
      </w:r>
      <w:r w:rsidRPr="00215B2F">
        <w:rPr>
          <w:rFonts w:cs="Arial"/>
          <w:b/>
          <w:bCs/>
          <w:sz w:val="20"/>
          <w:szCs w:val="20"/>
        </w:rPr>
        <w:t>. členu</w:t>
      </w:r>
    </w:p>
    <w:p w14:paraId="79E592B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773B0E42"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Banka Slovenije nima dolžnosti začeti postopka o prekršku zoper odgovorno osebo, če kršitev ni pomembno vplivala na varno in skrbno upravljanje pravne osebe, niso nastale škodljive posledice ali je bila škoda poravnana, odgovorna oseba pa je sprejela vse potrebne ukrepe za odpravo kršitve in glede na okoliščine primera sankcija ne bi bila upravičena.</w:t>
      </w:r>
    </w:p>
    <w:p w14:paraId="2F9F03C5"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26077E8"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_Ref202968882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505</w:t>
      </w:r>
      <w:r w:rsidRPr="00215B2F">
        <w:rPr>
          <w:rFonts w:ascii="Arial" w:hAnsi="Arial" w:cs="Arial"/>
          <w:b/>
          <w:bCs/>
          <w:sz w:val="20"/>
          <w:szCs w:val="20"/>
        </w:rPr>
        <w:fldChar w:fldCharType="end"/>
      </w:r>
      <w:r w:rsidRPr="00215B2F">
        <w:rPr>
          <w:rFonts w:ascii="Arial" w:hAnsi="Arial" w:cs="Arial"/>
          <w:b/>
          <w:bCs/>
          <w:sz w:val="20"/>
          <w:szCs w:val="20"/>
        </w:rPr>
        <w:t>. členu (veljavni 403. člen ZBan-3)</w:t>
      </w:r>
    </w:p>
    <w:p w14:paraId="49E4C2DE"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68149258"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 xml:space="preserve">Člen določa, da je prekrškovni organ, ki odloča o prekrških, storjenih po tem zakonu, in izreka globe po tem zakonu, v skladu z zakonom, ki ureja prekrške, Banka Slovenije. </w:t>
      </w:r>
    </w:p>
    <w:p w14:paraId="783F26B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29BC1D48" w14:textId="77777777" w:rsidR="0010347E" w:rsidRPr="00215B2F" w:rsidRDefault="0010347E" w:rsidP="0010347E">
      <w:pPr>
        <w:pStyle w:val="Odstavek"/>
        <w:shd w:val="clear" w:color="auto" w:fill="FFFFFF" w:themeFill="background1"/>
        <w:spacing w:before="0"/>
        <w:ind w:firstLine="0"/>
        <w:rPr>
          <w:rFonts w:cs="Arial"/>
          <w:sz w:val="20"/>
          <w:szCs w:val="20"/>
        </w:rPr>
      </w:pPr>
      <w:r w:rsidRPr="00215B2F">
        <w:rPr>
          <w:rFonts w:cs="Arial"/>
          <w:sz w:val="20"/>
          <w:szCs w:val="20"/>
        </w:rPr>
        <w:t>Ne glede na navedeno zakon v izjemah določa za prekrškovni organ agencijo, pristojno za finančne trge.</w:t>
      </w:r>
    </w:p>
    <w:p w14:paraId="30BC2A0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DA4097B"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_Ref202968890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506</w:t>
      </w:r>
      <w:r w:rsidRPr="00215B2F">
        <w:rPr>
          <w:rFonts w:ascii="Arial" w:hAnsi="Arial" w:cs="Arial"/>
          <w:b/>
          <w:bCs/>
          <w:sz w:val="20"/>
          <w:szCs w:val="20"/>
        </w:rPr>
        <w:fldChar w:fldCharType="end"/>
      </w:r>
      <w:r w:rsidRPr="00215B2F">
        <w:rPr>
          <w:rFonts w:ascii="Arial" w:hAnsi="Arial" w:cs="Arial"/>
          <w:b/>
          <w:bCs/>
          <w:sz w:val="20"/>
          <w:szCs w:val="20"/>
        </w:rPr>
        <w:t>. členu (veljavni 404. člen ZBan-3)</w:t>
      </w:r>
    </w:p>
    <w:p w14:paraId="590C9876" w14:textId="77777777" w:rsidR="0010347E" w:rsidRPr="00215B2F" w:rsidRDefault="0010347E" w:rsidP="0010347E">
      <w:pPr>
        <w:pStyle w:val="tevilnatoka"/>
        <w:numPr>
          <w:ilvl w:val="0"/>
          <w:numId w:val="0"/>
        </w:numPr>
        <w:shd w:val="clear" w:color="auto" w:fill="FFFFFF" w:themeFill="background1"/>
        <w:rPr>
          <w:rFonts w:cs="Arial"/>
          <w:b/>
          <w:sz w:val="20"/>
          <w:szCs w:val="20"/>
        </w:rPr>
      </w:pPr>
    </w:p>
    <w:p w14:paraId="5341CC78" w14:textId="77777777"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(404. člen) ni vsebinskih sprememb.</w:t>
      </w:r>
      <w:r w:rsidRPr="00215B2F">
        <w:rPr>
          <w:rFonts w:ascii="Arial" w:hAnsi="Arial" w:cs="Arial"/>
          <w:b/>
          <w:sz w:val="20"/>
          <w:szCs w:val="20"/>
        </w:rPr>
        <w:t xml:space="preserve"> </w:t>
      </w:r>
      <w:r w:rsidRPr="00215B2F">
        <w:rPr>
          <w:rFonts w:ascii="Arial" w:hAnsi="Arial" w:cs="Arial"/>
          <w:sz w:val="20"/>
          <w:szCs w:val="20"/>
        </w:rPr>
        <w:t>Predlog člena določa nekatera posebna postopkovna pravila, ki odražajo posebnosti prekrškov, predpisanih s tem zakonom.</w:t>
      </w:r>
    </w:p>
    <w:p w14:paraId="1E4DFD20"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0F46CD3"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_Ref202968900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507</w:t>
      </w:r>
      <w:r w:rsidRPr="00215B2F">
        <w:rPr>
          <w:rFonts w:ascii="Arial" w:hAnsi="Arial" w:cs="Arial"/>
          <w:b/>
          <w:bCs/>
          <w:sz w:val="20"/>
          <w:szCs w:val="20"/>
        </w:rPr>
        <w:fldChar w:fldCharType="end"/>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_Ref202968900 \r \h  \* MERGEFORMAT </w:instrText>
      </w:r>
      <w:r w:rsidRPr="00215B2F">
        <w:rPr>
          <w:rFonts w:ascii="Arial" w:hAnsi="Arial" w:cs="Arial"/>
          <w:b/>
          <w:bCs/>
          <w:sz w:val="20"/>
          <w:szCs w:val="20"/>
        </w:rPr>
      </w:r>
      <w:r w:rsidR="003C532F">
        <w:rPr>
          <w:rFonts w:ascii="Arial" w:hAnsi="Arial" w:cs="Arial"/>
          <w:b/>
          <w:bCs/>
          <w:sz w:val="20"/>
          <w:szCs w:val="20"/>
        </w:rPr>
        <w:fldChar w:fldCharType="separate"/>
      </w:r>
      <w:r w:rsidR="0042445E">
        <w:rPr>
          <w:rFonts w:ascii="Arial" w:hAnsi="Arial" w:cs="Arial"/>
          <w:b/>
          <w:bCs/>
          <w:sz w:val="20"/>
          <w:szCs w:val="20"/>
        </w:rPr>
        <w:t>507</w:t>
      </w:r>
      <w:r w:rsidRPr="00215B2F">
        <w:rPr>
          <w:rFonts w:ascii="Arial" w:hAnsi="Arial" w:cs="Arial"/>
          <w:b/>
          <w:bCs/>
          <w:sz w:val="20"/>
          <w:szCs w:val="20"/>
        </w:rPr>
        <w:fldChar w:fldCharType="end"/>
      </w:r>
      <w:r w:rsidRPr="00215B2F">
        <w:rPr>
          <w:rFonts w:ascii="Arial" w:hAnsi="Arial" w:cs="Arial"/>
          <w:b/>
          <w:bCs/>
          <w:sz w:val="20"/>
          <w:szCs w:val="20"/>
        </w:rPr>
        <w:t>. členu (veljavni 405. člen ZBan-3)</w:t>
      </w:r>
    </w:p>
    <w:p w14:paraId="2BFF96F9"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74F8A67" w14:textId="10C7B4EE" w:rsidR="0010347E" w:rsidRPr="00215B2F" w:rsidRDefault="0010347E" w:rsidP="0010347E">
      <w:pPr>
        <w:shd w:val="clear" w:color="auto" w:fill="FFFFFF" w:themeFill="background1"/>
        <w:spacing w:after="0" w:line="240" w:lineRule="auto"/>
        <w:jc w:val="both"/>
        <w:rPr>
          <w:rFonts w:ascii="Arial" w:hAnsi="Arial" w:cs="Arial"/>
          <w:b/>
          <w:sz w:val="20"/>
          <w:szCs w:val="20"/>
        </w:rPr>
      </w:pPr>
      <w:r w:rsidRPr="00215B2F">
        <w:rPr>
          <w:rFonts w:ascii="Arial" w:hAnsi="Arial" w:cs="Arial"/>
          <w:sz w:val="20"/>
          <w:szCs w:val="20"/>
        </w:rPr>
        <w:t>V primerjavi z ZBan-3 (405. člen) ni vsebinskih sprememb.</w:t>
      </w:r>
      <w:r w:rsidRPr="00215B2F">
        <w:rPr>
          <w:rFonts w:ascii="Arial" w:hAnsi="Arial" w:cs="Arial"/>
          <w:b/>
          <w:sz w:val="20"/>
          <w:szCs w:val="20"/>
        </w:rPr>
        <w:t xml:space="preserve"> </w:t>
      </w:r>
      <w:r w:rsidRPr="00215B2F">
        <w:rPr>
          <w:rFonts w:ascii="Arial" w:hAnsi="Arial" w:cs="Arial"/>
          <w:sz w:val="20"/>
          <w:szCs w:val="20"/>
        </w:rPr>
        <w:t>Predlog člena določa, da se za prekrške iz tega zakona sme v hitrem postopku izreči globa tudi v znesku, ki je višji od najnižje predpisane globe, določene s tem zakonom.</w:t>
      </w:r>
    </w:p>
    <w:p w14:paraId="117D50E3"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F94C22D" w14:textId="77777777" w:rsidR="0010347E" w:rsidRPr="00215B2F" w:rsidRDefault="0010347E" w:rsidP="0010347E">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_Ref202968906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508</w:t>
      </w:r>
      <w:r w:rsidRPr="00215B2F">
        <w:rPr>
          <w:rFonts w:ascii="Arial" w:hAnsi="Arial" w:cs="Arial"/>
          <w:b/>
          <w:bCs/>
          <w:sz w:val="20"/>
          <w:szCs w:val="20"/>
        </w:rPr>
        <w:fldChar w:fldCharType="end"/>
      </w:r>
      <w:r w:rsidRPr="00215B2F">
        <w:rPr>
          <w:rFonts w:ascii="Arial" w:hAnsi="Arial" w:cs="Arial"/>
          <w:b/>
          <w:bCs/>
          <w:sz w:val="20"/>
          <w:szCs w:val="20"/>
        </w:rPr>
        <w:t>. členu (veljavni 406. člen ZBan-3)</w:t>
      </w:r>
    </w:p>
    <w:p w14:paraId="58E9E42E" w14:textId="77777777" w:rsidR="0010347E" w:rsidRPr="00215B2F" w:rsidRDefault="0010347E" w:rsidP="0010347E">
      <w:pPr>
        <w:pStyle w:val="Odstavek"/>
        <w:shd w:val="clear" w:color="auto" w:fill="FFFFFF" w:themeFill="background1"/>
        <w:spacing w:before="0"/>
        <w:ind w:firstLine="0"/>
        <w:rPr>
          <w:rFonts w:cs="Arial"/>
          <w:b/>
          <w:bCs/>
          <w:sz w:val="20"/>
          <w:szCs w:val="20"/>
        </w:rPr>
      </w:pPr>
    </w:p>
    <w:p w14:paraId="1FE39C85" w14:textId="7777777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sz w:val="20"/>
          <w:szCs w:val="20"/>
        </w:rPr>
        <w:t xml:space="preserve">V primerjavi z ZBan-3 (406. člen) ni vsebinskih sprememb. Prvi odstavek ZBan-3 (406. člen) opredeljuje uporabo določb o prekrških. Z drugim odstavkom se določa, da postopek o prekršku po tem zakonu ni dopusten, če preteče tri leta od dneva, ko je bil prekršek storjen. </w:t>
      </w:r>
    </w:p>
    <w:p w14:paraId="79F84BB1" w14:textId="77777777" w:rsidR="0010347E" w:rsidRPr="00215B2F" w:rsidRDefault="0010347E" w:rsidP="0010347E">
      <w:pPr>
        <w:pStyle w:val="Poglavje"/>
        <w:shd w:val="clear" w:color="auto" w:fill="FFFFFF" w:themeFill="background1"/>
        <w:spacing w:before="0"/>
        <w:jc w:val="both"/>
        <w:rPr>
          <w:sz w:val="20"/>
          <w:szCs w:val="20"/>
        </w:rPr>
      </w:pPr>
    </w:p>
    <w:p w14:paraId="457CBA0A" w14:textId="77777777" w:rsidR="0010347E" w:rsidRPr="00215B2F" w:rsidRDefault="0010347E" w:rsidP="0010347E">
      <w:pPr>
        <w:pStyle w:val="Poglavje"/>
        <w:shd w:val="clear" w:color="auto" w:fill="FFFFFF" w:themeFill="background1"/>
        <w:spacing w:before="0"/>
        <w:jc w:val="both"/>
        <w:rPr>
          <w:sz w:val="20"/>
          <w:szCs w:val="20"/>
        </w:rPr>
      </w:pPr>
      <w:r w:rsidRPr="00215B2F">
        <w:rPr>
          <w:sz w:val="20"/>
          <w:szCs w:val="20"/>
        </w:rPr>
        <w:t xml:space="preserve">Drugi odstavek določa izjemo od sistemske ureditve zastaranja iz 42. člena Zakona o prekrških (v nadaljnjem besedilu: ZP-1). V tej zvezi velja dodatno opozoriti, da ZP-1 od sistemske ureditve zastaranja že odstopa za vse (ne samo najhujše) prekrške s področja davkov, trošarin in carin ter javnega naročanja. Daljši zastaralni rok izhaja iz kompleksnosti dejanskega stanja in postopkov o prekršku na področju bančništva, ki jih glede na izkušnje v praksi ob upoštevanju vseh razpoložljivih pravnih sredstev ni mogoče zaključiti v okviru absolutnega zastaralnega roka. Posledično prekrški na sodiščih zastarajo, s tem pa je možnost sankcioniranja neučinkovita, kar je tudi v nasprotju z zahtevami Direktive 2013/36/EU. </w:t>
      </w:r>
    </w:p>
    <w:p w14:paraId="5CF9EB78" w14:textId="77777777" w:rsidR="0010347E" w:rsidRPr="00215B2F" w:rsidRDefault="0010347E" w:rsidP="0010347E">
      <w:pPr>
        <w:pStyle w:val="Poglavje"/>
        <w:shd w:val="clear" w:color="auto" w:fill="FFFFFF" w:themeFill="background1"/>
        <w:spacing w:before="0"/>
        <w:jc w:val="both"/>
        <w:rPr>
          <w:sz w:val="20"/>
          <w:szCs w:val="20"/>
        </w:rPr>
      </w:pPr>
    </w:p>
    <w:p w14:paraId="7ACB52A0" w14:textId="77777777" w:rsidR="0010347E" w:rsidRPr="00215B2F" w:rsidRDefault="0010347E" w:rsidP="0010347E">
      <w:pPr>
        <w:pStyle w:val="Poglavje"/>
        <w:shd w:val="clear" w:color="auto" w:fill="FFFFFF" w:themeFill="background1"/>
        <w:spacing w:before="0"/>
        <w:rPr>
          <w:sz w:val="20"/>
          <w:szCs w:val="20"/>
        </w:rPr>
      </w:pPr>
      <w:r w:rsidRPr="00215B2F">
        <w:rPr>
          <w:sz w:val="20"/>
          <w:szCs w:val="20"/>
        </w:rPr>
        <w:t>* * *</w:t>
      </w:r>
    </w:p>
    <w:p w14:paraId="652DC3E0" w14:textId="77777777" w:rsidR="0010347E" w:rsidRPr="00215B2F" w:rsidRDefault="0010347E" w:rsidP="0010347E">
      <w:pPr>
        <w:pStyle w:val="Poglavje"/>
        <w:shd w:val="clear" w:color="auto" w:fill="FFFFFF" w:themeFill="background1"/>
        <w:spacing w:before="0"/>
        <w:jc w:val="both"/>
        <w:rPr>
          <w:sz w:val="20"/>
          <w:szCs w:val="20"/>
        </w:rPr>
      </w:pPr>
    </w:p>
    <w:p w14:paraId="27C05D0A"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Pri presoji, zakaj je podaljšanje zastaralnega roka utemeljeno, je najprej treba izhajati iz narave in obsega prekrškov, na katere se sprememba nanaša. Primarni naslovniki in možni kršitelji po ZBan-3 so banke in hranilnice. ZBan-3 sicer predvideva tudi možnost sankcioniranja drugih subjektov – npr. imetnikov kvalificiranih deležev. Število prekrškov na tem področju je tako v primerjavi s prometnimi prekrški, prekrški na področju varstva osebnih podatkov ali javnih naročil, nizko, posledično pa tudi podatek o zastaranju štirih prekrškovnih zadev ni zanemarljiv. </w:t>
      </w:r>
    </w:p>
    <w:p w14:paraId="19BE1B5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D2C39E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nadaljevanju je navedeno osem razlogov, ki vplivajo na potek in dolgotrajnost postopkov o prekršku (tako pred prekrškovnim organom kot na sodišču) in skupaj upravičujejo daljši zastaralni rok.</w:t>
      </w:r>
    </w:p>
    <w:p w14:paraId="14B6A74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E3BACB3" w14:textId="77777777" w:rsidR="0010347E" w:rsidRPr="00215B2F" w:rsidRDefault="0010347E" w:rsidP="0010347E">
      <w:pPr>
        <w:pStyle w:val="Odstavekseznama"/>
        <w:numPr>
          <w:ilvl w:val="0"/>
          <w:numId w:val="24"/>
        </w:numPr>
        <w:shd w:val="clear" w:color="auto" w:fill="FFFFFF" w:themeFill="background1"/>
        <w:spacing w:after="0" w:line="240" w:lineRule="auto"/>
        <w:jc w:val="both"/>
        <w:rPr>
          <w:rFonts w:ascii="Arial" w:hAnsi="Arial" w:cs="Arial"/>
          <w:sz w:val="20"/>
          <w:szCs w:val="20"/>
        </w:rPr>
      </w:pPr>
      <w:r w:rsidRPr="00215B2F">
        <w:rPr>
          <w:rFonts w:ascii="Arial" w:hAnsi="Arial" w:cs="Arial"/>
          <w:b/>
          <w:bCs/>
          <w:sz w:val="20"/>
          <w:szCs w:val="20"/>
        </w:rPr>
        <w:t>Narava kršitev</w:t>
      </w:r>
      <w:r w:rsidRPr="00215B2F">
        <w:rPr>
          <w:rFonts w:ascii="Arial" w:hAnsi="Arial" w:cs="Arial"/>
          <w:sz w:val="20"/>
          <w:szCs w:val="20"/>
        </w:rPr>
        <w:t xml:space="preserve">. ZBan-3 določa stroge zahteve glede statusnega ustroja, upravljanja in delovanja bank, ki so kompleksne in večkrat konkretizirane s povezovanjem različnih členov ter podzakonskih </w:t>
      </w:r>
      <w:r w:rsidRPr="00215B2F">
        <w:rPr>
          <w:rFonts w:ascii="Arial" w:hAnsi="Arial" w:cs="Arial"/>
          <w:sz w:val="20"/>
          <w:szCs w:val="20"/>
        </w:rPr>
        <w:lastRenderedPageBreak/>
        <w:t>aktov. Kršitve tako največkrat izhajajo iz ugotovitev pregledov poslovanja, ki lahko trajajo tudi po več mesecev in zahtevajo temeljit pregled obsežne dokumentacije in delovanja sistemov banke, pri čemer jih po naravi stvari ni mogoče ugotoviti takoj, ko se zgodijo.</w:t>
      </w:r>
    </w:p>
    <w:p w14:paraId="125D366E"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CFDE6EA" w14:textId="77777777" w:rsidR="0010347E" w:rsidRPr="00215B2F" w:rsidRDefault="0010347E" w:rsidP="0010347E">
      <w:pPr>
        <w:pStyle w:val="Odstavekseznama"/>
        <w:numPr>
          <w:ilvl w:val="0"/>
          <w:numId w:val="24"/>
        </w:numPr>
        <w:shd w:val="clear" w:color="auto" w:fill="FFFFFF" w:themeFill="background1"/>
        <w:spacing w:after="0" w:line="240" w:lineRule="auto"/>
        <w:jc w:val="both"/>
        <w:rPr>
          <w:rFonts w:ascii="Arial" w:hAnsi="Arial" w:cs="Arial"/>
          <w:sz w:val="20"/>
          <w:szCs w:val="20"/>
        </w:rPr>
      </w:pPr>
      <w:r w:rsidRPr="00215B2F">
        <w:rPr>
          <w:rFonts w:ascii="Arial" w:hAnsi="Arial" w:cs="Arial"/>
          <w:b/>
          <w:bCs/>
          <w:sz w:val="20"/>
          <w:szCs w:val="20"/>
        </w:rPr>
        <w:t>Ugotavljanje odgovornih oseb</w:t>
      </w:r>
      <w:r w:rsidRPr="00215B2F">
        <w:rPr>
          <w:rFonts w:ascii="Arial" w:hAnsi="Arial" w:cs="Arial"/>
          <w:sz w:val="20"/>
          <w:szCs w:val="20"/>
        </w:rPr>
        <w:t>. Banke in hranilnice morajo imeti v skladu z zahtevami ZBan-3 vzpostavljeno jasno organizacijsko strukturo in notranje kontrole, kar v praksi večkrat pomeni soodgovornost oziroma sostorilstvo več odgovornih oseb, kar dodatno podaljša izvedbo postopka, tako v smislu ugotavljanja vseh odgovornih oseb, ki so h kršitvi odločilno prispevale, kot tudi zapletenosti postopka, vključno z vročanjem več strankam postopka.</w:t>
      </w:r>
    </w:p>
    <w:p w14:paraId="53906763"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65DB2CA3" w14:textId="77777777" w:rsidR="0010347E" w:rsidRPr="00215B2F" w:rsidRDefault="0010347E" w:rsidP="0010347E">
      <w:pPr>
        <w:pStyle w:val="Odstavekseznama"/>
        <w:numPr>
          <w:ilvl w:val="0"/>
          <w:numId w:val="24"/>
        </w:numPr>
        <w:shd w:val="clear" w:color="auto" w:fill="FFFFFF" w:themeFill="background1"/>
        <w:spacing w:after="0" w:line="240" w:lineRule="auto"/>
        <w:jc w:val="both"/>
        <w:rPr>
          <w:rFonts w:ascii="Arial" w:hAnsi="Arial" w:cs="Arial"/>
          <w:sz w:val="20"/>
          <w:szCs w:val="20"/>
        </w:rPr>
      </w:pPr>
      <w:r w:rsidRPr="00215B2F">
        <w:rPr>
          <w:rFonts w:ascii="Arial" w:hAnsi="Arial" w:cs="Arial"/>
          <w:b/>
          <w:bCs/>
          <w:sz w:val="20"/>
          <w:szCs w:val="20"/>
        </w:rPr>
        <w:t>Slovenija je del enotnega mehanizma nadzora</w:t>
      </w:r>
      <w:r w:rsidRPr="00215B2F">
        <w:rPr>
          <w:rFonts w:ascii="Arial" w:hAnsi="Arial" w:cs="Arial"/>
          <w:sz w:val="20"/>
          <w:szCs w:val="20"/>
        </w:rPr>
        <w:t>, zato je tudi v postopkih o prekrških treba upoštevati nekatere posebnosti, ki jih v skladu z Uredbo 1024/2013/EU prinaša razmejitev pristojnosti med Banko Slovenije in Evropsko centralno banko (ECB); na področju upravnih kazni oziroma prekrškov sta relevantna zlasti peti odstavek 18. člena Uredbe 1023/2013/EU in 134. člen Uredbe 468/2014/EU, ki v primeru tako imenovanih pomembnih nadzorovanih subjektov kot procesno predpostavko zahtevata pridobitev zahteve ECB, naj Banka Slovenije kot pristojni nacionalni organ sproži postopek za naložitev upravnih kazni/prekrškov; v praksi lahko že izdaja odločitve ECB traja nekaj mesecev.</w:t>
      </w:r>
    </w:p>
    <w:p w14:paraId="244C43B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1CCF2099" w14:textId="77777777" w:rsidR="0010347E" w:rsidRPr="00215B2F" w:rsidRDefault="0010347E" w:rsidP="0010347E">
      <w:pPr>
        <w:pStyle w:val="Odstavekseznama"/>
        <w:numPr>
          <w:ilvl w:val="0"/>
          <w:numId w:val="24"/>
        </w:numPr>
        <w:shd w:val="clear" w:color="auto" w:fill="FFFFFF" w:themeFill="background1"/>
        <w:spacing w:after="0" w:line="240" w:lineRule="auto"/>
        <w:jc w:val="both"/>
        <w:rPr>
          <w:rFonts w:ascii="Arial" w:hAnsi="Arial" w:cs="Arial"/>
          <w:sz w:val="20"/>
          <w:szCs w:val="20"/>
        </w:rPr>
      </w:pPr>
      <w:r w:rsidRPr="00215B2F">
        <w:rPr>
          <w:rFonts w:ascii="Arial" w:hAnsi="Arial" w:cs="Arial"/>
          <w:b/>
          <w:bCs/>
          <w:sz w:val="20"/>
          <w:szCs w:val="20"/>
        </w:rPr>
        <w:t>Kompleksnost narave kršitev in zahtevnost postopkov</w:t>
      </w:r>
      <w:r w:rsidRPr="00215B2F">
        <w:rPr>
          <w:rFonts w:ascii="Arial" w:hAnsi="Arial" w:cs="Arial"/>
          <w:sz w:val="20"/>
          <w:szCs w:val="20"/>
        </w:rPr>
        <w:t xml:space="preserve"> ugotavljanja kršitev je prepoznal tudi zakonodajalec EU – relativni zastaralni rok za naložitev upravnih kazni, za katere je pristojna ECB, je v skladu s 130. členom Uredbe 468/2014/EU pet let (absolutni 10 let).</w:t>
      </w:r>
    </w:p>
    <w:p w14:paraId="512241E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A464CB3" w14:textId="77777777" w:rsidR="0010347E" w:rsidRPr="00215B2F" w:rsidRDefault="0010347E" w:rsidP="0010347E">
      <w:pPr>
        <w:pStyle w:val="Odstavekseznama"/>
        <w:numPr>
          <w:ilvl w:val="0"/>
          <w:numId w:val="24"/>
        </w:numPr>
        <w:shd w:val="clear" w:color="auto" w:fill="FFFFFF" w:themeFill="background1"/>
        <w:spacing w:after="0" w:line="240" w:lineRule="auto"/>
        <w:jc w:val="both"/>
        <w:rPr>
          <w:rFonts w:ascii="Arial" w:hAnsi="Arial" w:cs="Arial"/>
          <w:sz w:val="20"/>
          <w:szCs w:val="20"/>
        </w:rPr>
      </w:pPr>
      <w:r w:rsidRPr="00215B2F">
        <w:rPr>
          <w:rFonts w:ascii="Arial" w:hAnsi="Arial" w:cs="Arial"/>
          <w:b/>
          <w:bCs/>
          <w:sz w:val="20"/>
          <w:szCs w:val="20"/>
        </w:rPr>
        <w:t>Dolgotrajnost odločanja sodišč prve stopnje</w:t>
      </w:r>
      <w:r w:rsidRPr="00215B2F">
        <w:rPr>
          <w:rFonts w:ascii="Arial" w:hAnsi="Arial" w:cs="Arial"/>
          <w:sz w:val="20"/>
          <w:szCs w:val="20"/>
        </w:rPr>
        <w:t>. Kompleksnost na eni strani in redkost prekrškov s področja bančništva na drugi strani po naravi stvari zahtevata daljši čas obravnave (tudi po več kot eno leto) na sodišču prve stopnje, saj se sodniki s takšnimi primeri redko srečujejo.</w:t>
      </w:r>
    </w:p>
    <w:p w14:paraId="65F94172"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2650AB20" w14:textId="77777777" w:rsidR="0010347E" w:rsidRPr="00215B2F" w:rsidRDefault="0010347E" w:rsidP="0010347E">
      <w:pPr>
        <w:pStyle w:val="Odstavekseznama"/>
        <w:numPr>
          <w:ilvl w:val="0"/>
          <w:numId w:val="24"/>
        </w:numPr>
        <w:shd w:val="clear" w:color="auto" w:fill="FFFFFF" w:themeFill="background1"/>
        <w:spacing w:after="0" w:line="240" w:lineRule="auto"/>
        <w:jc w:val="both"/>
        <w:rPr>
          <w:rFonts w:ascii="Arial" w:hAnsi="Arial" w:cs="Arial"/>
          <w:sz w:val="20"/>
          <w:szCs w:val="20"/>
        </w:rPr>
      </w:pPr>
      <w:r w:rsidRPr="00215B2F">
        <w:rPr>
          <w:rFonts w:ascii="Arial" w:hAnsi="Arial" w:cs="Arial"/>
          <w:b/>
          <w:bCs/>
          <w:sz w:val="20"/>
          <w:szCs w:val="20"/>
        </w:rPr>
        <w:t>Postopek nadalje podaljšuje obveznost izvedbe zaslišanj na sodišču</w:t>
      </w:r>
      <w:r w:rsidRPr="00215B2F">
        <w:rPr>
          <w:rFonts w:ascii="Arial" w:hAnsi="Arial" w:cs="Arial"/>
          <w:sz w:val="20"/>
          <w:szCs w:val="20"/>
        </w:rPr>
        <w:t>, tudi v primerih, ko dejansko stanje ni sporno in se zahteva za sodno varstvo nanaša zgolj na pravno naziranje in subsumpcijo pravilno in popolno ugotovljenega dejanskega stanja pod pravno normo.</w:t>
      </w:r>
    </w:p>
    <w:p w14:paraId="7FC1B600"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457013DD" w14:textId="77777777" w:rsidR="0010347E" w:rsidRPr="00215B2F" w:rsidRDefault="0010347E" w:rsidP="0010347E">
      <w:pPr>
        <w:pStyle w:val="Odstavekseznama"/>
        <w:numPr>
          <w:ilvl w:val="0"/>
          <w:numId w:val="24"/>
        </w:numPr>
        <w:shd w:val="clear" w:color="auto" w:fill="FFFFFF" w:themeFill="background1"/>
        <w:spacing w:after="0" w:line="240" w:lineRule="auto"/>
        <w:jc w:val="both"/>
        <w:rPr>
          <w:rFonts w:ascii="Arial" w:hAnsi="Arial" w:cs="Arial"/>
          <w:sz w:val="20"/>
          <w:szCs w:val="20"/>
        </w:rPr>
      </w:pPr>
      <w:r w:rsidRPr="00215B2F">
        <w:rPr>
          <w:rFonts w:ascii="Arial" w:hAnsi="Arial" w:cs="Arial"/>
          <w:b/>
          <w:bCs/>
          <w:sz w:val="20"/>
          <w:szCs w:val="20"/>
        </w:rPr>
        <w:t>Tristopenjsko odločanje</w:t>
      </w:r>
      <w:r w:rsidRPr="00215B2F">
        <w:rPr>
          <w:rFonts w:ascii="Arial" w:hAnsi="Arial" w:cs="Arial"/>
          <w:sz w:val="20"/>
          <w:szCs w:val="20"/>
        </w:rPr>
        <w:t>. Po odločitvi prekrškovnega organa in zahtevi za sodno varstvo lahko kršitelji vložijo še pritožbo na višje sodišče.</w:t>
      </w:r>
    </w:p>
    <w:p w14:paraId="77B6D47B"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p>
    <w:p w14:paraId="3C0272A9" w14:textId="77777777" w:rsidR="0010347E" w:rsidRPr="00215B2F" w:rsidRDefault="0010347E" w:rsidP="0010347E">
      <w:pPr>
        <w:pStyle w:val="Odstavekseznama"/>
        <w:numPr>
          <w:ilvl w:val="0"/>
          <w:numId w:val="24"/>
        </w:numPr>
        <w:shd w:val="clear" w:color="auto" w:fill="FFFFFF" w:themeFill="background1"/>
        <w:spacing w:after="0" w:line="240" w:lineRule="auto"/>
        <w:jc w:val="both"/>
        <w:rPr>
          <w:rFonts w:ascii="Arial" w:hAnsi="Arial" w:cs="Arial"/>
          <w:sz w:val="20"/>
          <w:szCs w:val="20"/>
        </w:rPr>
      </w:pPr>
      <w:r w:rsidRPr="00215B2F">
        <w:rPr>
          <w:rFonts w:ascii="Arial" w:hAnsi="Arial" w:cs="Arial"/>
          <w:b/>
          <w:bCs/>
          <w:sz w:val="20"/>
          <w:szCs w:val="20"/>
        </w:rPr>
        <w:t>Neučinkovit postopek vročanja odločitev in vlaganja pravnih sredstev</w:t>
      </w:r>
      <w:r w:rsidRPr="00215B2F">
        <w:rPr>
          <w:rFonts w:ascii="Arial" w:hAnsi="Arial" w:cs="Arial"/>
          <w:sz w:val="20"/>
          <w:szCs w:val="20"/>
        </w:rPr>
        <w:t xml:space="preserve">. Vročanje in vlaganje vedno poteka po prekrškovnem organu, kar v primeru odločanja višjega sodišča lahko pomeni tudi nekaj tednov, da pritožba zoper sodbo pride od prekrškovnega organa do višjega sodišča, in obratno, ko višje sodišče izda sodbo. </w:t>
      </w:r>
    </w:p>
    <w:p w14:paraId="44F5A086"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39C57424" w14:textId="5CE531D3" w:rsidR="00331072" w:rsidRPr="00215B2F" w:rsidRDefault="00331072" w:rsidP="00331072">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001A101D" w:rsidRPr="00215B2F">
        <w:rPr>
          <w:rFonts w:cs="Arial"/>
          <w:b/>
          <w:bCs/>
          <w:sz w:val="20"/>
          <w:szCs w:val="20"/>
        </w:rPr>
        <w:fldChar w:fldCharType="begin"/>
      </w:r>
      <w:r w:rsidR="001A101D" w:rsidRPr="00215B2F">
        <w:rPr>
          <w:rFonts w:cs="Arial"/>
          <w:b/>
          <w:bCs/>
          <w:sz w:val="20"/>
          <w:szCs w:val="20"/>
        </w:rPr>
        <w:instrText xml:space="preserve"> REF _Ref212194761 \r \h </w:instrText>
      </w:r>
      <w:r w:rsidR="00897D66" w:rsidRPr="00215B2F">
        <w:rPr>
          <w:rFonts w:cs="Arial"/>
          <w:b/>
          <w:bCs/>
          <w:sz w:val="20"/>
          <w:szCs w:val="20"/>
        </w:rPr>
        <w:instrText xml:space="preserve"> \* MERGEFORMAT </w:instrText>
      </w:r>
      <w:r w:rsidR="001A101D" w:rsidRPr="00215B2F">
        <w:rPr>
          <w:rFonts w:cs="Arial"/>
          <w:b/>
          <w:bCs/>
          <w:sz w:val="20"/>
          <w:szCs w:val="20"/>
        </w:rPr>
      </w:r>
      <w:r w:rsidR="001A101D" w:rsidRPr="00215B2F">
        <w:rPr>
          <w:rFonts w:cs="Arial"/>
          <w:b/>
          <w:bCs/>
          <w:sz w:val="20"/>
          <w:szCs w:val="20"/>
        </w:rPr>
        <w:fldChar w:fldCharType="separate"/>
      </w:r>
      <w:r w:rsidR="0042445E">
        <w:rPr>
          <w:rFonts w:cs="Arial"/>
          <w:b/>
          <w:bCs/>
          <w:sz w:val="20"/>
          <w:szCs w:val="20"/>
        </w:rPr>
        <w:t>509</w:t>
      </w:r>
      <w:r w:rsidR="001A101D" w:rsidRPr="00215B2F">
        <w:rPr>
          <w:rFonts w:cs="Arial"/>
          <w:b/>
          <w:bCs/>
          <w:sz w:val="20"/>
          <w:szCs w:val="20"/>
        </w:rPr>
        <w:fldChar w:fldCharType="end"/>
      </w:r>
      <w:r w:rsidRPr="00215B2F">
        <w:rPr>
          <w:rFonts w:cs="Arial"/>
          <w:b/>
          <w:bCs/>
          <w:sz w:val="20"/>
          <w:szCs w:val="20"/>
        </w:rPr>
        <w:t>. členu</w:t>
      </w:r>
      <w:r w:rsidR="006372F6" w:rsidRPr="00215B2F">
        <w:rPr>
          <w:rFonts w:cs="Arial"/>
          <w:b/>
          <w:bCs/>
          <w:sz w:val="20"/>
          <w:szCs w:val="20"/>
        </w:rPr>
        <w:t xml:space="preserve"> </w:t>
      </w:r>
      <w:r w:rsidR="006372F6" w:rsidRPr="00215B2F">
        <w:rPr>
          <w:rFonts w:cs="Arial"/>
          <w:b/>
          <w:bCs/>
          <w:color w:val="212529"/>
          <w:sz w:val="20"/>
          <w:szCs w:val="20"/>
        </w:rPr>
        <w:t>(ohranitev veljavnosti dovoljenj)</w:t>
      </w:r>
    </w:p>
    <w:p w14:paraId="670565C3" w14:textId="77777777" w:rsidR="00331072" w:rsidRPr="00215B2F" w:rsidRDefault="00331072" w:rsidP="00331072">
      <w:pPr>
        <w:pStyle w:val="Odstavek"/>
        <w:shd w:val="clear" w:color="auto" w:fill="FFFFFF" w:themeFill="background1"/>
        <w:spacing w:before="0"/>
        <w:ind w:firstLine="0"/>
        <w:rPr>
          <w:rFonts w:cs="Arial"/>
          <w:sz w:val="20"/>
          <w:szCs w:val="20"/>
        </w:rPr>
      </w:pPr>
    </w:p>
    <w:p w14:paraId="551DDE21" w14:textId="3F305674" w:rsidR="00331072" w:rsidRPr="00215B2F" w:rsidRDefault="00331072" w:rsidP="00331072">
      <w:pPr>
        <w:pStyle w:val="Odstavek"/>
        <w:shd w:val="clear" w:color="auto" w:fill="FFFFFF" w:themeFill="background1"/>
        <w:spacing w:before="0"/>
        <w:ind w:firstLine="0"/>
        <w:rPr>
          <w:rFonts w:cs="Arial"/>
          <w:sz w:val="20"/>
          <w:szCs w:val="20"/>
        </w:rPr>
      </w:pPr>
      <w:r w:rsidRPr="00215B2F">
        <w:rPr>
          <w:rFonts w:cs="Arial"/>
          <w:sz w:val="20"/>
          <w:szCs w:val="20"/>
        </w:rPr>
        <w:t xml:space="preserve">Člen določa prehodno določbe glede ohranitve veljavnosti dovoljenj. Obstoječa dovoljenja in soglasja, izdana na podlagi prejšnjega Zakona o bančništvu (ZBan-3) – vključno z dovoljenji za opravljanje bančnih storitev, funkcije člana uprave, pridobitev kvalificiranega deleža ter drugimi dovoljenji in soglasji – se z dnem uveljavitve novega zakona štejejo kot dovoljenja in soglasja, izdana po tem zakonu ali Uredbi </w:t>
      </w:r>
      <w:r w:rsidR="00D24496" w:rsidRPr="00215B2F">
        <w:rPr>
          <w:rFonts w:cs="Arial"/>
          <w:sz w:val="20"/>
          <w:szCs w:val="20"/>
        </w:rPr>
        <w:t>575/2013/EU</w:t>
      </w:r>
      <w:r w:rsidRPr="00215B2F">
        <w:rPr>
          <w:rFonts w:cs="Arial"/>
          <w:sz w:val="20"/>
          <w:szCs w:val="20"/>
        </w:rPr>
        <w:t>, enako pa velja za odločbe Banke Slovenije glede statusnih značilnosti bank (npr. pomembna, sistemsko pomembna, majhna in nekompleksna banka) ter glede poenostavljenih obveznosti sanacijskih načrtov; če po uveljavitvi zakona niso več izpolnjeni pogoji za ohranitev teh dovoljenj, soglasij ali statusnih odločb, se ta v skladu z določbami novega zakona odvzamejo ali prekličejo.</w:t>
      </w:r>
    </w:p>
    <w:p w14:paraId="6EA0A739" w14:textId="77777777" w:rsidR="00331072" w:rsidRPr="00215B2F" w:rsidRDefault="00331072" w:rsidP="0010347E">
      <w:pPr>
        <w:pStyle w:val="Odstavek"/>
        <w:shd w:val="clear" w:color="auto" w:fill="FFFFFF" w:themeFill="background1"/>
        <w:spacing w:before="0"/>
        <w:ind w:firstLine="0"/>
        <w:rPr>
          <w:rFonts w:cs="Arial"/>
          <w:sz w:val="20"/>
          <w:szCs w:val="20"/>
        </w:rPr>
      </w:pPr>
    </w:p>
    <w:p w14:paraId="7037083F" w14:textId="301E756B" w:rsidR="004B77AB" w:rsidRPr="00215B2F" w:rsidRDefault="004B77AB" w:rsidP="004B77AB">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_Ref202969087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510</w:t>
      </w:r>
      <w:r w:rsidRPr="00215B2F">
        <w:rPr>
          <w:rFonts w:cs="Arial"/>
          <w:b/>
          <w:bCs/>
          <w:sz w:val="20"/>
          <w:szCs w:val="20"/>
        </w:rPr>
        <w:fldChar w:fldCharType="end"/>
      </w:r>
      <w:r w:rsidRPr="00215B2F">
        <w:rPr>
          <w:rFonts w:cs="Arial"/>
          <w:b/>
          <w:bCs/>
          <w:sz w:val="20"/>
          <w:szCs w:val="20"/>
        </w:rPr>
        <w:t xml:space="preserve">. členu </w:t>
      </w:r>
      <w:r w:rsidRPr="00215B2F">
        <w:rPr>
          <w:rFonts w:eastAsia="Arial" w:cs="Arial"/>
          <w:b/>
          <w:bCs/>
          <w:sz w:val="20"/>
          <w:szCs w:val="20"/>
        </w:rPr>
        <w:t>(prehodna določba za pridobivanje podatkov o okoljskih, družbenih in upravljavskih tveganjih)</w:t>
      </w:r>
    </w:p>
    <w:p w14:paraId="0A444D54" w14:textId="77777777" w:rsidR="004B77AB" w:rsidRPr="00215B2F" w:rsidRDefault="004B77AB" w:rsidP="004B77AB">
      <w:pPr>
        <w:pStyle w:val="Odstavek"/>
        <w:shd w:val="clear" w:color="auto" w:fill="FFFFFF" w:themeFill="background1"/>
        <w:spacing w:before="0"/>
        <w:ind w:firstLine="0"/>
        <w:rPr>
          <w:rFonts w:cs="Arial"/>
          <w:sz w:val="20"/>
          <w:szCs w:val="20"/>
        </w:rPr>
      </w:pPr>
    </w:p>
    <w:p w14:paraId="79574D7A" w14:textId="77777777" w:rsidR="004B77AB" w:rsidRPr="00215B2F" w:rsidRDefault="004B77AB" w:rsidP="004B77AB">
      <w:pPr>
        <w:pStyle w:val="Odstavek"/>
        <w:shd w:val="clear" w:color="auto" w:fill="FFFFFF" w:themeFill="background1"/>
        <w:spacing w:before="0"/>
        <w:ind w:firstLine="0"/>
        <w:rPr>
          <w:rFonts w:cs="Arial"/>
          <w:sz w:val="20"/>
          <w:szCs w:val="20"/>
        </w:rPr>
      </w:pPr>
      <w:r w:rsidRPr="00215B2F">
        <w:rPr>
          <w:rFonts w:cs="Arial"/>
          <w:sz w:val="20"/>
          <w:szCs w:val="20"/>
        </w:rPr>
        <w:t xml:space="preserve">S členom se določa </w:t>
      </w:r>
      <w:r w:rsidRPr="00215B2F">
        <w:rPr>
          <w:rFonts w:eastAsia="Arial" w:cs="Arial"/>
          <w:sz w:val="20"/>
          <w:szCs w:val="20"/>
        </w:rPr>
        <w:t>prehodna določba za pridobivanje podatkov o okoljskih, družbenih in upravljavskih tveganjih. Četrti in peti odstavek glede prevzemanja kreditnega tveganja se začneta uporabljati, potem ko Banka Slovenije vzpostavi možnost izmenjave informacij o okoljskih, družbenih in upravljavskih tveganjih poslovnih subjektov v sistemu izmenjave informacij o zadolženosti poslovnih subjektov.</w:t>
      </w:r>
    </w:p>
    <w:p w14:paraId="2972451D" w14:textId="77777777" w:rsidR="004B77AB" w:rsidRPr="00215B2F" w:rsidRDefault="004B77AB" w:rsidP="0010347E">
      <w:pPr>
        <w:pStyle w:val="Odstavek"/>
        <w:shd w:val="clear" w:color="auto" w:fill="FFFFFF" w:themeFill="background1"/>
        <w:spacing w:before="0"/>
        <w:ind w:firstLine="0"/>
        <w:rPr>
          <w:rFonts w:cs="Arial"/>
          <w:sz w:val="20"/>
          <w:szCs w:val="20"/>
        </w:rPr>
      </w:pPr>
    </w:p>
    <w:p w14:paraId="1E1C1A6F" w14:textId="49FF1702"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_Ref202969083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511</w:t>
      </w:r>
      <w:r w:rsidRPr="00215B2F">
        <w:rPr>
          <w:rFonts w:cs="Arial"/>
          <w:b/>
          <w:bCs/>
          <w:sz w:val="20"/>
          <w:szCs w:val="20"/>
        </w:rPr>
        <w:fldChar w:fldCharType="end"/>
      </w:r>
      <w:r w:rsidRPr="00215B2F">
        <w:rPr>
          <w:rFonts w:cs="Arial"/>
          <w:b/>
          <w:bCs/>
          <w:sz w:val="20"/>
          <w:szCs w:val="20"/>
        </w:rPr>
        <w:t>. členu</w:t>
      </w:r>
      <w:r w:rsidR="008E5FCC" w:rsidRPr="00215B2F">
        <w:rPr>
          <w:rFonts w:cs="Arial"/>
          <w:b/>
          <w:bCs/>
          <w:sz w:val="20"/>
          <w:szCs w:val="20"/>
        </w:rPr>
        <w:t xml:space="preserve"> </w:t>
      </w:r>
      <w:r w:rsidR="006372F6" w:rsidRPr="00215B2F">
        <w:rPr>
          <w:rFonts w:eastAsia="Arial" w:cs="Arial"/>
          <w:b/>
          <w:bCs/>
          <w:sz w:val="20"/>
          <w:szCs w:val="20"/>
        </w:rPr>
        <w:t>(prehodna določba za nosilce ključnih funkcij)</w:t>
      </w:r>
    </w:p>
    <w:p w14:paraId="372EE16D"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C8AE8EB" w14:textId="5874D69E" w:rsidR="0010347E" w:rsidRPr="00215B2F" w:rsidRDefault="0010347E" w:rsidP="0010347E">
      <w:pPr>
        <w:shd w:val="clear" w:color="auto" w:fill="FFFFFF" w:themeFill="background1"/>
        <w:spacing w:after="0" w:line="240" w:lineRule="auto"/>
        <w:jc w:val="both"/>
        <w:rPr>
          <w:rFonts w:ascii="Arial" w:eastAsia="Arial" w:hAnsi="Arial" w:cs="Arial"/>
          <w:sz w:val="20"/>
          <w:szCs w:val="20"/>
        </w:rPr>
      </w:pPr>
      <w:r w:rsidRPr="00215B2F">
        <w:rPr>
          <w:rFonts w:ascii="Arial" w:hAnsi="Arial" w:cs="Arial"/>
          <w:sz w:val="20"/>
          <w:szCs w:val="20"/>
        </w:rPr>
        <w:t xml:space="preserve">S členom se določa </w:t>
      </w:r>
      <w:r w:rsidRPr="00215B2F">
        <w:rPr>
          <w:rFonts w:ascii="Arial" w:eastAsia="Arial" w:hAnsi="Arial" w:cs="Arial"/>
          <w:sz w:val="20"/>
          <w:szCs w:val="20"/>
        </w:rPr>
        <w:t xml:space="preserve">prehodna določba za nosilce ključnih funkcij. Banke za obstoječe nosilce ključnih funkcij ocenijo njihovo primernost najpozneje v </w:t>
      </w:r>
      <w:r w:rsidR="00331072" w:rsidRPr="00215B2F">
        <w:rPr>
          <w:rFonts w:ascii="Arial" w:eastAsia="Arial" w:hAnsi="Arial" w:cs="Arial"/>
          <w:sz w:val="20"/>
          <w:szCs w:val="20"/>
        </w:rPr>
        <w:t xml:space="preserve">šestih </w:t>
      </w:r>
      <w:r w:rsidRPr="00215B2F">
        <w:rPr>
          <w:rFonts w:ascii="Arial" w:eastAsia="Arial" w:hAnsi="Arial" w:cs="Arial"/>
          <w:sz w:val="20"/>
          <w:szCs w:val="20"/>
        </w:rPr>
        <w:t>mesecih po začetku veljavnosti tega zakona in o tem obvestijo Banko Slovenije.</w:t>
      </w:r>
    </w:p>
    <w:p w14:paraId="7C4FFEAB" w14:textId="77777777" w:rsidR="0010347E" w:rsidRPr="00215B2F" w:rsidRDefault="0010347E" w:rsidP="0010347E">
      <w:pPr>
        <w:pStyle w:val="Odstavek"/>
        <w:shd w:val="clear" w:color="auto" w:fill="FFFFFF" w:themeFill="background1"/>
        <w:spacing w:before="0"/>
        <w:ind w:firstLine="0"/>
        <w:rPr>
          <w:rFonts w:cs="Arial"/>
          <w:b/>
          <w:bCs/>
          <w:sz w:val="20"/>
          <w:szCs w:val="20"/>
        </w:rPr>
      </w:pPr>
    </w:p>
    <w:p w14:paraId="7FE9CFA7" w14:textId="7B18EF17" w:rsidR="00FC4831" w:rsidRPr="00215B2F" w:rsidRDefault="00FC4831" w:rsidP="00FC4831">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_Ref204075507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512</w:t>
      </w:r>
      <w:r w:rsidRPr="00215B2F">
        <w:rPr>
          <w:rFonts w:cs="Arial"/>
          <w:b/>
          <w:bCs/>
          <w:sz w:val="20"/>
          <w:szCs w:val="20"/>
        </w:rPr>
        <w:fldChar w:fldCharType="end"/>
      </w:r>
      <w:r w:rsidRPr="00215B2F">
        <w:rPr>
          <w:rFonts w:cs="Arial"/>
          <w:b/>
          <w:bCs/>
          <w:sz w:val="20"/>
          <w:szCs w:val="20"/>
        </w:rPr>
        <w:t>. členu (prehodna določba glede notranje revizije hranilnic)</w:t>
      </w:r>
    </w:p>
    <w:p w14:paraId="47D04662" w14:textId="77777777" w:rsidR="00FC4831" w:rsidRPr="00215B2F" w:rsidRDefault="00FC4831" w:rsidP="00FC4831">
      <w:pPr>
        <w:pStyle w:val="Odstavek"/>
        <w:shd w:val="clear" w:color="auto" w:fill="FFFFFF" w:themeFill="background1"/>
        <w:spacing w:before="0"/>
        <w:ind w:firstLine="0"/>
        <w:rPr>
          <w:rFonts w:cs="Arial"/>
          <w:sz w:val="20"/>
          <w:szCs w:val="20"/>
        </w:rPr>
      </w:pPr>
    </w:p>
    <w:p w14:paraId="1C2907A1" w14:textId="77777777" w:rsidR="00FC4831" w:rsidRPr="00215B2F" w:rsidRDefault="00FC4831" w:rsidP="00FC4831">
      <w:pPr>
        <w:pStyle w:val="Odstavek"/>
        <w:shd w:val="clear" w:color="auto" w:fill="FFFFFF" w:themeFill="background1"/>
        <w:spacing w:before="0"/>
        <w:ind w:firstLine="0"/>
        <w:rPr>
          <w:rFonts w:cs="Arial"/>
          <w:sz w:val="20"/>
          <w:szCs w:val="20"/>
        </w:rPr>
      </w:pPr>
      <w:r w:rsidRPr="00215B2F">
        <w:rPr>
          <w:rFonts w:cs="Arial"/>
          <w:sz w:val="20"/>
          <w:szCs w:val="20"/>
        </w:rPr>
        <w:t>S členom se določa prehodna določba glede črtanja drugega odstavka 347. člena ZBan-3.</w:t>
      </w:r>
      <w:r w:rsidRPr="00215B2F">
        <w:rPr>
          <w:rFonts w:cs="Arial"/>
          <w:b/>
          <w:bCs/>
          <w:sz w:val="20"/>
          <w:szCs w:val="20"/>
        </w:rPr>
        <w:t xml:space="preserve"> </w:t>
      </w:r>
      <w:r w:rsidRPr="00215B2F">
        <w:rPr>
          <w:rFonts w:cs="Arial"/>
          <w:sz w:val="20"/>
          <w:szCs w:val="20"/>
        </w:rPr>
        <w:t>Hranilnice morajo ureditev notranje revizije prilagoditi tako, da opravljanje nalog notranjega revidiranja ni s pogodbo preneseno na osebo, ki izpolnjuje pogoje za opravljanje teh nalog, najpozneje v 2 letih od začetka veljavnosti tega zakona. Glede na to, da je v skladu z zahtevami CRD6, notranja revizija opredeljena kot funkcija notranje kontrole, možnost prenosa na zunanje osebe, ni več primerna.</w:t>
      </w:r>
    </w:p>
    <w:p w14:paraId="3C904E5D" w14:textId="77777777" w:rsidR="00FC4831" w:rsidRPr="00215B2F" w:rsidRDefault="00FC4831" w:rsidP="0010347E">
      <w:pPr>
        <w:pStyle w:val="Odstavek"/>
        <w:shd w:val="clear" w:color="auto" w:fill="FFFFFF" w:themeFill="background1"/>
        <w:spacing w:before="0"/>
        <w:ind w:firstLine="0"/>
        <w:rPr>
          <w:rFonts w:cs="Arial"/>
          <w:sz w:val="20"/>
          <w:szCs w:val="20"/>
        </w:rPr>
      </w:pPr>
    </w:p>
    <w:p w14:paraId="76E9EA6C" w14:textId="4219A498" w:rsidR="00FC4831" w:rsidRPr="00215B2F" w:rsidRDefault="00FC4831" w:rsidP="00FC4831">
      <w:pPr>
        <w:shd w:val="clear" w:color="auto" w:fill="FFFFFF"/>
        <w:spacing w:after="0" w:line="240" w:lineRule="auto"/>
        <w:rPr>
          <w:rFonts w:ascii="Arial" w:eastAsia="Times New Roman" w:hAnsi="Arial" w:cs="Arial"/>
          <w:b/>
          <w:bCs/>
          <w:color w:val="212529"/>
          <w:kern w:val="0"/>
          <w:sz w:val="20"/>
          <w:szCs w:val="20"/>
          <w:lang w:eastAsia="sl-SI"/>
          <w14:ligatures w14:val="none"/>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_Ref212194840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513</w:t>
      </w:r>
      <w:r w:rsidRPr="00215B2F">
        <w:rPr>
          <w:rFonts w:ascii="Arial" w:hAnsi="Arial" w:cs="Arial"/>
          <w:b/>
          <w:bCs/>
          <w:sz w:val="20"/>
          <w:szCs w:val="20"/>
        </w:rPr>
        <w:fldChar w:fldCharType="end"/>
      </w:r>
      <w:r w:rsidRPr="00215B2F">
        <w:rPr>
          <w:rFonts w:ascii="Arial" w:hAnsi="Arial" w:cs="Arial"/>
          <w:b/>
          <w:bCs/>
          <w:sz w:val="20"/>
          <w:szCs w:val="20"/>
        </w:rPr>
        <w:t xml:space="preserve">. členu </w:t>
      </w:r>
      <w:r w:rsidRPr="00215B2F">
        <w:rPr>
          <w:rFonts w:ascii="Arial" w:eastAsia="Times New Roman" w:hAnsi="Arial" w:cs="Arial"/>
          <w:b/>
          <w:bCs/>
          <w:color w:val="212529"/>
          <w:kern w:val="0"/>
          <w:sz w:val="20"/>
          <w:szCs w:val="20"/>
          <w:lang w:eastAsia="sl-SI"/>
          <w14:ligatures w14:val="none"/>
        </w:rPr>
        <w:t>(postopki v teku)</w:t>
      </w:r>
    </w:p>
    <w:p w14:paraId="06D33B55" w14:textId="77777777" w:rsidR="00FC4831" w:rsidRPr="00215B2F" w:rsidRDefault="00FC4831" w:rsidP="00FC4831">
      <w:pPr>
        <w:pStyle w:val="Odstavek"/>
        <w:shd w:val="clear" w:color="auto" w:fill="FFFFFF" w:themeFill="background1"/>
        <w:spacing w:before="0"/>
        <w:ind w:firstLine="0"/>
        <w:rPr>
          <w:rFonts w:cs="Arial"/>
          <w:b/>
          <w:bCs/>
          <w:sz w:val="20"/>
          <w:szCs w:val="20"/>
        </w:rPr>
      </w:pPr>
    </w:p>
    <w:p w14:paraId="7097D65C" w14:textId="77777777" w:rsidR="00FC4831" w:rsidRPr="00215B2F" w:rsidRDefault="00FC4831" w:rsidP="00FC4831">
      <w:pPr>
        <w:pStyle w:val="Odstavek"/>
        <w:shd w:val="clear" w:color="auto" w:fill="FFFFFF" w:themeFill="background1"/>
        <w:spacing w:before="0"/>
        <w:ind w:firstLine="0"/>
        <w:rPr>
          <w:rFonts w:cs="Arial"/>
          <w:sz w:val="20"/>
          <w:szCs w:val="20"/>
        </w:rPr>
      </w:pPr>
      <w:r w:rsidRPr="00215B2F">
        <w:rPr>
          <w:rFonts w:cs="Arial"/>
          <w:sz w:val="20"/>
          <w:szCs w:val="20"/>
        </w:rPr>
        <w:t>Postopki, ki jih je Banka Slovenije začela na zahtevo stranke pred uveljavitvijo zakona in v katerih še ni odločila, se zaključijo po prejšnjem ZBan-3, medtem ko se vsi drugi postopki Banke Slovenije, začeti pred uveljavitvijo zakona, ter postopki sodnega varstva zoper odločbe, izdane pred njegovo uveljavitvijo, zaključijo po določbah novega zakona.</w:t>
      </w:r>
    </w:p>
    <w:p w14:paraId="173B82DD" w14:textId="77777777" w:rsidR="004B77AB" w:rsidRPr="00215B2F" w:rsidRDefault="004B77AB" w:rsidP="004B77AB">
      <w:pPr>
        <w:pStyle w:val="Odstavek"/>
        <w:shd w:val="clear" w:color="auto" w:fill="FFFFFF" w:themeFill="background1"/>
        <w:spacing w:before="0"/>
        <w:ind w:firstLine="0"/>
        <w:rPr>
          <w:rFonts w:cs="Arial"/>
          <w:b/>
          <w:bCs/>
          <w:sz w:val="20"/>
          <w:szCs w:val="20"/>
        </w:rPr>
      </w:pPr>
    </w:p>
    <w:p w14:paraId="6BB18CA2" w14:textId="372E93AE" w:rsidR="00F72999" w:rsidRPr="00215B2F" w:rsidRDefault="00F72999" w:rsidP="004B77AB">
      <w:pPr>
        <w:pStyle w:val="Odstavek"/>
        <w:shd w:val="clear" w:color="auto" w:fill="FFFFFF" w:themeFill="background1"/>
        <w:spacing w:before="0"/>
        <w:ind w:firstLine="0"/>
        <w:rPr>
          <w:rFonts w:cs="Arial"/>
          <w:b/>
          <w:bCs/>
          <w:sz w:val="20"/>
          <w:szCs w:val="20"/>
        </w:rPr>
      </w:pPr>
      <w:r w:rsidRPr="00215B2F">
        <w:rPr>
          <w:rFonts w:cs="Arial"/>
          <w:b/>
          <w:bCs/>
          <w:sz w:val="20"/>
          <w:szCs w:val="20"/>
        </w:rPr>
        <w:t>K 514. členu (</w:t>
      </w:r>
      <w:r w:rsidRPr="00215B2F">
        <w:rPr>
          <w:rFonts w:eastAsia="Arial" w:cs="Arial"/>
          <w:b/>
          <w:bCs/>
          <w:sz w:val="20"/>
          <w:szCs w:val="20"/>
        </w:rPr>
        <w:t>postopki imenovanj za člane Sveta Banke Slovenije)</w:t>
      </w:r>
    </w:p>
    <w:p w14:paraId="5097E303" w14:textId="01532994" w:rsidR="00F72999" w:rsidRPr="00215B2F" w:rsidRDefault="00F72999" w:rsidP="00F72999">
      <w:pPr>
        <w:pStyle w:val="Odstavek"/>
        <w:shd w:val="clear" w:color="auto" w:fill="FFFFFF" w:themeFill="background1"/>
        <w:ind w:firstLine="0"/>
        <w:rPr>
          <w:rFonts w:cs="Arial"/>
          <w:sz w:val="20"/>
          <w:szCs w:val="20"/>
        </w:rPr>
      </w:pPr>
      <w:r w:rsidRPr="00215B2F">
        <w:rPr>
          <w:rFonts w:cs="Arial"/>
          <w:sz w:val="20"/>
          <w:szCs w:val="20"/>
        </w:rPr>
        <w:t>Ker 522. člen predloga zakona posega v Zakon o Banki Slovenije v delu, ki ureja sestavo Sveta Banke Slovenije, se s predlaganim členom določa izjema za postopke imenovanj za člane sveta Banke Slovenije, ki do uveljavitve tega zakona še ne bodo zaključeni. Postopki za imenovanje članov Sveta Banke Slovenije, ki do uveljavitve tega zakona še ne bodo zaključeni, se bodo končali v skladu z dosedanjimi predpisi.   </w:t>
      </w:r>
    </w:p>
    <w:p w14:paraId="15C16F07" w14:textId="77777777" w:rsidR="00F72999" w:rsidRPr="00215B2F" w:rsidRDefault="00F72999" w:rsidP="004B77AB">
      <w:pPr>
        <w:pStyle w:val="Odstavek"/>
        <w:shd w:val="clear" w:color="auto" w:fill="FFFFFF" w:themeFill="background1"/>
        <w:spacing w:before="0"/>
        <w:ind w:firstLine="0"/>
        <w:rPr>
          <w:rFonts w:cs="Arial"/>
          <w:b/>
          <w:bCs/>
          <w:sz w:val="20"/>
          <w:szCs w:val="20"/>
        </w:rPr>
      </w:pPr>
    </w:p>
    <w:p w14:paraId="61181AD2" w14:textId="5016BD6D" w:rsidR="004B77AB" w:rsidRPr="00215B2F" w:rsidRDefault="004B77AB" w:rsidP="004B77AB">
      <w:pPr>
        <w:shd w:val="clear" w:color="auto" w:fill="FFFFFF"/>
        <w:spacing w:after="0" w:line="240" w:lineRule="auto"/>
        <w:rPr>
          <w:rFonts w:ascii="Arial" w:eastAsia="Times New Roman" w:hAnsi="Arial" w:cs="Arial"/>
          <w:b/>
          <w:bCs/>
          <w:color w:val="212529"/>
          <w:kern w:val="0"/>
          <w:sz w:val="20"/>
          <w:szCs w:val="20"/>
          <w:lang w:eastAsia="sl-SI"/>
          <w14:ligatures w14:val="none"/>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_Ref212194854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515</w:t>
      </w:r>
      <w:r w:rsidRPr="00215B2F">
        <w:rPr>
          <w:rFonts w:ascii="Arial" w:hAnsi="Arial" w:cs="Arial"/>
          <w:b/>
          <w:bCs/>
          <w:sz w:val="20"/>
          <w:szCs w:val="20"/>
        </w:rPr>
        <w:fldChar w:fldCharType="end"/>
      </w:r>
      <w:r w:rsidRPr="00215B2F">
        <w:rPr>
          <w:rFonts w:ascii="Arial" w:hAnsi="Arial" w:cs="Arial"/>
          <w:b/>
          <w:bCs/>
          <w:sz w:val="20"/>
          <w:szCs w:val="20"/>
        </w:rPr>
        <w:t xml:space="preserve">. členu </w:t>
      </w:r>
      <w:r w:rsidRPr="00215B2F">
        <w:rPr>
          <w:rFonts w:ascii="Arial" w:eastAsia="Times New Roman" w:hAnsi="Arial" w:cs="Arial"/>
          <w:b/>
          <w:bCs/>
          <w:color w:val="212529"/>
          <w:kern w:val="0"/>
          <w:sz w:val="20"/>
          <w:szCs w:val="20"/>
          <w:lang w:eastAsia="sl-SI"/>
          <w14:ligatures w14:val="none"/>
        </w:rPr>
        <w:t>(uporaba zakona za kršitve in dokončanje postopkov, začetih pred uporabo tega zakona)</w:t>
      </w:r>
    </w:p>
    <w:p w14:paraId="74C9CF84" w14:textId="77777777" w:rsidR="004B77AB" w:rsidRPr="00215B2F" w:rsidRDefault="004B77AB" w:rsidP="004B77AB">
      <w:pPr>
        <w:pStyle w:val="Odstavek"/>
        <w:shd w:val="clear" w:color="auto" w:fill="FFFFFF" w:themeFill="background1"/>
        <w:spacing w:before="0"/>
        <w:ind w:firstLine="0"/>
        <w:rPr>
          <w:rFonts w:cs="Arial"/>
          <w:b/>
          <w:bCs/>
          <w:sz w:val="20"/>
          <w:szCs w:val="20"/>
        </w:rPr>
      </w:pPr>
    </w:p>
    <w:p w14:paraId="7D2AE400" w14:textId="77777777" w:rsidR="004B77AB" w:rsidRPr="00215B2F" w:rsidRDefault="004B77AB" w:rsidP="004B77AB">
      <w:pPr>
        <w:pStyle w:val="Odstavek"/>
        <w:shd w:val="clear" w:color="auto" w:fill="FFFFFF" w:themeFill="background1"/>
        <w:spacing w:before="0"/>
        <w:ind w:firstLine="0"/>
        <w:rPr>
          <w:rFonts w:cs="Arial"/>
          <w:sz w:val="20"/>
          <w:szCs w:val="20"/>
        </w:rPr>
      </w:pPr>
      <w:r w:rsidRPr="00215B2F">
        <w:rPr>
          <w:rFonts w:cs="Arial"/>
          <w:sz w:val="20"/>
          <w:szCs w:val="20"/>
        </w:rPr>
        <w:t xml:space="preserve">Člen ureja </w:t>
      </w:r>
      <w:r w:rsidRPr="00215B2F">
        <w:rPr>
          <w:rFonts w:cs="Arial"/>
          <w:color w:val="212529"/>
          <w:sz w:val="20"/>
          <w:szCs w:val="20"/>
        </w:rPr>
        <w:t>uporaba zakona za kršitve in dokončanje postopkov, začetih pred uporabo tega zakona.</w:t>
      </w:r>
      <w:r w:rsidRPr="00215B2F">
        <w:rPr>
          <w:rFonts w:cs="Arial"/>
          <w:sz w:val="20"/>
          <w:szCs w:val="20"/>
        </w:rPr>
        <w:t xml:space="preserve"> Določbe o administrativnih sankcijah iz novega zakona se uporabljajo za kršitve iz 389. člena, storjene po začetku njegove uporabe, medtem ko se postopki o prekršku zoper pravne osebe, ki do takrat še niso bili pravnomočno končani, zaključijo po dosedanjih predpisih; vendar pa se lahko ne glede na to za kršitve, storjene pred začetkom uporabe zakona, uporabijo določbe novega zakona, če so za kršitelja ugodnejše.</w:t>
      </w:r>
    </w:p>
    <w:p w14:paraId="57CE3272" w14:textId="77777777" w:rsidR="004B77AB" w:rsidRPr="00215B2F" w:rsidRDefault="004B77AB" w:rsidP="0010347E">
      <w:pPr>
        <w:pStyle w:val="Odstavek"/>
        <w:shd w:val="clear" w:color="auto" w:fill="FFFFFF" w:themeFill="background1"/>
        <w:spacing w:before="0"/>
        <w:ind w:firstLine="0"/>
        <w:rPr>
          <w:rFonts w:cs="Arial"/>
          <w:sz w:val="20"/>
          <w:szCs w:val="20"/>
        </w:rPr>
      </w:pPr>
    </w:p>
    <w:p w14:paraId="3737F0D6" w14:textId="762C6857" w:rsidR="0010347E" w:rsidRPr="00215B2F" w:rsidRDefault="0010347E" w:rsidP="0010347E">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_Ref202969080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516</w:t>
      </w:r>
      <w:r w:rsidRPr="00215B2F">
        <w:rPr>
          <w:rFonts w:cs="Arial"/>
          <w:b/>
          <w:bCs/>
          <w:sz w:val="20"/>
          <w:szCs w:val="20"/>
        </w:rPr>
        <w:fldChar w:fldCharType="end"/>
      </w:r>
      <w:r w:rsidRPr="00215B2F">
        <w:rPr>
          <w:rFonts w:cs="Arial"/>
          <w:b/>
          <w:bCs/>
          <w:sz w:val="20"/>
          <w:szCs w:val="20"/>
        </w:rPr>
        <w:t>. členu</w:t>
      </w:r>
      <w:r w:rsidR="006372F6" w:rsidRPr="00215B2F">
        <w:rPr>
          <w:rFonts w:cs="Arial"/>
          <w:b/>
          <w:bCs/>
          <w:sz w:val="20"/>
          <w:szCs w:val="20"/>
        </w:rPr>
        <w:t xml:space="preserve"> </w:t>
      </w:r>
      <w:r w:rsidR="006372F6" w:rsidRPr="00215B2F">
        <w:rPr>
          <w:rFonts w:eastAsia="Arial" w:cs="Arial"/>
          <w:b/>
          <w:bCs/>
          <w:sz w:val="20"/>
          <w:szCs w:val="20"/>
        </w:rPr>
        <w:t>(prehodna določba za dovoljenja za kvalificirane naložbe)</w:t>
      </w:r>
    </w:p>
    <w:p w14:paraId="781F0E04"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5A69AC35" w14:textId="77777777" w:rsidR="0010347E" w:rsidRPr="00215B2F" w:rsidRDefault="0010347E"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S členom se določa </w:t>
      </w:r>
      <w:r w:rsidRPr="00215B2F">
        <w:rPr>
          <w:rFonts w:ascii="Arial" w:eastAsia="Arial" w:hAnsi="Arial" w:cs="Arial"/>
          <w:sz w:val="20"/>
          <w:szCs w:val="20"/>
        </w:rPr>
        <w:t>prehodna določba za dovoljenja za kvalificirane naložbe.</w:t>
      </w:r>
      <w:r w:rsidRPr="00215B2F">
        <w:rPr>
          <w:rFonts w:ascii="Arial" w:hAnsi="Arial" w:cs="Arial"/>
          <w:sz w:val="20"/>
          <w:szCs w:val="20"/>
        </w:rPr>
        <w:t xml:space="preserve"> Dovoljenja za kvalificirane naložbe, ki na podlagi Zakona o bančništvu (ZBan-3) veljajo ob uveljavitvi tega zakona, z dnem uveljavitve tega zakona prenehajo veljati. </w:t>
      </w:r>
    </w:p>
    <w:p w14:paraId="230057B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1EC675EC" w14:textId="7C0CB364" w:rsidR="00FC4831" w:rsidRPr="00215B2F" w:rsidRDefault="00FC4831" w:rsidP="00FC4831">
      <w:pPr>
        <w:pStyle w:val="Odstavek"/>
        <w:shd w:val="clear" w:color="auto" w:fill="FFFFFF" w:themeFill="background1"/>
        <w:spacing w:before="0"/>
        <w:ind w:firstLine="0"/>
        <w:rPr>
          <w:rFonts w:cs="Arial"/>
          <w:b/>
          <w:bCs/>
          <w:sz w:val="20"/>
          <w:szCs w:val="20"/>
        </w:rPr>
      </w:pPr>
      <w:r w:rsidRPr="00215B2F">
        <w:rPr>
          <w:rFonts w:cs="Arial"/>
          <w:b/>
          <w:bCs/>
          <w:sz w:val="20"/>
          <w:szCs w:val="20"/>
        </w:rPr>
        <w:t xml:space="preserve">K </w:t>
      </w:r>
      <w:r w:rsidRPr="00215B2F">
        <w:rPr>
          <w:rFonts w:cs="Arial"/>
          <w:b/>
          <w:bCs/>
          <w:sz w:val="20"/>
          <w:szCs w:val="20"/>
        </w:rPr>
        <w:fldChar w:fldCharType="begin"/>
      </w:r>
      <w:r w:rsidRPr="00215B2F">
        <w:rPr>
          <w:rFonts w:cs="Arial"/>
          <w:b/>
          <w:bCs/>
          <w:sz w:val="20"/>
          <w:szCs w:val="20"/>
        </w:rPr>
        <w:instrText xml:space="preserve"> REF _Ref202969076 \r \h  \* MERGEFORMAT </w:instrText>
      </w:r>
      <w:r w:rsidRPr="00215B2F">
        <w:rPr>
          <w:rFonts w:cs="Arial"/>
          <w:b/>
          <w:bCs/>
          <w:sz w:val="20"/>
          <w:szCs w:val="20"/>
        </w:rPr>
      </w:r>
      <w:r w:rsidRPr="00215B2F">
        <w:rPr>
          <w:rFonts w:cs="Arial"/>
          <w:b/>
          <w:bCs/>
          <w:sz w:val="20"/>
          <w:szCs w:val="20"/>
        </w:rPr>
        <w:fldChar w:fldCharType="separate"/>
      </w:r>
      <w:r w:rsidR="0042445E">
        <w:rPr>
          <w:rFonts w:cs="Arial"/>
          <w:b/>
          <w:bCs/>
          <w:sz w:val="20"/>
          <w:szCs w:val="20"/>
        </w:rPr>
        <w:t>517</w:t>
      </w:r>
      <w:r w:rsidRPr="00215B2F">
        <w:rPr>
          <w:rFonts w:cs="Arial"/>
          <w:b/>
          <w:bCs/>
          <w:sz w:val="20"/>
          <w:szCs w:val="20"/>
        </w:rPr>
        <w:fldChar w:fldCharType="end"/>
      </w:r>
      <w:r w:rsidRPr="00215B2F">
        <w:rPr>
          <w:rFonts w:cs="Arial"/>
          <w:b/>
          <w:bCs/>
          <w:sz w:val="20"/>
          <w:szCs w:val="20"/>
        </w:rPr>
        <w:t xml:space="preserve">. členu </w:t>
      </w:r>
      <w:r w:rsidRPr="00215B2F">
        <w:rPr>
          <w:rFonts w:eastAsia="Arial" w:cs="Arial"/>
          <w:b/>
          <w:bCs/>
          <w:sz w:val="20"/>
          <w:szCs w:val="20"/>
        </w:rPr>
        <w:t>(prehodna določba za podružnice iz tretjih držav)</w:t>
      </w:r>
    </w:p>
    <w:p w14:paraId="3EA6AFA8" w14:textId="77777777" w:rsidR="00FC4831" w:rsidRPr="00215B2F" w:rsidRDefault="00FC4831" w:rsidP="00FC4831">
      <w:pPr>
        <w:pStyle w:val="Odstavek"/>
        <w:shd w:val="clear" w:color="auto" w:fill="FFFFFF" w:themeFill="background1"/>
        <w:spacing w:before="0"/>
        <w:ind w:firstLine="0"/>
        <w:rPr>
          <w:rFonts w:cs="Arial"/>
          <w:sz w:val="20"/>
          <w:szCs w:val="20"/>
        </w:rPr>
      </w:pPr>
    </w:p>
    <w:p w14:paraId="1BADA077" w14:textId="77777777" w:rsidR="00FC4831" w:rsidRPr="00215B2F" w:rsidRDefault="00FC4831" w:rsidP="00FC4831">
      <w:pPr>
        <w:pStyle w:val="Odstavek"/>
        <w:shd w:val="clear" w:color="auto" w:fill="FFFFFF" w:themeFill="background1"/>
        <w:spacing w:before="0"/>
        <w:ind w:firstLine="0"/>
        <w:rPr>
          <w:rFonts w:cs="Arial"/>
          <w:sz w:val="20"/>
          <w:szCs w:val="20"/>
        </w:rPr>
      </w:pPr>
      <w:r w:rsidRPr="00215B2F">
        <w:rPr>
          <w:rFonts w:cs="Arial"/>
          <w:sz w:val="20"/>
          <w:szCs w:val="20"/>
        </w:rPr>
        <w:t xml:space="preserve">S členom se določa </w:t>
      </w:r>
      <w:r w:rsidRPr="00215B2F">
        <w:rPr>
          <w:rFonts w:eastAsia="Arial" w:cs="Arial"/>
          <w:sz w:val="20"/>
          <w:szCs w:val="20"/>
        </w:rPr>
        <w:t>prehodna določba za podružnice tretjih držav.</w:t>
      </w:r>
    </w:p>
    <w:p w14:paraId="51AEEC15" w14:textId="545F03D6" w:rsidR="0010347E" w:rsidRPr="00215B2F" w:rsidRDefault="0010347E" w:rsidP="0010347E">
      <w:pPr>
        <w:pStyle w:val="Odstavek"/>
        <w:shd w:val="clear" w:color="auto" w:fill="FFFFFF" w:themeFill="background1"/>
        <w:spacing w:before="0"/>
        <w:ind w:firstLine="0"/>
        <w:rPr>
          <w:rFonts w:cs="Arial"/>
          <w:sz w:val="20"/>
          <w:szCs w:val="20"/>
        </w:rPr>
      </w:pPr>
    </w:p>
    <w:p w14:paraId="46426497" w14:textId="6B7D90A3" w:rsidR="004B77AB" w:rsidRPr="00215B2F" w:rsidRDefault="004B77AB" w:rsidP="004B77AB">
      <w:pPr>
        <w:shd w:val="clear" w:color="auto" w:fill="FFFFFF"/>
        <w:spacing w:after="0" w:line="240" w:lineRule="auto"/>
        <w:rPr>
          <w:rFonts w:ascii="Arial" w:eastAsia="Times New Roman" w:hAnsi="Arial" w:cs="Arial"/>
          <w:b/>
          <w:bCs/>
          <w:color w:val="212529"/>
          <w:kern w:val="0"/>
          <w:sz w:val="20"/>
          <w:szCs w:val="20"/>
          <w:lang w:eastAsia="sl-SI"/>
          <w14:ligatures w14:val="none"/>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_Ref212194879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518</w:t>
      </w:r>
      <w:r w:rsidRPr="00215B2F">
        <w:rPr>
          <w:rFonts w:ascii="Arial" w:hAnsi="Arial" w:cs="Arial"/>
          <w:b/>
          <w:bCs/>
          <w:sz w:val="20"/>
          <w:szCs w:val="20"/>
        </w:rPr>
        <w:fldChar w:fldCharType="end"/>
      </w:r>
      <w:r w:rsidRPr="00215B2F">
        <w:rPr>
          <w:rFonts w:ascii="Arial" w:hAnsi="Arial" w:cs="Arial"/>
          <w:b/>
          <w:bCs/>
          <w:sz w:val="20"/>
          <w:szCs w:val="20"/>
        </w:rPr>
        <w:t xml:space="preserve">. členu </w:t>
      </w:r>
      <w:r w:rsidRPr="00215B2F">
        <w:rPr>
          <w:rFonts w:ascii="Arial" w:eastAsia="Times New Roman" w:hAnsi="Arial" w:cs="Arial"/>
          <w:b/>
          <w:bCs/>
          <w:color w:val="212529"/>
          <w:kern w:val="0"/>
          <w:sz w:val="20"/>
          <w:szCs w:val="20"/>
          <w:lang w:eastAsia="sl-SI"/>
          <w14:ligatures w14:val="none"/>
        </w:rPr>
        <w:t>(izdaja predpisov)</w:t>
      </w:r>
    </w:p>
    <w:p w14:paraId="7C19CA92"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p>
    <w:p w14:paraId="047D3B74" w14:textId="77777777" w:rsidR="004B77AB" w:rsidRPr="00215B2F" w:rsidRDefault="004B77AB" w:rsidP="004B77AB">
      <w:pPr>
        <w:shd w:val="clear" w:color="auto" w:fill="FFFFFF" w:themeFill="background1"/>
        <w:spacing w:after="0" w:line="240" w:lineRule="auto"/>
        <w:jc w:val="both"/>
        <w:rPr>
          <w:rFonts w:ascii="Arial" w:eastAsia="Times New Roman" w:hAnsi="Arial" w:cs="Arial"/>
          <w:color w:val="212529"/>
          <w:kern w:val="0"/>
          <w:sz w:val="20"/>
          <w:szCs w:val="20"/>
          <w:lang w:eastAsia="sl-SI"/>
          <w14:ligatures w14:val="none"/>
        </w:rPr>
      </w:pPr>
      <w:r w:rsidRPr="00215B2F">
        <w:rPr>
          <w:rFonts w:ascii="Arial" w:eastAsia="Times New Roman" w:hAnsi="Arial" w:cs="Arial"/>
          <w:color w:val="212529"/>
          <w:kern w:val="0"/>
          <w:sz w:val="20"/>
          <w:szCs w:val="20"/>
          <w:lang w:eastAsia="sl-SI"/>
          <w14:ligatures w14:val="none"/>
        </w:rPr>
        <w:t>S členom se določa, da Banka Slovenije v šestih mesecih od uveljavitve tega zakona izda predpise na njegovi podlagi.</w:t>
      </w:r>
    </w:p>
    <w:p w14:paraId="152CB143" w14:textId="77777777" w:rsidR="004B77AB" w:rsidRPr="00215B2F" w:rsidRDefault="004B77AB" w:rsidP="00331072">
      <w:pPr>
        <w:pStyle w:val="Odstavek"/>
        <w:shd w:val="clear" w:color="auto" w:fill="FFFFFF" w:themeFill="background1"/>
        <w:spacing w:before="0"/>
        <w:ind w:firstLine="0"/>
        <w:rPr>
          <w:rFonts w:cs="Arial"/>
          <w:b/>
          <w:bCs/>
          <w:sz w:val="20"/>
          <w:szCs w:val="20"/>
        </w:rPr>
      </w:pPr>
    </w:p>
    <w:p w14:paraId="00073127" w14:textId="266A0073" w:rsidR="004B77AB" w:rsidRPr="00215B2F" w:rsidRDefault="004B77AB" w:rsidP="004B77AB">
      <w:pPr>
        <w:shd w:val="clear" w:color="auto" w:fill="FFFFFF" w:themeFill="background1"/>
        <w:spacing w:after="0" w:line="240" w:lineRule="auto"/>
        <w:rPr>
          <w:rFonts w:ascii="Arial" w:eastAsia="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_Ref202968994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519</w:t>
      </w:r>
      <w:r w:rsidRPr="00215B2F">
        <w:rPr>
          <w:rFonts w:ascii="Arial" w:hAnsi="Arial" w:cs="Arial"/>
          <w:b/>
          <w:bCs/>
          <w:sz w:val="20"/>
          <w:szCs w:val="20"/>
        </w:rPr>
        <w:fldChar w:fldCharType="end"/>
      </w:r>
      <w:r w:rsidRPr="00215B2F">
        <w:rPr>
          <w:rFonts w:ascii="Arial" w:hAnsi="Arial" w:cs="Arial"/>
          <w:b/>
          <w:bCs/>
          <w:sz w:val="20"/>
          <w:szCs w:val="20"/>
        </w:rPr>
        <w:t xml:space="preserve">. členu </w:t>
      </w:r>
      <w:r w:rsidRPr="00215B2F">
        <w:rPr>
          <w:rFonts w:ascii="Arial" w:eastAsia="Arial" w:hAnsi="Arial" w:cs="Arial"/>
          <w:b/>
          <w:bCs/>
          <w:sz w:val="20"/>
          <w:szCs w:val="20"/>
        </w:rPr>
        <w:t>(nadaljnja veljavnost predpisov)</w:t>
      </w:r>
    </w:p>
    <w:p w14:paraId="2EF55BA4" w14:textId="77777777" w:rsidR="004B77AB" w:rsidRPr="00215B2F" w:rsidRDefault="004B77AB" w:rsidP="004B77AB">
      <w:pPr>
        <w:pStyle w:val="Odstavek"/>
        <w:shd w:val="clear" w:color="auto" w:fill="FFFFFF" w:themeFill="background1"/>
        <w:spacing w:before="0"/>
        <w:ind w:firstLine="0"/>
        <w:rPr>
          <w:rFonts w:cs="Arial"/>
          <w:b/>
          <w:bCs/>
          <w:sz w:val="20"/>
          <w:szCs w:val="20"/>
        </w:rPr>
      </w:pPr>
    </w:p>
    <w:p w14:paraId="15C97E72" w14:textId="77777777" w:rsidR="004B77AB" w:rsidRPr="00215B2F" w:rsidRDefault="004B77AB" w:rsidP="004B77AB">
      <w:pPr>
        <w:pStyle w:val="Odstavek"/>
        <w:shd w:val="clear" w:color="auto" w:fill="FFFFFF" w:themeFill="background1"/>
        <w:spacing w:before="0"/>
        <w:ind w:firstLine="0"/>
        <w:rPr>
          <w:rFonts w:cs="Arial"/>
          <w:sz w:val="20"/>
          <w:szCs w:val="20"/>
        </w:rPr>
      </w:pPr>
      <w:r w:rsidRPr="00215B2F">
        <w:rPr>
          <w:rFonts w:cs="Arial"/>
          <w:sz w:val="20"/>
          <w:szCs w:val="20"/>
        </w:rPr>
        <w:t xml:space="preserve">S členom se določa nadaljnja uporaba večine pravilnikov in sklepov, ki so bili izdani na podlagi ZBan-3. </w:t>
      </w:r>
    </w:p>
    <w:p w14:paraId="6EFD21EA" w14:textId="77777777" w:rsidR="004B77AB" w:rsidRPr="00215B2F" w:rsidRDefault="004B77AB" w:rsidP="00331072">
      <w:pPr>
        <w:pStyle w:val="Odstavek"/>
        <w:shd w:val="clear" w:color="auto" w:fill="FFFFFF" w:themeFill="background1"/>
        <w:spacing w:before="0"/>
        <w:ind w:firstLine="0"/>
        <w:rPr>
          <w:rFonts w:cs="Arial"/>
          <w:b/>
          <w:bCs/>
          <w:sz w:val="20"/>
          <w:szCs w:val="20"/>
        </w:rPr>
      </w:pPr>
    </w:p>
    <w:p w14:paraId="083C9D45" w14:textId="1F999D9A" w:rsidR="004B77AB" w:rsidRPr="00215B2F" w:rsidRDefault="004B77AB" w:rsidP="004B77AB">
      <w:pPr>
        <w:shd w:val="clear" w:color="auto" w:fill="FFFFFF" w:themeFill="background1"/>
        <w:spacing w:after="0" w:line="240" w:lineRule="auto"/>
        <w:rPr>
          <w:rFonts w:ascii="Arial" w:eastAsia="Arial" w:hAnsi="Arial" w:cs="Arial"/>
          <w:b/>
          <w:bCs/>
          <w:sz w:val="20"/>
          <w:szCs w:val="20"/>
        </w:rPr>
      </w:pPr>
      <w:r w:rsidRPr="00215B2F">
        <w:rPr>
          <w:rFonts w:ascii="Arial" w:hAnsi="Arial" w:cs="Arial"/>
          <w:b/>
          <w:bCs/>
          <w:sz w:val="20"/>
          <w:szCs w:val="20"/>
        </w:rPr>
        <w:t>K</w:t>
      </w:r>
      <w:r w:rsidR="00F72999" w:rsidRPr="00215B2F">
        <w:rPr>
          <w:rFonts w:ascii="Arial" w:hAnsi="Arial" w:cs="Arial"/>
          <w:b/>
          <w:bCs/>
          <w:sz w:val="20"/>
          <w:szCs w:val="20"/>
        </w:rPr>
        <w:t xml:space="preserve"> 520</w:t>
      </w:r>
      <w:r w:rsidRPr="00215B2F">
        <w:rPr>
          <w:rFonts w:ascii="Arial" w:hAnsi="Arial" w:cs="Arial"/>
          <w:b/>
          <w:bCs/>
          <w:sz w:val="20"/>
          <w:szCs w:val="20"/>
        </w:rPr>
        <w:t xml:space="preserve">. členu </w:t>
      </w:r>
      <w:r w:rsidRPr="00215B2F">
        <w:rPr>
          <w:rFonts w:ascii="Arial" w:eastAsia="Arial" w:hAnsi="Arial" w:cs="Arial"/>
          <w:b/>
          <w:bCs/>
          <w:sz w:val="20"/>
          <w:szCs w:val="20"/>
        </w:rPr>
        <w:t>(Zakon o trgu finančnih instrumentov)</w:t>
      </w:r>
    </w:p>
    <w:p w14:paraId="55169D68" w14:textId="77777777" w:rsidR="004B77AB" w:rsidRPr="00215B2F" w:rsidRDefault="004B77AB" w:rsidP="00331072">
      <w:pPr>
        <w:pStyle w:val="Odstavek"/>
        <w:shd w:val="clear" w:color="auto" w:fill="FFFFFF" w:themeFill="background1"/>
        <w:spacing w:before="0"/>
        <w:ind w:firstLine="0"/>
        <w:rPr>
          <w:rFonts w:cs="Arial"/>
          <w:b/>
          <w:bCs/>
          <w:sz w:val="20"/>
          <w:szCs w:val="20"/>
        </w:rPr>
      </w:pPr>
    </w:p>
    <w:p w14:paraId="4A0B6B81" w14:textId="1104E72B" w:rsidR="00FC4831" w:rsidRPr="00215B2F" w:rsidRDefault="00FC4831" w:rsidP="00FC4831">
      <w:pPr>
        <w:shd w:val="clear" w:color="auto" w:fill="FFFFFF" w:themeFill="background1"/>
        <w:spacing w:after="0" w:line="240" w:lineRule="auto"/>
        <w:jc w:val="both"/>
        <w:rPr>
          <w:rFonts w:ascii="Arial" w:eastAsia="Arial" w:hAnsi="Arial" w:cs="Arial"/>
          <w:sz w:val="20"/>
          <w:szCs w:val="20"/>
        </w:rPr>
      </w:pPr>
      <w:r w:rsidRPr="00215B2F">
        <w:rPr>
          <w:rFonts w:ascii="Arial" w:eastAsia="Arial" w:hAnsi="Arial" w:cs="Arial"/>
          <w:sz w:val="20"/>
          <w:szCs w:val="20"/>
        </w:rPr>
        <w:lastRenderedPageBreak/>
        <w:t xml:space="preserve">Ne glede na prenehanje ZBan-3 se slednji uporablja do uveljavitve sprememb in dopolnitev Zakona o trgu finančnih instrumentov (Uradni list RS, št. 77/18, 17/19 – popr.,66/19 in </w:t>
      </w:r>
      <w:r w:rsidRPr="00215B2F">
        <w:rPr>
          <w:rFonts w:ascii="Arial" w:hAnsi="Arial" w:cs="Arial"/>
          <w:sz w:val="20"/>
          <w:szCs w:val="20"/>
        </w:rPr>
        <w:t>123/21 in 45/24</w:t>
      </w:r>
      <w:r w:rsidRPr="00215B2F">
        <w:rPr>
          <w:rFonts w:ascii="Arial" w:eastAsia="Arial" w:hAnsi="Arial" w:cs="Arial"/>
          <w:sz w:val="20"/>
          <w:szCs w:val="20"/>
        </w:rPr>
        <w:t>), kadar se nanj sklicuje navedeni zakon.</w:t>
      </w:r>
    </w:p>
    <w:p w14:paraId="6D08F3CA" w14:textId="77777777" w:rsidR="00FC4831" w:rsidRPr="00215B2F" w:rsidRDefault="00FC4831" w:rsidP="00331072">
      <w:pPr>
        <w:pStyle w:val="Odstavek"/>
        <w:shd w:val="clear" w:color="auto" w:fill="FFFFFF" w:themeFill="background1"/>
        <w:spacing w:before="0"/>
        <w:ind w:firstLine="0"/>
        <w:rPr>
          <w:rFonts w:cs="Arial"/>
          <w:b/>
          <w:bCs/>
          <w:sz w:val="20"/>
          <w:szCs w:val="20"/>
        </w:rPr>
      </w:pPr>
    </w:p>
    <w:p w14:paraId="200E61E0" w14:textId="221491F1" w:rsidR="004B77AB" w:rsidRPr="00215B2F" w:rsidRDefault="004B77AB" w:rsidP="004B77AB">
      <w:pPr>
        <w:shd w:val="clear" w:color="auto" w:fill="FFFFFF" w:themeFill="background1"/>
        <w:spacing w:after="0" w:line="240" w:lineRule="auto"/>
        <w:rPr>
          <w:rFonts w:ascii="Arial" w:eastAsia="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_Ref202969003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521</w:t>
      </w:r>
      <w:r w:rsidRPr="00215B2F">
        <w:rPr>
          <w:rFonts w:ascii="Arial" w:hAnsi="Arial" w:cs="Arial"/>
          <w:b/>
          <w:bCs/>
          <w:sz w:val="20"/>
          <w:szCs w:val="20"/>
        </w:rPr>
        <w:fldChar w:fldCharType="end"/>
      </w:r>
      <w:r w:rsidRPr="00215B2F">
        <w:rPr>
          <w:rFonts w:ascii="Arial" w:hAnsi="Arial" w:cs="Arial"/>
          <w:b/>
          <w:bCs/>
          <w:sz w:val="20"/>
          <w:szCs w:val="20"/>
        </w:rPr>
        <w:t xml:space="preserve">. členu </w:t>
      </w:r>
      <w:r w:rsidRPr="00215B2F">
        <w:rPr>
          <w:rFonts w:ascii="Arial" w:eastAsia="Arial" w:hAnsi="Arial" w:cs="Arial"/>
          <w:b/>
          <w:bCs/>
          <w:sz w:val="20"/>
          <w:szCs w:val="20"/>
        </w:rPr>
        <w:t>(spremembi Zakona o potrošnikih kreditih)</w:t>
      </w:r>
    </w:p>
    <w:p w14:paraId="62CD8658" w14:textId="77777777" w:rsidR="004B77AB" w:rsidRPr="00215B2F" w:rsidRDefault="004B77AB" w:rsidP="004B77AB">
      <w:pPr>
        <w:shd w:val="clear" w:color="auto" w:fill="FFFFFF" w:themeFill="background1"/>
        <w:spacing w:after="0" w:line="240" w:lineRule="auto"/>
        <w:jc w:val="both"/>
        <w:rPr>
          <w:rFonts w:ascii="Arial" w:hAnsi="Arial" w:cs="Arial"/>
          <w:b/>
          <w:bCs/>
          <w:sz w:val="20"/>
          <w:szCs w:val="20"/>
        </w:rPr>
      </w:pPr>
    </w:p>
    <w:p w14:paraId="01A7D21D"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Zakon o potrošniških kreditih (Uradni list RS, št. 77/16</w:t>
      </w:r>
      <w:r w:rsidRPr="00215B2F">
        <w:rPr>
          <w:rFonts w:ascii="Arial" w:eastAsia="Arial" w:hAnsi="Arial" w:cs="Arial"/>
          <w:sz w:val="20"/>
          <w:szCs w:val="20"/>
        </w:rPr>
        <w:t>, 92/21 – ZBan-3 in 12/24 - ZKSNKB</w:t>
      </w:r>
      <w:r w:rsidRPr="00215B2F">
        <w:rPr>
          <w:rFonts w:ascii="Arial" w:hAnsi="Arial" w:cs="Arial"/>
          <w:sz w:val="20"/>
          <w:szCs w:val="20"/>
        </w:rPr>
        <w:t xml:space="preserve">; v nadaljnjem besedilu: ZPotK-2) v prvem odstavku 84. člena navaja, da Banka Slovenije pri pregledu poslovanja dajalcev kredita in kreditnih posrednikov smiselno uporablja nekatere člene Zakona o bančništvu. Pri tem se ZPotK-2 tudi v 76. členu sklicuje na določene člene tega zakona o glede izdaje, prenehanja ali podaljšanja dovoljenja. Omenjeno sklicevanje zdaj ni več ustrezno, saj so členi ZBan-3 v okviru predloga zakona spremenili. To se odpravlja s predlogom člena. </w:t>
      </w:r>
    </w:p>
    <w:p w14:paraId="1E34447B" w14:textId="77777777" w:rsidR="004B77AB" w:rsidRPr="00215B2F" w:rsidRDefault="004B77AB" w:rsidP="004B77AB">
      <w:pPr>
        <w:pStyle w:val="Odstavek"/>
        <w:shd w:val="clear" w:color="auto" w:fill="FFFFFF" w:themeFill="background1"/>
        <w:spacing w:before="0"/>
        <w:ind w:firstLine="0"/>
        <w:rPr>
          <w:rFonts w:cs="Arial"/>
          <w:sz w:val="20"/>
          <w:szCs w:val="20"/>
        </w:rPr>
      </w:pPr>
    </w:p>
    <w:p w14:paraId="5633E106" w14:textId="5FE22C16" w:rsidR="004B77AB" w:rsidRPr="00215B2F" w:rsidRDefault="004B77AB" w:rsidP="004B77AB">
      <w:pPr>
        <w:shd w:val="clear" w:color="auto" w:fill="FFFFFF" w:themeFill="background1"/>
        <w:spacing w:after="0" w:line="240" w:lineRule="auto"/>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_Ref202969091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522</w:t>
      </w:r>
      <w:r w:rsidRPr="00215B2F">
        <w:rPr>
          <w:rFonts w:ascii="Arial" w:hAnsi="Arial" w:cs="Arial"/>
          <w:b/>
          <w:bCs/>
          <w:sz w:val="20"/>
          <w:szCs w:val="20"/>
        </w:rPr>
        <w:fldChar w:fldCharType="end"/>
      </w:r>
      <w:r w:rsidRPr="00215B2F">
        <w:rPr>
          <w:rFonts w:ascii="Arial" w:hAnsi="Arial" w:cs="Arial"/>
          <w:b/>
          <w:bCs/>
          <w:sz w:val="20"/>
          <w:szCs w:val="20"/>
        </w:rPr>
        <w:t>. členu (spremembe Zakona o Banki Slovenije)</w:t>
      </w:r>
    </w:p>
    <w:p w14:paraId="1F4C8D51" w14:textId="77777777" w:rsidR="004B77AB" w:rsidRPr="00215B2F" w:rsidRDefault="004B77AB" w:rsidP="004B77AB">
      <w:pPr>
        <w:pStyle w:val="Odstavek"/>
        <w:shd w:val="clear" w:color="auto" w:fill="FFFFFF" w:themeFill="background1"/>
        <w:spacing w:before="0"/>
        <w:ind w:firstLine="0"/>
        <w:rPr>
          <w:rFonts w:cs="Arial"/>
          <w:b/>
          <w:bCs/>
          <w:sz w:val="20"/>
          <w:szCs w:val="20"/>
        </w:rPr>
      </w:pPr>
    </w:p>
    <w:p w14:paraId="56D62E65" w14:textId="5A5EA8E6" w:rsidR="004B77AB" w:rsidRPr="00215B2F" w:rsidRDefault="004B77AB" w:rsidP="004B77AB">
      <w:pPr>
        <w:pStyle w:val="Odstavek"/>
        <w:shd w:val="clear" w:color="auto" w:fill="FFFFFF" w:themeFill="background1"/>
        <w:spacing w:before="0"/>
        <w:ind w:firstLine="0"/>
        <w:rPr>
          <w:rFonts w:cs="Arial"/>
          <w:sz w:val="20"/>
          <w:szCs w:val="20"/>
        </w:rPr>
      </w:pPr>
      <w:r w:rsidRPr="00215B2F">
        <w:rPr>
          <w:rFonts w:cs="Arial"/>
          <w:sz w:val="20"/>
          <w:szCs w:val="20"/>
        </w:rPr>
        <w:t xml:space="preserve">V Zakonu o Banki Slovenije (ZBS-1) se dopolnjuje 30. člen z novimi določbami, ki določajo pogoje za imenovanje članov Sveta Banke Slovenije. Sprememba 30. člena Zakona o Banki Slovenije uvaja jasnejše pogoje za imenovanje članov Sveta Banke Slovenije, saj določa, da mora biti kandidat državljan Republike Slovenije, imeti mora </w:t>
      </w:r>
      <w:r w:rsidR="00215B2F" w:rsidRPr="00215B2F">
        <w:rPr>
          <w:rFonts w:eastAsia="Arial" w:cs="Arial"/>
          <w:sz w:val="20"/>
          <w:szCs w:val="20"/>
        </w:rPr>
        <w:t xml:space="preserve">najmanj izobrazbo, pridobljeno po študijskem programu druge stopnje, oziroma izobrazbo, ki ustreza ravni izobrazbe, pridobljene po študijskih programih druge stopnje, in je v skladu z zakonom, ki ureja slovensko ogrodje kvalifikacij, uvrščena na 8. raven slovenskega ogrodja kvalifikacij, </w:t>
      </w:r>
      <w:r w:rsidRPr="00215B2F">
        <w:rPr>
          <w:rFonts w:cs="Arial"/>
          <w:sz w:val="20"/>
          <w:szCs w:val="20"/>
        </w:rPr>
        <w:t xml:space="preserve">ustrezne delovne izkušnje na specifičnih področjih, ne sme biti </w:t>
      </w:r>
      <w:r w:rsidRPr="00215B2F">
        <w:rPr>
          <w:rFonts w:eastAsia="Arial" w:cs="Arial"/>
          <w:sz w:val="20"/>
          <w:szCs w:val="20"/>
        </w:rPr>
        <w:t xml:space="preserve">obsojen ali zoper njega ni vložena pravnomočna obtožnica za kaznivo dejanje, ki se preganja po uradni dolžnosti, </w:t>
      </w:r>
      <w:r w:rsidRPr="00215B2F">
        <w:rPr>
          <w:rFonts w:cs="Arial"/>
          <w:sz w:val="20"/>
          <w:szCs w:val="20"/>
        </w:rPr>
        <w:t>ter mora izkazovati ugled in visoke etične standarde. Po nastopu funkcije je obvezna izvedba postopka za pridobitev dovoljenja za dostop do tajnih podatkov, pri čemer je zavrnitev ali nesodelovanje v postopku razlog za razrešitev. Svet mora biti kot celota strokovno usposobljen in raznolik, da lahko učinkovito opravlja svoje naloge. Poleg tega se uvaja omejitev, da posameznik lahko skupno opravlja funkcijo člana sveta največ 14 let, pri čemer se ta omejitev začne uporabljati za imenovanja po 11. januarju 2026. Dosedanji drugi in tretji odstavek postaneta šesti in sedmi odstavek.</w:t>
      </w:r>
    </w:p>
    <w:p w14:paraId="71BECDF4" w14:textId="77777777" w:rsidR="004B77AB" w:rsidRPr="00215B2F" w:rsidRDefault="004B77AB" w:rsidP="004B77AB">
      <w:pPr>
        <w:pStyle w:val="Odstavek"/>
        <w:shd w:val="clear" w:color="auto" w:fill="FFFFFF" w:themeFill="background1"/>
        <w:spacing w:before="0"/>
        <w:ind w:firstLine="0"/>
        <w:rPr>
          <w:rFonts w:cs="Arial"/>
          <w:sz w:val="20"/>
          <w:szCs w:val="20"/>
        </w:rPr>
      </w:pPr>
    </w:p>
    <w:p w14:paraId="3FEFEDBF" w14:textId="77777777" w:rsidR="004B77AB" w:rsidRPr="00215B2F" w:rsidRDefault="004B77AB" w:rsidP="004B77AB">
      <w:pPr>
        <w:pStyle w:val="Pripombabesedilo"/>
        <w:shd w:val="clear" w:color="auto" w:fill="FFFFFF" w:themeFill="background1"/>
        <w:jc w:val="both"/>
        <w:rPr>
          <w:rFonts w:ascii="Arial" w:hAnsi="Arial" w:cs="Arial"/>
        </w:rPr>
      </w:pPr>
      <w:r w:rsidRPr="00215B2F">
        <w:rPr>
          <w:rFonts w:ascii="Arial" w:hAnsi="Arial" w:cs="Arial"/>
        </w:rPr>
        <w:t xml:space="preserve">Zahteva v CRD, člen 4a(2), drugi pododstavek, glede razrešitve, če »so obsojeni za huda kazniva dejanja«, je že vključena v 3. točko prvega odstavka 39. člena ZBS-1, ki določa razrešitev, če je član SBS zagrešil hujšo kršitev. Na splošno za 4.a člen velja tako imenovana minimalna harmonizacija, kar pomeni, da lahko države članice določijo tudi strožje zahteve. </w:t>
      </w:r>
    </w:p>
    <w:p w14:paraId="728085A3" w14:textId="77777777" w:rsidR="004B77AB" w:rsidRPr="00215B2F" w:rsidRDefault="004B77AB" w:rsidP="004B77AB">
      <w:pPr>
        <w:pStyle w:val="Pripombabesedilo"/>
        <w:shd w:val="clear" w:color="auto" w:fill="FFFFFF" w:themeFill="background1"/>
        <w:jc w:val="both"/>
        <w:rPr>
          <w:rFonts w:ascii="Arial" w:hAnsi="Arial" w:cs="Arial"/>
        </w:rPr>
      </w:pPr>
    </w:p>
    <w:p w14:paraId="4793A278" w14:textId="77777777" w:rsidR="004B77AB" w:rsidRPr="00215B2F" w:rsidRDefault="004B77AB" w:rsidP="004B77AB">
      <w:pPr>
        <w:pStyle w:val="Odstavek"/>
        <w:shd w:val="clear" w:color="auto" w:fill="FFFFFF" w:themeFill="background1"/>
        <w:spacing w:before="0"/>
        <w:ind w:firstLine="0"/>
        <w:rPr>
          <w:rFonts w:cs="Arial"/>
          <w:sz w:val="20"/>
          <w:szCs w:val="20"/>
        </w:rPr>
      </w:pPr>
      <w:r w:rsidRPr="00215B2F">
        <w:rPr>
          <w:rFonts w:cs="Arial"/>
          <w:sz w:val="20"/>
          <w:szCs w:val="20"/>
        </w:rPr>
        <w:t xml:space="preserve">Ocenjuje se, da objava razlogov za razrešitev izhaja že iz postopka razrešitve – postopek razrešitve člana SBS poteka v državnem zboru. Javnost dela Državnega zbora je urejena v 101. členu Poslovnika državnega zbora, ki sicer omogoča, da seja ali del seje poteka brez navzočnosti javnosti, hkrati pa tudi, da predsedujoči določi besedilo uradnega obvestila o seji ali delu seje, ki poteka brez navzočnosti javnosti. S tem je zahteva po prenosu možnosti objave razlogov za razrešitev vsaj »v osnovi« upoštevana. V okviru ustrezne raznolikosti se obravnavajo vse vrste in oblike raznolikosti, kot primeroma veljajo tudi za člane upravljalnih organov bank in hranilnic – npr. znanje, izkušnje, starost, spol idr. </w:t>
      </w:r>
    </w:p>
    <w:p w14:paraId="05CCB0EF"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p>
    <w:p w14:paraId="18AC846A"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V zvezi s 4. točko v drugem odstavku velja pojasniti, da je že vložena obtožnica lahko ovira za imenovanje, kar presodita predsednik Republike Slovenije oziroma državni zbor v postopku imenovanja (tako v okviru 4. kot 5. točke – ugled v skladu z najvišjimi standardi integritete).</w:t>
      </w:r>
    </w:p>
    <w:p w14:paraId="2D6083D7"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p>
    <w:p w14:paraId="6AAEA4D2" w14:textId="77777777" w:rsidR="004B77AB" w:rsidRPr="00215B2F" w:rsidRDefault="004B77AB" w:rsidP="004B77AB">
      <w:pPr>
        <w:shd w:val="clear" w:color="auto" w:fill="FFFFFF" w:themeFill="background1"/>
        <w:spacing w:after="0" w:line="240" w:lineRule="auto"/>
        <w:jc w:val="center"/>
        <w:rPr>
          <w:rFonts w:ascii="Arial" w:hAnsi="Arial" w:cs="Arial"/>
          <w:sz w:val="20"/>
          <w:szCs w:val="20"/>
        </w:rPr>
      </w:pPr>
      <w:r w:rsidRPr="00215B2F">
        <w:rPr>
          <w:rFonts w:ascii="Arial" w:hAnsi="Arial" w:cs="Arial"/>
          <w:sz w:val="20"/>
          <w:szCs w:val="20"/>
        </w:rPr>
        <w:t>* * *</w:t>
      </w:r>
    </w:p>
    <w:p w14:paraId="48F604B3"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p>
    <w:p w14:paraId="211F1CE6"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zvezi s prenosom CRD velja dodatno pojasniti, da je uporaba zahtev direktive za guvernerje sicer izključena, ker njihov položaj urejata PDEU in statut ESCB/ECB, vendar pa so njihove določbe splošne in še vedno zahtevajo jasno opredelitev v nacionalnem pravu. Ne PDEU ne statut ESCB/ECB namreč ne določata pogojev za imenovanje za guvernerja, ampak zgolj, da njihov mandat ne sme biti krajši kot 5 let ter omejitve glede razrešitve – če ne izpolnjujejo več pogojev, ki se zahtevajo za opravljanje dolžnosti ali če je posameznik zagrešil hujšo kršitev – pri tem pa teh pogojev ne opredelita in so prepuščeni ureditvi držav članic. Tako tudi obstoječa praksa v državah članicah. </w:t>
      </w:r>
    </w:p>
    <w:p w14:paraId="41A45D2D"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p>
    <w:p w14:paraId="599754F9"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Določbo v direktivi v delu, ki izključuje uporabo za guvernerje, tako razumemo, kot da se zahteve držav članic za guvernerje lahko razlikujejo, ne pa da jih sploh ne smemo uvesti. Glede na to, da trenutno veljavni ZBS-1 posebnih (objektivnih) pogojev za guvernerja in viceguvernerje ne določa, se ocenjuje, </w:t>
      </w:r>
      <w:r w:rsidRPr="00215B2F">
        <w:rPr>
          <w:rFonts w:ascii="Arial" w:hAnsi="Arial" w:cs="Arial"/>
          <w:sz w:val="20"/>
          <w:szCs w:val="20"/>
        </w:rPr>
        <w:lastRenderedPageBreak/>
        <w:t xml:space="preserve">da je smiselno, da se pogoji določijo za vse člane Sveta Banke Slovenije, torej tudi za guvernerja. Ni namreč logično, da za viceguvernerje (ki imajo v primerjavi z guvernerjem manj pristojnosti – ta ima namreč v skladu z ZBS-1 dodatne/posebne pristojnosti) veljajo strožji pogoji kot za guvernerja. Smiselno enako velja tudi glede omejitve trajanja mandata. </w:t>
      </w:r>
    </w:p>
    <w:p w14:paraId="1DA3B531"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p>
    <w:p w14:paraId="2C6ADF62" w14:textId="77777777" w:rsidR="004B77AB" w:rsidRPr="00215B2F" w:rsidRDefault="004B77AB" w:rsidP="004B77AB">
      <w:pPr>
        <w:shd w:val="clear" w:color="auto" w:fill="FFFFFF" w:themeFill="background1"/>
        <w:spacing w:after="0" w:line="240" w:lineRule="auto"/>
        <w:jc w:val="center"/>
        <w:rPr>
          <w:rFonts w:ascii="Arial" w:hAnsi="Arial" w:cs="Arial"/>
          <w:sz w:val="20"/>
          <w:szCs w:val="20"/>
        </w:rPr>
      </w:pPr>
      <w:r w:rsidRPr="00215B2F">
        <w:rPr>
          <w:rFonts w:ascii="Arial" w:hAnsi="Arial" w:cs="Arial"/>
          <w:sz w:val="20"/>
          <w:szCs w:val="20"/>
        </w:rPr>
        <w:t>* * *</w:t>
      </w:r>
    </w:p>
    <w:p w14:paraId="1B08907D"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p>
    <w:p w14:paraId="329BD5BD"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Ali kandidati za člana SBS izpolnjujejo pogoje imenovanja, bo presojano v okviru postopka imenovanja – v prvi fazi predsednik/predsednica Republike Slovenije pri izbiri in nato še državni zbor pri imenovanju. Tudi tukaj glede uporabe določb za guvernerja velja smiselno enako kot zgoraj – direktiva tega ne zahteva, hkrati pa ne prepoveduje oziroma je tudi v skladu s PDEU in statutom ESCB/ECB prepuščeno državam članicam. </w:t>
      </w:r>
    </w:p>
    <w:p w14:paraId="1F6394B2"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p>
    <w:p w14:paraId="4A4C2CC2"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Določbe PDEU in statuta ESCB/ECB v tem delu so splošne in dopuščajo jasno opredelitev na ravni držav članic. Predlagana ureditev ni v nasprotju z določbami PDEU in statutu ESCB/ECB. Na podlagi razpoložljivih podatkov je ureditev v državah članicah glede pogojev za guvernerja in tudi trajanja mandata (nad 5 let) in možnosti ponovnega imenovanja precej različna, tudi v državah članicah, kjer sta centralna banka in bančni nadzornik različna, pa tako za guvernerja kot za druge člane upravljalnega organa (sveta) veljajo enaki pogoji, ponekod za guvernerje celo strožji. Ključno pri tem je, da nacionalna ureditev ne posega v zahteve, ki jih za guvernerje določa statut ESCB/ECB ali na njuni podlagi sprejeti akti (npr. etični kodeks ECB). </w:t>
      </w:r>
    </w:p>
    <w:p w14:paraId="675DDBE0"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p>
    <w:p w14:paraId="16C91292" w14:textId="77777777" w:rsidR="004B77AB" w:rsidRPr="00215B2F" w:rsidRDefault="004B77AB" w:rsidP="004B77AB">
      <w:pPr>
        <w:shd w:val="clear" w:color="auto" w:fill="FFFFFF" w:themeFill="background1"/>
        <w:spacing w:after="0" w:line="240" w:lineRule="auto"/>
        <w:jc w:val="center"/>
        <w:rPr>
          <w:rFonts w:ascii="Arial" w:hAnsi="Arial" w:cs="Arial"/>
          <w:sz w:val="20"/>
          <w:szCs w:val="20"/>
        </w:rPr>
      </w:pPr>
      <w:r w:rsidRPr="00215B2F">
        <w:rPr>
          <w:rFonts w:ascii="Arial" w:hAnsi="Arial" w:cs="Arial"/>
          <w:sz w:val="20"/>
          <w:szCs w:val="20"/>
        </w:rPr>
        <w:t>* * *</w:t>
      </w:r>
    </w:p>
    <w:p w14:paraId="3ADA179F" w14:textId="77777777" w:rsidR="004B77AB" w:rsidRPr="00215B2F" w:rsidRDefault="004B77AB" w:rsidP="004B77AB">
      <w:pPr>
        <w:shd w:val="clear" w:color="auto" w:fill="FFFFFF" w:themeFill="background1"/>
        <w:spacing w:after="0" w:line="240" w:lineRule="auto"/>
        <w:rPr>
          <w:rFonts w:ascii="Arial" w:hAnsi="Arial" w:cs="Arial"/>
          <w:sz w:val="20"/>
          <w:szCs w:val="20"/>
        </w:rPr>
      </w:pPr>
    </w:p>
    <w:p w14:paraId="5BC90B86"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 xml:space="preserve">V zvezi s tretjim odstavkom velja dodatno pojasniti, da člani Sveta Banke Slovenije za opravljanje svoje funkcije potrebujejo dovoljenje za dostop do tajnih podatkov. Stopnja (interno, zaupno, tajno, strogo tajno) in vrsta podatkov (tajni podatki, tajni podatki EU, tajni podatki Nato, tajni podatki tuje države), za katero se dovoljenje izda, je podrobneje opredeljena v internih aktih Banke Slovenije, kjer je določeno tudi, kateri drugi zaposleni potrebujejo dovoljenje za dostop do tajnih podatkov. </w:t>
      </w:r>
    </w:p>
    <w:p w14:paraId="4ACBE893" w14:textId="77777777" w:rsidR="004B77AB" w:rsidRPr="00215B2F" w:rsidRDefault="004B77AB" w:rsidP="004B77AB">
      <w:pPr>
        <w:pStyle w:val="Pripombabesedilo"/>
        <w:shd w:val="clear" w:color="auto" w:fill="FFFFFF" w:themeFill="background1"/>
        <w:rPr>
          <w:rFonts w:ascii="Arial" w:hAnsi="Arial" w:cs="Arial"/>
        </w:rPr>
      </w:pPr>
    </w:p>
    <w:p w14:paraId="0BA62187" w14:textId="77777777" w:rsidR="004B77AB" w:rsidRPr="00215B2F" w:rsidRDefault="004B77AB" w:rsidP="004B77AB">
      <w:pPr>
        <w:pStyle w:val="Odstavek"/>
        <w:shd w:val="clear" w:color="auto" w:fill="FFFFFF" w:themeFill="background1"/>
        <w:spacing w:before="0"/>
        <w:ind w:firstLine="0"/>
        <w:rPr>
          <w:rFonts w:cs="Arial"/>
          <w:sz w:val="20"/>
          <w:szCs w:val="20"/>
        </w:rPr>
      </w:pPr>
      <w:r w:rsidRPr="00215B2F">
        <w:rPr>
          <w:rFonts w:cs="Arial"/>
          <w:sz w:val="20"/>
          <w:szCs w:val="20"/>
        </w:rPr>
        <w:t xml:space="preserve">Kadar že iz vsebine varnostnega zadržka, ki se ugotovi v okviru varnostnega preverjanja, izhaja, da preverjana oseba ni zaupanja vredna do te mere, da bi se lahko seznanila s tajnimi podatki, se ocenjuje, da takšna oseba tudi ni primerna za opravljanje funkcije člana Sveta Banke Slovenije, in je posledično (pravnomočna) zavrnitev izdaje dovoljenja za dostop do tajnih podatkov razlog za razrešitev člana SBS. </w:t>
      </w:r>
    </w:p>
    <w:p w14:paraId="7F60EE83" w14:textId="77777777" w:rsidR="004B77AB" w:rsidRPr="00215B2F" w:rsidRDefault="004B77AB" w:rsidP="004B77AB">
      <w:pPr>
        <w:pStyle w:val="Odstavek"/>
        <w:shd w:val="clear" w:color="auto" w:fill="FFFFFF" w:themeFill="background1"/>
        <w:spacing w:before="0"/>
        <w:ind w:firstLine="0"/>
        <w:rPr>
          <w:rFonts w:cs="Arial"/>
          <w:sz w:val="20"/>
          <w:szCs w:val="20"/>
        </w:rPr>
      </w:pPr>
    </w:p>
    <w:p w14:paraId="44AB19D1" w14:textId="77777777" w:rsidR="004B77AB" w:rsidRPr="00215B2F" w:rsidRDefault="004B77AB" w:rsidP="004B77AB">
      <w:pPr>
        <w:pStyle w:val="Odstavek"/>
        <w:shd w:val="clear" w:color="auto" w:fill="FFFFFF" w:themeFill="background1"/>
        <w:spacing w:before="0"/>
        <w:ind w:firstLine="0"/>
        <w:rPr>
          <w:rFonts w:cs="Arial"/>
          <w:sz w:val="20"/>
          <w:szCs w:val="20"/>
        </w:rPr>
      </w:pPr>
      <w:r w:rsidRPr="00215B2F">
        <w:rPr>
          <w:rFonts w:cs="Arial"/>
          <w:sz w:val="20"/>
          <w:szCs w:val="20"/>
        </w:rPr>
        <w:t>V zvezi z navedeno določbo velja pojasniti, da ne izhaja neposredno iz CRD, a je v njej podlaga za njeno jasno opredelitev v praksi. Določba je potrebna, ker po zadnji spremembi Zakona o tajnih podatkih v letu 2020 člani Sveta Banke Slovenije tega dovoljenja ne prejmejo več samodejno oziroma ga prejmeta le guverner in namestnik guvernerja (za področje Slovenije), drugi pa ga morajo pridobiti.</w:t>
      </w:r>
    </w:p>
    <w:p w14:paraId="5D11AA46" w14:textId="77777777" w:rsidR="004B77AB" w:rsidRPr="00215B2F" w:rsidRDefault="004B77AB" w:rsidP="00331072">
      <w:pPr>
        <w:pStyle w:val="Odstavek"/>
        <w:shd w:val="clear" w:color="auto" w:fill="FFFFFF" w:themeFill="background1"/>
        <w:spacing w:before="0"/>
        <w:ind w:firstLine="0"/>
        <w:rPr>
          <w:rFonts w:cs="Arial"/>
          <w:b/>
          <w:bCs/>
          <w:sz w:val="20"/>
          <w:szCs w:val="20"/>
        </w:rPr>
      </w:pPr>
    </w:p>
    <w:p w14:paraId="3BE48CC6" w14:textId="4F893788" w:rsidR="00215B2F" w:rsidRPr="00215B2F" w:rsidRDefault="00215B2F" w:rsidP="00215B2F">
      <w:pPr>
        <w:pStyle w:val="Odstavek"/>
        <w:shd w:val="clear" w:color="auto" w:fill="FFFFFF" w:themeFill="background1"/>
        <w:spacing w:before="0"/>
        <w:ind w:firstLine="0"/>
        <w:jc w:val="center"/>
        <w:rPr>
          <w:rFonts w:cs="Arial"/>
          <w:b/>
          <w:bCs/>
          <w:sz w:val="20"/>
          <w:szCs w:val="20"/>
        </w:rPr>
      </w:pPr>
      <w:r w:rsidRPr="00215B2F">
        <w:rPr>
          <w:rFonts w:cs="Arial"/>
          <w:b/>
          <w:bCs/>
          <w:sz w:val="20"/>
          <w:szCs w:val="20"/>
        </w:rPr>
        <w:t>* * *</w:t>
      </w:r>
    </w:p>
    <w:p w14:paraId="436C14AD" w14:textId="77777777" w:rsidR="00215B2F" w:rsidRPr="00215B2F" w:rsidRDefault="00215B2F" w:rsidP="00215B2F">
      <w:pPr>
        <w:pStyle w:val="Odstavek"/>
        <w:shd w:val="clear" w:color="auto" w:fill="FFFFFF" w:themeFill="background1"/>
        <w:spacing w:before="0"/>
        <w:ind w:firstLine="0"/>
        <w:rPr>
          <w:rFonts w:cs="Arial"/>
          <w:b/>
          <w:bCs/>
          <w:sz w:val="20"/>
          <w:szCs w:val="20"/>
        </w:rPr>
      </w:pPr>
    </w:p>
    <w:p w14:paraId="1789D93A" w14:textId="68A58B64" w:rsidR="00215B2F" w:rsidRPr="00215B2F" w:rsidRDefault="00215B2F" w:rsidP="00215B2F">
      <w:pPr>
        <w:pStyle w:val="Odstavek"/>
        <w:shd w:val="clear" w:color="auto" w:fill="FFFFFF" w:themeFill="background1"/>
        <w:spacing w:before="0"/>
        <w:ind w:firstLine="0"/>
        <w:rPr>
          <w:rFonts w:cs="Arial"/>
          <w:b/>
          <w:bCs/>
          <w:sz w:val="20"/>
          <w:szCs w:val="20"/>
        </w:rPr>
      </w:pPr>
      <w:r w:rsidRPr="00215B2F">
        <w:rPr>
          <w:rFonts w:cs="Arial"/>
          <w:sz w:val="20"/>
          <w:szCs w:val="20"/>
        </w:rPr>
        <w:t>V zvezi z predvideno izobrazbo glede člana Sveta Banke Slovenije velja dodatno pojasniti, da je besedilo usklajeno s terminologijo Zakona o slovenskem ogrodju kvalifikacij (Uradni list RS, št. </w:t>
      </w:r>
      <w:hyperlink r:id="rId49" w:tgtFrame="_blank" w:tooltip="Zakon o slovenskem ogrodju kvalifikacij (ZSOK)" w:history="1">
        <w:r w:rsidRPr="00215B2F">
          <w:rPr>
            <w:rStyle w:val="Hiperpovezava"/>
            <w:rFonts w:cs="Arial"/>
            <w:b w:val="0"/>
            <w:bCs/>
            <w:color w:val="auto"/>
            <w:sz w:val="20"/>
            <w:szCs w:val="20"/>
            <w:u w:val="none"/>
          </w:rPr>
          <w:t>104/15</w:t>
        </w:r>
      </w:hyperlink>
      <w:r w:rsidRPr="00215B2F">
        <w:rPr>
          <w:rFonts w:cs="Arial"/>
          <w:sz w:val="20"/>
          <w:szCs w:val="20"/>
        </w:rPr>
        <w:t>, </w:t>
      </w:r>
      <w:hyperlink r:id="rId50" w:tgtFrame="_blank" w:tooltip="Zakon o strokovnih, znanstvenih in umetniških naslovih (ZSZUN)" w:history="1">
        <w:r w:rsidRPr="00215B2F">
          <w:rPr>
            <w:rStyle w:val="Hiperpovezava"/>
            <w:rFonts w:cs="Arial"/>
            <w:b w:val="0"/>
            <w:bCs/>
            <w:color w:val="auto"/>
            <w:sz w:val="20"/>
            <w:szCs w:val="20"/>
            <w:u w:val="none"/>
          </w:rPr>
          <w:t>100/22</w:t>
        </w:r>
      </w:hyperlink>
      <w:r w:rsidRPr="00215B2F">
        <w:rPr>
          <w:rFonts w:cs="Arial"/>
          <w:sz w:val="20"/>
          <w:szCs w:val="20"/>
        </w:rPr>
        <w:t> – ZSZUN in </w:t>
      </w:r>
      <w:hyperlink r:id="rId51" w:tgtFrame="_blank" w:tooltip="Zakon o visokem šolstvu (ZViS-1)" w:history="1">
        <w:r w:rsidRPr="00215B2F">
          <w:rPr>
            <w:rStyle w:val="Hiperpovezava"/>
            <w:rFonts w:cs="Arial"/>
            <w:b w:val="0"/>
            <w:bCs/>
            <w:color w:val="auto"/>
            <w:sz w:val="20"/>
            <w:szCs w:val="20"/>
            <w:u w:val="none"/>
          </w:rPr>
          <w:t>56/25</w:t>
        </w:r>
      </w:hyperlink>
      <w:r w:rsidRPr="00215B2F">
        <w:rPr>
          <w:rFonts w:cs="Arial"/>
          <w:sz w:val="20"/>
          <w:szCs w:val="20"/>
        </w:rPr>
        <w:t> – ZViS-1) in njegovo prilogo, to je Priloga 2: Kvalifikacije v SOK (slednja določa 10 ravni izobrazbe in zgoraj navedena izobrazba spada v 8. raven).  </w:t>
      </w:r>
      <w:r w:rsidR="00FD7D8B" w:rsidRPr="00FD7D8B">
        <w:rPr>
          <w:rFonts w:cs="Arial"/>
          <w:sz w:val="20"/>
          <w:szCs w:val="20"/>
        </w:rPr>
        <w:t>Določba</w:t>
      </w:r>
      <w:r w:rsidR="00FD7D8B">
        <w:rPr>
          <w:rFonts w:cs="Arial"/>
          <w:sz w:val="20"/>
          <w:szCs w:val="20"/>
        </w:rPr>
        <w:t xml:space="preserve"> je napisana </w:t>
      </w:r>
      <w:r w:rsidRPr="00215B2F">
        <w:rPr>
          <w:rFonts w:cs="Arial"/>
          <w:sz w:val="20"/>
          <w:szCs w:val="20"/>
        </w:rPr>
        <w:t>na način, da je sklad</w:t>
      </w:r>
      <w:r w:rsidR="00FD7D8B">
        <w:rPr>
          <w:rFonts w:cs="Arial"/>
          <w:sz w:val="20"/>
          <w:szCs w:val="20"/>
        </w:rPr>
        <w:t>en</w:t>
      </w:r>
      <w:r w:rsidRPr="00215B2F">
        <w:rPr>
          <w:rFonts w:cs="Arial"/>
          <w:sz w:val="20"/>
          <w:szCs w:val="20"/>
        </w:rPr>
        <w:t xml:space="preserve"> z edinim sistemskim zakonom, ki ureja vse izobrazbe, ki spadajo v isto raven, torej Zakonom o slovenskem ogrodju kvalifikacij). Glede na navedeno </w:t>
      </w:r>
      <w:r w:rsidR="00FD7D8B">
        <w:rPr>
          <w:rFonts w:cs="Arial"/>
          <w:sz w:val="20"/>
          <w:szCs w:val="20"/>
        </w:rPr>
        <w:t>velja izpostaviti</w:t>
      </w:r>
      <w:r w:rsidRPr="00215B2F">
        <w:rPr>
          <w:rFonts w:cs="Arial"/>
          <w:sz w:val="20"/>
          <w:szCs w:val="20"/>
        </w:rPr>
        <w:t xml:space="preserve">, da </w:t>
      </w:r>
      <w:r w:rsidR="00FD7D8B">
        <w:rPr>
          <w:rFonts w:cs="Arial"/>
          <w:sz w:val="20"/>
          <w:szCs w:val="20"/>
        </w:rPr>
        <w:t xml:space="preserve">spada </w:t>
      </w:r>
      <w:r w:rsidRPr="00215B2F">
        <w:rPr>
          <w:rFonts w:cs="Arial"/>
          <w:sz w:val="20"/>
          <w:szCs w:val="20"/>
        </w:rPr>
        <w:t xml:space="preserve">stara (torej »predbolonjska«) univerzitetna izobrazba v 7. raven SOK, saj le-ta spada v 8. raven SOK. </w:t>
      </w:r>
    </w:p>
    <w:p w14:paraId="026EBF38" w14:textId="77777777" w:rsidR="00215B2F" w:rsidRPr="00215B2F" w:rsidRDefault="00215B2F" w:rsidP="00331072">
      <w:pPr>
        <w:pStyle w:val="Odstavek"/>
        <w:shd w:val="clear" w:color="auto" w:fill="FFFFFF" w:themeFill="background1"/>
        <w:spacing w:before="0"/>
        <w:ind w:firstLine="0"/>
        <w:rPr>
          <w:rFonts w:cs="Arial"/>
          <w:b/>
          <w:bCs/>
          <w:sz w:val="20"/>
          <w:szCs w:val="20"/>
        </w:rPr>
      </w:pPr>
    </w:p>
    <w:p w14:paraId="06845316" w14:textId="6EB521BC" w:rsidR="004B77AB" w:rsidRPr="00215B2F" w:rsidRDefault="004B77AB" w:rsidP="004B77AB">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_Ref202968986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523</w:t>
      </w:r>
      <w:r w:rsidRPr="00215B2F">
        <w:rPr>
          <w:rFonts w:ascii="Arial" w:hAnsi="Arial" w:cs="Arial"/>
          <w:b/>
          <w:bCs/>
          <w:sz w:val="20"/>
          <w:szCs w:val="20"/>
        </w:rPr>
        <w:fldChar w:fldCharType="end"/>
      </w:r>
      <w:r w:rsidRPr="00215B2F">
        <w:rPr>
          <w:rFonts w:ascii="Arial" w:hAnsi="Arial" w:cs="Arial"/>
          <w:b/>
          <w:bCs/>
          <w:sz w:val="20"/>
          <w:szCs w:val="20"/>
        </w:rPr>
        <w:t xml:space="preserve">. členu </w:t>
      </w:r>
      <w:r w:rsidRPr="00215B2F">
        <w:rPr>
          <w:rFonts w:ascii="Arial" w:eastAsia="Arial" w:hAnsi="Arial" w:cs="Arial"/>
          <w:b/>
          <w:bCs/>
          <w:sz w:val="20"/>
          <w:szCs w:val="20"/>
        </w:rPr>
        <w:t>(prenehanje veljavnosti predpisov</w:t>
      </w:r>
    </w:p>
    <w:p w14:paraId="1D742113" w14:textId="77777777" w:rsidR="004B77AB" w:rsidRPr="00215B2F" w:rsidRDefault="004B77AB" w:rsidP="004B77AB">
      <w:pPr>
        <w:pStyle w:val="Odstavek"/>
        <w:shd w:val="clear" w:color="auto" w:fill="FFFFFF" w:themeFill="background1"/>
        <w:spacing w:before="0"/>
        <w:ind w:firstLine="0"/>
        <w:rPr>
          <w:rFonts w:cs="Arial"/>
          <w:sz w:val="20"/>
          <w:szCs w:val="20"/>
        </w:rPr>
      </w:pPr>
    </w:p>
    <w:p w14:paraId="0EF12D59" w14:textId="77777777" w:rsidR="004B77AB" w:rsidRPr="00215B2F" w:rsidRDefault="004B77AB" w:rsidP="004B77AB">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Z dnem uveljavitve novega zakona prenehajo veljati trije podzakonski akti: Sklep o dokumentaciji za izdajo dovoljenja za kvalificirano naložbo banke in hranilnice, Sklep o odlogu in prenehanju obveznosti poročanja za različne finančne subjekte ter Sklep o dokumentaciji za izdajo dovoljenja za ustanovitev podružnice banke tretje države.</w:t>
      </w:r>
    </w:p>
    <w:p w14:paraId="31D85065" w14:textId="77777777" w:rsidR="004B77AB" w:rsidRPr="00215B2F" w:rsidRDefault="004B77AB" w:rsidP="00331072">
      <w:pPr>
        <w:pStyle w:val="Odstavek"/>
        <w:shd w:val="clear" w:color="auto" w:fill="FFFFFF" w:themeFill="background1"/>
        <w:spacing w:before="0"/>
        <w:ind w:firstLine="0"/>
        <w:rPr>
          <w:rFonts w:cs="Arial"/>
          <w:b/>
          <w:bCs/>
          <w:sz w:val="20"/>
          <w:szCs w:val="20"/>
        </w:rPr>
      </w:pPr>
    </w:p>
    <w:p w14:paraId="42773832" w14:textId="590049E2" w:rsidR="006372F6" w:rsidRPr="00215B2F" w:rsidRDefault="0010347E" w:rsidP="006372F6">
      <w:pPr>
        <w:shd w:val="clear" w:color="auto" w:fill="FFFFFF" w:themeFill="background1"/>
        <w:spacing w:after="0" w:line="240" w:lineRule="auto"/>
        <w:rPr>
          <w:rFonts w:ascii="Arial" w:eastAsia="Arial" w:hAnsi="Arial" w:cs="Arial"/>
          <w:b/>
          <w:bCs/>
          <w:sz w:val="20"/>
          <w:szCs w:val="20"/>
        </w:rPr>
      </w:pPr>
      <w:r w:rsidRPr="00215B2F">
        <w:rPr>
          <w:rFonts w:ascii="Arial" w:hAnsi="Arial" w:cs="Arial"/>
          <w:b/>
          <w:bCs/>
          <w:sz w:val="20"/>
          <w:szCs w:val="20"/>
        </w:rPr>
        <w:t xml:space="preserve">K </w:t>
      </w:r>
      <w:r w:rsidRPr="00215B2F">
        <w:rPr>
          <w:rFonts w:ascii="Arial" w:hAnsi="Arial" w:cs="Arial"/>
          <w:b/>
          <w:bCs/>
          <w:sz w:val="20"/>
          <w:szCs w:val="20"/>
        </w:rPr>
        <w:fldChar w:fldCharType="begin"/>
      </w:r>
      <w:r w:rsidRPr="00215B2F">
        <w:rPr>
          <w:rFonts w:ascii="Arial" w:hAnsi="Arial" w:cs="Arial"/>
          <w:b/>
          <w:bCs/>
          <w:sz w:val="20"/>
          <w:szCs w:val="20"/>
        </w:rPr>
        <w:instrText xml:space="preserve"> REF _Ref202969013 \r \h  \* MERGEFORMAT </w:instrText>
      </w:r>
      <w:r w:rsidRPr="00215B2F">
        <w:rPr>
          <w:rFonts w:ascii="Arial" w:hAnsi="Arial" w:cs="Arial"/>
          <w:b/>
          <w:bCs/>
          <w:sz w:val="20"/>
          <w:szCs w:val="20"/>
        </w:rPr>
      </w:r>
      <w:r w:rsidRPr="00215B2F">
        <w:rPr>
          <w:rFonts w:ascii="Arial" w:hAnsi="Arial" w:cs="Arial"/>
          <w:b/>
          <w:bCs/>
          <w:sz w:val="20"/>
          <w:szCs w:val="20"/>
        </w:rPr>
        <w:fldChar w:fldCharType="separate"/>
      </w:r>
      <w:r w:rsidR="0042445E">
        <w:rPr>
          <w:rFonts w:ascii="Arial" w:hAnsi="Arial" w:cs="Arial"/>
          <w:b/>
          <w:bCs/>
          <w:sz w:val="20"/>
          <w:szCs w:val="20"/>
        </w:rPr>
        <w:t>524</w:t>
      </w:r>
      <w:r w:rsidRPr="00215B2F">
        <w:rPr>
          <w:rFonts w:ascii="Arial" w:hAnsi="Arial" w:cs="Arial"/>
          <w:b/>
          <w:bCs/>
          <w:sz w:val="20"/>
          <w:szCs w:val="20"/>
        </w:rPr>
        <w:fldChar w:fldCharType="end"/>
      </w:r>
      <w:r w:rsidRPr="00215B2F">
        <w:rPr>
          <w:rFonts w:ascii="Arial" w:hAnsi="Arial" w:cs="Arial"/>
          <w:b/>
          <w:bCs/>
          <w:sz w:val="20"/>
          <w:szCs w:val="20"/>
        </w:rPr>
        <w:t xml:space="preserve">. členu </w:t>
      </w:r>
      <w:r w:rsidR="006372F6" w:rsidRPr="00215B2F">
        <w:rPr>
          <w:rFonts w:ascii="Arial" w:eastAsia="Arial" w:hAnsi="Arial" w:cs="Arial"/>
          <w:b/>
          <w:bCs/>
          <w:sz w:val="20"/>
          <w:szCs w:val="20"/>
        </w:rPr>
        <w:t>(začetek veljavnosti)</w:t>
      </w:r>
    </w:p>
    <w:p w14:paraId="7A2C3F6B" w14:textId="77777777" w:rsidR="0010347E" w:rsidRPr="00215B2F" w:rsidRDefault="0010347E" w:rsidP="0010347E">
      <w:pPr>
        <w:pStyle w:val="Odstavek"/>
        <w:shd w:val="clear" w:color="auto" w:fill="FFFFFF" w:themeFill="background1"/>
        <w:spacing w:before="0"/>
        <w:ind w:firstLine="0"/>
        <w:rPr>
          <w:rFonts w:cs="Arial"/>
          <w:sz w:val="20"/>
          <w:szCs w:val="20"/>
        </w:rPr>
      </w:pPr>
    </w:p>
    <w:p w14:paraId="0E89D6CC" w14:textId="5BAD2761" w:rsidR="0010347E" w:rsidRPr="00215B2F" w:rsidRDefault="003444B1" w:rsidP="0010347E">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lastRenderedPageBreak/>
        <w:t>Z določbo v prvem odstavku</w:t>
      </w:r>
      <w:r w:rsidR="0010347E" w:rsidRPr="00215B2F">
        <w:rPr>
          <w:rFonts w:ascii="Arial" w:hAnsi="Arial" w:cs="Arial"/>
          <w:sz w:val="20"/>
          <w:szCs w:val="20"/>
        </w:rPr>
        <w:t xml:space="preserve"> se določa, da zakon začne veljati petnajsti dan po objavi v Uradnem listu Republike Slovenije.</w:t>
      </w:r>
    </w:p>
    <w:p w14:paraId="59020B60" w14:textId="77777777" w:rsidR="0010347E" w:rsidRPr="00215B2F" w:rsidRDefault="0010347E" w:rsidP="0010347E">
      <w:pPr>
        <w:pStyle w:val="Odstavek"/>
        <w:shd w:val="clear" w:color="auto" w:fill="FFFFFF" w:themeFill="background1"/>
        <w:spacing w:before="0"/>
        <w:ind w:firstLine="0"/>
        <w:rPr>
          <w:rFonts w:cs="Arial"/>
          <w:b/>
          <w:bCs/>
          <w:sz w:val="20"/>
          <w:szCs w:val="20"/>
        </w:rPr>
      </w:pPr>
    </w:p>
    <w:p w14:paraId="782B3F92" w14:textId="002A0A42" w:rsidR="00FC4831" w:rsidRPr="00215B2F" w:rsidRDefault="00FC4831" w:rsidP="00FC4831">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Določba</w:t>
      </w:r>
      <w:r w:rsidR="003444B1" w:rsidRPr="00215B2F">
        <w:rPr>
          <w:rFonts w:ascii="Arial" w:hAnsi="Arial" w:cs="Arial"/>
          <w:sz w:val="20"/>
          <w:szCs w:val="20"/>
        </w:rPr>
        <w:t xml:space="preserve"> v tretjem odstavku</w:t>
      </w:r>
      <w:r w:rsidRPr="00215B2F">
        <w:rPr>
          <w:rFonts w:ascii="Arial" w:hAnsi="Arial" w:cs="Arial"/>
          <w:sz w:val="20"/>
          <w:szCs w:val="20"/>
        </w:rPr>
        <w:t xml:space="preserve"> je potrebna zaradi uskladitve z začetkom veljavnosti predmetnih členov v prehodni določbi, ki se nanašajo na določbe Direktive 2023/2864/EU, ki med drugim spreminjajo Direktivo 2013/36/EU v zvezi z zagotavljanjem določenih informacij na evropsko enotno točko dostopa, in se začnejo uporabljati z 10. januarjem 2030. Navedeni rok je določen na podlagi prenosa 10. člena Direktive 2023/2864/EU, ki določa, da </w:t>
      </w:r>
      <w:r w:rsidRPr="00215B2F">
        <w:rPr>
          <w:rFonts w:ascii="Arial" w:hAnsi="Arial" w:cs="Arial"/>
          <w:sz w:val="20"/>
          <w:szCs w:val="20"/>
          <w:shd w:val="clear" w:color="auto" w:fill="FFFFFF"/>
        </w:rPr>
        <w:t>države članice od 10. januarja 2030 zagotovijo, da so informacije iz člena 68(1) in (2) ter člena 131(12) te direktive dostopne na evropski enotni točki dostopa (ESAP), vzpostavljeni na podlagi Uredbe (EU) 2023/2859 Evropskega parlamenta in Sveta</w:t>
      </w:r>
      <w:r w:rsidRPr="00215B2F">
        <w:rPr>
          <w:rFonts w:ascii="Arial" w:hAnsi="Arial" w:cs="Arial"/>
          <w:sz w:val="20"/>
          <w:szCs w:val="20"/>
        </w:rPr>
        <w:t>.</w:t>
      </w:r>
    </w:p>
    <w:p w14:paraId="7B95ABDE" w14:textId="77777777" w:rsidR="003444B1" w:rsidRPr="00215B2F" w:rsidRDefault="003444B1" w:rsidP="00FC4831">
      <w:pPr>
        <w:shd w:val="clear" w:color="auto" w:fill="FFFFFF" w:themeFill="background1"/>
        <w:spacing w:after="0" w:line="240" w:lineRule="auto"/>
        <w:jc w:val="both"/>
        <w:rPr>
          <w:rFonts w:ascii="Arial" w:hAnsi="Arial" w:cs="Arial"/>
          <w:sz w:val="20"/>
          <w:szCs w:val="20"/>
        </w:rPr>
      </w:pPr>
    </w:p>
    <w:p w14:paraId="1B7185FC" w14:textId="3B640BB7" w:rsidR="003444B1" w:rsidRPr="00215B2F" w:rsidRDefault="003444B1" w:rsidP="00FC4831">
      <w:p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S tretjim in četrtim odstavkom se določata končni določbi za podružnice tretjih držav.</w:t>
      </w:r>
    </w:p>
    <w:p w14:paraId="28A9B4EE" w14:textId="77777777" w:rsidR="004B77AB" w:rsidRPr="00215B2F" w:rsidRDefault="004B77AB" w:rsidP="0010347E">
      <w:pPr>
        <w:pStyle w:val="Odstavek"/>
        <w:shd w:val="clear" w:color="auto" w:fill="FFFFFF" w:themeFill="background1"/>
        <w:spacing w:before="0"/>
        <w:ind w:firstLine="0"/>
        <w:rPr>
          <w:rFonts w:cs="Arial"/>
          <w:b/>
          <w:bCs/>
          <w:sz w:val="20"/>
          <w:szCs w:val="20"/>
        </w:rPr>
      </w:pPr>
    </w:p>
    <w:p w14:paraId="773C602B" w14:textId="77777777" w:rsidR="003F421A" w:rsidRPr="00215B2F" w:rsidRDefault="003F421A" w:rsidP="0010347E">
      <w:pPr>
        <w:pStyle w:val="Odstavek"/>
        <w:shd w:val="clear" w:color="auto" w:fill="FFFFFF" w:themeFill="background1"/>
        <w:spacing w:before="0"/>
        <w:ind w:firstLine="0"/>
        <w:rPr>
          <w:rFonts w:cs="Arial"/>
          <w:b/>
          <w:bCs/>
          <w:sz w:val="20"/>
          <w:szCs w:val="20"/>
        </w:rPr>
      </w:pPr>
    </w:p>
    <w:p w14:paraId="24ABC470" w14:textId="77777777" w:rsidR="003F421A" w:rsidRPr="00215B2F" w:rsidRDefault="003F421A" w:rsidP="0010347E">
      <w:pPr>
        <w:pStyle w:val="Odstavek"/>
        <w:shd w:val="clear" w:color="auto" w:fill="FFFFFF" w:themeFill="background1"/>
        <w:spacing w:before="0"/>
        <w:ind w:firstLine="0"/>
        <w:rPr>
          <w:rFonts w:cs="Arial"/>
          <w:b/>
          <w:bCs/>
          <w:sz w:val="20"/>
          <w:szCs w:val="20"/>
        </w:rPr>
      </w:pPr>
    </w:p>
    <w:p w14:paraId="7B9EF8D3" w14:textId="77777777" w:rsidR="003444B1" w:rsidRPr="00215B2F" w:rsidRDefault="003444B1" w:rsidP="0010347E">
      <w:pPr>
        <w:pStyle w:val="Odstavek"/>
        <w:shd w:val="clear" w:color="auto" w:fill="FFFFFF" w:themeFill="background1"/>
        <w:spacing w:before="0"/>
        <w:ind w:firstLine="0"/>
        <w:rPr>
          <w:rFonts w:cs="Arial"/>
          <w:b/>
          <w:bCs/>
          <w:sz w:val="20"/>
          <w:szCs w:val="20"/>
        </w:rPr>
      </w:pPr>
    </w:p>
    <w:p w14:paraId="189FB30D" w14:textId="77777777" w:rsidR="003444B1" w:rsidRPr="00215B2F" w:rsidRDefault="003444B1" w:rsidP="0010347E">
      <w:pPr>
        <w:pStyle w:val="Odstavek"/>
        <w:shd w:val="clear" w:color="auto" w:fill="FFFFFF" w:themeFill="background1"/>
        <w:spacing w:before="0"/>
        <w:ind w:firstLine="0"/>
        <w:rPr>
          <w:rFonts w:cs="Arial"/>
          <w:b/>
          <w:bCs/>
          <w:sz w:val="20"/>
          <w:szCs w:val="20"/>
        </w:rPr>
      </w:pPr>
    </w:p>
    <w:p w14:paraId="67A35788" w14:textId="77777777" w:rsidR="003444B1" w:rsidRPr="00215B2F" w:rsidRDefault="003444B1" w:rsidP="0010347E">
      <w:pPr>
        <w:pStyle w:val="Odstavek"/>
        <w:shd w:val="clear" w:color="auto" w:fill="FFFFFF" w:themeFill="background1"/>
        <w:spacing w:before="0"/>
        <w:ind w:firstLine="0"/>
        <w:rPr>
          <w:rFonts w:cs="Arial"/>
          <w:b/>
          <w:bCs/>
          <w:sz w:val="20"/>
          <w:szCs w:val="20"/>
        </w:rPr>
      </w:pPr>
    </w:p>
    <w:p w14:paraId="464ACAB4" w14:textId="77777777" w:rsidR="003444B1" w:rsidRPr="00215B2F" w:rsidRDefault="003444B1" w:rsidP="0010347E">
      <w:pPr>
        <w:pStyle w:val="Odstavek"/>
        <w:shd w:val="clear" w:color="auto" w:fill="FFFFFF" w:themeFill="background1"/>
        <w:spacing w:before="0"/>
        <w:ind w:firstLine="0"/>
        <w:rPr>
          <w:rFonts w:cs="Arial"/>
          <w:b/>
          <w:bCs/>
          <w:sz w:val="20"/>
          <w:szCs w:val="20"/>
        </w:rPr>
      </w:pPr>
    </w:p>
    <w:p w14:paraId="7EC5A37B" w14:textId="77777777" w:rsidR="003444B1" w:rsidRPr="00215B2F" w:rsidRDefault="003444B1" w:rsidP="0010347E">
      <w:pPr>
        <w:pStyle w:val="Odstavek"/>
        <w:shd w:val="clear" w:color="auto" w:fill="FFFFFF" w:themeFill="background1"/>
        <w:spacing w:before="0"/>
        <w:ind w:firstLine="0"/>
        <w:rPr>
          <w:rFonts w:cs="Arial"/>
          <w:b/>
          <w:bCs/>
          <w:sz w:val="20"/>
          <w:szCs w:val="20"/>
        </w:rPr>
      </w:pPr>
    </w:p>
    <w:p w14:paraId="2F692787" w14:textId="77777777" w:rsidR="003444B1" w:rsidRPr="00215B2F" w:rsidRDefault="003444B1" w:rsidP="0010347E">
      <w:pPr>
        <w:pStyle w:val="Odstavek"/>
        <w:shd w:val="clear" w:color="auto" w:fill="FFFFFF" w:themeFill="background1"/>
        <w:spacing w:before="0"/>
        <w:ind w:firstLine="0"/>
        <w:rPr>
          <w:rFonts w:cs="Arial"/>
          <w:b/>
          <w:bCs/>
          <w:sz w:val="20"/>
          <w:szCs w:val="20"/>
        </w:rPr>
      </w:pPr>
    </w:p>
    <w:p w14:paraId="4F91C04C" w14:textId="77777777" w:rsidR="003444B1" w:rsidRPr="00215B2F" w:rsidRDefault="003444B1" w:rsidP="0010347E">
      <w:pPr>
        <w:pStyle w:val="Odstavek"/>
        <w:shd w:val="clear" w:color="auto" w:fill="FFFFFF" w:themeFill="background1"/>
        <w:spacing w:before="0"/>
        <w:ind w:firstLine="0"/>
        <w:rPr>
          <w:rFonts w:cs="Arial"/>
          <w:b/>
          <w:bCs/>
          <w:sz w:val="20"/>
          <w:szCs w:val="20"/>
        </w:rPr>
      </w:pPr>
    </w:p>
    <w:p w14:paraId="5F0A8361" w14:textId="77777777" w:rsidR="003444B1" w:rsidRPr="00215B2F" w:rsidRDefault="003444B1" w:rsidP="0010347E">
      <w:pPr>
        <w:pStyle w:val="Odstavek"/>
        <w:shd w:val="clear" w:color="auto" w:fill="FFFFFF" w:themeFill="background1"/>
        <w:spacing w:before="0"/>
        <w:ind w:firstLine="0"/>
        <w:rPr>
          <w:rFonts w:cs="Arial"/>
          <w:b/>
          <w:bCs/>
          <w:sz w:val="20"/>
          <w:szCs w:val="20"/>
        </w:rPr>
      </w:pPr>
    </w:p>
    <w:p w14:paraId="1C942047" w14:textId="28C142C2" w:rsidR="0010347E" w:rsidRPr="00215B2F" w:rsidRDefault="0010347E" w:rsidP="0010347E">
      <w:pPr>
        <w:shd w:val="clear" w:color="auto" w:fill="FFFFFF" w:themeFill="background1"/>
        <w:spacing w:after="0" w:line="240" w:lineRule="auto"/>
        <w:rPr>
          <w:rFonts w:ascii="Arial" w:hAnsi="Arial" w:cs="Arial"/>
          <w:b/>
          <w:bCs/>
          <w:sz w:val="20"/>
          <w:szCs w:val="20"/>
        </w:rPr>
      </w:pPr>
      <w:r w:rsidRPr="00215B2F">
        <w:rPr>
          <w:rFonts w:ascii="Arial" w:hAnsi="Arial" w:cs="Arial"/>
          <w:b/>
          <w:bCs/>
          <w:sz w:val="20"/>
          <w:szCs w:val="20"/>
        </w:rPr>
        <w:t>IV. BESEDILO ČLENOV, KI SE SPREMINJAJO</w:t>
      </w:r>
    </w:p>
    <w:p w14:paraId="79A7129D" w14:textId="77777777" w:rsidR="0010347E" w:rsidRPr="00215B2F" w:rsidRDefault="0010347E" w:rsidP="0010347E">
      <w:pPr>
        <w:shd w:val="clear" w:color="auto" w:fill="FFFFFF" w:themeFill="background1"/>
        <w:spacing w:after="0" w:line="240" w:lineRule="auto"/>
        <w:rPr>
          <w:rFonts w:ascii="Arial" w:hAnsi="Arial" w:cs="Arial"/>
          <w:b/>
          <w:bCs/>
          <w:sz w:val="20"/>
          <w:szCs w:val="20"/>
        </w:rPr>
      </w:pPr>
    </w:p>
    <w:p w14:paraId="33D56651" w14:textId="77777777" w:rsidR="00C1758B" w:rsidRPr="00215B2F" w:rsidRDefault="00C1758B" w:rsidP="00C1758B">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Zakon o potrošnikih kreditih</w:t>
      </w:r>
    </w:p>
    <w:p w14:paraId="1CC3124F" w14:textId="77777777" w:rsidR="00C1758B" w:rsidRPr="00215B2F" w:rsidRDefault="00C1758B" w:rsidP="00C1758B">
      <w:pPr>
        <w:shd w:val="clear" w:color="auto" w:fill="FFFFFF" w:themeFill="background1"/>
        <w:spacing w:after="0" w:line="240" w:lineRule="auto"/>
        <w:jc w:val="center"/>
        <w:rPr>
          <w:rFonts w:ascii="Arial" w:eastAsia="Arial" w:hAnsi="Arial" w:cs="Arial"/>
          <w:b/>
          <w:bCs/>
          <w:sz w:val="20"/>
          <w:szCs w:val="20"/>
        </w:rPr>
      </w:pPr>
      <w:r w:rsidRPr="00215B2F">
        <w:rPr>
          <w:rFonts w:ascii="Arial" w:eastAsia="Arial" w:hAnsi="Arial" w:cs="Arial"/>
          <w:b/>
          <w:bCs/>
          <w:sz w:val="20"/>
          <w:szCs w:val="20"/>
        </w:rPr>
        <w:t>(Uradni list RS, št. 77/16, 92/21 – ZBan-3 in 12/24 – ZKSNKB)</w:t>
      </w:r>
    </w:p>
    <w:p w14:paraId="02A23539" w14:textId="77777777" w:rsidR="00C1758B" w:rsidRPr="00215B2F" w:rsidRDefault="00C1758B" w:rsidP="00C1758B">
      <w:pPr>
        <w:spacing w:after="0" w:line="240" w:lineRule="auto"/>
        <w:jc w:val="center"/>
        <w:rPr>
          <w:rFonts w:ascii="Arial" w:hAnsi="Arial" w:cs="Arial"/>
          <w:b/>
          <w:bCs/>
          <w:sz w:val="20"/>
          <w:szCs w:val="20"/>
        </w:rPr>
      </w:pPr>
    </w:p>
    <w:p w14:paraId="23E07AFD" w14:textId="77777777" w:rsidR="00C1758B" w:rsidRPr="00215B2F" w:rsidRDefault="00C1758B" w:rsidP="00C1758B">
      <w:pPr>
        <w:spacing w:after="0" w:line="240" w:lineRule="auto"/>
        <w:jc w:val="center"/>
        <w:rPr>
          <w:rFonts w:ascii="Arial" w:hAnsi="Arial" w:cs="Arial"/>
          <w:b/>
          <w:bCs/>
          <w:sz w:val="20"/>
          <w:szCs w:val="20"/>
        </w:rPr>
      </w:pPr>
      <w:r w:rsidRPr="00215B2F">
        <w:rPr>
          <w:rFonts w:ascii="Arial" w:hAnsi="Arial" w:cs="Arial"/>
          <w:b/>
          <w:bCs/>
          <w:sz w:val="20"/>
          <w:szCs w:val="20"/>
        </w:rPr>
        <w:t>76. člen</w:t>
      </w:r>
    </w:p>
    <w:p w14:paraId="75DB06FD" w14:textId="77777777" w:rsidR="00C1758B" w:rsidRPr="00215B2F" w:rsidRDefault="00C1758B" w:rsidP="00C1758B">
      <w:pPr>
        <w:spacing w:after="0" w:line="240" w:lineRule="auto"/>
        <w:jc w:val="center"/>
        <w:rPr>
          <w:rFonts w:ascii="Arial" w:hAnsi="Arial" w:cs="Arial"/>
          <w:b/>
          <w:bCs/>
          <w:sz w:val="20"/>
          <w:szCs w:val="20"/>
        </w:rPr>
      </w:pPr>
      <w:r w:rsidRPr="00215B2F">
        <w:rPr>
          <w:rFonts w:ascii="Arial" w:hAnsi="Arial" w:cs="Arial"/>
          <w:b/>
          <w:bCs/>
          <w:sz w:val="20"/>
          <w:szCs w:val="20"/>
        </w:rPr>
        <w:t>(postopek odločanja Banke Slovenije v posamičnih zadevah in postopek sodnega varstva)</w:t>
      </w:r>
    </w:p>
    <w:p w14:paraId="6EA808E6" w14:textId="77777777" w:rsidR="00C1758B" w:rsidRPr="00215B2F" w:rsidRDefault="00C1758B" w:rsidP="00C1758B">
      <w:pPr>
        <w:spacing w:after="0" w:line="240" w:lineRule="auto"/>
        <w:jc w:val="both"/>
        <w:rPr>
          <w:rFonts w:ascii="Arial" w:hAnsi="Arial" w:cs="Arial"/>
          <w:b/>
          <w:bCs/>
          <w:sz w:val="20"/>
          <w:szCs w:val="20"/>
        </w:rPr>
      </w:pPr>
    </w:p>
    <w:p w14:paraId="3F6A5C76" w14:textId="77777777" w:rsidR="00C1758B" w:rsidRPr="00215B2F" w:rsidRDefault="00C1758B" w:rsidP="00C1758B">
      <w:pPr>
        <w:spacing w:after="0" w:line="240" w:lineRule="auto"/>
        <w:jc w:val="both"/>
        <w:rPr>
          <w:rFonts w:ascii="Arial" w:hAnsi="Arial" w:cs="Arial"/>
          <w:sz w:val="20"/>
          <w:szCs w:val="20"/>
        </w:rPr>
      </w:pPr>
      <w:r w:rsidRPr="00215B2F">
        <w:rPr>
          <w:rFonts w:ascii="Arial" w:hAnsi="Arial" w:cs="Arial"/>
          <w:sz w:val="20"/>
          <w:szCs w:val="20"/>
        </w:rPr>
        <w:t>Banka Slovenije smiselno uporablja 351. do 394. člen Zakona o bančništvu (Uradni list RS, št. 92/21; v nadaljnjem besedilu: Zakon o bančništvu):</w:t>
      </w:r>
    </w:p>
    <w:p w14:paraId="70B2A2DF" w14:textId="77777777" w:rsidR="00C1758B" w:rsidRPr="00215B2F" w:rsidRDefault="00C1758B" w:rsidP="00C1758B">
      <w:pPr>
        <w:spacing w:after="0" w:line="240" w:lineRule="auto"/>
        <w:jc w:val="both"/>
        <w:rPr>
          <w:rFonts w:ascii="Arial" w:hAnsi="Arial" w:cs="Arial"/>
          <w:b/>
          <w:bCs/>
          <w:sz w:val="20"/>
          <w:szCs w:val="20"/>
        </w:rPr>
      </w:pPr>
    </w:p>
    <w:p w14:paraId="101F4B83" w14:textId="77777777" w:rsidR="00C1758B" w:rsidRPr="00215B2F" w:rsidRDefault="00C1758B" w:rsidP="00C1758B">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pri izdaji ali podaljšanju dovoljenja za posredovanje potrošniških kreditov za nepremičnino ali izvajanje svetovalnih storitev v zvezi s temi krediti v skladu s 63. členom tega zakona,</w:t>
      </w:r>
    </w:p>
    <w:p w14:paraId="1BA095DE" w14:textId="77777777" w:rsidR="00C1758B" w:rsidRPr="00215B2F" w:rsidRDefault="00C1758B" w:rsidP="00C1758B">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pri prenehanju ali odvzemu dovoljenja za posredovanje potrošniških kreditov za nepremičnino ali izvajanju svetovalnih storitev v zvezi s temi krediti v skladu s 65. in 66. členom tega zakona,</w:t>
      </w:r>
    </w:p>
    <w:p w14:paraId="7AA21EBE" w14:textId="77777777" w:rsidR="00C1758B" w:rsidRPr="00215B2F" w:rsidRDefault="00C1758B" w:rsidP="00C1758B">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pri vpisu in izbrisu v register kreditnih posrednikov, ki jim je bilo izdano ali podaljšano dovoljenje za posredovanje potrošniških kreditov za nepremičnino v skladu s 64. členom tega zakona,</w:t>
      </w:r>
    </w:p>
    <w:p w14:paraId="38824899" w14:textId="77777777" w:rsidR="00C1758B" w:rsidRPr="00215B2F" w:rsidRDefault="00C1758B" w:rsidP="00C1758B">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pri izdaji dovoljenja za opravljanje storitev potrošniškega kreditiranja v obliki finančnega zakupa nepremičnin ali izvajanja svetovalnih storitev v zvezi s temi krediti v skladu s 67. členom tega zakona,</w:t>
      </w:r>
    </w:p>
    <w:p w14:paraId="7927ECDF" w14:textId="77777777" w:rsidR="00C1758B" w:rsidRPr="00215B2F" w:rsidRDefault="00C1758B" w:rsidP="00C1758B">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pri vpisu in izbrisu v register dajalcev kreditov, ki jim je bilo izdano dovoljenje za opravljanje storitev finančnega zakupa nepremičnin ali izvajanju svetovalnih storitev v zvezi s temi krediti v skladu z 69. členom tega zakona,</w:t>
      </w:r>
    </w:p>
    <w:p w14:paraId="0BB7184F" w14:textId="77777777" w:rsidR="00C1758B" w:rsidRPr="00215B2F" w:rsidRDefault="00C1758B" w:rsidP="00C1758B">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pri prenehanju ali odvzemu dovoljenja za opravljanje storitev potrošniškega kreditiranja v obliki finančnega zakupa nepremičnin ali izvajanju svetovalnih storitev v zvezi s temi krediti v skladu z 71. in 72. členom tega zakona,</w:t>
      </w:r>
    </w:p>
    <w:p w14:paraId="0A2C3464" w14:textId="77777777" w:rsidR="00C1758B" w:rsidRPr="00215B2F" w:rsidRDefault="00C1758B" w:rsidP="00C1758B">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pri izvajanju nadzora nad dajalci kreditov in kreditnimi posredniki iz drugega odstavka 78. člena tega zakona,</w:t>
      </w:r>
    </w:p>
    <w:p w14:paraId="5CE2A1D0" w14:textId="77777777" w:rsidR="00C1758B" w:rsidRPr="00215B2F" w:rsidRDefault="00C1758B" w:rsidP="00C1758B">
      <w:pPr>
        <w:numPr>
          <w:ilvl w:val="0"/>
          <w:numId w:val="26"/>
        </w:numPr>
        <w:shd w:val="clear" w:color="auto" w:fill="FFFFFF" w:themeFill="background1"/>
        <w:spacing w:after="0" w:line="240" w:lineRule="auto"/>
        <w:jc w:val="both"/>
        <w:rPr>
          <w:rFonts w:ascii="Arial" w:hAnsi="Arial" w:cs="Arial"/>
          <w:sz w:val="20"/>
          <w:szCs w:val="20"/>
        </w:rPr>
      </w:pPr>
      <w:r w:rsidRPr="00215B2F">
        <w:rPr>
          <w:rFonts w:ascii="Arial" w:hAnsi="Arial" w:cs="Arial"/>
          <w:sz w:val="20"/>
          <w:szCs w:val="20"/>
        </w:rPr>
        <w:t>za postopek sodnega varstva proti odločbam, ki jih izda Banka Slovenije.</w:t>
      </w:r>
    </w:p>
    <w:p w14:paraId="7D669F52" w14:textId="77777777" w:rsidR="00C1758B" w:rsidRPr="00215B2F" w:rsidRDefault="00C1758B" w:rsidP="00C1758B">
      <w:pPr>
        <w:spacing w:after="0" w:line="240" w:lineRule="auto"/>
        <w:jc w:val="both"/>
        <w:rPr>
          <w:rFonts w:ascii="Arial" w:hAnsi="Arial" w:cs="Arial"/>
          <w:b/>
          <w:bCs/>
          <w:sz w:val="20"/>
          <w:szCs w:val="20"/>
        </w:rPr>
      </w:pPr>
    </w:p>
    <w:p w14:paraId="64FB092B" w14:textId="77777777" w:rsidR="00C1758B" w:rsidRPr="00215B2F" w:rsidRDefault="00C1758B" w:rsidP="00C1758B">
      <w:pPr>
        <w:spacing w:after="0" w:line="240" w:lineRule="auto"/>
        <w:jc w:val="center"/>
        <w:rPr>
          <w:rFonts w:ascii="Arial" w:hAnsi="Arial" w:cs="Arial"/>
          <w:b/>
          <w:bCs/>
          <w:sz w:val="20"/>
          <w:szCs w:val="20"/>
        </w:rPr>
      </w:pPr>
      <w:r w:rsidRPr="00215B2F">
        <w:rPr>
          <w:rFonts w:ascii="Arial" w:hAnsi="Arial" w:cs="Arial"/>
          <w:b/>
          <w:bCs/>
          <w:sz w:val="20"/>
          <w:szCs w:val="20"/>
        </w:rPr>
        <w:t>84. člen</w:t>
      </w:r>
    </w:p>
    <w:p w14:paraId="0D9BA48B" w14:textId="77777777" w:rsidR="00C1758B" w:rsidRPr="00215B2F" w:rsidRDefault="00C1758B" w:rsidP="00C1758B">
      <w:pPr>
        <w:spacing w:after="0" w:line="240" w:lineRule="auto"/>
        <w:jc w:val="center"/>
        <w:rPr>
          <w:rFonts w:ascii="Arial" w:hAnsi="Arial" w:cs="Arial"/>
          <w:b/>
          <w:bCs/>
          <w:sz w:val="20"/>
          <w:szCs w:val="20"/>
        </w:rPr>
      </w:pPr>
      <w:r w:rsidRPr="00215B2F">
        <w:rPr>
          <w:rFonts w:ascii="Arial" w:hAnsi="Arial" w:cs="Arial"/>
          <w:b/>
          <w:bCs/>
          <w:sz w:val="20"/>
          <w:szCs w:val="20"/>
        </w:rPr>
        <w:t>(ukrepi nadzora in pregled poslovanja)</w:t>
      </w:r>
    </w:p>
    <w:p w14:paraId="196951FB" w14:textId="77777777" w:rsidR="00C1758B" w:rsidRPr="00215B2F" w:rsidRDefault="00C1758B" w:rsidP="00C1758B">
      <w:pPr>
        <w:spacing w:after="0" w:line="240" w:lineRule="auto"/>
        <w:jc w:val="center"/>
        <w:rPr>
          <w:rFonts w:ascii="Arial" w:hAnsi="Arial" w:cs="Arial"/>
          <w:b/>
          <w:bCs/>
          <w:sz w:val="20"/>
          <w:szCs w:val="20"/>
        </w:rPr>
      </w:pPr>
    </w:p>
    <w:p w14:paraId="27042DE2" w14:textId="77777777" w:rsidR="00C1758B" w:rsidRPr="00215B2F" w:rsidRDefault="00C1758B" w:rsidP="00C1758B">
      <w:pPr>
        <w:spacing w:after="0" w:line="240" w:lineRule="auto"/>
        <w:jc w:val="both"/>
        <w:rPr>
          <w:rFonts w:ascii="Arial" w:hAnsi="Arial" w:cs="Arial"/>
          <w:sz w:val="20"/>
          <w:szCs w:val="20"/>
        </w:rPr>
      </w:pPr>
      <w:r w:rsidRPr="00215B2F">
        <w:rPr>
          <w:rFonts w:ascii="Arial" w:hAnsi="Arial" w:cs="Arial"/>
          <w:sz w:val="20"/>
          <w:szCs w:val="20"/>
        </w:rPr>
        <w:t>(1) Banka Slovenije pri pregledu poslovanja nad dajalci kredita in kreditnimi posredniki iz drugega odstavka 78. člena tega zakona smiselno uporablja 272. do 277. člen Zakona o bančništvu.</w:t>
      </w:r>
    </w:p>
    <w:p w14:paraId="6660F238" w14:textId="77777777" w:rsidR="00C1758B" w:rsidRPr="00215B2F" w:rsidRDefault="00C1758B" w:rsidP="00C1758B">
      <w:pPr>
        <w:spacing w:after="0" w:line="240" w:lineRule="auto"/>
        <w:jc w:val="both"/>
        <w:rPr>
          <w:rFonts w:ascii="Arial" w:hAnsi="Arial" w:cs="Arial"/>
          <w:sz w:val="20"/>
          <w:szCs w:val="20"/>
        </w:rPr>
      </w:pPr>
    </w:p>
    <w:p w14:paraId="3039343F" w14:textId="77777777" w:rsidR="00C1758B" w:rsidRPr="00215B2F" w:rsidRDefault="00C1758B" w:rsidP="00C1758B">
      <w:pPr>
        <w:spacing w:after="0" w:line="240" w:lineRule="auto"/>
        <w:jc w:val="both"/>
        <w:rPr>
          <w:rFonts w:ascii="Arial" w:hAnsi="Arial" w:cs="Arial"/>
          <w:sz w:val="20"/>
          <w:szCs w:val="20"/>
        </w:rPr>
      </w:pPr>
      <w:r w:rsidRPr="00215B2F">
        <w:rPr>
          <w:rFonts w:ascii="Arial" w:hAnsi="Arial" w:cs="Arial"/>
          <w:sz w:val="20"/>
          <w:szCs w:val="20"/>
        </w:rPr>
        <w:lastRenderedPageBreak/>
        <w:t>(2) Inšpektor ali inšpektorica Banke Slovenije (v nadaljnjem besedilu: inšpektor Banke Slovenije) lahko pri izvajanju nadzora od dajalca kredita ali kreditnega posrednika zahteva vpogled v sklenjene kreditne pogodbe za nepremičnino. Če sklenjenih kreditnih pogodb za nepremičnino ni v poslovnih prostorih dajalca kredita, v katerih se sklepajo, jih dajalec kredita inšpektorju predloži najpozneje naslednji delovni dan po opravljenem inšpekcijskem pregledu.</w:t>
      </w:r>
    </w:p>
    <w:p w14:paraId="1D962FED" w14:textId="77777777" w:rsidR="00C1758B" w:rsidRPr="00215B2F" w:rsidRDefault="00C1758B" w:rsidP="00C1758B">
      <w:pPr>
        <w:spacing w:after="0" w:line="240" w:lineRule="auto"/>
        <w:jc w:val="both"/>
        <w:rPr>
          <w:rFonts w:ascii="Arial" w:hAnsi="Arial" w:cs="Arial"/>
          <w:sz w:val="20"/>
          <w:szCs w:val="20"/>
        </w:rPr>
      </w:pPr>
    </w:p>
    <w:p w14:paraId="25B9652D" w14:textId="77777777" w:rsidR="00C1758B" w:rsidRPr="00215B2F" w:rsidRDefault="00C1758B" w:rsidP="00C1758B">
      <w:pPr>
        <w:spacing w:after="0" w:line="240" w:lineRule="auto"/>
        <w:jc w:val="both"/>
        <w:rPr>
          <w:rFonts w:ascii="Arial" w:hAnsi="Arial" w:cs="Arial"/>
          <w:sz w:val="20"/>
          <w:szCs w:val="20"/>
        </w:rPr>
      </w:pPr>
      <w:r w:rsidRPr="00215B2F">
        <w:rPr>
          <w:rFonts w:ascii="Arial" w:hAnsi="Arial" w:cs="Arial"/>
          <w:sz w:val="20"/>
          <w:szCs w:val="20"/>
        </w:rPr>
        <w:t>(3) Pri odstopu terjatev iz kreditnih pogodb dajalec kredita inšpektorju Banke Slovenije na zahtevo predloži kopije sklenjenih kreditnih pogodb, katerih terjatve so bile odstopljene prevzemniku.</w:t>
      </w:r>
    </w:p>
    <w:p w14:paraId="546B2D2A" w14:textId="77777777" w:rsidR="00C1758B" w:rsidRPr="00215B2F" w:rsidRDefault="00C1758B" w:rsidP="00C1758B">
      <w:pPr>
        <w:spacing w:after="0" w:line="240" w:lineRule="auto"/>
        <w:jc w:val="both"/>
        <w:rPr>
          <w:rFonts w:ascii="Arial" w:hAnsi="Arial" w:cs="Arial"/>
          <w:sz w:val="20"/>
          <w:szCs w:val="20"/>
        </w:rPr>
      </w:pPr>
    </w:p>
    <w:p w14:paraId="2EB0787B" w14:textId="77777777" w:rsidR="00C1758B" w:rsidRPr="00215B2F" w:rsidRDefault="00C1758B" w:rsidP="00C1758B">
      <w:pPr>
        <w:spacing w:after="0" w:line="240" w:lineRule="auto"/>
        <w:jc w:val="both"/>
        <w:rPr>
          <w:rFonts w:ascii="Arial" w:hAnsi="Arial" w:cs="Arial"/>
          <w:sz w:val="20"/>
          <w:szCs w:val="20"/>
        </w:rPr>
      </w:pPr>
      <w:r w:rsidRPr="00215B2F">
        <w:rPr>
          <w:rFonts w:ascii="Arial" w:hAnsi="Arial" w:cs="Arial"/>
          <w:sz w:val="20"/>
          <w:szCs w:val="20"/>
        </w:rPr>
        <w:t>(4) Dajalec kredita inšpektorju Banke Slovenije na zahtevo predloži dokazila, da je ocenil kreditno sposobnost potrošnika. Dokazila predloži dajalec kredita inšpektorju najpozneje naslednji delovni dan po opravljenem inšpekcijskem pregledu.</w:t>
      </w:r>
    </w:p>
    <w:p w14:paraId="430AC074" w14:textId="77777777" w:rsidR="00C1758B" w:rsidRPr="00215B2F" w:rsidRDefault="00C1758B" w:rsidP="00C1758B">
      <w:pPr>
        <w:spacing w:after="0" w:line="240" w:lineRule="auto"/>
        <w:jc w:val="both"/>
        <w:rPr>
          <w:rFonts w:ascii="Arial" w:hAnsi="Arial" w:cs="Arial"/>
          <w:sz w:val="20"/>
          <w:szCs w:val="20"/>
        </w:rPr>
      </w:pPr>
    </w:p>
    <w:p w14:paraId="0E85FDB5" w14:textId="77777777" w:rsidR="00C1758B" w:rsidRPr="00215B2F" w:rsidRDefault="00C1758B" w:rsidP="00C1758B">
      <w:pPr>
        <w:spacing w:after="0" w:line="240" w:lineRule="auto"/>
        <w:jc w:val="both"/>
        <w:rPr>
          <w:rFonts w:ascii="Arial" w:hAnsi="Arial" w:cs="Arial"/>
          <w:sz w:val="20"/>
          <w:szCs w:val="20"/>
        </w:rPr>
      </w:pPr>
      <w:r w:rsidRPr="00215B2F">
        <w:rPr>
          <w:rFonts w:ascii="Arial" w:hAnsi="Arial" w:cs="Arial"/>
          <w:sz w:val="20"/>
          <w:szCs w:val="20"/>
        </w:rPr>
        <w:t>(5) Povezanega kreditnega posrednika s sedežem v drugi državi članici, ki posreduje potrošniške kredite za nepremičnino v Republiki Sloveniji in ga matični pristojni organ nadzoruje preko dajalca kredita, Banka Slovenije nadzoruje neposredno.</w:t>
      </w:r>
    </w:p>
    <w:p w14:paraId="4562BAE2" w14:textId="77777777" w:rsidR="00C1758B" w:rsidRPr="00215B2F" w:rsidRDefault="00C1758B" w:rsidP="00C1758B">
      <w:pPr>
        <w:spacing w:after="0" w:line="240" w:lineRule="auto"/>
        <w:jc w:val="both"/>
        <w:rPr>
          <w:rFonts w:ascii="Arial" w:hAnsi="Arial" w:cs="Arial"/>
          <w:sz w:val="20"/>
          <w:szCs w:val="20"/>
        </w:rPr>
      </w:pPr>
    </w:p>
    <w:p w14:paraId="77A8376E" w14:textId="77777777" w:rsidR="00C1758B" w:rsidRPr="00215B2F" w:rsidRDefault="00C1758B" w:rsidP="00C1758B">
      <w:pPr>
        <w:spacing w:after="0" w:line="240" w:lineRule="auto"/>
        <w:jc w:val="both"/>
        <w:rPr>
          <w:rFonts w:ascii="Arial" w:hAnsi="Arial" w:cs="Arial"/>
          <w:sz w:val="20"/>
          <w:szCs w:val="20"/>
        </w:rPr>
      </w:pPr>
      <w:r w:rsidRPr="00215B2F">
        <w:rPr>
          <w:rFonts w:ascii="Arial" w:hAnsi="Arial" w:cs="Arial"/>
          <w:sz w:val="20"/>
          <w:szCs w:val="20"/>
        </w:rPr>
        <w:t>(6) Dajalec kredita in kreditni posrednik inšpektorju Banke Slovenije na zahtevo predložita dokazila, da izpolnjujeta zahteve iz 61. člena in četrtega odstavka 62. člena tega zakona glede ustreznega znanja in usposobljenosti osebja, ter kreditni posrednik tudi glede ustreznega znanja in usposobljenosti svojega poslovodstva. Dajalec kredita in kreditni posrednik inšpektorju Banke Slovenije predložita dokazila najpozneje naslednji delovni dan po opravljenem inšpekcijskem pregledu.</w:t>
      </w:r>
    </w:p>
    <w:p w14:paraId="0B63742B" w14:textId="77777777" w:rsidR="00C1758B" w:rsidRPr="00215B2F" w:rsidRDefault="00C1758B" w:rsidP="00C1758B">
      <w:pPr>
        <w:spacing w:after="0" w:line="240" w:lineRule="auto"/>
        <w:jc w:val="both"/>
        <w:rPr>
          <w:rFonts w:ascii="Arial" w:hAnsi="Arial" w:cs="Arial"/>
          <w:sz w:val="20"/>
          <w:szCs w:val="20"/>
        </w:rPr>
      </w:pPr>
    </w:p>
    <w:p w14:paraId="016C5D2F" w14:textId="77777777" w:rsidR="00C1758B" w:rsidRPr="00215B2F" w:rsidRDefault="00C1758B" w:rsidP="00C1758B">
      <w:pPr>
        <w:spacing w:after="0" w:line="240" w:lineRule="auto"/>
        <w:jc w:val="both"/>
        <w:rPr>
          <w:rFonts w:ascii="Arial" w:hAnsi="Arial" w:cs="Arial"/>
          <w:sz w:val="20"/>
          <w:szCs w:val="20"/>
        </w:rPr>
      </w:pPr>
      <w:r w:rsidRPr="00215B2F">
        <w:rPr>
          <w:rFonts w:ascii="Arial" w:hAnsi="Arial" w:cs="Arial"/>
          <w:sz w:val="20"/>
          <w:szCs w:val="20"/>
        </w:rPr>
        <w:t>(7) Banka Slovenije pri nadzoru nad dajalcem kredita ali kreditnim posrednikom z odločbo prepove sklepanje kreditnih pogodb ali posredovanje potrošniških kreditov po tem zakonu, če ugotovi, da dajalec kredita v nasprotju s tem zakonom ponuja ali odobrava kredite brez dovoljenja iz 67. člena tega zakona, ali kreditni posrednik posreduje potrošniške kredite brez dovoljenja iz 63. člena tega zakona.</w:t>
      </w:r>
    </w:p>
    <w:p w14:paraId="353F7318" w14:textId="77777777" w:rsidR="00C1758B" w:rsidRPr="00215B2F" w:rsidRDefault="00C1758B" w:rsidP="00C1758B">
      <w:pPr>
        <w:spacing w:after="0" w:line="240" w:lineRule="auto"/>
        <w:jc w:val="both"/>
        <w:rPr>
          <w:rFonts w:ascii="Arial" w:hAnsi="Arial" w:cs="Arial"/>
          <w:sz w:val="20"/>
          <w:szCs w:val="20"/>
        </w:rPr>
      </w:pPr>
    </w:p>
    <w:p w14:paraId="5E2F4133" w14:textId="77777777" w:rsidR="00C1758B" w:rsidRPr="00215B2F" w:rsidRDefault="00C1758B" w:rsidP="00C1758B">
      <w:pPr>
        <w:spacing w:after="0" w:line="240" w:lineRule="auto"/>
        <w:jc w:val="both"/>
        <w:rPr>
          <w:rFonts w:ascii="Arial" w:hAnsi="Arial" w:cs="Arial"/>
          <w:sz w:val="20"/>
          <w:szCs w:val="20"/>
        </w:rPr>
      </w:pPr>
      <w:r w:rsidRPr="00215B2F">
        <w:rPr>
          <w:rFonts w:ascii="Arial" w:hAnsi="Arial" w:cs="Arial"/>
          <w:sz w:val="20"/>
          <w:szCs w:val="20"/>
        </w:rPr>
        <w:t>(8) Banka Slovenije pri nadzoru nad dajalcem kredita z odredbo pisno obvesti dajalca kredita o ugotovitvah in odredi, da preneha z ravnanji in odpravi kršitve, če ugotovi, da:</w:t>
      </w:r>
    </w:p>
    <w:p w14:paraId="55E532EE" w14:textId="77777777" w:rsidR="00C1758B" w:rsidRPr="00215B2F" w:rsidRDefault="00C1758B" w:rsidP="00C1758B">
      <w:pPr>
        <w:spacing w:after="0" w:line="240" w:lineRule="auto"/>
        <w:jc w:val="both"/>
        <w:rPr>
          <w:rFonts w:ascii="Arial" w:hAnsi="Arial" w:cs="Arial"/>
          <w:sz w:val="20"/>
          <w:szCs w:val="20"/>
        </w:rPr>
      </w:pPr>
    </w:p>
    <w:p w14:paraId="54DFBE1C"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t>dajalec kredita potrošniku ne zagotovi vsebine oglasnih sporočil v skladu s 6. in 38. členom tega zakona;</w:t>
      </w:r>
    </w:p>
    <w:p w14:paraId="268D165C"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t>dajalec kredita pred sklenitvijo kreditne pogodbe ni zagotovil predhodnih informacij v skladu s 7. in 40. členom tega zakona;</w:t>
      </w:r>
    </w:p>
    <w:p w14:paraId="0D9F8744"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t>dajalec kredita ne hrani dokazil o oceni kreditne sposobnosti potrošnika v skladu s petim odstavkom 10. člena in četrtim odstavkom 42. člena tega zakona;</w:t>
      </w:r>
    </w:p>
    <w:p w14:paraId="3C14E5E3"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t>kreditna pogodba ne vsebuje predpisanih informacij iz drugega odstavka 12. člena in prvega odstavka 15. člena in sedmega odstavka 52. člena tega zakona;</w:t>
      </w:r>
    </w:p>
    <w:p w14:paraId="08C4196C"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t>zaračuna zamudno obrestno mero, ki presega višino zamudne obrestne mere, določeno v zakonu, ki ureja predpisano obrestno mero zamudnih obresti (peti odstavek 12. člena);</w:t>
      </w:r>
    </w:p>
    <w:p w14:paraId="6610038C"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t>zaračuna morebitne stroške zaradi zamude s plačili zapadlih obveznosti iz kreditne pogodbe v nasprotju s šestim odstavkom 12. člena tega zakona;</w:t>
      </w:r>
    </w:p>
    <w:p w14:paraId="0F64FE5C"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t>dajalec kredita potrošnika ni obvestil o spremembi kreditne obrestne mere ali drugih pogojev kreditne pogodbe v skladu s 14. in 14.a členom ali tretjim odstavkom 15. člena tega zakona;</w:t>
      </w:r>
    </w:p>
    <w:p w14:paraId="307EC380"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t>dajalec kredita ne objavlja referenčnih obrestnih mer na svoji spletni strani ali ne hrani evidence indeksov ali referenčnih obrestnih mer v skladu s 14. členom tega zakona;</w:t>
      </w:r>
    </w:p>
    <w:p w14:paraId="0A1EC232"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t>dajalec kredita pri molče dovoljeni prekoračitvi stanja na plačilnem računu potrošniku ni zagotovil predpisanih informacij v skladu s prvim in drugim odstavkom 16. člena tega zakona;</w:t>
      </w:r>
    </w:p>
    <w:p w14:paraId="590CB095"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t>dajalec kredita ob odstopu od kreditne pogodbe potrošniku ne vrne vseh plačanih zneskov v skladu s tretjim odstavkom 17. člena tega zakona;</w:t>
      </w:r>
    </w:p>
    <w:p w14:paraId="56DF3BB7"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t>dajalec kredita ob odstopu od kreditne pogodbe potrošniku določi obveznost plačila v nasprotju s četrtim odstavkom 20. člena tega zakona;</w:t>
      </w:r>
    </w:p>
    <w:p w14:paraId="4D02B16C"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t>dajalec kredita ob predčasnem odplačilu kredita potrošniku zaračuna nadomestilo v nasprotju z 22. členom tega zakona;</w:t>
      </w:r>
    </w:p>
    <w:p w14:paraId="7B5D632F"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t>kot prevzemnik ne izpolni vseh obveznosti do potrošnika v skladu s šestim odstavkom 23. člena tega zakona;</w:t>
      </w:r>
    </w:p>
    <w:p w14:paraId="48B2F1F1"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t>odstopnik terjatve ali prenositelj kreditne pogodbe ne obvesti potrošnika o odstopu terjatve ali prenosu kreditne pogodbe v skladu s sedmim odstavkom 23. člena tega zakona;</w:t>
      </w:r>
    </w:p>
    <w:p w14:paraId="13F88BBC"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lastRenderedPageBreak/>
        <w:t>dajalec kredita pri odstopu terjatve ali prenosu kreditne pogodbe ves čas trajanja kreditne pogodbe in še štiri leta po njenem izteku ne hrani kopije sklenjene kreditne pogodbe v skladu z osmim odstavkom 23. člena tega zakona;</w:t>
      </w:r>
    </w:p>
    <w:p w14:paraId="41157554"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t>dajalec kredita izračunava efektivno obrestno mero ali skupne stroške kredita v nasprotju s 24., 25., 56. in 57. členom tega zakona;</w:t>
      </w:r>
    </w:p>
    <w:p w14:paraId="6F42DCAC"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t>dajalec kredita potrošniku brezplačno ne zagotavlja splošnih informacij o kreditni pogodbi za nepremičnino v skladu z 39. členom tega zakona;</w:t>
      </w:r>
    </w:p>
    <w:p w14:paraId="7318A56C"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t>dajalec kredita pred sklenitvijo kreditne pogodbe za nepremičnino, katere terjatev se zavaruje z zastavno pravico na nepremičnini, te ne oceni v skladu s 45. členom tega zakona;</w:t>
      </w:r>
    </w:p>
    <w:p w14:paraId="138F12A7"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t>dajalec kredita izvaja svetovalne storitve v nasprotju s 47., 48., 49. ali 50. členom tega zakona;</w:t>
      </w:r>
    </w:p>
    <w:p w14:paraId="72CB523A"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t>dajalec kredita redno ne obvešča potrošnika o zvišanju preostalega zneska kredita, ki ga mora plačati potrošnik zaradi spremembe menjalnega tečaja, ki za več kot 10 % odstopa od vrednosti, v skladu s petim in šestim odstavkom 52. člena tega zakona;</w:t>
      </w:r>
    </w:p>
    <w:p w14:paraId="7D1E78CC" w14:textId="77777777" w:rsidR="00C1758B" w:rsidRPr="00215B2F" w:rsidRDefault="00C1758B" w:rsidP="003D4DE0">
      <w:pPr>
        <w:pStyle w:val="Odstavekseznama"/>
        <w:numPr>
          <w:ilvl w:val="0"/>
          <w:numId w:val="399"/>
        </w:numPr>
        <w:spacing w:after="0" w:line="240" w:lineRule="auto"/>
        <w:jc w:val="both"/>
        <w:rPr>
          <w:rFonts w:ascii="Arial" w:hAnsi="Arial" w:cs="Arial"/>
          <w:sz w:val="20"/>
          <w:szCs w:val="20"/>
        </w:rPr>
      </w:pPr>
      <w:r w:rsidRPr="00215B2F">
        <w:rPr>
          <w:rFonts w:ascii="Arial" w:hAnsi="Arial" w:cs="Arial"/>
          <w:sz w:val="20"/>
          <w:szCs w:val="20"/>
        </w:rPr>
        <w:t>ne zagotovi postopka izvensodnega reševanja sporov s potrošniki v zvezi z opravljanjem storitev potrošniškega kreditiranja v skladu s 93. členom tega zakona.</w:t>
      </w:r>
    </w:p>
    <w:p w14:paraId="150D2286" w14:textId="77777777" w:rsidR="00C1758B" w:rsidRPr="00215B2F" w:rsidRDefault="00C1758B" w:rsidP="00C1758B">
      <w:pPr>
        <w:spacing w:after="0" w:line="240" w:lineRule="auto"/>
        <w:jc w:val="both"/>
        <w:rPr>
          <w:rFonts w:ascii="Arial" w:hAnsi="Arial" w:cs="Arial"/>
          <w:sz w:val="20"/>
          <w:szCs w:val="20"/>
        </w:rPr>
      </w:pPr>
    </w:p>
    <w:p w14:paraId="33F21E43" w14:textId="77777777" w:rsidR="00C1758B" w:rsidRPr="00215B2F" w:rsidRDefault="00C1758B" w:rsidP="00C1758B">
      <w:pPr>
        <w:spacing w:after="0" w:line="240" w:lineRule="auto"/>
        <w:jc w:val="both"/>
        <w:rPr>
          <w:rFonts w:ascii="Arial" w:hAnsi="Arial" w:cs="Arial"/>
          <w:sz w:val="20"/>
          <w:szCs w:val="20"/>
        </w:rPr>
      </w:pPr>
      <w:r w:rsidRPr="00215B2F">
        <w:rPr>
          <w:rFonts w:ascii="Arial" w:hAnsi="Arial" w:cs="Arial"/>
          <w:sz w:val="20"/>
          <w:szCs w:val="20"/>
        </w:rPr>
        <w:t>(9) Banka Slovenije pri nadzoru nad dajalcem kredita z odredbo pisno obvesti dajalca kredita o ugotovitvah in odredi, da preneha z ravnanji in odpravi kršitve, ter dajalcu kredita prepove sklepanje kreditnih pogodb po tem zakonu do odprave kršitev, če:</w:t>
      </w:r>
    </w:p>
    <w:p w14:paraId="6A7FB0ED" w14:textId="77777777" w:rsidR="00C1758B" w:rsidRPr="00215B2F" w:rsidRDefault="00C1758B" w:rsidP="003D4DE0">
      <w:pPr>
        <w:pStyle w:val="Odstavekseznama"/>
        <w:numPr>
          <w:ilvl w:val="3"/>
          <w:numId w:val="400"/>
        </w:numPr>
        <w:spacing w:after="0" w:line="240" w:lineRule="auto"/>
        <w:jc w:val="both"/>
        <w:rPr>
          <w:rFonts w:ascii="Arial" w:hAnsi="Arial" w:cs="Arial"/>
          <w:sz w:val="20"/>
          <w:szCs w:val="20"/>
        </w:rPr>
      </w:pPr>
      <w:r w:rsidRPr="00215B2F">
        <w:rPr>
          <w:rFonts w:ascii="Arial" w:hAnsi="Arial" w:cs="Arial"/>
          <w:sz w:val="20"/>
          <w:szCs w:val="20"/>
        </w:rPr>
        <w:t>dajalec kredita ni ocenil potrošnikove kreditne sposobnosti v skladu z 10. in 42. členom tega zakona;</w:t>
      </w:r>
    </w:p>
    <w:p w14:paraId="3FB363F7" w14:textId="77777777" w:rsidR="00C1758B" w:rsidRPr="00215B2F" w:rsidRDefault="00C1758B" w:rsidP="003D4DE0">
      <w:pPr>
        <w:pStyle w:val="Odstavekseznama"/>
        <w:numPr>
          <w:ilvl w:val="3"/>
          <w:numId w:val="400"/>
        </w:numPr>
        <w:spacing w:after="0" w:line="240" w:lineRule="auto"/>
        <w:jc w:val="both"/>
        <w:rPr>
          <w:rFonts w:ascii="Arial" w:hAnsi="Arial" w:cs="Arial"/>
          <w:sz w:val="20"/>
          <w:szCs w:val="20"/>
        </w:rPr>
      </w:pPr>
      <w:r w:rsidRPr="00215B2F">
        <w:rPr>
          <w:rFonts w:ascii="Arial" w:hAnsi="Arial" w:cs="Arial"/>
          <w:sz w:val="20"/>
          <w:szCs w:val="20"/>
        </w:rPr>
        <w:t>kreditna pogodba ni sklenjena pisno na papirju ali drugem trajnem nosilcu podatkov v skladu s prvim odstavkom 12. člena tega zakona;</w:t>
      </w:r>
    </w:p>
    <w:p w14:paraId="600EDBD6" w14:textId="77777777" w:rsidR="00C1758B" w:rsidRPr="00215B2F" w:rsidRDefault="00C1758B" w:rsidP="003D4DE0">
      <w:pPr>
        <w:pStyle w:val="Odstavekseznama"/>
        <w:numPr>
          <w:ilvl w:val="3"/>
          <w:numId w:val="400"/>
        </w:numPr>
        <w:spacing w:after="0" w:line="240" w:lineRule="auto"/>
        <w:jc w:val="both"/>
        <w:rPr>
          <w:rFonts w:ascii="Arial" w:hAnsi="Arial" w:cs="Arial"/>
          <w:sz w:val="20"/>
          <w:szCs w:val="20"/>
        </w:rPr>
      </w:pPr>
      <w:r w:rsidRPr="00215B2F">
        <w:rPr>
          <w:rFonts w:ascii="Arial" w:hAnsi="Arial" w:cs="Arial"/>
          <w:sz w:val="20"/>
          <w:szCs w:val="20"/>
        </w:rPr>
        <w:t>dajalec kredita zahteva plačilo preostalih plačil kredita pred njihovo zapadlostjo ali z enostransko izjavo odstopi od kreditne pogodbe za nepremičnino v nasprotju s prvim odstavkom 20. ali 54. člena tega zakona;</w:t>
      </w:r>
    </w:p>
    <w:p w14:paraId="35148A2B" w14:textId="77777777" w:rsidR="00C1758B" w:rsidRPr="00215B2F" w:rsidRDefault="00C1758B" w:rsidP="003D4DE0">
      <w:pPr>
        <w:pStyle w:val="Odstavekseznama"/>
        <w:numPr>
          <w:ilvl w:val="3"/>
          <w:numId w:val="400"/>
        </w:numPr>
        <w:spacing w:after="0" w:line="240" w:lineRule="auto"/>
        <w:jc w:val="both"/>
        <w:rPr>
          <w:rFonts w:ascii="Arial" w:hAnsi="Arial" w:cs="Arial"/>
          <w:sz w:val="20"/>
          <w:szCs w:val="20"/>
        </w:rPr>
      </w:pPr>
      <w:r w:rsidRPr="00215B2F">
        <w:rPr>
          <w:rFonts w:ascii="Arial" w:hAnsi="Arial" w:cs="Arial"/>
          <w:sz w:val="20"/>
          <w:szCs w:val="20"/>
        </w:rPr>
        <w:t>dajalec kredita pred začetkom postopka izvršbe ne izvede ukrepov restrukturiranja z refinanciranjem kreditne pogodbe ali spremembo obstoječih pogojev kreditne pogodbe v skladu z 20.a ali 54. členom tega zakona;</w:t>
      </w:r>
    </w:p>
    <w:p w14:paraId="70055CE6" w14:textId="77777777" w:rsidR="00C1758B" w:rsidRPr="00215B2F" w:rsidRDefault="00C1758B" w:rsidP="003D4DE0">
      <w:pPr>
        <w:pStyle w:val="Odstavekseznama"/>
        <w:numPr>
          <w:ilvl w:val="3"/>
          <w:numId w:val="400"/>
        </w:numPr>
        <w:spacing w:after="0" w:line="240" w:lineRule="auto"/>
        <w:jc w:val="both"/>
        <w:rPr>
          <w:rFonts w:ascii="Arial" w:hAnsi="Arial" w:cs="Arial"/>
          <w:sz w:val="20"/>
          <w:szCs w:val="20"/>
        </w:rPr>
      </w:pPr>
      <w:r w:rsidRPr="00215B2F">
        <w:rPr>
          <w:rFonts w:ascii="Arial" w:hAnsi="Arial" w:cs="Arial"/>
          <w:sz w:val="20"/>
          <w:szCs w:val="20"/>
        </w:rPr>
        <w:t>dajalec kredita odstopi terjatev ali prenese kreditno pogodbo prevzemniku, ki ni dajalec kredita in ne izpolnjuje vseh pogojev po tem zakonu za dajalca kredita v skladu s tretjim odstavkom 23. člena tega zakona;</w:t>
      </w:r>
    </w:p>
    <w:p w14:paraId="18C9D61F" w14:textId="77777777" w:rsidR="00C1758B" w:rsidRPr="00215B2F" w:rsidRDefault="00C1758B" w:rsidP="003D4DE0">
      <w:pPr>
        <w:pStyle w:val="Odstavekseznama"/>
        <w:numPr>
          <w:ilvl w:val="3"/>
          <w:numId w:val="400"/>
        </w:numPr>
        <w:spacing w:after="0" w:line="240" w:lineRule="auto"/>
        <w:jc w:val="both"/>
        <w:rPr>
          <w:rFonts w:ascii="Arial" w:hAnsi="Arial" w:cs="Arial"/>
          <w:sz w:val="20"/>
          <w:szCs w:val="20"/>
        </w:rPr>
      </w:pPr>
      <w:r w:rsidRPr="00215B2F">
        <w:rPr>
          <w:rFonts w:ascii="Arial" w:hAnsi="Arial" w:cs="Arial"/>
          <w:sz w:val="20"/>
          <w:szCs w:val="20"/>
        </w:rPr>
        <w:t>prevzame terjatev ali kreditno pogodbo od dajalca kredita in ne izpolnjuje pogojev za dajalca kredita po tem zakonu v skladu s tretjim odstavkom 23. člena tega zakona;</w:t>
      </w:r>
    </w:p>
    <w:p w14:paraId="122832C4" w14:textId="77777777" w:rsidR="00C1758B" w:rsidRPr="00215B2F" w:rsidRDefault="00C1758B" w:rsidP="003D4DE0">
      <w:pPr>
        <w:pStyle w:val="Odstavekseznama"/>
        <w:numPr>
          <w:ilvl w:val="3"/>
          <w:numId w:val="400"/>
        </w:numPr>
        <w:spacing w:after="0" w:line="240" w:lineRule="auto"/>
        <w:jc w:val="both"/>
        <w:rPr>
          <w:rFonts w:ascii="Arial" w:hAnsi="Arial" w:cs="Arial"/>
          <w:sz w:val="20"/>
          <w:szCs w:val="20"/>
        </w:rPr>
      </w:pPr>
      <w:r w:rsidRPr="00215B2F">
        <w:rPr>
          <w:rFonts w:ascii="Arial" w:hAnsi="Arial" w:cs="Arial"/>
          <w:sz w:val="20"/>
          <w:szCs w:val="20"/>
        </w:rPr>
        <w:t>s kreditno pogodbo dogovorjena efektivna obrestna mera presega najvišjo dopustno efektivno obrestno mero, kakor to določa 26. člen tega zakona;</w:t>
      </w:r>
    </w:p>
    <w:p w14:paraId="2B3031F7" w14:textId="77777777" w:rsidR="00C1758B" w:rsidRPr="00215B2F" w:rsidRDefault="00C1758B" w:rsidP="003D4DE0">
      <w:pPr>
        <w:pStyle w:val="Odstavekseznama"/>
        <w:numPr>
          <w:ilvl w:val="3"/>
          <w:numId w:val="400"/>
        </w:numPr>
        <w:spacing w:after="0" w:line="240" w:lineRule="auto"/>
        <w:jc w:val="both"/>
        <w:rPr>
          <w:rFonts w:ascii="Arial" w:hAnsi="Arial" w:cs="Arial"/>
          <w:sz w:val="20"/>
          <w:szCs w:val="20"/>
        </w:rPr>
      </w:pPr>
      <w:r w:rsidRPr="00215B2F">
        <w:rPr>
          <w:rFonts w:ascii="Arial" w:hAnsi="Arial" w:cs="Arial"/>
          <w:sz w:val="20"/>
          <w:szCs w:val="20"/>
        </w:rPr>
        <w:t>kreditna pogodba vsebuje pogodbeno določilo, ki je v škodo potrošnika in v nasprotju s 27. členom tega zakona;</w:t>
      </w:r>
    </w:p>
    <w:p w14:paraId="72F9A360" w14:textId="77777777" w:rsidR="00C1758B" w:rsidRPr="00215B2F" w:rsidRDefault="00C1758B" w:rsidP="003D4DE0">
      <w:pPr>
        <w:pStyle w:val="Odstavekseznama"/>
        <w:numPr>
          <w:ilvl w:val="3"/>
          <w:numId w:val="400"/>
        </w:numPr>
        <w:spacing w:after="0" w:line="240" w:lineRule="auto"/>
        <w:jc w:val="both"/>
        <w:rPr>
          <w:rFonts w:ascii="Arial" w:hAnsi="Arial" w:cs="Arial"/>
          <w:sz w:val="20"/>
          <w:szCs w:val="20"/>
        </w:rPr>
      </w:pPr>
      <w:r w:rsidRPr="00215B2F">
        <w:rPr>
          <w:rFonts w:ascii="Arial" w:hAnsi="Arial" w:cs="Arial"/>
          <w:sz w:val="20"/>
          <w:szCs w:val="20"/>
        </w:rPr>
        <w:t>dajalec kredita ob sklenitvi kreditne pogodbe od potrošnika zahteva izdajo ali sprejem bianko menice ali čeka ali drugega plačilnega instrumenta, ki ima po svoji naravi podobne učinke, v nasprotju z 28. členom tega zakona;</w:t>
      </w:r>
    </w:p>
    <w:p w14:paraId="6DFD8120" w14:textId="77777777" w:rsidR="00C1758B" w:rsidRPr="00215B2F" w:rsidRDefault="00C1758B" w:rsidP="003D4DE0">
      <w:pPr>
        <w:pStyle w:val="Odstavekseznama"/>
        <w:numPr>
          <w:ilvl w:val="3"/>
          <w:numId w:val="400"/>
        </w:numPr>
        <w:spacing w:after="0" w:line="240" w:lineRule="auto"/>
        <w:jc w:val="both"/>
        <w:rPr>
          <w:rFonts w:ascii="Arial" w:hAnsi="Arial" w:cs="Arial"/>
          <w:sz w:val="20"/>
          <w:szCs w:val="20"/>
        </w:rPr>
      </w:pPr>
      <w:r w:rsidRPr="00215B2F">
        <w:rPr>
          <w:rFonts w:ascii="Arial" w:hAnsi="Arial" w:cs="Arial"/>
          <w:sz w:val="20"/>
          <w:szCs w:val="20"/>
        </w:rPr>
        <w:t>se dajalec kredita izogiba določbam tega zakona z načinom oblikovanja pogodb v pogodbe, katerih značilnosti ali namen bi omogočil izogibanje uporabi tega zakona ali se izogiba določbam tega zakona s sklenitvijo več pogodb, ki z ekonomskega vidika sestavljajo celoto (prvi in drugi odstavek 29. člena);</w:t>
      </w:r>
    </w:p>
    <w:p w14:paraId="314F8E27" w14:textId="77777777" w:rsidR="00C1758B" w:rsidRPr="00215B2F" w:rsidRDefault="00C1758B" w:rsidP="003D4DE0">
      <w:pPr>
        <w:pStyle w:val="Odstavekseznama"/>
        <w:numPr>
          <w:ilvl w:val="3"/>
          <w:numId w:val="400"/>
        </w:numPr>
        <w:spacing w:after="0" w:line="240" w:lineRule="auto"/>
        <w:jc w:val="both"/>
        <w:rPr>
          <w:rFonts w:ascii="Arial" w:hAnsi="Arial" w:cs="Arial"/>
          <w:sz w:val="20"/>
          <w:szCs w:val="20"/>
        </w:rPr>
      </w:pPr>
      <w:r w:rsidRPr="00215B2F">
        <w:rPr>
          <w:rFonts w:ascii="Arial" w:hAnsi="Arial" w:cs="Arial"/>
          <w:sz w:val="20"/>
          <w:szCs w:val="20"/>
        </w:rPr>
        <w:t>dajalec kredita ne določi, ne dokumentira postopka in informacij, ki so podlaga za oceno kreditne sposobnosti potrošnika, v skladu s četrtim odstavkom 42. člena tega zakona;</w:t>
      </w:r>
    </w:p>
    <w:p w14:paraId="540D4CCD" w14:textId="77777777" w:rsidR="00C1758B" w:rsidRPr="00215B2F" w:rsidRDefault="00C1758B" w:rsidP="003D4DE0">
      <w:pPr>
        <w:pStyle w:val="Odstavekseznama"/>
        <w:numPr>
          <w:ilvl w:val="3"/>
          <w:numId w:val="400"/>
        </w:numPr>
        <w:spacing w:after="0" w:line="240" w:lineRule="auto"/>
        <w:jc w:val="both"/>
        <w:rPr>
          <w:rFonts w:ascii="Arial" w:hAnsi="Arial" w:cs="Arial"/>
          <w:sz w:val="20"/>
          <w:szCs w:val="20"/>
        </w:rPr>
      </w:pPr>
      <w:r w:rsidRPr="00215B2F">
        <w:rPr>
          <w:rFonts w:ascii="Arial" w:hAnsi="Arial" w:cs="Arial"/>
          <w:sz w:val="20"/>
          <w:szCs w:val="20"/>
        </w:rPr>
        <w:t>dajalec kredita sklene kreditno pogodbo za nepremičnino v nasprotju s šestim odstavkom 42. člena tega zakona;</w:t>
      </w:r>
    </w:p>
    <w:p w14:paraId="1D483E20" w14:textId="77777777" w:rsidR="00C1758B" w:rsidRPr="00215B2F" w:rsidRDefault="00C1758B" w:rsidP="003D4DE0">
      <w:pPr>
        <w:pStyle w:val="Odstavekseznama"/>
        <w:numPr>
          <w:ilvl w:val="3"/>
          <w:numId w:val="400"/>
        </w:numPr>
        <w:spacing w:after="0" w:line="240" w:lineRule="auto"/>
        <w:jc w:val="both"/>
        <w:rPr>
          <w:rFonts w:ascii="Arial" w:hAnsi="Arial" w:cs="Arial"/>
          <w:sz w:val="20"/>
          <w:szCs w:val="20"/>
        </w:rPr>
      </w:pPr>
      <w:r w:rsidRPr="00215B2F">
        <w:rPr>
          <w:rFonts w:ascii="Arial" w:hAnsi="Arial" w:cs="Arial"/>
          <w:sz w:val="20"/>
          <w:szCs w:val="20"/>
        </w:rPr>
        <w:t>dajalec kredita odstopi od kreditne pogodbe za nepremičnino ali jo spremeni v škodo potrošnika v nasprotju s sedmim odstavkom 42. člena tega zakona;</w:t>
      </w:r>
    </w:p>
    <w:p w14:paraId="77840972" w14:textId="77777777" w:rsidR="00C1758B" w:rsidRPr="00215B2F" w:rsidRDefault="00C1758B" w:rsidP="003D4DE0">
      <w:pPr>
        <w:pStyle w:val="Odstavekseznama"/>
        <w:numPr>
          <w:ilvl w:val="3"/>
          <w:numId w:val="400"/>
        </w:numPr>
        <w:spacing w:after="0" w:line="240" w:lineRule="auto"/>
        <w:jc w:val="both"/>
        <w:rPr>
          <w:rFonts w:ascii="Arial" w:hAnsi="Arial" w:cs="Arial"/>
          <w:sz w:val="20"/>
          <w:szCs w:val="20"/>
        </w:rPr>
      </w:pPr>
      <w:r w:rsidRPr="00215B2F">
        <w:rPr>
          <w:rFonts w:ascii="Arial" w:hAnsi="Arial" w:cs="Arial"/>
          <w:sz w:val="20"/>
          <w:szCs w:val="20"/>
        </w:rPr>
        <w:t>dajalec kredita pogojuje sklenitev kreditne pogodbe za nepremičnino skupaj z drugimi pomožnimi storitvami v nasprotju s 46. členom tega zakona;</w:t>
      </w:r>
    </w:p>
    <w:p w14:paraId="1F6B409E" w14:textId="77777777" w:rsidR="00C1758B" w:rsidRPr="00215B2F" w:rsidRDefault="00C1758B" w:rsidP="003D4DE0">
      <w:pPr>
        <w:pStyle w:val="Odstavekseznama"/>
        <w:numPr>
          <w:ilvl w:val="3"/>
          <w:numId w:val="400"/>
        </w:numPr>
        <w:spacing w:after="0" w:line="240" w:lineRule="auto"/>
        <w:jc w:val="both"/>
        <w:rPr>
          <w:rFonts w:ascii="Arial" w:hAnsi="Arial" w:cs="Arial"/>
          <w:sz w:val="20"/>
          <w:szCs w:val="20"/>
        </w:rPr>
      </w:pPr>
      <w:r w:rsidRPr="00215B2F">
        <w:rPr>
          <w:rFonts w:ascii="Arial" w:hAnsi="Arial" w:cs="Arial"/>
          <w:sz w:val="20"/>
          <w:szCs w:val="20"/>
        </w:rPr>
        <w:t>kreditna pogodba za nepremičnino ni sklenjena v obliki notarskega zapisa v skladu z 51. členom tega zakona;</w:t>
      </w:r>
    </w:p>
    <w:p w14:paraId="709ABDF2" w14:textId="77777777" w:rsidR="00C1758B" w:rsidRPr="00215B2F" w:rsidRDefault="00C1758B" w:rsidP="003D4DE0">
      <w:pPr>
        <w:pStyle w:val="Odstavekseznama"/>
        <w:numPr>
          <w:ilvl w:val="3"/>
          <w:numId w:val="400"/>
        </w:numPr>
        <w:spacing w:after="0" w:line="240" w:lineRule="auto"/>
        <w:jc w:val="both"/>
        <w:rPr>
          <w:rFonts w:ascii="Arial" w:hAnsi="Arial" w:cs="Arial"/>
          <w:sz w:val="20"/>
          <w:szCs w:val="20"/>
        </w:rPr>
      </w:pPr>
      <w:r w:rsidRPr="00215B2F">
        <w:rPr>
          <w:rFonts w:ascii="Arial" w:hAnsi="Arial" w:cs="Arial"/>
          <w:sz w:val="20"/>
          <w:szCs w:val="20"/>
        </w:rPr>
        <w:t>dajalec kredita potrošniku ne zagotovi pretvorbe kredita iz tuje valute v domačo v skladu z 52. členom tega zakona;</w:t>
      </w:r>
    </w:p>
    <w:p w14:paraId="7B75D0DD" w14:textId="77777777" w:rsidR="00C1758B" w:rsidRPr="00215B2F" w:rsidRDefault="00C1758B" w:rsidP="003D4DE0">
      <w:pPr>
        <w:pStyle w:val="Odstavekseznama"/>
        <w:numPr>
          <w:ilvl w:val="3"/>
          <w:numId w:val="400"/>
        </w:numPr>
        <w:spacing w:after="0" w:line="240" w:lineRule="auto"/>
        <w:jc w:val="both"/>
        <w:rPr>
          <w:rFonts w:ascii="Arial" w:hAnsi="Arial" w:cs="Arial"/>
          <w:sz w:val="20"/>
          <w:szCs w:val="20"/>
        </w:rPr>
      </w:pPr>
      <w:r w:rsidRPr="00215B2F">
        <w:rPr>
          <w:rFonts w:ascii="Arial" w:hAnsi="Arial" w:cs="Arial"/>
          <w:sz w:val="20"/>
          <w:szCs w:val="20"/>
        </w:rPr>
        <w:t>dajalec kredita pri poslovanju ne izpolnjuje predpisanih pogojev za opravljanje storitev potrošniškega kreditiranja za nepremičnine v skladu z 59., 60. in 61. členom tega zakona;</w:t>
      </w:r>
    </w:p>
    <w:p w14:paraId="71DABA79" w14:textId="77777777" w:rsidR="00C1758B" w:rsidRPr="00215B2F" w:rsidRDefault="00C1758B" w:rsidP="003D4DE0">
      <w:pPr>
        <w:pStyle w:val="Odstavekseznama"/>
        <w:numPr>
          <w:ilvl w:val="3"/>
          <w:numId w:val="400"/>
        </w:numPr>
        <w:spacing w:after="0" w:line="240" w:lineRule="auto"/>
        <w:jc w:val="both"/>
        <w:rPr>
          <w:rFonts w:ascii="Arial" w:hAnsi="Arial" w:cs="Arial"/>
          <w:sz w:val="20"/>
          <w:szCs w:val="20"/>
        </w:rPr>
      </w:pPr>
      <w:r w:rsidRPr="00215B2F">
        <w:rPr>
          <w:rFonts w:ascii="Arial" w:hAnsi="Arial" w:cs="Arial"/>
          <w:sz w:val="20"/>
          <w:szCs w:val="20"/>
        </w:rPr>
        <w:t>dajalec kredita inšpektorju Banke Slovenije ne predloži sklenjenih kreditnih pogodb v skladu z drugim odstavkom tega člena.</w:t>
      </w:r>
    </w:p>
    <w:p w14:paraId="6F30AE76" w14:textId="77777777" w:rsidR="00C1758B" w:rsidRPr="00215B2F" w:rsidRDefault="00C1758B" w:rsidP="00C1758B">
      <w:pPr>
        <w:spacing w:after="0" w:line="240" w:lineRule="auto"/>
        <w:jc w:val="both"/>
        <w:rPr>
          <w:rFonts w:ascii="Arial" w:hAnsi="Arial" w:cs="Arial"/>
          <w:sz w:val="20"/>
          <w:szCs w:val="20"/>
        </w:rPr>
      </w:pPr>
    </w:p>
    <w:p w14:paraId="39A1E479" w14:textId="77777777" w:rsidR="00C1758B" w:rsidRPr="00215B2F" w:rsidRDefault="00C1758B" w:rsidP="00C1758B">
      <w:pPr>
        <w:spacing w:after="0" w:line="240" w:lineRule="auto"/>
        <w:jc w:val="both"/>
        <w:rPr>
          <w:rFonts w:ascii="Arial" w:hAnsi="Arial" w:cs="Arial"/>
          <w:sz w:val="20"/>
          <w:szCs w:val="20"/>
        </w:rPr>
      </w:pPr>
      <w:r w:rsidRPr="00215B2F">
        <w:rPr>
          <w:rFonts w:ascii="Arial" w:hAnsi="Arial" w:cs="Arial"/>
          <w:sz w:val="20"/>
          <w:szCs w:val="20"/>
        </w:rPr>
        <w:t>(10) Če Banka Slovenije več kot enkrat med veljavnostjo dovoljenja za opravljanje storitev finančnega zakupa nepremičnin ali izvajanje svetovalnih storitev v zvezi s temi krediti pri istem dajalcu kredita ugotovi pomanjkljivost iz osmega odstavka tega člena, dajalcu kredita z odločbo prepove sklepanje kreditnih pogodb po tem zakonu do odprave kršitve.</w:t>
      </w:r>
    </w:p>
    <w:p w14:paraId="12C6B653" w14:textId="77777777" w:rsidR="00C1758B" w:rsidRPr="00215B2F" w:rsidRDefault="00C1758B" w:rsidP="00C1758B">
      <w:pPr>
        <w:spacing w:after="0" w:line="240" w:lineRule="auto"/>
        <w:jc w:val="both"/>
        <w:rPr>
          <w:rFonts w:ascii="Arial" w:hAnsi="Arial" w:cs="Arial"/>
          <w:sz w:val="20"/>
          <w:szCs w:val="20"/>
        </w:rPr>
      </w:pPr>
    </w:p>
    <w:p w14:paraId="6C4D42C0" w14:textId="77777777" w:rsidR="00C1758B" w:rsidRPr="00215B2F" w:rsidRDefault="00C1758B" w:rsidP="00C1758B">
      <w:pPr>
        <w:spacing w:after="0" w:line="240" w:lineRule="auto"/>
        <w:jc w:val="both"/>
        <w:rPr>
          <w:rFonts w:ascii="Arial" w:hAnsi="Arial" w:cs="Arial"/>
          <w:sz w:val="20"/>
          <w:szCs w:val="20"/>
        </w:rPr>
      </w:pPr>
      <w:r w:rsidRPr="00215B2F">
        <w:rPr>
          <w:rFonts w:ascii="Arial" w:hAnsi="Arial" w:cs="Arial"/>
          <w:sz w:val="20"/>
          <w:szCs w:val="20"/>
        </w:rPr>
        <w:t>(11) Če Banka Slovenije več kot trikrat med veljavnostjo dovoljenja za opravljanje storitev finančnega zakupa nepremičnin ali izvajanje svetovalnih storitev v zvezi s temi krediti pri istem dajalcu kredita ugotovi pomanjkljivost iz osmega odstavka tega člena ali več kot enkrat med veljavnostjo dovoljenja za opravljanje storitev finančnega zakupa nepremičnin ali izvajanje svetovalnih storitev v zvezi s temi krediti pri istem dajalcu kredita ugotovi pomanjkljivost iz devetega odstavka tega člena in hkrati niso podane okoliščine, iz katerih bi izhajalo, da bodo te pomanjkljivosti v ustreznem roku verjetno odpravljene, lahko dajalcu kredita z odločbo odvzame dovoljenje za opravljanje storitev finančnega zakupa nepremičnin ali izvajanje svetovalnih storitev v zvezi s temi krediti po tem zakonu.</w:t>
      </w:r>
    </w:p>
    <w:p w14:paraId="6B06AD38" w14:textId="77777777" w:rsidR="00C1758B" w:rsidRPr="00215B2F" w:rsidRDefault="00C1758B" w:rsidP="00C1758B">
      <w:pPr>
        <w:spacing w:after="0" w:line="240" w:lineRule="auto"/>
        <w:jc w:val="both"/>
        <w:rPr>
          <w:rFonts w:ascii="Arial" w:hAnsi="Arial" w:cs="Arial"/>
          <w:sz w:val="20"/>
          <w:szCs w:val="20"/>
        </w:rPr>
      </w:pPr>
    </w:p>
    <w:p w14:paraId="7A3025B7" w14:textId="77777777" w:rsidR="00C1758B" w:rsidRPr="00215B2F" w:rsidRDefault="00C1758B" w:rsidP="00C1758B">
      <w:pPr>
        <w:spacing w:after="0" w:line="240" w:lineRule="auto"/>
        <w:jc w:val="both"/>
        <w:rPr>
          <w:rFonts w:ascii="Arial" w:hAnsi="Arial" w:cs="Arial"/>
          <w:sz w:val="20"/>
          <w:szCs w:val="20"/>
        </w:rPr>
      </w:pPr>
      <w:r w:rsidRPr="00215B2F">
        <w:rPr>
          <w:rFonts w:ascii="Arial" w:hAnsi="Arial" w:cs="Arial"/>
          <w:sz w:val="20"/>
          <w:szCs w:val="20"/>
        </w:rPr>
        <w:t>(12) Banka Slovenije pri nadzoru nad kreditnim posrednikom z odredbo pisno obvesti kreditnega posrednika o ugotovitvah in odredi, da preneha z ravnanji in odpravi kršitve ter kreditnemu posredniku prepove posredovanje potrošniških kreditov po tem zakonu do odprave kršitev, če:</w:t>
      </w:r>
    </w:p>
    <w:p w14:paraId="2423DEBC" w14:textId="77777777" w:rsidR="00C1758B" w:rsidRPr="00215B2F" w:rsidRDefault="00C1758B" w:rsidP="00C1758B">
      <w:pPr>
        <w:spacing w:after="0" w:line="240" w:lineRule="auto"/>
        <w:jc w:val="both"/>
        <w:rPr>
          <w:rFonts w:ascii="Arial" w:hAnsi="Arial" w:cs="Arial"/>
          <w:sz w:val="20"/>
          <w:szCs w:val="20"/>
        </w:rPr>
      </w:pPr>
    </w:p>
    <w:p w14:paraId="0F249284" w14:textId="77777777" w:rsidR="00C1758B" w:rsidRPr="00215B2F" w:rsidRDefault="00C1758B" w:rsidP="003D4DE0">
      <w:pPr>
        <w:pStyle w:val="Odstavekseznama"/>
        <w:numPr>
          <w:ilvl w:val="6"/>
          <w:numId w:val="401"/>
        </w:numPr>
        <w:spacing w:after="0" w:line="240" w:lineRule="auto"/>
        <w:jc w:val="both"/>
        <w:rPr>
          <w:rFonts w:ascii="Arial" w:hAnsi="Arial" w:cs="Arial"/>
          <w:sz w:val="20"/>
          <w:szCs w:val="20"/>
        </w:rPr>
      </w:pPr>
      <w:r w:rsidRPr="00215B2F">
        <w:rPr>
          <w:rFonts w:ascii="Arial" w:hAnsi="Arial" w:cs="Arial"/>
          <w:sz w:val="20"/>
          <w:szCs w:val="20"/>
        </w:rPr>
        <w:t>kreditni posrednik potrošniku pred sklenitvijo kreditne pogodbe ni zagotovil predhodnih informacij v skladu s 7. in 40. členom tega zakona;</w:t>
      </w:r>
    </w:p>
    <w:p w14:paraId="0915789F" w14:textId="77777777" w:rsidR="00C1758B" w:rsidRPr="00215B2F" w:rsidRDefault="00C1758B" w:rsidP="003D4DE0">
      <w:pPr>
        <w:pStyle w:val="Odstavekseznama"/>
        <w:numPr>
          <w:ilvl w:val="0"/>
          <w:numId w:val="401"/>
        </w:numPr>
        <w:spacing w:after="0" w:line="240" w:lineRule="auto"/>
        <w:jc w:val="both"/>
        <w:rPr>
          <w:rFonts w:ascii="Arial" w:hAnsi="Arial" w:cs="Arial"/>
          <w:sz w:val="20"/>
          <w:szCs w:val="20"/>
        </w:rPr>
      </w:pPr>
      <w:r w:rsidRPr="00215B2F">
        <w:rPr>
          <w:rFonts w:ascii="Arial" w:hAnsi="Arial" w:cs="Arial"/>
          <w:sz w:val="20"/>
          <w:szCs w:val="20"/>
        </w:rPr>
        <w:t>kreditni posrednik pri poslovanju ne izpolnjuje predpisanih pogojev za kreditne posrednike v skladu s 37. in 62. členom tega zakona;</w:t>
      </w:r>
    </w:p>
    <w:p w14:paraId="17C114C0" w14:textId="77777777" w:rsidR="00C1758B" w:rsidRPr="00215B2F" w:rsidRDefault="00C1758B" w:rsidP="003D4DE0">
      <w:pPr>
        <w:pStyle w:val="Odstavekseznama"/>
        <w:numPr>
          <w:ilvl w:val="0"/>
          <w:numId w:val="401"/>
        </w:numPr>
        <w:spacing w:after="0" w:line="240" w:lineRule="auto"/>
        <w:jc w:val="both"/>
        <w:rPr>
          <w:rFonts w:ascii="Arial" w:hAnsi="Arial" w:cs="Arial"/>
          <w:sz w:val="20"/>
          <w:szCs w:val="20"/>
        </w:rPr>
      </w:pPr>
      <w:r w:rsidRPr="00215B2F">
        <w:rPr>
          <w:rFonts w:ascii="Arial" w:hAnsi="Arial" w:cs="Arial"/>
          <w:sz w:val="20"/>
          <w:szCs w:val="20"/>
        </w:rPr>
        <w:t>kreditni posrednik pred začetkom opravljanja storitev posredovanja potrošniških kreditov za nepremičnino potrošniku brezplačno ne zagotovi informacij v skladu z 41. členom tega zakona;</w:t>
      </w:r>
    </w:p>
    <w:p w14:paraId="6545CAF0" w14:textId="77777777" w:rsidR="00C1758B" w:rsidRPr="00215B2F" w:rsidRDefault="00C1758B" w:rsidP="003D4DE0">
      <w:pPr>
        <w:pStyle w:val="Odstavekseznama"/>
        <w:numPr>
          <w:ilvl w:val="0"/>
          <w:numId w:val="401"/>
        </w:numPr>
        <w:spacing w:after="0" w:line="240" w:lineRule="auto"/>
        <w:jc w:val="both"/>
        <w:rPr>
          <w:rFonts w:ascii="Arial" w:hAnsi="Arial" w:cs="Arial"/>
          <w:sz w:val="20"/>
          <w:szCs w:val="20"/>
        </w:rPr>
      </w:pPr>
      <w:r w:rsidRPr="00215B2F">
        <w:rPr>
          <w:rFonts w:ascii="Arial" w:hAnsi="Arial" w:cs="Arial"/>
          <w:sz w:val="20"/>
          <w:szCs w:val="20"/>
        </w:rPr>
        <w:t>kreditni posrednik posreduje potrošniške kredite za nepremičnino v državi članici gostiteljici neposredno ali prek podružnice, ne da bi predhodno obvestil Banko Slovenije o nameri prvega posredovanja potrošniških kreditov za nepremičnino v državi članici gostiteljici v skladu s 73. členom tega zakona;</w:t>
      </w:r>
    </w:p>
    <w:p w14:paraId="41873413" w14:textId="7B4D18AA" w:rsidR="00C1758B" w:rsidRPr="00215B2F" w:rsidRDefault="00C1758B" w:rsidP="003D4DE0">
      <w:pPr>
        <w:pStyle w:val="Odstavekseznama"/>
        <w:numPr>
          <w:ilvl w:val="0"/>
          <w:numId w:val="401"/>
        </w:numPr>
        <w:spacing w:after="0" w:line="240" w:lineRule="auto"/>
        <w:jc w:val="both"/>
        <w:rPr>
          <w:rFonts w:ascii="Arial" w:hAnsi="Arial" w:cs="Arial"/>
          <w:sz w:val="20"/>
          <w:szCs w:val="20"/>
        </w:rPr>
      </w:pPr>
      <w:r w:rsidRPr="00215B2F">
        <w:rPr>
          <w:rFonts w:ascii="Arial" w:hAnsi="Arial" w:cs="Arial"/>
          <w:sz w:val="20"/>
          <w:szCs w:val="20"/>
        </w:rPr>
        <w:t>kreditni posrednik ne zagotovi postopka izvensodnega reševanja sporov s potrošniki v zvezi z opravljanjem storitev potrošniškega kreditiranja v skladu s 93.</w:t>
      </w:r>
      <w:r w:rsidR="004F78BD" w:rsidRPr="00215B2F">
        <w:rPr>
          <w:rFonts w:ascii="Arial" w:hAnsi="Arial" w:cs="Arial"/>
          <w:sz w:val="20"/>
          <w:szCs w:val="20"/>
        </w:rPr>
        <w:t xml:space="preserve"> </w:t>
      </w:r>
      <w:r w:rsidRPr="00215B2F">
        <w:rPr>
          <w:rFonts w:ascii="Arial" w:hAnsi="Arial" w:cs="Arial"/>
          <w:sz w:val="20"/>
          <w:szCs w:val="20"/>
        </w:rPr>
        <w:t>členom tega zakona.</w:t>
      </w:r>
    </w:p>
    <w:p w14:paraId="7AE5A367" w14:textId="77777777" w:rsidR="00C1758B" w:rsidRPr="00215B2F" w:rsidRDefault="00C1758B" w:rsidP="00C1758B">
      <w:pPr>
        <w:spacing w:after="0" w:line="240" w:lineRule="auto"/>
        <w:jc w:val="both"/>
        <w:rPr>
          <w:rFonts w:ascii="Arial" w:hAnsi="Arial" w:cs="Arial"/>
          <w:sz w:val="20"/>
          <w:szCs w:val="20"/>
        </w:rPr>
      </w:pPr>
    </w:p>
    <w:p w14:paraId="56BA92D7" w14:textId="77777777" w:rsidR="00C1758B" w:rsidRPr="00215B2F" w:rsidRDefault="00C1758B" w:rsidP="00C1758B">
      <w:pPr>
        <w:spacing w:after="0" w:line="240" w:lineRule="auto"/>
        <w:jc w:val="both"/>
        <w:rPr>
          <w:rFonts w:ascii="Arial" w:hAnsi="Arial" w:cs="Arial"/>
          <w:sz w:val="20"/>
          <w:szCs w:val="20"/>
        </w:rPr>
      </w:pPr>
      <w:r w:rsidRPr="00215B2F">
        <w:rPr>
          <w:rFonts w:ascii="Arial" w:hAnsi="Arial" w:cs="Arial"/>
          <w:sz w:val="20"/>
          <w:szCs w:val="20"/>
        </w:rPr>
        <w:t>(13) Če Banka Slovenije več kot enkrat pri istem kreditnem posredniku ugotovi pomanjkljivost iz prejšnjega odstavka in hkrati niso podane okoliščine, iz katerih bi izhajalo, da bo ta pomanjkljivost v ustreznem roku verjetno odpravljena, lahko kreditnemu posredniku z odločbo odvzame dovoljenje za posredovanje potrošniških kreditov za nepremičnino ali izvajanje svetovalnih storitev v zvezi s temi krediti po tem zakonu.</w:t>
      </w:r>
    </w:p>
    <w:p w14:paraId="4EA015A6" w14:textId="77777777" w:rsidR="00C1758B" w:rsidRPr="00215B2F" w:rsidRDefault="00C1758B" w:rsidP="00C1758B">
      <w:pPr>
        <w:spacing w:after="0" w:line="240" w:lineRule="auto"/>
        <w:jc w:val="both"/>
        <w:rPr>
          <w:rFonts w:ascii="Arial" w:hAnsi="Arial" w:cs="Arial"/>
          <w:b/>
          <w:bCs/>
          <w:sz w:val="20"/>
          <w:szCs w:val="20"/>
        </w:rPr>
      </w:pPr>
    </w:p>
    <w:p w14:paraId="6E6B6F72" w14:textId="77777777" w:rsidR="00C1758B" w:rsidRPr="00215B2F" w:rsidRDefault="00C1758B" w:rsidP="00C1758B">
      <w:pPr>
        <w:spacing w:after="0" w:line="240" w:lineRule="auto"/>
        <w:jc w:val="center"/>
        <w:rPr>
          <w:rFonts w:ascii="Arial" w:hAnsi="Arial" w:cs="Arial"/>
          <w:b/>
          <w:bCs/>
          <w:sz w:val="20"/>
          <w:szCs w:val="20"/>
        </w:rPr>
      </w:pPr>
      <w:r w:rsidRPr="00215B2F">
        <w:rPr>
          <w:rFonts w:ascii="Arial" w:hAnsi="Arial" w:cs="Arial"/>
          <w:b/>
          <w:bCs/>
          <w:sz w:val="20"/>
          <w:szCs w:val="20"/>
        </w:rPr>
        <w:t>Zakona o Banki Slovenije</w:t>
      </w:r>
    </w:p>
    <w:p w14:paraId="2A9F6911" w14:textId="77777777" w:rsidR="00C1758B" w:rsidRPr="00215B2F" w:rsidRDefault="00C1758B" w:rsidP="00C1758B">
      <w:pPr>
        <w:spacing w:after="0" w:line="240" w:lineRule="auto"/>
        <w:jc w:val="center"/>
        <w:rPr>
          <w:rFonts w:ascii="Arial" w:hAnsi="Arial" w:cs="Arial"/>
          <w:b/>
          <w:bCs/>
          <w:sz w:val="20"/>
          <w:szCs w:val="20"/>
        </w:rPr>
      </w:pPr>
      <w:r w:rsidRPr="00215B2F">
        <w:rPr>
          <w:rFonts w:ascii="Arial" w:hAnsi="Arial" w:cs="Arial"/>
          <w:b/>
          <w:bCs/>
          <w:sz w:val="20"/>
          <w:szCs w:val="20"/>
        </w:rPr>
        <w:t>(Uradni list RS, št. 72/06 – uradno prečiščeno besedilo, 59/11 in 55/17</w:t>
      </w:r>
    </w:p>
    <w:p w14:paraId="408E865F" w14:textId="77777777" w:rsidR="00C1758B" w:rsidRPr="00215B2F" w:rsidRDefault="00C1758B" w:rsidP="00C1758B">
      <w:pPr>
        <w:spacing w:after="0" w:line="240" w:lineRule="auto"/>
        <w:jc w:val="center"/>
        <w:rPr>
          <w:rFonts w:ascii="Arial" w:hAnsi="Arial" w:cs="Arial"/>
          <w:b/>
          <w:bCs/>
          <w:sz w:val="20"/>
          <w:szCs w:val="20"/>
        </w:rPr>
      </w:pPr>
    </w:p>
    <w:p w14:paraId="36C5B225" w14:textId="77777777" w:rsidR="00C1758B" w:rsidRPr="00215B2F" w:rsidRDefault="00C1758B" w:rsidP="00C1758B">
      <w:pPr>
        <w:spacing w:after="0" w:line="240" w:lineRule="auto"/>
        <w:jc w:val="center"/>
        <w:rPr>
          <w:rFonts w:ascii="Arial" w:hAnsi="Arial" w:cs="Arial"/>
          <w:b/>
          <w:bCs/>
          <w:sz w:val="20"/>
          <w:szCs w:val="20"/>
        </w:rPr>
      </w:pPr>
      <w:r w:rsidRPr="00215B2F">
        <w:rPr>
          <w:rFonts w:ascii="Arial" w:hAnsi="Arial" w:cs="Arial"/>
          <w:b/>
          <w:bCs/>
          <w:sz w:val="20"/>
          <w:szCs w:val="20"/>
        </w:rPr>
        <w:t>30. člen</w:t>
      </w:r>
    </w:p>
    <w:p w14:paraId="595001CB" w14:textId="77777777" w:rsidR="00C1758B" w:rsidRPr="00215B2F" w:rsidRDefault="00C1758B" w:rsidP="00C1758B">
      <w:pPr>
        <w:spacing w:after="0" w:line="240" w:lineRule="auto"/>
        <w:jc w:val="center"/>
        <w:rPr>
          <w:rFonts w:ascii="Arial" w:hAnsi="Arial" w:cs="Arial"/>
          <w:b/>
          <w:bCs/>
          <w:sz w:val="20"/>
          <w:szCs w:val="20"/>
        </w:rPr>
      </w:pPr>
      <w:r w:rsidRPr="00215B2F">
        <w:rPr>
          <w:rFonts w:ascii="Arial" w:hAnsi="Arial" w:cs="Arial"/>
          <w:b/>
          <w:bCs/>
          <w:sz w:val="20"/>
          <w:szCs w:val="20"/>
        </w:rPr>
        <w:t>(Sestava Sveta Banke Slovenije)</w:t>
      </w:r>
    </w:p>
    <w:p w14:paraId="6D61A61B" w14:textId="77777777" w:rsidR="00C1758B" w:rsidRPr="00215B2F" w:rsidRDefault="00C1758B" w:rsidP="00C1758B">
      <w:pPr>
        <w:spacing w:after="0" w:line="240" w:lineRule="auto"/>
        <w:jc w:val="both"/>
        <w:rPr>
          <w:rFonts w:ascii="Arial" w:hAnsi="Arial" w:cs="Arial"/>
          <w:sz w:val="20"/>
          <w:szCs w:val="20"/>
        </w:rPr>
      </w:pPr>
    </w:p>
    <w:p w14:paraId="562E4016" w14:textId="77777777" w:rsidR="00C1758B" w:rsidRPr="00215B2F" w:rsidRDefault="00C1758B" w:rsidP="00C1758B">
      <w:pPr>
        <w:spacing w:after="0" w:line="240" w:lineRule="auto"/>
        <w:jc w:val="both"/>
        <w:rPr>
          <w:rFonts w:ascii="Arial" w:hAnsi="Arial" w:cs="Arial"/>
          <w:sz w:val="20"/>
          <w:szCs w:val="20"/>
        </w:rPr>
      </w:pPr>
      <w:r w:rsidRPr="00215B2F">
        <w:rPr>
          <w:rFonts w:ascii="Arial" w:hAnsi="Arial" w:cs="Arial"/>
          <w:sz w:val="20"/>
          <w:szCs w:val="20"/>
        </w:rPr>
        <w:t>(1) Svet Banke Slovenije sestavlja pet članov. Člani Sveta Banke Slovenije so guverner in štirje viceguvernerji.</w:t>
      </w:r>
    </w:p>
    <w:p w14:paraId="475D6395" w14:textId="77777777" w:rsidR="00C1758B" w:rsidRPr="00215B2F" w:rsidRDefault="00C1758B" w:rsidP="00C1758B">
      <w:pPr>
        <w:spacing w:after="0" w:line="240" w:lineRule="auto"/>
        <w:jc w:val="both"/>
        <w:rPr>
          <w:rFonts w:ascii="Arial" w:hAnsi="Arial" w:cs="Arial"/>
          <w:sz w:val="20"/>
          <w:szCs w:val="20"/>
        </w:rPr>
      </w:pPr>
    </w:p>
    <w:p w14:paraId="64C231EE" w14:textId="77777777" w:rsidR="00C1758B" w:rsidRPr="00215B2F" w:rsidRDefault="00C1758B" w:rsidP="00C1758B">
      <w:pPr>
        <w:spacing w:after="0" w:line="240" w:lineRule="auto"/>
        <w:jc w:val="both"/>
        <w:rPr>
          <w:rFonts w:ascii="Arial" w:hAnsi="Arial" w:cs="Arial"/>
          <w:sz w:val="20"/>
          <w:szCs w:val="20"/>
        </w:rPr>
      </w:pPr>
      <w:r w:rsidRPr="00215B2F">
        <w:rPr>
          <w:rFonts w:ascii="Arial" w:hAnsi="Arial" w:cs="Arial"/>
          <w:sz w:val="20"/>
          <w:szCs w:val="20"/>
        </w:rPr>
        <w:t>(2) Guverner Banke Slovenije je predsednik Sveta Banke Slovenije.</w:t>
      </w:r>
    </w:p>
    <w:p w14:paraId="09025965" w14:textId="77777777" w:rsidR="00C1758B" w:rsidRPr="00215B2F" w:rsidRDefault="00C1758B" w:rsidP="00C1758B">
      <w:pPr>
        <w:spacing w:after="0" w:line="240" w:lineRule="auto"/>
        <w:jc w:val="both"/>
        <w:rPr>
          <w:rFonts w:ascii="Arial" w:hAnsi="Arial" w:cs="Arial"/>
          <w:sz w:val="20"/>
          <w:szCs w:val="20"/>
        </w:rPr>
      </w:pPr>
    </w:p>
    <w:p w14:paraId="3A2C3AAE" w14:textId="77777777" w:rsidR="00C1758B" w:rsidRPr="00215B2F" w:rsidRDefault="00C1758B" w:rsidP="00C1758B">
      <w:pPr>
        <w:spacing w:after="0" w:line="240" w:lineRule="auto"/>
        <w:jc w:val="both"/>
        <w:rPr>
          <w:rFonts w:ascii="Arial" w:hAnsi="Arial" w:cs="Arial"/>
          <w:sz w:val="20"/>
          <w:szCs w:val="20"/>
        </w:rPr>
      </w:pPr>
      <w:r w:rsidRPr="00215B2F">
        <w:rPr>
          <w:rFonts w:ascii="Arial" w:hAnsi="Arial" w:cs="Arial"/>
          <w:sz w:val="20"/>
          <w:szCs w:val="20"/>
        </w:rPr>
        <w:t>(3) Guverner Banke Slovenije lahko pooblasti enega od viceguvernerjev za namestnika guvernerja.</w:t>
      </w:r>
    </w:p>
    <w:p w14:paraId="2E5A9D38" w14:textId="77777777" w:rsidR="0010347E" w:rsidRPr="00215B2F" w:rsidRDefault="0010347E" w:rsidP="00C1758B">
      <w:pPr>
        <w:shd w:val="clear" w:color="auto" w:fill="FFFFFF" w:themeFill="background1"/>
        <w:spacing w:after="0" w:line="240" w:lineRule="auto"/>
        <w:rPr>
          <w:rFonts w:ascii="Arial" w:hAnsi="Arial" w:cs="Arial"/>
          <w:b/>
          <w:bCs/>
          <w:sz w:val="20"/>
          <w:szCs w:val="20"/>
        </w:rPr>
      </w:pPr>
    </w:p>
    <w:p w14:paraId="654E31D4" w14:textId="77777777" w:rsidR="0010347E" w:rsidRDefault="0010347E" w:rsidP="00C1758B">
      <w:pPr>
        <w:shd w:val="clear" w:color="auto" w:fill="FFFFFF" w:themeFill="background1"/>
        <w:spacing w:after="0" w:line="240" w:lineRule="auto"/>
        <w:rPr>
          <w:rFonts w:ascii="Arial" w:hAnsi="Arial" w:cs="Arial"/>
          <w:b/>
          <w:bCs/>
          <w:sz w:val="20"/>
          <w:szCs w:val="20"/>
        </w:rPr>
      </w:pPr>
    </w:p>
    <w:p w14:paraId="097CF957" w14:textId="77777777" w:rsidR="00D2552F" w:rsidRDefault="00D2552F" w:rsidP="00C1758B">
      <w:pPr>
        <w:shd w:val="clear" w:color="auto" w:fill="FFFFFF" w:themeFill="background1"/>
        <w:spacing w:after="0" w:line="240" w:lineRule="auto"/>
        <w:rPr>
          <w:rFonts w:ascii="Arial" w:hAnsi="Arial" w:cs="Arial"/>
          <w:b/>
          <w:bCs/>
          <w:sz w:val="20"/>
          <w:szCs w:val="20"/>
        </w:rPr>
      </w:pPr>
    </w:p>
    <w:p w14:paraId="4315E52E" w14:textId="77777777" w:rsidR="00D2552F" w:rsidRDefault="00D2552F" w:rsidP="00C1758B">
      <w:pPr>
        <w:shd w:val="clear" w:color="auto" w:fill="FFFFFF" w:themeFill="background1"/>
        <w:spacing w:after="0" w:line="240" w:lineRule="auto"/>
        <w:rPr>
          <w:rFonts w:ascii="Arial" w:hAnsi="Arial" w:cs="Arial"/>
          <w:b/>
          <w:bCs/>
          <w:sz w:val="20"/>
          <w:szCs w:val="20"/>
        </w:rPr>
      </w:pPr>
    </w:p>
    <w:p w14:paraId="11FA37EE" w14:textId="77777777" w:rsidR="00D2552F" w:rsidRDefault="00D2552F" w:rsidP="00C1758B">
      <w:pPr>
        <w:shd w:val="clear" w:color="auto" w:fill="FFFFFF" w:themeFill="background1"/>
        <w:spacing w:after="0" w:line="240" w:lineRule="auto"/>
        <w:rPr>
          <w:rFonts w:ascii="Arial" w:hAnsi="Arial" w:cs="Arial"/>
          <w:b/>
          <w:bCs/>
          <w:sz w:val="20"/>
          <w:szCs w:val="20"/>
        </w:rPr>
      </w:pPr>
    </w:p>
    <w:p w14:paraId="0CD9E742" w14:textId="77777777" w:rsidR="00D2552F" w:rsidRDefault="00D2552F" w:rsidP="00C1758B">
      <w:pPr>
        <w:shd w:val="clear" w:color="auto" w:fill="FFFFFF" w:themeFill="background1"/>
        <w:spacing w:after="0" w:line="240" w:lineRule="auto"/>
        <w:rPr>
          <w:rFonts w:ascii="Arial" w:hAnsi="Arial" w:cs="Arial"/>
          <w:b/>
          <w:bCs/>
          <w:sz w:val="20"/>
          <w:szCs w:val="20"/>
        </w:rPr>
      </w:pPr>
    </w:p>
    <w:p w14:paraId="1AC08070" w14:textId="77777777" w:rsidR="00D2552F" w:rsidRDefault="00D2552F" w:rsidP="00C1758B">
      <w:pPr>
        <w:shd w:val="clear" w:color="auto" w:fill="FFFFFF" w:themeFill="background1"/>
        <w:spacing w:after="0" w:line="240" w:lineRule="auto"/>
        <w:rPr>
          <w:rFonts w:ascii="Arial" w:hAnsi="Arial" w:cs="Arial"/>
          <w:b/>
          <w:bCs/>
          <w:sz w:val="20"/>
          <w:szCs w:val="20"/>
        </w:rPr>
      </w:pPr>
    </w:p>
    <w:p w14:paraId="77764AAA" w14:textId="77777777" w:rsidR="00D2552F" w:rsidRDefault="00D2552F" w:rsidP="00C1758B">
      <w:pPr>
        <w:shd w:val="clear" w:color="auto" w:fill="FFFFFF" w:themeFill="background1"/>
        <w:spacing w:after="0" w:line="240" w:lineRule="auto"/>
        <w:rPr>
          <w:rFonts w:ascii="Arial" w:hAnsi="Arial" w:cs="Arial"/>
          <w:b/>
          <w:bCs/>
          <w:sz w:val="20"/>
          <w:szCs w:val="20"/>
        </w:rPr>
      </w:pPr>
    </w:p>
    <w:p w14:paraId="03C947F2" w14:textId="77777777" w:rsidR="00D2552F" w:rsidRDefault="00D2552F" w:rsidP="00C1758B">
      <w:pPr>
        <w:shd w:val="clear" w:color="auto" w:fill="FFFFFF" w:themeFill="background1"/>
        <w:spacing w:after="0" w:line="240" w:lineRule="auto"/>
        <w:rPr>
          <w:rFonts w:ascii="Arial" w:hAnsi="Arial" w:cs="Arial"/>
          <w:b/>
          <w:bCs/>
          <w:sz w:val="20"/>
          <w:szCs w:val="20"/>
        </w:rPr>
      </w:pPr>
    </w:p>
    <w:p w14:paraId="4DEED1E2" w14:textId="77777777" w:rsidR="00D2552F" w:rsidRPr="00215B2F" w:rsidRDefault="00D2552F" w:rsidP="00C1758B">
      <w:pPr>
        <w:shd w:val="clear" w:color="auto" w:fill="FFFFFF" w:themeFill="background1"/>
        <w:spacing w:after="0" w:line="240" w:lineRule="auto"/>
        <w:rPr>
          <w:rFonts w:ascii="Arial" w:hAnsi="Arial" w:cs="Arial"/>
          <w:b/>
          <w:bCs/>
          <w:sz w:val="20"/>
          <w:szCs w:val="20"/>
        </w:rPr>
      </w:pPr>
    </w:p>
    <w:p w14:paraId="01E5A9B6" w14:textId="45BBCC14" w:rsidR="0010347E" w:rsidRPr="00215B2F" w:rsidRDefault="0010347E" w:rsidP="0010347E">
      <w:pPr>
        <w:shd w:val="clear" w:color="auto" w:fill="FFFFFF" w:themeFill="background1"/>
        <w:spacing w:after="0" w:line="240" w:lineRule="auto"/>
        <w:rPr>
          <w:rFonts w:ascii="Arial" w:hAnsi="Arial" w:cs="Arial"/>
          <w:b/>
          <w:bCs/>
          <w:sz w:val="20"/>
          <w:szCs w:val="20"/>
        </w:rPr>
      </w:pPr>
      <w:bookmarkStart w:id="626" w:name="_GoBack"/>
      <w:bookmarkEnd w:id="626"/>
      <w:r w:rsidRPr="00215B2F">
        <w:rPr>
          <w:rFonts w:ascii="Arial" w:hAnsi="Arial" w:cs="Arial"/>
          <w:b/>
          <w:bCs/>
          <w:sz w:val="20"/>
          <w:szCs w:val="20"/>
        </w:rPr>
        <w:lastRenderedPageBreak/>
        <w:t>V. PRILOGA</w:t>
      </w:r>
    </w:p>
    <w:p w14:paraId="62AC5261" w14:textId="77777777" w:rsidR="0010347E" w:rsidRPr="00215B2F" w:rsidRDefault="0010347E" w:rsidP="0010347E">
      <w:pPr>
        <w:shd w:val="clear" w:color="auto" w:fill="FFFFFF" w:themeFill="background1"/>
        <w:spacing w:after="0" w:line="240" w:lineRule="auto"/>
        <w:rPr>
          <w:rFonts w:ascii="Arial" w:hAnsi="Arial" w:cs="Arial"/>
          <w:b/>
          <w:bCs/>
          <w:sz w:val="20"/>
          <w:szCs w:val="20"/>
        </w:rPr>
      </w:pPr>
    </w:p>
    <w:p w14:paraId="47491DF0" w14:textId="77777777" w:rsidR="003661E6" w:rsidRPr="00215B2F" w:rsidRDefault="003661E6" w:rsidP="003661E6">
      <w:pPr>
        <w:shd w:val="clear" w:color="auto" w:fill="FFFFFF" w:themeFill="background1"/>
        <w:spacing w:after="0" w:line="240" w:lineRule="auto"/>
        <w:jc w:val="both"/>
        <w:rPr>
          <w:rFonts w:ascii="Arial" w:hAnsi="Arial" w:cs="Arial"/>
          <w:b/>
          <w:bCs/>
          <w:sz w:val="20"/>
          <w:szCs w:val="20"/>
        </w:rPr>
      </w:pPr>
      <w:r w:rsidRPr="00215B2F">
        <w:rPr>
          <w:rFonts w:ascii="Arial" w:hAnsi="Arial" w:cs="Arial"/>
          <w:b/>
          <w:bCs/>
          <w:sz w:val="20"/>
          <w:szCs w:val="20"/>
        </w:rPr>
        <w:t>Opomba glede predvidenih podzakonskih aktov Banke Slovenije</w:t>
      </w:r>
    </w:p>
    <w:p w14:paraId="77C28C84" w14:textId="77777777" w:rsidR="003661E6" w:rsidRPr="00215B2F" w:rsidRDefault="003661E6" w:rsidP="003661E6">
      <w:pPr>
        <w:shd w:val="clear" w:color="auto" w:fill="FFFFFF" w:themeFill="background1"/>
        <w:spacing w:after="0" w:line="240" w:lineRule="auto"/>
        <w:jc w:val="both"/>
        <w:rPr>
          <w:rFonts w:ascii="Arial" w:hAnsi="Arial" w:cs="Arial"/>
          <w:b/>
          <w:bCs/>
          <w:sz w:val="20"/>
          <w:szCs w:val="20"/>
        </w:rPr>
      </w:pPr>
    </w:p>
    <w:p w14:paraId="7EA16327" w14:textId="051245A6" w:rsidR="003661E6" w:rsidRPr="00215B2F" w:rsidRDefault="003661E6" w:rsidP="003661E6">
      <w:pPr>
        <w:spacing w:after="0" w:line="240" w:lineRule="auto"/>
        <w:jc w:val="both"/>
        <w:rPr>
          <w:rFonts w:ascii="Arial" w:hAnsi="Arial" w:cs="Arial"/>
          <w:sz w:val="20"/>
          <w:szCs w:val="20"/>
        </w:rPr>
      </w:pPr>
      <w:r w:rsidRPr="00215B2F">
        <w:rPr>
          <w:rFonts w:ascii="Arial" w:hAnsi="Arial" w:cs="Arial"/>
          <w:sz w:val="20"/>
          <w:szCs w:val="20"/>
        </w:rPr>
        <w:t xml:space="preserve">Predlog zakona predvideva več mandatov Banke Slovenije za izdajo podzakonskih aktov, pri čemer večina od njih ni novih, torej so podzakonski že sprejeti in je z vidika njihove nadaljnje uporabe dodana ustrezna prehodna določba. </w:t>
      </w:r>
    </w:p>
    <w:p w14:paraId="1065DC69" w14:textId="77777777" w:rsidR="003661E6" w:rsidRPr="00215B2F" w:rsidRDefault="003661E6" w:rsidP="003661E6">
      <w:pPr>
        <w:spacing w:after="0" w:line="240" w:lineRule="auto"/>
        <w:jc w:val="both"/>
        <w:rPr>
          <w:rFonts w:ascii="Arial" w:hAnsi="Arial" w:cs="Arial"/>
          <w:sz w:val="20"/>
          <w:szCs w:val="20"/>
        </w:rPr>
      </w:pPr>
    </w:p>
    <w:p w14:paraId="2EC56AC2" w14:textId="42C0734D" w:rsidR="003661E6" w:rsidRPr="00215B2F" w:rsidRDefault="003661E6" w:rsidP="003661E6">
      <w:pPr>
        <w:spacing w:after="0" w:line="240" w:lineRule="auto"/>
        <w:jc w:val="both"/>
        <w:rPr>
          <w:rFonts w:ascii="Arial" w:hAnsi="Arial" w:cs="Arial"/>
          <w:sz w:val="20"/>
          <w:szCs w:val="20"/>
        </w:rPr>
      </w:pPr>
      <w:r w:rsidRPr="00215B2F">
        <w:rPr>
          <w:rFonts w:ascii="Arial" w:hAnsi="Arial" w:cs="Arial"/>
          <w:sz w:val="20"/>
          <w:szCs w:val="20"/>
        </w:rPr>
        <w:t xml:space="preserve">Nadalje predlog zakona vključuje nekatere nove mandate za sprejem podzakonskih aktov, zlasti glede podrobnejših kriterijev in zahtevane dokumentacije pri novih postopkih, ki jih predvideva konsolidirana različica Direktive 2013/36/EU (CRD) oziroma Direktiva 2024/16197EU, ki spreminja Direktivo 2013/36/EU. </w:t>
      </w:r>
    </w:p>
    <w:p w14:paraId="669D5A4F" w14:textId="77777777" w:rsidR="003661E6" w:rsidRPr="00215B2F" w:rsidRDefault="003661E6" w:rsidP="003661E6">
      <w:pPr>
        <w:spacing w:after="0" w:line="240" w:lineRule="auto"/>
        <w:jc w:val="both"/>
        <w:rPr>
          <w:rFonts w:ascii="Arial" w:hAnsi="Arial" w:cs="Arial"/>
          <w:sz w:val="20"/>
          <w:szCs w:val="20"/>
        </w:rPr>
      </w:pPr>
    </w:p>
    <w:p w14:paraId="3D9E6DA1" w14:textId="77777777" w:rsidR="003661E6" w:rsidRPr="00215B2F" w:rsidRDefault="003661E6" w:rsidP="003661E6">
      <w:pPr>
        <w:spacing w:after="0" w:line="240" w:lineRule="auto"/>
        <w:jc w:val="both"/>
        <w:rPr>
          <w:rFonts w:ascii="Arial" w:hAnsi="Arial" w:cs="Arial"/>
          <w:sz w:val="20"/>
          <w:szCs w:val="20"/>
        </w:rPr>
      </w:pPr>
      <w:r w:rsidRPr="00215B2F">
        <w:rPr>
          <w:rFonts w:ascii="Arial" w:hAnsi="Arial" w:cs="Arial"/>
          <w:sz w:val="20"/>
          <w:szCs w:val="20"/>
        </w:rPr>
        <w:t xml:space="preserve">Pri tem glede podrobnejših kriterijev in nabora zahtevane dokumentacije že CRD predvideva izdajo izvedbenih tehničnih standardov, regulatornih tehničnih standardov ali smernic Evropskega bančnega organa (EBA), ki jih bo pri izdaji novih podzakonskih aktov upoštevala tudi Banka Slovenije. </w:t>
      </w:r>
    </w:p>
    <w:p w14:paraId="01E086AB" w14:textId="77777777" w:rsidR="003661E6" w:rsidRPr="00215B2F" w:rsidRDefault="003661E6" w:rsidP="003661E6">
      <w:pPr>
        <w:spacing w:after="0" w:line="240" w:lineRule="auto"/>
        <w:jc w:val="both"/>
        <w:rPr>
          <w:rFonts w:ascii="Arial" w:hAnsi="Arial" w:cs="Arial"/>
          <w:sz w:val="20"/>
          <w:szCs w:val="20"/>
        </w:rPr>
      </w:pPr>
    </w:p>
    <w:p w14:paraId="62934FF8" w14:textId="0F966401" w:rsidR="001C3B60" w:rsidRPr="00215B2F" w:rsidRDefault="003661E6" w:rsidP="008F3420">
      <w:pPr>
        <w:spacing w:after="0" w:line="240" w:lineRule="auto"/>
        <w:jc w:val="both"/>
        <w:rPr>
          <w:rFonts w:ascii="Arial" w:hAnsi="Arial" w:cs="Arial"/>
          <w:sz w:val="20"/>
          <w:szCs w:val="20"/>
        </w:rPr>
      </w:pPr>
      <w:r w:rsidRPr="00215B2F">
        <w:rPr>
          <w:rFonts w:ascii="Arial" w:hAnsi="Arial" w:cs="Arial"/>
          <w:sz w:val="20"/>
          <w:szCs w:val="20"/>
        </w:rPr>
        <w:t xml:space="preserve">Mandat za dodaten podzakonski akt Banke Slovenije je pomemben zato, da lahko z njim uredimo nacionalne posebnosti, ki jih zgoraj navedeni akti sprejeti v okviru EBA in Evropske komisije ne naslovijo. Za opredelitev vsebine teh posebnosti, pa je potrebno najprej imeti informacije o vsebini aktov, ki bodo sprejeti na ravni EBA in Evropske komisije, da ne pride do podvajanja. Primeroma navajajo npr. tretji odstavek 27.k člena CRD in 107. člen </w:t>
      </w:r>
      <w:r w:rsidR="00054679" w:rsidRPr="00215B2F">
        <w:rPr>
          <w:rFonts w:ascii="Arial" w:hAnsi="Arial" w:cs="Arial"/>
          <w:sz w:val="20"/>
          <w:szCs w:val="20"/>
        </w:rPr>
        <w:t>predloga zakona</w:t>
      </w:r>
      <w:r w:rsidRPr="00215B2F">
        <w:rPr>
          <w:rFonts w:ascii="Arial" w:hAnsi="Arial" w:cs="Arial"/>
          <w:sz w:val="20"/>
          <w:szCs w:val="20"/>
        </w:rPr>
        <w:t xml:space="preserve"> in sedmi odstavek 27.b člen CRD in 267. člen </w:t>
      </w:r>
      <w:r w:rsidR="00054679" w:rsidRPr="00215B2F">
        <w:rPr>
          <w:rFonts w:ascii="Arial" w:hAnsi="Arial" w:cs="Arial"/>
          <w:sz w:val="20"/>
          <w:szCs w:val="20"/>
        </w:rPr>
        <w:t>predloga zakona</w:t>
      </w:r>
      <w:r w:rsidRPr="00215B2F">
        <w:rPr>
          <w:rFonts w:ascii="Arial" w:hAnsi="Arial" w:cs="Arial"/>
          <w:sz w:val="20"/>
          <w:szCs w:val="20"/>
        </w:rPr>
        <w:t xml:space="preserve">, 48.l člen CRD in 324. člen </w:t>
      </w:r>
      <w:r w:rsidR="00054679" w:rsidRPr="00215B2F">
        <w:rPr>
          <w:rFonts w:ascii="Arial" w:hAnsi="Arial" w:cs="Arial"/>
          <w:sz w:val="20"/>
          <w:szCs w:val="20"/>
        </w:rPr>
        <w:t>predloga zakona.</w:t>
      </w:r>
    </w:p>
    <w:sectPr w:rsidR="001C3B60" w:rsidRPr="00215B2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99721C" w14:textId="77777777" w:rsidR="00184DC7" w:rsidRDefault="00184DC7" w:rsidP="00D91782">
      <w:pPr>
        <w:spacing w:after="0" w:line="240" w:lineRule="auto"/>
      </w:pPr>
      <w:r>
        <w:separator/>
      </w:r>
    </w:p>
  </w:endnote>
  <w:endnote w:type="continuationSeparator" w:id="0">
    <w:p w14:paraId="1BFE5381" w14:textId="77777777" w:rsidR="00184DC7" w:rsidRDefault="00184DC7" w:rsidP="00D91782">
      <w:pPr>
        <w:spacing w:after="0" w:line="240" w:lineRule="auto"/>
      </w:pPr>
      <w:r>
        <w:continuationSeparator/>
      </w:r>
    </w:p>
  </w:endnote>
  <w:endnote w:type="continuationNotice" w:id="1">
    <w:p w14:paraId="63AED995" w14:textId="77777777" w:rsidR="00184DC7" w:rsidRDefault="00184D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ptos">
    <w:altName w:val="Arial"/>
    <w:charset w:val="00"/>
    <w:family w:val="swiss"/>
    <w:pitch w:val="variable"/>
    <w:sig w:usb0="00000001"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Impact">
    <w:panose1 w:val="020B0806030902050204"/>
    <w:charset w:val="EE"/>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Roboto">
    <w:altName w:val="Times New Roman"/>
    <w:charset w:val="00"/>
    <w:family w:val="auto"/>
    <w:pitch w:val="variable"/>
    <w:sig w:usb0="00000001" w:usb1="5000217F" w:usb2="0000002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F66E22" w14:textId="77777777" w:rsidR="00184DC7" w:rsidRDefault="00184DC7" w:rsidP="00D91782">
      <w:pPr>
        <w:spacing w:after="0" w:line="240" w:lineRule="auto"/>
      </w:pPr>
      <w:r>
        <w:separator/>
      </w:r>
    </w:p>
  </w:footnote>
  <w:footnote w:type="continuationSeparator" w:id="0">
    <w:p w14:paraId="57C476A5" w14:textId="77777777" w:rsidR="00184DC7" w:rsidRDefault="00184DC7" w:rsidP="00D91782">
      <w:pPr>
        <w:spacing w:after="0" w:line="240" w:lineRule="auto"/>
      </w:pPr>
      <w:r>
        <w:continuationSeparator/>
      </w:r>
    </w:p>
  </w:footnote>
  <w:footnote w:type="continuationNotice" w:id="1">
    <w:p w14:paraId="0BA58473" w14:textId="77777777" w:rsidR="00184DC7" w:rsidRDefault="00184DC7">
      <w:pPr>
        <w:spacing w:after="0" w:line="240" w:lineRule="auto"/>
      </w:pPr>
    </w:p>
  </w:footnote>
  <w:footnote w:id="2">
    <w:p w14:paraId="34334F91" w14:textId="663E03CC" w:rsidR="0010347E" w:rsidRPr="00FE6817" w:rsidRDefault="0010347E" w:rsidP="0010347E">
      <w:pPr>
        <w:spacing w:after="0" w:line="240" w:lineRule="auto"/>
        <w:jc w:val="both"/>
        <w:rPr>
          <w:rFonts w:ascii="Arial" w:hAnsi="Arial" w:cs="Arial"/>
          <w:sz w:val="16"/>
          <w:szCs w:val="16"/>
        </w:rPr>
      </w:pPr>
      <w:r w:rsidRPr="00FE6817">
        <w:rPr>
          <w:rStyle w:val="Sprotnaopomba-sklic"/>
          <w:rFonts w:ascii="Arial" w:hAnsi="Arial" w:cs="Arial"/>
          <w:sz w:val="16"/>
          <w:szCs w:val="16"/>
        </w:rPr>
        <w:footnoteRef/>
      </w:r>
      <w:r w:rsidRPr="00FE6817">
        <w:rPr>
          <w:rFonts w:ascii="Arial" w:hAnsi="Arial" w:cs="Arial"/>
          <w:sz w:val="16"/>
          <w:szCs w:val="16"/>
        </w:rPr>
        <w:t xml:space="preserve"> </w:t>
      </w:r>
      <w:r>
        <w:rPr>
          <w:rFonts w:ascii="Arial" w:hAnsi="Arial" w:cs="Arial"/>
          <w:sz w:val="16"/>
          <w:szCs w:val="16"/>
        </w:rPr>
        <w:t xml:space="preserve">V skladu z navedenim je vsebina podpoglavja </w:t>
      </w:r>
      <w:r w:rsidRPr="00FE6817">
        <w:rPr>
          <w:rFonts w:ascii="Arial" w:hAnsi="Arial" w:cs="Arial"/>
          <w:sz w:val="16"/>
          <w:szCs w:val="16"/>
        </w:rPr>
        <w:t>črpana iz uvodnega dela Direktive (EU) 2024/1619 Evropskega parlamenta in Sveta z dne 31. maja 2024 o spremembi Direktive 2013/36/EU v zvezi z nadzorniškimi pooblastili, sankcijami, podružnicami iz tretjih držav in okoljskimi, socialnimi in upravljavskimi tveganji</w:t>
      </w:r>
      <w:r w:rsidR="00B005EA">
        <w:rPr>
          <w:rFonts w:ascii="Arial" w:hAnsi="Arial" w:cs="Arial"/>
          <w:sz w:val="16"/>
          <w:szCs w:val="16"/>
        </w:rPr>
        <w:t>.</w:t>
      </w:r>
    </w:p>
  </w:footnote>
  <w:footnote w:id="3">
    <w:p w14:paraId="3F6EB79E" w14:textId="5DB1CB47" w:rsidR="00605C61" w:rsidRPr="00605C61" w:rsidRDefault="00605C61" w:rsidP="00605C61">
      <w:pPr>
        <w:pStyle w:val="Sprotnaopomba-besedilo"/>
        <w:ind w:left="0" w:firstLine="0"/>
        <w:rPr>
          <w:rFonts w:ascii="Arial" w:hAnsi="Arial" w:cs="Arial"/>
          <w:sz w:val="16"/>
          <w:szCs w:val="16"/>
        </w:rPr>
      </w:pPr>
      <w:r w:rsidRPr="00605C61">
        <w:rPr>
          <w:rStyle w:val="Sprotnaopomba-sklic"/>
          <w:rFonts w:ascii="Arial" w:hAnsi="Arial" w:cs="Arial"/>
          <w:sz w:val="16"/>
          <w:szCs w:val="16"/>
        </w:rPr>
        <w:footnoteRef/>
      </w:r>
      <w:r w:rsidRPr="00605C61">
        <w:rPr>
          <w:rFonts w:ascii="Arial" w:hAnsi="Arial" w:cs="Arial"/>
          <w:sz w:val="16"/>
          <w:szCs w:val="16"/>
        </w:rPr>
        <w:t xml:space="preserve"> ZGD-1 se v skladu z drugim odstavkom 26. člena ZBan-3 oziroma 32. člena predloga zakona za banke uporablja subsidiarno. Večja jasnost je torej v izogib dvomu, ali predlog zakona vključuje določbe, ki glede uporabe 399. člen pomenijo lex-specialis. </w:t>
      </w:r>
    </w:p>
  </w:footnote>
  <w:footnote w:id="4">
    <w:p w14:paraId="6F2D5BFD" w14:textId="1B4A825B" w:rsidR="00605C61" w:rsidRPr="00605C61" w:rsidRDefault="00605C61" w:rsidP="00605C61">
      <w:pPr>
        <w:pStyle w:val="Sprotnaopomba-besedilo"/>
        <w:ind w:left="0" w:firstLine="0"/>
        <w:rPr>
          <w:rFonts w:ascii="Arial" w:hAnsi="Arial" w:cs="Arial"/>
          <w:sz w:val="16"/>
          <w:szCs w:val="16"/>
        </w:rPr>
      </w:pPr>
      <w:r w:rsidRPr="00605C61">
        <w:rPr>
          <w:rStyle w:val="Sprotnaopomba-sklic"/>
          <w:rFonts w:ascii="Arial" w:hAnsi="Arial" w:cs="Arial"/>
          <w:sz w:val="16"/>
          <w:szCs w:val="16"/>
        </w:rPr>
        <w:footnoteRef/>
      </w:r>
      <w:r w:rsidRPr="00605C61">
        <w:rPr>
          <w:rFonts w:ascii="Arial" w:hAnsi="Arial" w:cs="Arial"/>
          <w:sz w:val="16"/>
          <w:szCs w:val="16"/>
        </w:rPr>
        <w:t xml:space="preserve"> Vsebinsko se sprememba sicer nanaša na postopek sodnega varstva zoper odločbo, s katero Banka Slovenije odloči o ugovoru zoper odredbo. Ureditev glede postopka sodnega varstva zoper odločbo o začetku postopka za odvzem dovoljenja ostaja nespremenjena.</w:t>
      </w:r>
    </w:p>
  </w:footnote>
  <w:footnote w:id="5">
    <w:p w14:paraId="402DF99E" w14:textId="77777777" w:rsidR="0010347E" w:rsidRPr="004256F6" w:rsidRDefault="0010347E" w:rsidP="0010347E">
      <w:pPr>
        <w:pStyle w:val="Sprotnaopomba-besedilo"/>
        <w:rPr>
          <w:rFonts w:ascii="Arial" w:hAnsi="Arial" w:cs="Arial"/>
          <w:sz w:val="16"/>
          <w:szCs w:val="16"/>
        </w:rPr>
      </w:pPr>
      <w:r w:rsidRPr="004256F6">
        <w:rPr>
          <w:rStyle w:val="Sprotnaopomba-sklic"/>
          <w:rFonts w:ascii="Arial" w:hAnsi="Arial" w:cs="Arial"/>
          <w:sz w:val="16"/>
          <w:szCs w:val="16"/>
        </w:rPr>
        <w:footnoteRef/>
      </w:r>
      <w:r w:rsidRPr="004256F6">
        <w:rPr>
          <w:rFonts w:ascii="Arial" w:hAnsi="Arial" w:cs="Arial"/>
          <w:sz w:val="16"/>
          <w:szCs w:val="16"/>
        </w:rPr>
        <w:t xml:space="preserve"> V okviru obrazložitev se sklic na CRR nanaša na konsolidirano različico uredbe.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F203E"/>
    <w:multiLevelType w:val="hybridMultilevel"/>
    <w:tmpl w:val="2E80696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3F28F3"/>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03FB6FD4"/>
    <w:multiLevelType w:val="multilevel"/>
    <w:tmpl w:val="DCD0A868"/>
    <w:lvl w:ilvl="0">
      <w:start w:val="1"/>
      <w:numFmt w:val="decimal"/>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041D7A4C"/>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043F20B1"/>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05647C39"/>
    <w:multiLevelType w:val="multilevel"/>
    <w:tmpl w:val="38D25EB0"/>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07FC6C69"/>
    <w:multiLevelType w:val="multilevel"/>
    <w:tmpl w:val="6DBC4904"/>
    <w:lvl w:ilvl="0">
      <w:start w:val="1"/>
      <w:numFmt w:val="lowerLetter"/>
      <w:lvlText w:val="%1)"/>
      <w:lvlJc w:val="left"/>
      <w:pPr>
        <w:ind w:left="714"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08847379"/>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0A55118A"/>
    <w:multiLevelType w:val="multilevel"/>
    <w:tmpl w:val="4BA8DE90"/>
    <w:lvl w:ilvl="0">
      <w:start w:val="1"/>
      <w:numFmt w:val="decimal"/>
      <w:lvlText w:val="%1."/>
      <w:lvlJc w:val="left"/>
      <w:pPr>
        <w:ind w:left="357" w:hanging="357"/>
      </w:pPr>
      <w:rPr>
        <w:rFonts w:hint="default"/>
        <w:sz w:val="2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0E767E62"/>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0E78487C"/>
    <w:multiLevelType w:val="multilevel"/>
    <w:tmpl w:val="C3B81CB2"/>
    <w:lvl w:ilvl="0">
      <w:start w:val="1"/>
      <w:numFmt w:val="bullet"/>
      <w:lvlText w:val=""/>
      <w:lvlJc w:val="left"/>
      <w:pPr>
        <w:ind w:left="284" w:hanging="284"/>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1" w15:restartNumberingAfterBreak="0">
    <w:nsid w:val="127F3640"/>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13AB3D03"/>
    <w:multiLevelType w:val="hybridMultilevel"/>
    <w:tmpl w:val="9A08C976"/>
    <w:lvl w:ilvl="0" w:tplc="BE58AEF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3" w15:restartNumberingAfterBreak="0">
    <w:nsid w:val="14715AC6"/>
    <w:multiLevelType w:val="multilevel"/>
    <w:tmpl w:val="322C264C"/>
    <w:lvl w:ilvl="0">
      <w:start w:val="1"/>
      <w:numFmt w:val="bullet"/>
      <w:lvlText w:val=""/>
      <w:lvlJc w:val="left"/>
      <w:pPr>
        <w:ind w:left="717" w:hanging="717"/>
      </w:pPr>
      <w:rPr>
        <w:rFonts w:ascii="Symbol" w:hAnsi="Symbol" w:hint="default"/>
      </w:rPr>
    </w:lvl>
    <w:lvl w:ilvl="1">
      <w:start w:val="1"/>
      <w:numFmt w:val="bullet"/>
      <w:lvlText w:val="o"/>
      <w:lvlJc w:val="left"/>
      <w:pPr>
        <w:ind w:left="1437" w:hanging="360"/>
      </w:pPr>
      <w:rPr>
        <w:rFonts w:ascii="Courier New" w:hAnsi="Courier New" w:cs="Courier New" w:hint="default"/>
      </w:rPr>
    </w:lvl>
    <w:lvl w:ilvl="2">
      <w:start w:val="1"/>
      <w:numFmt w:val="bullet"/>
      <w:lvlText w:val=""/>
      <w:lvlJc w:val="left"/>
      <w:pPr>
        <w:ind w:left="2157" w:hanging="360"/>
      </w:pPr>
      <w:rPr>
        <w:rFonts w:ascii="Wingdings" w:hAnsi="Wingdings" w:hint="default"/>
      </w:rPr>
    </w:lvl>
    <w:lvl w:ilvl="3">
      <w:start w:val="1"/>
      <w:numFmt w:val="bullet"/>
      <w:lvlText w:val=""/>
      <w:lvlJc w:val="left"/>
      <w:pPr>
        <w:ind w:left="2877" w:hanging="360"/>
      </w:pPr>
      <w:rPr>
        <w:rFonts w:ascii="Symbol" w:hAnsi="Symbol" w:hint="default"/>
      </w:rPr>
    </w:lvl>
    <w:lvl w:ilvl="4">
      <w:start w:val="1"/>
      <w:numFmt w:val="bullet"/>
      <w:lvlText w:val="o"/>
      <w:lvlJc w:val="left"/>
      <w:pPr>
        <w:ind w:left="3597" w:hanging="360"/>
      </w:pPr>
      <w:rPr>
        <w:rFonts w:ascii="Courier New" w:hAnsi="Courier New" w:cs="Courier New" w:hint="default"/>
      </w:rPr>
    </w:lvl>
    <w:lvl w:ilvl="5">
      <w:start w:val="1"/>
      <w:numFmt w:val="bullet"/>
      <w:lvlText w:val=""/>
      <w:lvlJc w:val="left"/>
      <w:pPr>
        <w:ind w:left="4317" w:hanging="360"/>
      </w:pPr>
      <w:rPr>
        <w:rFonts w:ascii="Wingdings" w:hAnsi="Wingdings" w:hint="default"/>
      </w:rPr>
    </w:lvl>
    <w:lvl w:ilvl="6">
      <w:start w:val="1"/>
      <w:numFmt w:val="bullet"/>
      <w:lvlText w:val=""/>
      <w:lvlJc w:val="left"/>
      <w:pPr>
        <w:ind w:left="5037" w:hanging="360"/>
      </w:pPr>
      <w:rPr>
        <w:rFonts w:ascii="Symbol" w:hAnsi="Symbol" w:hint="default"/>
      </w:rPr>
    </w:lvl>
    <w:lvl w:ilvl="7">
      <w:start w:val="1"/>
      <w:numFmt w:val="bullet"/>
      <w:lvlText w:val="o"/>
      <w:lvlJc w:val="left"/>
      <w:pPr>
        <w:ind w:left="5757" w:hanging="360"/>
      </w:pPr>
      <w:rPr>
        <w:rFonts w:ascii="Courier New" w:hAnsi="Courier New" w:cs="Courier New" w:hint="default"/>
      </w:rPr>
    </w:lvl>
    <w:lvl w:ilvl="8">
      <w:start w:val="1"/>
      <w:numFmt w:val="bullet"/>
      <w:lvlText w:val=""/>
      <w:lvlJc w:val="left"/>
      <w:pPr>
        <w:ind w:left="6477" w:hanging="360"/>
      </w:pPr>
      <w:rPr>
        <w:rFonts w:ascii="Wingdings" w:hAnsi="Wingdings" w:hint="default"/>
      </w:rPr>
    </w:lvl>
  </w:abstractNum>
  <w:abstractNum w:abstractNumId="14" w15:restartNumberingAfterBreak="0">
    <w:nsid w:val="148F5636"/>
    <w:multiLevelType w:val="multilevel"/>
    <w:tmpl w:val="D5BAB79A"/>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154531A6"/>
    <w:multiLevelType w:val="hybridMultilevel"/>
    <w:tmpl w:val="83E0A77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16667598"/>
    <w:multiLevelType w:val="multilevel"/>
    <w:tmpl w:val="0F824AC8"/>
    <w:lvl w:ilvl="0">
      <w:start w:val="1"/>
      <w:numFmt w:val="bullet"/>
      <w:lvlText w:val=""/>
      <w:lvlJc w:val="left"/>
      <w:pPr>
        <w:ind w:left="284" w:hanging="284"/>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7" w15:restartNumberingAfterBreak="0">
    <w:nsid w:val="17DC0649"/>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15:restartNumberingAfterBreak="0">
    <w:nsid w:val="1981291D"/>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0" w15:restartNumberingAfterBreak="0">
    <w:nsid w:val="1F19431C"/>
    <w:multiLevelType w:val="multilevel"/>
    <w:tmpl w:val="C8120E56"/>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23ED6FCD"/>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3" w15:restartNumberingAfterBreak="0">
    <w:nsid w:val="259E575A"/>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26F7168E"/>
    <w:multiLevelType w:val="multilevel"/>
    <w:tmpl w:val="38903C34"/>
    <w:lvl w:ilvl="0">
      <w:start w:val="1"/>
      <w:numFmt w:val="decimal"/>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357" w:hanging="357"/>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15:restartNumberingAfterBreak="0">
    <w:nsid w:val="293E7A32"/>
    <w:multiLevelType w:val="multilevel"/>
    <w:tmpl w:val="DC16EE9C"/>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298D50C0"/>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2A1767BF"/>
    <w:multiLevelType w:val="hybridMultilevel"/>
    <w:tmpl w:val="9ADC50DE"/>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2ABE695D"/>
    <w:multiLevelType w:val="multilevel"/>
    <w:tmpl w:val="D7FEA9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B3964BE"/>
    <w:multiLevelType w:val="hybridMultilevel"/>
    <w:tmpl w:val="57467E1C"/>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2BE64A2A"/>
    <w:multiLevelType w:val="multilevel"/>
    <w:tmpl w:val="EF7CFE2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2" w15:restartNumberingAfterBreak="0">
    <w:nsid w:val="2C1D0DDE"/>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3" w15:restartNumberingAfterBreak="0">
    <w:nsid w:val="2C22439D"/>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4"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2CAF6387"/>
    <w:multiLevelType w:val="hybridMultilevel"/>
    <w:tmpl w:val="35265450"/>
    <w:lvl w:ilvl="0" w:tplc="8A2071DA">
      <w:start w:val="3"/>
      <w:numFmt w:val="bullet"/>
      <w:lvlText w:val="–"/>
      <w:lvlJc w:val="left"/>
      <w:pPr>
        <w:ind w:left="360" w:hanging="360"/>
      </w:pPr>
      <w:rPr>
        <w:rFonts w:ascii="Arial" w:eastAsia="Arial"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2EFF254B"/>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7" w15:restartNumberingAfterBreak="0">
    <w:nsid w:val="2F807C8F"/>
    <w:multiLevelType w:val="multilevel"/>
    <w:tmpl w:val="78C6D48C"/>
    <w:lvl w:ilvl="0">
      <w:start w:val="1"/>
      <w:numFmt w:val="decimal"/>
      <w:lvlText w:val="%1."/>
      <w:lvlJc w:val="left"/>
      <w:pPr>
        <w:ind w:left="360" w:hanging="360"/>
      </w:pPr>
    </w:lvl>
    <w:lvl w:ilvl="1">
      <w:start w:val="7"/>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9" w15:restartNumberingAfterBreak="0">
    <w:nsid w:val="34696ECA"/>
    <w:multiLevelType w:val="multilevel"/>
    <w:tmpl w:val="3718E96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0" w15:restartNumberingAfterBreak="0">
    <w:nsid w:val="3556722B"/>
    <w:multiLevelType w:val="multilevel"/>
    <w:tmpl w:val="6C78AA0C"/>
    <w:lvl w:ilvl="0">
      <w:start w:val="1"/>
      <w:numFmt w:val="decimal"/>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1" w15:restartNumberingAfterBreak="0">
    <w:nsid w:val="35E12F01"/>
    <w:multiLevelType w:val="multilevel"/>
    <w:tmpl w:val="D6C4BD5E"/>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2" w15:restartNumberingAfterBreak="0">
    <w:nsid w:val="36CA1435"/>
    <w:multiLevelType w:val="multilevel"/>
    <w:tmpl w:val="6DBC4904"/>
    <w:lvl w:ilvl="0">
      <w:start w:val="1"/>
      <w:numFmt w:val="lowerLetter"/>
      <w:lvlText w:val="%1)"/>
      <w:lvlJc w:val="left"/>
      <w:pPr>
        <w:ind w:left="714"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37B4321D"/>
    <w:multiLevelType w:val="multilevel"/>
    <w:tmpl w:val="71F09320"/>
    <w:lvl w:ilvl="0">
      <w:start w:val="1"/>
      <w:numFmt w:val="bullet"/>
      <w:lvlText w:val=""/>
      <w:lvlJc w:val="left"/>
      <w:pPr>
        <w:tabs>
          <w:tab w:val="num" w:pos="720"/>
        </w:tabs>
        <w:ind w:left="284" w:hanging="284"/>
      </w:pPr>
      <w:rPr>
        <w:rFonts w:ascii="Symbol" w:hAnsi="Symbol"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5"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6" w15:restartNumberingAfterBreak="0">
    <w:nsid w:val="396213BF"/>
    <w:multiLevelType w:val="multilevel"/>
    <w:tmpl w:val="441C6CB4"/>
    <w:lvl w:ilvl="0">
      <w:start w:val="1"/>
      <w:numFmt w:val="decimal"/>
      <w:lvlText w:val="%1."/>
      <w:lvlJc w:val="left"/>
      <w:pPr>
        <w:ind w:left="357" w:hanging="357"/>
      </w:pPr>
      <w:rPr>
        <w:rFonts w:hint="default"/>
        <w:sz w:val="20"/>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47"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3BE56DF3"/>
    <w:multiLevelType w:val="hybridMultilevel"/>
    <w:tmpl w:val="8A962E20"/>
    <w:lvl w:ilvl="0" w:tplc="CE7E52F0">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3D4F5027"/>
    <w:multiLevelType w:val="multilevel"/>
    <w:tmpl w:val="09B4B22C"/>
    <w:lvl w:ilvl="0">
      <w:start w:val="1"/>
      <w:numFmt w:val="decimal"/>
      <w:lvlText w:val="%1."/>
      <w:lvlJc w:val="left"/>
      <w:pPr>
        <w:ind w:left="357" w:hanging="357"/>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1">
      <w:start w:val="1"/>
      <w:numFmt w:val="decimal"/>
      <w:lvlRestart w:val="0"/>
      <w:isLgl/>
      <w:lvlText w:val="%1.%2"/>
      <w:lvlJc w:val="left"/>
      <w:pPr>
        <w:ind w:left="0" w:firstLine="0"/>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2">
      <w:start w:val="1"/>
      <w:numFmt w:val="decimal"/>
      <w:lvlRestart w:val="0"/>
      <w:isLgl/>
      <w:lvlText w:val="%1.%2.%3"/>
      <w:lvlJc w:val="left"/>
      <w:pPr>
        <w:ind w:left="0" w:firstLine="0"/>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50" w15:restartNumberingAfterBreak="0">
    <w:nsid w:val="3D5B7EF1"/>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1" w15:restartNumberingAfterBreak="0">
    <w:nsid w:val="3D855966"/>
    <w:multiLevelType w:val="multilevel"/>
    <w:tmpl w:val="6DBC4904"/>
    <w:lvl w:ilvl="0">
      <w:start w:val="1"/>
      <w:numFmt w:val="lowerLetter"/>
      <w:lvlText w:val="%1)"/>
      <w:lvlJc w:val="left"/>
      <w:pPr>
        <w:ind w:left="714"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2" w15:restartNumberingAfterBreak="0">
    <w:nsid w:val="3D9839B9"/>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3" w15:restartNumberingAfterBreak="0">
    <w:nsid w:val="3E6024AB"/>
    <w:multiLevelType w:val="multilevel"/>
    <w:tmpl w:val="6DBC4904"/>
    <w:lvl w:ilvl="0">
      <w:start w:val="1"/>
      <w:numFmt w:val="lowerLetter"/>
      <w:lvlText w:val="%1)"/>
      <w:lvlJc w:val="left"/>
      <w:pPr>
        <w:ind w:left="714"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4"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55"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40315490"/>
    <w:multiLevelType w:val="singleLevel"/>
    <w:tmpl w:val="1F86C700"/>
    <w:name w:val="Tiret 1"/>
    <w:lvl w:ilvl="0">
      <w:start w:val="1"/>
      <w:numFmt w:val="bullet"/>
      <w:pStyle w:val="ListDash"/>
      <w:lvlText w:val="–"/>
      <w:lvlJc w:val="left"/>
      <w:pPr>
        <w:tabs>
          <w:tab w:val="num" w:pos="283"/>
        </w:tabs>
        <w:ind w:left="283" w:hanging="283"/>
      </w:pPr>
      <w:rPr>
        <w:rFonts w:ascii="Times New Roman" w:hAnsi="Times New Roman"/>
      </w:rPr>
    </w:lvl>
  </w:abstractNum>
  <w:abstractNum w:abstractNumId="57" w15:restartNumberingAfterBreak="0">
    <w:nsid w:val="40442C0F"/>
    <w:multiLevelType w:val="multilevel"/>
    <w:tmpl w:val="C91269F0"/>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8" w15:restartNumberingAfterBreak="0">
    <w:nsid w:val="42B429DB"/>
    <w:multiLevelType w:val="multilevel"/>
    <w:tmpl w:val="2B5273C2"/>
    <w:lvl w:ilvl="0">
      <w:start w:val="2"/>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9" w15:restartNumberingAfterBreak="0">
    <w:nsid w:val="42C125CA"/>
    <w:multiLevelType w:val="multilevel"/>
    <w:tmpl w:val="2C4A5F86"/>
    <w:lvl w:ilvl="0">
      <w:start w:val="1"/>
      <w:numFmt w:val="decimal"/>
      <w:lvlText w:val="%1."/>
      <w:lvlJc w:val="left"/>
      <w:pPr>
        <w:ind w:left="284" w:hanging="284"/>
      </w:pPr>
      <w:rPr>
        <w:rFonts w:hint="default"/>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0" w15:restartNumberingAfterBreak="0">
    <w:nsid w:val="42E87735"/>
    <w:multiLevelType w:val="multilevel"/>
    <w:tmpl w:val="97CA84BC"/>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1" w15:restartNumberingAfterBreak="0">
    <w:nsid w:val="43090495"/>
    <w:multiLevelType w:val="multilevel"/>
    <w:tmpl w:val="441C6CB4"/>
    <w:lvl w:ilvl="0">
      <w:start w:val="1"/>
      <w:numFmt w:val="decimal"/>
      <w:lvlText w:val="%1."/>
      <w:lvlJc w:val="left"/>
      <w:pPr>
        <w:ind w:left="357" w:hanging="357"/>
      </w:pPr>
      <w:rPr>
        <w:rFonts w:hint="default"/>
        <w:sz w:val="20"/>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62" w15:restartNumberingAfterBreak="0">
    <w:nsid w:val="439A281A"/>
    <w:multiLevelType w:val="multilevel"/>
    <w:tmpl w:val="63949916"/>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3"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48CB6A23"/>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5" w15:restartNumberingAfterBreak="0">
    <w:nsid w:val="48D37F50"/>
    <w:multiLevelType w:val="multilevel"/>
    <w:tmpl w:val="7DAA826A"/>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6"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49B03A4C"/>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8" w15:restartNumberingAfterBreak="0">
    <w:nsid w:val="4A54358B"/>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9" w15:restartNumberingAfterBreak="0">
    <w:nsid w:val="4EAE2167"/>
    <w:multiLevelType w:val="multilevel"/>
    <w:tmpl w:val="9EFE1F9A"/>
    <w:lvl w:ilvl="0">
      <w:start w:val="1"/>
      <w:numFmt w:val="decimal"/>
      <w:pStyle w:val="tevilnatoka"/>
      <w:lvlText w:val="%1."/>
      <w:lvlJc w:val="left"/>
      <w:pPr>
        <w:tabs>
          <w:tab w:val="num" w:pos="425"/>
        </w:tabs>
        <w:ind w:left="357" w:hanging="357"/>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0" w15:restartNumberingAfterBreak="0">
    <w:nsid w:val="4FC7418F"/>
    <w:multiLevelType w:val="multilevel"/>
    <w:tmpl w:val="1F0C63EA"/>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1" w15:restartNumberingAfterBreak="0">
    <w:nsid w:val="505476DC"/>
    <w:multiLevelType w:val="multilevel"/>
    <w:tmpl w:val="C91269F0"/>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2" w15:restartNumberingAfterBreak="0">
    <w:nsid w:val="50DA0A71"/>
    <w:multiLevelType w:val="multilevel"/>
    <w:tmpl w:val="6DBC4904"/>
    <w:lvl w:ilvl="0">
      <w:start w:val="1"/>
      <w:numFmt w:val="lowerLetter"/>
      <w:lvlText w:val="%1)"/>
      <w:lvlJc w:val="left"/>
      <w:pPr>
        <w:ind w:left="714"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3" w15:restartNumberingAfterBreak="0">
    <w:nsid w:val="51AD2CE4"/>
    <w:multiLevelType w:val="multilevel"/>
    <w:tmpl w:val="E65C12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4" w15:restartNumberingAfterBreak="0">
    <w:nsid w:val="520012B3"/>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5" w15:restartNumberingAfterBreak="0">
    <w:nsid w:val="52E4336B"/>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6" w15:restartNumberingAfterBreak="0">
    <w:nsid w:val="57CC7B24"/>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7" w15:restartNumberingAfterBreak="0">
    <w:nsid w:val="5C8D44A6"/>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8" w15:restartNumberingAfterBreak="0">
    <w:nsid w:val="5D5C499F"/>
    <w:multiLevelType w:val="multilevel"/>
    <w:tmpl w:val="016E3F0E"/>
    <w:lvl w:ilvl="0">
      <w:start w:val="1"/>
      <w:numFmt w:val="decimal"/>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5F3D71AE"/>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0" w15:restartNumberingAfterBreak="0">
    <w:nsid w:val="60282DB3"/>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1" w15:restartNumberingAfterBreak="0">
    <w:nsid w:val="609E6745"/>
    <w:multiLevelType w:val="hybridMultilevel"/>
    <w:tmpl w:val="2F0674A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2" w15:restartNumberingAfterBreak="0">
    <w:nsid w:val="63602509"/>
    <w:multiLevelType w:val="multilevel"/>
    <w:tmpl w:val="09B4B22C"/>
    <w:lvl w:ilvl="0">
      <w:start w:val="1"/>
      <w:numFmt w:val="decimal"/>
      <w:lvlText w:val="%1."/>
      <w:lvlJc w:val="left"/>
      <w:pPr>
        <w:ind w:left="357" w:hanging="357"/>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1">
      <w:start w:val="1"/>
      <w:numFmt w:val="decimal"/>
      <w:lvlRestart w:val="0"/>
      <w:isLgl/>
      <w:lvlText w:val="%1.%2"/>
      <w:lvlJc w:val="left"/>
      <w:pPr>
        <w:ind w:left="0" w:firstLine="0"/>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2">
      <w:start w:val="1"/>
      <w:numFmt w:val="decimal"/>
      <w:lvlRestart w:val="0"/>
      <w:isLgl/>
      <w:lvlText w:val="%1.%2.%3"/>
      <w:lvlJc w:val="left"/>
      <w:pPr>
        <w:ind w:left="0" w:firstLine="0"/>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83" w15:restartNumberingAfterBreak="0">
    <w:nsid w:val="68E9031A"/>
    <w:multiLevelType w:val="multilevel"/>
    <w:tmpl w:val="441C6CB4"/>
    <w:lvl w:ilvl="0">
      <w:start w:val="1"/>
      <w:numFmt w:val="decimal"/>
      <w:lvlText w:val="%1."/>
      <w:lvlJc w:val="left"/>
      <w:pPr>
        <w:ind w:left="357" w:hanging="357"/>
      </w:pPr>
      <w:rPr>
        <w:rFonts w:hint="default"/>
        <w:sz w:val="20"/>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84"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69995580"/>
    <w:multiLevelType w:val="singleLevel"/>
    <w:tmpl w:val="B7607D2A"/>
    <w:lvl w:ilvl="0">
      <w:start w:val="1"/>
      <w:numFmt w:val="decimal"/>
      <w:lvlRestart w:val="0"/>
      <w:pStyle w:val="Considrant"/>
      <w:lvlText w:val="(%1)"/>
      <w:lvlJc w:val="left"/>
      <w:pPr>
        <w:tabs>
          <w:tab w:val="num" w:pos="709"/>
        </w:tabs>
        <w:ind w:left="709" w:hanging="709"/>
      </w:pPr>
    </w:lvl>
  </w:abstractNum>
  <w:abstractNum w:abstractNumId="86" w15:restartNumberingAfterBreak="0">
    <w:nsid w:val="69E532C2"/>
    <w:multiLevelType w:val="hybridMultilevel"/>
    <w:tmpl w:val="F3F0C2CC"/>
    <w:lvl w:ilvl="0" w:tplc="AB62757E">
      <w:start w:val="1"/>
      <w:numFmt w:val="decimal"/>
      <w:lvlText w:val="%1."/>
      <w:lvlJc w:val="left"/>
      <w:pPr>
        <w:ind w:left="1020" w:hanging="360"/>
      </w:pPr>
    </w:lvl>
    <w:lvl w:ilvl="1" w:tplc="E3CA6DDA">
      <w:start w:val="1"/>
      <w:numFmt w:val="decimal"/>
      <w:lvlText w:val="%2."/>
      <w:lvlJc w:val="left"/>
      <w:pPr>
        <w:ind w:left="1020" w:hanging="360"/>
      </w:pPr>
    </w:lvl>
    <w:lvl w:ilvl="2" w:tplc="DB9A678A">
      <w:start w:val="1"/>
      <w:numFmt w:val="decimal"/>
      <w:lvlText w:val="%3."/>
      <w:lvlJc w:val="left"/>
      <w:pPr>
        <w:ind w:left="1020" w:hanging="360"/>
      </w:pPr>
    </w:lvl>
    <w:lvl w:ilvl="3" w:tplc="80001324">
      <w:start w:val="1"/>
      <w:numFmt w:val="decimal"/>
      <w:lvlText w:val="%4."/>
      <w:lvlJc w:val="left"/>
      <w:pPr>
        <w:ind w:left="1020" w:hanging="360"/>
      </w:pPr>
    </w:lvl>
    <w:lvl w:ilvl="4" w:tplc="C3EEFB1A">
      <w:start w:val="1"/>
      <w:numFmt w:val="decimal"/>
      <w:lvlText w:val="%5."/>
      <w:lvlJc w:val="left"/>
      <w:pPr>
        <w:ind w:left="1020" w:hanging="360"/>
      </w:pPr>
    </w:lvl>
    <w:lvl w:ilvl="5" w:tplc="D9C29376">
      <w:start w:val="1"/>
      <w:numFmt w:val="decimal"/>
      <w:lvlText w:val="%6."/>
      <w:lvlJc w:val="left"/>
      <w:pPr>
        <w:ind w:left="1020" w:hanging="360"/>
      </w:pPr>
    </w:lvl>
    <w:lvl w:ilvl="6" w:tplc="AB2E8100">
      <w:start w:val="1"/>
      <w:numFmt w:val="decimal"/>
      <w:lvlText w:val="%7."/>
      <w:lvlJc w:val="left"/>
      <w:pPr>
        <w:ind w:left="1020" w:hanging="360"/>
      </w:pPr>
    </w:lvl>
    <w:lvl w:ilvl="7" w:tplc="50F8C2CC">
      <w:start w:val="1"/>
      <w:numFmt w:val="decimal"/>
      <w:lvlText w:val="%8."/>
      <w:lvlJc w:val="left"/>
      <w:pPr>
        <w:ind w:left="1020" w:hanging="360"/>
      </w:pPr>
    </w:lvl>
    <w:lvl w:ilvl="8" w:tplc="833E6A34">
      <w:start w:val="1"/>
      <w:numFmt w:val="decimal"/>
      <w:lvlText w:val="%9."/>
      <w:lvlJc w:val="left"/>
      <w:pPr>
        <w:ind w:left="1020" w:hanging="360"/>
      </w:pPr>
    </w:lvl>
  </w:abstractNum>
  <w:abstractNum w:abstractNumId="87" w15:restartNumberingAfterBreak="0">
    <w:nsid w:val="69EC5A95"/>
    <w:multiLevelType w:val="multilevel"/>
    <w:tmpl w:val="B3101380"/>
    <w:lvl w:ilvl="0">
      <w:start w:val="1"/>
      <w:numFmt w:val="decimal"/>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8" w15:restartNumberingAfterBreak="0">
    <w:nsid w:val="6A3F4638"/>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9"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6ACF4B7F"/>
    <w:multiLevelType w:val="hybridMultilevel"/>
    <w:tmpl w:val="39225FAA"/>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1" w15:restartNumberingAfterBreak="0">
    <w:nsid w:val="6AE93FC5"/>
    <w:multiLevelType w:val="multilevel"/>
    <w:tmpl w:val="5C8A7A94"/>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2" w15:restartNumberingAfterBreak="0">
    <w:nsid w:val="6B336093"/>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3" w15:restartNumberingAfterBreak="0">
    <w:nsid w:val="6BF84A9C"/>
    <w:multiLevelType w:val="multilevel"/>
    <w:tmpl w:val="C91269F0"/>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4" w15:restartNumberingAfterBreak="0">
    <w:nsid w:val="6C2768A4"/>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5" w15:restartNumberingAfterBreak="0">
    <w:nsid w:val="6E922331"/>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6" w15:restartNumberingAfterBreak="0">
    <w:nsid w:val="6F5C6013"/>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7" w15:restartNumberingAfterBreak="0">
    <w:nsid w:val="70F422F5"/>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8" w15:restartNumberingAfterBreak="0">
    <w:nsid w:val="727368B2"/>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9" w15:restartNumberingAfterBreak="0">
    <w:nsid w:val="72A32068"/>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0" w15:restartNumberingAfterBreak="0">
    <w:nsid w:val="73A428F9"/>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1" w15:restartNumberingAfterBreak="0">
    <w:nsid w:val="74716E44"/>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2" w15:restartNumberingAfterBreak="0">
    <w:nsid w:val="771A7F61"/>
    <w:multiLevelType w:val="hybridMultilevel"/>
    <w:tmpl w:val="A23C428C"/>
    <w:lvl w:ilvl="0" w:tplc="5668306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15:restartNumberingAfterBreak="0">
    <w:nsid w:val="77681B23"/>
    <w:multiLevelType w:val="multilevel"/>
    <w:tmpl w:val="6DBC4904"/>
    <w:lvl w:ilvl="0">
      <w:start w:val="1"/>
      <w:numFmt w:val="lowerLetter"/>
      <w:lvlText w:val="%1)"/>
      <w:lvlJc w:val="left"/>
      <w:pPr>
        <w:ind w:left="714"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4" w15:restartNumberingAfterBreak="0">
    <w:nsid w:val="77751756"/>
    <w:multiLevelType w:val="multilevel"/>
    <w:tmpl w:val="5C882564"/>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5" w15:restartNumberingAfterBreak="0">
    <w:nsid w:val="78E66E8F"/>
    <w:multiLevelType w:val="hybridMultilevel"/>
    <w:tmpl w:val="EF368A6E"/>
    <w:lvl w:ilvl="0" w:tplc="D8A6F628">
      <w:start w:val="1000"/>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07" w15:restartNumberingAfterBreak="0">
    <w:nsid w:val="7C76061C"/>
    <w:multiLevelType w:val="multilevel"/>
    <w:tmpl w:val="2FE2486C"/>
    <w:lvl w:ilvl="0">
      <w:start w:val="1"/>
      <w:numFmt w:val="bullet"/>
      <w:lvlText w:val=""/>
      <w:lvlJc w:val="left"/>
      <w:pPr>
        <w:ind w:left="567" w:hanging="283"/>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8" w15:restartNumberingAfterBreak="0">
    <w:nsid w:val="7CDF4303"/>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9"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10" w15:restartNumberingAfterBreak="0">
    <w:nsid w:val="7FFB2373"/>
    <w:multiLevelType w:val="multilevel"/>
    <w:tmpl w:val="9B987FE4"/>
    <w:lvl w:ilvl="0">
      <w:start w:val="1"/>
      <w:numFmt w:val="lowerLetter"/>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87"/>
  </w:num>
  <w:num w:numId="2">
    <w:abstractNumId w:val="21"/>
  </w:num>
  <w:num w:numId="3">
    <w:abstractNumId w:val="89"/>
  </w:num>
  <w:num w:numId="4">
    <w:abstractNumId w:val="27"/>
  </w:num>
  <w:num w:numId="5">
    <w:abstractNumId w:val="55"/>
  </w:num>
  <w:num w:numId="6">
    <w:abstractNumId w:val="109"/>
  </w:num>
  <w:num w:numId="7">
    <w:abstractNumId w:val="45"/>
  </w:num>
  <w:num w:numId="8">
    <w:abstractNumId w:val="19"/>
  </w:num>
  <w:num w:numId="9">
    <w:abstractNumId w:val="54"/>
  </w:num>
  <w:num w:numId="10">
    <w:abstractNumId w:val="47"/>
  </w:num>
  <w:num w:numId="11">
    <w:abstractNumId w:val="63"/>
  </w:num>
  <w:num w:numId="12">
    <w:abstractNumId w:val="66"/>
  </w:num>
  <w:num w:numId="13">
    <w:abstractNumId w:val="4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34"/>
  </w:num>
  <w:num w:numId="15">
    <w:abstractNumId w:val="84"/>
  </w:num>
  <w:num w:numId="16">
    <w:abstractNumId w:val="106"/>
  </w:num>
  <w:num w:numId="17">
    <w:abstractNumId w:val="38"/>
  </w:num>
  <w:num w:numId="18">
    <w:abstractNumId w:val="69"/>
  </w:num>
  <w:num w:numId="19">
    <w:abstractNumId w:val="56"/>
  </w:num>
  <w:num w:numId="20">
    <w:abstractNumId w:val="85"/>
  </w:num>
  <w:num w:numId="21">
    <w:abstractNumId w:val="71"/>
  </w:num>
  <w:num w:numId="22">
    <w:abstractNumId w:val="57"/>
  </w:num>
  <w:num w:numId="23">
    <w:abstractNumId w:val="93"/>
  </w:num>
  <w:num w:numId="24">
    <w:abstractNumId w:val="59"/>
  </w:num>
  <w:num w:numId="25">
    <w:abstractNumId w:val="8"/>
  </w:num>
  <w:num w:numId="26">
    <w:abstractNumId w:val="12"/>
  </w:num>
  <w:num w:numId="27">
    <w:abstractNumId w:val="69"/>
  </w:num>
  <w:num w:numId="2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3">
    <w:abstractNumId w:val="69"/>
  </w:num>
  <w:num w:numId="294">
    <w:abstractNumId w:val="69"/>
  </w:num>
  <w:num w:numId="295">
    <w:abstractNumId w:val="69"/>
  </w:num>
  <w:num w:numId="296">
    <w:abstractNumId w:val="69"/>
  </w:num>
  <w:num w:numId="297">
    <w:abstractNumId w:val="69"/>
  </w:num>
  <w:num w:numId="298">
    <w:abstractNumId w:val="69"/>
  </w:num>
  <w:num w:numId="299">
    <w:abstractNumId w:val="69"/>
  </w:num>
  <w:num w:numId="300">
    <w:abstractNumId w:val="13"/>
  </w:num>
  <w:num w:numId="301">
    <w:abstractNumId w:val="6"/>
  </w:num>
  <w:num w:numId="302">
    <w:abstractNumId w:val="53"/>
  </w:num>
  <w:num w:numId="303">
    <w:abstractNumId w:val="79"/>
  </w:num>
  <w:num w:numId="304">
    <w:abstractNumId w:val="95"/>
  </w:num>
  <w:num w:numId="305">
    <w:abstractNumId w:val="98"/>
  </w:num>
  <w:num w:numId="306">
    <w:abstractNumId w:val="68"/>
  </w:num>
  <w:num w:numId="307">
    <w:abstractNumId w:val="88"/>
  </w:num>
  <w:num w:numId="308">
    <w:abstractNumId w:val="96"/>
  </w:num>
  <w:num w:numId="309">
    <w:abstractNumId w:val="108"/>
  </w:num>
  <w:num w:numId="310">
    <w:abstractNumId w:val="7"/>
  </w:num>
  <w:num w:numId="311">
    <w:abstractNumId w:val="100"/>
  </w:num>
  <w:num w:numId="312">
    <w:abstractNumId w:val="92"/>
  </w:num>
  <w:num w:numId="313">
    <w:abstractNumId w:val="50"/>
  </w:num>
  <w:num w:numId="314">
    <w:abstractNumId w:val="110"/>
  </w:num>
  <w:num w:numId="315">
    <w:abstractNumId w:val="26"/>
  </w:num>
  <w:num w:numId="316">
    <w:abstractNumId w:val="97"/>
  </w:num>
  <w:num w:numId="317">
    <w:abstractNumId w:val="103"/>
  </w:num>
  <w:num w:numId="318">
    <w:abstractNumId w:val="72"/>
  </w:num>
  <w:num w:numId="319">
    <w:abstractNumId w:val="76"/>
  </w:num>
  <w:num w:numId="320">
    <w:abstractNumId w:val="52"/>
  </w:num>
  <w:num w:numId="321">
    <w:abstractNumId w:val="22"/>
  </w:num>
  <w:num w:numId="322">
    <w:abstractNumId w:val="11"/>
  </w:num>
  <w:num w:numId="323">
    <w:abstractNumId w:val="101"/>
  </w:num>
  <w:num w:numId="324">
    <w:abstractNumId w:val="64"/>
  </w:num>
  <w:num w:numId="325">
    <w:abstractNumId w:val="74"/>
  </w:num>
  <w:num w:numId="326">
    <w:abstractNumId w:val="1"/>
  </w:num>
  <w:num w:numId="327">
    <w:abstractNumId w:val="36"/>
  </w:num>
  <w:num w:numId="328">
    <w:abstractNumId w:val="23"/>
  </w:num>
  <w:num w:numId="329">
    <w:abstractNumId w:val="51"/>
  </w:num>
  <w:num w:numId="330">
    <w:abstractNumId w:val="17"/>
  </w:num>
  <w:num w:numId="331">
    <w:abstractNumId w:val="18"/>
  </w:num>
  <w:num w:numId="332">
    <w:abstractNumId w:val="3"/>
  </w:num>
  <w:num w:numId="333">
    <w:abstractNumId w:val="75"/>
  </w:num>
  <w:num w:numId="334">
    <w:abstractNumId w:val="67"/>
  </w:num>
  <w:num w:numId="335">
    <w:abstractNumId w:val="9"/>
  </w:num>
  <w:num w:numId="336">
    <w:abstractNumId w:val="99"/>
  </w:num>
  <w:num w:numId="337">
    <w:abstractNumId w:val="33"/>
  </w:num>
  <w:num w:numId="338">
    <w:abstractNumId w:val="70"/>
  </w:num>
  <w:num w:numId="339">
    <w:abstractNumId w:val="5"/>
  </w:num>
  <w:num w:numId="340">
    <w:abstractNumId w:val="10"/>
  </w:num>
  <w:num w:numId="341">
    <w:abstractNumId w:val="14"/>
  </w:num>
  <w:num w:numId="342">
    <w:abstractNumId w:val="37"/>
  </w:num>
  <w:num w:numId="343">
    <w:abstractNumId w:val="30"/>
  </w:num>
  <w:num w:numId="344">
    <w:abstractNumId w:val="28"/>
  </w:num>
  <w:num w:numId="345">
    <w:abstractNumId w:val="48"/>
  </w:num>
  <w:num w:numId="346">
    <w:abstractNumId w:val="25"/>
  </w:num>
  <w:num w:numId="347">
    <w:abstractNumId w:val="0"/>
  </w:num>
  <w:num w:numId="348">
    <w:abstractNumId w:val="107"/>
  </w:num>
  <w:num w:numId="349">
    <w:abstractNumId w:val="29"/>
  </w:num>
  <w:num w:numId="350">
    <w:abstractNumId w:val="44"/>
  </w:num>
  <w:num w:numId="35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2">
    <w:abstractNumId w:val="82"/>
  </w:num>
  <w:num w:numId="353">
    <w:abstractNumId w:val="49"/>
  </w:num>
  <w:num w:numId="354">
    <w:abstractNumId w:val="83"/>
  </w:num>
  <w:num w:numId="355">
    <w:abstractNumId w:val="105"/>
  </w:num>
  <w:num w:numId="35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7">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8">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9">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0">
    <w:abstractNumId w:val="35"/>
  </w:num>
  <w:num w:numId="361">
    <w:abstractNumId w:val="15"/>
  </w:num>
  <w:num w:numId="362">
    <w:abstractNumId w:val="78"/>
  </w:num>
  <w:num w:numId="363">
    <w:abstractNumId w:val="69"/>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5">
    <w:abstractNumId w:val="60"/>
  </w:num>
  <w:num w:numId="366">
    <w:abstractNumId w:val="20"/>
  </w:num>
  <w:num w:numId="367">
    <w:abstractNumId w:val="62"/>
  </w:num>
  <w:num w:numId="368">
    <w:abstractNumId w:val="41"/>
  </w:num>
  <w:num w:numId="369">
    <w:abstractNumId w:val="58"/>
  </w:num>
  <w:num w:numId="370">
    <w:abstractNumId w:val="31"/>
  </w:num>
  <w:num w:numId="371">
    <w:abstractNumId w:val="65"/>
  </w:num>
  <w:num w:numId="372">
    <w:abstractNumId w:val="39"/>
  </w:num>
  <w:num w:numId="37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9">
    <w:abstractNumId w:val="46"/>
  </w:num>
  <w:num w:numId="390">
    <w:abstractNumId w:val="61"/>
  </w:num>
  <w:num w:numId="391">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2">
    <w:abstractNumId w:val="94"/>
  </w:num>
  <w:num w:numId="393">
    <w:abstractNumId w:val="80"/>
  </w:num>
  <w:num w:numId="394">
    <w:abstractNumId w:val="4"/>
  </w:num>
  <w:num w:numId="395">
    <w:abstractNumId w:val="32"/>
  </w:num>
  <w:num w:numId="396">
    <w:abstractNumId w:val="90"/>
  </w:num>
  <w:num w:numId="397">
    <w:abstractNumId w:val="91"/>
  </w:num>
  <w:num w:numId="398">
    <w:abstractNumId w:val="16"/>
  </w:num>
  <w:num w:numId="399">
    <w:abstractNumId w:val="2"/>
  </w:num>
  <w:num w:numId="400">
    <w:abstractNumId w:val="24"/>
  </w:num>
  <w:num w:numId="401">
    <w:abstractNumId w:val="24"/>
    <w:lvlOverride w:ilvl="0">
      <w:lvl w:ilvl="0">
        <w:start w:val="1"/>
        <w:numFmt w:val="decimal"/>
        <w:lvlText w:val="%1."/>
        <w:lvlJc w:val="left"/>
        <w:pPr>
          <w:ind w:left="357" w:hanging="357"/>
        </w:pPr>
        <w:rPr>
          <w:rFonts w:hint="default"/>
        </w:rPr>
      </w:lvl>
    </w:lvlOverride>
    <w:lvlOverride w:ilvl="1">
      <w:lvl w:ilvl="1">
        <w:start w:val="1"/>
        <w:numFmt w:val="lowerLetter"/>
        <w:lvlText w:val="%2."/>
        <w:lvlJc w:val="left"/>
        <w:pPr>
          <w:ind w:left="1440" w:hanging="360"/>
        </w:pPr>
        <w:rPr>
          <w:rFonts w:hint="default"/>
        </w:rPr>
      </w:lvl>
    </w:lvlOverride>
    <w:lvlOverride w:ilvl="2">
      <w:lvl w:ilvl="2">
        <w:start w:val="1"/>
        <w:numFmt w:val="lowerRoman"/>
        <w:lvlText w:val="%3."/>
        <w:lvlJc w:val="right"/>
        <w:pPr>
          <w:ind w:left="2160" w:hanging="180"/>
        </w:pPr>
        <w:rPr>
          <w:rFonts w:hint="default"/>
        </w:rPr>
      </w:lvl>
    </w:lvlOverride>
    <w:lvlOverride w:ilvl="3">
      <w:lvl w:ilvl="3">
        <w:start w:val="1"/>
        <w:numFmt w:val="decimal"/>
        <w:lvlText w:val="%4."/>
        <w:lvlJc w:val="left"/>
        <w:pPr>
          <w:ind w:left="357" w:hanging="357"/>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357" w:hanging="357"/>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402">
    <w:abstractNumId w:val="40"/>
  </w:num>
  <w:num w:numId="403">
    <w:abstractNumId w:val="102"/>
  </w:num>
  <w:num w:numId="404">
    <w:abstractNumId w:val="86"/>
  </w:num>
  <w:num w:numId="405">
    <w:abstractNumId w:val="42"/>
  </w:num>
  <w:num w:numId="40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7">
    <w:abstractNumId w:val="104"/>
  </w:num>
  <w:num w:numId="40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9">
    <w:abstractNumId w:val="81"/>
  </w:num>
  <w:numIdMacAtCleanup w:val="4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5A4B"/>
    <w:rsid w:val="00000BA1"/>
    <w:rsid w:val="00001526"/>
    <w:rsid w:val="0000451E"/>
    <w:rsid w:val="00005926"/>
    <w:rsid w:val="000063BE"/>
    <w:rsid w:val="000067FA"/>
    <w:rsid w:val="000108D2"/>
    <w:rsid w:val="00011257"/>
    <w:rsid w:val="00011CE5"/>
    <w:rsid w:val="000134F2"/>
    <w:rsid w:val="000155A5"/>
    <w:rsid w:val="000158EB"/>
    <w:rsid w:val="000161AE"/>
    <w:rsid w:val="000174D6"/>
    <w:rsid w:val="000204E2"/>
    <w:rsid w:val="00020E18"/>
    <w:rsid w:val="00021182"/>
    <w:rsid w:val="000213EA"/>
    <w:rsid w:val="00023612"/>
    <w:rsid w:val="00023640"/>
    <w:rsid w:val="00023B47"/>
    <w:rsid w:val="00023E4C"/>
    <w:rsid w:val="00024CD8"/>
    <w:rsid w:val="00024F3E"/>
    <w:rsid w:val="0002712E"/>
    <w:rsid w:val="0002788C"/>
    <w:rsid w:val="00030294"/>
    <w:rsid w:val="0003065B"/>
    <w:rsid w:val="00031651"/>
    <w:rsid w:val="0003713C"/>
    <w:rsid w:val="000371F0"/>
    <w:rsid w:val="000408C2"/>
    <w:rsid w:val="00041AE2"/>
    <w:rsid w:val="00041F9D"/>
    <w:rsid w:val="00042350"/>
    <w:rsid w:val="00042EFF"/>
    <w:rsid w:val="00043EEA"/>
    <w:rsid w:val="000457ED"/>
    <w:rsid w:val="00046D16"/>
    <w:rsid w:val="00046E58"/>
    <w:rsid w:val="00050682"/>
    <w:rsid w:val="00050960"/>
    <w:rsid w:val="0005122C"/>
    <w:rsid w:val="00051D9D"/>
    <w:rsid w:val="00053E33"/>
    <w:rsid w:val="000540C5"/>
    <w:rsid w:val="00054679"/>
    <w:rsid w:val="00055668"/>
    <w:rsid w:val="00055BCA"/>
    <w:rsid w:val="000560F4"/>
    <w:rsid w:val="0006049B"/>
    <w:rsid w:val="00060708"/>
    <w:rsid w:val="00060998"/>
    <w:rsid w:val="00063043"/>
    <w:rsid w:val="000711B9"/>
    <w:rsid w:val="000718DD"/>
    <w:rsid w:val="00071D34"/>
    <w:rsid w:val="00072BC9"/>
    <w:rsid w:val="00073135"/>
    <w:rsid w:val="000756C5"/>
    <w:rsid w:val="00075CCD"/>
    <w:rsid w:val="00076199"/>
    <w:rsid w:val="000762CE"/>
    <w:rsid w:val="000776A6"/>
    <w:rsid w:val="00077706"/>
    <w:rsid w:val="00077D61"/>
    <w:rsid w:val="000817D6"/>
    <w:rsid w:val="000819EC"/>
    <w:rsid w:val="000820C6"/>
    <w:rsid w:val="000833B7"/>
    <w:rsid w:val="00083AC5"/>
    <w:rsid w:val="00083C95"/>
    <w:rsid w:val="0008422F"/>
    <w:rsid w:val="00085C64"/>
    <w:rsid w:val="000865CC"/>
    <w:rsid w:val="000877F8"/>
    <w:rsid w:val="00091BC8"/>
    <w:rsid w:val="00092622"/>
    <w:rsid w:val="00092B13"/>
    <w:rsid w:val="00092B6C"/>
    <w:rsid w:val="00094377"/>
    <w:rsid w:val="00094895"/>
    <w:rsid w:val="00094B3B"/>
    <w:rsid w:val="0009512A"/>
    <w:rsid w:val="0009527E"/>
    <w:rsid w:val="00096536"/>
    <w:rsid w:val="0009709B"/>
    <w:rsid w:val="0009729F"/>
    <w:rsid w:val="0009767D"/>
    <w:rsid w:val="000A0172"/>
    <w:rsid w:val="000A1173"/>
    <w:rsid w:val="000A25D4"/>
    <w:rsid w:val="000A3CE4"/>
    <w:rsid w:val="000A3D0C"/>
    <w:rsid w:val="000A3FCE"/>
    <w:rsid w:val="000A430F"/>
    <w:rsid w:val="000A47F7"/>
    <w:rsid w:val="000A76F2"/>
    <w:rsid w:val="000A7A56"/>
    <w:rsid w:val="000B13A6"/>
    <w:rsid w:val="000B1742"/>
    <w:rsid w:val="000B2A63"/>
    <w:rsid w:val="000B3CE2"/>
    <w:rsid w:val="000B66ED"/>
    <w:rsid w:val="000B7B47"/>
    <w:rsid w:val="000C0E82"/>
    <w:rsid w:val="000C1FF4"/>
    <w:rsid w:val="000C3927"/>
    <w:rsid w:val="000C53AF"/>
    <w:rsid w:val="000C5532"/>
    <w:rsid w:val="000C55B6"/>
    <w:rsid w:val="000C70AA"/>
    <w:rsid w:val="000D0C0C"/>
    <w:rsid w:val="000D10F1"/>
    <w:rsid w:val="000D3374"/>
    <w:rsid w:val="000D34B5"/>
    <w:rsid w:val="000D3688"/>
    <w:rsid w:val="000D50B2"/>
    <w:rsid w:val="000D62DA"/>
    <w:rsid w:val="000D6A46"/>
    <w:rsid w:val="000E37FD"/>
    <w:rsid w:val="000E3DA3"/>
    <w:rsid w:val="000E3DE3"/>
    <w:rsid w:val="000E5AFA"/>
    <w:rsid w:val="000F08F9"/>
    <w:rsid w:val="000F0BBC"/>
    <w:rsid w:val="000F0C52"/>
    <w:rsid w:val="000F0F59"/>
    <w:rsid w:val="000F26D9"/>
    <w:rsid w:val="000F2DCC"/>
    <w:rsid w:val="000F300A"/>
    <w:rsid w:val="000F4B14"/>
    <w:rsid w:val="000F4FB8"/>
    <w:rsid w:val="000F523B"/>
    <w:rsid w:val="000F5495"/>
    <w:rsid w:val="000F5868"/>
    <w:rsid w:val="000F657E"/>
    <w:rsid w:val="000F6FE0"/>
    <w:rsid w:val="000F7B1D"/>
    <w:rsid w:val="000F7B21"/>
    <w:rsid w:val="001000A7"/>
    <w:rsid w:val="001002F0"/>
    <w:rsid w:val="001008E1"/>
    <w:rsid w:val="001011F5"/>
    <w:rsid w:val="00101A60"/>
    <w:rsid w:val="00101BDF"/>
    <w:rsid w:val="00101D8E"/>
    <w:rsid w:val="00101F22"/>
    <w:rsid w:val="00102523"/>
    <w:rsid w:val="00102C24"/>
    <w:rsid w:val="00102E54"/>
    <w:rsid w:val="0010347E"/>
    <w:rsid w:val="00104CE6"/>
    <w:rsid w:val="00106F46"/>
    <w:rsid w:val="001071D3"/>
    <w:rsid w:val="0011010E"/>
    <w:rsid w:val="00111992"/>
    <w:rsid w:val="001143B9"/>
    <w:rsid w:val="001152B7"/>
    <w:rsid w:val="001157C9"/>
    <w:rsid w:val="00116669"/>
    <w:rsid w:val="00116A62"/>
    <w:rsid w:val="00116F15"/>
    <w:rsid w:val="00120745"/>
    <w:rsid w:val="00121343"/>
    <w:rsid w:val="00121947"/>
    <w:rsid w:val="00121D2C"/>
    <w:rsid w:val="0012311A"/>
    <w:rsid w:val="00123CD1"/>
    <w:rsid w:val="00124B97"/>
    <w:rsid w:val="001275DF"/>
    <w:rsid w:val="0012782F"/>
    <w:rsid w:val="00130382"/>
    <w:rsid w:val="00130495"/>
    <w:rsid w:val="0013077E"/>
    <w:rsid w:val="00130B50"/>
    <w:rsid w:val="0013101D"/>
    <w:rsid w:val="00132C20"/>
    <w:rsid w:val="00133763"/>
    <w:rsid w:val="00133D5F"/>
    <w:rsid w:val="00134569"/>
    <w:rsid w:val="00134C83"/>
    <w:rsid w:val="001353F3"/>
    <w:rsid w:val="00135ACE"/>
    <w:rsid w:val="00136CF4"/>
    <w:rsid w:val="00140EF9"/>
    <w:rsid w:val="00141E72"/>
    <w:rsid w:val="0014299F"/>
    <w:rsid w:val="001439B9"/>
    <w:rsid w:val="00143C63"/>
    <w:rsid w:val="00145A98"/>
    <w:rsid w:val="0014780E"/>
    <w:rsid w:val="00150080"/>
    <w:rsid w:val="001511E6"/>
    <w:rsid w:val="001528CC"/>
    <w:rsid w:val="00152E32"/>
    <w:rsid w:val="0015352A"/>
    <w:rsid w:val="0015355B"/>
    <w:rsid w:val="00154B2B"/>
    <w:rsid w:val="00155282"/>
    <w:rsid w:val="001556CA"/>
    <w:rsid w:val="001573FD"/>
    <w:rsid w:val="00157A5A"/>
    <w:rsid w:val="001603CC"/>
    <w:rsid w:val="001603EB"/>
    <w:rsid w:val="00160486"/>
    <w:rsid w:val="00160AE1"/>
    <w:rsid w:val="001611B3"/>
    <w:rsid w:val="0016139A"/>
    <w:rsid w:val="00161678"/>
    <w:rsid w:val="00161CE4"/>
    <w:rsid w:val="00161D0A"/>
    <w:rsid w:val="00162392"/>
    <w:rsid w:val="00164643"/>
    <w:rsid w:val="00164D15"/>
    <w:rsid w:val="00165726"/>
    <w:rsid w:val="001667A1"/>
    <w:rsid w:val="001673D4"/>
    <w:rsid w:val="00167711"/>
    <w:rsid w:val="001677A4"/>
    <w:rsid w:val="00170A70"/>
    <w:rsid w:val="0017174E"/>
    <w:rsid w:val="00172FE5"/>
    <w:rsid w:val="001735ED"/>
    <w:rsid w:val="001736E9"/>
    <w:rsid w:val="00173A5D"/>
    <w:rsid w:val="00174D49"/>
    <w:rsid w:val="001754F4"/>
    <w:rsid w:val="00175542"/>
    <w:rsid w:val="001773B2"/>
    <w:rsid w:val="00182D04"/>
    <w:rsid w:val="0018349C"/>
    <w:rsid w:val="00183532"/>
    <w:rsid w:val="00183601"/>
    <w:rsid w:val="00184598"/>
    <w:rsid w:val="00184DC7"/>
    <w:rsid w:val="00185547"/>
    <w:rsid w:val="00185DDD"/>
    <w:rsid w:val="00186CB6"/>
    <w:rsid w:val="001871FD"/>
    <w:rsid w:val="00190417"/>
    <w:rsid w:val="00190D1F"/>
    <w:rsid w:val="001910E4"/>
    <w:rsid w:val="001914F2"/>
    <w:rsid w:val="00191A29"/>
    <w:rsid w:val="00191ADB"/>
    <w:rsid w:val="00193506"/>
    <w:rsid w:val="001963E1"/>
    <w:rsid w:val="001970C1"/>
    <w:rsid w:val="00197ECA"/>
    <w:rsid w:val="001A101D"/>
    <w:rsid w:val="001A1060"/>
    <w:rsid w:val="001A3997"/>
    <w:rsid w:val="001A3C18"/>
    <w:rsid w:val="001A633C"/>
    <w:rsid w:val="001A6D82"/>
    <w:rsid w:val="001A71C6"/>
    <w:rsid w:val="001B1151"/>
    <w:rsid w:val="001B1640"/>
    <w:rsid w:val="001B2A64"/>
    <w:rsid w:val="001B3508"/>
    <w:rsid w:val="001B48E8"/>
    <w:rsid w:val="001B544F"/>
    <w:rsid w:val="001B5573"/>
    <w:rsid w:val="001B58E3"/>
    <w:rsid w:val="001B7AC5"/>
    <w:rsid w:val="001C0474"/>
    <w:rsid w:val="001C049D"/>
    <w:rsid w:val="001C05FC"/>
    <w:rsid w:val="001C0F85"/>
    <w:rsid w:val="001C1F05"/>
    <w:rsid w:val="001C2536"/>
    <w:rsid w:val="001C2860"/>
    <w:rsid w:val="001C297A"/>
    <w:rsid w:val="001C37B3"/>
    <w:rsid w:val="001C39B5"/>
    <w:rsid w:val="001C39D4"/>
    <w:rsid w:val="001C3B60"/>
    <w:rsid w:val="001C4079"/>
    <w:rsid w:val="001C53AE"/>
    <w:rsid w:val="001C57D6"/>
    <w:rsid w:val="001C5AC5"/>
    <w:rsid w:val="001C5ECD"/>
    <w:rsid w:val="001C66C7"/>
    <w:rsid w:val="001C7FAB"/>
    <w:rsid w:val="001D07F5"/>
    <w:rsid w:val="001D0D7E"/>
    <w:rsid w:val="001D0E66"/>
    <w:rsid w:val="001D151B"/>
    <w:rsid w:val="001D29C3"/>
    <w:rsid w:val="001D4D2B"/>
    <w:rsid w:val="001D60FB"/>
    <w:rsid w:val="001D7104"/>
    <w:rsid w:val="001D7B9B"/>
    <w:rsid w:val="001E0BD2"/>
    <w:rsid w:val="001E1611"/>
    <w:rsid w:val="001E1E21"/>
    <w:rsid w:val="001E2D7D"/>
    <w:rsid w:val="001E58A1"/>
    <w:rsid w:val="001E58FE"/>
    <w:rsid w:val="001E611A"/>
    <w:rsid w:val="001E73F0"/>
    <w:rsid w:val="001E7479"/>
    <w:rsid w:val="001E76AC"/>
    <w:rsid w:val="001E7A57"/>
    <w:rsid w:val="001F0071"/>
    <w:rsid w:val="001F2257"/>
    <w:rsid w:val="001F2510"/>
    <w:rsid w:val="001F2C7A"/>
    <w:rsid w:val="001F2F3E"/>
    <w:rsid w:val="001F4878"/>
    <w:rsid w:val="001F4F98"/>
    <w:rsid w:val="001F65E1"/>
    <w:rsid w:val="001F700D"/>
    <w:rsid w:val="00200753"/>
    <w:rsid w:val="0020096E"/>
    <w:rsid w:val="00201EC0"/>
    <w:rsid w:val="00202A90"/>
    <w:rsid w:val="0020317D"/>
    <w:rsid w:val="00203B2E"/>
    <w:rsid w:val="002062AF"/>
    <w:rsid w:val="0021146B"/>
    <w:rsid w:val="002119BA"/>
    <w:rsid w:val="00212578"/>
    <w:rsid w:val="00212F4D"/>
    <w:rsid w:val="00213669"/>
    <w:rsid w:val="0021458C"/>
    <w:rsid w:val="00214ADD"/>
    <w:rsid w:val="00214EAA"/>
    <w:rsid w:val="00215B2F"/>
    <w:rsid w:val="002164E5"/>
    <w:rsid w:val="00216566"/>
    <w:rsid w:val="0021777D"/>
    <w:rsid w:val="00217C42"/>
    <w:rsid w:val="00217F83"/>
    <w:rsid w:val="00220169"/>
    <w:rsid w:val="00220E00"/>
    <w:rsid w:val="00222745"/>
    <w:rsid w:val="00223C43"/>
    <w:rsid w:val="00223DEA"/>
    <w:rsid w:val="0022400F"/>
    <w:rsid w:val="00224975"/>
    <w:rsid w:val="00224E25"/>
    <w:rsid w:val="00224F82"/>
    <w:rsid w:val="00226CC5"/>
    <w:rsid w:val="0022792B"/>
    <w:rsid w:val="00231B31"/>
    <w:rsid w:val="00232696"/>
    <w:rsid w:val="00232827"/>
    <w:rsid w:val="00233154"/>
    <w:rsid w:val="00233332"/>
    <w:rsid w:val="00234E3A"/>
    <w:rsid w:val="00235D76"/>
    <w:rsid w:val="00235EE5"/>
    <w:rsid w:val="00237BD2"/>
    <w:rsid w:val="00242937"/>
    <w:rsid w:val="002429D0"/>
    <w:rsid w:val="00243956"/>
    <w:rsid w:val="00243B7C"/>
    <w:rsid w:val="00243BE4"/>
    <w:rsid w:val="00243DCB"/>
    <w:rsid w:val="00245BF4"/>
    <w:rsid w:val="002502B0"/>
    <w:rsid w:val="00250382"/>
    <w:rsid w:val="00250971"/>
    <w:rsid w:val="002512B4"/>
    <w:rsid w:val="00251DF9"/>
    <w:rsid w:val="00252162"/>
    <w:rsid w:val="0025224E"/>
    <w:rsid w:val="00253103"/>
    <w:rsid w:val="002538A4"/>
    <w:rsid w:val="002542A4"/>
    <w:rsid w:val="002547F5"/>
    <w:rsid w:val="00255780"/>
    <w:rsid w:val="00256D7F"/>
    <w:rsid w:val="00256E30"/>
    <w:rsid w:val="002609B2"/>
    <w:rsid w:val="002610B3"/>
    <w:rsid w:val="00261364"/>
    <w:rsid w:val="0026171D"/>
    <w:rsid w:val="00261E82"/>
    <w:rsid w:val="002621AB"/>
    <w:rsid w:val="00262F2B"/>
    <w:rsid w:val="0026556F"/>
    <w:rsid w:val="00267025"/>
    <w:rsid w:val="002674DF"/>
    <w:rsid w:val="002724EC"/>
    <w:rsid w:val="002729FE"/>
    <w:rsid w:val="002733C5"/>
    <w:rsid w:val="00273DD6"/>
    <w:rsid w:val="00275237"/>
    <w:rsid w:val="00276613"/>
    <w:rsid w:val="00276B74"/>
    <w:rsid w:val="002774A6"/>
    <w:rsid w:val="002807A7"/>
    <w:rsid w:val="002832A8"/>
    <w:rsid w:val="0028402B"/>
    <w:rsid w:val="0028405E"/>
    <w:rsid w:val="00284578"/>
    <w:rsid w:val="00284F53"/>
    <w:rsid w:val="002854D0"/>
    <w:rsid w:val="0028616E"/>
    <w:rsid w:val="0029093E"/>
    <w:rsid w:val="002946BA"/>
    <w:rsid w:val="00295276"/>
    <w:rsid w:val="0029587D"/>
    <w:rsid w:val="00296D40"/>
    <w:rsid w:val="00296DAA"/>
    <w:rsid w:val="00296E76"/>
    <w:rsid w:val="00297369"/>
    <w:rsid w:val="002A0E3E"/>
    <w:rsid w:val="002A11DF"/>
    <w:rsid w:val="002A1EBD"/>
    <w:rsid w:val="002A206A"/>
    <w:rsid w:val="002A215C"/>
    <w:rsid w:val="002A238F"/>
    <w:rsid w:val="002A3B18"/>
    <w:rsid w:val="002A426C"/>
    <w:rsid w:val="002A52A4"/>
    <w:rsid w:val="002A6DBF"/>
    <w:rsid w:val="002A71C1"/>
    <w:rsid w:val="002A7234"/>
    <w:rsid w:val="002A7EEE"/>
    <w:rsid w:val="002B09C6"/>
    <w:rsid w:val="002B13A5"/>
    <w:rsid w:val="002B2FA8"/>
    <w:rsid w:val="002B424D"/>
    <w:rsid w:val="002B4BAC"/>
    <w:rsid w:val="002B4C3E"/>
    <w:rsid w:val="002B5570"/>
    <w:rsid w:val="002B689C"/>
    <w:rsid w:val="002C029E"/>
    <w:rsid w:val="002C0CD1"/>
    <w:rsid w:val="002C0D72"/>
    <w:rsid w:val="002C1514"/>
    <w:rsid w:val="002C1D95"/>
    <w:rsid w:val="002C2502"/>
    <w:rsid w:val="002C31AF"/>
    <w:rsid w:val="002C3AFC"/>
    <w:rsid w:val="002C582E"/>
    <w:rsid w:val="002C7323"/>
    <w:rsid w:val="002C7D72"/>
    <w:rsid w:val="002C7DB7"/>
    <w:rsid w:val="002D1102"/>
    <w:rsid w:val="002D436C"/>
    <w:rsid w:val="002D51FE"/>
    <w:rsid w:val="002D526C"/>
    <w:rsid w:val="002D7180"/>
    <w:rsid w:val="002D7513"/>
    <w:rsid w:val="002D7B8D"/>
    <w:rsid w:val="002E1B69"/>
    <w:rsid w:val="002E216E"/>
    <w:rsid w:val="002E2CC2"/>
    <w:rsid w:val="002E340B"/>
    <w:rsid w:val="002E573A"/>
    <w:rsid w:val="002E599E"/>
    <w:rsid w:val="002E6083"/>
    <w:rsid w:val="002E7B98"/>
    <w:rsid w:val="002F3273"/>
    <w:rsid w:val="002F337A"/>
    <w:rsid w:val="002F33E5"/>
    <w:rsid w:val="002F3716"/>
    <w:rsid w:val="002F656E"/>
    <w:rsid w:val="002F6B54"/>
    <w:rsid w:val="002F7A07"/>
    <w:rsid w:val="00300558"/>
    <w:rsid w:val="00302BF2"/>
    <w:rsid w:val="0030359C"/>
    <w:rsid w:val="003048B3"/>
    <w:rsid w:val="00304D0A"/>
    <w:rsid w:val="0030539F"/>
    <w:rsid w:val="003076C9"/>
    <w:rsid w:val="00310758"/>
    <w:rsid w:val="003113BE"/>
    <w:rsid w:val="003123FC"/>
    <w:rsid w:val="0031398A"/>
    <w:rsid w:val="0031653C"/>
    <w:rsid w:val="003205E7"/>
    <w:rsid w:val="00321B1A"/>
    <w:rsid w:val="00321B4B"/>
    <w:rsid w:val="00321E73"/>
    <w:rsid w:val="00322136"/>
    <w:rsid w:val="00322F77"/>
    <w:rsid w:val="003238AD"/>
    <w:rsid w:val="003253AA"/>
    <w:rsid w:val="00330372"/>
    <w:rsid w:val="00330B93"/>
    <w:rsid w:val="00330C80"/>
    <w:rsid w:val="00331013"/>
    <w:rsid w:val="00331072"/>
    <w:rsid w:val="003323B8"/>
    <w:rsid w:val="00333218"/>
    <w:rsid w:val="0033378E"/>
    <w:rsid w:val="003339AE"/>
    <w:rsid w:val="00334E69"/>
    <w:rsid w:val="0033689A"/>
    <w:rsid w:val="003369C9"/>
    <w:rsid w:val="00336F1D"/>
    <w:rsid w:val="00337464"/>
    <w:rsid w:val="003379AF"/>
    <w:rsid w:val="00337A37"/>
    <w:rsid w:val="00340922"/>
    <w:rsid w:val="00340D1A"/>
    <w:rsid w:val="003415D9"/>
    <w:rsid w:val="00341CF8"/>
    <w:rsid w:val="003444B1"/>
    <w:rsid w:val="003503EB"/>
    <w:rsid w:val="003506B0"/>
    <w:rsid w:val="00351A3E"/>
    <w:rsid w:val="003530AE"/>
    <w:rsid w:val="00354135"/>
    <w:rsid w:val="003549BC"/>
    <w:rsid w:val="00355D35"/>
    <w:rsid w:val="0036025F"/>
    <w:rsid w:val="00360EC0"/>
    <w:rsid w:val="00360F26"/>
    <w:rsid w:val="00363DD7"/>
    <w:rsid w:val="003640AB"/>
    <w:rsid w:val="0036437E"/>
    <w:rsid w:val="00364AF2"/>
    <w:rsid w:val="00365545"/>
    <w:rsid w:val="003661E6"/>
    <w:rsid w:val="00366229"/>
    <w:rsid w:val="00366635"/>
    <w:rsid w:val="003669BD"/>
    <w:rsid w:val="00366A03"/>
    <w:rsid w:val="00367749"/>
    <w:rsid w:val="0037053D"/>
    <w:rsid w:val="00370F3A"/>
    <w:rsid w:val="00371421"/>
    <w:rsid w:val="00372EB4"/>
    <w:rsid w:val="00373763"/>
    <w:rsid w:val="00374294"/>
    <w:rsid w:val="0037482B"/>
    <w:rsid w:val="00374CBB"/>
    <w:rsid w:val="003757F3"/>
    <w:rsid w:val="00375F6F"/>
    <w:rsid w:val="003768E9"/>
    <w:rsid w:val="00376E4F"/>
    <w:rsid w:val="0038098E"/>
    <w:rsid w:val="00381107"/>
    <w:rsid w:val="00381757"/>
    <w:rsid w:val="00381969"/>
    <w:rsid w:val="0038321C"/>
    <w:rsid w:val="00383F9D"/>
    <w:rsid w:val="0038496C"/>
    <w:rsid w:val="00385A72"/>
    <w:rsid w:val="00387011"/>
    <w:rsid w:val="003878DA"/>
    <w:rsid w:val="00391C67"/>
    <w:rsid w:val="00393D9C"/>
    <w:rsid w:val="00394981"/>
    <w:rsid w:val="00396A4A"/>
    <w:rsid w:val="0039731C"/>
    <w:rsid w:val="003A0D08"/>
    <w:rsid w:val="003A1577"/>
    <w:rsid w:val="003A2111"/>
    <w:rsid w:val="003A5A4B"/>
    <w:rsid w:val="003A5A5A"/>
    <w:rsid w:val="003A6018"/>
    <w:rsid w:val="003A61DD"/>
    <w:rsid w:val="003A620D"/>
    <w:rsid w:val="003B0250"/>
    <w:rsid w:val="003B03E2"/>
    <w:rsid w:val="003B0900"/>
    <w:rsid w:val="003B2433"/>
    <w:rsid w:val="003B3BD3"/>
    <w:rsid w:val="003B3FD0"/>
    <w:rsid w:val="003B5AD7"/>
    <w:rsid w:val="003B5D84"/>
    <w:rsid w:val="003B6232"/>
    <w:rsid w:val="003B77CB"/>
    <w:rsid w:val="003C02BC"/>
    <w:rsid w:val="003C107A"/>
    <w:rsid w:val="003C21E5"/>
    <w:rsid w:val="003C3A0A"/>
    <w:rsid w:val="003C41CD"/>
    <w:rsid w:val="003C532F"/>
    <w:rsid w:val="003C5B7A"/>
    <w:rsid w:val="003C5BD3"/>
    <w:rsid w:val="003C5D14"/>
    <w:rsid w:val="003C646F"/>
    <w:rsid w:val="003D1ADB"/>
    <w:rsid w:val="003D20BE"/>
    <w:rsid w:val="003D43F1"/>
    <w:rsid w:val="003D4D0B"/>
    <w:rsid w:val="003D4DE0"/>
    <w:rsid w:val="003E03B9"/>
    <w:rsid w:val="003E05E7"/>
    <w:rsid w:val="003E05EB"/>
    <w:rsid w:val="003E4351"/>
    <w:rsid w:val="003E62F8"/>
    <w:rsid w:val="003E6AA3"/>
    <w:rsid w:val="003E702C"/>
    <w:rsid w:val="003E73A2"/>
    <w:rsid w:val="003E7683"/>
    <w:rsid w:val="003E7EDE"/>
    <w:rsid w:val="003F1035"/>
    <w:rsid w:val="003F11F7"/>
    <w:rsid w:val="003F1FE9"/>
    <w:rsid w:val="003F2BEE"/>
    <w:rsid w:val="003F2FB5"/>
    <w:rsid w:val="003F421A"/>
    <w:rsid w:val="003F4825"/>
    <w:rsid w:val="003F4F60"/>
    <w:rsid w:val="003F50E0"/>
    <w:rsid w:val="003F63A6"/>
    <w:rsid w:val="003F65A2"/>
    <w:rsid w:val="00400AA3"/>
    <w:rsid w:val="0040181F"/>
    <w:rsid w:val="0040277D"/>
    <w:rsid w:val="004037E2"/>
    <w:rsid w:val="00404712"/>
    <w:rsid w:val="00405F3D"/>
    <w:rsid w:val="0040687B"/>
    <w:rsid w:val="00406E46"/>
    <w:rsid w:val="00407046"/>
    <w:rsid w:val="0041190E"/>
    <w:rsid w:val="004120E3"/>
    <w:rsid w:val="0041233E"/>
    <w:rsid w:val="004135DC"/>
    <w:rsid w:val="004136C3"/>
    <w:rsid w:val="004136C7"/>
    <w:rsid w:val="00415E83"/>
    <w:rsid w:val="00416BE9"/>
    <w:rsid w:val="00417199"/>
    <w:rsid w:val="00417505"/>
    <w:rsid w:val="00417F9D"/>
    <w:rsid w:val="00421C59"/>
    <w:rsid w:val="00422359"/>
    <w:rsid w:val="004239B0"/>
    <w:rsid w:val="00423ADF"/>
    <w:rsid w:val="0042445E"/>
    <w:rsid w:val="00424FBD"/>
    <w:rsid w:val="00425666"/>
    <w:rsid w:val="004259A7"/>
    <w:rsid w:val="00425F35"/>
    <w:rsid w:val="0042705C"/>
    <w:rsid w:val="00430FAD"/>
    <w:rsid w:val="004328D3"/>
    <w:rsid w:val="00432A15"/>
    <w:rsid w:val="004343E7"/>
    <w:rsid w:val="00434CCB"/>
    <w:rsid w:val="004354B1"/>
    <w:rsid w:val="004354DD"/>
    <w:rsid w:val="00435B1D"/>
    <w:rsid w:val="00437223"/>
    <w:rsid w:val="00440472"/>
    <w:rsid w:val="004406E3"/>
    <w:rsid w:val="0044147E"/>
    <w:rsid w:val="00442494"/>
    <w:rsid w:val="004429ED"/>
    <w:rsid w:val="00443085"/>
    <w:rsid w:val="00443B79"/>
    <w:rsid w:val="00446CEA"/>
    <w:rsid w:val="004472AA"/>
    <w:rsid w:val="00447D27"/>
    <w:rsid w:val="00450787"/>
    <w:rsid w:val="004511D3"/>
    <w:rsid w:val="0045282B"/>
    <w:rsid w:val="004534C2"/>
    <w:rsid w:val="00453F6D"/>
    <w:rsid w:val="00457862"/>
    <w:rsid w:val="004579DE"/>
    <w:rsid w:val="00460CA3"/>
    <w:rsid w:val="00461599"/>
    <w:rsid w:val="00461A0A"/>
    <w:rsid w:val="00462662"/>
    <w:rsid w:val="004629DC"/>
    <w:rsid w:val="00462F72"/>
    <w:rsid w:val="00463303"/>
    <w:rsid w:val="00464DD1"/>
    <w:rsid w:val="00465363"/>
    <w:rsid w:val="0046554B"/>
    <w:rsid w:val="00465A0A"/>
    <w:rsid w:val="00466DAD"/>
    <w:rsid w:val="00467A8D"/>
    <w:rsid w:val="00467F26"/>
    <w:rsid w:val="0047072E"/>
    <w:rsid w:val="004707B7"/>
    <w:rsid w:val="0047225E"/>
    <w:rsid w:val="00473E64"/>
    <w:rsid w:val="00474226"/>
    <w:rsid w:val="00474AC7"/>
    <w:rsid w:val="0047521A"/>
    <w:rsid w:val="00475608"/>
    <w:rsid w:val="00475A69"/>
    <w:rsid w:val="00476021"/>
    <w:rsid w:val="004761A7"/>
    <w:rsid w:val="00476332"/>
    <w:rsid w:val="00476413"/>
    <w:rsid w:val="00476E65"/>
    <w:rsid w:val="0047702A"/>
    <w:rsid w:val="004775F0"/>
    <w:rsid w:val="0048013C"/>
    <w:rsid w:val="00480A7F"/>
    <w:rsid w:val="004810FB"/>
    <w:rsid w:val="004819D9"/>
    <w:rsid w:val="00483313"/>
    <w:rsid w:val="00483DDB"/>
    <w:rsid w:val="00485636"/>
    <w:rsid w:val="00492A05"/>
    <w:rsid w:val="00493957"/>
    <w:rsid w:val="00493C72"/>
    <w:rsid w:val="004A17BD"/>
    <w:rsid w:val="004A1E9C"/>
    <w:rsid w:val="004A249E"/>
    <w:rsid w:val="004A2666"/>
    <w:rsid w:val="004A281D"/>
    <w:rsid w:val="004A2B5D"/>
    <w:rsid w:val="004A2BC6"/>
    <w:rsid w:val="004A2F4D"/>
    <w:rsid w:val="004A3AB7"/>
    <w:rsid w:val="004A4302"/>
    <w:rsid w:val="004A45D1"/>
    <w:rsid w:val="004A60E7"/>
    <w:rsid w:val="004A62E4"/>
    <w:rsid w:val="004A6E28"/>
    <w:rsid w:val="004A7A3D"/>
    <w:rsid w:val="004A7CA2"/>
    <w:rsid w:val="004B14EE"/>
    <w:rsid w:val="004B154B"/>
    <w:rsid w:val="004B2522"/>
    <w:rsid w:val="004B25D4"/>
    <w:rsid w:val="004B2A09"/>
    <w:rsid w:val="004B2ADE"/>
    <w:rsid w:val="004B461B"/>
    <w:rsid w:val="004B5768"/>
    <w:rsid w:val="004B57E4"/>
    <w:rsid w:val="004B6180"/>
    <w:rsid w:val="004B6AD7"/>
    <w:rsid w:val="004B6E7F"/>
    <w:rsid w:val="004B7129"/>
    <w:rsid w:val="004B7178"/>
    <w:rsid w:val="004B7289"/>
    <w:rsid w:val="004B77AB"/>
    <w:rsid w:val="004C0951"/>
    <w:rsid w:val="004C1DB2"/>
    <w:rsid w:val="004C22AB"/>
    <w:rsid w:val="004C234F"/>
    <w:rsid w:val="004C291F"/>
    <w:rsid w:val="004C5704"/>
    <w:rsid w:val="004C611A"/>
    <w:rsid w:val="004C6409"/>
    <w:rsid w:val="004D039A"/>
    <w:rsid w:val="004D0D01"/>
    <w:rsid w:val="004D1E46"/>
    <w:rsid w:val="004D2AF5"/>
    <w:rsid w:val="004D3389"/>
    <w:rsid w:val="004D38B0"/>
    <w:rsid w:val="004D3BF5"/>
    <w:rsid w:val="004D5C51"/>
    <w:rsid w:val="004D71DC"/>
    <w:rsid w:val="004D769D"/>
    <w:rsid w:val="004D7977"/>
    <w:rsid w:val="004E1CBB"/>
    <w:rsid w:val="004E257C"/>
    <w:rsid w:val="004E3A31"/>
    <w:rsid w:val="004E3FA3"/>
    <w:rsid w:val="004E63A4"/>
    <w:rsid w:val="004E6750"/>
    <w:rsid w:val="004E7E88"/>
    <w:rsid w:val="004F1A68"/>
    <w:rsid w:val="004F1C60"/>
    <w:rsid w:val="004F1EF9"/>
    <w:rsid w:val="004F24D2"/>
    <w:rsid w:val="004F3824"/>
    <w:rsid w:val="004F5AE6"/>
    <w:rsid w:val="004F6126"/>
    <w:rsid w:val="004F7643"/>
    <w:rsid w:val="004F7885"/>
    <w:rsid w:val="004F78BD"/>
    <w:rsid w:val="004F7AAE"/>
    <w:rsid w:val="005010F7"/>
    <w:rsid w:val="005022A7"/>
    <w:rsid w:val="0050511A"/>
    <w:rsid w:val="0050521C"/>
    <w:rsid w:val="0050537C"/>
    <w:rsid w:val="00505541"/>
    <w:rsid w:val="0050565B"/>
    <w:rsid w:val="0050649E"/>
    <w:rsid w:val="00507D2E"/>
    <w:rsid w:val="0051157F"/>
    <w:rsid w:val="005125C9"/>
    <w:rsid w:val="005134A8"/>
    <w:rsid w:val="00513B6C"/>
    <w:rsid w:val="00514736"/>
    <w:rsid w:val="005147D3"/>
    <w:rsid w:val="00515DE3"/>
    <w:rsid w:val="00516675"/>
    <w:rsid w:val="00520F73"/>
    <w:rsid w:val="00521A9C"/>
    <w:rsid w:val="00521DD2"/>
    <w:rsid w:val="00522037"/>
    <w:rsid w:val="0052475D"/>
    <w:rsid w:val="005251C1"/>
    <w:rsid w:val="00525CEF"/>
    <w:rsid w:val="00526970"/>
    <w:rsid w:val="005270CF"/>
    <w:rsid w:val="00527472"/>
    <w:rsid w:val="00530068"/>
    <w:rsid w:val="00530351"/>
    <w:rsid w:val="00530368"/>
    <w:rsid w:val="00531673"/>
    <w:rsid w:val="00531B51"/>
    <w:rsid w:val="005335A4"/>
    <w:rsid w:val="00534C4F"/>
    <w:rsid w:val="005354A0"/>
    <w:rsid w:val="00535672"/>
    <w:rsid w:val="005359F7"/>
    <w:rsid w:val="00536B54"/>
    <w:rsid w:val="00536D08"/>
    <w:rsid w:val="00537447"/>
    <w:rsid w:val="00540823"/>
    <w:rsid w:val="00540952"/>
    <w:rsid w:val="00540B8F"/>
    <w:rsid w:val="00541BCC"/>
    <w:rsid w:val="00543771"/>
    <w:rsid w:val="00543D80"/>
    <w:rsid w:val="00544C47"/>
    <w:rsid w:val="00544C97"/>
    <w:rsid w:val="00545142"/>
    <w:rsid w:val="005455A6"/>
    <w:rsid w:val="00545F4E"/>
    <w:rsid w:val="00546B38"/>
    <w:rsid w:val="005507A3"/>
    <w:rsid w:val="005517F3"/>
    <w:rsid w:val="00554FDB"/>
    <w:rsid w:val="005552C0"/>
    <w:rsid w:val="0055649B"/>
    <w:rsid w:val="00556A91"/>
    <w:rsid w:val="0055723A"/>
    <w:rsid w:val="00557247"/>
    <w:rsid w:val="005578E8"/>
    <w:rsid w:val="00560834"/>
    <w:rsid w:val="00560B0F"/>
    <w:rsid w:val="00560D52"/>
    <w:rsid w:val="005619DA"/>
    <w:rsid w:val="005620BB"/>
    <w:rsid w:val="005624C9"/>
    <w:rsid w:val="00562DAF"/>
    <w:rsid w:val="005649A3"/>
    <w:rsid w:val="00565165"/>
    <w:rsid w:val="00565B3B"/>
    <w:rsid w:val="00566332"/>
    <w:rsid w:val="00566C34"/>
    <w:rsid w:val="005677B9"/>
    <w:rsid w:val="005703F5"/>
    <w:rsid w:val="0057049F"/>
    <w:rsid w:val="0057055F"/>
    <w:rsid w:val="005724C2"/>
    <w:rsid w:val="005726AF"/>
    <w:rsid w:val="005734C6"/>
    <w:rsid w:val="005734EF"/>
    <w:rsid w:val="00575DDC"/>
    <w:rsid w:val="00575F84"/>
    <w:rsid w:val="00576773"/>
    <w:rsid w:val="00576A0D"/>
    <w:rsid w:val="00576A49"/>
    <w:rsid w:val="00577C3D"/>
    <w:rsid w:val="00580002"/>
    <w:rsid w:val="00581018"/>
    <w:rsid w:val="00582299"/>
    <w:rsid w:val="00582568"/>
    <w:rsid w:val="00583551"/>
    <w:rsid w:val="005838FA"/>
    <w:rsid w:val="00583B8A"/>
    <w:rsid w:val="005845D7"/>
    <w:rsid w:val="00584BCC"/>
    <w:rsid w:val="00584D53"/>
    <w:rsid w:val="00585A75"/>
    <w:rsid w:val="00586ACE"/>
    <w:rsid w:val="005879FD"/>
    <w:rsid w:val="00587A42"/>
    <w:rsid w:val="00590F47"/>
    <w:rsid w:val="00593843"/>
    <w:rsid w:val="00596099"/>
    <w:rsid w:val="00596329"/>
    <w:rsid w:val="0059639B"/>
    <w:rsid w:val="00597B2B"/>
    <w:rsid w:val="005A0062"/>
    <w:rsid w:val="005A1690"/>
    <w:rsid w:val="005A1ACB"/>
    <w:rsid w:val="005A28F8"/>
    <w:rsid w:val="005A3768"/>
    <w:rsid w:val="005A3B65"/>
    <w:rsid w:val="005A447A"/>
    <w:rsid w:val="005A4ECF"/>
    <w:rsid w:val="005A5AC9"/>
    <w:rsid w:val="005A6DD5"/>
    <w:rsid w:val="005A6EA0"/>
    <w:rsid w:val="005A6F6E"/>
    <w:rsid w:val="005A78EE"/>
    <w:rsid w:val="005B0CC7"/>
    <w:rsid w:val="005B3738"/>
    <w:rsid w:val="005B3D64"/>
    <w:rsid w:val="005B5414"/>
    <w:rsid w:val="005B5867"/>
    <w:rsid w:val="005B5CCB"/>
    <w:rsid w:val="005B66E5"/>
    <w:rsid w:val="005B68E4"/>
    <w:rsid w:val="005B6BE7"/>
    <w:rsid w:val="005B7003"/>
    <w:rsid w:val="005C109C"/>
    <w:rsid w:val="005C153C"/>
    <w:rsid w:val="005C153F"/>
    <w:rsid w:val="005C2A52"/>
    <w:rsid w:val="005C48BB"/>
    <w:rsid w:val="005C5102"/>
    <w:rsid w:val="005C78F2"/>
    <w:rsid w:val="005C7C27"/>
    <w:rsid w:val="005D01A7"/>
    <w:rsid w:val="005D1348"/>
    <w:rsid w:val="005D1CDA"/>
    <w:rsid w:val="005D1DF3"/>
    <w:rsid w:val="005D224E"/>
    <w:rsid w:val="005D2919"/>
    <w:rsid w:val="005D2C98"/>
    <w:rsid w:val="005D31AE"/>
    <w:rsid w:val="005D67EF"/>
    <w:rsid w:val="005E0009"/>
    <w:rsid w:val="005E15D6"/>
    <w:rsid w:val="005E1B1C"/>
    <w:rsid w:val="005E44BE"/>
    <w:rsid w:val="005E7AE7"/>
    <w:rsid w:val="005E7F63"/>
    <w:rsid w:val="005F0814"/>
    <w:rsid w:val="005F0F87"/>
    <w:rsid w:val="005F1236"/>
    <w:rsid w:val="005F16F0"/>
    <w:rsid w:val="005F187A"/>
    <w:rsid w:val="005F2EF8"/>
    <w:rsid w:val="005F376B"/>
    <w:rsid w:val="005F4BCE"/>
    <w:rsid w:val="005F51A0"/>
    <w:rsid w:val="005F561A"/>
    <w:rsid w:val="005F59AB"/>
    <w:rsid w:val="005F5D8B"/>
    <w:rsid w:val="005F5E88"/>
    <w:rsid w:val="00601BE2"/>
    <w:rsid w:val="006022BA"/>
    <w:rsid w:val="00603A59"/>
    <w:rsid w:val="00603EA3"/>
    <w:rsid w:val="006047C1"/>
    <w:rsid w:val="00605C61"/>
    <w:rsid w:val="006060FC"/>
    <w:rsid w:val="006061A4"/>
    <w:rsid w:val="00606685"/>
    <w:rsid w:val="00606962"/>
    <w:rsid w:val="006070BF"/>
    <w:rsid w:val="006076D6"/>
    <w:rsid w:val="00611226"/>
    <w:rsid w:val="0061251C"/>
    <w:rsid w:val="006128D7"/>
    <w:rsid w:val="00612FC3"/>
    <w:rsid w:val="006130FF"/>
    <w:rsid w:val="00613EEC"/>
    <w:rsid w:val="0061405D"/>
    <w:rsid w:val="0061451E"/>
    <w:rsid w:val="0061482B"/>
    <w:rsid w:val="00614833"/>
    <w:rsid w:val="00614F2F"/>
    <w:rsid w:val="006153CB"/>
    <w:rsid w:val="00615560"/>
    <w:rsid w:val="006159D2"/>
    <w:rsid w:val="00615B10"/>
    <w:rsid w:val="006162E5"/>
    <w:rsid w:val="00616805"/>
    <w:rsid w:val="006171A3"/>
    <w:rsid w:val="00620FAB"/>
    <w:rsid w:val="0062141D"/>
    <w:rsid w:val="006215F3"/>
    <w:rsid w:val="0062171A"/>
    <w:rsid w:val="00621E88"/>
    <w:rsid w:val="00622A33"/>
    <w:rsid w:val="006246DB"/>
    <w:rsid w:val="00624D2A"/>
    <w:rsid w:val="006252F9"/>
    <w:rsid w:val="006269A4"/>
    <w:rsid w:val="006275D7"/>
    <w:rsid w:val="00627C82"/>
    <w:rsid w:val="006302F6"/>
    <w:rsid w:val="00630548"/>
    <w:rsid w:val="00630E7F"/>
    <w:rsid w:val="00631E74"/>
    <w:rsid w:val="00634135"/>
    <w:rsid w:val="00634AC3"/>
    <w:rsid w:val="00634F82"/>
    <w:rsid w:val="006350D3"/>
    <w:rsid w:val="00635B5B"/>
    <w:rsid w:val="00635D55"/>
    <w:rsid w:val="00636295"/>
    <w:rsid w:val="006372F6"/>
    <w:rsid w:val="00640E1F"/>
    <w:rsid w:val="00643273"/>
    <w:rsid w:val="00643AB6"/>
    <w:rsid w:val="00643B54"/>
    <w:rsid w:val="006455BC"/>
    <w:rsid w:val="0064578F"/>
    <w:rsid w:val="006464CA"/>
    <w:rsid w:val="00647373"/>
    <w:rsid w:val="00650B84"/>
    <w:rsid w:val="00650E5B"/>
    <w:rsid w:val="00652137"/>
    <w:rsid w:val="00653598"/>
    <w:rsid w:val="00653D79"/>
    <w:rsid w:val="0065476D"/>
    <w:rsid w:val="00654B40"/>
    <w:rsid w:val="00654D99"/>
    <w:rsid w:val="00655734"/>
    <w:rsid w:val="00656D61"/>
    <w:rsid w:val="00657650"/>
    <w:rsid w:val="006607F6"/>
    <w:rsid w:val="00662151"/>
    <w:rsid w:val="00663B78"/>
    <w:rsid w:val="006641C7"/>
    <w:rsid w:val="00664576"/>
    <w:rsid w:val="00664739"/>
    <w:rsid w:val="00664B1B"/>
    <w:rsid w:val="00664C96"/>
    <w:rsid w:val="00665044"/>
    <w:rsid w:val="00670106"/>
    <w:rsid w:val="00671042"/>
    <w:rsid w:val="00671A18"/>
    <w:rsid w:val="006730E9"/>
    <w:rsid w:val="00673530"/>
    <w:rsid w:val="0067471B"/>
    <w:rsid w:val="006760FD"/>
    <w:rsid w:val="00676D10"/>
    <w:rsid w:val="006773F5"/>
    <w:rsid w:val="00677920"/>
    <w:rsid w:val="006807E7"/>
    <w:rsid w:val="00680845"/>
    <w:rsid w:val="00681117"/>
    <w:rsid w:val="006815FB"/>
    <w:rsid w:val="006821DB"/>
    <w:rsid w:val="00682525"/>
    <w:rsid w:val="00683EBF"/>
    <w:rsid w:val="00683FEF"/>
    <w:rsid w:val="00684002"/>
    <w:rsid w:val="00685389"/>
    <w:rsid w:val="00686A6C"/>
    <w:rsid w:val="00687025"/>
    <w:rsid w:val="006873B8"/>
    <w:rsid w:val="00687B90"/>
    <w:rsid w:val="0069096E"/>
    <w:rsid w:val="00691620"/>
    <w:rsid w:val="00691A2E"/>
    <w:rsid w:val="00691D88"/>
    <w:rsid w:val="006923B9"/>
    <w:rsid w:val="00693201"/>
    <w:rsid w:val="0069341E"/>
    <w:rsid w:val="00693909"/>
    <w:rsid w:val="0069482F"/>
    <w:rsid w:val="006948B4"/>
    <w:rsid w:val="00695751"/>
    <w:rsid w:val="00695BAE"/>
    <w:rsid w:val="00695FD3"/>
    <w:rsid w:val="006964BD"/>
    <w:rsid w:val="006966C0"/>
    <w:rsid w:val="00696DD0"/>
    <w:rsid w:val="0069730A"/>
    <w:rsid w:val="006A08C4"/>
    <w:rsid w:val="006A193E"/>
    <w:rsid w:val="006A1A88"/>
    <w:rsid w:val="006A3800"/>
    <w:rsid w:val="006A4060"/>
    <w:rsid w:val="006A558D"/>
    <w:rsid w:val="006B0B0E"/>
    <w:rsid w:val="006B12AE"/>
    <w:rsid w:val="006B15D9"/>
    <w:rsid w:val="006B267F"/>
    <w:rsid w:val="006B2743"/>
    <w:rsid w:val="006B6A15"/>
    <w:rsid w:val="006B729A"/>
    <w:rsid w:val="006B7744"/>
    <w:rsid w:val="006B7C21"/>
    <w:rsid w:val="006B7DDA"/>
    <w:rsid w:val="006C1660"/>
    <w:rsid w:val="006C18CB"/>
    <w:rsid w:val="006C2447"/>
    <w:rsid w:val="006C26B2"/>
    <w:rsid w:val="006C28FE"/>
    <w:rsid w:val="006C45C9"/>
    <w:rsid w:val="006C4EB2"/>
    <w:rsid w:val="006C5398"/>
    <w:rsid w:val="006C719B"/>
    <w:rsid w:val="006C7F42"/>
    <w:rsid w:val="006D0497"/>
    <w:rsid w:val="006D1D06"/>
    <w:rsid w:val="006D28F2"/>
    <w:rsid w:val="006D3D1F"/>
    <w:rsid w:val="006D6333"/>
    <w:rsid w:val="006D6C5C"/>
    <w:rsid w:val="006E0676"/>
    <w:rsid w:val="006E0E11"/>
    <w:rsid w:val="006E2151"/>
    <w:rsid w:val="006E2304"/>
    <w:rsid w:val="006E2520"/>
    <w:rsid w:val="006E2A95"/>
    <w:rsid w:val="006E2B6E"/>
    <w:rsid w:val="006E2DBD"/>
    <w:rsid w:val="006E57A8"/>
    <w:rsid w:val="006E5B21"/>
    <w:rsid w:val="006E6C64"/>
    <w:rsid w:val="006E7550"/>
    <w:rsid w:val="006E7F1E"/>
    <w:rsid w:val="006F0E4F"/>
    <w:rsid w:val="006F5239"/>
    <w:rsid w:val="006F59A0"/>
    <w:rsid w:val="006F59A5"/>
    <w:rsid w:val="006F7264"/>
    <w:rsid w:val="006F77C7"/>
    <w:rsid w:val="007003F9"/>
    <w:rsid w:val="00702635"/>
    <w:rsid w:val="00703974"/>
    <w:rsid w:val="00707327"/>
    <w:rsid w:val="00707B5A"/>
    <w:rsid w:val="00711879"/>
    <w:rsid w:val="007125E9"/>
    <w:rsid w:val="007127D3"/>
    <w:rsid w:val="00713E35"/>
    <w:rsid w:val="007143AB"/>
    <w:rsid w:val="007143BD"/>
    <w:rsid w:val="0071466D"/>
    <w:rsid w:val="007161F3"/>
    <w:rsid w:val="007162E7"/>
    <w:rsid w:val="0071655B"/>
    <w:rsid w:val="007166B6"/>
    <w:rsid w:val="00716DCE"/>
    <w:rsid w:val="00717339"/>
    <w:rsid w:val="0071794C"/>
    <w:rsid w:val="00722B22"/>
    <w:rsid w:val="00723BEA"/>
    <w:rsid w:val="00724A9B"/>
    <w:rsid w:val="00724F59"/>
    <w:rsid w:val="00725144"/>
    <w:rsid w:val="00725F2C"/>
    <w:rsid w:val="00726A9E"/>
    <w:rsid w:val="00730485"/>
    <w:rsid w:val="00730AA1"/>
    <w:rsid w:val="0073172C"/>
    <w:rsid w:val="0073196B"/>
    <w:rsid w:val="00731AD7"/>
    <w:rsid w:val="00732297"/>
    <w:rsid w:val="007324D8"/>
    <w:rsid w:val="00732654"/>
    <w:rsid w:val="00732FBC"/>
    <w:rsid w:val="0073482F"/>
    <w:rsid w:val="007349AC"/>
    <w:rsid w:val="00734F44"/>
    <w:rsid w:val="00735D2D"/>
    <w:rsid w:val="00740CC0"/>
    <w:rsid w:val="00741AF6"/>
    <w:rsid w:val="00742F23"/>
    <w:rsid w:val="00743758"/>
    <w:rsid w:val="0074468E"/>
    <w:rsid w:val="0074510D"/>
    <w:rsid w:val="00745FAD"/>
    <w:rsid w:val="00746E88"/>
    <w:rsid w:val="00750995"/>
    <w:rsid w:val="007559ED"/>
    <w:rsid w:val="00755DA0"/>
    <w:rsid w:val="007574A8"/>
    <w:rsid w:val="00757764"/>
    <w:rsid w:val="00760625"/>
    <w:rsid w:val="007607B4"/>
    <w:rsid w:val="00760E56"/>
    <w:rsid w:val="00761597"/>
    <w:rsid w:val="00761608"/>
    <w:rsid w:val="00763004"/>
    <w:rsid w:val="00763234"/>
    <w:rsid w:val="00764D92"/>
    <w:rsid w:val="00764E1F"/>
    <w:rsid w:val="00767B45"/>
    <w:rsid w:val="00770769"/>
    <w:rsid w:val="007711CB"/>
    <w:rsid w:val="00771943"/>
    <w:rsid w:val="00771D33"/>
    <w:rsid w:val="007735BF"/>
    <w:rsid w:val="00773A74"/>
    <w:rsid w:val="00776235"/>
    <w:rsid w:val="0077680C"/>
    <w:rsid w:val="00777D64"/>
    <w:rsid w:val="007800F2"/>
    <w:rsid w:val="00781CF5"/>
    <w:rsid w:val="007825DA"/>
    <w:rsid w:val="00785EB5"/>
    <w:rsid w:val="0078645B"/>
    <w:rsid w:val="0078666C"/>
    <w:rsid w:val="00787660"/>
    <w:rsid w:val="00787F3D"/>
    <w:rsid w:val="00787FDF"/>
    <w:rsid w:val="00790A17"/>
    <w:rsid w:val="0079155F"/>
    <w:rsid w:val="00793B32"/>
    <w:rsid w:val="00794543"/>
    <w:rsid w:val="00795371"/>
    <w:rsid w:val="00796CF3"/>
    <w:rsid w:val="00796D11"/>
    <w:rsid w:val="00796D67"/>
    <w:rsid w:val="00797334"/>
    <w:rsid w:val="00797D62"/>
    <w:rsid w:val="007A0C49"/>
    <w:rsid w:val="007A1FDE"/>
    <w:rsid w:val="007A601C"/>
    <w:rsid w:val="007A61EA"/>
    <w:rsid w:val="007A7455"/>
    <w:rsid w:val="007A7F5C"/>
    <w:rsid w:val="007B0668"/>
    <w:rsid w:val="007B1A44"/>
    <w:rsid w:val="007B2D2A"/>
    <w:rsid w:val="007B4BBE"/>
    <w:rsid w:val="007B5052"/>
    <w:rsid w:val="007B5319"/>
    <w:rsid w:val="007B542E"/>
    <w:rsid w:val="007B54BC"/>
    <w:rsid w:val="007B54D2"/>
    <w:rsid w:val="007B6D19"/>
    <w:rsid w:val="007B74D4"/>
    <w:rsid w:val="007B776F"/>
    <w:rsid w:val="007C01B6"/>
    <w:rsid w:val="007C0A52"/>
    <w:rsid w:val="007C0B91"/>
    <w:rsid w:val="007C120E"/>
    <w:rsid w:val="007C1F72"/>
    <w:rsid w:val="007C24D8"/>
    <w:rsid w:val="007C3007"/>
    <w:rsid w:val="007C33CA"/>
    <w:rsid w:val="007C462F"/>
    <w:rsid w:val="007C4A55"/>
    <w:rsid w:val="007C6732"/>
    <w:rsid w:val="007C77F4"/>
    <w:rsid w:val="007D0E41"/>
    <w:rsid w:val="007D296C"/>
    <w:rsid w:val="007D2E3A"/>
    <w:rsid w:val="007D3E14"/>
    <w:rsid w:val="007D6619"/>
    <w:rsid w:val="007D7485"/>
    <w:rsid w:val="007E22E9"/>
    <w:rsid w:val="007E3022"/>
    <w:rsid w:val="007E3553"/>
    <w:rsid w:val="007E3C01"/>
    <w:rsid w:val="007E5147"/>
    <w:rsid w:val="007E5E4C"/>
    <w:rsid w:val="007E60CE"/>
    <w:rsid w:val="007E676B"/>
    <w:rsid w:val="007E685A"/>
    <w:rsid w:val="007E6FD5"/>
    <w:rsid w:val="007F080E"/>
    <w:rsid w:val="007F1963"/>
    <w:rsid w:val="007F1CA8"/>
    <w:rsid w:val="007F342A"/>
    <w:rsid w:val="007F3A8C"/>
    <w:rsid w:val="007F4069"/>
    <w:rsid w:val="007F5412"/>
    <w:rsid w:val="007F5FF4"/>
    <w:rsid w:val="007F67AD"/>
    <w:rsid w:val="007F734B"/>
    <w:rsid w:val="00801A65"/>
    <w:rsid w:val="00801AA6"/>
    <w:rsid w:val="00802480"/>
    <w:rsid w:val="00803A40"/>
    <w:rsid w:val="00804710"/>
    <w:rsid w:val="00805BF2"/>
    <w:rsid w:val="00805CF8"/>
    <w:rsid w:val="008069C3"/>
    <w:rsid w:val="00806C22"/>
    <w:rsid w:val="00806C8C"/>
    <w:rsid w:val="00806DEA"/>
    <w:rsid w:val="008075CB"/>
    <w:rsid w:val="00807C81"/>
    <w:rsid w:val="00807D1E"/>
    <w:rsid w:val="008109A4"/>
    <w:rsid w:val="00810F0A"/>
    <w:rsid w:val="00811888"/>
    <w:rsid w:val="0081192D"/>
    <w:rsid w:val="00813A39"/>
    <w:rsid w:val="00813D38"/>
    <w:rsid w:val="00813E5E"/>
    <w:rsid w:val="0081522D"/>
    <w:rsid w:val="008216E8"/>
    <w:rsid w:val="0082257C"/>
    <w:rsid w:val="008236FB"/>
    <w:rsid w:val="00823AD2"/>
    <w:rsid w:val="00825E5B"/>
    <w:rsid w:val="008273B5"/>
    <w:rsid w:val="00827EFA"/>
    <w:rsid w:val="00831B2D"/>
    <w:rsid w:val="00831E4C"/>
    <w:rsid w:val="00832D7D"/>
    <w:rsid w:val="00833EC3"/>
    <w:rsid w:val="008349BC"/>
    <w:rsid w:val="00834C3A"/>
    <w:rsid w:val="00834CF0"/>
    <w:rsid w:val="00834DCB"/>
    <w:rsid w:val="008350E0"/>
    <w:rsid w:val="00835870"/>
    <w:rsid w:val="00835AE2"/>
    <w:rsid w:val="008363A2"/>
    <w:rsid w:val="00837035"/>
    <w:rsid w:val="008379E3"/>
    <w:rsid w:val="00842223"/>
    <w:rsid w:val="008462B2"/>
    <w:rsid w:val="0084646F"/>
    <w:rsid w:val="00847912"/>
    <w:rsid w:val="0085037B"/>
    <w:rsid w:val="008514DC"/>
    <w:rsid w:val="00851501"/>
    <w:rsid w:val="0085297D"/>
    <w:rsid w:val="00852B38"/>
    <w:rsid w:val="00854657"/>
    <w:rsid w:val="00854C69"/>
    <w:rsid w:val="00856CC6"/>
    <w:rsid w:val="008604C3"/>
    <w:rsid w:val="008612B7"/>
    <w:rsid w:val="00862A7A"/>
    <w:rsid w:val="0086325E"/>
    <w:rsid w:val="008636F9"/>
    <w:rsid w:val="008645FB"/>
    <w:rsid w:val="0086651A"/>
    <w:rsid w:val="00866868"/>
    <w:rsid w:val="0086689A"/>
    <w:rsid w:val="008675D3"/>
    <w:rsid w:val="00867A9B"/>
    <w:rsid w:val="0087095C"/>
    <w:rsid w:val="00870EEC"/>
    <w:rsid w:val="008724E8"/>
    <w:rsid w:val="00872B6E"/>
    <w:rsid w:val="0087316A"/>
    <w:rsid w:val="00873FAE"/>
    <w:rsid w:val="00877ABE"/>
    <w:rsid w:val="00880CD1"/>
    <w:rsid w:val="00882103"/>
    <w:rsid w:val="008829AD"/>
    <w:rsid w:val="00882CD1"/>
    <w:rsid w:val="00883362"/>
    <w:rsid w:val="008838C6"/>
    <w:rsid w:val="00883EF4"/>
    <w:rsid w:val="00884587"/>
    <w:rsid w:val="00884BC2"/>
    <w:rsid w:val="00886B4F"/>
    <w:rsid w:val="008905B2"/>
    <w:rsid w:val="008913C5"/>
    <w:rsid w:val="0089167D"/>
    <w:rsid w:val="00891931"/>
    <w:rsid w:val="0089418F"/>
    <w:rsid w:val="00895214"/>
    <w:rsid w:val="00896130"/>
    <w:rsid w:val="00896250"/>
    <w:rsid w:val="00897D66"/>
    <w:rsid w:val="008A0163"/>
    <w:rsid w:val="008A071E"/>
    <w:rsid w:val="008A0DFD"/>
    <w:rsid w:val="008A1E82"/>
    <w:rsid w:val="008A21BD"/>
    <w:rsid w:val="008A2FDA"/>
    <w:rsid w:val="008A327A"/>
    <w:rsid w:val="008A3BC5"/>
    <w:rsid w:val="008A48F0"/>
    <w:rsid w:val="008A542D"/>
    <w:rsid w:val="008A5AA7"/>
    <w:rsid w:val="008A721F"/>
    <w:rsid w:val="008B1501"/>
    <w:rsid w:val="008B1993"/>
    <w:rsid w:val="008B2C31"/>
    <w:rsid w:val="008B3BAB"/>
    <w:rsid w:val="008B3DC3"/>
    <w:rsid w:val="008B437C"/>
    <w:rsid w:val="008B56E1"/>
    <w:rsid w:val="008B5B9A"/>
    <w:rsid w:val="008B7DF7"/>
    <w:rsid w:val="008C14E2"/>
    <w:rsid w:val="008C193E"/>
    <w:rsid w:val="008C1E6F"/>
    <w:rsid w:val="008C292F"/>
    <w:rsid w:val="008C3B41"/>
    <w:rsid w:val="008C4AD6"/>
    <w:rsid w:val="008C6011"/>
    <w:rsid w:val="008C61F7"/>
    <w:rsid w:val="008C6B3D"/>
    <w:rsid w:val="008C7197"/>
    <w:rsid w:val="008D37C4"/>
    <w:rsid w:val="008D3B2B"/>
    <w:rsid w:val="008D463B"/>
    <w:rsid w:val="008D4FFA"/>
    <w:rsid w:val="008D56A8"/>
    <w:rsid w:val="008D611B"/>
    <w:rsid w:val="008D6A8F"/>
    <w:rsid w:val="008D6D8D"/>
    <w:rsid w:val="008D7747"/>
    <w:rsid w:val="008D7A84"/>
    <w:rsid w:val="008E00A5"/>
    <w:rsid w:val="008E1592"/>
    <w:rsid w:val="008E198A"/>
    <w:rsid w:val="008E326F"/>
    <w:rsid w:val="008E35F5"/>
    <w:rsid w:val="008E3CFE"/>
    <w:rsid w:val="008E3E39"/>
    <w:rsid w:val="008E3FA3"/>
    <w:rsid w:val="008E5FCC"/>
    <w:rsid w:val="008E611C"/>
    <w:rsid w:val="008E7700"/>
    <w:rsid w:val="008F1219"/>
    <w:rsid w:val="008F1F4E"/>
    <w:rsid w:val="008F3420"/>
    <w:rsid w:val="008F368C"/>
    <w:rsid w:val="008F4123"/>
    <w:rsid w:val="008F45FD"/>
    <w:rsid w:val="008F477C"/>
    <w:rsid w:val="008F4C45"/>
    <w:rsid w:val="008F6313"/>
    <w:rsid w:val="008F674B"/>
    <w:rsid w:val="00900626"/>
    <w:rsid w:val="009017EE"/>
    <w:rsid w:val="009019F6"/>
    <w:rsid w:val="00901D98"/>
    <w:rsid w:val="00902B0E"/>
    <w:rsid w:val="00903A4F"/>
    <w:rsid w:val="00907613"/>
    <w:rsid w:val="00907A28"/>
    <w:rsid w:val="009133C4"/>
    <w:rsid w:val="00913FB0"/>
    <w:rsid w:val="009150E8"/>
    <w:rsid w:val="009153D1"/>
    <w:rsid w:val="009158CA"/>
    <w:rsid w:val="00916EEE"/>
    <w:rsid w:val="00917BBB"/>
    <w:rsid w:val="00920A02"/>
    <w:rsid w:val="009227B7"/>
    <w:rsid w:val="00922B48"/>
    <w:rsid w:val="00922D79"/>
    <w:rsid w:val="00924937"/>
    <w:rsid w:val="00924B3F"/>
    <w:rsid w:val="00924D19"/>
    <w:rsid w:val="00925501"/>
    <w:rsid w:val="00926109"/>
    <w:rsid w:val="00927779"/>
    <w:rsid w:val="00927AC9"/>
    <w:rsid w:val="009300AF"/>
    <w:rsid w:val="00930488"/>
    <w:rsid w:val="009321C9"/>
    <w:rsid w:val="009326A1"/>
    <w:rsid w:val="00932F25"/>
    <w:rsid w:val="009336F8"/>
    <w:rsid w:val="009353DF"/>
    <w:rsid w:val="00936578"/>
    <w:rsid w:val="0093699D"/>
    <w:rsid w:val="009400AE"/>
    <w:rsid w:val="00941600"/>
    <w:rsid w:val="00941FAB"/>
    <w:rsid w:val="00943C8F"/>
    <w:rsid w:val="00944C0F"/>
    <w:rsid w:val="00945385"/>
    <w:rsid w:val="00945A3D"/>
    <w:rsid w:val="00946477"/>
    <w:rsid w:val="0094658C"/>
    <w:rsid w:val="009470F4"/>
    <w:rsid w:val="0094730D"/>
    <w:rsid w:val="00947D95"/>
    <w:rsid w:val="00950FEA"/>
    <w:rsid w:val="0095132E"/>
    <w:rsid w:val="00951D22"/>
    <w:rsid w:val="00952BDE"/>
    <w:rsid w:val="00952F52"/>
    <w:rsid w:val="00953014"/>
    <w:rsid w:val="00953C6D"/>
    <w:rsid w:val="00954058"/>
    <w:rsid w:val="00954C0C"/>
    <w:rsid w:val="00956159"/>
    <w:rsid w:val="00956EEE"/>
    <w:rsid w:val="0096128E"/>
    <w:rsid w:val="00962443"/>
    <w:rsid w:val="00962F2A"/>
    <w:rsid w:val="00963D0F"/>
    <w:rsid w:val="00965C06"/>
    <w:rsid w:val="009675E1"/>
    <w:rsid w:val="009676A4"/>
    <w:rsid w:val="009737C1"/>
    <w:rsid w:val="00973B68"/>
    <w:rsid w:val="009744D4"/>
    <w:rsid w:val="0097459C"/>
    <w:rsid w:val="00974A6C"/>
    <w:rsid w:val="0097650F"/>
    <w:rsid w:val="0097788C"/>
    <w:rsid w:val="00980076"/>
    <w:rsid w:val="00983EB3"/>
    <w:rsid w:val="00985D1C"/>
    <w:rsid w:val="0098690F"/>
    <w:rsid w:val="00986E6A"/>
    <w:rsid w:val="0098741C"/>
    <w:rsid w:val="0099123D"/>
    <w:rsid w:val="009915D7"/>
    <w:rsid w:val="00992AD1"/>
    <w:rsid w:val="0099429B"/>
    <w:rsid w:val="00994E3B"/>
    <w:rsid w:val="009956D4"/>
    <w:rsid w:val="00995F3B"/>
    <w:rsid w:val="00996972"/>
    <w:rsid w:val="009A05E9"/>
    <w:rsid w:val="009A2213"/>
    <w:rsid w:val="009A39E1"/>
    <w:rsid w:val="009A3C8A"/>
    <w:rsid w:val="009A3E22"/>
    <w:rsid w:val="009A42D2"/>
    <w:rsid w:val="009A5E1D"/>
    <w:rsid w:val="009A6807"/>
    <w:rsid w:val="009A6A78"/>
    <w:rsid w:val="009B06DF"/>
    <w:rsid w:val="009B0D42"/>
    <w:rsid w:val="009B1131"/>
    <w:rsid w:val="009B18DE"/>
    <w:rsid w:val="009B1B04"/>
    <w:rsid w:val="009B2DF1"/>
    <w:rsid w:val="009B5AFE"/>
    <w:rsid w:val="009B6E22"/>
    <w:rsid w:val="009B7E28"/>
    <w:rsid w:val="009C02B0"/>
    <w:rsid w:val="009C0FCF"/>
    <w:rsid w:val="009C1127"/>
    <w:rsid w:val="009C1354"/>
    <w:rsid w:val="009C160E"/>
    <w:rsid w:val="009C31EB"/>
    <w:rsid w:val="009C4676"/>
    <w:rsid w:val="009C49AB"/>
    <w:rsid w:val="009C4BC8"/>
    <w:rsid w:val="009C5EDA"/>
    <w:rsid w:val="009D0CD6"/>
    <w:rsid w:val="009D1436"/>
    <w:rsid w:val="009D187A"/>
    <w:rsid w:val="009D1B99"/>
    <w:rsid w:val="009D383F"/>
    <w:rsid w:val="009D3AE0"/>
    <w:rsid w:val="009D4439"/>
    <w:rsid w:val="009D6E0C"/>
    <w:rsid w:val="009D7565"/>
    <w:rsid w:val="009D7707"/>
    <w:rsid w:val="009E36EA"/>
    <w:rsid w:val="009E3E30"/>
    <w:rsid w:val="009E4091"/>
    <w:rsid w:val="009E4556"/>
    <w:rsid w:val="009E53BD"/>
    <w:rsid w:val="009E55E7"/>
    <w:rsid w:val="009E5B76"/>
    <w:rsid w:val="009E5FD6"/>
    <w:rsid w:val="009E67DB"/>
    <w:rsid w:val="009E72C2"/>
    <w:rsid w:val="009F152A"/>
    <w:rsid w:val="009F17E2"/>
    <w:rsid w:val="009F19CD"/>
    <w:rsid w:val="009F26DD"/>
    <w:rsid w:val="009F4626"/>
    <w:rsid w:val="009F47FF"/>
    <w:rsid w:val="009F4A7F"/>
    <w:rsid w:val="009F5783"/>
    <w:rsid w:val="009F7F70"/>
    <w:rsid w:val="00A0020F"/>
    <w:rsid w:val="00A00646"/>
    <w:rsid w:val="00A02654"/>
    <w:rsid w:val="00A02AFB"/>
    <w:rsid w:val="00A065B3"/>
    <w:rsid w:val="00A07341"/>
    <w:rsid w:val="00A11FA4"/>
    <w:rsid w:val="00A120F7"/>
    <w:rsid w:val="00A13CE6"/>
    <w:rsid w:val="00A15EC3"/>
    <w:rsid w:val="00A16B70"/>
    <w:rsid w:val="00A16EBE"/>
    <w:rsid w:val="00A17A7C"/>
    <w:rsid w:val="00A17AEA"/>
    <w:rsid w:val="00A22C02"/>
    <w:rsid w:val="00A22F55"/>
    <w:rsid w:val="00A23075"/>
    <w:rsid w:val="00A23909"/>
    <w:rsid w:val="00A244CC"/>
    <w:rsid w:val="00A25047"/>
    <w:rsid w:val="00A2530D"/>
    <w:rsid w:val="00A26BA7"/>
    <w:rsid w:val="00A26D3F"/>
    <w:rsid w:val="00A27331"/>
    <w:rsid w:val="00A27E64"/>
    <w:rsid w:val="00A30342"/>
    <w:rsid w:val="00A30746"/>
    <w:rsid w:val="00A3127E"/>
    <w:rsid w:val="00A31B3B"/>
    <w:rsid w:val="00A3361B"/>
    <w:rsid w:val="00A3510B"/>
    <w:rsid w:val="00A35BCD"/>
    <w:rsid w:val="00A363F3"/>
    <w:rsid w:val="00A36A08"/>
    <w:rsid w:val="00A3767E"/>
    <w:rsid w:val="00A37A24"/>
    <w:rsid w:val="00A37D54"/>
    <w:rsid w:val="00A43A96"/>
    <w:rsid w:val="00A43EFC"/>
    <w:rsid w:val="00A45F5E"/>
    <w:rsid w:val="00A4725A"/>
    <w:rsid w:val="00A47E4A"/>
    <w:rsid w:val="00A50470"/>
    <w:rsid w:val="00A509CC"/>
    <w:rsid w:val="00A51D3B"/>
    <w:rsid w:val="00A520A8"/>
    <w:rsid w:val="00A52FBE"/>
    <w:rsid w:val="00A536B9"/>
    <w:rsid w:val="00A54094"/>
    <w:rsid w:val="00A54893"/>
    <w:rsid w:val="00A567AC"/>
    <w:rsid w:val="00A574F2"/>
    <w:rsid w:val="00A5758E"/>
    <w:rsid w:val="00A60830"/>
    <w:rsid w:val="00A60B41"/>
    <w:rsid w:val="00A615A0"/>
    <w:rsid w:val="00A6232A"/>
    <w:rsid w:val="00A62CD8"/>
    <w:rsid w:val="00A636B3"/>
    <w:rsid w:val="00A63FC5"/>
    <w:rsid w:val="00A64137"/>
    <w:rsid w:val="00A64C55"/>
    <w:rsid w:val="00A65A48"/>
    <w:rsid w:val="00A65E06"/>
    <w:rsid w:val="00A664AB"/>
    <w:rsid w:val="00A667D2"/>
    <w:rsid w:val="00A70097"/>
    <w:rsid w:val="00A7012C"/>
    <w:rsid w:val="00A7049B"/>
    <w:rsid w:val="00A704ED"/>
    <w:rsid w:val="00A71474"/>
    <w:rsid w:val="00A71A31"/>
    <w:rsid w:val="00A71D0C"/>
    <w:rsid w:val="00A72167"/>
    <w:rsid w:val="00A72CAE"/>
    <w:rsid w:val="00A72D5B"/>
    <w:rsid w:val="00A74E0B"/>
    <w:rsid w:val="00A74E16"/>
    <w:rsid w:val="00A74E93"/>
    <w:rsid w:val="00A76CBC"/>
    <w:rsid w:val="00A80E9A"/>
    <w:rsid w:val="00A81339"/>
    <w:rsid w:val="00A831D6"/>
    <w:rsid w:val="00A833DB"/>
    <w:rsid w:val="00A83430"/>
    <w:rsid w:val="00A83A1B"/>
    <w:rsid w:val="00A865C3"/>
    <w:rsid w:val="00A86B22"/>
    <w:rsid w:val="00A903B7"/>
    <w:rsid w:val="00A908BC"/>
    <w:rsid w:val="00A90A3B"/>
    <w:rsid w:val="00A91D39"/>
    <w:rsid w:val="00A92488"/>
    <w:rsid w:val="00A926FF"/>
    <w:rsid w:val="00A930F5"/>
    <w:rsid w:val="00A93A16"/>
    <w:rsid w:val="00A942D2"/>
    <w:rsid w:val="00A95A2A"/>
    <w:rsid w:val="00A95B7A"/>
    <w:rsid w:val="00A95EF4"/>
    <w:rsid w:val="00A96459"/>
    <w:rsid w:val="00A96989"/>
    <w:rsid w:val="00A97F47"/>
    <w:rsid w:val="00AA0B7F"/>
    <w:rsid w:val="00AA157D"/>
    <w:rsid w:val="00AA23AC"/>
    <w:rsid w:val="00AA2AD1"/>
    <w:rsid w:val="00AA6D6C"/>
    <w:rsid w:val="00AB0740"/>
    <w:rsid w:val="00AB0D70"/>
    <w:rsid w:val="00AB17D3"/>
    <w:rsid w:val="00AB1EED"/>
    <w:rsid w:val="00AB215B"/>
    <w:rsid w:val="00AB488B"/>
    <w:rsid w:val="00AB4E46"/>
    <w:rsid w:val="00AB5471"/>
    <w:rsid w:val="00AB5E7C"/>
    <w:rsid w:val="00AB65A6"/>
    <w:rsid w:val="00AB67A5"/>
    <w:rsid w:val="00AB74E6"/>
    <w:rsid w:val="00AC0165"/>
    <w:rsid w:val="00AC0A50"/>
    <w:rsid w:val="00AC1A4B"/>
    <w:rsid w:val="00AC1A97"/>
    <w:rsid w:val="00AC3719"/>
    <w:rsid w:val="00AC5DB8"/>
    <w:rsid w:val="00AC5F70"/>
    <w:rsid w:val="00AC5FED"/>
    <w:rsid w:val="00AC7DA6"/>
    <w:rsid w:val="00AC7F14"/>
    <w:rsid w:val="00AD0200"/>
    <w:rsid w:val="00AD0203"/>
    <w:rsid w:val="00AD1037"/>
    <w:rsid w:val="00AD192D"/>
    <w:rsid w:val="00AD3B42"/>
    <w:rsid w:val="00AD4623"/>
    <w:rsid w:val="00AD5A3C"/>
    <w:rsid w:val="00AD60D6"/>
    <w:rsid w:val="00AD6B87"/>
    <w:rsid w:val="00AD740A"/>
    <w:rsid w:val="00AD780B"/>
    <w:rsid w:val="00AE043D"/>
    <w:rsid w:val="00AE076A"/>
    <w:rsid w:val="00AE1026"/>
    <w:rsid w:val="00AE2D53"/>
    <w:rsid w:val="00AE2FD6"/>
    <w:rsid w:val="00AE3C7A"/>
    <w:rsid w:val="00AE48E9"/>
    <w:rsid w:val="00AE4FE8"/>
    <w:rsid w:val="00AE5BFE"/>
    <w:rsid w:val="00AE5D1A"/>
    <w:rsid w:val="00AE5E0F"/>
    <w:rsid w:val="00AE67FB"/>
    <w:rsid w:val="00AF105D"/>
    <w:rsid w:val="00AF1564"/>
    <w:rsid w:val="00AF225A"/>
    <w:rsid w:val="00AF349F"/>
    <w:rsid w:val="00AF4D6E"/>
    <w:rsid w:val="00AF5685"/>
    <w:rsid w:val="00AF5955"/>
    <w:rsid w:val="00AF7180"/>
    <w:rsid w:val="00B005EA"/>
    <w:rsid w:val="00B00F89"/>
    <w:rsid w:val="00B014B5"/>
    <w:rsid w:val="00B017A6"/>
    <w:rsid w:val="00B04186"/>
    <w:rsid w:val="00B04BC8"/>
    <w:rsid w:val="00B04E8A"/>
    <w:rsid w:val="00B103F6"/>
    <w:rsid w:val="00B10FB6"/>
    <w:rsid w:val="00B1104C"/>
    <w:rsid w:val="00B110D1"/>
    <w:rsid w:val="00B122EB"/>
    <w:rsid w:val="00B12A98"/>
    <w:rsid w:val="00B1370F"/>
    <w:rsid w:val="00B13F22"/>
    <w:rsid w:val="00B1522C"/>
    <w:rsid w:val="00B15675"/>
    <w:rsid w:val="00B15BB9"/>
    <w:rsid w:val="00B16721"/>
    <w:rsid w:val="00B168CD"/>
    <w:rsid w:val="00B17783"/>
    <w:rsid w:val="00B207A0"/>
    <w:rsid w:val="00B23FA8"/>
    <w:rsid w:val="00B24035"/>
    <w:rsid w:val="00B25259"/>
    <w:rsid w:val="00B25B1D"/>
    <w:rsid w:val="00B27214"/>
    <w:rsid w:val="00B2747A"/>
    <w:rsid w:val="00B27F34"/>
    <w:rsid w:val="00B30DF4"/>
    <w:rsid w:val="00B30F84"/>
    <w:rsid w:val="00B31737"/>
    <w:rsid w:val="00B33C9E"/>
    <w:rsid w:val="00B340AD"/>
    <w:rsid w:val="00B34312"/>
    <w:rsid w:val="00B347D1"/>
    <w:rsid w:val="00B348F0"/>
    <w:rsid w:val="00B34D40"/>
    <w:rsid w:val="00B356CE"/>
    <w:rsid w:val="00B362DB"/>
    <w:rsid w:val="00B402DF"/>
    <w:rsid w:val="00B41199"/>
    <w:rsid w:val="00B417C3"/>
    <w:rsid w:val="00B422F2"/>
    <w:rsid w:val="00B45669"/>
    <w:rsid w:val="00B46912"/>
    <w:rsid w:val="00B47B27"/>
    <w:rsid w:val="00B509E9"/>
    <w:rsid w:val="00B5202A"/>
    <w:rsid w:val="00B52E07"/>
    <w:rsid w:val="00B52F72"/>
    <w:rsid w:val="00B52FF8"/>
    <w:rsid w:val="00B53469"/>
    <w:rsid w:val="00B536C9"/>
    <w:rsid w:val="00B53767"/>
    <w:rsid w:val="00B53CF4"/>
    <w:rsid w:val="00B542EB"/>
    <w:rsid w:val="00B54C1A"/>
    <w:rsid w:val="00B54FD5"/>
    <w:rsid w:val="00B5583A"/>
    <w:rsid w:val="00B57FD3"/>
    <w:rsid w:val="00B60901"/>
    <w:rsid w:val="00B6124D"/>
    <w:rsid w:val="00B622AB"/>
    <w:rsid w:val="00B63208"/>
    <w:rsid w:val="00B636FC"/>
    <w:rsid w:val="00B64279"/>
    <w:rsid w:val="00B65019"/>
    <w:rsid w:val="00B651B5"/>
    <w:rsid w:val="00B65982"/>
    <w:rsid w:val="00B65EA4"/>
    <w:rsid w:val="00B66028"/>
    <w:rsid w:val="00B666C2"/>
    <w:rsid w:val="00B704F0"/>
    <w:rsid w:val="00B70AB2"/>
    <w:rsid w:val="00B70F35"/>
    <w:rsid w:val="00B7135B"/>
    <w:rsid w:val="00B7144A"/>
    <w:rsid w:val="00B714DC"/>
    <w:rsid w:val="00B727C1"/>
    <w:rsid w:val="00B73BE2"/>
    <w:rsid w:val="00B740E4"/>
    <w:rsid w:val="00B74B46"/>
    <w:rsid w:val="00B7551A"/>
    <w:rsid w:val="00B8037E"/>
    <w:rsid w:val="00B82AFE"/>
    <w:rsid w:val="00B84771"/>
    <w:rsid w:val="00B8567C"/>
    <w:rsid w:val="00B86208"/>
    <w:rsid w:val="00B87C5F"/>
    <w:rsid w:val="00B905D7"/>
    <w:rsid w:val="00B90F8C"/>
    <w:rsid w:val="00B91EF1"/>
    <w:rsid w:val="00B92399"/>
    <w:rsid w:val="00B94AA8"/>
    <w:rsid w:val="00B958EF"/>
    <w:rsid w:val="00B97DD3"/>
    <w:rsid w:val="00BA10ED"/>
    <w:rsid w:val="00BA360D"/>
    <w:rsid w:val="00BA4AA2"/>
    <w:rsid w:val="00BA516B"/>
    <w:rsid w:val="00BA518B"/>
    <w:rsid w:val="00BA5377"/>
    <w:rsid w:val="00BA77A7"/>
    <w:rsid w:val="00BA782A"/>
    <w:rsid w:val="00BA7FDC"/>
    <w:rsid w:val="00BB17FD"/>
    <w:rsid w:val="00BB1B7B"/>
    <w:rsid w:val="00BB235E"/>
    <w:rsid w:val="00BB3C21"/>
    <w:rsid w:val="00BB458B"/>
    <w:rsid w:val="00BB4AD0"/>
    <w:rsid w:val="00BB4FE3"/>
    <w:rsid w:val="00BB509F"/>
    <w:rsid w:val="00BB5BEC"/>
    <w:rsid w:val="00BB7392"/>
    <w:rsid w:val="00BB757C"/>
    <w:rsid w:val="00BC09D2"/>
    <w:rsid w:val="00BC1E91"/>
    <w:rsid w:val="00BC3749"/>
    <w:rsid w:val="00BC41BA"/>
    <w:rsid w:val="00BC4A30"/>
    <w:rsid w:val="00BC4E51"/>
    <w:rsid w:val="00BC5FF0"/>
    <w:rsid w:val="00BC6BCD"/>
    <w:rsid w:val="00BD03BF"/>
    <w:rsid w:val="00BD316C"/>
    <w:rsid w:val="00BD3E67"/>
    <w:rsid w:val="00BD5952"/>
    <w:rsid w:val="00BD5BC7"/>
    <w:rsid w:val="00BD6AF1"/>
    <w:rsid w:val="00BD743D"/>
    <w:rsid w:val="00BE10E2"/>
    <w:rsid w:val="00BE1B67"/>
    <w:rsid w:val="00BE2DFD"/>
    <w:rsid w:val="00BE3C24"/>
    <w:rsid w:val="00BE3CA4"/>
    <w:rsid w:val="00BE4C94"/>
    <w:rsid w:val="00BE5D01"/>
    <w:rsid w:val="00BE60F5"/>
    <w:rsid w:val="00BE77E6"/>
    <w:rsid w:val="00BE7F4F"/>
    <w:rsid w:val="00BF035F"/>
    <w:rsid w:val="00BF0B1A"/>
    <w:rsid w:val="00BF0ED4"/>
    <w:rsid w:val="00BF0F92"/>
    <w:rsid w:val="00BF372F"/>
    <w:rsid w:val="00BF40A0"/>
    <w:rsid w:val="00BF4B80"/>
    <w:rsid w:val="00BF654E"/>
    <w:rsid w:val="00BF6E54"/>
    <w:rsid w:val="00BF74AF"/>
    <w:rsid w:val="00C01007"/>
    <w:rsid w:val="00C021F1"/>
    <w:rsid w:val="00C02B33"/>
    <w:rsid w:val="00C042A2"/>
    <w:rsid w:val="00C04940"/>
    <w:rsid w:val="00C05412"/>
    <w:rsid w:val="00C05DCD"/>
    <w:rsid w:val="00C060A6"/>
    <w:rsid w:val="00C07536"/>
    <w:rsid w:val="00C11802"/>
    <w:rsid w:val="00C120FD"/>
    <w:rsid w:val="00C135B0"/>
    <w:rsid w:val="00C14714"/>
    <w:rsid w:val="00C14718"/>
    <w:rsid w:val="00C15BF5"/>
    <w:rsid w:val="00C15CE1"/>
    <w:rsid w:val="00C16218"/>
    <w:rsid w:val="00C1758B"/>
    <w:rsid w:val="00C1768E"/>
    <w:rsid w:val="00C1775D"/>
    <w:rsid w:val="00C20C9A"/>
    <w:rsid w:val="00C20E3C"/>
    <w:rsid w:val="00C2234B"/>
    <w:rsid w:val="00C22B52"/>
    <w:rsid w:val="00C237A8"/>
    <w:rsid w:val="00C238A1"/>
    <w:rsid w:val="00C23E0A"/>
    <w:rsid w:val="00C26069"/>
    <w:rsid w:val="00C262B7"/>
    <w:rsid w:val="00C26917"/>
    <w:rsid w:val="00C2695C"/>
    <w:rsid w:val="00C27003"/>
    <w:rsid w:val="00C2776F"/>
    <w:rsid w:val="00C27AF0"/>
    <w:rsid w:val="00C303B9"/>
    <w:rsid w:val="00C307E8"/>
    <w:rsid w:val="00C316EC"/>
    <w:rsid w:val="00C31E08"/>
    <w:rsid w:val="00C31E47"/>
    <w:rsid w:val="00C322CC"/>
    <w:rsid w:val="00C327B8"/>
    <w:rsid w:val="00C36C9D"/>
    <w:rsid w:val="00C3705B"/>
    <w:rsid w:val="00C37513"/>
    <w:rsid w:val="00C40C2F"/>
    <w:rsid w:val="00C420D9"/>
    <w:rsid w:val="00C461A6"/>
    <w:rsid w:val="00C46519"/>
    <w:rsid w:val="00C46738"/>
    <w:rsid w:val="00C46AC4"/>
    <w:rsid w:val="00C472E9"/>
    <w:rsid w:val="00C501A4"/>
    <w:rsid w:val="00C50448"/>
    <w:rsid w:val="00C50A99"/>
    <w:rsid w:val="00C510CA"/>
    <w:rsid w:val="00C52421"/>
    <w:rsid w:val="00C5334E"/>
    <w:rsid w:val="00C533D9"/>
    <w:rsid w:val="00C544E5"/>
    <w:rsid w:val="00C546D7"/>
    <w:rsid w:val="00C54B8B"/>
    <w:rsid w:val="00C55064"/>
    <w:rsid w:val="00C555AA"/>
    <w:rsid w:val="00C57214"/>
    <w:rsid w:val="00C57398"/>
    <w:rsid w:val="00C57D35"/>
    <w:rsid w:val="00C57E34"/>
    <w:rsid w:val="00C6260F"/>
    <w:rsid w:val="00C62CFD"/>
    <w:rsid w:val="00C635AE"/>
    <w:rsid w:val="00C64B00"/>
    <w:rsid w:val="00C64E7C"/>
    <w:rsid w:val="00C64EA3"/>
    <w:rsid w:val="00C65027"/>
    <w:rsid w:val="00C65F25"/>
    <w:rsid w:val="00C711C4"/>
    <w:rsid w:val="00C73183"/>
    <w:rsid w:val="00C7578A"/>
    <w:rsid w:val="00C76539"/>
    <w:rsid w:val="00C7667A"/>
    <w:rsid w:val="00C772F9"/>
    <w:rsid w:val="00C77800"/>
    <w:rsid w:val="00C80FD9"/>
    <w:rsid w:val="00C81DD2"/>
    <w:rsid w:val="00C8285F"/>
    <w:rsid w:val="00C83CA0"/>
    <w:rsid w:val="00C8445B"/>
    <w:rsid w:val="00C852A1"/>
    <w:rsid w:val="00C855CA"/>
    <w:rsid w:val="00C8565B"/>
    <w:rsid w:val="00C861B4"/>
    <w:rsid w:val="00C8728D"/>
    <w:rsid w:val="00C90396"/>
    <w:rsid w:val="00C91EA0"/>
    <w:rsid w:val="00C91EAD"/>
    <w:rsid w:val="00C933ED"/>
    <w:rsid w:val="00C93F50"/>
    <w:rsid w:val="00C940E2"/>
    <w:rsid w:val="00C947BB"/>
    <w:rsid w:val="00C9485D"/>
    <w:rsid w:val="00C95B7A"/>
    <w:rsid w:val="00C96E2E"/>
    <w:rsid w:val="00C97429"/>
    <w:rsid w:val="00C97A97"/>
    <w:rsid w:val="00CA0C11"/>
    <w:rsid w:val="00CA0EFA"/>
    <w:rsid w:val="00CA165A"/>
    <w:rsid w:val="00CA18C0"/>
    <w:rsid w:val="00CA1AC9"/>
    <w:rsid w:val="00CA2A99"/>
    <w:rsid w:val="00CA3094"/>
    <w:rsid w:val="00CA40E4"/>
    <w:rsid w:val="00CA4D10"/>
    <w:rsid w:val="00CA6088"/>
    <w:rsid w:val="00CA67C7"/>
    <w:rsid w:val="00CA728E"/>
    <w:rsid w:val="00CA751D"/>
    <w:rsid w:val="00CB0721"/>
    <w:rsid w:val="00CB09A6"/>
    <w:rsid w:val="00CB1707"/>
    <w:rsid w:val="00CB1C59"/>
    <w:rsid w:val="00CB2AD3"/>
    <w:rsid w:val="00CB4236"/>
    <w:rsid w:val="00CB4E78"/>
    <w:rsid w:val="00CB508B"/>
    <w:rsid w:val="00CB51D1"/>
    <w:rsid w:val="00CB534D"/>
    <w:rsid w:val="00CB58F0"/>
    <w:rsid w:val="00CB6C7F"/>
    <w:rsid w:val="00CB7FCD"/>
    <w:rsid w:val="00CC059C"/>
    <w:rsid w:val="00CC097D"/>
    <w:rsid w:val="00CC0DFE"/>
    <w:rsid w:val="00CC1AAA"/>
    <w:rsid w:val="00CC453D"/>
    <w:rsid w:val="00CC4587"/>
    <w:rsid w:val="00CC4B5E"/>
    <w:rsid w:val="00CC5608"/>
    <w:rsid w:val="00CC5741"/>
    <w:rsid w:val="00CC5A4D"/>
    <w:rsid w:val="00CC694A"/>
    <w:rsid w:val="00CC7361"/>
    <w:rsid w:val="00CD1AF7"/>
    <w:rsid w:val="00CD2AAF"/>
    <w:rsid w:val="00CD3929"/>
    <w:rsid w:val="00CD397D"/>
    <w:rsid w:val="00CD42B2"/>
    <w:rsid w:val="00CD4579"/>
    <w:rsid w:val="00CD4BC3"/>
    <w:rsid w:val="00CD4F96"/>
    <w:rsid w:val="00CD5104"/>
    <w:rsid w:val="00CD7B60"/>
    <w:rsid w:val="00CD7E05"/>
    <w:rsid w:val="00CE0485"/>
    <w:rsid w:val="00CE2829"/>
    <w:rsid w:val="00CE451C"/>
    <w:rsid w:val="00CE487A"/>
    <w:rsid w:val="00CE4AE9"/>
    <w:rsid w:val="00CE5675"/>
    <w:rsid w:val="00CE5C4C"/>
    <w:rsid w:val="00CE6589"/>
    <w:rsid w:val="00CE6BE5"/>
    <w:rsid w:val="00CE70D5"/>
    <w:rsid w:val="00CE740F"/>
    <w:rsid w:val="00CF01F4"/>
    <w:rsid w:val="00CF0592"/>
    <w:rsid w:val="00CF1A9D"/>
    <w:rsid w:val="00CF1FA7"/>
    <w:rsid w:val="00CF2B85"/>
    <w:rsid w:val="00CF2DA5"/>
    <w:rsid w:val="00CF39E9"/>
    <w:rsid w:val="00CF3E47"/>
    <w:rsid w:val="00CF4DF5"/>
    <w:rsid w:val="00CF5309"/>
    <w:rsid w:val="00CF56EA"/>
    <w:rsid w:val="00CF57CF"/>
    <w:rsid w:val="00CF57D5"/>
    <w:rsid w:val="00CF58BD"/>
    <w:rsid w:val="00CF6920"/>
    <w:rsid w:val="00CF705F"/>
    <w:rsid w:val="00D00911"/>
    <w:rsid w:val="00D0165E"/>
    <w:rsid w:val="00D02039"/>
    <w:rsid w:val="00D02524"/>
    <w:rsid w:val="00D07B74"/>
    <w:rsid w:val="00D100EF"/>
    <w:rsid w:val="00D10DDD"/>
    <w:rsid w:val="00D1196E"/>
    <w:rsid w:val="00D12A16"/>
    <w:rsid w:val="00D142F4"/>
    <w:rsid w:val="00D153C7"/>
    <w:rsid w:val="00D16F64"/>
    <w:rsid w:val="00D17434"/>
    <w:rsid w:val="00D178A9"/>
    <w:rsid w:val="00D17D45"/>
    <w:rsid w:val="00D21C51"/>
    <w:rsid w:val="00D21FF0"/>
    <w:rsid w:val="00D2226D"/>
    <w:rsid w:val="00D225E3"/>
    <w:rsid w:val="00D238B2"/>
    <w:rsid w:val="00D2395F"/>
    <w:rsid w:val="00D23972"/>
    <w:rsid w:val="00D24496"/>
    <w:rsid w:val="00D24A6A"/>
    <w:rsid w:val="00D24E95"/>
    <w:rsid w:val="00D2552F"/>
    <w:rsid w:val="00D266DD"/>
    <w:rsid w:val="00D26A46"/>
    <w:rsid w:val="00D2709F"/>
    <w:rsid w:val="00D33768"/>
    <w:rsid w:val="00D34144"/>
    <w:rsid w:val="00D35EF3"/>
    <w:rsid w:val="00D36A2D"/>
    <w:rsid w:val="00D4081A"/>
    <w:rsid w:val="00D41577"/>
    <w:rsid w:val="00D41ACF"/>
    <w:rsid w:val="00D41B7E"/>
    <w:rsid w:val="00D426E7"/>
    <w:rsid w:val="00D43233"/>
    <w:rsid w:val="00D43263"/>
    <w:rsid w:val="00D43804"/>
    <w:rsid w:val="00D44997"/>
    <w:rsid w:val="00D44C67"/>
    <w:rsid w:val="00D45886"/>
    <w:rsid w:val="00D46384"/>
    <w:rsid w:val="00D47520"/>
    <w:rsid w:val="00D47868"/>
    <w:rsid w:val="00D47CDD"/>
    <w:rsid w:val="00D5081B"/>
    <w:rsid w:val="00D50DFC"/>
    <w:rsid w:val="00D52106"/>
    <w:rsid w:val="00D524A9"/>
    <w:rsid w:val="00D54CB1"/>
    <w:rsid w:val="00D55017"/>
    <w:rsid w:val="00D55BED"/>
    <w:rsid w:val="00D575D0"/>
    <w:rsid w:val="00D57E88"/>
    <w:rsid w:val="00D610EF"/>
    <w:rsid w:val="00D623D7"/>
    <w:rsid w:val="00D636D3"/>
    <w:rsid w:val="00D643D2"/>
    <w:rsid w:val="00D65245"/>
    <w:rsid w:val="00D66D3E"/>
    <w:rsid w:val="00D671A1"/>
    <w:rsid w:val="00D6744C"/>
    <w:rsid w:val="00D70513"/>
    <w:rsid w:val="00D71D90"/>
    <w:rsid w:val="00D71FE9"/>
    <w:rsid w:val="00D72C6E"/>
    <w:rsid w:val="00D72F6E"/>
    <w:rsid w:val="00D74515"/>
    <w:rsid w:val="00D75B8C"/>
    <w:rsid w:val="00D7655A"/>
    <w:rsid w:val="00D76599"/>
    <w:rsid w:val="00D77073"/>
    <w:rsid w:val="00D7760E"/>
    <w:rsid w:val="00D77FD9"/>
    <w:rsid w:val="00D80DA8"/>
    <w:rsid w:val="00D83F9D"/>
    <w:rsid w:val="00D84A2A"/>
    <w:rsid w:val="00D84BD8"/>
    <w:rsid w:val="00D85473"/>
    <w:rsid w:val="00D8567A"/>
    <w:rsid w:val="00D8589E"/>
    <w:rsid w:val="00D87238"/>
    <w:rsid w:val="00D8730E"/>
    <w:rsid w:val="00D90584"/>
    <w:rsid w:val="00D908CC"/>
    <w:rsid w:val="00D911FE"/>
    <w:rsid w:val="00D91782"/>
    <w:rsid w:val="00D91CBF"/>
    <w:rsid w:val="00D93142"/>
    <w:rsid w:val="00D938CB"/>
    <w:rsid w:val="00D95D3D"/>
    <w:rsid w:val="00D9719C"/>
    <w:rsid w:val="00DA012A"/>
    <w:rsid w:val="00DA047A"/>
    <w:rsid w:val="00DA0534"/>
    <w:rsid w:val="00DA1288"/>
    <w:rsid w:val="00DA149C"/>
    <w:rsid w:val="00DA284A"/>
    <w:rsid w:val="00DA365D"/>
    <w:rsid w:val="00DA3D89"/>
    <w:rsid w:val="00DA4946"/>
    <w:rsid w:val="00DA4F8E"/>
    <w:rsid w:val="00DA5FAE"/>
    <w:rsid w:val="00DA634B"/>
    <w:rsid w:val="00DA688B"/>
    <w:rsid w:val="00DA6DA2"/>
    <w:rsid w:val="00DA751A"/>
    <w:rsid w:val="00DA7B28"/>
    <w:rsid w:val="00DB139E"/>
    <w:rsid w:val="00DB1D60"/>
    <w:rsid w:val="00DB259A"/>
    <w:rsid w:val="00DB270C"/>
    <w:rsid w:val="00DB28E1"/>
    <w:rsid w:val="00DB2AA9"/>
    <w:rsid w:val="00DB4205"/>
    <w:rsid w:val="00DB6DC6"/>
    <w:rsid w:val="00DB70D9"/>
    <w:rsid w:val="00DC1223"/>
    <w:rsid w:val="00DC1975"/>
    <w:rsid w:val="00DC245D"/>
    <w:rsid w:val="00DC306F"/>
    <w:rsid w:val="00DC5EC8"/>
    <w:rsid w:val="00DC5FAA"/>
    <w:rsid w:val="00DC6026"/>
    <w:rsid w:val="00DD036B"/>
    <w:rsid w:val="00DD0A76"/>
    <w:rsid w:val="00DD1D70"/>
    <w:rsid w:val="00DD2F89"/>
    <w:rsid w:val="00DD2F94"/>
    <w:rsid w:val="00DD5F4B"/>
    <w:rsid w:val="00DD6C31"/>
    <w:rsid w:val="00DD72A3"/>
    <w:rsid w:val="00DD7CF8"/>
    <w:rsid w:val="00DE1F5B"/>
    <w:rsid w:val="00DE2B3F"/>
    <w:rsid w:val="00DE321E"/>
    <w:rsid w:val="00DE3987"/>
    <w:rsid w:val="00DE3DAD"/>
    <w:rsid w:val="00DE50D5"/>
    <w:rsid w:val="00DE58AD"/>
    <w:rsid w:val="00DE6EA7"/>
    <w:rsid w:val="00DE7C6F"/>
    <w:rsid w:val="00DE7CEF"/>
    <w:rsid w:val="00DE7DBF"/>
    <w:rsid w:val="00DF16F0"/>
    <w:rsid w:val="00DF20E9"/>
    <w:rsid w:val="00DF25BA"/>
    <w:rsid w:val="00DF287B"/>
    <w:rsid w:val="00DF3168"/>
    <w:rsid w:val="00DF383A"/>
    <w:rsid w:val="00DF3FEF"/>
    <w:rsid w:val="00DF43CC"/>
    <w:rsid w:val="00DF4F2D"/>
    <w:rsid w:val="00DF6B5D"/>
    <w:rsid w:val="00E00529"/>
    <w:rsid w:val="00E00E05"/>
    <w:rsid w:val="00E01354"/>
    <w:rsid w:val="00E01C15"/>
    <w:rsid w:val="00E01C56"/>
    <w:rsid w:val="00E0265B"/>
    <w:rsid w:val="00E03806"/>
    <w:rsid w:val="00E039CF"/>
    <w:rsid w:val="00E04BF5"/>
    <w:rsid w:val="00E07503"/>
    <w:rsid w:val="00E10B7C"/>
    <w:rsid w:val="00E10C2D"/>
    <w:rsid w:val="00E10F9F"/>
    <w:rsid w:val="00E12A36"/>
    <w:rsid w:val="00E140C8"/>
    <w:rsid w:val="00E144E8"/>
    <w:rsid w:val="00E145D7"/>
    <w:rsid w:val="00E162B4"/>
    <w:rsid w:val="00E16A5F"/>
    <w:rsid w:val="00E16BFA"/>
    <w:rsid w:val="00E17AA3"/>
    <w:rsid w:val="00E216B1"/>
    <w:rsid w:val="00E23337"/>
    <w:rsid w:val="00E23E5B"/>
    <w:rsid w:val="00E23F6A"/>
    <w:rsid w:val="00E25A3F"/>
    <w:rsid w:val="00E26019"/>
    <w:rsid w:val="00E26BCA"/>
    <w:rsid w:val="00E27274"/>
    <w:rsid w:val="00E27971"/>
    <w:rsid w:val="00E3559D"/>
    <w:rsid w:val="00E35A59"/>
    <w:rsid w:val="00E36221"/>
    <w:rsid w:val="00E36747"/>
    <w:rsid w:val="00E36D16"/>
    <w:rsid w:val="00E371BA"/>
    <w:rsid w:val="00E37715"/>
    <w:rsid w:val="00E40EA5"/>
    <w:rsid w:val="00E4131B"/>
    <w:rsid w:val="00E42050"/>
    <w:rsid w:val="00E437FF"/>
    <w:rsid w:val="00E43D87"/>
    <w:rsid w:val="00E441CC"/>
    <w:rsid w:val="00E44600"/>
    <w:rsid w:val="00E4572C"/>
    <w:rsid w:val="00E46F87"/>
    <w:rsid w:val="00E54242"/>
    <w:rsid w:val="00E549ED"/>
    <w:rsid w:val="00E54D8B"/>
    <w:rsid w:val="00E55254"/>
    <w:rsid w:val="00E55A28"/>
    <w:rsid w:val="00E569D8"/>
    <w:rsid w:val="00E56FAB"/>
    <w:rsid w:val="00E5725A"/>
    <w:rsid w:val="00E603E6"/>
    <w:rsid w:val="00E60E2E"/>
    <w:rsid w:val="00E633B4"/>
    <w:rsid w:val="00E64017"/>
    <w:rsid w:val="00E64EE8"/>
    <w:rsid w:val="00E655AA"/>
    <w:rsid w:val="00E6579F"/>
    <w:rsid w:val="00E65BD8"/>
    <w:rsid w:val="00E7062F"/>
    <w:rsid w:val="00E70CAB"/>
    <w:rsid w:val="00E740E3"/>
    <w:rsid w:val="00E74190"/>
    <w:rsid w:val="00E750C1"/>
    <w:rsid w:val="00E75907"/>
    <w:rsid w:val="00E808A6"/>
    <w:rsid w:val="00E81043"/>
    <w:rsid w:val="00E8199C"/>
    <w:rsid w:val="00E824DA"/>
    <w:rsid w:val="00E832FC"/>
    <w:rsid w:val="00E8536E"/>
    <w:rsid w:val="00E85849"/>
    <w:rsid w:val="00E90292"/>
    <w:rsid w:val="00E9043A"/>
    <w:rsid w:val="00E91444"/>
    <w:rsid w:val="00E91D9C"/>
    <w:rsid w:val="00E92AC2"/>
    <w:rsid w:val="00E9444E"/>
    <w:rsid w:val="00E94559"/>
    <w:rsid w:val="00E94730"/>
    <w:rsid w:val="00E94A53"/>
    <w:rsid w:val="00E95F30"/>
    <w:rsid w:val="00E96838"/>
    <w:rsid w:val="00E96A13"/>
    <w:rsid w:val="00E96D1A"/>
    <w:rsid w:val="00E96E9A"/>
    <w:rsid w:val="00E976BE"/>
    <w:rsid w:val="00EA1D91"/>
    <w:rsid w:val="00EA1F11"/>
    <w:rsid w:val="00EA2BE2"/>
    <w:rsid w:val="00EA46D3"/>
    <w:rsid w:val="00EA4B78"/>
    <w:rsid w:val="00EA5122"/>
    <w:rsid w:val="00EA58C4"/>
    <w:rsid w:val="00EA5A75"/>
    <w:rsid w:val="00EA5FFF"/>
    <w:rsid w:val="00EA695E"/>
    <w:rsid w:val="00EA70CE"/>
    <w:rsid w:val="00EA71C8"/>
    <w:rsid w:val="00EB058C"/>
    <w:rsid w:val="00EB0D50"/>
    <w:rsid w:val="00EB1D73"/>
    <w:rsid w:val="00EB1E5A"/>
    <w:rsid w:val="00EB239D"/>
    <w:rsid w:val="00EB2692"/>
    <w:rsid w:val="00EB2A9A"/>
    <w:rsid w:val="00EB3484"/>
    <w:rsid w:val="00EB484E"/>
    <w:rsid w:val="00EB7BCD"/>
    <w:rsid w:val="00EC1850"/>
    <w:rsid w:val="00EC3DFA"/>
    <w:rsid w:val="00EC6A8A"/>
    <w:rsid w:val="00ED1E6B"/>
    <w:rsid w:val="00ED394B"/>
    <w:rsid w:val="00ED41C3"/>
    <w:rsid w:val="00ED543E"/>
    <w:rsid w:val="00ED5DE2"/>
    <w:rsid w:val="00ED63A7"/>
    <w:rsid w:val="00ED6474"/>
    <w:rsid w:val="00ED6499"/>
    <w:rsid w:val="00ED6A27"/>
    <w:rsid w:val="00EE0C17"/>
    <w:rsid w:val="00EE1352"/>
    <w:rsid w:val="00EE20B2"/>
    <w:rsid w:val="00EE29F0"/>
    <w:rsid w:val="00EE2E1D"/>
    <w:rsid w:val="00EE351F"/>
    <w:rsid w:val="00EE3BF9"/>
    <w:rsid w:val="00EE464C"/>
    <w:rsid w:val="00EE4C52"/>
    <w:rsid w:val="00EE4EED"/>
    <w:rsid w:val="00EE522E"/>
    <w:rsid w:val="00EE5250"/>
    <w:rsid w:val="00EE696B"/>
    <w:rsid w:val="00EF0FFD"/>
    <w:rsid w:val="00EF13D8"/>
    <w:rsid w:val="00EF223C"/>
    <w:rsid w:val="00EF367C"/>
    <w:rsid w:val="00EF476E"/>
    <w:rsid w:val="00F02C67"/>
    <w:rsid w:val="00F03D2A"/>
    <w:rsid w:val="00F050EF"/>
    <w:rsid w:val="00F053D8"/>
    <w:rsid w:val="00F06422"/>
    <w:rsid w:val="00F0735F"/>
    <w:rsid w:val="00F07C3E"/>
    <w:rsid w:val="00F118FD"/>
    <w:rsid w:val="00F126C4"/>
    <w:rsid w:val="00F13719"/>
    <w:rsid w:val="00F14727"/>
    <w:rsid w:val="00F14B4E"/>
    <w:rsid w:val="00F1505C"/>
    <w:rsid w:val="00F175B7"/>
    <w:rsid w:val="00F17A19"/>
    <w:rsid w:val="00F21BD8"/>
    <w:rsid w:val="00F255E7"/>
    <w:rsid w:val="00F255F1"/>
    <w:rsid w:val="00F25822"/>
    <w:rsid w:val="00F25A5B"/>
    <w:rsid w:val="00F25C91"/>
    <w:rsid w:val="00F26180"/>
    <w:rsid w:val="00F26C82"/>
    <w:rsid w:val="00F270CC"/>
    <w:rsid w:val="00F2737A"/>
    <w:rsid w:val="00F27750"/>
    <w:rsid w:val="00F301A2"/>
    <w:rsid w:val="00F31951"/>
    <w:rsid w:val="00F32342"/>
    <w:rsid w:val="00F324C0"/>
    <w:rsid w:val="00F326BF"/>
    <w:rsid w:val="00F33366"/>
    <w:rsid w:val="00F33B8A"/>
    <w:rsid w:val="00F36D87"/>
    <w:rsid w:val="00F374F5"/>
    <w:rsid w:val="00F378C4"/>
    <w:rsid w:val="00F41A43"/>
    <w:rsid w:val="00F41E28"/>
    <w:rsid w:val="00F41F59"/>
    <w:rsid w:val="00F43954"/>
    <w:rsid w:val="00F43BD6"/>
    <w:rsid w:val="00F445D3"/>
    <w:rsid w:val="00F45536"/>
    <w:rsid w:val="00F455AB"/>
    <w:rsid w:val="00F45C41"/>
    <w:rsid w:val="00F46384"/>
    <w:rsid w:val="00F50683"/>
    <w:rsid w:val="00F50BE7"/>
    <w:rsid w:val="00F513A4"/>
    <w:rsid w:val="00F52E1F"/>
    <w:rsid w:val="00F53E10"/>
    <w:rsid w:val="00F54C40"/>
    <w:rsid w:val="00F567DD"/>
    <w:rsid w:val="00F57A55"/>
    <w:rsid w:val="00F605BA"/>
    <w:rsid w:val="00F6060F"/>
    <w:rsid w:val="00F60937"/>
    <w:rsid w:val="00F6193E"/>
    <w:rsid w:val="00F61DEE"/>
    <w:rsid w:val="00F62133"/>
    <w:rsid w:val="00F626FD"/>
    <w:rsid w:val="00F626FF"/>
    <w:rsid w:val="00F62823"/>
    <w:rsid w:val="00F62F7C"/>
    <w:rsid w:val="00F637C5"/>
    <w:rsid w:val="00F64953"/>
    <w:rsid w:val="00F6522A"/>
    <w:rsid w:val="00F65E9E"/>
    <w:rsid w:val="00F6614D"/>
    <w:rsid w:val="00F663F7"/>
    <w:rsid w:val="00F66F17"/>
    <w:rsid w:val="00F67834"/>
    <w:rsid w:val="00F7123D"/>
    <w:rsid w:val="00F72999"/>
    <w:rsid w:val="00F72EF0"/>
    <w:rsid w:val="00F73543"/>
    <w:rsid w:val="00F74E41"/>
    <w:rsid w:val="00F755E6"/>
    <w:rsid w:val="00F765D3"/>
    <w:rsid w:val="00F77840"/>
    <w:rsid w:val="00F81EBA"/>
    <w:rsid w:val="00F827D4"/>
    <w:rsid w:val="00F82E1C"/>
    <w:rsid w:val="00F83741"/>
    <w:rsid w:val="00F837F1"/>
    <w:rsid w:val="00F83897"/>
    <w:rsid w:val="00F85211"/>
    <w:rsid w:val="00F853D0"/>
    <w:rsid w:val="00F85C85"/>
    <w:rsid w:val="00F85CF5"/>
    <w:rsid w:val="00F87A22"/>
    <w:rsid w:val="00F90079"/>
    <w:rsid w:val="00F906E9"/>
    <w:rsid w:val="00F938A5"/>
    <w:rsid w:val="00F94D78"/>
    <w:rsid w:val="00F94DD5"/>
    <w:rsid w:val="00F94E60"/>
    <w:rsid w:val="00F95676"/>
    <w:rsid w:val="00F97562"/>
    <w:rsid w:val="00F97A1B"/>
    <w:rsid w:val="00FA0760"/>
    <w:rsid w:val="00FA0D98"/>
    <w:rsid w:val="00FA12A9"/>
    <w:rsid w:val="00FA354E"/>
    <w:rsid w:val="00FA3CD5"/>
    <w:rsid w:val="00FA48A5"/>
    <w:rsid w:val="00FA4B71"/>
    <w:rsid w:val="00FA517B"/>
    <w:rsid w:val="00FA619E"/>
    <w:rsid w:val="00FA6568"/>
    <w:rsid w:val="00FA718B"/>
    <w:rsid w:val="00FA74E6"/>
    <w:rsid w:val="00FB120D"/>
    <w:rsid w:val="00FB3E62"/>
    <w:rsid w:val="00FC125F"/>
    <w:rsid w:val="00FC21CA"/>
    <w:rsid w:val="00FC3647"/>
    <w:rsid w:val="00FC39E9"/>
    <w:rsid w:val="00FC403B"/>
    <w:rsid w:val="00FC4831"/>
    <w:rsid w:val="00FC57F7"/>
    <w:rsid w:val="00FC621D"/>
    <w:rsid w:val="00FD02BF"/>
    <w:rsid w:val="00FD0DD5"/>
    <w:rsid w:val="00FD20CD"/>
    <w:rsid w:val="00FD29B7"/>
    <w:rsid w:val="00FD34F7"/>
    <w:rsid w:val="00FD52A8"/>
    <w:rsid w:val="00FD5520"/>
    <w:rsid w:val="00FD567B"/>
    <w:rsid w:val="00FD58B1"/>
    <w:rsid w:val="00FD5EBD"/>
    <w:rsid w:val="00FD7832"/>
    <w:rsid w:val="00FD7D8B"/>
    <w:rsid w:val="00FE0A56"/>
    <w:rsid w:val="00FE1136"/>
    <w:rsid w:val="00FE20C2"/>
    <w:rsid w:val="00FE2AC2"/>
    <w:rsid w:val="00FE39BD"/>
    <w:rsid w:val="00FE419A"/>
    <w:rsid w:val="00FE45C1"/>
    <w:rsid w:val="00FE5058"/>
    <w:rsid w:val="00FE5FD8"/>
    <w:rsid w:val="00FE6817"/>
    <w:rsid w:val="00FE757E"/>
    <w:rsid w:val="00FF0A15"/>
    <w:rsid w:val="00FF1E3C"/>
    <w:rsid w:val="00FF290C"/>
    <w:rsid w:val="00FF337B"/>
    <w:rsid w:val="00FF3D49"/>
    <w:rsid w:val="00FF4220"/>
    <w:rsid w:val="00FF5AE0"/>
    <w:rsid w:val="00FF7593"/>
    <w:rsid w:val="00FF7F3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A0D5C1"/>
  <w15:chartTrackingRefBased/>
  <w15:docId w15:val="{D9241A85-B53F-46B9-A6CC-686AB8E66D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Naslov 1 - POGLAVJE"/>
    <w:basedOn w:val="Navaden"/>
    <w:next w:val="Navaden"/>
    <w:link w:val="Naslov1Znak"/>
    <w:uiPriority w:val="9"/>
    <w:qFormat/>
    <w:rsid w:val="003A5A4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aliases w:val="Naslov 2 - oddelek"/>
    <w:basedOn w:val="Navaden"/>
    <w:next w:val="Navaden"/>
    <w:link w:val="Naslov2Znak"/>
    <w:uiPriority w:val="9"/>
    <w:unhideWhenUsed/>
    <w:qFormat/>
    <w:rsid w:val="003A5A4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unhideWhenUsed/>
    <w:qFormat/>
    <w:rsid w:val="003A5A4B"/>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aliases w:val="Grafika,ČLEN - Naslov 4"/>
    <w:basedOn w:val="Navaden"/>
    <w:next w:val="Navaden"/>
    <w:link w:val="Naslov4Znak"/>
    <w:unhideWhenUsed/>
    <w:qFormat/>
    <w:rsid w:val="003A5A4B"/>
    <w:pPr>
      <w:keepNext/>
      <w:keepLines/>
      <w:spacing w:before="80" w:after="40"/>
      <w:outlineLvl w:val="3"/>
    </w:pPr>
    <w:rPr>
      <w:rFonts w:eastAsiaTheme="majorEastAsia" w:cstheme="majorBidi"/>
      <w:i/>
      <w:iCs/>
      <w:color w:val="0F4761" w:themeColor="accent1" w:themeShade="BF"/>
    </w:rPr>
  </w:style>
  <w:style w:type="paragraph" w:styleId="Naslov5">
    <w:name w:val="heading 5"/>
    <w:aliases w:val="SEZNAM"/>
    <w:basedOn w:val="Navaden"/>
    <w:next w:val="Navaden"/>
    <w:link w:val="Naslov5Znak"/>
    <w:uiPriority w:val="9"/>
    <w:unhideWhenUsed/>
    <w:qFormat/>
    <w:rsid w:val="003A5A4B"/>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unhideWhenUsed/>
    <w:qFormat/>
    <w:rsid w:val="003A5A4B"/>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3A5A4B"/>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unhideWhenUsed/>
    <w:qFormat/>
    <w:rsid w:val="003A5A4B"/>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unhideWhenUsed/>
    <w:qFormat/>
    <w:rsid w:val="003A5A4B"/>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1 - POGLAVJE Znak"/>
    <w:basedOn w:val="Privzetapisavaodstavka"/>
    <w:link w:val="Naslov1"/>
    <w:uiPriority w:val="9"/>
    <w:rsid w:val="003A5A4B"/>
    <w:rPr>
      <w:rFonts w:asciiTheme="majorHAnsi" w:eastAsiaTheme="majorEastAsia" w:hAnsiTheme="majorHAnsi" w:cstheme="majorBidi"/>
      <w:color w:val="0F4761" w:themeColor="accent1" w:themeShade="BF"/>
      <w:sz w:val="40"/>
      <w:szCs w:val="40"/>
    </w:rPr>
  </w:style>
  <w:style w:type="character" w:customStyle="1" w:styleId="Naslov2Znak">
    <w:name w:val="Naslov 2 Znak"/>
    <w:aliases w:val="Naslov 2 - oddelek Znak"/>
    <w:basedOn w:val="Privzetapisavaodstavka"/>
    <w:link w:val="Naslov2"/>
    <w:uiPriority w:val="9"/>
    <w:rsid w:val="003A5A4B"/>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rsid w:val="003A5A4B"/>
    <w:rPr>
      <w:rFonts w:eastAsiaTheme="majorEastAsia" w:cstheme="majorBidi"/>
      <w:color w:val="0F4761" w:themeColor="accent1" w:themeShade="BF"/>
      <w:sz w:val="28"/>
      <w:szCs w:val="28"/>
    </w:rPr>
  </w:style>
  <w:style w:type="character" w:customStyle="1" w:styleId="Naslov4Znak">
    <w:name w:val="Naslov 4 Znak"/>
    <w:aliases w:val="Grafika Znak,ČLEN - Naslov 4 Znak"/>
    <w:basedOn w:val="Privzetapisavaodstavka"/>
    <w:link w:val="Naslov4"/>
    <w:rsid w:val="003A5A4B"/>
    <w:rPr>
      <w:rFonts w:eastAsiaTheme="majorEastAsia" w:cstheme="majorBidi"/>
      <w:i/>
      <w:iCs/>
      <w:color w:val="0F4761" w:themeColor="accent1" w:themeShade="BF"/>
    </w:rPr>
  </w:style>
  <w:style w:type="character" w:customStyle="1" w:styleId="Naslov5Znak">
    <w:name w:val="Naslov 5 Znak"/>
    <w:aliases w:val="SEZNAM Znak"/>
    <w:basedOn w:val="Privzetapisavaodstavka"/>
    <w:link w:val="Naslov5"/>
    <w:uiPriority w:val="9"/>
    <w:rsid w:val="003A5A4B"/>
    <w:rPr>
      <w:rFonts w:eastAsiaTheme="majorEastAsia" w:cstheme="majorBidi"/>
      <w:color w:val="0F4761" w:themeColor="accent1" w:themeShade="BF"/>
    </w:rPr>
  </w:style>
  <w:style w:type="character" w:customStyle="1" w:styleId="Naslov6Znak">
    <w:name w:val="Naslov 6 Znak"/>
    <w:basedOn w:val="Privzetapisavaodstavka"/>
    <w:link w:val="Naslov6"/>
    <w:uiPriority w:val="9"/>
    <w:rsid w:val="003A5A4B"/>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3A5A4B"/>
    <w:rPr>
      <w:rFonts w:eastAsiaTheme="majorEastAsia" w:cstheme="majorBidi"/>
      <w:color w:val="595959" w:themeColor="text1" w:themeTint="A6"/>
    </w:rPr>
  </w:style>
  <w:style w:type="character" w:customStyle="1" w:styleId="Naslov8Znak">
    <w:name w:val="Naslov 8 Znak"/>
    <w:basedOn w:val="Privzetapisavaodstavka"/>
    <w:link w:val="Naslov8"/>
    <w:uiPriority w:val="9"/>
    <w:rsid w:val="003A5A4B"/>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rsid w:val="003A5A4B"/>
    <w:rPr>
      <w:rFonts w:eastAsiaTheme="majorEastAsia" w:cstheme="majorBidi"/>
      <w:color w:val="272727" w:themeColor="text1" w:themeTint="D8"/>
    </w:rPr>
  </w:style>
  <w:style w:type="paragraph" w:styleId="Naslov">
    <w:name w:val="Title"/>
    <w:aliases w:val="ALINEJE"/>
    <w:basedOn w:val="Navaden"/>
    <w:next w:val="Navaden"/>
    <w:link w:val="NaslovZnak"/>
    <w:uiPriority w:val="10"/>
    <w:qFormat/>
    <w:rsid w:val="003A5A4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aliases w:val="ALINEJE Znak"/>
    <w:basedOn w:val="Privzetapisavaodstavka"/>
    <w:link w:val="Naslov"/>
    <w:uiPriority w:val="10"/>
    <w:rsid w:val="003A5A4B"/>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3A5A4B"/>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3A5A4B"/>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3A5A4B"/>
    <w:pPr>
      <w:spacing w:before="160"/>
      <w:jc w:val="center"/>
    </w:pPr>
    <w:rPr>
      <w:i/>
      <w:iCs/>
      <w:color w:val="404040" w:themeColor="text1" w:themeTint="BF"/>
    </w:rPr>
  </w:style>
  <w:style w:type="character" w:customStyle="1" w:styleId="CitatZnak">
    <w:name w:val="Citat Znak"/>
    <w:basedOn w:val="Privzetapisavaodstavka"/>
    <w:link w:val="Citat"/>
    <w:uiPriority w:val="29"/>
    <w:rsid w:val="003A5A4B"/>
    <w:rPr>
      <w:i/>
      <w:iCs/>
      <w:color w:val="404040" w:themeColor="text1" w:themeTint="BF"/>
    </w:rPr>
  </w:style>
  <w:style w:type="paragraph" w:styleId="Odstavekseznama">
    <w:name w:val="List Paragraph"/>
    <w:aliases w:val="numbered list,OM numbered bullets,Dot pt,F5 List Paragraph,List Paragraph Char Char Char,Indicator Text,Numbered Para 1,Bullet 1,Bullet Points,List Paragraph2,MAIN CONTENT,Normal numbered,Colorful List - Accent 11,Issue Action POC,3"/>
    <w:basedOn w:val="Navaden"/>
    <w:link w:val="OdstavekseznamaZnak"/>
    <w:qFormat/>
    <w:rsid w:val="003A5A4B"/>
    <w:pPr>
      <w:ind w:left="720"/>
      <w:contextualSpacing/>
    </w:pPr>
  </w:style>
  <w:style w:type="character" w:styleId="Intenzivenpoudarek">
    <w:name w:val="Intense Emphasis"/>
    <w:basedOn w:val="Privzetapisavaodstavka"/>
    <w:uiPriority w:val="21"/>
    <w:qFormat/>
    <w:rsid w:val="003A5A4B"/>
    <w:rPr>
      <w:i/>
      <w:iCs/>
      <w:color w:val="0F4761" w:themeColor="accent1" w:themeShade="BF"/>
    </w:rPr>
  </w:style>
  <w:style w:type="paragraph" w:styleId="Intenzivencitat">
    <w:name w:val="Intense Quote"/>
    <w:basedOn w:val="Navaden"/>
    <w:next w:val="Navaden"/>
    <w:link w:val="IntenzivencitatZnak"/>
    <w:uiPriority w:val="30"/>
    <w:qFormat/>
    <w:rsid w:val="003A5A4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3A5A4B"/>
    <w:rPr>
      <w:i/>
      <w:iCs/>
      <w:color w:val="0F4761" w:themeColor="accent1" w:themeShade="BF"/>
    </w:rPr>
  </w:style>
  <w:style w:type="character" w:styleId="Intenzivensklic">
    <w:name w:val="Intense Reference"/>
    <w:basedOn w:val="Privzetapisavaodstavka"/>
    <w:uiPriority w:val="32"/>
    <w:qFormat/>
    <w:rsid w:val="003A5A4B"/>
    <w:rPr>
      <w:b/>
      <w:bCs/>
      <w:smallCaps/>
      <w:color w:val="0F4761" w:themeColor="accent1" w:themeShade="BF"/>
      <w:spacing w:val="5"/>
    </w:rPr>
  </w:style>
  <w:style w:type="paragraph" w:customStyle="1" w:styleId="mainText">
    <w:name w:val="mainText"/>
    <w:basedOn w:val="Navaden"/>
    <w:rsid w:val="00D91782"/>
    <w:pPr>
      <w:spacing w:after="0" w:line="240" w:lineRule="auto"/>
    </w:pPr>
    <w:rPr>
      <w:rFonts w:ascii="Times New Roman" w:eastAsia="Times New Roman" w:hAnsi="Times New Roman" w:cs="Times New Roman"/>
      <w:kern w:val="0"/>
      <w14:ligatures w14:val="none"/>
    </w:rPr>
  </w:style>
  <w:style w:type="paragraph" w:customStyle="1" w:styleId="textJustify">
    <w:name w:val="textJustify"/>
    <w:basedOn w:val="Navaden"/>
    <w:rsid w:val="00D91782"/>
    <w:pPr>
      <w:spacing w:after="0" w:line="240" w:lineRule="auto"/>
      <w:jc w:val="both"/>
    </w:pPr>
    <w:rPr>
      <w:rFonts w:ascii="Times New Roman" w:eastAsia="Times New Roman" w:hAnsi="Times New Roman" w:cs="Times New Roman"/>
      <w:kern w:val="0"/>
      <w14:ligatures w14:val="none"/>
    </w:rPr>
  </w:style>
  <w:style w:type="paragraph" w:customStyle="1" w:styleId="zamik">
    <w:name w:val="zamik"/>
    <w:basedOn w:val="Navaden"/>
    <w:rsid w:val="00D91782"/>
    <w:pPr>
      <w:spacing w:after="0" w:line="240" w:lineRule="auto"/>
      <w:ind w:firstLine="1021"/>
    </w:pPr>
    <w:rPr>
      <w:rFonts w:ascii="Times New Roman" w:eastAsia="Times New Roman" w:hAnsi="Times New Roman" w:cs="Times New Roman"/>
      <w:kern w:val="0"/>
      <w14:ligatures w14:val="none"/>
    </w:rPr>
  </w:style>
  <w:style w:type="paragraph" w:customStyle="1" w:styleId="alineazaodstavkom0">
    <w:name w:val="alinea_za_odstavkom"/>
    <w:basedOn w:val="Navaden"/>
    <w:rsid w:val="00D91782"/>
    <w:pPr>
      <w:spacing w:after="0" w:line="240" w:lineRule="auto"/>
      <w:ind w:hanging="425"/>
      <w:jc w:val="both"/>
    </w:pPr>
    <w:rPr>
      <w:rFonts w:ascii="Times New Roman" w:eastAsia="Times New Roman" w:hAnsi="Times New Roman" w:cs="Times New Roman"/>
      <w:kern w:val="0"/>
      <w14:ligatures w14:val="none"/>
    </w:rPr>
  </w:style>
  <w:style w:type="paragraph" w:customStyle="1" w:styleId="center">
    <w:name w:val="center"/>
    <w:basedOn w:val="Navaden"/>
    <w:rsid w:val="00D91782"/>
    <w:pPr>
      <w:spacing w:after="0" w:line="240" w:lineRule="auto"/>
      <w:jc w:val="center"/>
    </w:pPr>
    <w:rPr>
      <w:rFonts w:ascii="Times New Roman" w:eastAsia="Times New Roman" w:hAnsi="Times New Roman" w:cs="Times New Roman"/>
      <w:kern w:val="0"/>
      <w14:ligatures w14:val="none"/>
    </w:rPr>
  </w:style>
  <w:style w:type="paragraph" w:customStyle="1" w:styleId="alineazastevilcnotocko">
    <w:name w:val="alinea_za_stevilcno_tocko"/>
    <w:basedOn w:val="Navaden"/>
    <w:rsid w:val="00D91782"/>
    <w:pPr>
      <w:spacing w:after="0" w:line="240" w:lineRule="auto"/>
      <w:ind w:hanging="142"/>
      <w:jc w:val="both"/>
    </w:pPr>
    <w:rPr>
      <w:rFonts w:ascii="Times New Roman" w:eastAsia="Times New Roman" w:hAnsi="Times New Roman" w:cs="Times New Roman"/>
      <w:kern w:val="0"/>
      <w14:ligatures w14:val="none"/>
    </w:rPr>
  </w:style>
  <w:style w:type="character" w:customStyle="1" w:styleId="OddelekZnak1">
    <w:name w:val="OddelekZnak1"/>
    <w:basedOn w:val="Privzetapisavaodstavka"/>
    <w:rsid w:val="00D91782"/>
  </w:style>
  <w:style w:type="paragraph" w:customStyle="1" w:styleId="crkovnatockazaodstavkom">
    <w:name w:val="crkovna_tocka_za_odstavkom"/>
    <w:basedOn w:val="Navaden"/>
    <w:rsid w:val="00D91782"/>
    <w:pPr>
      <w:spacing w:after="0" w:line="240" w:lineRule="auto"/>
      <w:ind w:hanging="425"/>
      <w:jc w:val="both"/>
    </w:pPr>
    <w:rPr>
      <w:rFonts w:ascii="Times New Roman" w:eastAsia="Times New Roman" w:hAnsi="Times New Roman" w:cs="Times New Roman"/>
      <w:kern w:val="0"/>
      <w14:ligatures w14:val="none"/>
    </w:rPr>
  </w:style>
  <w:style w:type="paragraph" w:customStyle="1" w:styleId="slika">
    <w:name w:val="slika"/>
    <w:basedOn w:val="Navaden"/>
    <w:rsid w:val="00D91782"/>
    <w:pPr>
      <w:pBdr>
        <w:top w:val="none" w:sz="0" w:space="20" w:color="auto"/>
        <w:bottom w:val="none" w:sz="0" w:space="20" w:color="auto"/>
      </w:pBdr>
      <w:spacing w:after="0" w:line="240" w:lineRule="auto"/>
      <w:jc w:val="center"/>
    </w:pPr>
    <w:rPr>
      <w:rFonts w:ascii="Times New Roman" w:eastAsia="Times New Roman" w:hAnsi="Times New Roman" w:cs="Times New Roman"/>
      <w:kern w:val="0"/>
      <w14:ligatures w14:val="none"/>
    </w:rPr>
  </w:style>
  <w:style w:type="paragraph" w:customStyle="1" w:styleId="p">
    <w:name w:val="p"/>
    <w:basedOn w:val="Navaden"/>
    <w:rsid w:val="00D91782"/>
    <w:pPr>
      <w:spacing w:after="0" w:line="240" w:lineRule="auto"/>
    </w:pPr>
    <w:rPr>
      <w:rFonts w:ascii="Times New Roman" w:eastAsia="Times New Roman" w:hAnsi="Times New Roman" w:cs="Times New Roman"/>
      <w:kern w:val="0"/>
      <w:sz w:val="21"/>
      <w:szCs w:val="21"/>
      <w14:ligatures w14:val="none"/>
    </w:rPr>
  </w:style>
  <w:style w:type="paragraph" w:customStyle="1" w:styleId="tabela">
    <w:name w:val="tabela"/>
    <w:basedOn w:val="Navaden"/>
    <w:rsid w:val="00D91782"/>
    <w:pPr>
      <w:spacing w:after="0" w:line="240" w:lineRule="auto"/>
    </w:pPr>
    <w:rPr>
      <w:rFonts w:ascii="Times New Roman" w:eastAsia="Times New Roman" w:hAnsi="Times New Roman" w:cs="Times New Roman"/>
      <w:kern w:val="0"/>
      <w14:ligatures w14:val="none"/>
    </w:rPr>
  </w:style>
  <w:style w:type="character" w:styleId="Pripombasklic">
    <w:name w:val="annotation reference"/>
    <w:aliases w:val="Komentar - sklic"/>
    <w:basedOn w:val="Privzetapisavaodstavka"/>
    <w:uiPriority w:val="99"/>
    <w:unhideWhenUsed/>
    <w:rsid w:val="00D91782"/>
    <w:rPr>
      <w:sz w:val="16"/>
      <w:szCs w:val="16"/>
    </w:rPr>
  </w:style>
  <w:style w:type="paragraph" w:styleId="Pripombabesedilo">
    <w:name w:val="annotation text"/>
    <w:aliases w:val="Komentar - besedilo"/>
    <w:basedOn w:val="Navaden"/>
    <w:link w:val="PripombabesediloZnak"/>
    <w:uiPriority w:val="99"/>
    <w:unhideWhenUsed/>
    <w:rsid w:val="00D91782"/>
    <w:pPr>
      <w:spacing w:after="0" w:line="240" w:lineRule="auto"/>
    </w:pPr>
    <w:rPr>
      <w:rFonts w:ascii="Times New Roman" w:eastAsia="Times New Roman" w:hAnsi="Times New Roman" w:cs="Times New Roman"/>
      <w:kern w:val="0"/>
      <w:sz w:val="20"/>
      <w:szCs w:val="20"/>
      <w14:ligatures w14:val="none"/>
    </w:rPr>
  </w:style>
  <w:style w:type="character" w:customStyle="1" w:styleId="PripombabesediloZnak">
    <w:name w:val="Pripomba – besedilo Znak"/>
    <w:aliases w:val="Komentar - besedilo Znak"/>
    <w:basedOn w:val="Privzetapisavaodstavka"/>
    <w:link w:val="Pripombabesedilo"/>
    <w:uiPriority w:val="99"/>
    <w:rsid w:val="00D91782"/>
    <w:rPr>
      <w:rFonts w:ascii="Times New Roman" w:eastAsia="Times New Roman" w:hAnsi="Times New Roman" w:cs="Times New Roman"/>
      <w:kern w:val="0"/>
      <w:sz w:val="20"/>
      <w:szCs w:val="20"/>
      <w14:ligatures w14:val="none"/>
    </w:rPr>
  </w:style>
  <w:style w:type="paragraph" w:styleId="Zadevapripombe">
    <w:name w:val="annotation subject"/>
    <w:basedOn w:val="Pripombabesedilo"/>
    <w:next w:val="Pripombabesedilo"/>
    <w:link w:val="ZadevapripombeZnak"/>
    <w:uiPriority w:val="99"/>
    <w:unhideWhenUsed/>
    <w:rsid w:val="00D91782"/>
    <w:rPr>
      <w:b/>
      <w:bCs/>
    </w:rPr>
  </w:style>
  <w:style w:type="character" w:customStyle="1" w:styleId="ZadevapripombeZnak">
    <w:name w:val="Zadeva pripombe Znak"/>
    <w:basedOn w:val="PripombabesediloZnak"/>
    <w:link w:val="Zadevapripombe"/>
    <w:uiPriority w:val="99"/>
    <w:rsid w:val="00D91782"/>
    <w:rPr>
      <w:rFonts w:ascii="Times New Roman" w:eastAsia="Times New Roman" w:hAnsi="Times New Roman" w:cs="Times New Roman"/>
      <w:b/>
      <w:bCs/>
      <w:kern w:val="0"/>
      <w:sz w:val="20"/>
      <w:szCs w:val="20"/>
      <w14:ligatures w14:val="none"/>
    </w:rPr>
  </w:style>
  <w:style w:type="paragraph" w:styleId="Besedilooblaka">
    <w:name w:val="Balloon Text"/>
    <w:basedOn w:val="Navaden"/>
    <w:link w:val="BesedilooblakaZnak"/>
    <w:uiPriority w:val="99"/>
    <w:unhideWhenUsed/>
    <w:rsid w:val="00D91782"/>
    <w:pPr>
      <w:spacing w:after="0" w:line="240" w:lineRule="auto"/>
    </w:pPr>
    <w:rPr>
      <w:rFonts w:ascii="Segoe UI" w:eastAsia="Times New Roman" w:hAnsi="Segoe UI" w:cs="Segoe UI"/>
      <w:kern w:val="0"/>
      <w:sz w:val="18"/>
      <w:szCs w:val="18"/>
      <w14:ligatures w14:val="none"/>
    </w:rPr>
  </w:style>
  <w:style w:type="character" w:customStyle="1" w:styleId="BesedilooblakaZnak">
    <w:name w:val="Besedilo oblačka Znak"/>
    <w:basedOn w:val="Privzetapisavaodstavka"/>
    <w:link w:val="Besedilooblaka"/>
    <w:uiPriority w:val="99"/>
    <w:rsid w:val="00D91782"/>
    <w:rPr>
      <w:rFonts w:ascii="Segoe UI" w:eastAsia="Times New Roman" w:hAnsi="Segoe UI" w:cs="Segoe UI"/>
      <w:kern w:val="0"/>
      <w:sz w:val="18"/>
      <w:szCs w:val="18"/>
      <w14:ligatures w14:val="none"/>
    </w:rPr>
  </w:style>
  <w:style w:type="paragraph" w:styleId="Revizija">
    <w:name w:val="Revision"/>
    <w:hidden/>
    <w:uiPriority w:val="99"/>
    <w:semiHidden/>
    <w:rsid w:val="00D91782"/>
    <w:pPr>
      <w:spacing w:after="0" w:line="240" w:lineRule="auto"/>
    </w:pPr>
    <w:rPr>
      <w:rFonts w:ascii="Times New Roman" w:eastAsia="Times New Roman" w:hAnsi="Times New Roman" w:cs="Times New Roman"/>
      <w:kern w:val="0"/>
      <w:lang w:val="en-US"/>
      <w14:ligatures w14:val="none"/>
    </w:rPr>
  </w:style>
  <w:style w:type="paragraph" w:customStyle="1" w:styleId="len">
    <w:name w:val="Člen"/>
    <w:basedOn w:val="Navaden"/>
    <w:link w:val="lenZnak"/>
    <w:qFormat/>
    <w:rsid w:val="00D91782"/>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kern w:val="0"/>
      <w:sz w:val="22"/>
      <w:szCs w:val="22"/>
      <w:lang w:eastAsia="sl-SI"/>
      <w14:ligatures w14:val="none"/>
    </w:rPr>
  </w:style>
  <w:style w:type="character" w:customStyle="1" w:styleId="lenZnak">
    <w:name w:val="Člen Znak"/>
    <w:link w:val="len"/>
    <w:rsid w:val="00D91782"/>
    <w:rPr>
      <w:rFonts w:ascii="Arial" w:eastAsia="Times New Roman" w:hAnsi="Arial" w:cs="Arial"/>
      <w:b/>
      <w:kern w:val="0"/>
      <w:sz w:val="22"/>
      <w:szCs w:val="22"/>
      <w:lang w:eastAsia="sl-SI"/>
      <w14:ligatures w14:val="none"/>
    </w:rPr>
  </w:style>
  <w:style w:type="character" w:styleId="Hiperpovezava">
    <w:name w:val="Hyperlink"/>
    <w:uiPriority w:val="99"/>
    <w:unhideWhenUsed/>
    <w:rsid w:val="00D91782"/>
    <w:rPr>
      <w:b/>
      <w:color w:val="0000FF"/>
      <w:u w:val="single"/>
    </w:rPr>
  </w:style>
  <w:style w:type="character" w:customStyle="1" w:styleId="rynqvb">
    <w:name w:val="rynqvb"/>
    <w:basedOn w:val="Privzetapisavaodstavka"/>
    <w:rsid w:val="00D91782"/>
  </w:style>
  <w:style w:type="paragraph" w:customStyle="1" w:styleId="oj-doc-ti">
    <w:name w:val="oj-doc-ti"/>
    <w:basedOn w:val="Navaden"/>
    <w:rsid w:val="00D91782"/>
    <w:pPr>
      <w:spacing w:before="100" w:beforeAutospacing="1" w:after="100" w:afterAutospacing="1" w:line="240" w:lineRule="auto"/>
    </w:pPr>
    <w:rPr>
      <w:rFonts w:ascii="Times New Roman" w:eastAsia="Times New Roman" w:hAnsi="Times New Roman" w:cs="Times New Roman"/>
      <w:kern w:val="0"/>
      <w:lang w:eastAsia="sl-SI"/>
      <w14:ligatures w14:val="none"/>
    </w:rPr>
  </w:style>
  <w:style w:type="paragraph" w:customStyle="1" w:styleId="Slog1">
    <w:name w:val="Slog1"/>
    <w:basedOn w:val="Navaden"/>
    <w:link w:val="Slog1Znak"/>
    <w:qFormat/>
    <w:rsid w:val="00D91782"/>
    <w:pPr>
      <w:spacing w:after="0" w:line="240" w:lineRule="auto"/>
      <w:jc w:val="center"/>
    </w:pPr>
    <w:rPr>
      <w:rFonts w:ascii="Arial" w:eastAsia="Arial" w:hAnsi="Arial" w:cs="Arial"/>
      <w:b/>
      <w:bCs/>
      <w:kern w:val="0"/>
      <w:sz w:val="21"/>
      <w:szCs w:val="21"/>
      <w14:ligatures w14:val="none"/>
    </w:rPr>
  </w:style>
  <w:style w:type="character" w:customStyle="1" w:styleId="Slog1Znak">
    <w:name w:val="Slog1 Znak"/>
    <w:basedOn w:val="Privzetapisavaodstavka"/>
    <w:link w:val="Slog1"/>
    <w:rsid w:val="00D91782"/>
    <w:rPr>
      <w:rFonts w:ascii="Arial" w:eastAsia="Arial" w:hAnsi="Arial" w:cs="Arial"/>
      <w:b/>
      <w:bCs/>
      <w:kern w:val="0"/>
      <w:sz w:val="21"/>
      <w:szCs w:val="21"/>
      <w14:ligatures w14:val="none"/>
    </w:rPr>
  </w:style>
  <w:style w:type="paragraph" w:customStyle="1" w:styleId="Slog2">
    <w:name w:val="Slog2"/>
    <w:basedOn w:val="Navaden"/>
    <w:link w:val="Slog2Znak"/>
    <w:qFormat/>
    <w:rsid w:val="00D91782"/>
    <w:pPr>
      <w:spacing w:after="0" w:line="240" w:lineRule="auto"/>
      <w:jc w:val="center"/>
    </w:pPr>
    <w:rPr>
      <w:rFonts w:ascii="Arial" w:eastAsia="Arial" w:hAnsi="Arial" w:cs="Arial"/>
      <w:b/>
      <w:bCs/>
      <w:kern w:val="0"/>
      <w:sz w:val="21"/>
      <w:szCs w:val="21"/>
      <w14:ligatures w14:val="none"/>
    </w:rPr>
  </w:style>
  <w:style w:type="character" w:customStyle="1" w:styleId="Slog2Znak">
    <w:name w:val="Slog2 Znak"/>
    <w:basedOn w:val="Privzetapisavaodstavka"/>
    <w:link w:val="Slog2"/>
    <w:rsid w:val="00D91782"/>
    <w:rPr>
      <w:rFonts w:ascii="Arial" w:eastAsia="Arial" w:hAnsi="Arial" w:cs="Arial"/>
      <w:b/>
      <w:bCs/>
      <w:kern w:val="0"/>
      <w:sz w:val="21"/>
      <w:szCs w:val="21"/>
      <w14:ligatures w14:val="none"/>
    </w:rPr>
  </w:style>
  <w:style w:type="paragraph" w:customStyle="1" w:styleId="Slog3">
    <w:name w:val="Slog3"/>
    <w:basedOn w:val="Slog2"/>
    <w:link w:val="Slog3Znak"/>
    <w:qFormat/>
    <w:rsid w:val="00D91782"/>
  </w:style>
  <w:style w:type="character" w:customStyle="1" w:styleId="Slog3Znak">
    <w:name w:val="Slog3 Znak"/>
    <w:basedOn w:val="Slog2Znak"/>
    <w:link w:val="Slog3"/>
    <w:rsid w:val="00D91782"/>
    <w:rPr>
      <w:rFonts w:ascii="Arial" w:eastAsia="Arial" w:hAnsi="Arial" w:cs="Arial"/>
      <w:b/>
      <w:bCs/>
      <w:kern w:val="0"/>
      <w:sz w:val="21"/>
      <w:szCs w:val="21"/>
      <w14:ligatures w14:val="none"/>
    </w:rPr>
  </w:style>
  <w:style w:type="paragraph" w:customStyle="1" w:styleId="Alinejazarkovnotoko">
    <w:name w:val="Alineja za črkovno točko"/>
    <w:basedOn w:val="Alineazatevilnotoko"/>
    <w:link w:val="AlinejazarkovnotokoZnak"/>
    <w:qFormat/>
    <w:rsid w:val="00D91782"/>
  </w:style>
  <w:style w:type="paragraph" w:styleId="Noga">
    <w:name w:val="footer"/>
    <w:basedOn w:val="Navaden"/>
    <w:link w:val="NogaZnak"/>
    <w:uiPriority w:val="99"/>
    <w:unhideWhenUsed/>
    <w:rsid w:val="00D91782"/>
    <w:pPr>
      <w:tabs>
        <w:tab w:val="center" w:pos="4536"/>
        <w:tab w:val="right" w:pos="9072"/>
      </w:tabs>
      <w:overflowPunct w:val="0"/>
      <w:autoSpaceDE w:val="0"/>
      <w:autoSpaceDN w:val="0"/>
      <w:adjustRightInd w:val="0"/>
      <w:spacing w:after="0" w:line="240" w:lineRule="auto"/>
      <w:jc w:val="both"/>
      <w:textAlignment w:val="baseline"/>
    </w:pPr>
    <w:rPr>
      <w:rFonts w:ascii="Times New Roman" w:eastAsia="Calibri" w:hAnsi="Times New Roman" w:cs="Times New Roman"/>
      <w:kern w:val="0"/>
      <w:sz w:val="20"/>
      <w:szCs w:val="20"/>
      <w:lang w:eastAsia="sl-SI"/>
      <w14:ligatures w14:val="none"/>
    </w:rPr>
  </w:style>
  <w:style w:type="character" w:customStyle="1" w:styleId="NogaZnak">
    <w:name w:val="Noga Znak"/>
    <w:basedOn w:val="Privzetapisavaodstavka"/>
    <w:link w:val="Noga"/>
    <w:uiPriority w:val="99"/>
    <w:rsid w:val="00D91782"/>
    <w:rPr>
      <w:rFonts w:ascii="Times New Roman" w:eastAsia="Calibri" w:hAnsi="Times New Roman" w:cs="Times New Roman"/>
      <w:kern w:val="0"/>
      <w:sz w:val="20"/>
      <w:szCs w:val="20"/>
      <w:lang w:eastAsia="sl-SI"/>
      <w14:ligatures w14:val="none"/>
    </w:rPr>
  </w:style>
  <w:style w:type="paragraph" w:styleId="Glava">
    <w:name w:val="header"/>
    <w:basedOn w:val="Navaden"/>
    <w:link w:val="GlavaZnak"/>
    <w:rsid w:val="00D91782"/>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kern w:val="0"/>
      <w:sz w:val="16"/>
      <w:szCs w:val="16"/>
      <w:lang w:eastAsia="sl-SI"/>
      <w14:ligatures w14:val="none"/>
    </w:rPr>
  </w:style>
  <w:style w:type="character" w:customStyle="1" w:styleId="GlavaZnak">
    <w:name w:val="Glava Znak"/>
    <w:basedOn w:val="Privzetapisavaodstavka"/>
    <w:link w:val="Glava"/>
    <w:qFormat/>
    <w:rsid w:val="00D91782"/>
    <w:rPr>
      <w:rFonts w:ascii="Arial" w:eastAsia="Times New Roman" w:hAnsi="Arial" w:cs="Times New Roman"/>
      <w:kern w:val="0"/>
      <w:sz w:val="16"/>
      <w:szCs w:val="16"/>
      <w:lang w:eastAsia="sl-SI"/>
      <w14:ligatures w14:val="none"/>
    </w:rPr>
  </w:style>
  <w:style w:type="paragraph" w:customStyle="1" w:styleId="Vrstapredpisa">
    <w:name w:val="Vrsta predpisa"/>
    <w:basedOn w:val="Navaden"/>
    <w:link w:val="VrstapredpisaZnak"/>
    <w:qFormat/>
    <w:rsid w:val="00D9178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kern w:val="0"/>
      <w:sz w:val="22"/>
      <w:szCs w:val="22"/>
      <w:lang w:eastAsia="sl-SI"/>
      <w14:ligatures w14:val="none"/>
    </w:rPr>
  </w:style>
  <w:style w:type="paragraph" w:customStyle="1" w:styleId="Naslovpredpisa">
    <w:name w:val="Naslov_predpisa"/>
    <w:basedOn w:val="Navaden"/>
    <w:link w:val="NaslovpredpisaZnak"/>
    <w:qFormat/>
    <w:rsid w:val="00D91782"/>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kern w:val="0"/>
      <w:sz w:val="22"/>
      <w:szCs w:val="22"/>
      <w:lang w:eastAsia="sl-SI"/>
      <w14:ligatures w14:val="none"/>
    </w:rPr>
  </w:style>
  <w:style w:type="character" w:customStyle="1" w:styleId="VrstapredpisaZnak">
    <w:name w:val="Vrsta predpisa Znak"/>
    <w:link w:val="Vrstapredpisa"/>
    <w:rsid w:val="00D91782"/>
    <w:rPr>
      <w:rFonts w:ascii="Arial" w:eastAsia="Times New Roman" w:hAnsi="Arial" w:cs="Times New Roman"/>
      <w:b/>
      <w:bCs/>
      <w:color w:val="000000"/>
      <w:spacing w:val="40"/>
      <w:kern w:val="0"/>
      <w:sz w:val="22"/>
      <w:szCs w:val="22"/>
      <w:lang w:eastAsia="sl-SI"/>
      <w14:ligatures w14:val="none"/>
    </w:rPr>
  </w:style>
  <w:style w:type="paragraph" w:customStyle="1" w:styleId="Poglavje">
    <w:name w:val="Poglavje"/>
    <w:basedOn w:val="Navaden"/>
    <w:qFormat/>
    <w:rsid w:val="00D91782"/>
    <w:pPr>
      <w:suppressAutoHyphens/>
      <w:overflowPunct w:val="0"/>
      <w:autoSpaceDE w:val="0"/>
      <w:autoSpaceDN w:val="0"/>
      <w:adjustRightInd w:val="0"/>
      <w:spacing w:before="480" w:after="0" w:line="240" w:lineRule="auto"/>
      <w:jc w:val="center"/>
      <w:textAlignment w:val="baseline"/>
    </w:pPr>
    <w:rPr>
      <w:rFonts w:ascii="Arial" w:eastAsia="Times New Roman" w:hAnsi="Arial" w:cs="Arial"/>
      <w:kern w:val="0"/>
      <w:sz w:val="22"/>
      <w:szCs w:val="22"/>
      <w:lang w:eastAsia="sl-SI"/>
      <w14:ligatures w14:val="none"/>
    </w:rPr>
  </w:style>
  <w:style w:type="character" w:customStyle="1" w:styleId="NaslovpredpisaZnak">
    <w:name w:val="Naslov_predpisa Znak"/>
    <w:link w:val="Naslovpredpisa"/>
    <w:rsid w:val="00D91782"/>
    <w:rPr>
      <w:rFonts w:ascii="Arial" w:eastAsia="Times New Roman" w:hAnsi="Arial" w:cs="Times New Roman"/>
      <w:b/>
      <w:kern w:val="0"/>
      <w:sz w:val="22"/>
      <w:szCs w:val="22"/>
      <w:lang w:eastAsia="sl-SI"/>
      <w14:ligatures w14:val="none"/>
    </w:rPr>
  </w:style>
  <w:style w:type="paragraph" w:customStyle="1" w:styleId="tevilnatoka111">
    <w:name w:val="Številčna točka 1.1.1"/>
    <w:basedOn w:val="Navaden"/>
    <w:qFormat/>
    <w:rsid w:val="00D91782"/>
    <w:pPr>
      <w:widowControl w:val="0"/>
      <w:numPr>
        <w:ilvl w:val="2"/>
        <w:numId w:val="297"/>
      </w:numPr>
      <w:overflowPunct w:val="0"/>
      <w:autoSpaceDE w:val="0"/>
      <w:autoSpaceDN w:val="0"/>
      <w:adjustRightInd w:val="0"/>
      <w:spacing w:after="0" w:line="240" w:lineRule="auto"/>
      <w:jc w:val="both"/>
      <w:textAlignment w:val="baseline"/>
    </w:pPr>
    <w:rPr>
      <w:rFonts w:ascii="Arial" w:eastAsia="Times New Roman" w:hAnsi="Arial" w:cs="Times New Roman"/>
      <w:kern w:val="0"/>
      <w:sz w:val="22"/>
      <w:szCs w:val="16"/>
      <w:lang w:eastAsia="sl-SI"/>
      <w14:ligatures w14:val="none"/>
    </w:rPr>
  </w:style>
  <w:style w:type="paragraph" w:customStyle="1" w:styleId="Odstavek">
    <w:name w:val="Odstavek"/>
    <w:basedOn w:val="Navaden"/>
    <w:link w:val="OdstavekZnak"/>
    <w:qFormat/>
    <w:rsid w:val="00D91782"/>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kern w:val="0"/>
      <w:sz w:val="22"/>
      <w:szCs w:val="22"/>
      <w:lang w:eastAsia="sl-SI"/>
      <w14:ligatures w14:val="none"/>
    </w:rPr>
  </w:style>
  <w:style w:type="paragraph" w:customStyle="1" w:styleId="Pravnapodlaga">
    <w:name w:val="Pravna podlaga"/>
    <w:basedOn w:val="Odstavek"/>
    <w:link w:val="PravnapodlagaZnak"/>
    <w:qFormat/>
    <w:rsid w:val="00D91782"/>
    <w:pPr>
      <w:spacing w:before="480"/>
    </w:pPr>
  </w:style>
  <w:style w:type="character" w:customStyle="1" w:styleId="OdstavekZnak">
    <w:name w:val="Odstavek Znak"/>
    <w:link w:val="Odstavek"/>
    <w:rsid w:val="00D91782"/>
    <w:rPr>
      <w:rFonts w:ascii="Arial" w:eastAsia="Times New Roman" w:hAnsi="Arial" w:cs="Times New Roman"/>
      <w:kern w:val="0"/>
      <w:sz w:val="22"/>
      <w:szCs w:val="22"/>
      <w:lang w:eastAsia="sl-SI"/>
      <w14:ligatures w14:val="none"/>
    </w:rPr>
  </w:style>
  <w:style w:type="character" w:customStyle="1" w:styleId="AlinejazarkovnotokoZnak">
    <w:name w:val="Alineja za črkovno točko Znak"/>
    <w:link w:val="Alinejazarkovnotoko"/>
    <w:rsid w:val="00D91782"/>
    <w:rPr>
      <w:rFonts w:ascii="Arial" w:eastAsia="Times New Roman" w:hAnsi="Arial" w:cs="Times New Roman"/>
      <w:kern w:val="0"/>
      <w:sz w:val="22"/>
      <w:szCs w:val="22"/>
      <w:lang w:eastAsia="sl-SI"/>
      <w14:ligatures w14:val="none"/>
    </w:rPr>
  </w:style>
  <w:style w:type="paragraph" w:customStyle="1" w:styleId="rkovnatokazatevilnotokoa2">
    <w:name w:val="Črkovna točka za številčno točko (a)"/>
    <w:basedOn w:val="rkovnatokazatevilnotoko"/>
    <w:rsid w:val="00D91782"/>
    <w:pPr>
      <w:numPr>
        <w:numId w:val="6"/>
      </w:numPr>
      <w:tabs>
        <w:tab w:val="clear" w:pos="782"/>
        <w:tab w:val="num" w:pos="425"/>
      </w:tabs>
      <w:ind w:left="1381" w:hanging="360"/>
    </w:pPr>
  </w:style>
  <w:style w:type="paragraph" w:customStyle="1" w:styleId="Prehodneinkoncnedolocbe">
    <w:name w:val="Prehodne in koncne dolocbe"/>
    <w:basedOn w:val="Navaden"/>
    <w:rsid w:val="00D91782"/>
    <w:pPr>
      <w:overflowPunct w:val="0"/>
      <w:autoSpaceDE w:val="0"/>
      <w:autoSpaceDN w:val="0"/>
      <w:adjustRightInd w:val="0"/>
      <w:spacing w:before="400" w:after="600" w:line="240" w:lineRule="auto"/>
      <w:jc w:val="both"/>
      <w:textAlignment w:val="baseline"/>
    </w:pPr>
    <w:rPr>
      <w:rFonts w:ascii="Arial" w:eastAsia="Times New Roman" w:hAnsi="Arial" w:cs="Times New Roman"/>
      <w:b/>
      <w:kern w:val="0"/>
      <w:sz w:val="22"/>
      <w:szCs w:val="16"/>
      <w:lang w:eastAsia="sl-SI"/>
      <w14:ligatures w14:val="none"/>
    </w:rPr>
  </w:style>
  <w:style w:type="paragraph" w:customStyle="1" w:styleId="Oddelek">
    <w:name w:val="Oddelek"/>
    <w:basedOn w:val="Navaden"/>
    <w:link w:val="OddelekZnak10"/>
    <w:qFormat/>
    <w:rsid w:val="00D91782"/>
    <w:pPr>
      <w:overflowPunct w:val="0"/>
      <w:autoSpaceDE w:val="0"/>
      <w:autoSpaceDN w:val="0"/>
      <w:adjustRightInd w:val="0"/>
      <w:spacing w:before="480" w:after="0" w:line="240" w:lineRule="auto"/>
      <w:jc w:val="center"/>
      <w:textAlignment w:val="baseline"/>
    </w:pPr>
    <w:rPr>
      <w:rFonts w:ascii="Arial" w:eastAsia="Times New Roman" w:hAnsi="Arial" w:cs="Times New Roman"/>
      <w:kern w:val="0"/>
      <w:sz w:val="22"/>
      <w:szCs w:val="22"/>
      <w:lang w:eastAsia="sl-SI"/>
      <w14:ligatures w14:val="none"/>
    </w:rPr>
  </w:style>
  <w:style w:type="paragraph" w:customStyle="1" w:styleId="Odsek">
    <w:name w:val="Odsek"/>
    <w:basedOn w:val="Navaden"/>
    <w:link w:val="OdsekZnak"/>
    <w:qFormat/>
    <w:rsid w:val="00D91782"/>
    <w:pPr>
      <w:overflowPunct w:val="0"/>
      <w:autoSpaceDE w:val="0"/>
      <w:autoSpaceDN w:val="0"/>
      <w:adjustRightInd w:val="0"/>
      <w:spacing w:before="480" w:after="0" w:line="240" w:lineRule="atLeast"/>
      <w:jc w:val="center"/>
      <w:textAlignment w:val="baseline"/>
    </w:pPr>
    <w:rPr>
      <w:rFonts w:ascii="Arial" w:eastAsia="Times New Roman" w:hAnsi="Arial" w:cs="Times New Roman"/>
      <w:kern w:val="0"/>
      <w:sz w:val="22"/>
      <w:szCs w:val="22"/>
      <w:lang w:eastAsia="sl-SI"/>
      <w14:ligatures w14:val="none"/>
    </w:rPr>
  </w:style>
  <w:style w:type="paragraph" w:customStyle="1" w:styleId="Del">
    <w:name w:val="Del"/>
    <w:basedOn w:val="Poglavje"/>
    <w:link w:val="DelZnak"/>
    <w:qFormat/>
    <w:rsid w:val="00D91782"/>
    <w:rPr>
      <w:rFonts w:cs="Times New Roman"/>
    </w:rPr>
  </w:style>
  <w:style w:type="character" w:customStyle="1" w:styleId="OddelekZnak10">
    <w:name w:val="Oddelek Znak1"/>
    <w:link w:val="Oddelek"/>
    <w:rsid w:val="00D91782"/>
    <w:rPr>
      <w:rFonts w:ascii="Arial" w:eastAsia="Times New Roman" w:hAnsi="Arial" w:cs="Times New Roman"/>
      <w:kern w:val="0"/>
      <w:sz w:val="22"/>
      <w:szCs w:val="22"/>
      <w:lang w:eastAsia="sl-SI"/>
      <w14:ligatures w14:val="none"/>
    </w:rPr>
  </w:style>
  <w:style w:type="character" w:customStyle="1" w:styleId="OdsekZnak">
    <w:name w:val="Odsek Znak"/>
    <w:link w:val="Odsek"/>
    <w:rsid w:val="00D91782"/>
    <w:rPr>
      <w:rFonts w:ascii="Arial" w:eastAsia="Times New Roman" w:hAnsi="Arial" w:cs="Times New Roman"/>
      <w:kern w:val="0"/>
      <w:sz w:val="22"/>
      <w:szCs w:val="22"/>
      <w:lang w:eastAsia="sl-SI"/>
      <w14:ligatures w14:val="none"/>
    </w:rPr>
  </w:style>
  <w:style w:type="paragraph" w:customStyle="1" w:styleId="Naslovnadlenom">
    <w:name w:val="Naslov nad členom"/>
    <w:basedOn w:val="Navaden"/>
    <w:link w:val="NaslovnadlenomZnak"/>
    <w:qFormat/>
    <w:rsid w:val="00D91782"/>
    <w:pPr>
      <w:overflowPunct w:val="0"/>
      <w:autoSpaceDE w:val="0"/>
      <w:autoSpaceDN w:val="0"/>
      <w:adjustRightInd w:val="0"/>
      <w:spacing w:before="480" w:after="0" w:line="240" w:lineRule="auto"/>
      <w:jc w:val="center"/>
      <w:textAlignment w:val="baseline"/>
    </w:pPr>
    <w:rPr>
      <w:rFonts w:ascii="Arial" w:eastAsia="Times New Roman" w:hAnsi="Arial" w:cs="Times New Roman"/>
      <w:b/>
      <w:kern w:val="0"/>
      <w:sz w:val="22"/>
      <w:szCs w:val="22"/>
      <w:lang w:eastAsia="sl-SI"/>
      <w14:ligatures w14:val="none"/>
    </w:rPr>
  </w:style>
  <w:style w:type="character" w:customStyle="1" w:styleId="DelZnak">
    <w:name w:val="Del Znak"/>
    <w:link w:val="Del"/>
    <w:rsid w:val="00D91782"/>
    <w:rPr>
      <w:rFonts w:ascii="Arial" w:eastAsia="Times New Roman" w:hAnsi="Arial" w:cs="Times New Roman"/>
      <w:kern w:val="0"/>
      <w:sz w:val="22"/>
      <w:szCs w:val="22"/>
      <w:lang w:eastAsia="sl-SI"/>
      <w14:ligatures w14:val="none"/>
    </w:rPr>
  </w:style>
  <w:style w:type="character" w:customStyle="1" w:styleId="NaslovnadlenomZnak">
    <w:name w:val="Naslov nad členom Znak"/>
    <w:link w:val="Naslovnadlenom"/>
    <w:rsid w:val="00D91782"/>
    <w:rPr>
      <w:rFonts w:ascii="Arial" w:eastAsia="Times New Roman" w:hAnsi="Arial" w:cs="Times New Roman"/>
      <w:b/>
      <w:kern w:val="0"/>
      <w:sz w:val="22"/>
      <w:szCs w:val="22"/>
      <w:lang w:eastAsia="sl-SI"/>
      <w14:ligatures w14:val="none"/>
    </w:rPr>
  </w:style>
  <w:style w:type="paragraph" w:customStyle="1" w:styleId="Nazivpodpisnika">
    <w:name w:val="Naziv podpisnika"/>
    <w:basedOn w:val="Navaden"/>
    <w:link w:val="NazivpodpisnikaZnak"/>
    <w:rsid w:val="00D91782"/>
    <w:pPr>
      <w:overflowPunct w:val="0"/>
      <w:autoSpaceDE w:val="0"/>
      <w:autoSpaceDN w:val="0"/>
      <w:adjustRightInd w:val="0"/>
      <w:spacing w:after="0" w:line="240" w:lineRule="auto"/>
      <w:ind w:left="5670"/>
      <w:jc w:val="center"/>
      <w:textAlignment w:val="baseline"/>
    </w:pPr>
    <w:rPr>
      <w:rFonts w:ascii="Arial" w:eastAsia="Times New Roman" w:hAnsi="Arial" w:cs="Times New Roman"/>
      <w:kern w:val="0"/>
      <w:sz w:val="22"/>
      <w:szCs w:val="22"/>
      <w:lang w:eastAsia="sl-SI"/>
      <w14:ligatures w14:val="none"/>
    </w:rPr>
  </w:style>
  <w:style w:type="character" w:customStyle="1" w:styleId="NazivpodpisnikaZnak">
    <w:name w:val="Naziv podpisnika Znak"/>
    <w:link w:val="Nazivpodpisnika"/>
    <w:rsid w:val="00D91782"/>
    <w:rPr>
      <w:rFonts w:ascii="Arial" w:eastAsia="Times New Roman" w:hAnsi="Arial" w:cs="Times New Roman"/>
      <w:kern w:val="0"/>
      <w:sz w:val="22"/>
      <w:szCs w:val="22"/>
      <w:lang w:eastAsia="sl-SI"/>
      <w14:ligatures w14:val="none"/>
    </w:rPr>
  </w:style>
  <w:style w:type="paragraph" w:customStyle="1" w:styleId="rkovnatokazaodstavkom">
    <w:name w:val="Črkovna točka_za odstavkom"/>
    <w:basedOn w:val="Navaden"/>
    <w:link w:val="rkovnatokazaodstavkomZnak"/>
    <w:qFormat/>
    <w:rsid w:val="00D91782"/>
    <w:pPr>
      <w:numPr>
        <w:numId w:val="11"/>
      </w:numPr>
      <w:overflowPunct w:val="0"/>
      <w:autoSpaceDE w:val="0"/>
      <w:autoSpaceDN w:val="0"/>
      <w:adjustRightInd w:val="0"/>
      <w:spacing w:after="0" w:line="240" w:lineRule="auto"/>
      <w:contextualSpacing/>
      <w:jc w:val="both"/>
      <w:textAlignment w:val="baseline"/>
    </w:pPr>
    <w:rPr>
      <w:rFonts w:ascii="Arial" w:eastAsia="Times New Roman" w:hAnsi="Arial" w:cs="Times New Roman"/>
      <w:kern w:val="0"/>
      <w:sz w:val="22"/>
      <w:szCs w:val="22"/>
      <w:lang w:eastAsia="sl-SI"/>
      <w14:ligatures w14:val="none"/>
    </w:rPr>
  </w:style>
  <w:style w:type="paragraph" w:customStyle="1" w:styleId="Alineazatevilnotoko">
    <w:name w:val="Alinea za številčno točko"/>
    <w:basedOn w:val="Alineazaodstavkom"/>
    <w:link w:val="AlineazatevilnotokoZnak"/>
    <w:qFormat/>
    <w:rsid w:val="00D91782"/>
    <w:pPr>
      <w:tabs>
        <w:tab w:val="clear" w:pos="425"/>
        <w:tab w:val="left" w:pos="567"/>
      </w:tabs>
      <w:ind w:left="567" w:hanging="142"/>
    </w:pPr>
  </w:style>
  <w:style w:type="character" w:customStyle="1" w:styleId="rkovnatokazaodstavkomZnak">
    <w:name w:val="Črkovna točka_za odstavkom Znak"/>
    <w:link w:val="rkovnatokazaodstavkom"/>
    <w:rsid w:val="00D91782"/>
    <w:rPr>
      <w:rFonts w:ascii="Arial" w:eastAsia="Times New Roman" w:hAnsi="Arial" w:cs="Times New Roman"/>
      <w:kern w:val="0"/>
      <w:sz w:val="22"/>
      <w:szCs w:val="22"/>
      <w:lang w:eastAsia="sl-SI"/>
      <w14:ligatures w14:val="none"/>
    </w:rPr>
  </w:style>
  <w:style w:type="paragraph" w:customStyle="1" w:styleId="tevilnatoka">
    <w:name w:val="Številčna točka"/>
    <w:basedOn w:val="Navaden"/>
    <w:link w:val="tevilnatokaZnak"/>
    <w:qFormat/>
    <w:rsid w:val="00D91782"/>
    <w:pPr>
      <w:numPr>
        <w:numId w:val="297"/>
      </w:numPr>
      <w:spacing w:after="0" w:line="240" w:lineRule="auto"/>
      <w:jc w:val="both"/>
    </w:pPr>
    <w:rPr>
      <w:rFonts w:ascii="Arial" w:eastAsia="Times New Roman" w:hAnsi="Arial" w:cs="Times New Roman"/>
      <w:kern w:val="0"/>
      <w:sz w:val="22"/>
      <w:szCs w:val="22"/>
      <w:lang w:eastAsia="sl-SI"/>
      <w14:ligatures w14:val="none"/>
    </w:rPr>
  </w:style>
  <w:style w:type="character" w:customStyle="1" w:styleId="AlineazatevilnotokoZnak">
    <w:name w:val="Alinea za številčno točko Znak"/>
    <w:link w:val="Alineazatevilnotoko"/>
    <w:rsid w:val="00D91782"/>
    <w:rPr>
      <w:rFonts w:ascii="Arial" w:eastAsia="Times New Roman" w:hAnsi="Arial" w:cs="Times New Roman"/>
      <w:kern w:val="0"/>
      <w:sz w:val="22"/>
      <w:szCs w:val="22"/>
      <w:lang w:eastAsia="sl-SI"/>
      <w14:ligatures w14:val="none"/>
    </w:rPr>
  </w:style>
  <w:style w:type="paragraph" w:customStyle="1" w:styleId="rkovnatokazatevilnotoko">
    <w:name w:val="Črkovna točka za številčno točko"/>
    <w:link w:val="rkovnatokazatevilnotokoZnak"/>
    <w:qFormat/>
    <w:rsid w:val="00D91782"/>
    <w:pPr>
      <w:numPr>
        <w:numId w:val="7"/>
      </w:numPr>
      <w:spacing w:after="0" w:line="240" w:lineRule="auto"/>
      <w:jc w:val="both"/>
    </w:pPr>
    <w:rPr>
      <w:rFonts w:ascii="Arial" w:eastAsia="Times New Roman" w:hAnsi="Arial" w:cs="Arial"/>
      <w:kern w:val="0"/>
      <w:sz w:val="22"/>
      <w:szCs w:val="22"/>
      <w:lang w:eastAsia="sl-SI"/>
      <w14:ligatures w14:val="none"/>
    </w:rPr>
  </w:style>
  <w:style w:type="character" w:customStyle="1" w:styleId="tevilnatokaZnak">
    <w:name w:val="Številčna točka Znak"/>
    <w:link w:val="tevilnatoka"/>
    <w:rsid w:val="00D91782"/>
    <w:rPr>
      <w:rFonts w:ascii="Arial" w:eastAsia="Times New Roman" w:hAnsi="Arial" w:cs="Times New Roman"/>
      <w:kern w:val="0"/>
      <w:sz w:val="22"/>
      <w:szCs w:val="22"/>
      <w:lang w:eastAsia="sl-SI"/>
      <w14:ligatures w14:val="none"/>
    </w:rPr>
  </w:style>
  <w:style w:type="paragraph" w:customStyle="1" w:styleId="Alineazaodstavkom">
    <w:name w:val="Alinea za odstavkom"/>
    <w:basedOn w:val="Navaden"/>
    <w:link w:val="AlineazaodstavkomZnak"/>
    <w:qFormat/>
    <w:rsid w:val="00D91782"/>
    <w:pPr>
      <w:numPr>
        <w:numId w:val="3"/>
      </w:numPr>
      <w:spacing w:after="0" w:line="240" w:lineRule="auto"/>
      <w:jc w:val="both"/>
    </w:pPr>
    <w:rPr>
      <w:rFonts w:ascii="Arial" w:eastAsia="Times New Roman" w:hAnsi="Arial" w:cs="Times New Roman"/>
      <w:kern w:val="0"/>
      <w:sz w:val="22"/>
      <w:szCs w:val="22"/>
      <w:lang w:eastAsia="sl-SI"/>
      <w14:ligatures w14:val="none"/>
    </w:rPr>
  </w:style>
  <w:style w:type="character" w:customStyle="1" w:styleId="rkovnatokazatevilnotokoZnak">
    <w:name w:val="Črkovna točka za številčno točko Znak"/>
    <w:link w:val="rkovnatokazatevilnotoko"/>
    <w:rsid w:val="00D91782"/>
    <w:rPr>
      <w:rFonts w:ascii="Arial" w:eastAsia="Times New Roman" w:hAnsi="Arial" w:cs="Arial"/>
      <w:kern w:val="0"/>
      <w:sz w:val="22"/>
      <w:szCs w:val="22"/>
      <w:lang w:eastAsia="sl-SI"/>
      <w14:ligatures w14:val="none"/>
    </w:rPr>
  </w:style>
  <w:style w:type="paragraph" w:customStyle="1" w:styleId="tevilkanakoncupredpisa">
    <w:name w:val="Številka na koncu predpisa"/>
    <w:basedOn w:val="Datumsprejetja"/>
    <w:link w:val="tevilkanakoncupredpisaZnak"/>
    <w:qFormat/>
    <w:rsid w:val="00D91782"/>
    <w:pPr>
      <w:spacing w:before="480"/>
    </w:pPr>
  </w:style>
  <w:style w:type="character" w:customStyle="1" w:styleId="AlineazaodstavkomZnak">
    <w:name w:val="Alinea za odstavkom Znak"/>
    <w:link w:val="Alineazaodstavkom"/>
    <w:rsid w:val="00D91782"/>
    <w:rPr>
      <w:rFonts w:ascii="Arial" w:eastAsia="Times New Roman" w:hAnsi="Arial" w:cs="Times New Roman"/>
      <w:kern w:val="0"/>
      <w:sz w:val="22"/>
      <w:szCs w:val="22"/>
      <w:lang w:eastAsia="sl-SI"/>
      <w14:ligatures w14:val="none"/>
    </w:rPr>
  </w:style>
  <w:style w:type="paragraph" w:customStyle="1" w:styleId="Datumsprejetja">
    <w:name w:val="Datum sprejetja"/>
    <w:basedOn w:val="Navaden"/>
    <w:link w:val="DatumsprejetjaZnak"/>
    <w:qFormat/>
    <w:rsid w:val="00D91782"/>
    <w:pPr>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kern w:val="0"/>
      <w:sz w:val="22"/>
      <w:szCs w:val="22"/>
      <w:lang w:eastAsia="sl-SI"/>
      <w14:ligatures w14:val="none"/>
    </w:rPr>
  </w:style>
  <w:style w:type="character" w:customStyle="1" w:styleId="tevilkanakoncupredpisaZnak">
    <w:name w:val="Številka na koncu predpisa Znak"/>
    <w:link w:val="tevilkanakoncupredpisa"/>
    <w:rsid w:val="00D91782"/>
    <w:rPr>
      <w:rFonts w:ascii="Arial" w:eastAsia="Times New Roman" w:hAnsi="Arial" w:cs="Times New Roman"/>
      <w:snapToGrid w:val="0"/>
      <w:color w:val="000000"/>
      <w:kern w:val="0"/>
      <w:sz w:val="22"/>
      <w:szCs w:val="22"/>
      <w:lang w:eastAsia="sl-SI"/>
      <w14:ligatures w14:val="none"/>
    </w:rPr>
  </w:style>
  <w:style w:type="paragraph" w:customStyle="1" w:styleId="Podpisnik">
    <w:name w:val="Podpisnik"/>
    <w:basedOn w:val="Navaden"/>
    <w:link w:val="PodpisnikZnak"/>
    <w:qFormat/>
    <w:rsid w:val="00D91782"/>
    <w:pPr>
      <w:overflowPunct w:val="0"/>
      <w:autoSpaceDE w:val="0"/>
      <w:autoSpaceDN w:val="0"/>
      <w:adjustRightInd w:val="0"/>
      <w:spacing w:after="0" w:line="240" w:lineRule="auto"/>
      <w:ind w:left="5670"/>
      <w:jc w:val="center"/>
      <w:textAlignment w:val="baseline"/>
    </w:pPr>
    <w:rPr>
      <w:rFonts w:ascii="Arial" w:eastAsia="Times New Roman" w:hAnsi="Arial" w:cs="Times New Roman"/>
      <w:kern w:val="0"/>
      <w:sz w:val="22"/>
      <w:szCs w:val="22"/>
      <w:lang w:eastAsia="sl-SI"/>
      <w14:ligatures w14:val="none"/>
    </w:rPr>
  </w:style>
  <w:style w:type="character" w:customStyle="1" w:styleId="DatumsprejetjaZnak">
    <w:name w:val="Datum sprejetja Znak"/>
    <w:link w:val="Datumsprejetja"/>
    <w:rsid w:val="00D91782"/>
    <w:rPr>
      <w:rFonts w:ascii="Arial" w:eastAsia="Times New Roman" w:hAnsi="Arial" w:cs="Times New Roman"/>
      <w:snapToGrid w:val="0"/>
      <w:color w:val="000000"/>
      <w:kern w:val="0"/>
      <w:sz w:val="22"/>
      <w:szCs w:val="22"/>
      <w:lang w:eastAsia="sl-SI"/>
      <w14:ligatures w14:val="none"/>
    </w:rPr>
  </w:style>
  <w:style w:type="character" w:customStyle="1" w:styleId="PodpisnikZnak">
    <w:name w:val="Podpisnik Znak"/>
    <w:link w:val="Podpisnik"/>
    <w:rsid w:val="00D91782"/>
    <w:rPr>
      <w:rFonts w:ascii="Arial" w:eastAsia="Times New Roman" w:hAnsi="Arial" w:cs="Times New Roman"/>
      <w:kern w:val="0"/>
      <w:sz w:val="22"/>
      <w:szCs w:val="22"/>
      <w:lang w:eastAsia="sl-SI"/>
      <w14:ligatures w14:val="none"/>
    </w:rPr>
  </w:style>
  <w:style w:type="paragraph" w:customStyle="1" w:styleId="lennaslov">
    <w:name w:val="Člen_naslov"/>
    <w:basedOn w:val="len"/>
    <w:qFormat/>
    <w:rsid w:val="00D91782"/>
    <w:pPr>
      <w:spacing w:before="0"/>
    </w:pPr>
    <w:rPr>
      <w:rFonts w:cs="Times New Roman"/>
    </w:rPr>
  </w:style>
  <w:style w:type="character" w:customStyle="1" w:styleId="PravnapodlagaZnak">
    <w:name w:val="Pravna podlaga Znak"/>
    <w:link w:val="Pravnapodlaga"/>
    <w:rsid w:val="00D91782"/>
    <w:rPr>
      <w:rFonts w:ascii="Arial" w:eastAsia="Times New Roman" w:hAnsi="Arial" w:cs="Times New Roman"/>
      <w:kern w:val="0"/>
      <w:sz w:val="22"/>
      <w:szCs w:val="22"/>
      <w:lang w:eastAsia="sl-SI"/>
      <w14:ligatures w14:val="none"/>
    </w:rPr>
  </w:style>
  <w:style w:type="paragraph" w:customStyle="1" w:styleId="Pododdelek">
    <w:name w:val="Pododdelek"/>
    <w:basedOn w:val="Navaden"/>
    <w:link w:val="PododdelekZnak"/>
    <w:qFormat/>
    <w:rsid w:val="00D9178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kern w:val="0"/>
      <w:sz w:val="22"/>
      <w:szCs w:val="22"/>
      <w:lang w:eastAsia="sl-SI"/>
      <w14:ligatures w14:val="none"/>
    </w:rPr>
  </w:style>
  <w:style w:type="character" w:customStyle="1" w:styleId="PododdelekZnak">
    <w:name w:val="Pododdelek Znak"/>
    <w:link w:val="Pododdelek"/>
    <w:rsid w:val="00D91782"/>
    <w:rPr>
      <w:rFonts w:ascii="Arial" w:eastAsia="Times New Roman" w:hAnsi="Arial" w:cs="Times New Roman"/>
      <w:kern w:val="0"/>
      <w:sz w:val="22"/>
      <w:szCs w:val="22"/>
      <w:lang w:eastAsia="sl-SI"/>
      <w14:ligatures w14:val="none"/>
    </w:rPr>
  </w:style>
  <w:style w:type="paragraph" w:customStyle="1" w:styleId="EVA">
    <w:name w:val="EVA"/>
    <w:basedOn w:val="Navaden"/>
    <w:link w:val="EVAZnak"/>
    <w:qFormat/>
    <w:rsid w:val="00D91782"/>
    <w:pPr>
      <w:overflowPunct w:val="0"/>
      <w:autoSpaceDE w:val="0"/>
      <w:autoSpaceDN w:val="0"/>
      <w:adjustRightInd w:val="0"/>
      <w:spacing w:after="0" w:line="240" w:lineRule="auto"/>
      <w:jc w:val="both"/>
      <w:textAlignment w:val="baseline"/>
    </w:pPr>
    <w:rPr>
      <w:rFonts w:ascii="Arial" w:eastAsia="Times New Roman" w:hAnsi="Arial" w:cs="Times New Roman"/>
      <w:kern w:val="0"/>
      <w:sz w:val="22"/>
      <w:szCs w:val="22"/>
      <w:lang w:eastAsia="sl-SI"/>
      <w14:ligatures w14:val="none"/>
    </w:rPr>
  </w:style>
  <w:style w:type="paragraph" w:styleId="Navadensplet">
    <w:name w:val="Normal (Web)"/>
    <w:basedOn w:val="Navaden"/>
    <w:uiPriority w:val="99"/>
    <w:unhideWhenUsed/>
    <w:rsid w:val="00D91782"/>
    <w:pPr>
      <w:spacing w:after="161" w:line="240" w:lineRule="auto"/>
      <w:jc w:val="both"/>
    </w:pPr>
    <w:rPr>
      <w:rFonts w:ascii="Times New Roman" w:eastAsia="Times New Roman" w:hAnsi="Times New Roman" w:cs="Times New Roman"/>
      <w:color w:val="333333"/>
      <w:kern w:val="0"/>
      <w:sz w:val="14"/>
      <w:szCs w:val="14"/>
      <w:lang w:eastAsia="sl-SI"/>
      <w14:ligatures w14:val="none"/>
    </w:rPr>
  </w:style>
  <w:style w:type="character" w:customStyle="1" w:styleId="EVAZnak">
    <w:name w:val="EVA Znak"/>
    <w:link w:val="EVA"/>
    <w:rsid w:val="00D91782"/>
    <w:rPr>
      <w:rFonts w:ascii="Arial" w:eastAsia="Times New Roman" w:hAnsi="Arial" w:cs="Times New Roman"/>
      <w:kern w:val="0"/>
      <w:sz w:val="22"/>
      <w:szCs w:val="22"/>
      <w:lang w:eastAsia="sl-SI"/>
      <w14:ligatures w14:val="none"/>
    </w:rPr>
  </w:style>
  <w:style w:type="paragraph" w:customStyle="1" w:styleId="Imeorgana">
    <w:name w:val="Ime organa"/>
    <w:basedOn w:val="Navaden"/>
    <w:link w:val="ImeorganaZnak"/>
    <w:qFormat/>
    <w:rsid w:val="00D91782"/>
    <w:pPr>
      <w:overflowPunct w:val="0"/>
      <w:autoSpaceDE w:val="0"/>
      <w:autoSpaceDN w:val="0"/>
      <w:adjustRightInd w:val="0"/>
      <w:spacing w:before="480" w:after="0" w:line="240" w:lineRule="auto"/>
      <w:ind w:left="5670"/>
      <w:jc w:val="center"/>
      <w:textAlignment w:val="baseline"/>
    </w:pPr>
    <w:rPr>
      <w:rFonts w:ascii="Arial" w:eastAsia="Times New Roman" w:hAnsi="Arial" w:cs="Times New Roman"/>
      <w:kern w:val="0"/>
      <w:sz w:val="22"/>
      <w:szCs w:val="22"/>
      <w:lang w:eastAsia="sl-SI"/>
      <w14:ligatures w14:val="none"/>
    </w:rPr>
  </w:style>
  <w:style w:type="paragraph" w:customStyle="1" w:styleId="Opozorilo">
    <w:name w:val="Opozorilo"/>
    <w:basedOn w:val="Navaden"/>
    <w:link w:val="OpozoriloZnak"/>
    <w:qFormat/>
    <w:rsid w:val="00D91782"/>
    <w:pPr>
      <w:overflowPunct w:val="0"/>
      <w:autoSpaceDE w:val="0"/>
      <w:autoSpaceDN w:val="0"/>
      <w:adjustRightInd w:val="0"/>
      <w:spacing w:before="480" w:after="0" w:line="240" w:lineRule="auto"/>
      <w:jc w:val="both"/>
      <w:textAlignment w:val="baseline"/>
    </w:pPr>
    <w:rPr>
      <w:rFonts w:ascii="Arial" w:eastAsia="Times New Roman" w:hAnsi="Arial" w:cs="Times New Roman"/>
      <w:color w:val="808080"/>
      <w:kern w:val="0"/>
      <w:sz w:val="22"/>
      <w:szCs w:val="22"/>
      <w:lang w:eastAsia="sl-SI"/>
      <w14:ligatures w14:val="none"/>
    </w:rPr>
  </w:style>
  <w:style w:type="character" w:customStyle="1" w:styleId="OpozoriloZnak">
    <w:name w:val="Opozorilo Znak"/>
    <w:link w:val="Opozorilo"/>
    <w:rsid w:val="00D91782"/>
    <w:rPr>
      <w:rFonts w:ascii="Arial" w:eastAsia="Times New Roman" w:hAnsi="Arial" w:cs="Times New Roman"/>
      <w:color w:val="808080"/>
      <w:kern w:val="0"/>
      <w:sz w:val="22"/>
      <w:szCs w:val="22"/>
      <w:lang w:eastAsia="sl-SI"/>
      <w14:ligatures w14:val="none"/>
    </w:rPr>
  </w:style>
  <w:style w:type="paragraph" w:customStyle="1" w:styleId="lennovele">
    <w:name w:val="Člen_novele"/>
    <w:basedOn w:val="len"/>
    <w:link w:val="lennoveleZnak"/>
    <w:qFormat/>
    <w:rsid w:val="00D91782"/>
    <w:rPr>
      <w:rFonts w:cs="Times New Roman"/>
    </w:rPr>
  </w:style>
  <w:style w:type="paragraph" w:customStyle="1" w:styleId="Priloga">
    <w:name w:val="Priloga"/>
    <w:basedOn w:val="Navaden"/>
    <w:link w:val="PrilogaZnak"/>
    <w:qFormat/>
    <w:rsid w:val="00D91782"/>
    <w:pPr>
      <w:overflowPunct w:val="0"/>
      <w:autoSpaceDE w:val="0"/>
      <w:autoSpaceDN w:val="0"/>
      <w:adjustRightInd w:val="0"/>
      <w:spacing w:before="380" w:after="60" w:line="200" w:lineRule="exact"/>
      <w:jc w:val="both"/>
      <w:textAlignment w:val="baseline"/>
    </w:pPr>
    <w:rPr>
      <w:rFonts w:ascii="Arial" w:eastAsia="Times New Roman" w:hAnsi="Arial" w:cs="Times New Roman"/>
      <w:kern w:val="0"/>
      <w:sz w:val="22"/>
      <w:szCs w:val="17"/>
      <w:lang w:eastAsia="sl-SI"/>
      <w14:ligatures w14:val="none"/>
    </w:rPr>
  </w:style>
  <w:style w:type="character" w:customStyle="1" w:styleId="lennoveleZnak">
    <w:name w:val="Člen_novele Znak"/>
    <w:link w:val="lennovele"/>
    <w:rsid w:val="00D91782"/>
    <w:rPr>
      <w:rFonts w:ascii="Arial" w:eastAsia="Times New Roman" w:hAnsi="Arial" w:cs="Times New Roman"/>
      <w:b/>
      <w:kern w:val="0"/>
      <w:sz w:val="22"/>
      <w:szCs w:val="22"/>
      <w:lang w:eastAsia="sl-SI"/>
      <w14:ligatures w14:val="none"/>
    </w:rPr>
  </w:style>
  <w:style w:type="character" w:customStyle="1" w:styleId="PrilogaZnak">
    <w:name w:val="Priloga Znak"/>
    <w:link w:val="Priloga"/>
    <w:rsid w:val="00D91782"/>
    <w:rPr>
      <w:rFonts w:ascii="Arial" w:eastAsia="Times New Roman" w:hAnsi="Arial" w:cs="Times New Roman"/>
      <w:kern w:val="0"/>
      <w:sz w:val="22"/>
      <w:szCs w:val="17"/>
      <w:lang w:eastAsia="sl-SI"/>
      <w14:ligatures w14:val="none"/>
    </w:rPr>
  </w:style>
  <w:style w:type="paragraph" w:customStyle="1" w:styleId="rta">
    <w:name w:val="Črta"/>
    <w:basedOn w:val="Navaden"/>
    <w:link w:val="rtaZnak"/>
    <w:qFormat/>
    <w:rsid w:val="00D91782"/>
    <w:pPr>
      <w:overflowPunct w:val="0"/>
      <w:autoSpaceDE w:val="0"/>
      <w:autoSpaceDN w:val="0"/>
      <w:adjustRightInd w:val="0"/>
      <w:spacing w:before="360" w:after="0" w:line="240" w:lineRule="auto"/>
      <w:jc w:val="center"/>
      <w:textAlignment w:val="baseline"/>
    </w:pPr>
    <w:rPr>
      <w:rFonts w:ascii="Arial" w:eastAsia="Times New Roman" w:hAnsi="Arial" w:cs="Times New Roman"/>
      <w:kern w:val="0"/>
      <w:sz w:val="22"/>
      <w:szCs w:val="22"/>
      <w:lang w:eastAsia="sl-SI"/>
      <w14:ligatures w14:val="none"/>
    </w:rPr>
  </w:style>
  <w:style w:type="paragraph" w:customStyle="1" w:styleId="NPB">
    <w:name w:val="NPB"/>
    <w:basedOn w:val="Vrstapredpisa"/>
    <w:qFormat/>
    <w:rsid w:val="00D91782"/>
    <w:rPr>
      <w:spacing w:val="0"/>
    </w:rPr>
  </w:style>
  <w:style w:type="character" w:customStyle="1" w:styleId="rtaZnak">
    <w:name w:val="Črta Znak"/>
    <w:link w:val="rta"/>
    <w:rsid w:val="00D91782"/>
    <w:rPr>
      <w:rFonts w:ascii="Arial" w:eastAsia="Times New Roman" w:hAnsi="Arial" w:cs="Times New Roman"/>
      <w:kern w:val="0"/>
      <w:sz w:val="22"/>
      <w:szCs w:val="22"/>
      <w:lang w:eastAsia="sl-SI"/>
      <w14:ligatures w14:val="none"/>
    </w:rPr>
  </w:style>
  <w:style w:type="paragraph" w:customStyle="1" w:styleId="Zamaknjenadolobaprvinivo">
    <w:name w:val="Zamaknjena določba_prvi nivo"/>
    <w:basedOn w:val="Alineazaodstavkom"/>
    <w:link w:val="ZamaknjenadolobaprvinivoZnak"/>
    <w:qFormat/>
    <w:rsid w:val="00D91782"/>
    <w:pPr>
      <w:numPr>
        <w:numId w:val="0"/>
      </w:numPr>
    </w:pPr>
  </w:style>
  <w:style w:type="paragraph" w:customStyle="1" w:styleId="Zamaknjenadolobadruginivo">
    <w:name w:val="Zamaknjena določba_drugi nivo"/>
    <w:basedOn w:val="rkovnatokazatevilnotoko"/>
    <w:link w:val="ZamaknjenadolobadruginivoZnak"/>
    <w:qFormat/>
    <w:rsid w:val="00D91782"/>
    <w:pPr>
      <w:numPr>
        <w:numId w:val="0"/>
      </w:numPr>
      <w:ind w:left="425"/>
    </w:pPr>
  </w:style>
  <w:style w:type="character" w:customStyle="1" w:styleId="ZamaknjenadolobaprvinivoZnak">
    <w:name w:val="Zamaknjena določba_prvi nivo Znak"/>
    <w:link w:val="Zamaknjenadolobaprvinivo"/>
    <w:rsid w:val="00D91782"/>
    <w:rPr>
      <w:rFonts w:ascii="Arial" w:eastAsia="Times New Roman" w:hAnsi="Arial" w:cs="Times New Roman"/>
      <w:kern w:val="0"/>
      <w:sz w:val="22"/>
      <w:szCs w:val="22"/>
      <w:lang w:eastAsia="sl-SI"/>
      <w14:ligatures w14:val="none"/>
    </w:rPr>
  </w:style>
  <w:style w:type="character" w:customStyle="1" w:styleId="ZamaknjenadolobadruginivoZnak">
    <w:name w:val="Zamaknjena določba_drugi nivo Znak"/>
    <w:link w:val="Zamaknjenadolobadruginivo"/>
    <w:rsid w:val="00D91782"/>
    <w:rPr>
      <w:rFonts w:ascii="Arial" w:eastAsia="Times New Roman" w:hAnsi="Arial" w:cs="Arial"/>
      <w:kern w:val="0"/>
      <w:sz w:val="22"/>
      <w:szCs w:val="22"/>
      <w:lang w:eastAsia="sl-SI"/>
      <w14:ligatures w14:val="none"/>
    </w:rPr>
  </w:style>
  <w:style w:type="paragraph" w:customStyle="1" w:styleId="Alineazapodtoko">
    <w:name w:val="Alinea za podtočko"/>
    <w:basedOn w:val="Alineazaodstavkom"/>
    <w:link w:val="AlineazapodtokoZnak"/>
    <w:qFormat/>
    <w:rsid w:val="00D91782"/>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D91782"/>
    <w:pPr>
      <w:ind w:left="993"/>
    </w:pPr>
  </w:style>
  <w:style w:type="character" w:customStyle="1" w:styleId="AlineazapodtokoZnak">
    <w:name w:val="Alinea za podtočko Znak"/>
    <w:link w:val="Alineazapodtoko"/>
    <w:rsid w:val="00D91782"/>
    <w:rPr>
      <w:rFonts w:ascii="Arial" w:eastAsia="Times New Roman" w:hAnsi="Arial" w:cs="Times New Roman"/>
      <w:kern w:val="0"/>
      <w:sz w:val="22"/>
      <w:szCs w:val="22"/>
      <w:lang w:eastAsia="sl-SI"/>
      <w14:ligatures w14:val="none"/>
    </w:rPr>
  </w:style>
  <w:style w:type="numbering" w:customStyle="1" w:styleId="Alinejazaodstavkom">
    <w:name w:val="Alineja za odstavkom"/>
    <w:uiPriority w:val="99"/>
    <w:rsid w:val="00D91782"/>
    <w:pPr>
      <w:numPr>
        <w:numId w:val="2"/>
      </w:numPr>
    </w:pPr>
  </w:style>
  <w:style w:type="character" w:customStyle="1" w:styleId="ZamakanjenadolobatretjinivoZnak">
    <w:name w:val="Zamakanjena določba_tretji nivo Znak"/>
    <w:link w:val="Zamakanjenadolobatretjinivo"/>
    <w:rsid w:val="00D91782"/>
    <w:rPr>
      <w:rFonts w:ascii="Arial" w:eastAsia="Times New Roman" w:hAnsi="Arial" w:cs="Arial"/>
      <w:kern w:val="0"/>
      <w:sz w:val="22"/>
      <w:szCs w:val="22"/>
      <w:lang w:eastAsia="sl-SI"/>
      <w14:ligatures w14:val="none"/>
    </w:rPr>
  </w:style>
  <w:style w:type="character" w:customStyle="1" w:styleId="ImeorganaZnak">
    <w:name w:val="Ime organa Znak"/>
    <w:link w:val="Imeorgana"/>
    <w:rsid w:val="00D91782"/>
    <w:rPr>
      <w:rFonts w:ascii="Arial" w:eastAsia="Times New Roman" w:hAnsi="Arial" w:cs="Times New Roman"/>
      <w:kern w:val="0"/>
      <w:sz w:val="22"/>
      <w:szCs w:val="22"/>
      <w:lang w:eastAsia="sl-SI"/>
      <w14:ligatures w14:val="none"/>
    </w:rPr>
  </w:style>
  <w:style w:type="paragraph" w:customStyle="1" w:styleId="rkovnatokazaodstavkoma">
    <w:name w:val="Črkovna točka za odstavkom (a)"/>
    <w:link w:val="rkovnatokazaodstavkomaZnak"/>
    <w:qFormat/>
    <w:rsid w:val="00D91782"/>
    <w:pPr>
      <w:numPr>
        <w:numId w:val="4"/>
      </w:numPr>
      <w:spacing w:after="0" w:line="240" w:lineRule="auto"/>
      <w:jc w:val="both"/>
    </w:pPr>
    <w:rPr>
      <w:rFonts w:ascii="Arial" w:eastAsia="Times New Roman" w:hAnsi="Arial" w:cs="Times New Roman"/>
      <w:kern w:val="0"/>
      <w:sz w:val="22"/>
      <w:szCs w:val="16"/>
      <w:lang w:eastAsia="sl-SI"/>
      <w14:ligatures w14:val="none"/>
    </w:rPr>
  </w:style>
  <w:style w:type="paragraph" w:customStyle="1" w:styleId="rkovnatokazaodstavkomA2">
    <w:name w:val="Črkovna točka za odstavkom A."/>
    <w:basedOn w:val="Navaden"/>
    <w:rsid w:val="00D91782"/>
    <w:pPr>
      <w:numPr>
        <w:numId w:val="5"/>
      </w:numPr>
      <w:overflowPunct w:val="0"/>
      <w:autoSpaceDE w:val="0"/>
      <w:autoSpaceDN w:val="0"/>
      <w:adjustRightInd w:val="0"/>
      <w:spacing w:after="0" w:line="240" w:lineRule="auto"/>
      <w:jc w:val="both"/>
      <w:textAlignment w:val="baseline"/>
    </w:pPr>
    <w:rPr>
      <w:rFonts w:ascii="Arial" w:eastAsia="Times New Roman" w:hAnsi="Arial" w:cs="Times New Roman"/>
      <w:kern w:val="0"/>
      <w:sz w:val="22"/>
      <w:szCs w:val="16"/>
      <w:lang w:eastAsia="sl-SI"/>
      <w14:ligatures w14:val="none"/>
    </w:rPr>
  </w:style>
  <w:style w:type="character" w:customStyle="1" w:styleId="rkovnatokazaodstavkomaZnak">
    <w:name w:val="Črkovna točka za odstavkom (a) Znak"/>
    <w:link w:val="rkovnatokazaodstavkoma"/>
    <w:rsid w:val="00D91782"/>
    <w:rPr>
      <w:rFonts w:ascii="Arial" w:eastAsia="Times New Roman" w:hAnsi="Arial" w:cs="Times New Roman"/>
      <w:kern w:val="0"/>
      <w:sz w:val="22"/>
      <w:szCs w:val="16"/>
      <w:lang w:eastAsia="sl-SI"/>
      <w14:ligatures w14:val="none"/>
    </w:rPr>
  </w:style>
  <w:style w:type="paragraph" w:customStyle="1" w:styleId="lennaslovnovele">
    <w:name w:val="Člen naslov novele"/>
    <w:basedOn w:val="lennaslov"/>
    <w:rsid w:val="00D91782"/>
    <w:rPr>
      <w:b w:val="0"/>
    </w:rPr>
  </w:style>
  <w:style w:type="paragraph" w:customStyle="1" w:styleId="rkovnatokazaodstavkoma1">
    <w:name w:val="Črkovna točka za odstavkom a."/>
    <w:rsid w:val="00D91782"/>
    <w:pPr>
      <w:numPr>
        <w:numId w:val="10"/>
      </w:numPr>
      <w:tabs>
        <w:tab w:val="clear" w:pos="425"/>
      </w:tabs>
      <w:spacing w:after="0" w:line="240" w:lineRule="auto"/>
      <w:ind w:left="757" w:hanging="360"/>
      <w:jc w:val="both"/>
    </w:pPr>
    <w:rPr>
      <w:rFonts w:ascii="Arial" w:eastAsia="Times New Roman" w:hAnsi="Arial" w:cs="Arial"/>
      <w:kern w:val="0"/>
      <w:sz w:val="22"/>
      <w:szCs w:val="22"/>
      <w:lang w:eastAsia="sl-SI"/>
      <w14:ligatures w14:val="none"/>
    </w:rPr>
  </w:style>
  <w:style w:type="paragraph" w:customStyle="1" w:styleId="rkovnatokazatevilnotokoa">
    <w:name w:val="Črkovna točka za številčno točko a."/>
    <w:rsid w:val="00D91782"/>
    <w:pPr>
      <w:numPr>
        <w:numId w:val="8"/>
      </w:numPr>
      <w:tabs>
        <w:tab w:val="left" w:pos="782"/>
      </w:tabs>
      <w:spacing w:after="0" w:line="240" w:lineRule="auto"/>
      <w:ind w:left="782" w:hanging="357"/>
      <w:jc w:val="both"/>
    </w:pPr>
    <w:rPr>
      <w:rFonts w:ascii="Arial" w:eastAsia="Times New Roman" w:hAnsi="Arial" w:cs="Times New Roman"/>
      <w:kern w:val="0"/>
      <w:sz w:val="22"/>
      <w:szCs w:val="16"/>
      <w:lang w:eastAsia="sl-SI"/>
      <w14:ligatures w14:val="none"/>
    </w:rPr>
  </w:style>
  <w:style w:type="paragraph" w:customStyle="1" w:styleId="Rimskatevilnatoka">
    <w:name w:val="Rimska številčna točka"/>
    <w:basedOn w:val="Navaden"/>
    <w:rsid w:val="00D91782"/>
    <w:pPr>
      <w:numPr>
        <w:numId w:val="9"/>
      </w:numPr>
      <w:tabs>
        <w:tab w:val="clear" w:pos="425"/>
        <w:tab w:val="num" w:pos="782"/>
      </w:tabs>
      <w:overflowPunct w:val="0"/>
      <w:autoSpaceDE w:val="0"/>
      <w:autoSpaceDN w:val="0"/>
      <w:adjustRightInd w:val="0"/>
      <w:spacing w:after="0" w:line="240" w:lineRule="auto"/>
      <w:ind w:left="782" w:hanging="356"/>
      <w:jc w:val="both"/>
      <w:textAlignment w:val="baseline"/>
    </w:pPr>
    <w:rPr>
      <w:rFonts w:ascii="Arial" w:eastAsia="Times New Roman" w:hAnsi="Arial" w:cs="Times New Roman"/>
      <w:kern w:val="0"/>
      <w:sz w:val="22"/>
      <w:szCs w:val="16"/>
      <w:lang w:eastAsia="sl-SI"/>
      <w14:ligatures w14:val="none"/>
    </w:rPr>
  </w:style>
  <w:style w:type="paragraph" w:customStyle="1" w:styleId="rkovnatokazaodstavkomi">
    <w:name w:val="Črkovna točka za odstavkom (i)"/>
    <w:basedOn w:val="Alineazaodstavkom"/>
    <w:link w:val="rkovnatokazaodstavkomiZnak"/>
    <w:rsid w:val="00D91782"/>
    <w:pPr>
      <w:numPr>
        <w:numId w:val="13"/>
      </w:numPr>
    </w:pPr>
  </w:style>
  <w:style w:type="paragraph" w:customStyle="1" w:styleId="tevilnatoka11Nova">
    <w:name w:val="Številčna točka 1.1 Nova"/>
    <w:basedOn w:val="tevilnatoka"/>
    <w:link w:val="tevilnatoka11NovaZnak"/>
    <w:qFormat/>
    <w:rsid w:val="00D91782"/>
    <w:pPr>
      <w:numPr>
        <w:ilvl w:val="1"/>
      </w:numPr>
    </w:pPr>
  </w:style>
  <w:style w:type="character" w:customStyle="1" w:styleId="Neuvrsceno">
    <w:name w:val="Neuvrsceno"/>
    <w:uiPriority w:val="1"/>
    <w:rsid w:val="00D91782"/>
    <w:rPr>
      <w:bdr w:val="none" w:sz="0" w:space="0" w:color="auto"/>
      <w:shd w:val="clear" w:color="auto" w:fill="FFFF00"/>
    </w:rPr>
  </w:style>
  <w:style w:type="character" w:customStyle="1" w:styleId="tevilnatoka11NovaZnak">
    <w:name w:val="Številčna točka 1.1 Nova Znak"/>
    <w:link w:val="tevilnatoka11Nova"/>
    <w:rsid w:val="00D91782"/>
    <w:rPr>
      <w:rFonts w:ascii="Arial" w:eastAsia="Times New Roman" w:hAnsi="Arial" w:cs="Times New Roman"/>
      <w:kern w:val="0"/>
      <w:sz w:val="22"/>
      <w:szCs w:val="22"/>
      <w:lang w:eastAsia="sl-SI"/>
      <w14:ligatures w14:val="none"/>
    </w:rPr>
  </w:style>
  <w:style w:type="paragraph" w:customStyle="1" w:styleId="rkovnatokazatevilnotokoi">
    <w:name w:val="Črkovna točka za številčno točko (i)"/>
    <w:rsid w:val="00D91782"/>
    <w:pPr>
      <w:numPr>
        <w:numId w:val="12"/>
      </w:numPr>
      <w:tabs>
        <w:tab w:val="clear" w:pos="782"/>
        <w:tab w:val="num" w:pos="425"/>
      </w:tabs>
      <w:spacing w:after="0" w:line="240" w:lineRule="auto"/>
      <w:ind w:left="425" w:hanging="425"/>
    </w:pPr>
    <w:rPr>
      <w:rFonts w:ascii="Arial" w:eastAsia="Times New Roman" w:hAnsi="Arial" w:cs="Arial"/>
      <w:kern w:val="0"/>
      <w:sz w:val="22"/>
      <w:szCs w:val="22"/>
      <w:lang w:eastAsia="sl-SI"/>
      <w14:ligatures w14:val="none"/>
    </w:rPr>
  </w:style>
  <w:style w:type="character" w:customStyle="1" w:styleId="rkovnatokazaodstavkomiZnak">
    <w:name w:val="Črkovna točka za odstavkom (i) Znak"/>
    <w:link w:val="rkovnatokazaodstavkomi"/>
    <w:rsid w:val="00D91782"/>
    <w:rPr>
      <w:rFonts w:ascii="Arial" w:eastAsia="Times New Roman" w:hAnsi="Arial" w:cs="Times New Roman"/>
      <w:kern w:val="0"/>
      <w:sz w:val="22"/>
      <w:szCs w:val="22"/>
      <w:lang w:eastAsia="sl-SI"/>
      <w14:ligatures w14:val="none"/>
    </w:rPr>
  </w:style>
  <w:style w:type="paragraph" w:customStyle="1" w:styleId="rkovnatokazaodstavkomA0">
    <w:name w:val="Črkovna točka za odstavkom (A)"/>
    <w:link w:val="rkovnatokazaodstavkomAZnak0"/>
    <w:qFormat/>
    <w:rsid w:val="00D91782"/>
    <w:pPr>
      <w:numPr>
        <w:numId w:val="14"/>
      </w:numPr>
      <w:spacing w:after="0" w:line="240" w:lineRule="auto"/>
      <w:jc w:val="both"/>
    </w:pPr>
    <w:rPr>
      <w:rFonts w:ascii="Arial" w:eastAsia="Times New Roman" w:hAnsi="Arial" w:cs="Times New Roman"/>
      <w:kern w:val="0"/>
      <w:sz w:val="22"/>
      <w:szCs w:val="16"/>
      <w:lang w:eastAsia="sl-SI"/>
      <w14:ligatures w14:val="none"/>
    </w:rPr>
  </w:style>
  <w:style w:type="paragraph" w:customStyle="1" w:styleId="rkovnatokazaodstavkomA3">
    <w:name w:val="Črkovna točka za odstavkom A)"/>
    <w:link w:val="rkovnatokazaodstavkomAZnak1"/>
    <w:qFormat/>
    <w:rsid w:val="00D91782"/>
    <w:pPr>
      <w:numPr>
        <w:numId w:val="15"/>
      </w:numPr>
      <w:spacing w:after="0" w:line="240" w:lineRule="auto"/>
      <w:jc w:val="both"/>
    </w:pPr>
    <w:rPr>
      <w:rFonts w:ascii="Arial" w:eastAsia="Times New Roman" w:hAnsi="Arial" w:cs="Times New Roman"/>
      <w:kern w:val="0"/>
      <w:sz w:val="22"/>
      <w:szCs w:val="16"/>
      <w:lang w:eastAsia="sl-SI"/>
      <w14:ligatures w14:val="none"/>
    </w:rPr>
  </w:style>
  <w:style w:type="character" w:customStyle="1" w:styleId="rkovnatokazaodstavkomAZnak0">
    <w:name w:val="Črkovna točka za odstavkom (A) Znak"/>
    <w:link w:val="rkovnatokazaodstavkomA0"/>
    <w:rsid w:val="00D91782"/>
    <w:rPr>
      <w:rFonts w:ascii="Arial" w:eastAsia="Times New Roman" w:hAnsi="Arial" w:cs="Times New Roman"/>
      <w:kern w:val="0"/>
      <w:sz w:val="22"/>
      <w:szCs w:val="16"/>
      <w:lang w:eastAsia="sl-SI"/>
      <w14:ligatures w14:val="none"/>
    </w:rPr>
  </w:style>
  <w:style w:type="paragraph" w:customStyle="1" w:styleId="rkovnatokazatevilnotokoA1">
    <w:name w:val="Črkovna točka za številčno točko (A)"/>
    <w:link w:val="rkovnatokazatevilnotokoAZnak"/>
    <w:qFormat/>
    <w:rsid w:val="00D91782"/>
    <w:pPr>
      <w:numPr>
        <w:numId w:val="16"/>
      </w:numPr>
      <w:spacing w:after="0" w:line="240" w:lineRule="auto"/>
      <w:jc w:val="both"/>
    </w:pPr>
    <w:rPr>
      <w:rFonts w:ascii="Arial" w:eastAsia="Times New Roman" w:hAnsi="Arial" w:cs="Times New Roman"/>
      <w:kern w:val="0"/>
      <w:sz w:val="22"/>
      <w:szCs w:val="16"/>
      <w:lang w:eastAsia="sl-SI"/>
      <w14:ligatures w14:val="none"/>
    </w:rPr>
  </w:style>
  <w:style w:type="character" w:customStyle="1" w:styleId="rkovnatokazaodstavkomAZnak1">
    <w:name w:val="Črkovna točka za odstavkom A) Znak"/>
    <w:link w:val="rkovnatokazaodstavkomA3"/>
    <w:rsid w:val="00D91782"/>
    <w:rPr>
      <w:rFonts w:ascii="Arial" w:eastAsia="Times New Roman" w:hAnsi="Arial" w:cs="Times New Roman"/>
      <w:kern w:val="0"/>
      <w:sz w:val="22"/>
      <w:szCs w:val="16"/>
      <w:lang w:eastAsia="sl-SI"/>
      <w14:ligatures w14:val="none"/>
    </w:rPr>
  </w:style>
  <w:style w:type="paragraph" w:customStyle="1" w:styleId="rkovnatokazatevilnotokoA0">
    <w:name w:val="Črkovna točka za številčno točko A)"/>
    <w:link w:val="rkovnatokazatevilnotokoAZnak0"/>
    <w:qFormat/>
    <w:rsid w:val="00D91782"/>
    <w:pPr>
      <w:numPr>
        <w:numId w:val="17"/>
      </w:numPr>
      <w:spacing w:after="0" w:line="240" w:lineRule="auto"/>
      <w:jc w:val="both"/>
    </w:pPr>
    <w:rPr>
      <w:rFonts w:ascii="Arial" w:eastAsia="Times New Roman" w:hAnsi="Arial" w:cs="Times New Roman"/>
      <w:kern w:val="0"/>
      <w:sz w:val="22"/>
      <w:szCs w:val="16"/>
      <w:lang w:eastAsia="sl-SI"/>
      <w14:ligatures w14:val="none"/>
    </w:rPr>
  </w:style>
  <w:style w:type="character" w:customStyle="1" w:styleId="rkovnatokazatevilnotokoAZnak">
    <w:name w:val="Črkovna točka za številčno točko (A) Znak"/>
    <w:link w:val="rkovnatokazatevilnotokoA1"/>
    <w:rsid w:val="00D91782"/>
    <w:rPr>
      <w:rFonts w:ascii="Arial" w:eastAsia="Times New Roman" w:hAnsi="Arial" w:cs="Times New Roman"/>
      <w:kern w:val="0"/>
      <w:sz w:val="22"/>
      <w:szCs w:val="16"/>
      <w:lang w:eastAsia="sl-SI"/>
      <w14:ligatures w14:val="none"/>
    </w:rPr>
  </w:style>
  <w:style w:type="paragraph" w:customStyle="1" w:styleId="Slikanasredino">
    <w:name w:val="Slika_na sredino"/>
    <w:basedOn w:val="Navaden"/>
    <w:qFormat/>
    <w:rsid w:val="00D91782"/>
    <w:pPr>
      <w:overflowPunct w:val="0"/>
      <w:autoSpaceDE w:val="0"/>
      <w:autoSpaceDN w:val="0"/>
      <w:adjustRightInd w:val="0"/>
      <w:spacing w:before="400" w:after="400" w:line="240" w:lineRule="auto"/>
      <w:jc w:val="center"/>
      <w:textAlignment w:val="baseline"/>
    </w:pPr>
    <w:rPr>
      <w:rFonts w:ascii="Arial" w:eastAsia="Times New Roman" w:hAnsi="Arial" w:cs="Times New Roman"/>
      <w:kern w:val="0"/>
      <w:sz w:val="22"/>
      <w:szCs w:val="16"/>
      <w:lang w:eastAsia="sl-SI"/>
      <w14:ligatures w14:val="none"/>
    </w:rPr>
  </w:style>
  <w:style w:type="character" w:customStyle="1" w:styleId="rkovnatokazatevilnotokoAZnak0">
    <w:name w:val="Črkovna točka za številčno točko A) Znak"/>
    <w:link w:val="rkovnatokazatevilnotokoA0"/>
    <w:rsid w:val="00D91782"/>
    <w:rPr>
      <w:rFonts w:ascii="Arial" w:eastAsia="Times New Roman" w:hAnsi="Arial" w:cs="Times New Roman"/>
      <w:kern w:val="0"/>
      <w:sz w:val="22"/>
      <w:szCs w:val="16"/>
      <w:lang w:eastAsia="sl-SI"/>
      <w14:ligatures w14:val="none"/>
    </w:rPr>
  </w:style>
  <w:style w:type="character" w:styleId="SledenaHiperpovezava">
    <w:name w:val="FollowedHyperlink"/>
    <w:uiPriority w:val="99"/>
    <w:unhideWhenUsed/>
    <w:rsid w:val="00D91782"/>
    <w:rPr>
      <w:color w:val="954F72"/>
      <w:u w:val="single"/>
    </w:rPr>
  </w:style>
  <w:style w:type="character" w:styleId="Poudarek">
    <w:name w:val="Emphasis"/>
    <w:uiPriority w:val="20"/>
    <w:qFormat/>
    <w:rsid w:val="00D91782"/>
    <w:rPr>
      <w:i/>
      <w:iCs/>
    </w:rPr>
  </w:style>
  <w:style w:type="character" w:customStyle="1" w:styleId="OdstavekseznamaZnak">
    <w:name w:val="Odstavek seznama Znak"/>
    <w:aliases w:val="numbered list Znak,OM numbered bullets Znak,Dot pt Znak,F5 List Paragraph Znak,List Paragraph Char Char Char Znak,Indicator Text Znak,Numbered Para 1 Znak,Bullet 1 Znak,Bullet Points Znak,List Paragraph2 Znak,MAIN CONTENT Znak"/>
    <w:link w:val="Odstavekseznama"/>
    <w:uiPriority w:val="34"/>
    <w:qFormat/>
    <w:locked/>
    <w:rsid w:val="00D91782"/>
  </w:style>
  <w:style w:type="paragraph" w:customStyle="1" w:styleId="odstavek1">
    <w:name w:val="odstavek1"/>
    <w:basedOn w:val="Navaden"/>
    <w:rsid w:val="00D91782"/>
    <w:pPr>
      <w:spacing w:before="240" w:after="0" w:line="240" w:lineRule="auto"/>
      <w:ind w:firstLine="1021"/>
      <w:jc w:val="both"/>
    </w:pPr>
    <w:rPr>
      <w:rFonts w:ascii="Arial" w:eastAsia="Times New Roman" w:hAnsi="Arial" w:cs="Arial"/>
      <w:kern w:val="0"/>
      <w:sz w:val="22"/>
      <w:szCs w:val="22"/>
      <w:lang w:eastAsia="sl-SI"/>
      <w14:ligatures w14:val="none"/>
    </w:rPr>
  </w:style>
  <w:style w:type="paragraph" w:customStyle="1" w:styleId="datumtevilka">
    <w:name w:val="datum številka"/>
    <w:basedOn w:val="Navaden"/>
    <w:qFormat/>
    <w:rsid w:val="00D91782"/>
    <w:pPr>
      <w:tabs>
        <w:tab w:val="left" w:pos="1701"/>
      </w:tabs>
      <w:spacing w:after="0" w:line="260" w:lineRule="exact"/>
    </w:pPr>
    <w:rPr>
      <w:rFonts w:ascii="Arial" w:eastAsia="Times New Roman" w:hAnsi="Arial" w:cs="Times New Roman"/>
      <w:kern w:val="0"/>
      <w:sz w:val="20"/>
      <w:szCs w:val="20"/>
      <w:lang w:eastAsia="sl-SI"/>
      <w14:ligatures w14:val="none"/>
    </w:rPr>
  </w:style>
  <w:style w:type="paragraph" w:customStyle="1" w:styleId="OPOZORILO0">
    <w:name w:val="OPOZORILO"/>
    <w:basedOn w:val="Noga"/>
    <w:qFormat/>
    <w:rsid w:val="00D91782"/>
    <w:pPr>
      <w:overflowPunct/>
      <w:autoSpaceDE/>
      <w:autoSpaceDN/>
      <w:adjustRightInd/>
      <w:jc w:val="left"/>
      <w:textAlignment w:val="auto"/>
    </w:pPr>
    <w:rPr>
      <w:rFonts w:cs="Arial"/>
      <w:b/>
      <w:color w:val="000000"/>
      <w:sz w:val="24"/>
      <w:szCs w:val="24"/>
    </w:rPr>
  </w:style>
  <w:style w:type="paragraph" w:customStyle="1" w:styleId="CM3">
    <w:name w:val="CM3"/>
    <w:basedOn w:val="Navaden"/>
    <w:next w:val="Navaden"/>
    <w:uiPriority w:val="99"/>
    <w:rsid w:val="00D91782"/>
    <w:pPr>
      <w:autoSpaceDE w:val="0"/>
      <w:autoSpaceDN w:val="0"/>
      <w:adjustRightInd w:val="0"/>
      <w:spacing w:after="0" w:line="240" w:lineRule="auto"/>
    </w:pPr>
    <w:rPr>
      <w:rFonts w:ascii="EUAlbertina" w:eastAsia="Calibri" w:hAnsi="EUAlbertina" w:cs="Times New Roman"/>
      <w:kern w:val="0"/>
      <w14:ligatures w14:val="none"/>
    </w:rPr>
  </w:style>
  <w:style w:type="paragraph" w:customStyle="1" w:styleId="Default">
    <w:name w:val="Default"/>
    <w:rsid w:val="00D91782"/>
    <w:pPr>
      <w:autoSpaceDE w:val="0"/>
      <w:autoSpaceDN w:val="0"/>
      <w:adjustRightInd w:val="0"/>
      <w:spacing w:after="0" w:line="240" w:lineRule="auto"/>
    </w:pPr>
    <w:rPr>
      <w:rFonts w:ascii="EUAlbertina" w:eastAsia="Calibri" w:hAnsi="EUAlbertina" w:cs="EUAlbertina"/>
      <w:color w:val="000000"/>
      <w:kern w:val="0"/>
      <w14:ligatures w14:val="none"/>
    </w:rPr>
  </w:style>
  <w:style w:type="paragraph" w:customStyle="1" w:styleId="CM1">
    <w:name w:val="CM1"/>
    <w:basedOn w:val="Navaden"/>
    <w:next w:val="Navaden"/>
    <w:uiPriority w:val="99"/>
    <w:rsid w:val="00D91782"/>
    <w:pPr>
      <w:autoSpaceDE w:val="0"/>
      <w:autoSpaceDN w:val="0"/>
      <w:adjustRightInd w:val="0"/>
      <w:spacing w:after="0" w:line="240" w:lineRule="auto"/>
    </w:pPr>
    <w:rPr>
      <w:rFonts w:ascii="EUAlbertina" w:eastAsia="Calibri" w:hAnsi="EUAlbertina" w:cs="Times New Roman"/>
      <w:kern w:val="0"/>
      <w14:ligatures w14:val="none"/>
    </w:rPr>
  </w:style>
  <w:style w:type="character" w:customStyle="1" w:styleId="Heading2">
    <w:name w:val="Heading #2_"/>
    <w:link w:val="Heading20"/>
    <w:rsid w:val="00D91782"/>
    <w:rPr>
      <w:sz w:val="21"/>
      <w:szCs w:val="21"/>
      <w:shd w:val="clear" w:color="auto" w:fill="FFFFFF"/>
    </w:rPr>
  </w:style>
  <w:style w:type="paragraph" w:customStyle="1" w:styleId="Heading20">
    <w:name w:val="Heading #2"/>
    <w:basedOn w:val="Navaden"/>
    <w:link w:val="Heading2"/>
    <w:rsid w:val="00D91782"/>
    <w:pPr>
      <w:shd w:val="clear" w:color="auto" w:fill="FFFFFF"/>
      <w:spacing w:before="240" w:after="420" w:line="274" w:lineRule="exact"/>
      <w:jc w:val="center"/>
      <w:outlineLvl w:val="1"/>
    </w:pPr>
    <w:rPr>
      <w:sz w:val="21"/>
      <w:szCs w:val="21"/>
    </w:rPr>
  </w:style>
  <w:style w:type="character" w:customStyle="1" w:styleId="Bodytext">
    <w:name w:val="Body text_"/>
    <w:link w:val="BodyText3"/>
    <w:rsid w:val="00D91782"/>
    <w:rPr>
      <w:sz w:val="21"/>
      <w:szCs w:val="21"/>
      <w:shd w:val="clear" w:color="auto" w:fill="FFFFFF"/>
    </w:rPr>
  </w:style>
  <w:style w:type="paragraph" w:customStyle="1" w:styleId="BodyText3">
    <w:name w:val="Body Text3"/>
    <w:basedOn w:val="Navaden"/>
    <w:link w:val="Bodytext"/>
    <w:rsid w:val="00D91782"/>
    <w:pPr>
      <w:shd w:val="clear" w:color="auto" w:fill="FFFFFF"/>
      <w:spacing w:before="420" w:after="240" w:line="250" w:lineRule="exact"/>
      <w:jc w:val="both"/>
    </w:pPr>
    <w:rPr>
      <w:sz w:val="21"/>
      <w:szCs w:val="21"/>
    </w:rPr>
  </w:style>
  <w:style w:type="character" w:customStyle="1" w:styleId="BodytextBold">
    <w:name w:val="Body text + Bold"/>
    <w:rsid w:val="00D91782"/>
    <w:rPr>
      <w:rFonts w:ascii="Times New Roman" w:eastAsia="Times New Roman" w:hAnsi="Times New Roman" w:cs="Times New Roman"/>
      <w:b/>
      <w:bCs/>
      <w:spacing w:val="0"/>
      <w:sz w:val="21"/>
      <w:szCs w:val="21"/>
      <w:shd w:val="clear" w:color="auto" w:fill="FFFFFF"/>
    </w:rPr>
  </w:style>
  <w:style w:type="character" w:customStyle="1" w:styleId="Bodytext2">
    <w:name w:val="Body text (2)_"/>
    <w:link w:val="Bodytext20"/>
    <w:rsid w:val="00D91782"/>
    <w:rPr>
      <w:sz w:val="21"/>
      <w:szCs w:val="21"/>
      <w:shd w:val="clear" w:color="auto" w:fill="FFFFFF"/>
    </w:rPr>
  </w:style>
  <w:style w:type="paragraph" w:customStyle="1" w:styleId="Bodytext20">
    <w:name w:val="Body text (2)"/>
    <w:basedOn w:val="Navaden"/>
    <w:link w:val="Bodytext2"/>
    <w:rsid w:val="00D91782"/>
    <w:pPr>
      <w:shd w:val="clear" w:color="auto" w:fill="FFFFFF"/>
      <w:spacing w:before="240" w:after="0" w:line="250" w:lineRule="exact"/>
      <w:jc w:val="center"/>
    </w:pPr>
    <w:rPr>
      <w:sz w:val="21"/>
      <w:szCs w:val="21"/>
    </w:rPr>
  </w:style>
  <w:style w:type="character" w:customStyle="1" w:styleId="Bodytext2NotBold">
    <w:name w:val="Body text (2) + Not Bold"/>
    <w:rsid w:val="00D91782"/>
    <w:rPr>
      <w:rFonts w:ascii="Times New Roman" w:eastAsia="Times New Roman" w:hAnsi="Times New Roman" w:cs="Times New Roman"/>
      <w:b/>
      <w:bCs/>
      <w:sz w:val="21"/>
      <w:szCs w:val="21"/>
      <w:shd w:val="clear" w:color="auto" w:fill="FFFFFF"/>
    </w:rPr>
  </w:style>
  <w:style w:type="paragraph" w:styleId="Sprotnaopomba-besedilo">
    <w:name w:val="footnote text"/>
    <w:aliases w:val="Footnote,Fußnote,Sprotna opomba - besedilo Znak1 Char,Sprotna opomba - besedilo Znak Znak Char,Znak Znak Znak Char,Znak Znak Znak Znak Znak Znak Znak Char,Znak Znak1 Char,Znak Znak Znak Znak Znak Znak1 Char,????? ?????? ????"/>
    <w:basedOn w:val="Navaden"/>
    <w:link w:val="Sprotnaopomba-besediloZnak"/>
    <w:uiPriority w:val="99"/>
    <w:qFormat/>
    <w:rsid w:val="00D91782"/>
    <w:pPr>
      <w:spacing w:after="0" w:line="240" w:lineRule="auto"/>
      <w:ind w:left="720" w:hanging="720"/>
      <w:jc w:val="both"/>
    </w:pPr>
    <w:rPr>
      <w:rFonts w:ascii="Times New Roman" w:eastAsia="Times New Roman" w:hAnsi="Times New Roman" w:cs="Times New Roman"/>
      <w:snapToGrid w:val="0"/>
      <w:kern w:val="0"/>
      <w:sz w:val="20"/>
      <w:szCs w:val="20"/>
      <w:lang w:eastAsia="en-GB"/>
      <w14:ligatures w14:val="none"/>
    </w:rPr>
  </w:style>
  <w:style w:type="character" w:customStyle="1" w:styleId="Sprotnaopomba-besediloZnak">
    <w:name w:val="Sprotna opomba - besedilo Znak"/>
    <w:aliases w:val="Footnote Znak,Fußnote Znak,Sprotna opomba - besedilo Znak1 Char Znak,Sprotna opomba - besedilo Znak Znak Char Znak,Znak Znak Znak Char Znak,Znak Znak Znak Znak Znak Znak Znak Char Znak,Znak Znak1 Char Znak"/>
    <w:basedOn w:val="Privzetapisavaodstavka"/>
    <w:link w:val="Sprotnaopomba-besedilo"/>
    <w:uiPriority w:val="99"/>
    <w:qFormat/>
    <w:rsid w:val="00D91782"/>
    <w:rPr>
      <w:rFonts w:ascii="Times New Roman" w:eastAsia="Times New Roman" w:hAnsi="Times New Roman" w:cs="Times New Roman"/>
      <w:snapToGrid w:val="0"/>
      <w:kern w:val="0"/>
      <w:sz w:val="20"/>
      <w:szCs w:val="20"/>
      <w:lang w:eastAsia="en-GB"/>
      <w14:ligatures w14:val="none"/>
    </w:rPr>
  </w:style>
  <w:style w:type="character" w:styleId="Sprotnaopomba-sklic">
    <w:name w:val="footnote reference"/>
    <w:aliases w:val="Footnote Reference Number,Footnote Reference_LVL6,Footnote Reference_LVL61,Footnote Reference_LVL62,Footnote Reference_LVL63,Footnote Reference_LVL64,Fußnotenzeichen3,Footnote symbol,Footnote reference number,Ch,Footnotes refss"/>
    <w:uiPriority w:val="99"/>
    <w:rsid w:val="00D91782"/>
    <w:rPr>
      <w:shd w:val="clear" w:color="auto" w:fill="auto"/>
      <w:vertAlign w:val="superscript"/>
    </w:rPr>
  </w:style>
  <w:style w:type="paragraph" w:customStyle="1" w:styleId="ListDash">
    <w:name w:val="List Dash"/>
    <w:basedOn w:val="Navaden"/>
    <w:rsid w:val="00D91782"/>
    <w:pPr>
      <w:numPr>
        <w:numId w:val="19"/>
      </w:numPr>
      <w:tabs>
        <w:tab w:val="clear" w:pos="283"/>
        <w:tab w:val="num" w:pos="782"/>
      </w:tabs>
      <w:spacing w:before="120" w:after="120" w:line="240" w:lineRule="auto"/>
      <w:ind w:left="782" w:hanging="357"/>
      <w:jc w:val="both"/>
    </w:pPr>
    <w:rPr>
      <w:rFonts w:ascii="Times New Roman" w:eastAsia="Times New Roman" w:hAnsi="Times New Roman" w:cs="Times New Roman"/>
      <w:snapToGrid w:val="0"/>
      <w:kern w:val="0"/>
      <w:lang w:eastAsia="en-GB"/>
      <w14:ligatures w14:val="none"/>
    </w:rPr>
  </w:style>
  <w:style w:type="paragraph" w:customStyle="1" w:styleId="CM4">
    <w:name w:val="CM4"/>
    <w:basedOn w:val="Navaden"/>
    <w:next w:val="Navaden"/>
    <w:uiPriority w:val="99"/>
    <w:rsid w:val="00D91782"/>
    <w:pPr>
      <w:autoSpaceDE w:val="0"/>
      <w:autoSpaceDN w:val="0"/>
      <w:adjustRightInd w:val="0"/>
      <w:spacing w:after="0" w:line="240" w:lineRule="auto"/>
    </w:pPr>
    <w:rPr>
      <w:rFonts w:ascii="Times New Roman" w:eastAsia="Calibri" w:hAnsi="Times New Roman" w:cs="Times New Roman"/>
      <w:kern w:val="0"/>
      <w14:ligatures w14:val="none"/>
    </w:rPr>
  </w:style>
  <w:style w:type="paragraph" w:customStyle="1" w:styleId="Considrant">
    <w:name w:val="Considérant"/>
    <w:basedOn w:val="Navaden"/>
    <w:rsid w:val="00D91782"/>
    <w:pPr>
      <w:numPr>
        <w:numId w:val="20"/>
      </w:numPr>
      <w:tabs>
        <w:tab w:val="clear" w:pos="709"/>
        <w:tab w:val="num" w:pos="425"/>
      </w:tabs>
      <w:spacing w:before="120" w:after="120" w:line="240" w:lineRule="auto"/>
      <w:ind w:left="357" w:hanging="357"/>
      <w:jc w:val="both"/>
    </w:pPr>
    <w:rPr>
      <w:rFonts w:ascii="Times New Roman" w:eastAsia="Times New Roman" w:hAnsi="Times New Roman" w:cs="Times New Roman"/>
      <w:kern w:val="0"/>
      <w14:ligatures w14:val="none"/>
    </w:rPr>
  </w:style>
  <w:style w:type="paragraph" w:styleId="Brezrazmikov">
    <w:name w:val="No Spacing"/>
    <w:uiPriority w:val="1"/>
    <w:rsid w:val="00D91782"/>
    <w:pPr>
      <w:spacing w:after="0" w:line="240" w:lineRule="auto"/>
    </w:pPr>
    <w:rPr>
      <w:rFonts w:ascii="Times New Roman" w:eastAsia="Calibri" w:hAnsi="Times New Roman" w:cs="Times New Roman"/>
      <w:kern w:val="0"/>
      <w:sz w:val="22"/>
      <w:szCs w:val="22"/>
      <w14:ligatures w14:val="none"/>
    </w:rPr>
  </w:style>
  <w:style w:type="paragraph" w:styleId="NaslovTOC">
    <w:name w:val="TOC Heading"/>
    <w:basedOn w:val="Naslov1"/>
    <w:next w:val="Navaden"/>
    <w:uiPriority w:val="39"/>
    <w:unhideWhenUsed/>
    <w:qFormat/>
    <w:rsid w:val="00D91782"/>
    <w:pPr>
      <w:spacing w:before="480" w:after="0" w:line="276" w:lineRule="auto"/>
      <w:outlineLvl w:val="9"/>
    </w:pPr>
    <w:rPr>
      <w:rFonts w:ascii="Cambria" w:eastAsia="Times New Roman" w:hAnsi="Cambria" w:cs="Times New Roman"/>
      <w:b/>
      <w:bCs/>
      <w:color w:val="365F91"/>
      <w:kern w:val="0"/>
      <w:sz w:val="28"/>
      <w:szCs w:val="28"/>
      <w:lang w:eastAsia="sl-SI"/>
      <w14:ligatures w14:val="none"/>
    </w:rPr>
  </w:style>
  <w:style w:type="paragraph" w:styleId="Kazalovsebine1">
    <w:name w:val="toc 1"/>
    <w:basedOn w:val="Navaden"/>
    <w:next w:val="Navaden"/>
    <w:autoRedefine/>
    <w:uiPriority w:val="39"/>
    <w:unhideWhenUsed/>
    <w:qFormat/>
    <w:rsid w:val="00D91782"/>
    <w:pPr>
      <w:spacing w:before="120" w:after="0" w:line="240" w:lineRule="auto"/>
    </w:pPr>
    <w:rPr>
      <w:rFonts w:ascii="Calibri" w:eastAsia="Calibri" w:hAnsi="Calibri" w:cs="Times New Roman"/>
      <w:b/>
      <w:bCs/>
      <w:i/>
      <w:iCs/>
      <w:kern w:val="0"/>
      <w14:ligatures w14:val="none"/>
    </w:rPr>
  </w:style>
  <w:style w:type="paragraph" w:styleId="Kazalovsebine2">
    <w:name w:val="toc 2"/>
    <w:basedOn w:val="Navaden"/>
    <w:next w:val="Navaden"/>
    <w:autoRedefine/>
    <w:uiPriority w:val="39"/>
    <w:unhideWhenUsed/>
    <w:qFormat/>
    <w:rsid w:val="00D91782"/>
    <w:pPr>
      <w:spacing w:before="120" w:after="0" w:line="240" w:lineRule="auto"/>
      <w:ind w:left="220"/>
    </w:pPr>
    <w:rPr>
      <w:rFonts w:ascii="Calibri" w:eastAsia="Calibri" w:hAnsi="Calibri" w:cs="Times New Roman"/>
      <w:b/>
      <w:bCs/>
      <w:kern w:val="0"/>
      <w:sz w:val="22"/>
      <w:szCs w:val="22"/>
      <w14:ligatures w14:val="none"/>
    </w:rPr>
  </w:style>
  <w:style w:type="paragraph" w:styleId="Kazalovsebine3">
    <w:name w:val="toc 3"/>
    <w:basedOn w:val="Navaden"/>
    <w:next w:val="Navaden"/>
    <w:autoRedefine/>
    <w:uiPriority w:val="39"/>
    <w:unhideWhenUsed/>
    <w:qFormat/>
    <w:rsid w:val="00D91782"/>
    <w:pPr>
      <w:spacing w:after="0" w:line="240" w:lineRule="auto"/>
      <w:ind w:left="440"/>
    </w:pPr>
    <w:rPr>
      <w:rFonts w:ascii="Calibri" w:eastAsia="Calibri" w:hAnsi="Calibri" w:cs="Times New Roman"/>
      <w:kern w:val="0"/>
      <w:sz w:val="20"/>
      <w:szCs w:val="20"/>
      <w14:ligatures w14:val="none"/>
    </w:rPr>
  </w:style>
  <w:style w:type="paragraph" w:styleId="Kazalovsebine4">
    <w:name w:val="toc 4"/>
    <w:basedOn w:val="Navaden"/>
    <w:next w:val="Navaden"/>
    <w:autoRedefine/>
    <w:uiPriority w:val="39"/>
    <w:unhideWhenUsed/>
    <w:rsid w:val="00D91782"/>
    <w:pPr>
      <w:spacing w:after="0" w:line="240" w:lineRule="auto"/>
      <w:ind w:left="660"/>
    </w:pPr>
    <w:rPr>
      <w:rFonts w:ascii="Calibri" w:eastAsia="Calibri" w:hAnsi="Calibri" w:cs="Times New Roman"/>
      <w:kern w:val="0"/>
      <w:sz w:val="20"/>
      <w:szCs w:val="20"/>
      <w14:ligatures w14:val="none"/>
    </w:rPr>
  </w:style>
  <w:style w:type="paragraph" w:styleId="Kazalovsebine5">
    <w:name w:val="toc 5"/>
    <w:basedOn w:val="Navaden"/>
    <w:next w:val="Navaden"/>
    <w:autoRedefine/>
    <w:uiPriority w:val="39"/>
    <w:unhideWhenUsed/>
    <w:rsid w:val="00D91782"/>
    <w:pPr>
      <w:spacing w:after="0" w:line="240" w:lineRule="auto"/>
      <w:ind w:left="880"/>
    </w:pPr>
    <w:rPr>
      <w:rFonts w:ascii="Calibri" w:eastAsia="Calibri" w:hAnsi="Calibri" w:cs="Times New Roman"/>
      <w:kern w:val="0"/>
      <w:sz w:val="20"/>
      <w:szCs w:val="20"/>
      <w14:ligatures w14:val="none"/>
    </w:rPr>
  </w:style>
  <w:style w:type="paragraph" w:styleId="Kazalovsebine6">
    <w:name w:val="toc 6"/>
    <w:basedOn w:val="Navaden"/>
    <w:next w:val="Navaden"/>
    <w:autoRedefine/>
    <w:uiPriority w:val="39"/>
    <w:unhideWhenUsed/>
    <w:rsid w:val="00D91782"/>
    <w:pPr>
      <w:spacing w:after="0" w:line="240" w:lineRule="auto"/>
      <w:ind w:left="1100"/>
    </w:pPr>
    <w:rPr>
      <w:rFonts w:ascii="Calibri" w:eastAsia="Calibri" w:hAnsi="Calibri" w:cs="Times New Roman"/>
      <w:kern w:val="0"/>
      <w:sz w:val="20"/>
      <w:szCs w:val="20"/>
      <w14:ligatures w14:val="none"/>
    </w:rPr>
  </w:style>
  <w:style w:type="paragraph" w:styleId="Kazalovsebine7">
    <w:name w:val="toc 7"/>
    <w:basedOn w:val="Navaden"/>
    <w:next w:val="Navaden"/>
    <w:autoRedefine/>
    <w:uiPriority w:val="39"/>
    <w:unhideWhenUsed/>
    <w:rsid w:val="00D91782"/>
    <w:pPr>
      <w:spacing w:after="0" w:line="240" w:lineRule="auto"/>
      <w:ind w:left="1320"/>
    </w:pPr>
    <w:rPr>
      <w:rFonts w:ascii="Calibri" w:eastAsia="Calibri" w:hAnsi="Calibri" w:cs="Times New Roman"/>
      <w:kern w:val="0"/>
      <w:sz w:val="20"/>
      <w:szCs w:val="20"/>
      <w14:ligatures w14:val="none"/>
    </w:rPr>
  </w:style>
  <w:style w:type="paragraph" w:styleId="Kazalovsebine8">
    <w:name w:val="toc 8"/>
    <w:basedOn w:val="Navaden"/>
    <w:next w:val="Navaden"/>
    <w:autoRedefine/>
    <w:uiPriority w:val="39"/>
    <w:unhideWhenUsed/>
    <w:rsid w:val="00D91782"/>
    <w:pPr>
      <w:spacing w:after="0" w:line="240" w:lineRule="auto"/>
      <w:ind w:left="1540"/>
    </w:pPr>
    <w:rPr>
      <w:rFonts w:ascii="Calibri" w:eastAsia="Calibri" w:hAnsi="Calibri" w:cs="Times New Roman"/>
      <w:kern w:val="0"/>
      <w:sz w:val="20"/>
      <w:szCs w:val="20"/>
      <w14:ligatures w14:val="none"/>
    </w:rPr>
  </w:style>
  <w:style w:type="paragraph" w:styleId="Kazalovsebine9">
    <w:name w:val="toc 9"/>
    <w:basedOn w:val="Navaden"/>
    <w:next w:val="Navaden"/>
    <w:autoRedefine/>
    <w:uiPriority w:val="39"/>
    <w:unhideWhenUsed/>
    <w:rsid w:val="00D91782"/>
    <w:pPr>
      <w:spacing w:after="0" w:line="240" w:lineRule="auto"/>
      <w:ind w:left="1760"/>
    </w:pPr>
    <w:rPr>
      <w:rFonts w:ascii="Calibri" w:eastAsia="Calibri" w:hAnsi="Calibri" w:cs="Times New Roman"/>
      <w:kern w:val="0"/>
      <w:sz w:val="20"/>
      <w:szCs w:val="20"/>
      <w14:ligatures w14:val="none"/>
    </w:rPr>
  </w:style>
  <w:style w:type="paragraph" w:customStyle="1" w:styleId="odstavek0">
    <w:name w:val="odstavek"/>
    <w:basedOn w:val="Navaden"/>
    <w:rsid w:val="00D91782"/>
    <w:pPr>
      <w:spacing w:before="100" w:beforeAutospacing="1" w:after="100" w:afterAutospacing="1" w:line="240" w:lineRule="auto"/>
      <w:ind w:firstLine="360"/>
      <w:jc w:val="both"/>
    </w:pPr>
    <w:rPr>
      <w:rFonts w:ascii="Times New Roman" w:eastAsia="Times New Roman" w:hAnsi="Times New Roman" w:cs="Times New Roman"/>
      <w:kern w:val="0"/>
      <w:lang w:eastAsia="sl-SI"/>
      <w14:ligatures w14:val="none"/>
    </w:rPr>
  </w:style>
  <w:style w:type="paragraph" w:customStyle="1" w:styleId="lennaslov0">
    <w:name w:val="lennaslov"/>
    <w:basedOn w:val="Navaden"/>
    <w:rsid w:val="00D91782"/>
    <w:pPr>
      <w:spacing w:before="100" w:beforeAutospacing="1" w:after="100" w:afterAutospacing="1" w:line="240" w:lineRule="auto"/>
    </w:pPr>
    <w:rPr>
      <w:rFonts w:ascii="Times New Roman" w:eastAsia="Times New Roman" w:hAnsi="Times New Roman" w:cs="Times New Roman"/>
      <w:kern w:val="0"/>
      <w:lang w:eastAsia="sl-SI"/>
      <w14:ligatures w14:val="none"/>
    </w:rPr>
  </w:style>
  <w:style w:type="paragraph" w:customStyle="1" w:styleId="len0">
    <w:name w:val="len"/>
    <w:basedOn w:val="Navaden"/>
    <w:rsid w:val="00D91782"/>
    <w:pPr>
      <w:spacing w:before="100" w:beforeAutospacing="1" w:after="100" w:afterAutospacing="1" w:line="240" w:lineRule="auto"/>
    </w:pPr>
    <w:rPr>
      <w:rFonts w:ascii="Times New Roman" w:eastAsia="Times New Roman" w:hAnsi="Times New Roman" w:cs="Times New Roman"/>
      <w:kern w:val="0"/>
      <w:lang w:eastAsia="sl-SI"/>
      <w14:ligatures w14:val="none"/>
    </w:rPr>
  </w:style>
  <w:style w:type="paragraph" w:customStyle="1" w:styleId="tevilnatoka0">
    <w:name w:val="tevilnatoka"/>
    <w:basedOn w:val="Navaden"/>
    <w:rsid w:val="00D91782"/>
    <w:pPr>
      <w:spacing w:before="100" w:beforeAutospacing="1" w:after="100" w:afterAutospacing="1" w:line="240" w:lineRule="auto"/>
    </w:pPr>
    <w:rPr>
      <w:rFonts w:ascii="Times New Roman" w:eastAsia="Times New Roman" w:hAnsi="Times New Roman" w:cs="Times New Roman"/>
      <w:kern w:val="0"/>
      <w:lang w:eastAsia="sl-SI"/>
      <w14:ligatures w14:val="none"/>
    </w:rPr>
  </w:style>
  <w:style w:type="paragraph" w:customStyle="1" w:styleId="alineazatevilnotoko0">
    <w:name w:val="alineazatevilnotoko"/>
    <w:basedOn w:val="Navaden"/>
    <w:rsid w:val="00D91782"/>
    <w:pPr>
      <w:spacing w:before="100" w:beforeAutospacing="1" w:after="100" w:afterAutospacing="1" w:line="240" w:lineRule="auto"/>
    </w:pPr>
    <w:rPr>
      <w:rFonts w:ascii="Times New Roman" w:eastAsia="Times New Roman" w:hAnsi="Times New Roman" w:cs="Times New Roman"/>
      <w:kern w:val="0"/>
      <w:lang w:eastAsia="sl-SI"/>
      <w14:ligatures w14:val="none"/>
    </w:rPr>
  </w:style>
  <w:style w:type="character" w:customStyle="1" w:styleId="hps">
    <w:name w:val="hps"/>
    <w:rsid w:val="00D91782"/>
  </w:style>
  <w:style w:type="paragraph" w:customStyle="1" w:styleId="CM15">
    <w:name w:val="CM1+5"/>
    <w:basedOn w:val="Default"/>
    <w:next w:val="Default"/>
    <w:uiPriority w:val="99"/>
    <w:rsid w:val="00D91782"/>
    <w:rPr>
      <w:rFonts w:cs="Times New Roman"/>
      <w:color w:val="auto"/>
    </w:rPr>
  </w:style>
  <w:style w:type="paragraph" w:customStyle="1" w:styleId="CM35">
    <w:name w:val="CM3+5"/>
    <w:basedOn w:val="Default"/>
    <w:next w:val="Default"/>
    <w:uiPriority w:val="99"/>
    <w:rsid w:val="00D91782"/>
    <w:rPr>
      <w:rFonts w:cs="Times New Roman"/>
      <w:color w:val="auto"/>
    </w:rPr>
  </w:style>
  <w:style w:type="paragraph" w:customStyle="1" w:styleId="CM45">
    <w:name w:val="CM4+5"/>
    <w:basedOn w:val="Default"/>
    <w:next w:val="Default"/>
    <w:uiPriority w:val="99"/>
    <w:rsid w:val="00D91782"/>
    <w:rPr>
      <w:rFonts w:cs="Times New Roman"/>
      <w:color w:val="auto"/>
    </w:rPr>
  </w:style>
  <w:style w:type="paragraph" w:customStyle="1" w:styleId="Neotevilenodstavek">
    <w:name w:val="Neoštevilčen odstavek"/>
    <w:basedOn w:val="Navaden"/>
    <w:link w:val="NeotevilenodstavekZnak"/>
    <w:qFormat/>
    <w:rsid w:val="00D91782"/>
    <w:pPr>
      <w:overflowPunct w:val="0"/>
      <w:autoSpaceDE w:val="0"/>
      <w:autoSpaceDN w:val="0"/>
      <w:adjustRightInd w:val="0"/>
      <w:spacing w:before="60" w:after="60" w:line="200" w:lineRule="exact"/>
      <w:jc w:val="both"/>
      <w:textAlignment w:val="baseline"/>
    </w:pPr>
    <w:rPr>
      <w:rFonts w:ascii="Arial" w:eastAsia="Calibri" w:hAnsi="Arial" w:cs="Times New Roman"/>
      <w:kern w:val="0"/>
      <w:sz w:val="20"/>
      <w:szCs w:val="20"/>
      <w:lang w:eastAsia="sl-SI"/>
      <w14:ligatures w14:val="none"/>
    </w:rPr>
  </w:style>
  <w:style w:type="character" w:customStyle="1" w:styleId="NeotevilenodstavekZnak">
    <w:name w:val="Neoštevilčen odstavek Znak"/>
    <w:link w:val="Neotevilenodstavek"/>
    <w:locked/>
    <w:rsid w:val="00D91782"/>
    <w:rPr>
      <w:rFonts w:ascii="Arial" w:eastAsia="Calibri" w:hAnsi="Arial" w:cs="Times New Roman"/>
      <w:kern w:val="0"/>
      <w:sz w:val="20"/>
      <w:szCs w:val="20"/>
      <w:lang w:eastAsia="sl-SI"/>
      <w14:ligatures w14:val="none"/>
    </w:rPr>
  </w:style>
  <w:style w:type="paragraph" w:customStyle="1" w:styleId="podpisi">
    <w:name w:val="podpisi"/>
    <w:basedOn w:val="Navaden"/>
    <w:qFormat/>
    <w:rsid w:val="00D91782"/>
    <w:pPr>
      <w:tabs>
        <w:tab w:val="left" w:pos="3402"/>
      </w:tabs>
      <w:spacing w:after="0" w:line="260" w:lineRule="atLeast"/>
    </w:pPr>
    <w:rPr>
      <w:rFonts w:ascii="Arial" w:eastAsia="Calibri" w:hAnsi="Arial" w:cs="Times New Roman"/>
      <w:kern w:val="0"/>
      <w:sz w:val="20"/>
      <w:lang w:val="it-IT"/>
      <w14:ligatures w14:val="none"/>
    </w:rPr>
  </w:style>
  <w:style w:type="paragraph" w:styleId="Telobesedila">
    <w:name w:val="Body Text"/>
    <w:basedOn w:val="Navaden"/>
    <w:link w:val="TelobesedilaZnak"/>
    <w:rsid w:val="00D91782"/>
    <w:pPr>
      <w:spacing w:after="0" w:line="240" w:lineRule="auto"/>
      <w:jc w:val="both"/>
    </w:pPr>
    <w:rPr>
      <w:rFonts w:ascii="Arial" w:eastAsia="Times New Roman" w:hAnsi="Arial" w:cs="Times New Roman"/>
      <w:kern w:val="0"/>
      <w:sz w:val="20"/>
      <w:lang w:eastAsia="sl-SI"/>
      <w14:ligatures w14:val="none"/>
    </w:rPr>
  </w:style>
  <w:style w:type="character" w:customStyle="1" w:styleId="TelobesedilaZnak">
    <w:name w:val="Telo besedila Znak"/>
    <w:basedOn w:val="Privzetapisavaodstavka"/>
    <w:link w:val="Telobesedila"/>
    <w:rsid w:val="00D91782"/>
    <w:rPr>
      <w:rFonts w:ascii="Arial" w:eastAsia="Times New Roman" w:hAnsi="Arial" w:cs="Times New Roman"/>
      <w:kern w:val="0"/>
      <w:sz w:val="20"/>
      <w:lang w:eastAsia="sl-SI"/>
      <w14:ligatures w14:val="none"/>
    </w:rPr>
  </w:style>
  <w:style w:type="paragraph" w:styleId="Telobesedila-zamik">
    <w:name w:val="Body Text Indent"/>
    <w:basedOn w:val="Navaden"/>
    <w:link w:val="Telobesedila-zamikZnak"/>
    <w:uiPriority w:val="99"/>
    <w:rsid w:val="00D91782"/>
    <w:pPr>
      <w:spacing w:after="120" w:line="260" w:lineRule="exact"/>
      <w:ind w:left="283"/>
    </w:pPr>
    <w:rPr>
      <w:rFonts w:ascii="Arial" w:eastAsia="Times New Roman" w:hAnsi="Arial" w:cs="Times New Roman"/>
      <w:kern w:val="0"/>
      <w:sz w:val="20"/>
      <w:lang w:val="en-US" w:eastAsia="sl-SI"/>
      <w14:ligatures w14:val="none"/>
    </w:rPr>
  </w:style>
  <w:style w:type="character" w:customStyle="1" w:styleId="Telobesedila-zamikZnak">
    <w:name w:val="Telo besedila - zamik Znak"/>
    <w:basedOn w:val="Privzetapisavaodstavka"/>
    <w:link w:val="Telobesedila-zamik"/>
    <w:uiPriority w:val="99"/>
    <w:rsid w:val="00D91782"/>
    <w:rPr>
      <w:rFonts w:ascii="Arial" w:eastAsia="Times New Roman" w:hAnsi="Arial" w:cs="Times New Roman"/>
      <w:kern w:val="0"/>
      <w:sz w:val="20"/>
      <w:lang w:val="en-US" w:eastAsia="sl-SI"/>
      <w14:ligatures w14:val="none"/>
    </w:rPr>
  </w:style>
  <w:style w:type="character" w:customStyle="1" w:styleId="apple-converted-space">
    <w:name w:val="apple-converted-space"/>
    <w:rsid w:val="00D91782"/>
  </w:style>
  <w:style w:type="paragraph" w:customStyle="1" w:styleId="Odstavekseznama1">
    <w:name w:val="Odstavek seznama1"/>
    <w:basedOn w:val="Navaden"/>
    <w:rsid w:val="00D91782"/>
    <w:pPr>
      <w:spacing w:after="0" w:line="240" w:lineRule="auto"/>
      <w:ind w:left="720"/>
      <w:contextualSpacing/>
    </w:pPr>
    <w:rPr>
      <w:rFonts w:ascii="Times New Roman" w:eastAsia="Calibri" w:hAnsi="Times New Roman" w:cs="Times New Roman"/>
      <w:kern w:val="0"/>
      <w:lang w:eastAsia="sl-SI"/>
      <w14:ligatures w14:val="none"/>
    </w:rPr>
  </w:style>
  <w:style w:type="paragraph" w:customStyle="1" w:styleId="ZADEVA">
    <w:name w:val="ZADEVA"/>
    <w:basedOn w:val="Navaden"/>
    <w:qFormat/>
    <w:rsid w:val="00D91782"/>
    <w:pPr>
      <w:tabs>
        <w:tab w:val="left" w:pos="1701"/>
      </w:tabs>
      <w:spacing w:after="0" w:line="260" w:lineRule="exact"/>
      <w:ind w:left="1701" w:hanging="1701"/>
    </w:pPr>
    <w:rPr>
      <w:rFonts w:ascii="Arial" w:eastAsia="Times New Roman" w:hAnsi="Arial" w:cs="Times New Roman"/>
      <w:b/>
      <w:kern w:val="0"/>
      <w:sz w:val="20"/>
      <w:lang w:val="it-IT"/>
      <w14:ligatures w14:val="none"/>
    </w:rPr>
  </w:style>
  <w:style w:type="table" w:styleId="Tabelamrea">
    <w:name w:val="Table Grid"/>
    <w:basedOn w:val="Navadnatabela"/>
    <w:uiPriority w:val="39"/>
    <w:rsid w:val="00D91782"/>
    <w:pPr>
      <w:spacing w:after="0" w:line="240" w:lineRule="auto"/>
    </w:pPr>
    <w:rPr>
      <w:rFonts w:ascii="Calibri" w:eastAsia="Calibri" w:hAnsi="Calibri" w:cs="Times New Roman"/>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2">
    <w:name w:val="Footnote (2)_"/>
    <w:link w:val="Footnote20"/>
    <w:rsid w:val="00D91782"/>
    <w:rPr>
      <w:rFonts w:ascii="Arial" w:eastAsia="Arial" w:hAnsi="Arial" w:cs="Arial"/>
      <w:sz w:val="19"/>
      <w:szCs w:val="19"/>
      <w:shd w:val="clear" w:color="auto" w:fill="FFFFFF"/>
    </w:rPr>
  </w:style>
  <w:style w:type="character" w:customStyle="1" w:styleId="Footnote">
    <w:name w:val="Footnote_"/>
    <w:rsid w:val="00D91782"/>
    <w:rPr>
      <w:rFonts w:ascii="Arial" w:eastAsia="Arial" w:hAnsi="Arial" w:cs="Arial"/>
      <w:sz w:val="15"/>
      <w:szCs w:val="15"/>
      <w:shd w:val="clear" w:color="auto" w:fill="FFFFFF"/>
    </w:rPr>
  </w:style>
  <w:style w:type="character" w:customStyle="1" w:styleId="Bodytext2Impact75ptNotBoldItalic">
    <w:name w:val="Body text (2) + Impact;7;5 pt;Not Bold;Italic"/>
    <w:rsid w:val="00D91782"/>
    <w:rPr>
      <w:rFonts w:ascii="Impact" w:eastAsia="Impact" w:hAnsi="Impact" w:cs="Impact"/>
      <w:b/>
      <w:bCs/>
      <w:i/>
      <w:iCs/>
      <w:w w:val="100"/>
      <w:sz w:val="15"/>
      <w:szCs w:val="15"/>
      <w:shd w:val="clear" w:color="auto" w:fill="FFFFFF"/>
    </w:rPr>
  </w:style>
  <w:style w:type="paragraph" w:customStyle="1" w:styleId="Footnote20">
    <w:name w:val="Footnote (2)"/>
    <w:basedOn w:val="Navaden"/>
    <w:link w:val="Footnote2"/>
    <w:rsid w:val="00D91782"/>
    <w:pPr>
      <w:shd w:val="clear" w:color="auto" w:fill="FFFFFF"/>
      <w:spacing w:after="0" w:line="0" w:lineRule="atLeast"/>
      <w:jc w:val="both"/>
    </w:pPr>
    <w:rPr>
      <w:rFonts w:ascii="Arial" w:eastAsia="Arial" w:hAnsi="Arial" w:cs="Arial"/>
      <w:sz w:val="19"/>
      <w:szCs w:val="19"/>
    </w:rPr>
  </w:style>
  <w:style w:type="paragraph" w:customStyle="1" w:styleId="BodyText21">
    <w:name w:val="Body Text2"/>
    <w:basedOn w:val="Navaden"/>
    <w:rsid w:val="00D91782"/>
    <w:pPr>
      <w:shd w:val="clear" w:color="auto" w:fill="FFFFFF"/>
      <w:spacing w:before="60" w:after="360" w:line="0" w:lineRule="atLeast"/>
      <w:ind w:hanging="360"/>
      <w:jc w:val="both"/>
    </w:pPr>
    <w:rPr>
      <w:rFonts w:ascii="Arial" w:eastAsia="Arial" w:hAnsi="Arial" w:cs="Arial"/>
      <w:kern w:val="0"/>
      <w:sz w:val="19"/>
      <w:szCs w:val="19"/>
      <w14:ligatures w14:val="none"/>
    </w:rPr>
  </w:style>
  <w:style w:type="character" w:customStyle="1" w:styleId="FootnoteCharacters">
    <w:name w:val="Footnote Characters"/>
    <w:qFormat/>
    <w:rsid w:val="00D91782"/>
    <w:rPr>
      <w:vertAlign w:val="superscript"/>
    </w:rPr>
  </w:style>
  <w:style w:type="character" w:customStyle="1" w:styleId="FootnoteAnchor">
    <w:name w:val="Footnote Anchor"/>
    <w:rsid w:val="00D91782"/>
    <w:rPr>
      <w:vertAlign w:val="superscript"/>
    </w:rPr>
  </w:style>
  <w:style w:type="paragraph" w:customStyle="1" w:styleId="doc-ti">
    <w:name w:val="doc-ti"/>
    <w:basedOn w:val="Navaden"/>
    <w:rsid w:val="00D91782"/>
    <w:pPr>
      <w:spacing w:before="240" w:after="120" w:line="240" w:lineRule="auto"/>
      <w:jc w:val="center"/>
    </w:pPr>
    <w:rPr>
      <w:rFonts w:ascii="Times New Roman" w:eastAsia="Times New Roman" w:hAnsi="Times New Roman" w:cs="Times New Roman"/>
      <w:b/>
      <w:bCs/>
      <w:kern w:val="0"/>
      <w:lang w:eastAsia="sl-SI"/>
      <w14:ligatures w14:val="none"/>
    </w:rPr>
  </w:style>
  <w:style w:type="character" w:styleId="Krepko">
    <w:name w:val="Strong"/>
    <w:qFormat/>
    <w:rsid w:val="00D91782"/>
    <w:rPr>
      <w:rFonts w:cs="Times New Roman"/>
      <w:b/>
      <w:bCs/>
    </w:rPr>
  </w:style>
  <w:style w:type="character" w:customStyle="1" w:styleId="tlid-translation">
    <w:name w:val="tlid-translation"/>
    <w:rsid w:val="00D91782"/>
  </w:style>
  <w:style w:type="paragraph" w:customStyle="1" w:styleId="tevilnatoka1">
    <w:name w:val="tevilnatoka1"/>
    <w:basedOn w:val="Navaden"/>
    <w:rsid w:val="00D91782"/>
    <w:pPr>
      <w:spacing w:after="0" w:line="240" w:lineRule="auto"/>
      <w:ind w:left="425" w:hanging="425"/>
      <w:jc w:val="both"/>
    </w:pPr>
    <w:rPr>
      <w:rFonts w:ascii="Arial" w:eastAsia="Times New Roman" w:hAnsi="Arial" w:cs="Arial"/>
      <w:kern w:val="0"/>
      <w:sz w:val="22"/>
      <w:szCs w:val="22"/>
      <w:lang w:eastAsia="sl-SI"/>
      <w14:ligatures w14:val="none"/>
    </w:rPr>
  </w:style>
  <w:style w:type="character" w:customStyle="1" w:styleId="Bodytext9ptSpacing0pt">
    <w:name w:val="Body text + 9 pt;Spacing 0 pt"/>
    <w:rsid w:val="00D91782"/>
    <w:rPr>
      <w:rFonts w:ascii="Times New Roman" w:eastAsia="Times New Roman" w:hAnsi="Times New Roman" w:cs="Times New Roman"/>
      <w:b w:val="0"/>
      <w:bCs w:val="0"/>
      <w:i w:val="0"/>
      <w:iCs w:val="0"/>
      <w:smallCaps w:val="0"/>
      <w:strike w:val="0"/>
      <w:spacing w:val="0"/>
      <w:sz w:val="18"/>
      <w:szCs w:val="18"/>
      <w:shd w:val="clear" w:color="auto" w:fill="FFFFFF"/>
    </w:rPr>
  </w:style>
  <w:style w:type="character" w:customStyle="1" w:styleId="BodytextItalic">
    <w:name w:val="Body text + Italic"/>
    <w:rsid w:val="00D91782"/>
    <w:rPr>
      <w:rFonts w:ascii="Times New Roman" w:eastAsia="Times New Roman" w:hAnsi="Times New Roman" w:cs="Times New Roman"/>
      <w:b w:val="0"/>
      <w:bCs w:val="0"/>
      <w:i/>
      <w:iCs/>
      <w:smallCaps w:val="0"/>
      <w:strike w:val="0"/>
      <w:spacing w:val="-10"/>
      <w:sz w:val="24"/>
      <w:szCs w:val="24"/>
      <w:shd w:val="clear" w:color="auto" w:fill="FFFFFF"/>
    </w:rPr>
  </w:style>
  <w:style w:type="paragraph" w:customStyle="1" w:styleId="len1">
    <w:name w:val="len1"/>
    <w:basedOn w:val="Navaden"/>
    <w:rsid w:val="00D91782"/>
    <w:pPr>
      <w:spacing w:before="480" w:after="0" w:line="240" w:lineRule="auto"/>
      <w:jc w:val="center"/>
    </w:pPr>
    <w:rPr>
      <w:rFonts w:ascii="Arial" w:eastAsia="Times New Roman" w:hAnsi="Arial" w:cs="Arial"/>
      <w:b/>
      <w:bCs/>
      <w:kern w:val="0"/>
      <w:sz w:val="22"/>
      <w:szCs w:val="22"/>
      <w:lang w:eastAsia="sl-SI"/>
      <w14:ligatures w14:val="none"/>
    </w:rPr>
  </w:style>
  <w:style w:type="paragraph" w:customStyle="1" w:styleId="lennaslov1">
    <w:name w:val="lennaslov1"/>
    <w:basedOn w:val="Navaden"/>
    <w:rsid w:val="00D91782"/>
    <w:pPr>
      <w:spacing w:after="0" w:line="240" w:lineRule="auto"/>
      <w:jc w:val="center"/>
    </w:pPr>
    <w:rPr>
      <w:rFonts w:ascii="Arial" w:eastAsia="Times New Roman" w:hAnsi="Arial" w:cs="Arial"/>
      <w:b/>
      <w:bCs/>
      <w:kern w:val="0"/>
      <w:sz w:val="22"/>
      <w:szCs w:val="22"/>
      <w:lang w:eastAsia="sl-SI"/>
      <w14:ligatures w14:val="none"/>
    </w:rPr>
  </w:style>
  <w:style w:type="paragraph" w:customStyle="1" w:styleId="alineazatevilnotoko1">
    <w:name w:val="alineazatevilnotoko1"/>
    <w:basedOn w:val="Navaden"/>
    <w:rsid w:val="00D91782"/>
    <w:pPr>
      <w:spacing w:after="0" w:line="240" w:lineRule="auto"/>
      <w:ind w:left="567" w:hanging="142"/>
      <w:jc w:val="both"/>
    </w:pPr>
    <w:rPr>
      <w:rFonts w:ascii="Arial" w:eastAsia="Times New Roman" w:hAnsi="Arial" w:cs="Arial"/>
      <w:kern w:val="0"/>
      <w:sz w:val="22"/>
      <w:szCs w:val="22"/>
      <w:lang w:eastAsia="sl-SI"/>
      <w14:ligatures w14:val="none"/>
    </w:rPr>
  </w:style>
  <w:style w:type="paragraph" w:customStyle="1" w:styleId="Telobesedila2">
    <w:name w:val="Telo besedila2"/>
    <w:rsid w:val="00D91782"/>
    <w:pPr>
      <w:spacing w:after="0" w:line="240" w:lineRule="auto"/>
    </w:pPr>
    <w:rPr>
      <w:rFonts w:ascii="Tms Rmn" w:eastAsia="Calibri" w:hAnsi="Tms Rmn" w:cs="Times New Roman"/>
      <w:color w:val="000000"/>
      <w:kern w:val="0"/>
      <w:szCs w:val="20"/>
      <w:lang w:val="en-US" w:eastAsia="sl-SI"/>
      <w14:ligatures w14:val="none"/>
    </w:rPr>
  </w:style>
  <w:style w:type="character" w:styleId="Besedilooznabemesta">
    <w:name w:val="Placeholder Text"/>
    <w:uiPriority w:val="99"/>
    <w:semiHidden/>
    <w:rsid w:val="00D91782"/>
    <w:rPr>
      <w:color w:val="808080"/>
    </w:rPr>
  </w:style>
  <w:style w:type="character" w:customStyle="1" w:styleId="Nerazreenaomemba1">
    <w:name w:val="Nerazrešena omemba1"/>
    <w:uiPriority w:val="99"/>
    <w:semiHidden/>
    <w:unhideWhenUsed/>
    <w:rsid w:val="00D91782"/>
    <w:rPr>
      <w:color w:val="605E5C"/>
      <w:shd w:val="clear" w:color="auto" w:fill="E1DFDD"/>
    </w:rPr>
  </w:style>
  <w:style w:type="character" w:customStyle="1" w:styleId="Nerazreenaomemba2">
    <w:name w:val="Nerazrešena omemba2"/>
    <w:uiPriority w:val="99"/>
    <w:semiHidden/>
    <w:unhideWhenUsed/>
    <w:rsid w:val="00D91782"/>
    <w:rPr>
      <w:color w:val="605E5C"/>
      <w:shd w:val="clear" w:color="auto" w:fill="E1DFDD"/>
    </w:rPr>
  </w:style>
  <w:style w:type="character" w:customStyle="1" w:styleId="home-content-docnumlabel-bold">
    <w:name w:val="home-content-docnumlabel-bold"/>
    <w:rsid w:val="00D91782"/>
  </w:style>
  <w:style w:type="paragraph" w:customStyle="1" w:styleId="oj-normal">
    <w:name w:val="oj-normal"/>
    <w:basedOn w:val="Navaden"/>
    <w:rsid w:val="00D91782"/>
    <w:pPr>
      <w:spacing w:before="100" w:beforeAutospacing="1" w:after="100" w:afterAutospacing="1" w:line="240" w:lineRule="auto"/>
    </w:pPr>
    <w:rPr>
      <w:rFonts w:ascii="Times New Roman" w:eastAsia="Times New Roman" w:hAnsi="Times New Roman" w:cs="Times New Roman"/>
      <w:kern w:val="0"/>
      <w:lang w:eastAsia="sl-SI"/>
      <w14:ligatures w14:val="none"/>
    </w:rPr>
  </w:style>
  <w:style w:type="character" w:customStyle="1" w:styleId="Nerazreenaomemba3">
    <w:name w:val="Nerazrešena omemba3"/>
    <w:basedOn w:val="Privzetapisavaodstavka"/>
    <w:uiPriority w:val="99"/>
    <w:semiHidden/>
    <w:unhideWhenUsed/>
    <w:rsid w:val="00D91782"/>
    <w:rPr>
      <w:color w:val="605E5C"/>
      <w:shd w:val="clear" w:color="auto" w:fill="E1DFDD"/>
    </w:rPr>
  </w:style>
  <w:style w:type="paragraph" w:customStyle="1" w:styleId="Slog4">
    <w:name w:val="Slog4"/>
    <w:basedOn w:val="tevilnatoka"/>
    <w:link w:val="Slog4Znak"/>
    <w:qFormat/>
    <w:rsid w:val="008E3FA3"/>
    <w:pPr>
      <w:numPr>
        <w:numId w:val="0"/>
      </w:numPr>
    </w:pPr>
    <w:rPr>
      <w:rFonts w:eastAsia="Arial" w:cs="Arial"/>
      <w:sz w:val="20"/>
      <w:szCs w:val="20"/>
    </w:rPr>
  </w:style>
  <w:style w:type="character" w:customStyle="1" w:styleId="Slog4Znak">
    <w:name w:val="Slog4 Znak"/>
    <w:basedOn w:val="tevilnatokaZnak"/>
    <w:link w:val="Slog4"/>
    <w:rsid w:val="008E3FA3"/>
    <w:rPr>
      <w:rFonts w:ascii="Arial" w:eastAsia="Arial" w:hAnsi="Arial" w:cs="Arial"/>
      <w:kern w:val="0"/>
      <w:sz w:val="20"/>
      <w:szCs w:val="20"/>
      <w:lang w:eastAsia="sl-SI"/>
      <w14:ligatures w14:val="none"/>
    </w:rPr>
  </w:style>
  <w:style w:type="paragraph" w:customStyle="1" w:styleId="Slog5">
    <w:name w:val="Slog5"/>
    <w:basedOn w:val="tevilnatoka"/>
    <w:link w:val="Slog5Znak"/>
    <w:qFormat/>
    <w:rsid w:val="008E3FA3"/>
    <w:pPr>
      <w:numPr>
        <w:numId w:val="0"/>
      </w:numPr>
    </w:pPr>
    <w:rPr>
      <w:rFonts w:eastAsia="Arial"/>
      <w:sz w:val="20"/>
      <w:szCs w:val="20"/>
    </w:rPr>
  </w:style>
  <w:style w:type="character" w:customStyle="1" w:styleId="Slog5Znak">
    <w:name w:val="Slog5 Znak"/>
    <w:basedOn w:val="tevilnatokaZnak"/>
    <w:link w:val="Slog5"/>
    <w:rsid w:val="008E3FA3"/>
    <w:rPr>
      <w:rFonts w:ascii="Arial" w:eastAsia="Arial" w:hAnsi="Arial" w:cs="Times New Roman"/>
      <w:kern w:val="0"/>
      <w:sz w:val="20"/>
      <w:szCs w:val="20"/>
      <w:lang w:eastAsia="sl-SI"/>
      <w14:ligatures w14:val="none"/>
    </w:rPr>
  </w:style>
  <w:style w:type="character" w:customStyle="1" w:styleId="UnresolvedMention">
    <w:name w:val="Unresolved Mention"/>
    <w:basedOn w:val="Privzetapisavaodstavka"/>
    <w:uiPriority w:val="99"/>
    <w:semiHidden/>
    <w:unhideWhenUsed/>
    <w:rsid w:val="00BA77A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87745">
      <w:bodyDiv w:val="1"/>
      <w:marLeft w:val="0"/>
      <w:marRight w:val="0"/>
      <w:marTop w:val="0"/>
      <w:marBottom w:val="0"/>
      <w:divBdr>
        <w:top w:val="none" w:sz="0" w:space="0" w:color="auto"/>
        <w:left w:val="none" w:sz="0" w:space="0" w:color="auto"/>
        <w:bottom w:val="none" w:sz="0" w:space="0" w:color="auto"/>
        <w:right w:val="none" w:sz="0" w:space="0" w:color="auto"/>
      </w:divBdr>
      <w:divsChild>
        <w:div w:id="1496796349">
          <w:marLeft w:val="0"/>
          <w:marRight w:val="0"/>
          <w:marTop w:val="0"/>
          <w:marBottom w:val="0"/>
          <w:divBdr>
            <w:top w:val="none" w:sz="0" w:space="0" w:color="auto"/>
            <w:left w:val="none" w:sz="0" w:space="0" w:color="auto"/>
            <w:bottom w:val="none" w:sz="0" w:space="0" w:color="auto"/>
            <w:right w:val="none" w:sz="0" w:space="0" w:color="auto"/>
          </w:divBdr>
          <w:divsChild>
            <w:div w:id="899831082">
              <w:marLeft w:val="0"/>
              <w:marRight w:val="0"/>
              <w:marTop w:val="0"/>
              <w:marBottom w:val="0"/>
              <w:divBdr>
                <w:top w:val="none" w:sz="0" w:space="0" w:color="auto"/>
                <w:left w:val="none" w:sz="0" w:space="0" w:color="auto"/>
                <w:bottom w:val="none" w:sz="0" w:space="0" w:color="auto"/>
                <w:right w:val="none" w:sz="0" w:space="0" w:color="auto"/>
              </w:divBdr>
              <w:divsChild>
                <w:div w:id="314459753">
                  <w:marLeft w:val="0"/>
                  <w:marRight w:val="0"/>
                  <w:marTop w:val="0"/>
                  <w:marBottom w:val="0"/>
                  <w:divBdr>
                    <w:top w:val="none" w:sz="0" w:space="0" w:color="auto"/>
                    <w:left w:val="none" w:sz="0" w:space="0" w:color="auto"/>
                    <w:bottom w:val="none" w:sz="0" w:space="0" w:color="auto"/>
                    <w:right w:val="none" w:sz="0" w:space="0" w:color="auto"/>
                  </w:divBdr>
                  <w:divsChild>
                    <w:div w:id="1746024909">
                      <w:marLeft w:val="0"/>
                      <w:marRight w:val="0"/>
                      <w:marTop w:val="0"/>
                      <w:marBottom w:val="0"/>
                      <w:divBdr>
                        <w:top w:val="none" w:sz="0" w:space="0" w:color="auto"/>
                        <w:left w:val="none" w:sz="0" w:space="0" w:color="auto"/>
                        <w:bottom w:val="none" w:sz="0" w:space="0" w:color="auto"/>
                        <w:right w:val="none" w:sz="0" w:space="0" w:color="auto"/>
                      </w:divBdr>
                      <w:divsChild>
                        <w:div w:id="1469784266">
                          <w:marLeft w:val="0"/>
                          <w:marRight w:val="0"/>
                          <w:marTop w:val="0"/>
                          <w:marBottom w:val="0"/>
                          <w:divBdr>
                            <w:top w:val="none" w:sz="0" w:space="0" w:color="auto"/>
                            <w:left w:val="none" w:sz="0" w:space="0" w:color="auto"/>
                            <w:bottom w:val="none" w:sz="0" w:space="0" w:color="auto"/>
                            <w:right w:val="none" w:sz="0" w:space="0" w:color="auto"/>
                          </w:divBdr>
                          <w:divsChild>
                            <w:div w:id="1244530938">
                              <w:marLeft w:val="0"/>
                              <w:marRight w:val="0"/>
                              <w:marTop w:val="0"/>
                              <w:marBottom w:val="0"/>
                              <w:divBdr>
                                <w:top w:val="none" w:sz="0" w:space="0" w:color="auto"/>
                                <w:left w:val="none" w:sz="0" w:space="0" w:color="auto"/>
                                <w:bottom w:val="none" w:sz="0" w:space="0" w:color="auto"/>
                                <w:right w:val="none" w:sz="0" w:space="0" w:color="auto"/>
                              </w:divBdr>
                              <w:divsChild>
                                <w:div w:id="1024597169">
                                  <w:marLeft w:val="0"/>
                                  <w:marRight w:val="0"/>
                                  <w:marTop w:val="0"/>
                                  <w:marBottom w:val="0"/>
                                  <w:divBdr>
                                    <w:top w:val="none" w:sz="0" w:space="0" w:color="auto"/>
                                    <w:left w:val="none" w:sz="0" w:space="0" w:color="auto"/>
                                    <w:bottom w:val="none" w:sz="0" w:space="0" w:color="auto"/>
                                    <w:right w:val="none" w:sz="0" w:space="0" w:color="auto"/>
                                  </w:divBdr>
                                  <w:divsChild>
                                    <w:div w:id="432360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6637396">
      <w:bodyDiv w:val="1"/>
      <w:marLeft w:val="0"/>
      <w:marRight w:val="0"/>
      <w:marTop w:val="0"/>
      <w:marBottom w:val="0"/>
      <w:divBdr>
        <w:top w:val="none" w:sz="0" w:space="0" w:color="auto"/>
        <w:left w:val="none" w:sz="0" w:space="0" w:color="auto"/>
        <w:bottom w:val="none" w:sz="0" w:space="0" w:color="auto"/>
        <w:right w:val="none" w:sz="0" w:space="0" w:color="auto"/>
      </w:divBdr>
    </w:div>
    <w:div w:id="59796669">
      <w:bodyDiv w:val="1"/>
      <w:marLeft w:val="0"/>
      <w:marRight w:val="0"/>
      <w:marTop w:val="0"/>
      <w:marBottom w:val="0"/>
      <w:divBdr>
        <w:top w:val="none" w:sz="0" w:space="0" w:color="auto"/>
        <w:left w:val="none" w:sz="0" w:space="0" w:color="auto"/>
        <w:bottom w:val="none" w:sz="0" w:space="0" w:color="auto"/>
        <w:right w:val="none" w:sz="0" w:space="0" w:color="auto"/>
      </w:divBdr>
      <w:divsChild>
        <w:div w:id="1572697860">
          <w:marLeft w:val="0"/>
          <w:marRight w:val="0"/>
          <w:marTop w:val="0"/>
          <w:marBottom w:val="0"/>
          <w:divBdr>
            <w:top w:val="none" w:sz="0" w:space="0" w:color="auto"/>
            <w:left w:val="none" w:sz="0" w:space="0" w:color="auto"/>
            <w:bottom w:val="none" w:sz="0" w:space="0" w:color="auto"/>
            <w:right w:val="none" w:sz="0" w:space="0" w:color="auto"/>
          </w:divBdr>
          <w:divsChild>
            <w:div w:id="12862279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67775242">
      <w:bodyDiv w:val="1"/>
      <w:marLeft w:val="0"/>
      <w:marRight w:val="0"/>
      <w:marTop w:val="0"/>
      <w:marBottom w:val="0"/>
      <w:divBdr>
        <w:top w:val="none" w:sz="0" w:space="0" w:color="auto"/>
        <w:left w:val="none" w:sz="0" w:space="0" w:color="auto"/>
        <w:bottom w:val="none" w:sz="0" w:space="0" w:color="auto"/>
        <w:right w:val="none" w:sz="0" w:space="0" w:color="auto"/>
      </w:divBdr>
    </w:div>
    <w:div w:id="75249329">
      <w:bodyDiv w:val="1"/>
      <w:marLeft w:val="0"/>
      <w:marRight w:val="0"/>
      <w:marTop w:val="0"/>
      <w:marBottom w:val="0"/>
      <w:divBdr>
        <w:top w:val="none" w:sz="0" w:space="0" w:color="auto"/>
        <w:left w:val="none" w:sz="0" w:space="0" w:color="auto"/>
        <w:bottom w:val="none" w:sz="0" w:space="0" w:color="auto"/>
        <w:right w:val="none" w:sz="0" w:space="0" w:color="auto"/>
      </w:divBdr>
    </w:div>
    <w:div w:id="98257043">
      <w:bodyDiv w:val="1"/>
      <w:marLeft w:val="0"/>
      <w:marRight w:val="0"/>
      <w:marTop w:val="0"/>
      <w:marBottom w:val="0"/>
      <w:divBdr>
        <w:top w:val="none" w:sz="0" w:space="0" w:color="auto"/>
        <w:left w:val="none" w:sz="0" w:space="0" w:color="auto"/>
        <w:bottom w:val="none" w:sz="0" w:space="0" w:color="auto"/>
        <w:right w:val="none" w:sz="0" w:space="0" w:color="auto"/>
      </w:divBdr>
    </w:div>
    <w:div w:id="110832109">
      <w:bodyDiv w:val="1"/>
      <w:marLeft w:val="0"/>
      <w:marRight w:val="0"/>
      <w:marTop w:val="0"/>
      <w:marBottom w:val="0"/>
      <w:divBdr>
        <w:top w:val="none" w:sz="0" w:space="0" w:color="auto"/>
        <w:left w:val="none" w:sz="0" w:space="0" w:color="auto"/>
        <w:bottom w:val="none" w:sz="0" w:space="0" w:color="auto"/>
        <w:right w:val="none" w:sz="0" w:space="0" w:color="auto"/>
      </w:divBdr>
      <w:divsChild>
        <w:div w:id="8073153">
          <w:marLeft w:val="0"/>
          <w:marRight w:val="0"/>
          <w:marTop w:val="0"/>
          <w:marBottom w:val="0"/>
          <w:divBdr>
            <w:top w:val="none" w:sz="0" w:space="0" w:color="auto"/>
            <w:left w:val="none" w:sz="0" w:space="0" w:color="auto"/>
            <w:bottom w:val="none" w:sz="0" w:space="0" w:color="auto"/>
            <w:right w:val="none" w:sz="0" w:space="0" w:color="auto"/>
          </w:divBdr>
          <w:divsChild>
            <w:div w:id="12997228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22313436">
      <w:bodyDiv w:val="1"/>
      <w:marLeft w:val="0"/>
      <w:marRight w:val="0"/>
      <w:marTop w:val="0"/>
      <w:marBottom w:val="0"/>
      <w:divBdr>
        <w:top w:val="none" w:sz="0" w:space="0" w:color="auto"/>
        <w:left w:val="none" w:sz="0" w:space="0" w:color="auto"/>
        <w:bottom w:val="none" w:sz="0" w:space="0" w:color="auto"/>
        <w:right w:val="none" w:sz="0" w:space="0" w:color="auto"/>
      </w:divBdr>
    </w:div>
    <w:div w:id="168254063">
      <w:bodyDiv w:val="1"/>
      <w:marLeft w:val="0"/>
      <w:marRight w:val="0"/>
      <w:marTop w:val="0"/>
      <w:marBottom w:val="0"/>
      <w:divBdr>
        <w:top w:val="none" w:sz="0" w:space="0" w:color="auto"/>
        <w:left w:val="none" w:sz="0" w:space="0" w:color="auto"/>
        <w:bottom w:val="none" w:sz="0" w:space="0" w:color="auto"/>
        <w:right w:val="none" w:sz="0" w:space="0" w:color="auto"/>
      </w:divBdr>
    </w:div>
    <w:div w:id="197280742">
      <w:bodyDiv w:val="1"/>
      <w:marLeft w:val="0"/>
      <w:marRight w:val="0"/>
      <w:marTop w:val="0"/>
      <w:marBottom w:val="0"/>
      <w:divBdr>
        <w:top w:val="none" w:sz="0" w:space="0" w:color="auto"/>
        <w:left w:val="none" w:sz="0" w:space="0" w:color="auto"/>
        <w:bottom w:val="none" w:sz="0" w:space="0" w:color="auto"/>
        <w:right w:val="none" w:sz="0" w:space="0" w:color="auto"/>
      </w:divBdr>
    </w:div>
    <w:div w:id="224342844">
      <w:bodyDiv w:val="1"/>
      <w:marLeft w:val="0"/>
      <w:marRight w:val="0"/>
      <w:marTop w:val="0"/>
      <w:marBottom w:val="0"/>
      <w:divBdr>
        <w:top w:val="none" w:sz="0" w:space="0" w:color="auto"/>
        <w:left w:val="none" w:sz="0" w:space="0" w:color="auto"/>
        <w:bottom w:val="none" w:sz="0" w:space="0" w:color="auto"/>
        <w:right w:val="none" w:sz="0" w:space="0" w:color="auto"/>
      </w:divBdr>
      <w:divsChild>
        <w:div w:id="278882318">
          <w:marLeft w:val="0"/>
          <w:marRight w:val="0"/>
          <w:marTop w:val="0"/>
          <w:marBottom w:val="0"/>
          <w:divBdr>
            <w:top w:val="none" w:sz="0" w:space="0" w:color="auto"/>
            <w:left w:val="none" w:sz="0" w:space="0" w:color="auto"/>
            <w:bottom w:val="none" w:sz="0" w:space="0" w:color="auto"/>
            <w:right w:val="none" w:sz="0" w:space="0" w:color="auto"/>
          </w:divBdr>
        </w:div>
      </w:divsChild>
    </w:div>
    <w:div w:id="229847925">
      <w:bodyDiv w:val="1"/>
      <w:marLeft w:val="0"/>
      <w:marRight w:val="0"/>
      <w:marTop w:val="0"/>
      <w:marBottom w:val="0"/>
      <w:divBdr>
        <w:top w:val="none" w:sz="0" w:space="0" w:color="auto"/>
        <w:left w:val="none" w:sz="0" w:space="0" w:color="auto"/>
        <w:bottom w:val="none" w:sz="0" w:space="0" w:color="auto"/>
        <w:right w:val="none" w:sz="0" w:space="0" w:color="auto"/>
      </w:divBdr>
    </w:div>
    <w:div w:id="236478238">
      <w:bodyDiv w:val="1"/>
      <w:marLeft w:val="0"/>
      <w:marRight w:val="0"/>
      <w:marTop w:val="0"/>
      <w:marBottom w:val="0"/>
      <w:divBdr>
        <w:top w:val="none" w:sz="0" w:space="0" w:color="auto"/>
        <w:left w:val="none" w:sz="0" w:space="0" w:color="auto"/>
        <w:bottom w:val="none" w:sz="0" w:space="0" w:color="auto"/>
        <w:right w:val="none" w:sz="0" w:space="0" w:color="auto"/>
      </w:divBdr>
    </w:div>
    <w:div w:id="246230169">
      <w:bodyDiv w:val="1"/>
      <w:marLeft w:val="0"/>
      <w:marRight w:val="0"/>
      <w:marTop w:val="0"/>
      <w:marBottom w:val="0"/>
      <w:divBdr>
        <w:top w:val="none" w:sz="0" w:space="0" w:color="auto"/>
        <w:left w:val="none" w:sz="0" w:space="0" w:color="auto"/>
        <w:bottom w:val="none" w:sz="0" w:space="0" w:color="auto"/>
        <w:right w:val="none" w:sz="0" w:space="0" w:color="auto"/>
      </w:divBdr>
    </w:div>
    <w:div w:id="261572788">
      <w:bodyDiv w:val="1"/>
      <w:marLeft w:val="0"/>
      <w:marRight w:val="0"/>
      <w:marTop w:val="0"/>
      <w:marBottom w:val="0"/>
      <w:divBdr>
        <w:top w:val="none" w:sz="0" w:space="0" w:color="auto"/>
        <w:left w:val="none" w:sz="0" w:space="0" w:color="auto"/>
        <w:bottom w:val="none" w:sz="0" w:space="0" w:color="auto"/>
        <w:right w:val="none" w:sz="0" w:space="0" w:color="auto"/>
      </w:divBdr>
    </w:div>
    <w:div w:id="280772409">
      <w:bodyDiv w:val="1"/>
      <w:marLeft w:val="0"/>
      <w:marRight w:val="0"/>
      <w:marTop w:val="0"/>
      <w:marBottom w:val="0"/>
      <w:divBdr>
        <w:top w:val="none" w:sz="0" w:space="0" w:color="auto"/>
        <w:left w:val="none" w:sz="0" w:space="0" w:color="auto"/>
        <w:bottom w:val="none" w:sz="0" w:space="0" w:color="auto"/>
        <w:right w:val="none" w:sz="0" w:space="0" w:color="auto"/>
      </w:divBdr>
    </w:div>
    <w:div w:id="301275062">
      <w:bodyDiv w:val="1"/>
      <w:marLeft w:val="0"/>
      <w:marRight w:val="0"/>
      <w:marTop w:val="0"/>
      <w:marBottom w:val="0"/>
      <w:divBdr>
        <w:top w:val="none" w:sz="0" w:space="0" w:color="auto"/>
        <w:left w:val="none" w:sz="0" w:space="0" w:color="auto"/>
        <w:bottom w:val="none" w:sz="0" w:space="0" w:color="auto"/>
        <w:right w:val="none" w:sz="0" w:space="0" w:color="auto"/>
      </w:divBdr>
    </w:div>
    <w:div w:id="301615238">
      <w:bodyDiv w:val="1"/>
      <w:marLeft w:val="0"/>
      <w:marRight w:val="0"/>
      <w:marTop w:val="0"/>
      <w:marBottom w:val="0"/>
      <w:divBdr>
        <w:top w:val="none" w:sz="0" w:space="0" w:color="auto"/>
        <w:left w:val="none" w:sz="0" w:space="0" w:color="auto"/>
        <w:bottom w:val="none" w:sz="0" w:space="0" w:color="auto"/>
        <w:right w:val="none" w:sz="0" w:space="0" w:color="auto"/>
      </w:divBdr>
      <w:divsChild>
        <w:div w:id="602344839">
          <w:marLeft w:val="0"/>
          <w:marRight w:val="0"/>
          <w:marTop w:val="0"/>
          <w:marBottom w:val="0"/>
          <w:divBdr>
            <w:top w:val="none" w:sz="0" w:space="0" w:color="auto"/>
            <w:left w:val="none" w:sz="0" w:space="0" w:color="auto"/>
            <w:bottom w:val="none" w:sz="0" w:space="0" w:color="auto"/>
            <w:right w:val="none" w:sz="0" w:space="0" w:color="auto"/>
          </w:divBdr>
          <w:divsChild>
            <w:div w:id="179459440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314769930">
      <w:bodyDiv w:val="1"/>
      <w:marLeft w:val="0"/>
      <w:marRight w:val="0"/>
      <w:marTop w:val="0"/>
      <w:marBottom w:val="0"/>
      <w:divBdr>
        <w:top w:val="none" w:sz="0" w:space="0" w:color="auto"/>
        <w:left w:val="none" w:sz="0" w:space="0" w:color="auto"/>
        <w:bottom w:val="none" w:sz="0" w:space="0" w:color="auto"/>
        <w:right w:val="none" w:sz="0" w:space="0" w:color="auto"/>
      </w:divBdr>
    </w:div>
    <w:div w:id="323704029">
      <w:bodyDiv w:val="1"/>
      <w:marLeft w:val="0"/>
      <w:marRight w:val="0"/>
      <w:marTop w:val="0"/>
      <w:marBottom w:val="0"/>
      <w:divBdr>
        <w:top w:val="none" w:sz="0" w:space="0" w:color="auto"/>
        <w:left w:val="none" w:sz="0" w:space="0" w:color="auto"/>
        <w:bottom w:val="none" w:sz="0" w:space="0" w:color="auto"/>
        <w:right w:val="none" w:sz="0" w:space="0" w:color="auto"/>
      </w:divBdr>
    </w:div>
    <w:div w:id="342780590">
      <w:bodyDiv w:val="1"/>
      <w:marLeft w:val="0"/>
      <w:marRight w:val="0"/>
      <w:marTop w:val="0"/>
      <w:marBottom w:val="0"/>
      <w:divBdr>
        <w:top w:val="none" w:sz="0" w:space="0" w:color="auto"/>
        <w:left w:val="none" w:sz="0" w:space="0" w:color="auto"/>
        <w:bottom w:val="none" w:sz="0" w:space="0" w:color="auto"/>
        <w:right w:val="none" w:sz="0" w:space="0" w:color="auto"/>
      </w:divBdr>
    </w:div>
    <w:div w:id="354575836">
      <w:bodyDiv w:val="1"/>
      <w:marLeft w:val="0"/>
      <w:marRight w:val="0"/>
      <w:marTop w:val="0"/>
      <w:marBottom w:val="0"/>
      <w:divBdr>
        <w:top w:val="none" w:sz="0" w:space="0" w:color="auto"/>
        <w:left w:val="none" w:sz="0" w:space="0" w:color="auto"/>
        <w:bottom w:val="none" w:sz="0" w:space="0" w:color="auto"/>
        <w:right w:val="none" w:sz="0" w:space="0" w:color="auto"/>
      </w:divBdr>
    </w:div>
    <w:div w:id="385832934">
      <w:bodyDiv w:val="1"/>
      <w:marLeft w:val="0"/>
      <w:marRight w:val="0"/>
      <w:marTop w:val="0"/>
      <w:marBottom w:val="0"/>
      <w:divBdr>
        <w:top w:val="none" w:sz="0" w:space="0" w:color="auto"/>
        <w:left w:val="none" w:sz="0" w:space="0" w:color="auto"/>
        <w:bottom w:val="none" w:sz="0" w:space="0" w:color="auto"/>
        <w:right w:val="none" w:sz="0" w:space="0" w:color="auto"/>
      </w:divBdr>
    </w:div>
    <w:div w:id="392696813">
      <w:bodyDiv w:val="1"/>
      <w:marLeft w:val="0"/>
      <w:marRight w:val="0"/>
      <w:marTop w:val="0"/>
      <w:marBottom w:val="0"/>
      <w:divBdr>
        <w:top w:val="none" w:sz="0" w:space="0" w:color="auto"/>
        <w:left w:val="none" w:sz="0" w:space="0" w:color="auto"/>
        <w:bottom w:val="none" w:sz="0" w:space="0" w:color="auto"/>
        <w:right w:val="none" w:sz="0" w:space="0" w:color="auto"/>
      </w:divBdr>
    </w:div>
    <w:div w:id="427655050">
      <w:bodyDiv w:val="1"/>
      <w:marLeft w:val="0"/>
      <w:marRight w:val="0"/>
      <w:marTop w:val="0"/>
      <w:marBottom w:val="0"/>
      <w:divBdr>
        <w:top w:val="none" w:sz="0" w:space="0" w:color="auto"/>
        <w:left w:val="none" w:sz="0" w:space="0" w:color="auto"/>
        <w:bottom w:val="none" w:sz="0" w:space="0" w:color="auto"/>
        <w:right w:val="none" w:sz="0" w:space="0" w:color="auto"/>
      </w:divBdr>
    </w:div>
    <w:div w:id="447509082">
      <w:bodyDiv w:val="1"/>
      <w:marLeft w:val="0"/>
      <w:marRight w:val="0"/>
      <w:marTop w:val="0"/>
      <w:marBottom w:val="0"/>
      <w:divBdr>
        <w:top w:val="none" w:sz="0" w:space="0" w:color="auto"/>
        <w:left w:val="none" w:sz="0" w:space="0" w:color="auto"/>
        <w:bottom w:val="none" w:sz="0" w:space="0" w:color="auto"/>
        <w:right w:val="none" w:sz="0" w:space="0" w:color="auto"/>
      </w:divBdr>
    </w:div>
    <w:div w:id="460266369">
      <w:bodyDiv w:val="1"/>
      <w:marLeft w:val="0"/>
      <w:marRight w:val="0"/>
      <w:marTop w:val="0"/>
      <w:marBottom w:val="0"/>
      <w:divBdr>
        <w:top w:val="none" w:sz="0" w:space="0" w:color="auto"/>
        <w:left w:val="none" w:sz="0" w:space="0" w:color="auto"/>
        <w:bottom w:val="none" w:sz="0" w:space="0" w:color="auto"/>
        <w:right w:val="none" w:sz="0" w:space="0" w:color="auto"/>
      </w:divBdr>
    </w:div>
    <w:div w:id="505637197">
      <w:bodyDiv w:val="1"/>
      <w:marLeft w:val="0"/>
      <w:marRight w:val="0"/>
      <w:marTop w:val="0"/>
      <w:marBottom w:val="0"/>
      <w:divBdr>
        <w:top w:val="none" w:sz="0" w:space="0" w:color="auto"/>
        <w:left w:val="none" w:sz="0" w:space="0" w:color="auto"/>
        <w:bottom w:val="none" w:sz="0" w:space="0" w:color="auto"/>
        <w:right w:val="none" w:sz="0" w:space="0" w:color="auto"/>
      </w:divBdr>
    </w:div>
    <w:div w:id="507018799">
      <w:bodyDiv w:val="1"/>
      <w:marLeft w:val="0"/>
      <w:marRight w:val="0"/>
      <w:marTop w:val="0"/>
      <w:marBottom w:val="0"/>
      <w:divBdr>
        <w:top w:val="none" w:sz="0" w:space="0" w:color="auto"/>
        <w:left w:val="none" w:sz="0" w:space="0" w:color="auto"/>
        <w:bottom w:val="none" w:sz="0" w:space="0" w:color="auto"/>
        <w:right w:val="none" w:sz="0" w:space="0" w:color="auto"/>
      </w:divBdr>
    </w:div>
    <w:div w:id="530070067">
      <w:bodyDiv w:val="1"/>
      <w:marLeft w:val="0"/>
      <w:marRight w:val="0"/>
      <w:marTop w:val="0"/>
      <w:marBottom w:val="0"/>
      <w:divBdr>
        <w:top w:val="none" w:sz="0" w:space="0" w:color="auto"/>
        <w:left w:val="none" w:sz="0" w:space="0" w:color="auto"/>
        <w:bottom w:val="none" w:sz="0" w:space="0" w:color="auto"/>
        <w:right w:val="none" w:sz="0" w:space="0" w:color="auto"/>
      </w:divBdr>
    </w:div>
    <w:div w:id="592128351">
      <w:bodyDiv w:val="1"/>
      <w:marLeft w:val="0"/>
      <w:marRight w:val="0"/>
      <w:marTop w:val="0"/>
      <w:marBottom w:val="0"/>
      <w:divBdr>
        <w:top w:val="none" w:sz="0" w:space="0" w:color="auto"/>
        <w:left w:val="none" w:sz="0" w:space="0" w:color="auto"/>
        <w:bottom w:val="none" w:sz="0" w:space="0" w:color="auto"/>
        <w:right w:val="none" w:sz="0" w:space="0" w:color="auto"/>
      </w:divBdr>
    </w:div>
    <w:div w:id="597104336">
      <w:bodyDiv w:val="1"/>
      <w:marLeft w:val="0"/>
      <w:marRight w:val="0"/>
      <w:marTop w:val="0"/>
      <w:marBottom w:val="0"/>
      <w:divBdr>
        <w:top w:val="none" w:sz="0" w:space="0" w:color="auto"/>
        <w:left w:val="none" w:sz="0" w:space="0" w:color="auto"/>
        <w:bottom w:val="none" w:sz="0" w:space="0" w:color="auto"/>
        <w:right w:val="none" w:sz="0" w:space="0" w:color="auto"/>
      </w:divBdr>
      <w:divsChild>
        <w:div w:id="452869769">
          <w:marLeft w:val="0"/>
          <w:marRight w:val="0"/>
          <w:marTop w:val="0"/>
          <w:marBottom w:val="0"/>
          <w:divBdr>
            <w:top w:val="none" w:sz="0" w:space="0" w:color="auto"/>
            <w:left w:val="none" w:sz="0" w:space="0" w:color="auto"/>
            <w:bottom w:val="none" w:sz="0" w:space="0" w:color="auto"/>
            <w:right w:val="none" w:sz="0" w:space="0" w:color="auto"/>
          </w:divBdr>
        </w:div>
      </w:divsChild>
    </w:div>
    <w:div w:id="610479116">
      <w:bodyDiv w:val="1"/>
      <w:marLeft w:val="0"/>
      <w:marRight w:val="0"/>
      <w:marTop w:val="0"/>
      <w:marBottom w:val="0"/>
      <w:divBdr>
        <w:top w:val="none" w:sz="0" w:space="0" w:color="auto"/>
        <w:left w:val="none" w:sz="0" w:space="0" w:color="auto"/>
        <w:bottom w:val="none" w:sz="0" w:space="0" w:color="auto"/>
        <w:right w:val="none" w:sz="0" w:space="0" w:color="auto"/>
      </w:divBdr>
    </w:div>
    <w:div w:id="633830307">
      <w:bodyDiv w:val="1"/>
      <w:marLeft w:val="0"/>
      <w:marRight w:val="0"/>
      <w:marTop w:val="0"/>
      <w:marBottom w:val="0"/>
      <w:divBdr>
        <w:top w:val="none" w:sz="0" w:space="0" w:color="auto"/>
        <w:left w:val="none" w:sz="0" w:space="0" w:color="auto"/>
        <w:bottom w:val="none" w:sz="0" w:space="0" w:color="auto"/>
        <w:right w:val="none" w:sz="0" w:space="0" w:color="auto"/>
      </w:divBdr>
    </w:div>
    <w:div w:id="651256866">
      <w:bodyDiv w:val="1"/>
      <w:marLeft w:val="0"/>
      <w:marRight w:val="0"/>
      <w:marTop w:val="0"/>
      <w:marBottom w:val="0"/>
      <w:divBdr>
        <w:top w:val="none" w:sz="0" w:space="0" w:color="auto"/>
        <w:left w:val="none" w:sz="0" w:space="0" w:color="auto"/>
        <w:bottom w:val="none" w:sz="0" w:space="0" w:color="auto"/>
        <w:right w:val="none" w:sz="0" w:space="0" w:color="auto"/>
      </w:divBdr>
    </w:div>
    <w:div w:id="723335318">
      <w:bodyDiv w:val="1"/>
      <w:marLeft w:val="0"/>
      <w:marRight w:val="0"/>
      <w:marTop w:val="0"/>
      <w:marBottom w:val="0"/>
      <w:divBdr>
        <w:top w:val="none" w:sz="0" w:space="0" w:color="auto"/>
        <w:left w:val="none" w:sz="0" w:space="0" w:color="auto"/>
        <w:bottom w:val="none" w:sz="0" w:space="0" w:color="auto"/>
        <w:right w:val="none" w:sz="0" w:space="0" w:color="auto"/>
      </w:divBdr>
    </w:div>
    <w:div w:id="745147698">
      <w:bodyDiv w:val="1"/>
      <w:marLeft w:val="0"/>
      <w:marRight w:val="0"/>
      <w:marTop w:val="0"/>
      <w:marBottom w:val="0"/>
      <w:divBdr>
        <w:top w:val="none" w:sz="0" w:space="0" w:color="auto"/>
        <w:left w:val="none" w:sz="0" w:space="0" w:color="auto"/>
        <w:bottom w:val="none" w:sz="0" w:space="0" w:color="auto"/>
        <w:right w:val="none" w:sz="0" w:space="0" w:color="auto"/>
      </w:divBdr>
      <w:divsChild>
        <w:div w:id="1011906836">
          <w:marLeft w:val="0"/>
          <w:marRight w:val="0"/>
          <w:marTop w:val="0"/>
          <w:marBottom w:val="0"/>
          <w:divBdr>
            <w:top w:val="none" w:sz="0" w:space="0" w:color="auto"/>
            <w:left w:val="none" w:sz="0" w:space="0" w:color="auto"/>
            <w:bottom w:val="none" w:sz="0" w:space="0" w:color="auto"/>
            <w:right w:val="none" w:sz="0" w:space="0" w:color="auto"/>
          </w:divBdr>
          <w:divsChild>
            <w:div w:id="58678587">
              <w:marLeft w:val="0"/>
              <w:marRight w:val="0"/>
              <w:marTop w:val="0"/>
              <w:marBottom w:val="0"/>
              <w:divBdr>
                <w:top w:val="none" w:sz="0" w:space="0" w:color="auto"/>
                <w:left w:val="none" w:sz="0" w:space="0" w:color="auto"/>
                <w:bottom w:val="none" w:sz="0" w:space="0" w:color="auto"/>
                <w:right w:val="none" w:sz="0" w:space="0" w:color="auto"/>
              </w:divBdr>
              <w:divsChild>
                <w:div w:id="905800358">
                  <w:marLeft w:val="0"/>
                  <w:marRight w:val="0"/>
                  <w:marTop w:val="0"/>
                  <w:marBottom w:val="0"/>
                  <w:divBdr>
                    <w:top w:val="none" w:sz="0" w:space="0" w:color="auto"/>
                    <w:left w:val="none" w:sz="0" w:space="0" w:color="auto"/>
                    <w:bottom w:val="none" w:sz="0" w:space="0" w:color="auto"/>
                    <w:right w:val="none" w:sz="0" w:space="0" w:color="auto"/>
                  </w:divBdr>
                  <w:divsChild>
                    <w:div w:id="1078673854">
                      <w:marLeft w:val="0"/>
                      <w:marRight w:val="0"/>
                      <w:marTop w:val="0"/>
                      <w:marBottom w:val="0"/>
                      <w:divBdr>
                        <w:top w:val="none" w:sz="0" w:space="0" w:color="auto"/>
                        <w:left w:val="none" w:sz="0" w:space="0" w:color="auto"/>
                        <w:bottom w:val="none" w:sz="0" w:space="0" w:color="auto"/>
                        <w:right w:val="none" w:sz="0" w:space="0" w:color="auto"/>
                      </w:divBdr>
                      <w:divsChild>
                        <w:div w:id="370879653">
                          <w:marLeft w:val="0"/>
                          <w:marRight w:val="0"/>
                          <w:marTop w:val="0"/>
                          <w:marBottom w:val="0"/>
                          <w:divBdr>
                            <w:top w:val="none" w:sz="0" w:space="0" w:color="auto"/>
                            <w:left w:val="none" w:sz="0" w:space="0" w:color="auto"/>
                            <w:bottom w:val="none" w:sz="0" w:space="0" w:color="auto"/>
                            <w:right w:val="none" w:sz="0" w:space="0" w:color="auto"/>
                          </w:divBdr>
                          <w:divsChild>
                            <w:div w:id="2042437898">
                              <w:marLeft w:val="0"/>
                              <w:marRight w:val="0"/>
                              <w:marTop w:val="0"/>
                              <w:marBottom w:val="0"/>
                              <w:divBdr>
                                <w:top w:val="none" w:sz="0" w:space="0" w:color="auto"/>
                                <w:left w:val="none" w:sz="0" w:space="0" w:color="auto"/>
                                <w:bottom w:val="none" w:sz="0" w:space="0" w:color="auto"/>
                                <w:right w:val="none" w:sz="0" w:space="0" w:color="auto"/>
                              </w:divBdr>
                              <w:divsChild>
                                <w:div w:id="1904639525">
                                  <w:marLeft w:val="0"/>
                                  <w:marRight w:val="0"/>
                                  <w:marTop w:val="0"/>
                                  <w:marBottom w:val="0"/>
                                  <w:divBdr>
                                    <w:top w:val="none" w:sz="0" w:space="0" w:color="auto"/>
                                    <w:left w:val="none" w:sz="0" w:space="0" w:color="auto"/>
                                    <w:bottom w:val="none" w:sz="0" w:space="0" w:color="auto"/>
                                    <w:right w:val="none" w:sz="0" w:space="0" w:color="auto"/>
                                  </w:divBdr>
                                  <w:divsChild>
                                    <w:div w:id="471143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2241046">
      <w:bodyDiv w:val="1"/>
      <w:marLeft w:val="0"/>
      <w:marRight w:val="0"/>
      <w:marTop w:val="0"/>
      <w:marBottom w:val="0"/>
      <w:divBdr>
        <w:top w:val="none" w:sz="0" w:space="0" w:color="auto"/>
        <w:left w:val="none" w:sz="0" w:space="0" w:color="auto"/>
        <w:bottom w:val="none" w:sz="0" w:space="0" w:color="auto"/>
        <w:right w:val="none" w:sz="0" w:space="0" w:color="auto"/>
      </w:divBdr>
    </w:div>
    <w:div w:id="768543163">
      <w:bodyDiv w:val="1"/>
      <w:marLeft w:val="0"/>
      <w:marRight w:val="0"/>
      <w:marTop w:val="0"/>
      <w:marBottom w:val="0"/>
      <w:divBdr>
        <w:top w:val="none" w:sz="0" w:space="0" w:color="auto"/>
        <w:left w:val="none" w:sz="0" w:space="0" w:color="auto"/>
        <w:bottom w:val="none" w:sz="0" w:space="0" w:color="auto"/>
        <w:right w:val="none" w:sz="0" w:space="0" w:color="auto"/>
      </w:divBdr>
    </w:div>
    <w:div w:id="802310829">
      <w:bodyDiv w:val="1"/>
      <w:marLeft w:val="0"/>
      <w:marRight w:val="0"/>
      <w:marTop w:val="0"/>
      <w:marBottom w:val="0"/>
      <w:divBdr>
        <w:top w:val="none" w:sz="0" w:space="0" w:color="auto"/>
        <w:left w:val="none" w:sz="0" w:space="0" w:color="auto"/>
        <w:bottom w:val="none" w:sz="0" w:space="0" w:color="auto"/>
        <w:right w:val="none" w:sz="0" w:space="0" w:color="auto"/>
      </w:divBdr>
    </w:div>
    <w:div w:id="821384389">
      <w:bodyDiv w:val="1"/>
      <w:marLeft w:val="0"/>
      <w:marRight w:val="0"/>
      <w:marTop w:val="0"/>
      <w:marBottom w:val="0"/>
      <w:divBdr>
        <w:top w:val="none" w:sz="0" w:space="0" w:color="auto"/>
        <w:left w:val="none" w:sz="0" w:space="0" w:color="auto"/>
        <w:bottom w:val="none" w:sz="0" w:space="0" w:color="auto"/>
        <w:right w:val="none" w:sz="0" w:space="0" w:color="auto"/>
      </w:divBdr>
    </w:div>
    <w:div w:id="836383602">
      <w:bodyDiv w:val="1"/>
      <w:marLeft w:val="0"/>
      <w:marRight w:val="0"/>
      <w:marTop w:val="0"/>
      <w:marBottom w:val="0"/>
      <w:divBdr>
        <w:top w:val="none" w:sz="0" w:space="0" w:color="auto"/>
        <w:left w:val="none" w:sz="0" w:space="0" w:color="auto"/>
        <w:bottom w:val="none" w:sz="0" w:space="0" w:color="auto"/>
        <w:right w:val="none" w:sz="0" w:space="0" w:color="auto"/>
      </w:divBdr>
    </w:div>
    <w:div w:id="887761543">
      <w:bodyDiv w:val="1"/>
      <w:marLeft w:val="0"/>
      <w:marRight w:val="0"/>
      <w:marTop w:val="0"/>
      <w:marBottom w:val="0"/>
      <w:divBdr>
        <w:top w:val="none" w:sz="0" w:space="0" w:color="auto"/>
        <w:left w:val="none" w:sz="0" w:space="0" w:color="auto"/>
        <w:bottom w:val="none" w:sz="0" w:space="0" w:color="auto"/>
        <w:right w:val="none" w:sz="0" w:space="0" w:color="auto"/>
      </w:divBdr>
    </w:div>
    <w:div w:id="914238488">
      <w:bodyDiv w:val="1"/>
      <w:marLeft w:val="0"/>
      <w:marRight w:val="0"/>
      <w:marTop w:val="0"/>
      <w:marBottom w:val="0"/>
      <w:divBdr>
        <w:top w:val="none" w:sz="0" w:space="0" w:color="auto"/>
        <w:left w:val="none" w:sz="0" w:space="0" w:color="auto"/>
        <w:bottom w:val="none" w:sz="0" w:space="0" w:color="auto"/>
        <w:right w:val="none" w:sz="0" w:space="0" w:color="auto"/>
      </w:divBdr>
      <w:divsChild>
        <w:div w:id="177234322">
          <w:marLeft w:val="0"/>
          <w:marRight w:val="0"/>
          <w:marTop w:val="0"/>
          <w:marBottom w:val="0"/>
          <w:divBdr>
            <w:top w:val="none" w:sz="0" w:space="0" w:color="auto"/>
            <w:left w:val="none" w:sz="0" w:space="0" w:color="auto"/>
            <w:bottom w:val="none" w:sz="0" w:space="0" w:color="auto"/>
            <w:right w:val="none" w:sz="0" w:space="0" w:color="auto"/>
          </w:divBdr>
          <w:divsChild>
            <w:div w:id="203758281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916667044">
      <w:bodyDiv w:val="1"/>
      <w:marLeft w:val="0"/>
      <w:marRight w:val="0"/>
      <w:marTop w:val="0"/>
      <w:marBottom w:val="0"/>
      <w:divBdr>
        <w:top w:val="none" w:sz="0" w:space="0" w:color="auto"/>
        <w:left w:val="none" w:sz="0" w:space="0" w:color="auto"/>
        <w:bottom w:val="none" w:sz="0" w:space="0" w:color="auto"/>
        <w:right w:val="none" w:sz="0" w:space="0" w:color="auto"/>
      </w:divBdr>
      <w:divsChild>
        <w:div w:id="1091588960">
          <w:marLeft w:val="0"/>
          <w:marRight w:val="0"/>
          <w:marTop w:val="0"/>
          <w:marBottom w:val="0"/>
          <w:divBdr>
            <w:top w:val="none" w:sz="0" w:space="0" w:color="auto"/>
            <w:left w:val="none" w:sz="0" w:space="0" w:color="auto"/>
            <w:bottom w:val="none" w:sz="0" w:space="0" w:color="auto"/>
            <w:right w:val="none" w:sz="0" w:space="0" w:color="auto"/>
          </w:divBdr>
          <w:divsChild>
            <w:div w:id="2060468290">
              <w:marLeft w:val="0"/>
              <w:marRight w:val="0"/>
              <w:marTop w:val="0"/>
              <w:marBottom w:val="0"/>
              <w:divBdr>
                <w:top w:val="none" w:sz="0" w:space="0" w:color="auto"/>
                <w:left w:val="none" w:sz="0" w:space="0" w:color="auto"/>
                <w:bottom w:val="none" w:sz="0" w:space="0" w:color="auto"/>
                <w:right w:val="none" w:sz="0" w:space="0" w:color="auto"/>
              </w:divBdr>
              <w:divsChild>
                <w:div w:id="1837526474">
                  <w:marLeft w:val="0"/>
                  <w:marRight w:val="0"/>
                  <w:marTop w:val="0"/>
                  <w:marBottom w:val="0"/>
                  <w:divBdr>
                    <w:top w:val="none" w:sz="0" w:space="0" w:color="auto"/>
                    <w:left w:val="none" w:sz="0" w:space="0" w:color="auto"/>
                    <w:bottom w:val="none" w:sz="0" w:space="0" w:color="auto"/>
                    <w:right w:val="none" w:sz="0" w:space="0" w:color="auto"/>
                  </w:divBdr>
                  <w:divsChild>
                    <w:div w:id="197814959">
                      <w:marLeft w:val="0"/>
                      <w:marRight w:val="0"/>
                      <w:marTop w:val="0"/>
                      <w:marBottom w:val="0"/>
                      <w:divBdr>
                        <w:top w:val="none" w:sz="0" w:space="0" w:color="auto"/>
                        <w:left w:val="none" w:sz="0" w:space="0" w:color="auto"/>
                        <w:bottom w:val="none" w:sz="0" w:space="0" w:color="auto"/>
                        <w:right w:val="none" w:sz="0" w:space="0" w:color="auto"/>
                      </w:divBdr>
                      <w:divsChild>
                        <w:div w:id="975450623">
                          <w:marLeft w:val="0"/>
                          <w:marRight w:val="0"/>
                          <w:marTop w:val="0"/>
                          <w:marBottom w:val="0"/>
                          <w:divBdr>
                            <w:top w:val="none" w:sz="0" w:space="0" w:color="auto"/>
                            <w:left w:val="none" w:sz="0" w:space="0" w:color="auto"/>
                            <w:bottom w:val="none" w:sz="0" w:space="0" w:color="auto"/>
                            <w:right w:val="none" w:sz="0" w:space="0" w:color="auto"/>
                          </w:divBdr>
                          <w:divsChild>
                            <w:div w:id="1272318858">
                              <w:marLeft w:val="0"/>
                              <w:marRight w:val="0"/>
                              <w:marTop w:val="0"/>
                              <w:marBottom w:val="0"/>
                              <w:divBdr>
                                <w:top w:val="none" w:sz="0" w:space="0" w:color="auto"/>
                                <w:left w:val="none" w:sz="0" w:space="0" w:color="auto"/>
                                <w:bottom w:val="none" w:sz="0" w:space="0" w:color="auto"/>
                                <w:right w:val="none" w:sz="0" w:space="0" w:color="auto"/>
                              </w:divBdr>
                              <w:divsChild>
                                <w:div w:id="359286144">
                                  <w:marLeft w:val="0"/>
                                  <w:marRight w:val="0"/>
                                  <w:marTop w:val="0"/>
                                  <w:marBottom w:val="0"/>
                                  <w:divBdr>
                                    <w:top w:val="none" w:sz="0" w:space="0" w:color="auto"/>
                                    <w:left w:val="none" w:sz="0" w:space="0" w:color="auto"/>
                                    <w:bottom w:val="none" w:sz="0" w:space="0" w:color="auto"/>
                                    <w:right w:val="none" w:sz="0" w:space="0" w:color="auto"/>
                                  </w:divBdr>
                                  <w:divsChild>
                                    <w:div w:id="1020006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7733490">
      <w:bodyDiv w:val="1"/>
      <w:marLeft w:val="0"/>
      <w:marRight w:val="0"/>
      <w:marTop w:val="0"/>
      <w:marBottom w:val="0"/>
      <w:divBdr>
        <w:top w:val="none" w:sz="0" w:space="0" w:color="auto"/>
        <w:left w:val="none" w:sz="0" w:space="0" w:color="auto"/>
        <w:bottom w:val="none" w:sz="0" w:space="0" w:color="auto"/>
        <w:right w:val="none" w:sz="0" w:space="0" w:color="auto"/>
      </w:divBdr>
    </w:div>
    <w:div w:id="930822822">
      <w:bodyDiv w:val="1"/>
      <w:marLeft w:val="0"/>
      <w:marRight w:val="0"/>
      <w:marTop w:val="0"/>
      <w:marBottom w:val="0"/>
      <w:divBdr>
        <w:top w:val="none" w:sz="0" w:space="0" w:color="auto"/>
        <w:left w:val="none" w:sz="0" w:space="0" w:color="auto"/>
        <w:bottom w:val="none" w:sz="0" w:space="0" w:color="auto"/>
        <w:right w:val="none" w:sz="0" w:space="0" w:color="auto"/>
      </w:divBdr>
    </w:div>
    <w:div w:id="944770101">
      <w:bodyDiv w:val="1"/>
      <w:marLeft w:val="0"/>
      <w:marRight w:val="0"/>
      <w:marTop w:val="0"/>
      <w:marBottom w:val="0"/>
      <w:divBdr>
        <w:top w:val="none" w:sz="0" w:space="0" w:color="auto"/>
        <w:left w:val="none" w:sz="0" w:space="0" w:color="auto"/>
        <w:bottom w:val="none" w:sz="0" w:space="0" w:color="auto"/>
        <w:right w:val="none" w:sz="0" w:space="0" w:color="auto"/>
      </w:divBdr>
    </w:div>
    <w:div w:id="964653722">
      <w:bodyDiv w:val="1"/>
      <w:marLeft w:val="0"/>
      <w:marRight w:val="0"/>
      <w:marTop w:val="0"/>
      <w:marBottom w:val="0"/>
      <w:divBdr>
        <w:top w:val="none" w:sz="0" w:space="0" w:color="auto"/>
        <w:left w:val="none" w:sz="0" w:space="0" w:color="auto"/>
        <w:bottom w:val="none" w:sz="0" w:space="0" w:color="auto"/>
        <w:right w:val="none" w:sz="0" w:space="0" w:color="auto"/>
      </w:divBdr>
    </w:div>
    <w:div w:id="998079702">
      <w:bodyDiv w:val="1"/>
      <w:marLeft w:val="0"/>
      <w:marRight w:val="0"/>
      <w:marTop w:val="0"/>
      <w:marBottom w:val="0"/>
      <w:divBdr>
        <w:top w:val="none" w:sz="0" w:space="0" w:color="auto"/>
        <w:left w:val="none" w:sz="0" w:space="0" w:color="auto"/>
        <w:bottom w:val="none" w:sz="0" w:space="0" w:color="auto"/>
        <w:right w:val="none" w:sz="0" w:space="0" w:color="auto"/>
      </w:divBdr>
      <w:divsChild>
        <w:div w:id="381634236">
          <w:marLeft w:val="0"/>
          <w:marRight w:val="0"/>
          <w:marTop w:val="0"/>
          <w:marBottom w:val="0"/>
          <w:divBdr>
            <w:top w:val="none" w:sz="0" w:space="0" w:color="auto"/>
            <w:left w:val="none" w:sz="0" w:space="0" w:color="auto"/>
            <w:bottom w:val="none" w:sz="0" w:space="0" w:color="auto"/>
            <w:right w:val="none" w:sz="0" w:space="0" w:color="auto"/>
          </w:divBdr>
        </w:div>
      </w:divsChild>
    </w:div>
    <w:div w:id="1013456048">
      <w:bodyDiv w:val="1"/>
      <w:marLeft w:val="0"/>
      <w:marRight w:val="0"/>
      <w:marTop w:val="0"/>
      <w:marBottom w:val="0"/>
      <w:divBdr>
        <w:top w:val="none" w:sz="0" w:space="0" w:color="auto"/>
        <w:left w:val="none" w:sz="0" w:space="0" w:color="auto"/>
        <w:bottom w:val="none" w:sz="0" w:space="0" w:color="auto"/>
        <w:right w:val="none" w:sz="0" w:space="0" w:color="auto"/>
      </w:divBdr>
    </w:div>
    <w:div w:id="1072584613">
      <w:bodyDiv w:val="1"/>
      <w:marLeft w:val="0"/>
      <w:marRight w:val="0"/>
      <w:marTop w:val="0"/>
      <w:marBottom w:val="0"/>
      <w:divBdr>
        <w:top w:val="none" w:sz="0" w:space="0" w:color="auto"/>
        <w:left w:val="none" w:sz="0" w:space="0" w:color="auto"/>
        <w:bottom w:val="none" w:sz="0" w:space="0" w:color="auto"/>
        <w:right w:val="none" w:sz="0" w:space="0" w:color="auto"/>
      </w:divBdr>
      <w:divsChild>
        <w:div w:id="1117219779">
          <w:marLeft w:val="0"/>
          <w:marRight w:val="0"/>
          <w:marTop w:val="0"/>
          <w:marBottom w:val="180"/>
          <w:divBdr>
            <w:top w:val="none" w:sz="0" w:space="0" w:color="auto"/>
            <w:left w:val="none" w:sz="0" w:space="0" w:color="auto"/>
            <w:bottom w:val="none" w:sz="0" w:space="0" w:color="auto"/>
            <w:right w:val="none" w:sz="0" w:space="0" w:color="auto"/>
          </w:divBdr>
          <w:divsChild>
            <w:div w:id="1195919024">
              <w:marLeft w:val="0"/>
              <w:marRight w:val="0"/>
              <w:marTop w:val="0"/>
              <w:marBottom w:val="0"/>
              <w:divBdr>
                <w:top w:val="none" w:sz="0" w:space="0" w:color="auto"/>
                <w:left w:val="none" w:sz="0" w:space="0" w:color="auto"/>
                <w:bottom w:val="none" w:sz="0" w:space="0" w:color="auto"/>
                <w:right w:val="none" w:sz="0" w:space="0" w:color="auto"/>
              </w:divBdr>
              <w:divsChild>
                <w:div w:id="1871213651">
                  <w:marLeft w:val="0"/>
                  <w:marRight w:val="0"/>
                  <w:marTop w:val="0"/>
                  <w:marBottom w:val="0"/>
                  <w:divBdr>
                    <w:top w:val="none" w:sz="0" w:space="0" w:color="auto"/>
                    <w:left w:val="none" w:sz="0" w:space="0" w:color="auto"/>
                    <w:bottom w:val="none" w:sz="0" w:space="0" w:color="auto"/>
                    <w:right w:val="none" w:sz="0" w:space="0" w:color="auto"/>
                  </w:divBdr>
                  <w:divsChild>
                    <w:div w:id="428476416">
                      <w:marLeft w:val="0"/>
                      <w:marRight w:val="0"/>
                      <w:marTop w:val="0"/>
                      <w:marBottom w:val="0"/>
                      <w:divBdr>
                        <w:top w:val="single" w:sz="4" w:space="6" w:color="auto"/>
                        <w:left w:val="single" w:sz="4" w:space="12" w:color="auto"/>
                        <w:bottom w:val="single" w:sz="4" w:space="6" w:color="auto"/>
                        <w:right w:val="single" w:sz="4" w:space="12" w:color="auto"/>
                      </w:divBdr>
                      <w:divsChild>
                        <w:div w:id="38452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7302625">
              <w:marLeft w:val="0"/>
              <w:marRight w:val="0"/>
              <w:marTop w:val="0"/>
              <w:marBottom w:val="0"/>
              <w:divBdr>
                <w:top w:val="none" w:sz="0" w:space="0" w:color="auto"/>
                <w:left w:val="none" w:sz="0" w:space="0" w:color="auto"/>
                <w:bottom w:val="none" w:sz="0" w:space="0" w:color="auto"/>
                <w:right w:val="none" w:sz="0" w:space="0" w:color="auto"/>
              </w:divBdr>
              <w:divsChild>
                <w:div w:id="1096561696">
                  <w:marLeft w:val="30"/>
                  <w:marRight w:val="30"/>
                  <w:marTop w:val="0"/>
                  <w:marBottom w:val="0"/>
                  <w:divBdr>
                    <w:top w:val="none" w:sz="0" w:space="0" w:color="auto"/>
                    <w:left w:val="none" w:sz="0" w:space="0" w:color="auto"/>
                    <w:bottom w:val="none" w:sz="0" w:space="0" w:color="auto"/>
                    <w:right w:val="none" w:sz="0" w:space="0" w:color="auto"/>
                  </w:divBdr>
                  <w:divsChild>
                    <w:div w:id="1777942734">
                      <w:marLeft w:val="0"/>
                      <w:marRight w:val="0"/>
                      <w:marTop w:val="0"/>
                      <w:marBottom w:val="0"/>
                      <w:divBdr>
                        <w:top w:val="none" w:sz="0" w:space="0" w:color="auto"/>
                        <w:left w:val="none" w:sz="0" w:space="0" w:color="auto"/>
                        <w:bottom w:val="none" w:sz="0" w:space="0" w:color="auto"/>
                        <w:right w:val="none" w:sz="0" w:space="0" w:color="auto"/>
                      </w:divBdr>
                      <w:divsChild>
                        <w:div w:id="1636370675">
                          <w:marLeft w:val="0"/>
                          <w:marRight w:val="0"/>
                          <w:marTop w:val="0"/>
                          <w:marBottom w:val="0"/>
                          <w:divBdr>
                            <w:top w:val="none" w:sz="0" w:space="0" w:color="auto"/>
                            <w:left w:val="none" w:sz="0" w:space="0" w:color="auto"/>
                            <w:bottom w:val="none" w:sz="0" w:space="0" w:color="auto"/>
                            <w:right w:val="none" w:sz="0" w:space="0" w:color="auto"/>
                          </w:divBdr>
                          <w:divsChild>
                            <w:div w:id="123040085">
                              <w:marLeft w:val="0"/>
                              <w:marRight w:val="0"/>
                              <w:marTop w:val="0"/>
                              <w:marBottom w:val="0"/>
                              <w:divBdr>
                                <w:top w:val="none" w:sz="0" w:space="0" w:color="auto"/>
                                <w:left w:val="none" w:sz="0" w:space="0" w:color="auto"/>
                                <w:bottom w:val="none" w:sz="0" w:space="0" w:color="auto"/>
                                <w:right w:val="none" w:sz="0" w:space="0" w:color="auto"/>
                              </w:divBdr>
                              <w:divsChild>
                                <w:div w:id="1804230066">
                                  <w:marLeft w:val="0"/>
                                  <w:marRight w:val="0"/>
                                  <w:marTop w:val="0"/>
                                  <w:marBottom w:val="0"/>
                                  <w:divBdr>
                                    <w:top w:val="none" w:sz="0" w:space="0" w:color="auto"/>
                                    <w:left w:val="none" w:sz="0" w:space="0" w:color="auto"/>
                                    <w:bottom w:val="none" w:sz="0" w:space="0" w:color="auto"/>
                                    <w:right w:val="none" w:sz="0" w:space="0" w:color="auto"/>
                                  </w:divBdr>
                                </w:div>
                              </w:divsChild>
                            </w:div>
                            <w:div w:id="442110860">
                              <w:marLeft w:val="0"/>
                              <w:marRight w:val="0"/>
                              <w:marTop w:val="0"/>
                              <w:marBottom w:val="480"/>
                              <w:divBdr>
                                <w:top w:val="none" w:sz="0" w:space="0" w:color="auto"/>
                                <w:left w:val="none" w:sz="0" w:space="0" w:color="auto"/>
                                <w:bottom w:val="none" w:sz="0" w:space="0" w:color="auto"/>
                                <w:right w:val="none" w:sz="0" w:space="0" w:color="auto"/>
                              </w:divBdr>
                              <w:divsChild>
                                <w:div w:id="843789526">
                                  <w:marLeft w:val="0"/>
                                  <w:marRight w:val="0"/>
                                  <w:marTop w:val="0"/>
                                  <w:marBottom w:val="0"/>
                                  <w:divBdr>
                                    <w:top w:val="none" w:sz="0" w:space="0" w:color="auto"/>
                                    <w:left w:val="none" w:sz="0" w:space="0" w:color="auto"/>
                                    <w:bottom w:val="none" w:sz="0" w:space="0" w:color="auto"/>
                                    <w:right w:val="none" w:sz="0" w:space="0" w:color="auto"/>
                                  </w:divBdr>
                                  <w:divsChild>
                                    <w:div w:id="784539291">
                                      <w:marLeft w:val="0"/>
                                      <w:marRight w:val="0"/>
                                      <w:marTop w:val="0"/>
                                      <w:marBottom w:val="0"/>
                                      <w:divBdr>
                                        <w:top w:val="none" w:sz="0" w:space="0" w:color="auto"/>
                                        <w:left w:val="none" w:sz="0" w:space="0" w:color="auto"/>
                                        <w:bottom w:val="none" w:sz="0" w:space="0" w:color="auto"/>
                                        <w:right w:val="none" w:sz="0" w:space="0" w:color="auto"/>
                                      </w:divBdr>
                                      <w:divsChild>
                                        <w:div w:id="358623349">
                                          <w:marLeft w:val="0"/>
                                          <w:marRight w:val="0"/>
                                          <w:marTop w:val="0"/>
                                          <w:marBottom w:val="0"/>
                                          <w:divBdr>
                                            <w:top w:val="none" w:sz="0" w:space="0" w:color="auto"/>
                                            <w:left w:val="none" w:sz="0" w:space="0" w:color="auto"/>
                                            <w:bottom w:val="none" w:sz="0" w:space="0" w:color="auto"/>
                                            <w:right w:val="none" w:sz="0" w:space="0" w:color="auto"/>
                                          </w:divBdr>
                                          <w:divsChild>
                                            <w:div w:id="388695291">
                                              <w:marLeft w:val="0"/>
                                              <w:marRight w:val="0"/>
                                              <w:marTop w:val="0"/>
                                              <w:marBottom w:val="0"/>
                                              <w:divBdr>
                                                <w:top w:val="none" w:sz="0" w:space="0" w:color="auto"/>
                                                <w:left w:val="none" w:sz="0" w:space="0" w:color="auto"/>
                                                <w:bottom w:val="none" w:sz="0" w:space="0" w:color="auto"/>
                                                <w:right w:val="none" w:sz="0" w:space="0" w:color="auto"/>
                                              </w:divBdr>
                                              <w:divsChild>
                                                <w:div w:id="216285656">
                                                  <w:marLeft w:val="0"/>
                                                  <w:marRight w:val="0"/>
                                                  <w:marTop w:val="0"/>
                                                  <w:marBottom w:val="0"/>
                                                  <w:divBdr>
                                                    <w:top w:val="none" w:sz="0" w:space="0" w:color="auto"/>
                                                    <w:left w:val="none" w:sz="0" w:space="0" w:color="auto"/>
                                                    <w:bottom w:val="none" w:sz="0" w:space="0" w:color="auto"/>
                                                    <w:right w:val="none" w:sz="0" w:space="0" w:color="auto"/>
                                                  </w:divBdr>
                                                  <w:divsChild>
                                                    <w:div w:id="355499294">
                                                      <w:marLeft w:val="0"/>
                                                      <w:marRight w:val="0"/>
                                                      <w:marTop w:val="0"/>
                                                      <w:marBottom w:val="0"/>
                                                      <w:divBdr>
                                                        <w:top w:val="none" w:sz="0" w:space="0" w:color="auto"/>
                                                        <w:left w:val="none" w:sz="0" w:space="0" w:color="auto"/>
                                                        <w:bottom w:val="none" w:sz="0" w:space="0" w:color="auto"/>
                                                        <w:right w:val="none" w:sz="0" w:space="0" w:color="auto"/>
                                                      </w:divBdr>
                                                      <w:divsChild>
                                                        <w:div w:id="1928224485">
                                                          <w:marLeft w:val="0"/>
                                                          <w:marRight w:val="0"/>
                                                          <w:marTop w:val="0"/>
                                                          <w:marBottom w:val="0"/>
                                                          <w:divBdr>
                                                            <w:top w:val="none" w:sz="0" w:space="0" w:color="auto"/>
                                                            <w:left w:val="none" w:sz="0" w:space="0" w:color="auto"/>
                                                            <w:bottom w:val="none" w:sz="0" w:space="0" w:color="auto"/>
                                                            <w:right w:val="none" w:sz="0" w:space="0" w:color="auto"/>
                                                          </w:divBdr>
                                                          <w:divsChild>
                                                            <w:div w:id="1729037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22199427">
          <w:marLeft w:val="0"/>
          <w:marRight w:val="0"/>
          <w:marTop w:val="0"/>
          <w:marBottom w:val="180"/>
          <w:divBdr>
            <w:top w:val="none" w:sz="0" w:space="0" w:color="auto"/>
            <w:left w:val="none" w:sz="0" w:space="0" w:color="auto"/>
            <w:bottom w:val="none" w:sz="0" w:space="0" w:color="auto"/>
            <w:right w:val="none" w:sz="0" w:space="0" w:color="auto"/>
          </w:divBdr>
          <w:divsChild>
            <w:div w:id="417677795">
              <w:marLeft w:val="0"/>
              <w:marRight w:val="0"/>
              <w:marTop w:val="0"/>
              <w:marBottom w:val="0"/>
              <w:divBdr>
                <w:top w:val="none" w:sz="0" w:space="0" w:color="auto"/>
                <w:left w:val="none" w:sz="0" w:space="0" w:color="auto"/>
                <w:bottom w:val="none" w:sz="0" w:space="0" w:color="auto"/>
                <w:right w:val="none" w:sz="0" w:space="0" w:color="auto"/>
              </w:divBdr>
              <w:divsChild>
                <w:div w:id="907230440">
                  <w:marLeft w:val="30"/>
                  <w:marRight w:val="30"/>
                  <w:marTop w:val="0"/>
                  <w:marBottom w:val="0"/>
                  <w:divBdr>
                    <w:top w:val="none" w:sz="0" w:space="0" w:color="auto"/>
                    <w:left w:val="none" w:sz="0" w:space="0" w:color="auto"/>
                    <w:bottom w:val="none" w:sz="0" w:space="0" w:color="auto"/>
                    <w:right w:val="none" w:sz="0" w:space="0" w:color="auto"/>
                  </w:divBdr>
                  <w:divsChild>
                    <w:div w:id="255795207">
                      <w:marLeft w:val="0"/>
                      <w:marRight w:val="0"/>
                      <w:marTop w:val="0"/>
                      <w:marBottom w:val="0"/>
                      <w:divBdr>
                        <w:top w:val="none" w:sz="0" w:space="0" w:color="auto"/>
                        <w:left w:val="none" w:sz="0" w:space="0" w:color="auto"/>
                        <w:bottom w:val="none" w:sz="0" w:space="0" w:color="auto"/>
                        <w:right w:val="none" w:sz="0" w:space="0" w:color="auto"/>
                      </w:divBdr>
                      <w:divsChild>
                        <w:div w:id="2034110582">
                          <w:marLeft w:val="0"/>
                          <w:marRight w:val="0"/>
                          <w:marTop w:val="0"/>
                          <w:marBottom w:val="0"/>
                          <w:divBdr>
                            <w:top w:val="none" w:sz="0" w:space="0" w:color="auto"/>
                            <w:left w:val="none" w:sz="0" w:space="0" w:color="auto"/>
                            <w:bottom w:val="none" w:sz="0" w:space="0" w:color="auto"/>
                            <w:right w:val="none" w:sz="0" w:space="0" w:color="auto"/>
                          </w:divBdr>
                          <w:divsChild>
                            <w:div w:id="1779257913">
                              <w:marLeft w:val="0"/>
                              <w:marRight w:val="0"/>
                              <w:marTop w:val="0"/>
                              <w:marBottom w:val="480"/>
                              <w:divBdr>
                                <w:top w:val="none" w:sz="0" w:space="0" w:color="auto"/>
                                <w:left w:val="none" w:sz="0" w:space="0" w:color="auto"/>
                                <w:bottom w:val="none" w:sz="0" w:space="0" w:color="auto"/>
                                <w:right w:val="none" w:sz="0" w:space="0" w:color="auto"/>
                              </w:divBdr>
                              <w:divsChild>
                                <w:div w:id="2072996137">
                                  <w:marLeft w:val="0"/>
                                  <w:marRight w:val="0"/>
                                  <w:marTop w:val="0"/>
                                  <w:marBottom w:val="0"/>
                                  <w:divBdr>
                                    <w:top w:val="none" w:sz="0" w:space="0" w:color="auto"/>
                                    <w:left w:val="none" w:sz="0" w:space="0" w:color="auto"/>
                                    <w:bottom w:val="none" w:sz="0" w:space="0" w:color="auto"/>
                                    <w:right w:val="none" w:sz="0" w:space="0" w:color="auto"/>
                                  </w:divBdr>
                                  <w:divsChild>
                                    <w:div w:id="345059291">
                                      <w:marLeft w:val="0"/>
                                      <w:marRight w:val="0"/>
                                      <w:marTop w:val="0"/>
                                      <w:marBottom w:val="0"/>
                                      <w:divBdr>
                                        <w:top w:val="none" w:sz="0" w:space="0" w:color="auto"/>
                                        <w:left w:val="none" w:sz="0" w:space="0" w:color="auto"/>
                                        <w:bottom w:val="none" w:sz="0" w:space="0" w:color="auto"/>
                                        <w:right w:val="none" w:sz="0" w:space="0" w:color="auto"/>
                                      </w:divBdr>
                                      <w:divsChild>
                                        <w:div w:id="1350521722">
                                          <w:marLeft w:val="0"/>
                                          <w:marRight w:val="0"/>
                                          <w:marTop w:val="0"/>
                                          <w:marBottom w:val="0"/>
                                          <w:divBdr>
                                            <w:top w:val="none" w:sz="0" w:space="0" w:color="auto"/>
                                            <w:left w:val="none" w:sz="0" w:space="0" w:color="auto"/>
                                            <w:bottom w:val="none" w:sz="0" w:space="0" w:color="auto"/>
                                            <w:right w:val="none" w:sz="0" w:space="0" w:color="auto"/>
                                          </w:divBdr>
                                          <w:divsChild>
                                            <w:div w:id="896355636">
                                              <w:marLeft w:val="0"/>
                                              <w:marRight w:val="0"/>
                                              <w:marTop w:val="0"/>
                                              <w:marBottom w:val="0"/>
                                              <w:divBdr>
                                                <w:top w:val="none" w:sz="0" w:space="0" w:color="auto"/>
                                                <w:left w:val="none" w:sz="0" w:space="0" w:color="auto"/>
                                                <w:bottom w:val="none" w:sz="0" w:space="0" w:color="auto"/>
                                                <w:right w:val="none" w:sz="0" w:space="0" w:color="auto"/>
                                              </w:divBdr>
                                              <w:divsChild>
                                                <w:div w:id="1190921171">
                                                  <w:marLeft w:val="0"/>
                                                  <w:marRight w:val="0"/>
                                                  <w:marTop w:val="0"/>
                                                  <w:marBottom w:val="0"/>
                                                  <w:divBdr>
                                                    <w:top w:val="none" w:sz="0" w:space="0" w:color="auto"/>
                                                    <w:left w:val="none" w:sz="0" w:space="0" w:color="auto"/>
                                                    <w:bottom w:val="none" w:sz="0" w:space="0" w:color="auto"/>
                                                    <w:right w:val="none" w:sz="0" w:space="0" w:color="auto"/>
                                                  </w:divBdr>
                                                  <w:divsChild>
                                                    <w:div w:id="615216178">
                                                      <w:marLeft w:val="0"/>
                                                      <w:marRight w:val="0"/>
                                                      <w:marTop w:val="0"/>
                                                      <w:marBottom w:val="0"/>
                                                      <w:divBdr>
                                                        <w:top w:val="none" w:sz="0" w:space="0" w:color="auto"/>
                                                        <w:left w:val="none" w:sz="0" w:space="0" w:color="auto"/>
                                                        <w:bottom w:val="none" w:sz="0" w:space="0" w:color="auto"/>
                                                        <w:right w:val="none" w:sz="0" w:space="0" w:color="auto"/>
                                                      </w:divBdr>
                                                      <w:divsChild>
                                                        <w:div w:id="1556772256">
                                                          <w:marLeft w:val="0"/>
                                                          <w:marRight w:val="0"/>
                                                          <w:marTop w:val="0"/>
                                                          <w:marBottom w:val="0"/>
                                                          <w:divBdr>
                                                            <w:top w:val="none" w:sz="0" w:space="0" w:color="auto"/>
                                                            <w:left w:val="none" w:sz="0" w:space="0" w:color="auto"/>
                                                            <w:bottom w:val="none" w:sz="0" w:space="0" w:color="auto"/>
                                                            <w:right w:val="none" w:sz="0" w:space="0" w:color="auto"/>
                                                          </w:divBdr>
                                                          <w:divsChild>
                                                            <w:div w:id="610091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088379541">
      <w:bodyDiv w:val="1"/>
      <w:marLeft w:val="0"/>
      <w:marRight w:val="0"/>
      <w:marTop w:val="0"/>
      <w:marBottom w:val="0"/>
      <w:divBdr>
        <w:top w:val="none" w:sz="0" w:space="0" w:color="auto"/>
        <w:left w:val="none" w:sz="0" w:space="0" w:color="auto"/>
        <w:bottom w:val="none" w:sz="0" w:space="0" w:color="auto"/>
        <w:right w:val="none" w:sz="0" w:space="0" w:color="auto"/>
      </w:divBdr>
    </w:div>
    <w:div w:id="1092049065">
      <w:bodyDiv w:val="1"/>
      <w:marLeft w:val="0"/>
      <w:marRight w:val="0"/>
      <w:marTop w:val="0"/>
      <w:marBottom w:val="0"/>
      <w:divBdr>
        <w:top w:val="none" w:sz="0" w:space="0" w:color="auto"/>
        <w:left w:val="none" w:sz="0" w:space="0" w:color="auto"/>
        <w:bottom w:val="none" w:sz="0" w:space="0" w:color="auto"/>
        <w:right w:val="none" w:sz="0" w:space="0" w:color="auto"/>
      </w:divBdr>
    </w:div>
    <w:div w:id="1120343095">
      <w:bodyDiv w:val="1"/>
      <w:marLeft w:val="0"/>
      <w:marRight w:val="0"/>
      <w:marTop w:val="0"/>
      <w:marBottom w:val="0"/>
      <w:divBdr>
        <w:top w:val="none" w:sz="0" w:space="0" w:color="auto"/>
        <w:left w:val="none" w:sz="0" w:space="0" w:color="auto"/>
        <w:bottom w:val="none" w:sz="0" w:space="0" w:color="auto"/>
        <w:right w:val="none" w:sz="0" w:space="0" w:color="auto"/>
      </w:divBdr>
    </w:div>
    <w:div w:id="1133333601">
      <w:bodyDiv w:val="1"/>
      <w:marLeft w:val="0"/>
      <w:marRight w:val="0"/>
      <w:marTop w:val="0"/>
      <w:marBottom w:val="0"/>
      <w:divBdr>
        <w:top w:val="none" w:sz="0" w:space="0" w:color="auto"/>
        <w:left w:val="none" w:sz="0" w:space="0" w:color="auto"/>
        <w:bottom w:val="none" w:sz="0" w:space="0" w:color="auto"/>
        <w:right w:val="none" w:sz="0" w:space="0" w:color="auto"/>
      </w:divBdr>
    </w:div>
    <w:div w:id="1140541367">
      <w:bodyDiv w:val="1"/>
      <w:marLeft w:val="0"/>
      <w:marRight w:val="0"/>
      <w:marTop w:val="0"/>
      <w:marBottom w:val="0"/>
      <w:divBdr>
        <w:top w:val="none" w:sz="0" w:space="0" w:color="auto"/>
        <w:left w:val="none" w:sz="0" w:space="0" w:color="auto"/>
        <w:bottom w:val="none" w:sz="0" w:space="0" w:color="auto"/>
        <w:right w:val="none" w:sz="0" w:space="0" w:color="auto"/>
      </w:divBdr>
    </w:div>
    <w:div w:id="1152723186">
      <w:bodyDiv w:val="1"/>
      <w:marLeft w:val="0"/>
      <w:marRight w:val="0"/>
      <w:marTop w:val="0"/>
      <w:marBottom w:val="0"/>
      <w:divBdr>
        <w:top w:val="none" w:sz="0" w:space="0" w:color="auto"/>
        <w:left w:val="none" w:sz="0" w:space="0" w:color="auto"/>
        <w:bottom w:val="none" w:sz="0" w:space="0" w:color="auto"/>
        <w:right w:val="none" w:sz="0" w:space="0" w:color="auto"/>
      </w:divBdr>
    </w:div>
    <w:div w:id="1179857065">
      <w:bodyDiv w:val="1"/>
      <w:marLeft w:val="0"/>
      <w:marRight w:val="0"/>
      <w:marTop w:val="0"/>
      <w:marBottom w:val="0"/>
      <w:divBdr>
        <w:top w:val="none" w:sz="0" w:space="0" w:color="auto"/>
        <w:left w:val="none" w:sz="0" w:space="0" w:color="auto"/>
        <w:bottom w:val="none" w:sz="0" w:space="0" w:color="auto"/>
        <w:right w:val="none" w:sz="0" w:space="0" w:color="auto"/>
      </w:divBdr>
    </w:div>
    <w:div w:id="1180394779">
      <w:bodyDiv w:val="1"/>
      <w:marLeft w:val="0"/>
      <w:marRight w:val="0"/>
      <w:marTop w:val="0"/>
      <w:marBottom w:val="0"/>
      <w:divBdr>
        <w:top w:val="none" w:sz="0" w:space="0" w:color="auto"/>
        <w:left w:val="none" w:sz="0" w:space="0" w:color="auto"/>
        <w:bottom w:val="none" w:sz="0" w:space="0" w:color="auto"/>
        <w:right w:val="none" w:sz="0" w:space="0" w:color="auto"/>
      </w:divBdr>
      <w:divsChild>
        <w:div w:id="293876548">
          <w:marLeft w:val="0"/>
          <w:marRight w:val="0"/>
          <w:marTop w:val="0"/>
          <w:marBottom w:val="0"/>
          <w:divBdr>
            <w:top w:val="none" w:sz="0" w:space="0" w:color="auto"/>
            <w:left w:val="none" w:sz="0" w:space="0" w:color="auto"/>
            <w:bottom w:val="none" w:sz="0" w:space="0" w:color="auto"/>
            <w:right w:val="none" w:sz="0" w:space="0" w:color="auto"/>
          </w:divBdr>
          <w:divsChild>
            <w:div w:id="203829128">
              <w:marLeft w:val="0"/>
              <w:marRight w:val="0"/>
              <w:marTop w:val="0"/>
              <w:marBottom w:val="0"/>
              <w:divBdr>
                <w:top w:val="none" w:sz="0" w:space="0" w:color="auto"/>
                <w:left w:val="none" w:sz="0" w:space="0" w:color="auto"/>
                <w:bottom w:val="none" w:sz="0" w:space="0" w:color="auto"/>
                <w:right w:val="none" w:sz="0" w:space="0" w:color="auto"/>
              </w:divBdr>
              <w:divsChild>
                <w:div w:id="1912497433">
                  <w:marLeft w:val="0"/>
                  <w:marRight w:val="0"/>
                  <w:marTop w:val="0"/>
                  <w:marBottom w:val="0"/>
                  <w:divBdr>
                    <w:top w:val="none" w:sz="0" w:space="0" w:color="auto"/>
                    <w:left w:val="none" w:sz="0" w:space="0" w:color="auto"/>
                    <w:bottom w:val="none" w:sz="0" w:space="0" w:color="auto"/>
                    <w:right w:val="none" w:sz="0" w:space="0" w:color="auto"/>
                  </w:divBdr>
                  <w:divsChild>
                    <w:div w:id="1348600441">
                      <w:marLeft w:val="0"/>
                      <w:marRight w:val="0"/>
                      <w:marTop w:val="0"/>
                      <w:marBottom w:val="0"/>
                      <w:divBdr>
                        <w:top w:val="none" w:sz="0" w:space="0" w:color="auto"/>
                        <w:left w:val="none" w:sz="0" w:space="0" w:color="auto"/>
                        <w:bottom w:val="none" w:sz="0" w:space="0" w:color="auto"/>
                        <w:right w:val="none" w:sz="0" w:space="0" w:color="auto"/>
                      </w:divBdr>
                      <w:divsChild>
                        <w:div w:id="1833056912">
                          <w:marLeft w:val="0"/>
                          <w:marRight w:val="0"/>
                          <w:marTop w:val="0"/>
                          <w:marBottom w:val="0"/>
                          <w:divBdr>
                            <w:top w:val="none" w:sz="0" w:space="0" w:color="auto"/>
                            <w:left w:val="none" w:sz="0" w:space="0" w:color="auto"/>
                            <w:bottom w:val="none" w:sz="0" w:space="0" w:color="auto"/>
                            <w:right w:val="none" w:sz="0" w:space="0" w:color="auto"/>
                          </w:divBdr>
                          <w:divsChild>
                            <w:div w:id="680009419">
                              <w:marLeft w:val="0"/>
                              <w:marRight w:val="0"/>
                              <w:marTop w:val="0"/>
                              <w:marBottom w:val="0"/>
                              <w:divBdr>
                                <w:top w:val="none" w:sz="0" w:space="0" w:color="auto"/>
                                <w:left w:val="none" w:sz="0" w:space="0" w:color="auto"/>
                                <w:bottom w:val="none" w:sz="0" w:space="0" w:color="auto"/>
                                <w:right w:val="none" w:sz="0" w:space="0" w:color="auto"/>
                              </w:divBdr>
                              <w:divsChild>
                                <w:div w:id="54400396">
                                  <w:marLeft w:val="0"/>
                                  <w:marRight w:val="0"/>
                                  <w:marTop w:val="0"/>
                                  <w:marBottom w:val="0"/>
                                  <w:divBdr>
                                    <w:top w:val="none" w:sz="0" w:space="0" w:color="auto"/>
                                    <w:left w:val="none" w:sz="0" w:space="0" w:color="auto"/>
                                    <w:bottom w:val="none" w:sz="0" w:space="0" w:color="auto"/>
                                    <w:right w:val="none" w:sz="0" w:space="0" w:color="auto"/>
                                  </w:divBdr>
                                  <w:divsChild>
                                    <w:div w:id="1059324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83322496">
      <w:bodyDiv w:val="1"/>
      <w:marLeft w:val="0"/>
      <w:marRight w:val="0"/>
      <w:marTop w:val="0"/>
      <w:marBottom w:val="0"/>
      <w:divBdr>
        <w:top w:val="none" w:sz="0" w:space="0" w:color="auto"/>
        <w:left w:val="none" w:sz="0" w:space="0" w:color="auto"/>
        <w:bottom w:val="none" w:sz="0" w:space="0" w:color="auto"/>
        <w:right w:val="none" w:sz="0" w:space="0" w:color="auto"/>
      </w:divBdr>
      <w:divsChild>
        <w:div w:id="681248900">
          <w:marLeft w:val="0"/>
          <w:marRight w:val="0"/>
          <w:marTop w:val="0"/>
          <w:marBottom w:val="0"/>
          <w:divBdr>
            <w:top w:val="none" w:sz="0" w:space="0" w:color="auto"/>
            <w:left w:val="none" w:sz="0" w:space="0" w:color="auto"/>
            <w:bottom w:val="none" w:sz="0" w:space="0" w:color="auto"/>
            <w:right w:val="none" w:sz="0" w:space="0" w:color="auto"/>
          </w:divBdr>
          <w:divsChild>
            <w:div w:id="117456507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189948457">
      <w:bodyDiv w:val="1"/>
      <w:marLeft w:val="0"/>
      <w:marRight w:val="0"/>
      <w:marTop w:val="0"/>
      <w:marBottom w:val="0"/>
      <w:divBdr>
        <w:top w:val="none" w:sz="0" w:space="0" w:color="auto"/>
        <w:left w:val="none" w:sz="0" w:space="0" w:color="auto"/>
        <w:bottom w:val="none" w:sz="0" w:space="0" w:color="auto"/>
        <w:right w:val="none" w:sz="0" w:space="0" w:color="auto"/>
      </w:divBdr>
      <w:divsChild>
        <w:div w:id="590239358">
          <w:marLeft w:val="0"/>
          <w:marRight w:val="0"/>
          <w:marTop w:val="0"/>
          <w:marBottom w:val="0"/>
          <w:divBdr>
            <w:top w:val="none" w:sz="0" w:space="0" w:color="auto"/>
            <w:left w:val="none" w:sz="0" w:space="0" w:color="auto"/>
            <w:bottom w:val="none" w:sz="0" w:space="0" w:color="auto"/>
            <w:right w:val="none" w:sz="0" w:space="0" w:color="auto"/>
          </w:divBdr>
        </w:div>
      </w:divsChild>
    </w:div>
    <w:div w:id="1190605347">
      <w:bodyDiv w:val="1"/>
      <w:marLeft w:val="0"/>
      <w:marRight w:val="0"/>
      <w:marTop w:val="0"/>
      <w:marBottom w:val="0"/>
      <w:divBdr>
        <w:top w:val="none" w:sz="0" w:space="0" w:color="auto"/>
        <w:left w:val="none" w:sz="0" w:space="0" w:color="auto"/>
        <w:bottom w:val="none" w:sz="0" w:space="0" w:color="auto"/>
        <w:right w:val="none" w:sz="0" w:space="0" w:color="auto"/>
      </w:divBdr>
      <w:divsChild>
        <w:div w:id="1666202026">
          <w:marLeft w:val="0"/>
          <w:marRight w:val="0"/>
          <w:marTop w:val="0"/>
          <w:marBottom w:val="0"/>
          <w:divBdr>
            <w:top w:val="none" w:sz="0" w:space="0" w:color="auto"/>
            <w:left w:val="none" w:sz="0" w:space="0" w:color="auto"/>
            <w:bottom w:val="none" w:sz="0" w:space="0" w:color="auto"/>
            <w:right w:val="none" w:sz="0" w:space="0" w:color="auto"/>
          </w:divBdr>
          <w:divsChild>
            <w:div w:id="1600943778">
              <w:marLeft w:val="0"/>
              <w:marRight w:val="0"/>
              <w:marTop w:val="0"/>
              <w:marBottom w:val="0"/>
              <w:divBdr>
                <w:top w:val="none" w:sz="0" w:space="0" w:color="auto"/>
                <w:left w:val="none" w:sz="0" w:space="0" w:color="auto"/>
                <w:bottom w:val="none" w:sz="0" w:space="0" w:color="auto"/>
                <w:right w:val="none" w:sz="0" w:space="0" w:color="auto"/>
              </w:divBdr>
              <w:divsChild>
                <w:div w:id="284165743">
                  <w:marLeft w:val="0"/>
                  <w:marRight w:val="0"/>
                  <w:marTop w:val="0"/>
                  <w:marBottom w:val="0"/>
                  <w:divBdr>
                    <w:top w:val="none" w:sz="0" w:space="0" w:color="auto"/>
                    <w:left w:val="none" w:sz="0" w:space="0" w:color="auto"/>
                    <w:bottom w:val="none" w:sz="0" w:space="0" w:color="auto"/>
                    <w:right w:val="none" w:sz="0" w:space="0" w:color="auto"/>
                  </w:divBdr>
                  <w:divsChild>
                    <w:div w:id="907769277">
                      <w:marLeft w:val="0"/>
                      <w:marRight w:val="0"/>
                      <w:marTop w:val="0"/>
                      <w:marBottom w:val="0"/>
                      <w:divBdr>
                        <w:top w:val="none" w:sz="0" w:space="0" w:color="auto"/>
                        <w:left w:val="none" w:sz="0" w:space="0" w:color="auto"/>
                        <w:bottom w:val="none" w:sz="0" w:space="0" w:color="auto"/>
                        <w:right w:val="none" w:sz="0" w:space="0" w:color="auto"/>
                      </w:divBdr>
                      <w:divsChild>
                        <w:div w:id="591016104">
                          <w:marLeft w:val="0"/>
                          <w:marRight w:val="0"/>
                          <w:marTop w:val="0"/>
                          <w:marBottom w:val="0"/>
                          <w:divBdr>
                            <w:top w:val="none" w:sz="0" w:space="0" w:color="auto"/>
                            <w:left w:val="none" w:sz="0" w:space="0" w:color="auto"/>
                            <w:bottom w:val="none" w:sz="0" w:space="0" w:color="auto"/>
                            <w:right w:val="none" w:sz="0" w:space="0" w:color="auto"/>
                          </w:divBdr>
                          <w:divsChild>
                            <w:div w:id="1388140968">
                              <w:marLeft w:val="0"/>
                              <w:marRight w:val="0"/>
                              <w:marTop w:val="0"/>
                              <w:marBottom w:val="0"/>
                              <w:divBdr>
                                <w:top w:val="none" w:sz="0" w:space="0" w:color="auto"/>
                                <w:left w:val="none" w:sz="0" w:space="0" w:color="auto"/>
                                <w:bottom w:val="none" w:sz="0" w:space="0" w:color="auto"/>
                                <w:right w:val="none" w:sz="0" w:space="0" w:color="auto"/>
                              </w:divBdr>
                              <w:divsChild>
                                <w:div w:id="1724019335">
                                  <w:marLeft w:val="0"/>
                                  <w:marRight w:val="0"/>
                                  <w:marTop w:val="0"/>
                                  <w:marBottom w:val="0"/>
                                  <w:divBdr>
                                    <w:top w:val="none" w:sz="0" w:space="0" w:color="auto"/>
                                    <w:left w:val="none" w:sz="0" w:space="0" w:color="auto"/>
                                    <w:bottom w:val="none" w:sz="0" w:space="0" w:color="auto"/>
                                    <w:right w:val="none" w:sz="0" w:space="0" w:color="auto"/>
                                  </w:divBdr>
                                  <w:divsChild>
                                    <w:div w:id="179055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99077611">
      <w:bodyDiv w:val="1"/>
      <w:marLeft w:val="0"/>
      <w:marRight w:val="0"/>
      <w:marTop w:val="0"/>
      <w:marBottom w:val="0"/>
      <w:divBdr>
        <w:top w:val="none" w:sz="0" w:space="0" w:color="auto"/>
        <w:left w:val="none" w:sz="0" w:space="0" w:color="auto"/>
        <w:bottom w:val="none" w:sz="0" w:space="0" w:color="auto"/>
        <w:right w:val="none" w:sz="0" w:space="0" w:color="auto"/>
      </w:divBdr>
      <w:divsChild>
        <w:div w:id="1546023589">
          <w:marLeft w:val="0"/>
          <w:marRight w:val="0"/>
          <w:marTop w:val="0"/>
          <w:marBottom w:val="0"/>
          <w:divBdr>
            <w:top w:val="none" w:sz="0" w:space="0" w:color="auto"/>
            <w:left w:val="none" w:sz="0" w:space="0" w:color="auto"/>
            <w:bottom w:val="none" w:sz="0" w:space="0" w:color="auto"/>
            <w:right w:val="none" w:sz="0" w:space="0" w:color="auto"/>
          </w:divBdr>
          <w:divsChild>
            <w:div w:id="1182403434">
              <w:marLeft w:val="0"/>
              <w:marRight w:val="0"/>
              <w:marTop w:val="0"/>
              <w:marBottom w:val="0"/>
              <w:divBdr>
                <w:top w:val="none" w:sz="0" w:space="0" w:color="auto"/>
                <w:left w:val="none" w:sz="0" w:space="0" w:color="auto"/>
                <w:bottom w:val="none" w:sz="0" w:space="0" w:color="auto"/>
                <w:right w:val="none" w:sz="0" w:space="0" w:color="auto"/>
              </w:divBdr>
              <w:divsChild>
                <w:div w:id="1505898257">
                  <w:marLeft w:val="0"/>
                  <w:marRight w:val="0"/>
                  <w:marTop w:val="0"/>
                  <w:marBottom w:val="0"/>
                  <w:divBdr>
                    <w:top w:val="none" w:sz="0" w:space="0" w:color="auto"/>
                    <w:left w:val="none" w:sz="0" w:space="0" w:color="auto"/>
                    <w:bottom w:val="none" w:sz="0" w:space="0" w:color="auto"/>
                    <w:right w:val="none" w:sz="0" w:space="0" w:color="auto"/>
                  </w:divBdr>
                  <w:divsChild>
                    <w:div w:id="587269893">
                      <w:marLeft w:val="0"/>
                      <w:marRight w:val="0"/>
                      <w:marTop w:val="0"/>
                      <w:marBottom w:val="0"/>
                      <w:divBdr>
                        <w:top w:val="none" w:sz="0" w:space="0" w:color="auto"/>
                        <w:left w:val="none" w:sz="0" w:space="0" w:color="auto"/>
                        <w:bottom w:val="none" w:sz="0" w:space="0" w:color="auto"/>
                        <w:right w:val="none" w:sz="0" w:space="0" w:color="auto"/>
                      </w:divBdr>
                      <w:divsChild>
                        <w:div w:id="788740494">
                          <w:marLeft w:val="0"/>
                          <w:marRight w:val="0"/>
                          <w:marTop w:val="0"/>
                          <w:marBottom w:val="0"/>
                          <w:divBdr>
                            <w:top w:val="none" w:sz="0" w:space="0" w:color="auto"/>
                            <w:left w:val="none" w:sz="0" w:space="0" w:color="auto"/>
                            <w:bottom w:val="none" w:sz="0" w:space="0" w:color="auto"/>
                            <w:right w:val="none" w:sz="0" w:space="0" w:color="auto"/>
                          </w:divBdr>
                          <w:divsChild>
                            <w:div w:id="60753805">
                              <w:marLeft w:val="0"/>
                              <w:marRight w:val="0"/>
                              <w:marTop w:val="0"/>
                              <w:marBottom w:val="0"/>
                              <w:divBdr>
                                <w:top w:val="none" w:sz="0" w:space="0" w:color="auto"/>
                                <w:left w:val="none" w:sz="0" w:space="0" w:color="auto"/>
                                <w:bottom w:val="none" w:sz="0" w:space="0" w:color="auto"/>
                                <w:right w:val="none" w:sz="0" w:space="0" w:color="auto"/>
                              </w:divBdr>
                              <w:divsChild>
                                <w:div w:id="642199342">
                                  <w:marLeft w:val="0"/>
                                  <w:marRight w:val="0"/>
                                  <w:marTop w:val="0"/>
                                  <w:marBottom w:val="0"/>
                                  <w:divBdr>
                                    <w:top w:val="none" w:sz="0" w:space="0" w:color="auto"/>
                                    <w:left w:val="none" w:sz="0" w:space="0" w:color="auto"/>
                                    <w:bottom w:val="none" w:sz="0" w:space="0" w:color="auto"/>
                                    <w:right w:val="none" w:sz="0" w:space="0" w:color="auto"/>
                                  </w:divBdr>
                                  <w:divsChild>
                                    <w:div w:id="83684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3003638">
      <w:bodyDiv w:val="1"/>
      <w:marLeft w:val="0"/>
      <w:marRight w:val="0"/>
      <w:marTop w:val="0"/>
      <w:marBottom w:val="0"/>
      <w:divBdr>
        <w:top w:val="none" w:sz="0" w:space="0" w:color="auto"/>
        <w:left w:val="none" w:sz="0" w:space="0" w:color="auto"/>
        <w:bottom w:val="none" w:sz="0" w:space="0" w:color="auto"/>
        <w:right w:val="none" w:sz="0" w:space="0" w:color="auto"/>
      </w:divBdr>
      <w:divsChild>
        <w:div w:id="224682723">
          <w:marLeft w:val="0"/>
          <w:marRight w:val="0"/>
          <w:marTop w:val="0"/>
          <w:marBottom w:val="0"/>
          <w:divBdr>
            <w:top w:val="none" w:sz="0" w:space="0" w:color="auto"/>
            <w:left w:val="none" w:sz="0" w:space="0" w:color="auto"/>
            <w:bottom w:val="none" w:sz="0" w:space="0" w:color="auto"/>
            <w:right w:val="none" w:sz="0" w:space="0" w:color="auto"/>
          </w:divBdr>
        </w:div>
      </w:divsChild>
    </w:div>
    <w:div w:id="1283147453">
      <w:bodyDiv w:val="1"/>
      <w:marLeft w:val="0"/>
      <w:marRight w:val="0"/>
      <w:marTop w:val="0"/>
      <w:marBottom w:val="0"/>
      <w:divBdr>
        <w:top w:val="none" w:sz="0" w:space="0" w:color="auto"/>
        <w:left w:val="none" w:sz="0" w:space="0" w:color="auto"/>
        <w:bottom w:val="none" w:sz="0" w:space="0" w:color="auto"/>
        <w:right w:val="none" w:sz="0" w:space="0" w:color="auto"/>
      </w:divBdr>
    </w:div>
    <w:div w:id="1311249090">
      <w:bodyDiv w:val="1"/>
      <w:marLeft w:val="0"/>
      <w:marRight w:val="0"/>
      <w:marTop w:val="0"/>
      <w:marBottom w:val="0"/>
      <w:divBdr>
        <w:top w:val="none" w:sz="0" w:space="0" w:color="auto"/>
        <w:left w:val="none" w:sz="0" w:space="0" w:color="auto"/>
        <w:bottom w:val="none" w:sz="0" w:space="0" w:color="auto"/>
        <w:right w:val="none" w:sz="0" w:space="0" w:color="auto"/>
      </w:divBdr>
      <w:divsChild>
        <w:div w:id="1720980930">
          <w:marLeft w:val="0"/>
          <w:marRight w:val="0"/>
          <w:marTop w:val="0"/>
          <w:marBottom w:val="0"/>
          <w:divBdr>
            <w:top w:val="none" w:sz="0" w:space="0" w:color="auto"/>
            <w:left w:val="none" w:sz="0" w:space="0" w:color="auto"/>
            <w:bottom w:val="none" w:sz="0" w:space="0" w:color="auto"/>
            <w:right w:val="none" w:sz="0" w:space="0" w:color="auto"/>
          </w:divBdr>
          <w:divsChild>
            <w:div w:id="603539087">
              <w:marLeft w:val="0"/>
              <w:marRight w:val="0"/>
              <w:marTop w:val="0"/>
              <w:marBottom w:val="0"/>
              <w:divBdr>
                <w:top w:val="none" w:sz="0" w:space="0" w:color="auto"/>
                <w:left w:val="none" w:sz="0" w:space="0" w:color="auto"/>
                <w:bottom w:val="none" w:sz="0" w:space="0" w:color="auto"/>
                <w:right w:val="none" w:sz="0" w:space="0" w:color="auto"/>
              </w:divBdr>
              <w:divsChild>
                <w:div w:id="239562774">
                  <w:marLeft w:val="0"/>
                  <w:marRight w:val="0"/>
                  <w:marTop w:val="0"/>
                  <w:marBottom w:val="0"/>
                  <w:divBdr>
                    <w:top w:val="none" w:sz="0" w:space="0" w:color="auto"/>
                    <w:left w:val="none" w:sz="0" w:space="0" w:color="auto"/>
                    <w:bottom w:val="none" w:sz="0" w:space="0" w:color="auto"/>
                    <w:right w:val="none" w:sz="0" w:space="0" w:color="auto"/>
                  </w:divBdr>
                  <w:divsChild>
                    <w:div w:id="1326326743">
                      <w:marLeft w:val="0"/>
                      <w:marRight w:val="0"/>
                      <w:marTop w:val="0"/>
                      <w:marBottom w:val="0"/>
                      <w:divBdr>
                        <w:top w:val="none" w:sz="0" w:space="0" w:color="auto"/>
                        <w:left w:val="none" w:sz="0" w:space="0" w:color="auto"/>
                        <w:bottom w:val="none" w:sz="0" w:space="0" w:color="auto"/>
                        <w:right w:val="none" w:sz="0" w:space="0" w:color="auto"/>
                      </w:divBdr>
                      <w:divsChild>
                        <w:div w:id="997537227">
                          <w:marLeft w:val="0"/>
                          <w:marRight w:val="0"/>
                          <w:marTop w:val="0"/>
                          <w:marBottom w:val="0"/>
                          <w:divBdr>
                            <w:top w:val="none" w:sz="0" w:space="0" w:color="auto"/>
                            <w:left w:val="none" w:sz="0" w:space="0" w:color="auto"/>
                            <w:bottom w:val="none" w:sz="0" w:space="0" w:color="auto"/>
                            <w:right w:val="none" w:sz="0" w:space="0" w:color="auto"/>
                          </w:divBdr>
                          <w:divsChild>
                            <w:div w:id="1476331899">
                              <w:marLeft w:val="0"/>
                              <w:marRight w:val="0"/>
                              <w:marTop w:val="0"/>
                              <w:marBottom w:val="0"/>
                              <w:divBdr>
                                <w:top w:val="none" w:sz="0" w:space="0" w:color="auto"/>
                                <w:left w:val="none" w:sz="0" w:space="0" w:color="auto"/>
                                <w:bottom w:val="none" w:sz="0" w:space="0" w:color="auto"/>
                                <w:right w:val="none" w:sz="0" w:space="0" w:color="auto"/>
                              </w:divBdr>
                              <w:divsChild>
                                <w:div w:id="150803960">
                                  <w:marLeft w:val="0"/>
                                  <w:marRight w:val="0"/>
                                  <w:marTop w:val="0"/>
                                  <w:marBottom w:val="0"/>
                                  <w:divBdr>
                                    <w:top w:val="none" w:sz="0" w:space="0" w:color="auto"/>
                                    <w:left w:val="none" w:sz="0" w:space="0" w:color="auto"/>
                                    <w:bottom w:val="none" w:sz="0" w:space="0" w:color="auto"/>
                                    <w:right w:val="none" w:sz="0" w:space="0" w:color="auto"/>
                                  </w:divBdr>
                                  <w:divsChild>
                                    <w:div w:id="50570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17756275">
      <w:bodyDiv w:val="1"/>
      <w:marLeft w:val="0"/>
      <w:marRight w:val="0"/>
      <w:marTop w:val="0"/>
      <w:marBottom w:val="0"/>
      <w:divBdr>
        <w:top w:val="none" w:sz="0" w:space="0" w:color="auto"/>
        <w:left w:val="none" w:sz="0" w:space="0" w:color="auto"/>
        <w:bottom w:val="none" w:sz="0" w:space="0" w:color="auto"/>
        <w:right w:val="none" w:sz="0" w:space="0" w:color="auto"/>
      </w:divBdr>
    </w:div>
    <w:div w:id="1370716637">
      <w:bodyDiv w:val="1"/>
      <w:marLeft w:val="0"/>
      <w:marRight w:val="0"/>
      <w:marTop w:val="0"/>
      <w:marBottom w:val="0"/>
      <w:divBdr>
        <w:top w:val="none" w:sz="0" w:space="0" w:color="auto"/>
        <w:left w:val="none" w:sz="0" w:space="0" w:color="auto"/>
        <w:bottom w:val="none" w:sz="0" w:space="0" w:color="auto"/>
        <w:right w:val="none" w:sz="0" w:space="0" w:color="auto"/>
      </w:divBdr>
    </w:div>
    <w:div w:id="1394424953">
      <w:bodyDiv w:val="1"/>
      <w:marLeft w:val="0"/>
      <w:marRight w:val="0"/>
      <w:marTop w:val="0"/>
      <w:marBottom w:val="0"/>
      <w:divBdr>
        <w:top w:val="none" w:sz="0" w:space="0" w:color="auto"/>
        <w:left w:val="none" w:sz="0" w:space="0" w:color="auto"/>
        <w:bottom w:val="none" w:sz="0" w:space="0" w:color="auto"/>
        <w:right w:val="none" w:sz="0" w:space="0" w:color="auto"/>
      </w:divBdr>
      <w:divsChild>
        <w:div w:id="978993375">
          <w:marLeft w:val="0"/>
          <w:marRight w:val="0"/>
          <w:marTop w:val="0"/>
          <w:marBottom w:val="0"/>
          <w:divBdr>
            <w:top w:val="none" w:sz="0" w:space="0" w:color="auto"/>
            <w:left w:val="none" w:sz="0" w:space="0" w:color="auto"/>
            <w:bottom w:val="none" w:sz="0" w:space="0" w:color="auto"/>
            <w:right w:val="none" w:sz="0" w:space="0" w:color="auto"/>
          </w:divBdr>
          <w:divsChild>
            <w:div w:id="46112146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465662868">
      <w:bodyDiv w:val="1"/>
      <w:marLeft w:val="0"/>
      <w:marRight w:val="0"/>
      <w:marTop w:val="0"/>
      <w:marBottom w:val="0"/>
      <w:divBdr>
        <w:top w:val="none" w:sz="0" w:space="0" w:color="auto"/>
        <w:left w:val="none" w:sz="0" w:space="0" w:color="auto"/>
        <w:bottom w:val="none" w:sz="0" w:space="0" w:color="auto"/>
        <w:right w:val="none" w:sz="0" w:space="0" w:color="auto"/>
      </w:divBdr>
    </w:div>
    <w:div w:id="1471436603">
      <w:bodyDiv w:val="1"/>
      <w:marLeft w:val="0"/>
      <w:marRight w:val="0"/>
      <w:marTop w:val="0"/>
      <w:marBottom w:val="0"/>
      <w:divBdr>
        <w:top w:val="none" w:sz="0" w:space="0" w:color="auto"/>
        <w:left w:val="none" w:sz="0" w:space="0" w:color="auto"/>
        <w:bottom w:val="none" w:sz="0" w:space="0" w:color="auto"/>
        <w:right w:val="none" w:sz="0" w:space="0" w:color="auto"/>
      </w:divBdr>
      <w:divsChild>
        <w:div w:id="644821665">
          <w:marLeft w:val="0"/>
          <w:marRight w:val="0"/>
          <w:marTop w:val="0"/>
          <w:marBottom w:val="180"/>
          <w:divBdr>
            <w:top w:val="none" w:sz="0" w:space="0" w:color="auto"/>
            <w:left w:val="none" w:sz="0" w:space="0" w:color="auto"/>
            <w:bottom w:val="none" w:sz="0" w:space="0" w:color="auto"/>
            <w:right w:val="none" w:sz="0" w:space="0" w:color="auto"/>
          </w:divBdr>
          <w:divsChild>
            <w:div w:id="545144450">
              <w:marLeft w:val="0"/>
              <w:marRight w:val="0"/>
              <w:marTop w:val="0"/>
              <w:marBottom w:val="0"/>
              <w:divBdr>
                <w:top w:val="none" w:sz="0" w:space="0" w:color="auto"/>
                <w:left w:val="none" w:sz="0" w:space="0" w:color="auto"/>
                <w:bottom w:val="none" w:sz="0" w:space="0" w:color="auto"/>
                <w:right w:val="none" w:sz="0" w:space="0" w:color="auto"/>
              </w:divBdr>
              <w:divsChild>
                <w:div w:id="1938101924">
                  <w:marLeft w:val="30"/>
                  <w:marRight w:val="30"/>
                  <w:marTop w:val="0"/>
                  <w:marBottom w:val="0"/>
                  <w:divBdr>
                    <w:top w:val="none" w:sz="0" w:space="0" w:color="auto"/>
                    <w:left w:val="none" w:sz="0" w:space="0" w:color="auto"/>
                    <w:bottom w:val="none" w:sz="0" w:space="0" w:color="auto"/>
                    <w:right w:val="none" w:sz="0" w:space="0" w:color="auto"/>
                  </w:divBdr>
                  <w:divsChild>
                    <w:div w:id="2034572103">
                      <w:marLeft w:val="0"/>
                      <w:marRight w:val="0"/>
                      <w:marTop w:val="0"/>
                      <w:marBottom w:val="0"/>
                      <w:divBdr>
                        <w:top w:val="none" w:sz="0" w:space="0" w:color="auto"/>
                        <w:left w:val="none" w:sz="0" w:space="0" w:color="auto"/>
                        <w:bottom w:val="none" w:sz="0" w:space="0" w:color="auto"/>
                        <w:right w:val="none" w:sz="0" w:space="0" w:color="auto"/>
                      </w:divBdr>
                      <w:divsChild>
                        <w:div w:id="31998353">
                          <w:marLeft w:val="0"/>
                          <w:marRight w:val="0"/>
                          <w:marTop w:val="0"/>
                          <w:marBottom w:val="0"/>
                          <w:divBdr>
                            <w:top w:val="none" w:sz="0" w:space="0" w:color="auto"/>
                            <w:left w:val="none" w:sz="0" w:space="0" w:color="auto"/>
                            <w:bottom w:val="none" w:sz="0" w:space="0" w:color="auto"/>
                            <w:right w:val="none" w:sz="0" w:space="0" w:color="auto"/>
                          </w:divBdr>
                          <w:divsChild>
                            <w:div w:id="821972293">
                              <w:marLeft w:val="0"/>
                              <w:marRight w:val="0"/>
                              <w:marTop w:val="0"/>
                              <w:marBottom w:val="480"/>
                              <w:divBdr>
                                <w:top w:val="none" w:sz="0" w:space="0" w:color="auto"/>
                                <w:left w:val="none" w:sz="0" w:space="0" w:color="auto"/>
                                <w:bottom w:val="none" w:sz="0" w:space="0" w:color="auto"/>
                                <w:right w:val="none" w:sz="0" w:space="0" w:color="auto"/>
                              </w:divBdr>
                              <w:divsChild>
                                <w:div w:id="851262579">
                                  <w:marLeft w:val="0"/>
                                  <w:marRight w:val="0"/>
                                  <w:marTop w:val="0"/>
                                  <w:marBottom w:val="0"/>
                                  <w:divBdr>
                                    <w:top w:val="none" w:sz="0" w:space="0" w:color="auto"/>
                                    <w:left w:val="none" w:sz="0" w:space="0" w:color="auto"/>
                                    <w:bottom w:val="none" w:sz="0" w:space="0" w:color="auto"/>
                                    <w:right w:val="none" w:sz="0" w:space="0" w:color="auto"/>
                                  </w:divBdr>
                                  <w:divsChild>
                                    <w:div w:id="122819186">
                                      <w:marLeft w:val="0"/>
                                      <w:marRight w:val="0"/>
                                      <w:marTop w:val="0"/>
                                      <w:marBottom w:val="0"/>
                                      <w:divBdr>
                                        <w:top w:val="none" w:sz="0" w:space="0" w:color="auto"/>
                                        <w:left w:val="none" w:sz="0" w:space="0" w:color="auto"/>
                                        <w:bottom w:val="none" w:sz="0" w:space="0" w:color="auto"/>
                                        <w:right w:val="none" w:sz="0" w:space="0" w:color="auto"/>
                                      </w:divBdr>
                                      <w:divsChild>
                                        <w:div w:id="1627390649">
                                          <w:marLeft w:val="0"/>
                                          <w:marRight w:val="0"/>
                                          <w:marTop w:val="0"/>
                                          <w:marBottom w:val="0"/>
                                          <w:divBdr>
                                            <w:top w:val="none" w:sz="0" w:space="0" w:color="auto"/>
                                            <w:left w:val="none" w:sz="0" w:space="0" w:color="auto"/>
                                            <w:bottom w:val="none" w:sz="0" w:space="0" w:color="auto"/>
                                            <w:right w:val="none" w:sz="0" w:space="0" w:color="auto"/>
                                          </w:divBdr>
                                          <w:divsChild>
                                            <w:div w:id="765224603">
                                              <w:marLeft w:val="0"/>
                                              <w:marRight w:val="0"/>
                                              <w:marTop w:val="0"/>
                                              <w:marBottom w:val="0"/>
                                              <w:divBdr>
                                                <w:top w:val="none" w:sz="0" w:space="0" w:color="auto"/>
                                                <w:left w:val="none" w:sz="0" w:space="0" w:color="auto"/>
                                                <w:bottom w:val="none" w:sz="0" w:space="0" w:color="auto"/>
                                                <w:right w:val="none" w:sz="0" w:space="0" w:color="auto"/>
                                              </w:divBdr>
                                              <w:divsChild>
                                                <w:div w:id="796067802">
                                                  <w:marLeft w:val="0"/>
                                                  <w:marRight w:val="0"/>
                                                  <w:marTop w:val="0"/>
                                                  <w:marBottom w:val="0"/>
                                                  <w:divBdr>
                                                    <w:top w:val="none" w:sz="0" w:space="0" w:color="auto"/>
                                                    <w:left w:val="none" w:sz="0" w:space="0" w:color="auto"/>
                                                    <w:bottom w:val="none" w:sz="0" w:space="0" w:color="auto"/>
                                                    <w:right w:val="none" w:sz="0" w:space="0" w:color="auto"/>
                                                  </w:divBdr>
                                                  <w:divsChild>
                                                    <w:div w:id="1362901678">
                                                      <w:marLeft w:val="0"/>
                                                      <w:marRight w:val="0"/>
                                                      <w:marTop w:val="0"/>
                                                      <w:marBottom w:val="0"/>
                                                      <w:divBdr>
                                                        <w:top w:val="none" w:sz="0" w:space="0" w:color="auto"/>
                                                        <w:left w:val="none" w:sz="0" w:space="0" w:color="auto"/>
                                                        <w:bottom w:val="none" w:sz="0" w:space="0" w:color="auto"/>
                                                        <w:right w:val="none" w:sz="0" w:space="0" w:color="auto"/>
                                                      </w:divBdr>
                                                      <w:divsChild>
                                                        <w:div w:id="270088465">
                                                          <w:marLeft w:val="0"/>
                                                          <w:marRight w:val="0"/>
                                                          <w:marTop w:val="0"/>
                                                          <w:marBottom w:val="0"/>
                                                          <w:divBdr>
                                                            <w:top w:val="none" w:sz="0" w:space="0" w:color="auto"/>
                                                            <w:left w:val="none" w:sz="0" w:space="0" w:color="auto"/>
                                                            <w:bottom w:val="none" w:sz="0" w:space="0" w:color="auto"/>
                                                            <w:right w:val="none" w:sz="0" w:space="0" w:color="auto"/>
                                                          </w:divBdr>
                                                          <w:divsChild>
                                                            <w:div w:id="196163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68936819">
          <w:marLeft w:val="0"/>
          <w:marRight w:val="0"/>
          <w:marTop w:val="0"/>
          <w:marBottom w:val="180"/>
          <w:divBdr>
            <w:top w:val="none" w:sz="0" w:space="0" w:color="auto"/>
            <w:left w:val="none" w:sz="0" w:space="0" w:color="auto"/>
            <w:bottom w:val="none" w:sz="0" w:space="0" w:color="auto"/>
            <w:right w:val="none" w:sz="0" w:space="0" w:color="auto"/>
          </w:divBdr>
          <w:divsChild>
            <w:div w:id="839008346">
              <w:marLeft w:val="0"/>
              <w:marRight w:val="0"/>
              <w:marTop w:val="0"/>
              <w:marBottom w:val="0"/>
              <w:divBdr>
                <w:top w:val="none" w:sz="0" w:space="0" w:color="auto"/>
                <w:left w:val="none" w:sz="0" w:space="0" w:color="auto"/>
                <w:bottom w:val="none" w:sz="0" w:space="0" w:color="auto"/>
                <w:right w:val="none" w:sz="0" w:space="0" w:color="auto"/>
              </w:divBdr>
              <w:divsChild>
                <w:div w:id="2044359112">
                  <w:marLeft w:val="0"/>
                  <w:marRight w:val="0"/>
                  <w:marTop w:val="0"/>
                  <w:marBottom w:val="0"/>
                  <w:divBdr>
                    <w:top w:val="none" w:sz="0" w:space="0" w:color="auto"/>
                    <w:left w:val="none" w:sz="0" w:space="0" w:color="auto"/>
                    <w:bottom w:val="none" w:sz="0" w:space="0" w:color="auto"/>
                    <w:right w:val="none" w:sz="0" w:space="0" w:color="auto"/>
                  </w:divBdr>
                  <w:divsChild>
                    <w:div w:id="1049694022">
                      <w:marLeft w:val="0"/>
                      <w:marRight w:val="0"/>
                      <w:marTop w:val="0"/>
                      <w:marBottom w:val="0"/>
                      <w:divBdr>
                        <w:top w:val="single" w:sz="4" w:space="6" w:color="auto"/>
                        <w:left w:val="single" w:sz="4" w:space="12" w:color="auto"/>
                        <w:bottom w:val="single" w:sz="4" w:space="6" w:color="auto"/>
                        <w:right w:val="single" w:sz="4" w:space="12" w:color="auto"/>
                      </w:divBdr>
                      <w:divsChild>
                        <w:div w:id="138756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2366927">
              <w:marLeft w:val="0"/>
              <w:marRight w:val="0"/>
              <w:marTop w:val="0"/>
              <w:marBottom w:val="0"/>
              <w:divBdr>
                <w:top w:val="none" w:sz="0" w:space="0" w:color="auto"/>
                <w:left w:val="none" w:sz="0" w:space="0" w:color="auto"/>
                <w:bottom w:val="none" w:sz="0" w:space="0" w:color="auto"/>
                <w:right w:val="none" w:sz="0" w:space="0" w:color="auto"/>
              </w:divBdr>
              <w:divsChild>
                <w:div w:id="1447890406">
                  <w:marLeft w:val="30"/>
                  <w:marRight w:val="30"/>
                  <w:marTop w:val="0"/>
                  <w:marBottom w:val="0"/>
                  <w:divBdr>
                    <w:top w:val="none" w:sz="0" w:space="0" w:color="auto"/>
                    <w:left w:val="none" w:sz="0" w:space="0" w:color="auto"/>
                    <w:bottom w:val="none" w:sz="0" w:space="0" w:color="auto"/>
                    <w:right w:val="none" w:sz="0" w:space="0" w:color="auto"/>
                  </w:divBdr>
                  <w:divsChild>
                    <w:div w:id="184635470">
                      <w:marLeft w:val="0"/>
                      <w:marRight w:val="0"/>
                      <w:marTop w:val="0"/>
                      <w:marBottom w:val="0"/>
                      <w:divBdr>
                        <w:top w:val="none" w:sz="0" w:space="0" w:color="auto"/>
                        <w:left w:val="none" w:sz="0" w:space="0" w:color="auto"/>
                        <w:bottom w:val="none" w:sz="0" w:space="0" w:color="auto"/>
                        <w:right w:val="none" w:sz="0" w:space="0" w:color="auto"/>
                      </w:divBdr>
                      <w:divsChild>
                        <w:div w:id="1844007668">
                          <w:marLeft w:val="0"/>
                          <w:marRight w:val="0"/>
                          <w:marTop w:val="0"/>
                          <w:marBottom w:val="0"/>
                          <w:divBdr>
                            <w:top w:val="none" w:sz="0" w:space="0" w:color="auto"/>
                            <w:left w:val="none" w:sz="0" w:space="0" w:color="auto"/>
                            <w:bottom w:val="none" w:sz="0" w:space="0" w:color="auto"/>
                            <w:right w:val="none" w:sz="0" w:space="0" w:color="auto"/>
                          </w:divBdr>
                          <w:divsChild>
                            <w:div w:id="139932830">
                              <w:marLeft w:val="0"/>
                              <w:marRight w:val="0"/>
                              <w:marTop w:val="0"/>
                              <w:marBottom w:val="0"/>
                              <w:divBdr>
                                <w:top w:val="none" w:sz="0" w:space="0" w:color="auto"/>
                                <w:left w:val="none" w:sz="0" w:space="0" w:color="auto"/>
                                <w:bottom w:val="none" w:sz="0" w:space="0" w:color="auto"/>
                                <w:right w:val="none" w:sz="0" w:space="0" w:color="auto"/>
                              </w:divBdr>
                              <w:divsChild>
                                <w:div w:id="1204713033">
                                  <w:marLeft w:val="0"/>
                                  <w:marRight w:val="0"/>
                                  <w:marTop w:val="0"/>
                                  <w:marBottom w:val="0"/>
                                  <w:divBdr>
                                    <w:top w:val="none" w:sz="0" w:space="0" w:color="auto"/>
                                    <w:left w:val="none" w:sz="0" w:space="0" w:color="auto"/>
                                    <w:bottom w:val="none" w:sz="0" w:space="0" w:color="auto"/>
                                    <w:right w:val="none" w:sz="0" w:space="0" w:color="auto"/>
                                  </w:divBdr>
                                </w:div>
                              </w:divsChild>
                            </w:div>
                            <w:div w:id="2033601934">
                              <w:marLeft w:val="0"/>
                              <w:marRight w:val="0"/>
                              <w:marTop w:val="0"/>
                              <w:marBottom w:val="480"/>
                              <w:divBdr>
                                <w:top w:val="none" w:sz="0" w:space="0" w:color="auto"/>
                                <w:left w:val="none" w:sz="0" w:space="0" w:color="auto"/>
                                <w:bottom w:val="none" w:sz="0" w:space="0" w:color="auto"/>
                                <w:right w:val="none" w:sz="0" w:space="0" w:color="auto"/>
                              </w:divBdr>
                              <w:divsChild>
                                <w:div w:id="1651592130">
                                  <w:marLeft w:val="0"/>
                                  <w:marRight w:val="0"/>
                                  <w:marTop w:val="0"/>
                                  <w:marBottom w:val="0"/>
                                  <w:divBdr>
                                    <w:top w:val="none" w:sz="0" w:space="0" w:color="auto"/>
                                    <w:left w:val="none" w:sz="0" w:space="0" w:color="auto"/>
                                    <w:bottom w:val="none" w:sz="0" w:space="0" w:color="auto"/>
                                    <w:right w:val="none" w:sz="0" w:space="0" w:color="auto"/>
                                  </w:divBdr>
                                  <w:divsChild>
                                    <w:div w:id="1657954210">
                                      <w:marLeft w:val="0"/>
                                      <w:marRight w:val="0"/>
                                      <w:marTop w:val="0"/>
                                      <w:marBottom w:val="0"/>
                                      <w:divBdr>
                                        <w:top w:val="none" w:sz="0" w:space="0" w:color="auto"/>
                                        <w:left w:val="none" w:sz="0" w:space="0" w:color="auto"/>
                                        <w:bottom w:val="none" w:sz="0" w:space="0" w:color="auto"/>
                                        <w:right w:val="none" w:sz="0" w:space="0" w:color="auto"/>
                                      </w:divBdr>
                                      <w:divsChild>
                                        <w:div w:id="1513109297">
                                          <w:marLeft w:val="0"/>
                                          <w:marRight w:val="0"/>
                                          <w:marTop w:val="0"/>
                                          <w:marBottom w:val="0"/>
                                          <w:divBdr>
                                            <w:top w:val="none" w:sz="0" w:space="0" w:color="auto"/>
                                            <w:left w:val="none" w:sz="0" w:space="0" w:color="auto"/>
                                            <w:bottom w:val="none" w:sz="0" w:space="0" w:color="auto"/>
                                            <w:right w:val="none" w:sz="0" w:space="0" w:color="auto"/>
                                          </w:divBdr>
                                          <w:divsChild>
                                            <w:div w:id="473912765">
                                              <w:marLeft w:val="0"/>
                                              <w:marRight w:val="0"/>
                                              <w:marTop w:val="0"/>
                                              <w:marBottom w:val="0"/>
                                              <w:divBdr>
                                                <w:top w:val="none" w:sz="0" w:space="0" w:color="auto"/>
                                                <w:left w:val="none" w:sz="0" w:space="0" w:color="auto"/>
                                                <w:bottom w:val="none" w:sz="0" w:space="0" w:color="auto"/>
                                                <w:right w:val="none" w:sz="0" w:space="0" w:color="auto"/>
                                              </w:divBdr>
                                              <w:divsChild>
                                                <w:div w:id="407927624">
                                                  <w:marLeft w:val="0"/>
                                                  <w:marRight w:val="0"/>
                                                  <w:marTop w:val="0"/>
                                                  <w:marBottom w:val="0"/>
                                                  <w:divBdr>
                                                    <w:top w:val="none" w:sz="0" w:space="0" w:color="auto"/>
                                                    <w:left w:val="none" w:sz="0" w:space="0" w:color="auto"/>
                                                    <w:bottom w:val="none" w:sz="0" w:space="0" w:color="auto"/>
                                                    <w:right w:val="none" w:sz="0" w:space="0" w:color="auto"/>
                                                  </w:divBdr>
                                                  <w:divsChild>
                                                    <w:div w:id="707145472">
                                                      <w:marLeft w:val="0"/>
                                                      <w:marRight w:val="0"/>
                                                      <w:marTop w:val="0"/>
                                                      <w:marBottom w:val="0"/>
                                                      <w:divBdr>
                                                        <w:top w:val="none" w:sz="0" w:space="0" w:color="auto"/>
                                                        <w:left w:val="none" w:sz="0" w:space="0" w:color="auto"/>
                                                        <w:bottom w:val="none" w:sz="0" w:space="0" w:color="auto"/>
                                                        <w:right w:val="none" w:sz="0" w:space="0" w:color="auto"/>
                                                      </w:divBdr>
                                                      <w:divsChild>
                                                        <w:div w:id="1071386202">
                                                          <w:marLeft w:val="0"/>
                                                          <w:marRight w:val="0"/>
                                                          <w:marTop w:val="0"/>
                                                          <w:marBottom w:val="0"/>
                                                          <w:divBdr>
                                                            <w:top w:val="none" w:sz="0" w:space="0" w:color="auto"/>
                                                            <w:left w:val="none" w:sz="0" w:space="0" w:color="auto"/>
                                                            <w:bottom w:val="none" w:sz="0" w:space="0" w:color="auto"/>
                                                            <w:right w:val="none" w:sz="0" w:space="0" w:color="auto"/>
                                                          </w:divBdr>
                                                          <w:divsChild>
                                                            <w:div w:id="439959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479109469">
      <w:bodyDiv w:val="1"/>
      <w:marLeft w:val="0"/>
      <w:marRight w:val="0"/>
      <w:marTop w:val="0"/>
      <w:marBottom w:val="0"/>
      <w:divBdr>
        <w:top w:val="none" w:sz="0" w:space="0" w:color="auto"/>
        <w:left w:val="none" w:sz="0" w:space="0" w:color="auto"/>
        <w:bottom w:val="none" w:sz="0" w:space="0" w:color="auto"/>
        <w:right w:val="none" w:sz="0" w:space="0" w:color="auto"/>
      </w:divBdr>
    </w:div>
    <w:div w:id="1527596352">
      <w:bodyDiv w:val="1"/>
      <w:marLeft w:val="0"/>
      <w:marRight w:val="0"/>
      <w:marTop w:val="0"/>
      <w:marBottom w:val="0"/>
      <w:divBdr>
        <w:top w:val="none" w:sz="0" w:space="0" w:color="auto"/>
        <w:left w:val="none" w:sz="0" w:space="0" w:color="auto"/>
        <w:bottom w:val="none" w:sz="0" w:space="0" w:color="auto"/>
        <w:right w:val="none" w:sz="0" w:space="0" w:color="auto"/>
      </w:divBdr>
    </w:div>
    <w:div w:id="1545605502">
      <w:bodyDiv w:val="1"/>
      <w:marLeft w:val="0"/>
      <w:marRight w:val="0"/>
      <w:marTop w:val="0"/>
      <w:marBottom w:val="0"/>
      <w:divBdr>
        <w:top w:val="none" w:sz="0" w:space="0" w:color="auto"/>
        <w:left w:val="none" w:sz="0" w:space="0" w:color="auto"/>
        <w:bottom w:val="none" w:sz="0" w:space="0" w:color="auto"/>
        <w:right w:val="none" w:sz="0" w:space="0" w:color="auto"/>
      </w:divBdr>
    </w:div>
    <w:div w:id="1546991162">
      <w:bodyDiv w:val="1"/>
      <w:marLeft w:val="0"/>
      <w:marRight w:val="0"/>
      <w:marTop w:val="0"/>
      <w:marBottom w:val="0"/>
      <w:divBdr>
        <w:top w:val="none" w:sz="0" w:space="0" w:color="auto"/>
        <w:left w:val="none" w:sz="0" w:space="0" w:color="auto"/>
        <w:bottom w:val="none" w:sz="0" w:space="0" w:color="auto"/>
        <w:right w:val="none" w:sz="0" w:space="0" w:color="auto"/>
      </w:divBdr>
    </w:div>
    <w:div w:id="1565481935">
      <w:bodyDiv w:val="1"/>
      <w:marLeft w:val="0"/>
      <w:marRight w:val="0"/>
      <w:marTop w:val="0"/>
      <w:marBottom w:val="0"/>
      <w:divBdr>
        <w:top w:val="none" w:sz="0" w:space="0" w:color="auto"/>
        <w:left w:val="none" w:sz="0" w:space="0" w:color="auto"/>
        <w:bottom w:val="none" w:sz="0" w:space="0" w:color="auto"/>
        <w:right w:val="none" w:sz="0" w:space="0" w:color="auto"/>
      </w:divBdr>
      <w:divsChild>
        <w:div w:id="168520510">
          <w:marLeft w:val="0"/>
          <w:marRight w:val="0"/>
          <w:marTop w:val="0"/>
          <w:marBottom w:val="0"/>
          <w:divBdr>
            <w:top w:val="none" w:sz="0" w:space="0" w:color="auto"/>
            <w:left w:val="none" w:sz="0" w:space="0" w:color="auto"/>
            <w:bottom w:val="none" w:sz="0" w:space="0" w:color="auto"/>
            <w:right w:val="none" w:sz="0" w:space="0" w:color="auto"/>
          </w:divBdr>
          <w:divsChild>
            <w:div w:id="1888909287">
              <w:marLeft w:val="0"/>
              <w:marRight w:val="0"/>
              <w:marTop w:val="0"/>
              <w:marBottom w:val="0"/>
              <w:divBdr>
                <w:top w:val="none" w:sz="0" w:space="0" w:color="auto"/>
                <w:left w:val="none" w:sz="0" w:space="0" w:color="auto"/>
                <w:bottom w:val="none" w:sz="0" w:space="0" w:color="auto"/>
                <w:right w:val="none" w:sz="0" w:space="0" w:color="auto"/>
              </w:divBdr>
              <w:divsChild>
                <w:div w:id="541870712">
                  <w:marLeft w:val="0"/>
                  <w:marRight w:val="0"/>
                  <w:marTop w:val="0"/>
                  <w:marBottom w:val="0"/>
                  <w:divBdr>
                    <w:top w:val="none" w:sz="0" w:space="0" w:color="auto"/>
                    <w:left w:val="none" w:sz="0" w:space="0" w:color="auto"/>
                    <w:bottom w:val="none" w:sz="0" w:space="0" w:color="auto"/>
                    <w:right w:val="none" w:sz="0" w:space="0" w:color="auto"/>
                  </w:divBdr>
                  <w:divsChild>
                    <w:div w:id="1884563049">
                      <w:marLeft w:val="0"/>
                      <w:marRight w:val="0"/>
                      <w:marTop w:val="0"/>
                      <w:marBottom w:val="0"/>
                      <w:divBdr>
                        <w:top w:val="none" w:sz="0" w:space="0" w:color="auto"/>
                        <w:left w:val="none" w:sz="0" w:space="0" w:color="auto"/>
                        <w:bottom w:val="none" w:sz="0" w:space="0" w:color="auto"/>
                        <w:right w:val="none" w:sz="0" w:space="0" w:color="auto"/>
                      </w:divBdr>
                      <w:divsChild>
                        <w:div w:id="520121638">
                          <w:marLeft w:val="0"/>
                          <w:marRight w:val="0"/>
                          <w:marTop w:val="0"/>
                          <w:marBottom w:val="0"/>
                          <w:divBdr>
                            <w:top w:val="none" w:sz="0" w:space="0" w:color="auto"/>
                            <w:left w:val="none" w:sz="0" w:space="0" w:color="auto"/>
                            <w:bottom w:val="none" w:sz="0" w:space="0" w:color="auto"/>
                            <w:right w:val="none" w:sz="0" w:space="0" w:color="auto"/>
                          </w:divBdr>
                          <w:divsChild>
                            <w:div w:id="86120113">
                              <w:marLeft w:val="0"/>
                              <w:marRight w:val="0"/>
                              <w:marTop w:val="0"/>
                              <w:marBottom w:val="0"/>
                              <w:divBdr>
                                <w:top w:val="none" w:sz="0" w:space="0" w:color="auto"/>
                                <w:left w:val="none" w:sz="0" w:space="0" w:color="auto"/>
                                <w:bottom w:val="none" w:sz="0" w:space="0" w:color="auto"/>
                                <w:right w:val="none" w:sz="0" w:space="0" w:color="auto"/>
                              </w:divBdr>
                              <w:divsChild>
                                <w:div w:id="899362662">
                                  <w:marLeft w:val="0"/>
                                  <w:marRight w:val="0"/>
                                  <w:marTop w:val="0"/>
                                  <w:marBottom w:val="0"/>
                                  <w:divBdr>
                                    <w:top w:val="none" w:sz="0" w:space="0" w:color="auto"/>
                                    <w:left w:val="none" w:sz="0" w:space="0" w:color="auto"/>
                                    <w:bottom w:val="none" w:sz="0" w:space="0" w:color="auto"/>
                                    <w:right w:val="none" w:sz="0" w:space="0" w:color="auto"/>
                                  </w:divBdr>
                                  <w:divsChild>
                                    <w:div w:id="1002050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2132872">
      <w:bodyDiv w:val="1"/>
      <w:marLeft w:val="0"/>
      <w:marRight w:val="0"/>
      <w:marTop w:val="0"/>
      <w:marBottom w:val="0"/>
      <w:divBdr>
        <w:top w:val="none" w:sz="0" w:space="0" w:color="auto"/>
        <w:left w:val="none" w:sz="0" w:space="0" w:color="auto"/>
        <w:bottom w:val="none" w:sz="0" w:space="0" w:color="auto"/>
        <w:right w:val="none" w:sz="0" w:space="0" w:color="auto"/>
      </w:divBdr>
    </w:div>
    <w:div w:id="1582450889">
      <w:bodyDiv w:val="1"/>
      <w:marLeft w:val="0"/>
      <w:marRight w:val="0"/>
      <w:marTop w:val="0"/>
      <w:marBottom w:val="0"/>
      <w:divBdr>
        <w:top w:val="none" w:sz="0" w:space="0" w:color="auto"/>
        <w:left w:val="none" w:sz="0" w:space="0" w:color="auto"/>
        <w:bottom w:val="none" w:sz="0" w:space="0" w:color="auto"/>
        <w:right w:val="none" w:sz="0" w:space="0" w:color="auto"/>
      </w:divBdr>
    </w:div>
    <w:div w:id="1587379964">
      <w:bodyDiv w:val="1"/>
      <w:marLeft w:val="0"/>
      <w:marRight w:val="0"/>
      <w:marTop w:val="0"/>
      <w:marBottom w:val="0"/>
      <w:divBdr>
        <w:top w:val="none" w:sz="0" w:space="0" w:color="auto"/>
        <w:left w:val="none" w:sz="0" w:space="0" w:color="auto"/>
        <w:bottom w:val="none" w:sz="0" w:space="0" w:color="auto"/>
        <w:right w:val="none" w:sz="0" w:space="0" w:color="auto"/>
      </w:divBdr>
    </w:div>
    <w:div w:id="1591809512">
      <w:bodyDiv w:val="1"/>
      <w:marLeft w:val="0"/>
      <w:marRight w:val="0"/>
      <w:marTop w:val="0"/>
      <w:marBottom w:val="0"/>
      <w:divBdr>
        <w:top w:val="none" w:sz="0" w:space="0" w:color="auto"/>
        <w:left w:val="none" w:sz="0" w:space="0" w:color="auto"/>
        <w:bottom w:val="none" w:sz="0" w:space="0" w:color="auto"/>
        <w:right w:val="none" w:sz="0" w:space="0" w:color="auto"/>
      </w:divBdr>
    </w:div>
    <w:div w:id="1603681753">
      <w:bodyDiv w:val="1"/>
      <w:marLeft w:val="0"/>
      <w:marRight w:val="0"/>
      <w:marTop w:val="0"/>
      <w:marBottom w:val="0"/>
      <w:divBdr>
        <w:top w:val="none" w:sz="0" w:space="0" w:color="auto"/>
        <w:left w:val="none" w:sz="0" w:space="0" w:color="auto"/>
        <w:bottom w:val="none" w:sz="0" w:space="0" w:color="auto"/>
        <w:right w:val="none" w:sz="0" w:space="0" w:color="auto"/>
      </w:divBdr>
      <w:divsChild>
        <w:div w:id="156188589">
          <w:marLeft w:val="0"/>
          <w:marRight w:val="0"/>
          <w:marTop w:val="0"/>
          <w:marBottom w:val="0"/>
          <w:divBdr>
            <w:top w:val="none" w:sz="0" w:space="0" w:color="auto"/>
            <w:left w:val="none" w:sz="0" w:space="0" w:color="auto"/>
            <w:bottom w:val="none" w:sz="0" w:space="0" w:color="auto"/>
            <w:right w:val="none" w:sz="0" w:space="0" w:color="auto"/>
          </w:divBdr>
          <w:divsChild>
            <w:div w:id="4933039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608807725">
      <w:bodyDiv w:val="1"/>
      <w:marLeft w:val="0"/>
      <w:marRight w:val="0"/>
      <w:marTop w:val="0"/>
      <w:marBottom w:val="0"/>
      <w:divBdr>
        <w:top w:val="none" w:sz="0" w:space="0" w:color="auto"/>
        <w:left w:val="none" w:sz="0" w:space="0" w:color="auto"/>
        <w:bottom w:val="none" w:sz="0" w:space="0" w:color="auto"/>
        <w:right w:val="none" w:sz="0" w:space="0" w:color="auto"/>
      </w:divBdr>
    </w:div>
    <w:div w:id="1650742169">
      <w:bodyDiv w:val="1"/>
      <w:marLeft w:val="0"/>
      <w:marRight w:val="0"/>
      <w:marTop w:val="0"/>
      <w:marBottom w:val="0"/>
      <w:divBdr>
        <w:top w:val="none" w:sz="0" w:space="0" w:color="auto"/>
        <w:left w:val="none" w:sz="0" w:space="0" w:color="auto"/>
        <w:bottom w:val="none" w:sz="0" w:space="0" w:color="auto"/>
        <w:right w:val="none" w:sz="0" w:space="0" w:color="auto"/>
      </w:divBdr>
    </w:div>
    <w:div w:id="1664504789">
      <w:bodyDiv w:val="1"/>
      <w:marLeft w:val="0"/>
      <w:marRight w:val="0"/>
      <w:marTop w:val="0"/>
      <w:marBottom w:val="0"/>
      <w:divBdr>
        <w:top w:val="none" w:sz="0" w:space="0" w:color="auto"/>
        <w:left w:val="none" w:sz="0" w:space="0" w:color="auto"/>
        <w:bottom w:val="none" w:sz="0" w:space="0" w:color="auto"/>
        <w:right w:val="none" w:sz="0" w:space="0" w:color="auto"/>
      </w:divBdr>
      <w:divsChild>
        <w:div w:id="1027801327">
          <w:marLeft w:val="0"/>
          <w:marRight w:val="0"/>
          <w:marTop w:val="0"/>
          <w:marBottom w:val="0"/>
          <w:divBdr>
            <w:top w:val="none" w:sz="0" w:space="0" w:color="auto"/>
            <w:left w:val="none" w:sz="0" w:space="0" w:color="auto"/>
            <w:bottom w:val="none" w:sz="0" w:space="0" w:color="auto"/>
            <w:right w:val="none" w:sz="0" w:space="0" w:color="auto"/>
          </w:divBdr>
        </w:div>
      </w:divsChild>
    </w:div>
    <w:div w:id="1700156737">
      <w:bodyDiv w:val="1"/>
      <w:marLeft w:val="0"/>
      <w:marRight w:val="0"/>
      <w:marTop w:val="0"/>
      <w:marBottom w:val="0"/>
      <w:divBdr>
        <w:top w:val="none" w:sz="0" w:space="0" w:color="auto"/>
        <w:left w:val="none" w:sz="0" w:space="0" w:color="auto"/>
        <w:bottom w:val="none" w:sz="0" w:space="0" w:color="auto"/>
        <w:right w:val="none" w:sz="0" w:space="0" w:color="auto"/>
      </w:divBdr>
    </w:div>
    <w:div w:id="1710836541">
      <w:bodyDiv w:val="1"/>
      <w:marLeft w:val="0"/>
      <w:marRight w:val="0"/>
      <w:marTop w:val="0"/>
      <w:marBottom w:val="0"/>
      <w:divBdr>
        <w:top w:val="none" w:sz="0" w:space="0" w:color="auto"/>
        <w:left w:val="none" w:sz="0" w:space="0" w:color="auto"/>
        <w:bottom w:val="none" w:sz="0" w:space="0" w:color="auto"/>
        <w:right w:val="none" w:sz="0" w:space="0" w:color="auto"/>
      </w:divBdr>
    </w:div>
    <w:div w:id="1726634402">
      <w:bodyDiv w:val="1"/>
      <w:marLeft w:val="0"/>
      <w:marRight w:val="0"/>
      <w:marTop w:val="0"/>
      <w:marBottom w:val="0"/>
      <w:divBdr>
        <w:top w:val="none" w:sz="0" w:space="0" w:color="auto"/>
        <w:left w:val="none" w:sz="0" w:space="0" w:color="auto"/>
        <w:bottom w:val="none" w:sz="0" w:space="0" w:color="auto"/>
        <w:right w:val="none" w:sz="0" w:space="0" w:color="auto"/>
      </w:divBdr>
      <w:divsChild>
        <w:div w:id="1964338466">
          <w:marLeft w:val="0"/>
          <w:marRight w:val="0"/>
          <w:marTop w:val="0"/>
          <w:marBottom w:val="0"/>
          <w:divBdr>
            <w:top w:val="none" w:sz="0" w:space="0" w:color="auto"/>
            <w:left w:val="none" w:sz="0" w:space="0" w:color="auto"/>
            <w:bottom w:val="none" w:sz="0" w:space="0" w:color="auto"/>
            <w:right w:val="none" w:sz="0" w:space="0" w:color="auto"/>
          </w:divBdr>
          <w:divsChild>
            <w:div w:id="362899163">
              <w:marLeft w:val="0"/>
              <w:marRight w:val="0"/>
              <w:marTop w:val="0"/>
              <w:marBottom w:val="0"/>
              <w:divBdr>
                <w:top w:val="none" w:sz="0" w:space="0" w:color="auto"/>
                <w:left w:val="none" w:sz="0" w:space="0" w:color="auto"/>
                <w:bottom w:val="none" w:sz="0" w:space="0" w:color="auto"/>
                <w:right w:val="none" w:sz="0" w:space="0" w:color="auto"/>
              </w:divBdr>
              <w:divsChild>
                <w:div w:id="1271157666">
                  <w:marLeft w:val="0"/>
                  <w:marRight w:val="0"/>
                  <w:marTop w:val="0"/>
                  <w:marBottom w:val="0"/>
                  <w:divBdr>
                    <w:top w:val="none" w:sz="0" w:space="0" w:color="auto"/>
                    <w:left w:val="none" w:sz="0" w:space="0" w:color="auto"/>
                    <w:bottom w:val="none" w:sz="0" w:space="0" w:color="auto"/>
                    <w:right w:val="none" w:sz="0" w:space="0" w:color="auto"/>
                  </w:divBdr>
                  <w:divsChild>
                    <w:div w:id="787815578">
                      <w:marLeft w:val="0"/>
                      <w:marRight w:val="0"/>
                      <w:marTop w:val="0"/>
                      <w:marBottom w:val="0"/>
                      <w:divBdr>
                        <w:top w:val="none" w:sz="0" w:space="0" w:color="auto"/>
                        <w:left w:val="none" w:sz="0" w:space="0" w:color="auto"/>
                        <w:bottom w:val="none" w:sz="0" w:space="0" w:color="auto"/>
                        <w:right w:val="none" w:sz="0" w:space="0" w:color="auto"/>
                      </w:divBdr>
                      <w:divsChild>
                        <w:div w:id="469708304">
                          <w:marLeft w:val="0"/>
                          <w:marRight w:val="0"/>
                          <w:marTop w:val="0"/>
                          <w:marBottom w:val="0"/>
                          <w:divBdr>
                            <w:top w:val="none" w:sz="0" w:space="0" w:color="auto"/>
                            <w:left w:val="none" w:sz="0" w:space="0" w:color="auto"/>
                            <w:bottom w:val="none" w:sz="0" w:space="0" w:color="auto"/>
                            <w:right w:val="none" w:sz="0" w:space="0" w:color="auto"/>
                          </w:divBdr>
                          <w:divsChild>
                            <w:div w:id="1467890052">
                              <w:marLeft w:val="0"/>
                              <w:marRight w:val="0"/>
                              <w:marTop w:val="0"/>
                              <w:marBottom w:val="0"/>
                              <w:divBdr>
                                <w:top w:val="none" w:sz="0" w:space="0" w:color="auto"/>
                                <w:left w:val="none" w:sz="0" w:space="0" w:color="auto"/>
                                <w:bottom w:val="none" w:sz="0" w:space="0" w:color="auto"/>
                                <w:right w:val="none" w:sz="0" w:space="0" w:color="auto"/>
                              </w:divBdr>
                              <w:divsChild>
                                <w:div w:id="2064671530">
                                  <w:marLeft w:val="0"/>
                                  <w:marRight w:val="0"/>
                                  <w:marTop w:val="0"/>
                                  <w:marBottom w:val="0"/>
                                  <w:divBdr>
                                    <w:top w:val="none" w:sz="0" w:space="0" w:color="auto"/>
                                    <w:left w:val="none" w:sz="0" w:space="0" w:color="auto"/>
                                    <w:bottom w:val="none" w:sz="0" w:space="0" w:color="auto"/>
                                    <w:right w:val="none" w:sz="0" w:space="0" w:color="auto"/>
                                  </w:divBdr>
                                  <w:divsChild>
                                    <w:div w:id="133185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40667282">
      <w:bodyDiv w:val="1"/>
      <w:marLeft w:val="0"/>
      <w:marRight w:val="0"/>
      <w:marTop w:val="0"/>
      <w:marBottom w:val="0"/>
      <w:divBdr>
        <w:top w:val="none" w:sz="0" w:space="0" w:color="auto"/>
        <w:left w:val="none" w:sz="0" w:space="0" w:color="auto"/>
        <w:bottom w:val="none" w:sz="0" w:space="0" w:color="auto"/>
        <w:right w:val="none" w:sz="0" w:space="0" w:color="auto"/>
      </w:divBdr>
    </w:div>
    <w:div w:id="1761098526">
      <w:bodyDiv w:val="1"/>
      <w:marLeft w:val="0"/>
      <w:marRight w:val="0"/>
      <w:marTop w:val="0"/>
      <w:marBottom w:val="0"/>
      <w:divBdr>
        <w:top w:val="none" w:sz="0" w:space="0" w:color="auto"/>
        <w:left w:val="none" w:sz="0" w:space="0" w:color="auto"/>
        <w:bottom w:val="none" w:sz="0" w:space="0" w:color="auto"/>
        <w:right w:val="none" w:sz="0" w:space="0" w:color="auto"/>
      </w:divBdr>
    </w:div>
    <w:div w:id="1796678434">
      <w:bodyDiv w:val="1"/>
      <w:marLeft w:val="0"/>
      <w:marRight w:val="0"/>
      <w:marTop w:val="0"/>
      <w:marBottom w:val="0"/>
      <w:divBdr>
        <w:top w:val="none" w:sz="0" w:space="0" w:color="auto"/>
        <w:left w:val="none" w:sz="0" w:space="0" w:color="auto"/>
        <w:bottom w:val="none" w:sz="0" w:space="0" w:color="auto"/>
        <w:right w:val="none" w:sz="0" w:space="0" w:color="auto"/>
      </w:divBdr>
    </w:div>
    <w:div w:id="1886671385">
      <w:bodyDiv w:val="1"/>
      <w:marLeft w:val="0"/>
      <w:marRight w:val="0"/>
      <w:marTop w:val="0"/>
      <w:marBottom w:val="0"/>
      <w:divBdr>
        <w:top w:val="none" w:sz="0" w:space="0" w:color="auto"/>
        <w:left w:val="none" w:sz="0" w:space="0" w:color="auto"/>
        <w:bottom w:val="none" w:sz="0" w:space="0" w:color="auto"/>
        <w:right w:val="none" w:sz="0" w:space="0" w:color="auto"/>
      </w:divBdr>
    </w:div>
    <w:div w:id="1895653380">
      <w:bodyDiv w:val="1"/>
      <w:marLeft w:val="0"/>
      <w:marRight w:val="0"/>
      <w:marTop w:val="0"/>
      <w:marBottom w:val="0"/>
      <w:divBdr>
        <w:top w:val="none" w:sz="0" w:space="0" w:color="auto"/>
        <w:left w:val="none" w:sz="0" w:space="0" w:color="auto"/>
        <w:bottom w:val="none" w:sz="0" w:space="0" w:color="auto"/>
        <w:right w:val="none" w:sz="0" w:space="0" w:color="auto"/>
      </w:divBdr>
    </w:div>
    <w:div w:id="1896118004">
      <w:bodyDiv w:val="1"/>
      <w:marLeft w:val="0"/>
      <w:marRight w:val="0"/>
      <w:marTop w:val="0"/>
      <w:marBottom w:val="0"/>
      <w:divBdr>
        <w:top w:val="none" w:sz="0" w:space="0" w:color="auto"/>
        <w:left w:val="none" w:sz="0" w:space="0" w:color="auto"/>
        <w:bottom w:val="none" w:sz="0" w:space="0" w:color="auto"/>
        <w:right w:val="none" w:sz="0" w:space="0" w:color="auto"/>
      </w:divBdr>
    </w:div>
    <w:div w:id="1926256832">
      <w:bodyDiv w:val="1"/>
      <w:marLeft w:val="0"/>
      <w:marRight w:val="0"/>
      <w:marTop w:val="0"/>
      <w:marBottom w:val="0"/>
      <w:divBdr>
        <w:top w:val="none" w:sz="0" w:space="0" w:color="auto"/>
        <w:left w:val="none" w:sz="0" w:space="0" w:color="auto"/>
        <w:bottom w:val="none" w:sz="0" w:space="0" w:color="auto"/>
        <w:right w:val="none" w:sz="0" w:space="0" w:color="auto"/>
      </w:divBdr>
    </w:div>
    <w:div w:id="1956057063">
      <w:bodyDiv w:val="1"/>
      <w:marLeft w:val="0"/>
      <w:marRight w:val="0"/>
      <w:marTop w:val="0"/>
      <w:marBottom w:val="0"/>
      <w:divBdr>
        <w:top w:val="none" w:sz="0" w:space="0" w:color="auto"/>
        <w:left w:val="none" w:sz="0" w:space="0" w:color="auto"/>
        <w:bottom w:val="none" w:sz="0" w:space="0" w:color="auto"/>
        <w:right w:val="none" w:sz="0" w:space="0" w:color="auto"/>
      </w:divBdr>
    </w:div>
    <w:div w:id="1962957975">
      <w:bodyDiv w:val="1"/>
      <w:marLeft w:val="0"/>
      <w:marRight w:val="0"/>
      <w:marTop w:val="0"/>
      <w:marBottom w:val="0"/>
      <w:divBdr>
        <w:top w:val="none" w:sz="0" w:space="0" w:color="auto"/>
        <w:left w:val="none" w:sz="0" w:space="0" w:color="auto"/>
        <w:bottom w:val="none" w:sz="0" w:space="0" w:color="auto"/>
        <w:right w:val="none" w:sz="0" w:space="0" w:color="auto"/>
      </w:divBdr>
    </w:div>
    <w:div w:id="2005432489">
      <w:bodyDiv w:val="1"/>
      <w:marLeft w:val="0"/>
      <w:marRight w:val="0"/>
      <w:marTop w:val="0"/>
      <w:marBottom w:val="0"/>
      <w:divBdr>
        <w:top w:val="none" w:sz="0" w:space="0" w:color="auto"/>
        <w:left w:val="none" w:sz="0" w:space="0" w:color="auto"/>
        <w:bottom w:val="none" w:sz="0" w:space="0" w:color="auto"/>
        <w:right w:val="none" w:sz="0" w:space="0" w:color="auto"/>
      </w:divBdr>
    </w:div>
    <w:div w:id="2005550627">
      <w:bodyDiv w:val="1"/>
      <w:marLeft w:val="0"/>
      <w:marRight w:val="0"/>
      <w:marTop w:val="0"/>
      <w:marBottom w:val="0"/>
      <w:divBdr>
        <w:top w:val="none" w:sz="0" w:space="0" w:color="auto"/>
        <w:left w:val="none" w:sz="0" w:space="0" w:color="auto"/>
        <w:bottom w:val="none" w:sz="0" w:space="0" w:color="auto"/>
        <w:right w:val="none" w:sz="0" w:space="0" w:color="auto"/>
      </w:divBdr>
    </w:div>
    <w:div w:id="2014844052">
      <w:bodyDiv w:val="1"/>
      <w:marLeft w:val="0"/>
      <w:marRight w:val="0"/>
      <w:marTop w:val="0"/>
      <w:marBottom w:val="0"/>
      <w:divBdr>
        <w:top w:val="none" w:sz="0" w:space="0" w:color="auto"/>
        <w:left w:val="none" w:sz="0" w:space="0" w:color="auto"/>
        <w:bottom w:val="none" w:sz="0" w:space="0" w:color="auto"/>
        <w:right w:val="none" w:sz="0" w:space="0" w:color="auto"/>
      </w:divBdr>
    </w:div>
    <w:div w:id="2018724994">
      <w:bodyDiv w:val="1"/>
      <w:marLeft w:val="0"/>
      <w:marRight w:val="0"/>
      <w:marTop w:val="0"/>
      <w:marBottom w:val="0"/>
      <w:divBdr>
        <w:top w:val="none" w:sz="0" w:space="0" w:color="auto"/>
        <w:left w:val="none" w:sz="0" w:space="0" w:color="auto"/>
        <w:bottom w:val="none" w:sz="0" w:space="0" w:color="auto"/>
        <w:right w:val="none" w:sz="0" w:space="0" w:color="auto"/>
      </w:divBdr>
    </w:div>
    <w:div w:id="2042128769">
      <w:bodyDiv w:val="1"/>
      <w:marLeft w:val="0"/>
      <w:marRight w:val="0"/>
      <w:marTop w:val="0"/>
      <w:marBottom w:val="0"/>
      <w:divBdr>
        <w:top w:val="none" w:sz="0" w:space="0" w:color="auto"/>
        <w:left w:val="none" w:sz="0" w:space="0" w:color="auto"/>
        <w:bottom w:val="none" w:sz="0" w:space="0" w:color="auto"/>
        <w:right w:val="none" w:sz="0" w:space="0" w:color="auto"/>
      </w:divBdr>
    </w:div>
    <w:div w:id="2097360918">
      <w:bodyDiv w:val="1"/>
      <w:marLeft w:val="0"/>
      <w:marRight w:val="0"/>
      <w:marTop w:val="0"/>
      <w:marBottom w:val="0"/>
      <w:divBdr>
        <w:top w:val="none" w:sz="0" w:space="0" w:color="auto"/>
        <w:left w:val="none" w:sz="0" w:space="0" w:color="auto"/>
        <w:bottom w:val="none" w:sz="0" w:space="0" w:color="auto"/>
        <w:right w:val="none" w:sz="0" w:space="0" w:color="auto"/>
      </w:divBdr>
    </w:div>
    <w:div w:id="2100177266">
      <w:bodyDiv w:val="1"/>
      <w:marLeft w:val="0"/>
      <w:marRight w:val="0"/>
      <w:marTop w:val="0"/>
      <w:marBottom w:val="0"/>
      <w:divBdr>
        <w:top w:val="none" w:sz="0" w:space="0" w:color="auto"/>
        <w:left w:val="none" w:sz="0" w:space="0" w:color="auto"/>
        <w:bottom w:val="none" w:sz="0" w:space="0" w:color="auto"/>
        <w:right w:val="none" w:sz="0" w:space="0" w:color="auto"/>
      </w:divBdr>
    </w:div>
    <w:div w:id="2125877713">
      <w:bodyDiv w:val="1"/>
      <w:marLeft w:val="0"/>
      <w:marRight w:val="0"/>
      <w:marTop w:val="0"/>
      <w:marBottom w:val="0"/>
      <w:divBdr>
        <w:top w:val="none" w:sz="0" w:space="0" w:color="auto"/>
        <w:left w:val="none" w:sz="0" w:space="0" w:color="auto"/>
        <w:bottom w:val="none" w:sz="0" w:space="0" w:color="auto"/>
        <w:right w:val="none" w:sz="0" w:space="0" w:color="auto"/>
      </w:divBdr>
      <w:divsChild>
        <w:div w:id="1746878458">
          <w:marLeft w:val="0"/>
          <w:marRight w:val="0"/>
          <w:marTop w:val="0"/>
          <w:marBottom w:val="0"/>
          <w:divBdr>
            <w:top w:val="none" w:sz="0" w:space="0" w:color="auto"/>
            <w:left w:val="none" w:sz="0" w:space="0" w:color="auto"/>
            <w:bottom w:val="none" w:sz="0" w:space="0" w:color="auto"/>
            <w:right w:val="none" w:sz="0" w:space="0" w:color="auto"/>
          </w:divBdr>
          <w:divsChild>
            <w:div w:id="389810776">
              <w:marLeft w:val="0"/>
              <w:marRight w:val="0"/>
              <w:marTop w:val="0"/>
              <w:marBottom w:val="0"/>
              <w:divBdr>
                <w:top w:val="none" w:sz="0" w:space="0" w:color="auto"/>
                <w:left w:val="none" w:sz="0" w:space="0" w:color="auto"/>
                <w:bottom w:val="none" w:sz="0" w:space="0" w:color="auto"/>
                <w:right w:val="none" w:sz="0" w:space="0" w:color="auto"/>
              </w:divBdr>
              <w:divsChild>
                <w:div w:id="771511122">
                  <w:marLeft w:val="0"/>
                  <w:marRight w:val="0"/>
                  <w:marTop w:val="0"/>
                  <w:marBottom w:val="0"/>
                  <w:divBdr>
                    <w:top w:val="none" w:sz="0" w:space="0" w:color="auto"/>
                    <w:left w:val="none" w:sz="0" w:space="0" w:color="auto"/>
                    <w:bottom w:val="none" w:sz="0" w:space="0" w:color="auto"/>
                    <w:right w:val="none" w:sz="0" w:space="0" w:color="auto"/>
                  </w:divBdr>
                  <w:divsChild>
                    <w:div w:id="686248693">
                      <w:marLeft w:val="0"/>
                      <w:marRight w:val="0"/>
                      <w:marTop w:val="0"/>
                      <w:marBottom w:val="0"/>
                      <w:divBdr>
                        <w:top w:val="none" w:sz="0" w:space="0" w:color="auto"/>
                        <w:left w:val="none" w:sz="0" w:space="0" w:color="auto"/>
                        <w:bottom w:val="none" w:sz="0" w:space="0" w:color="auto"/>
                        <w:right w:val="none" w:sz="0" w:space="0" w:color="auto"/>
                      </w:divBdr>
                      <w:divsChild>
                        <w:div w:id="2123762663">
                          <w:marLeft w:val="0"/>
                          <w:marRight w:val="0"/>
                          <w:marTop w:val="0"/>
                          <w:marBottom w:val="0"/>
                          <w:divBdr>
                            <w:top w:val="none" w:sz="0" w:space="0" w:color="auto"/>
                            <w:left w:val="none" w:sz="0" w:space="0" w:color="auto"/>
                            <w:bottom w:val="none" w:sz="0" w:space="0" w:color="auto"/>
                            <w:right w:val="none" w:sz="0" w:space="0" w:color="auto"/>
                          </w:divBdr>
                          <w:divsChild>
                            <w:div w:id="155145549">
                              <w:marLeft w:val="0"/>
                              <w:marRight w:val="0"/>
                              <w:marTop w:val="0"/>
                              <w:marBottom w:val="0"/>
                              <w:divBdr>
                                <w:top w:val="none" w:sz="0" w:space="0" w:color="auto"/>
                                <w:left w:val="none" w:sz="0" w:space="0" w:color="auto"/>
                                <w:bottom w:val="none" w:sz="0" w:space="0" w:color="auto"/>
                                <w:right w:val="none" w:sz="0" w:space="0" w:color="auto"/>
                              </w:divBdr>
                              <w:divsChild>
                                <w:div w:id="311757101">
                                  <w:marLeft w:val="0"/>
                                  <w:marRight w:val="0"/>
                                  <w:marTop w:val="0"/>
                                  <w:marBottom w:val="0"/>
                                  <w:divBdr>
                                    <w:top w:val="none" w:sz="0" w:space="0" w:color="auto"/>
                                    <w:left w:val="none" w:sz="0" w:space="0" w:color="auto"/>
                                    <w:bottom w:val="none" w:sz="0" w:space="0" w:color="auto"/>
                                    <w:right w:val="none" w:sz="0" w:space="0" w:color="auto"/>
                                  </w:divBdr>
                                  <w:divsChild>
                                    <w:div w:id="1172068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3328315">
      <w:bodyDiv w:val="1"/>
      <w:marLeft w:val="0"/>
      <w:marRight w:val="0"/>
      <w:marTop w:val="0"/>
      <w:marBottom w:val="0"/>
      <w:divBdr>
        <w:top w:val="none" w:sz="0" w:space="0" w:color="auto"/>
        <w:left w:val="none" w:sz="0" w:space="0" w:color="auto"/>
        <w:bottom w:val="none" w:sz="0" w:space="0" w:color="auto"/>
        <w:right w:val="none" w:sz="0" w:space="0" w:color="auto"/>
      </w:divBdr>
      <w:divsChild>
        <w:div w:id="2127850974">
          <w:marLeft w:val="0"/>
          <w:marRight w:val="0"/>
          <w:marTop w:val="0"/>
          <w:marBottom w:val="0"/>
          <w:divBdr>
            <w:top w:val="none" w:sz="0" w:space="0" w:color="auto"/>
            <w:left w:val="none" w:sz="0" w:space="0" w:color="auto"/>
            <w:bottom w:val="none" w:sz="0" w:space="0" w:color="auto"/>
            <w:right w:val="none" w:sz="0" w:space="0" w:color="auto"/>
          </w:divBdr>
          <w:divsChild>
            <w:div w:id="5104188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5-01-1065" TargetMode="External"/><Relationship Id="rId18" Type="http://schemas.openxmlformats.org/officeDocument/2006/relationships/hyperlink" Target="http://www.uradni-list.si/1/objava.jsp?sop=2019-01-0916" TargetMode="External"/><Relationship Id="rId26" Type="http://schemas.openxmlformats.org/officeDocument/2006/relationships/hyperlink" Target="https://www.uradni-list.si/glasilo-uradni-list-rs/vsebina/2023-01-1691" TargetMode="External"/><Relationship Id="rId39" Type="http://schemas.openxmlformats.org/officeDocument/2006/relationships/hyperlink" Target="https://www.uradni-list.si/glasilo-uradni-list-rs/vsebina/2011-21-2454" TargetMode="External"/><Relationship Id="rId3" Type="http://schemas.openxmlformats.org/officeDocument/2006/relationships/customXml" Target="../customXml/item3.xml"/><Relationship Id="rId21" Type="http://schemas.openxmlformats.org/officeDocument/2006/relationships/image" Target="media/image3.png"/><Relationship Id="rId34" Type="http://schemas.openxmlformats.org/officeDocument/2006/relationships/hyperlink" Target="http://www.uradni-list.si/1/objava.jsp?urlurid=20132514" TargetMode="External"/><Relationship Id="rId42" Type="http://schemas.openxmlformats.org/officeDocument/2006/relationships/hyperlink" Target="https://www.uradni-list.si/glasilo-uradni-list-rs/vsebina/2012-01-4002" TargetMode="External"/><Relationship Id="rId47" Type="http://schemas.openxmlformats.org/officeDocument/2006/relationships/hyperlink" Target="https://www.uradni-list.si/glasilo-uradni-list-rs/vsebina/2016-01-1074" TargetMode="External"/><Relationship Id="rId50" Type="http://schemas.openxmlformats.org/officeDocument/2006/relationships/hyperlink" Target="https://www.uradni-list.si/glasilo-uradni-list-rs/vsebina/2022-01-2512" TargetMode="Externa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http://www.uradni-list.si/1/objava.jsp?sop=2018-01-3751" TargetMode="External"/><Relationship Id="rId25" Type="http://schemas.openxmlformats.org/officeDocument/2006/relationships/image" Target="media/image7.png"/><Relationship Id="rId33" Type="http://schemas.openxmlformats.org/officeDocument/2006/relationships/hyperlink" Target="http://www.uradni-list.si/1/objava.jsp?urlurid=20122849" TargetMode="External"/><Relationship Id="rId38" Type="http://schemas.openxmlformats.org/officeDocument/2006/relationships/hyperlink" Target="https://www.uradni-list.si/glasilo-uradni-list-rs/vsebina/2011-01-1745" TargetMode="External"/><Relationship Id="rId46" Type="http://schemas.openxmlformats.org/officeDocument/2006/relationships/hyperlink" Target="https://www.uradni-list.si/glasilo-uradni-list-rs/vsebina/2015-01-1065" TargetMode="External"/><Relationship Id="rId2" Type="http://schemas.openxmlformats.org/officeDocument/2006/relationships/customXml" Target="../customXml/item2.xml"/><Relationship Id="rId16" Type="http://schemas.openxmlformats.org/officeDocument/2006/relationships/hyperlink" Target="http://www.uradni-list.si/1/objava.jsp?sop=2017-01-2069" TargetMode="External"/><Relationship Id="rId20" Type="http://schemas.openxmlformats.org/officeDocument/2006/relationships/image" Target="media/image2.png"/><Relationship Id="rId29" Type="http://schemas.openxmlformats.org/officeDocument/2006/relationships/hyperlink" Target="http://www.uradni-list.si/1/objava.jsp?urlurid=20081982" TargetMode="External"/><Relationship Id="rId41" Type="http://schemas.openxmlformats.org/officeDocument/2006/relationships/hyperlink" Target="https://www.uradni-list.si/glasilo-uradni-list-rs/vsebina/2012-01-2013"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png"/><Relationship Id="rId32" Type="http://schemas.openxmlformats.org/officeDocument/2006/relationships/hyperlink" Target="http://www.uradni-list.si/1/objava.jsp?urlurid=20111589" TargetMode="External"/><Relationship Id="rId37" Type="http://schemas.openxmlformats.org/officeDocument/2006/relationships/hyperlink" Target="https://www.uradni-list.si/glasilo-uradni-list-rs/vsebina/2011-01-0319" TargetMode="External"/><Relationship Id="rId40" Type="http://schemas.openxmlformats.org/officeDocument/2006/relationships/hyperlink" Target="https://www.uradni-list.si/glasilo-uradni-list-rs/vsebina/2011-01-2775" TargetMode="External"/><Relationship Id="rId45" Type="http://schemas.openxmlformats.org/officeDocument/2006/relationships/hyperlink" Target="https://www.uradni-list.si/glasilo-uradni-list-rs/vsebina/2013-01-3442" TargetMode="External"/><Relationship Id="rId53"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uradni-list.si/1/objava.jsp?sop=2016-01-3227" TargetMode="External"/><Relationship Id="rId23" Type="http://schemas.openxmlformats.org/officeDocument/2006/relationships/image" Target="media/image5.png"/><Relationship Id="rId28" Type="http://schemas.openxmlformats.org/officeDocument/2006/relationships/hyperlink" Target="http://www.uradni-list.si/1/objava.jsp?urlurid=20074686" TargetMode="External"/><Relationship Id="rId36" Type="http://schemas.openxmlformats.org/officeDocument/2006/relationships/hyperlink" Target="https://www.uradni-list.si/glasilo-uradni-list-rs/vsebina/2010-01-5104" TargetMode="External"/><Relationship Id="rId49" Type="http://schemas.openxmlformats.org/officeDocument/2006/relationships/hyperlink" Target="https://www.uradni-list.si/glasilo-uradni-list-rs/vsebina/2015-01-4129" TargetMode="External"/><Relationship Id="rId10" Type="http://schemas.openxmlformats.org/officeDocument/2006/relationships/footnotes" Target="footnotes.xml"/><Relationship Id="rId19" Type="http://schemas.openxmlformats.org/officeDocument/2006/relationships/hyperlink" Target="http://www.uradni-list.si/1/objava.jsp?sop=2019-01-2011" TargetMode="External"/><Relationship Id="rId31" Type="http://schemas.openxmlformats.org/officeDocument/2006/relationships/hyperlink" Target="http://www.uradni-list.si/1/objava.jsp?urlurid=20104655" TargetMode="External"/><Relationship Id="rId44" Type="http://schemas.openxmlformats.org/officeDocument/2006/relationships/hyperlink" Target="https://www.uradni-list.si/glasilo-uradni-list-rs/vsebina/2013-01-2514" TargetMode="Externa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uradni-list.si/1/objava.jsp?sop=2016-01-1921" TargetMode="External"/><Relationship Id="rId22" Type="http://schemas.openxmlformats.org/officeDocument/2006/relationships/image" Target="media/image4.png"/><Relationship Id="rId27" Type="http://schemas.openxmlformats.org/officeDocument/2006/relationships/hyperlink" Target="https://www.bankingsupervision.europa.eu/banking/srep/2022/html/ssm.srep202202_supervisorymethodology2022.en.html" TargetMode="External"/><Relationship Id="rId30" Type="http://schemas.openxmlformats.org/officeDocument/2006/relationships/hyperlink" Target="http://www.uradni-list.si/1/objava.jsp?urlurid=20094178" TargetMode="External"/><Relationship Id="rId35" Type="http://schemas.openxmlformats.org/officeDocument/2006/relationships/hyperlink" Target="http://www.sodisce.si/vsrs/objave/2020090210114618/" TargetMode="External"/><Relationship Id="rId43" Type="http://schemas.openxmlformats.org/officeDocument/2006/relationships/hyperlink" Target="https://www.uradni-list.si/glasilo-uradni-list-rs/vsebina/2013-01-2143" TargetMode="External"/><Relationship Id="rId48" Type="http://schemas.openxmlformats.org/officeDocument/2006/relationships/hyperlink" Target="https://www.uradni-list.si/glasilo-uradni-list-rs/vsebina/2016-01-1921" TargetMode="External"/><Relationship Id="rId8" Type="http://schemas.openxmlformats.org/officeDocument/2006/relationships/settings" Target="settings.xml"/><Relationship Id="rId51" Type="http://schemas.openxmlformats.org/officeDocument/2006/relationships/hyperlink" Target="https://www.uradni-list.si/glasilo-uradni-list-rs/vsebina/2025-01-2265"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spe:Receivers xmlns:spe="http://schemas.microsoft.com/sharepoint/event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9837510C87F9BB49A60339CC1EE57468" ma:contentTypeVersion="2" ma:contentTypeDescription="Ustvari nov dokument." ma:contentTypeScope="" ma:versionID="1f2941dc32af88baf77d654dace47ec1">
  <xsd:schema xmlns:xsd="http://www.w3.org/2001/XMLSchema" xmlns:xs="http://www.w3.org/2001/XMLSchema" xmlns:p="http://schemas.microsoft.com/office/2006/metadata/properties" xmlns:ns2="151a32cb-68d4-46e2-8990-209d00cbea1a" xmlns:ns3="e1466798-a3b9-493d-be6e-d09f83c412ad" targetNamespace="http://schemas.microsoft.com/office/2006/metadata/properties" ma:root="true" ma:fieldsID="1343691415671c256b509ea3c1390ccb" ns2:_="" ns3:_="">
    <xsd:import namespace="151a32cb-68d4-46e2-8990-209d00cbea1a"/>
    <xsd:import namespace="e1466798-a3b9-493d-be6e-d09f83c412ad"/>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e1466798-a3b9-493d-be6e-d09f83c412ad"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2EBC544-A518-4673-8C82-D8268FFA7D5A}">
  <ds:schemaRefs>
    <ds:schemaRef ds:uri="http://purl.org/dc/terms/"/>
    <ds:schemaRef ds:uri="http://schemas.openxmlformats.org/package/2006/metadata/core-properties"/>
    <ds:schemaRef ds:uri="151a32cb-68d4-46e2-8990-209d00cbea1a"/>
    <ds:schemaRef ds:uri="http://schemas.microsoft.com/office/2006/documentManagement/types"/>
    <ds:schemaRef ds:uri="http://schemas.microsoft.com/office/infopath/2007/PartnerControls"/>
    <ds:schemaRef ds:uri="http://purl.org/dc/elements/1.1/"/>
    <ds:schemaRef ds:uri="http://schemas.microsoft.com/office/2006/metadata/properties"/>
    <ds:schemaRef ds:uri="e1466798-a3b9-493d-be6e-d09f83c412ad"/>
    <ds:schemaRef ds:uri="http://www.w3.org/XML/1998/namespace"/>
    <ds:schemaRef ds:uri="http://purl.org/dc/dcmitype/"/>
  </ds:schemaRefs>
</ds:datastoreItem>
</file>

<file path=customXml/itemProps2.xml><?xml version="1.0" encoding="utf-8"?>
<ds:datastoreItem xmlns:ds="http://schemas.openxmlformats.org/officeDocument/2006/customXml" ds:itemID="{72E4A1B8-4FBE-4EDF-85ED-CBE7833BF397}">
  <ds:schemaRefs>
    <ds:schemaRef ds:uri="http://schemas.microsoft.com/sharepoint/events"/>
  </ds:schemaRefs>
</ds:datastoreItem>
</file>

<file path=customXml/itemProps3.xml><?xml version="1.0" encoding="utf-8"?>
<ds:datastoreItem xmlns:ds="http://schemas.openxmlformats.org/officeDocument/2006/customXml" ds:itemID="{F76BDDE2-2F81-4EAD-BB5A-A1FBCD8089C5}">
  <ds:schemaRefs>
    <ds:schemaRef ds:uri="http://schemas.microsoft.com/sharepoint/v3/contenttype/forms"/>
  </ds:schemaRefs>
</ds:datastoreItem>
</file>

<file path=customXml/itemProps4.xml><?xml version="1.0" encoding="utf-8"?>
<ds:datastoreItem xmlns:ds="http://schemas.openxmlformats.org/officeDocument/2006/customXml" ds:itemID="{0634DF35-D0C4-4C6B-B033-4BEFE01454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e1466798-a3b9-493d-be6e-d09f83c412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EAC0CED-B4A0-4D20-9CAB-A9996B2ADA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367</Pages>
  <Words>207790</Words>
  <Characters>1184406</Characters>
  <Application>Microsoft Office Word</Application>
  <DocSecurity>0</DocSecurity>
  <Lines>9870</Lines>
  <Paragraphs>2778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1389418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Urška Cvelbar</dc:creator>
  <cp:keywords/>
  <dc:description/>
  <cp:lastModifiedBy>Ingrid Hribar</cp:lastModifiedBy>
  <cp:revision>4</cp:revision>
  <cp:lastPrinted>2025-12-11T12:51:00Z</cp:lastPrinted>
  <dcterms:created xsi:type="dcterms:W3CDTF">2025-12-11T12:50:00Z</dcterms:created>
  <dcterms:modified xsi:type="dcterms:W3CDTF">2025-12-11T12:52:00Z</dcterms:modified>
</cp:coreProperties>
</file>