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5D048C">
        <w:rPr>
          <w:rFonts w:cs="Arial"/>
          <w:color w:val="000000"/>
        </w:rPr>
        <w:t>2024-1711-0011</w:t>
      </w:r>
    </w:p>
    <w:p w:rsidR="009C657E" w:rsidRPr="002760DC" w:rsidRDefault="009C657E" w:rsidP="009C657E">
      <w:pPr>
        <w:pStyle w:val="datumtevilka"/>
      </w:pPr>
      <w:r w:rsidRPr="002760DC">
        <w:t xml:space="preserve">Številka: </w:t>
      </w:r>
      <w:r w:rsidRPr="002760DC">
        <w:tab/>
      </w:r>
      <w:r w:rsidR="005D048C">
        <w:rPr>
          <w:rFonts w:cs="Arial"/>
          <w:color w:val="000000"/>
        </w:rPr>
        <w:t>00704-244/2025/18</w:t>
      </w:r>
    </w:p>
    <w:p w:rsidR="009C657E" w:rsidRPr="002760DC" w:rsidRDefault="009C657E" w:rsidP="009C657E">
      <w:pPr>
        <w:pStyle w:val="datumtevilka"/>
      </w:pPr>
      <w:r>
        <w:t>Datum:</w:t>
      </w:r>
      <w:r w:rsidRPr="002760DC">
        <w:tab/>
      </w:r>
      <w:r w:rsidR="005D048C">
        <w:rPr>
          <w:rFonts w:cs="Arial"/>
          <w:color w:val="000000"/>
        </w:rPr>
        <w:t>26. 11. 2025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6C3450" w:rsidRPr="00A162A4" w:rsidRDefault="006C3450" w:rsidP="00A162A4">
      <w:pPr>
        <w:tabs>
          <w:tab w:val="left" w:pos="5570"/>
        </w:tabs>
        <w:autoSpaceDE w:val="0"/>
        <w:autoSpaceDN w:val="0"/>
        <w:adjustRightInd w:val="0"/>
        <w:ind w:left="709" w:hanging="709"/>
        <w:jc w:val="center"/>
        <w:rPr>
          <w:rFonts w:cs="Arial"/>
          <w:b/>
          <w:color w:val="000000"/>
          <w:szCs w:val="20"/>
        </w:rPr>
      </w:pPr>
      <w:r w:rsidRPr="00A162A4">
        <w:rPr>
          <w:rFonts w:cs="Arial"/>
          <w:b/>
          <w:color w:val="000000"/>
          <w:szCs w:val="20"/>
        </w:rPr>
        <w:t>Predlog amandmajev k Predlogu zakona o varstvu javnega reda in miru</w:t>
      </w:r>
    </w:p>
    <w:p w:rsidR="006C3450" w:rsidRDefault="006C3450" w:rsidP="009C657E">
      <w:pPr>
        <w:tabs>
          <w:tab w:val="left" w:pos="5570"/>
        </w:tabs>
        <w:autoSpaceDE w:val="0"/>
        <w:autoSpaceDN w:val="0"/>
        <w:adjustRightInd w:val="0"/>
        <w:rPr>
          <w:rFonts w:cs="Arial"/>
          <w:color w:val="000000"/>
          <w:szCs w:val="20"/>
        </w:rPr>
      </w:pPr>
    </w:p>
    <w:p w:rsidR="006C3450" w:rsidRDefault="006C3450" w:rsidP="009C657E">
      <w:pPr>
        <w:tabs>
          <w:tab w:val="left" w:pos="5570"/>
        </w:tabs>
        <w:autoSpaceDE w:val="0"/>
        <w:autoSpaceDN w:val="0"/>
        <w:adjustRightInd w:val="0"/>
        <w:rPr>
          <w:rFonts w:cs="Arial"/>
          <w:color w:val="000000"/>
          <w:szCs w:val="20"/>
        </w:rPr>
      </w:pPr>
    </w:p>
    <w:p w:rsidR="006C3450" w:rsidRPr="009D49BA" w:rsidRDefault="006C3450" w:rsidP="006C3450">
      <w:pPr>
        <w:ind w:right="-23"/>
        <w:jc w:val="both"/>
        <w:rPr>
          <w:rFonts w:cs="Arial"/>
          <w:bCs/>
          <w:szCs w:val="20"/>
        </w:rPr>
      </w:pPr>
    </w:p>
    <w:p w:rsidR="00A162A4" w:rsidRDefault="00A162A4" w:rsidP="00A162A4">
      <w:pPr>
        <w:jc w:val="both"/>
        <w:rPr>
          <w:rFonts w:cs="Arial"/>
          <w:szCs w:val="20"/>
        </w:rPr>
      </w:pPr>
      <w:r>
        <w:rPr>
          <w:rFonts w:cs="Arial"/>
          <w:b/>
          <w:szCs w:val="20"/>
          <w:u w:val="single"/>
        </w:rPr>
        <w:t>Amandma k 1. členu</w:t>
      </w:r>
      <w:r>
        <w:rPr>
          <w:rFonts w:cs="Arial"/>
          <w:szCs w:val="20"/>
        </w:rPr>
        <w:t>:</w:t>
      </w:r>
    </w:p>
    <w:p w:rsidR="00A162A4" w:rsidRDefault="00A162A4" w:rsidP="00A162A4">
      <w:pPr>
        <w:jc w:val="both"/>
        <w:rPr>
          <w:rFonts w:cs="Arial"/>
          <w:szCs w:val="20"/>
        </w:rPr>
      </w:pPr>
      <w:r>
        <w:rPr>
          <w:rFonts w:cs="Arial"/>
          <w:szCs w:val="20"/>
        </w:rPr>
        <w:t>V 1. členu se drugi odstavek spremeni tako, da se glasi: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»(2) Namen tega zakona je uresničevanje pravice ljudi do varnosti in dostojanstva z varovanjem pred dejanji, ki posegajo v telesno in duševno celovitost posameznika ali posameznice (v nadaljnjem besedilu: posameznik) ali ovirajo izvrševanje pravic in izpolnjevanje dolžnosti ljudi, državnih organov, organov samoupravnih lokalnih skupnosti in nosilcev javnih pooblastil.«.</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1. členu:</w:t>
      </w:r>
    </w:p>
    <w:p w:rsidR="00A162A4" w:rsidRDefault="00A162A4" w:rsidP="00A162A4">
      <w:pPr>
        <w:jc w:val="both"/>
        <w:rPr>
          <w:rFonts w:cs="Arial"/>
          <w:szCs w:val="20"/>
        </w:rPr>
      </w:pPr>
      <w:r>
        <w:rPr>
          <w:rFonts w:cs="Arial"/>
          <w:szCs w:val="20"/>
        </w:rPr>
        <w:t>Amandma sledi mnenju Zakonodajno-pravne službe Državnega zbora Republike Slovenije (v nadaljevanju: ZPS), ki je izpostavila, da Predlog zakona svoj namen veže tudi na varovanje pred dejanji, ki nezakonito posegajo v pristojnosti državnih organov. Takšno besedilo je po mnenju ZPS nepotrebno, saj nobenega od prekrškov, določenih s tem Predlogom zakona, tudi tistih iz 12. in 13. člena, ni mogoče šteti za ravnanje, s katerim bi bilo lahko poseženo v pristojnost državnih organov.</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Amandma tako v skladu z mnenjem ZPS v drugem odstavku 1. člena črta besedilo »ali nezakonito posegajo v pristojnosti državnih organov«.</w:t>
      </w:r>
    </w:p>
    <w:p w:rsidR="00A162A4" w:rsidRDefault="00A162A4" w:rsidP="00A162A4">
      <w:pPr>
        <w:jc w:val="both"/>
        <w:rPr>
          <w:rFonts w:cs="Arial"/>
          <w:szCs w:val="20"/>
        </w:rPr>
      </w:pPr>
    </w:p>
    <w:p w:rsidR="00A162A4" w:rsidRDefault="00A162A4" w:rsidP="00A162A4">
      <w:pPr>
        <w:rPr>
          <w:rFonts w:cs="Arial"/>
          <w:b/>
          <w:szCs w:val="20"/>
          <w:u w:val="single"/>
        </w:rPr>
      </w:pPr>
      <w:r>
        <w:rPr>
          <w:rFonts w:cs="Arial"/>
          <w:b/>
          <w:szCs w:val="20"/>
          <w:u w:val="single"/>
        </w:rPr>
        <w:t>Amandma k 2. členu:</w:t>
      </w:r>
    </w:p>
    <w:p w:rsidR="00A162A4" w:rsidRDefault="00A162A4" w:rsidP="00A162A4">
      <w:pPr>
        <w:jc w:val="both"/>
        <w:rPr>
          <w:rFonts w:cs="Arial"/>
          <w:szCs w:val="20"/>
        </w:rPr>
      </w:pPr>
      <w:r>
        <w:rPr>
          <w:rFonts w:cs="Arial"/>
          <w:szCs w:val="20"/>
        </w:rPr>
        <w:t>V 2. členu se 2. točka spremeni tako, da se glasi: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»2. javni kraj je vsak prostor, ki je brezpogojno ali pod nekaterimi pogoji dostopen vsakomur in ne gre za kibernetski prostor, kot je določen v zakonu, ki ureja informacijsko varnost;«.</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3. točka se spremeni tako, da se glasi: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»3. zasebni prostor je prostor, ki je v zasebni lasti ali posesti in je dostop vanj dovoljen le s soglasjem lastnika, posestnika ali druge upravičene osebe;«.</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5. točka se spremeni tako, da se glasi: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»5. nedostojno vedenje je vedenje posameznika, s katerim povzroči vznemirjenje, razburjenje ali ogrožanje posameznika ali skupine;«.</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7. točka se spremeni tako, da se glasi:</w:t>
      </w:r>
    </w:p>
    <w:p w:rsidR="00A162A4" w:rsidRDefault="00A162A4" w:rsidP="00A162A4">
      <w:pPr>
        <w:jc w:val="both"/>
        <w:rPr>
          <w:rFonts w:cs="Arial"/>
          <w:szCs w:val="20"/>
        </w:rPr>
      </w:pPr>
      <w:r>
        <w:rPr>
          <w:rFonts w:cs="Arial"/>
          <w:szCs w:val="20"/>
        </w:rPr>
        <w:t xml:space="preserve">»7. uradne osebe po tem zakonu so: poslanec državnega zbora, državni svetnik, član organov samoupravne lokalne skupnosti, sodnik ustavnega sodišča, sodnik, sodnik porotnik, državni tožilec, državni odvetnik, policist, vojaški policist, občinski redar ali druga oseba, ki pri državnem organu, organu samoupravne lokalne skupnosti, pri drugi osebi javnega prava ali nosilcu javnih </w:t>
      </w:r>
      <w:r>
        <w:rPr>
          <w:rFonts w:cs="Arial"/>
          <w:szCs w:val="20"/>
        </w:rPr>
        <w:lastRenderedPageBreak/>
        <w:t>pooblastil opravlja posamezna uradna dejanja na podlagi pooblastil, ki jih ji daje zakon ali na podlagi zakona izdani predpisi ali na podlagi posamičnega akta, izdanega na podlagi zakona ali na podlagi zakona sklenjena pogodba o arbitraži, oseba, ki izvaja storitve v okviru mreže javne službe, ki jo zagotavlja država ali občina in je zaposlena pri državnem organu, organu samoupravne lokalne skupnosti, centru za socialno delo, drugem nosilcu javnih pooblastil ali pri izvajalcu javne službe, ki jo zagotavlja država ali občina, oseba, ki ji mednarodna javna organizacija daje položaj uradne osebe in oseba, ki pri mednarodnem sodišču opravlja sodniško, tožilsko ali drugo uradno dolžnost ali nalogo;«.</w:t>
      </w:r>
    </w:p>
    <w:p w:rsidR="00A162A4" w:rsidRDefault="00A162A4" w:rsidP="00A162A4">
      <w:pPr>
        <w:jc w:val="both"/>
        <w:rPr>
          <w:rFonts w:cs="Arial"/>
          <w:szCs w:val="20"/>
        </w:rPr>
      </w:pP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2. členu:</w:t>
      </w:r>
    </w:p>
    <w:p w:rsidR="00A162A4" w:rsidRDefault="00A162A4" w:rsidP="00A162A4">
      <w:pPr>
        <w:jc w:val="both"/>
        <w:rPr>
          <w:rFonts w:cs="Arial"/>
          <w:szCs w:val="20"/>
        </w:rPr>
      </w:pPr>
      <w:r>
        <w:rPr>
          <w:rFonts w:cs="Arial"/>
          <w:szCs w:val="20"/>
        </w:rPr>
        <w:t>Amandma sledi mnenju ZPS, in sicer se v 2. točki pomen pojma »kibernetski prostor« navezuje na zakonsko opredelitev, določeno v zakonu, ki ureja informacijsko varnost. Beseda »nekaterimi«  je nadomeščena z ustreznejšim izrazom »določenimi«.</w:t>
      </w:r>
    </w:p>
    <w:p w:rsidR="00A162A4" w:rsidRDefault="00A162A4" w:rsidP="00A162A4">
      <w:pPr>
        <w:jc w:val="both"/>
        <w:rPr>
          <w:rFonts w:cs="Arial"/>
          <w:szCs w:val="20"/>
        </w:rPr>
      </w:pPr>
      <w:r>
        <w:rPr>
          <w:rFonts w:cs="Arial"/>
          <w:szCs w:val="20"/>
        </w:rPr>
        <w:t xml:space="preserve"> </w:t>
      </w:r>
    </w:p>
    <w:p w:rsidR="00A162A4" w:rsidRDefault="00A162A4" w:rsidP="00A162A4">
      <w:pPr>
        <w:jc w:val="both"/>
        <w:rPr>
          <w:rFonts w:cs="Arial"/>
          <w:szCs w:val="20"/>
        </w:rPr>
      </w:pPr>
      <w:r>
        <w:rPr>
          <w:rFonts w:cs="Arial"/>
          <w:szCs w:val="20"/>
        </w:rPr>
        <w:t xml:space="preserve">Amandma tudi sledi mnenju ZPS, da je v 3. in 5. točki odveč besedilo, ki je oblikovano kot dodatno pojasnilo, kaj označuje posamezen izraz. Besedilo »lastnika, ki označuje lastnika in lastnico« v 3. točki bi bilo morda lahko namenjeno moškemu in ženskemu naslavljanju, vendar ta poslovniška </w:t>
      </w:r>
    </w:p>
    <w:p w:rsidR="00A162A4" w:rsidRDefault="00A162A4" w:rsidP="00A162A4">
      <w:pPr>
        <w:jc w:val="both"/>
        <w:rPr>
          <w:rFonts w:cs="Arial"/>
          <w:szCs w:val="20"/>
        </w:rPr>
      </w:pPr>
      <w:r>
        <w:rPr>
          <w:rFonts w:cs="Arial"/>
          <w:szCs w:val="20"/>
        </w:rPr>
        <w:t xml:space="preserve">zahteva v okviru zakonskega urejanja velja le za označevanje temeljnih subjektov, mednje pa lastnika in lastnice, posestnika in posestnice zanesljivo ni mogoče šteti. Predlagani zapis v zakonsko ureditev vnaša tudi nejasnost, kar je posebej očitno v 5. točki, kjer je besedilo »posameznika, ki označuje posameznika ali skupine« tudi vsebinsko nelogično in neustrezno. </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Amandma tudi sledi mnenju ZPS v 7. točki, kjer je bilo predlagano naslavljanje pri opredelitvi pojma uradnih oseb nepotrebno in je zakonsko besedilo zgolj obremenjevalo.</w:t>
      </w:r>
    </w:p>
    <w:p w:rsidR="00A162A4" w:rsidRDefault="00A162A4" w:rsidP="00A162A4">
      <w:pPr>
        <w:jc w:val="both"/>
        <w:rPr>
          <w:rFonts w:cs="Arial"/>
          <w:b/>
          <w:szCs w:val="20"/>
        </w:rPr>
      </w:pPr>
    </w:p>
    <w:p w:rsidR="00A162A4" w:rsidRDefault="00A162A4" w:rsidP="00A162A4">
      <w:pPr>
        <w:jc w:val="both"/>
        <w:rPr>
          <w:rFonts w:cs="Arial"/>
          <w:szCs w:val="20"/>
        </w:rPr>
      </w:pPr>
      <w:r>
        <w:rPr>
          <w:rFonts w:cs="Arial"/>
          <w:b/>
          <w:szCs w:val="20"/>
          <w:u w:val="single"/>
        </w:rPr>
        <w:t>Amandma k 3. členu</w:t>
      </w:r>
      <w:r>
        <w:rPr>
          <w:rFonts w:cs="Arial"/>
          <w:szCs w:val="20"/>
        </w:rPr>
        <w:t>:</w:t>
      </w:r>
    </w:p>
    <w:p w:rsidR="00A162A4" w:rsidRDefault="00A162A4" w:rsidP="00A162A4">
      <w:pPr>
        <w:rPr>
          <w:rFonts w:cs="Arial"/>
          <w:szCs w:val="20"/>
        </w:rPr>
      </w:pPr>
      <w:r>
        <w:rPr>
          <w:rFonts w:cs="Arial"/>
          <w:szCs w:val="20"/>
        </w:rPr>
        <w:t>3. člen se spremeni tako, da se glasi:</w:t>
      </w:r>
    </w:p>
    <w:p w:rsidR="00A162A4" w:rsidRDefault="00A162A4" w:rsidP="00A162A4">
      <w:pPr>
        <w:rPr>
          <w:rFonts w:cs="Arial"/>
          <w:szCs w:val="20"/>
        </w:rPr>
      </w:pPr>
    </w:p>
    <w:p w:rsidR="00A162A4" w:rsidRDefault="00A162A4" w:rsidP="00A162A4">
      <w:pPr>
        <w:jc w:val="both"/>
        <w:rPr>
          <w:rFonts w:cs="Arial"/>
          <w:szCs w:val="20"/>
        </w:rPr>
      </w:pPr>
      <w:r>
        <w:rPr>
          <w:rFonts w:cs="Arial"/>
          <w:szCs w:val="20"/>
        </w:rPr>
        <w:t>»(1) Vzdrževanje javnega reda in miru je delovanje skupnosti, državnih organov in samoupravnih lokalnih skupnosti, ki s predpisi ter ukrepi državnih in drugih organov zagotavljajo, da se preprečijo ravnanja in nevarnosti, ki ogrožajo varnost ter javni red in mir, kadar to grozi skupnosti ali posamezniku.</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(2) Za vzdrževanje javnega reda in miru v objektu ali na določenem območju skrbi tisti, ki je odgovoren za njegovo zagotavljanje v okviru svojih pristojnosti in v skladu s predpisi.«.</w:t>
      </w:r>
    </w:p>
    <w:p w:rsidR="00A162A4" w:rsidRDefault="00A162A4" w:rsidP="00A162A4">
      <w:pPr>
        <w:rPr>
          <w:rFonts w:cs="Arial"/>
          <w:szCs w:val="20"/>
        </w:rPr>
      </w:pPr>
    </w:p>
    <w:p w:rsidR="00A162A4" w:rsidRDefault="00A162A4" w:rsidP="00A162A4">
      <w:pPr>
        <w:jc w:val="both"/>
        <w:rPr>
          <w:rFonts w:cs="Arial"/>
          <w:szCs w:val="20"/>
          <w:u w:val="single"/>
        </w:rPr>
      </w:pPr>
      <w:r>
        <w:rPr>
          <w:rFonts w:cs="Arial"/>
          <w:szCs w:val="20"/>
          <w:u w:val="single"/>
        </w:rPr>
        <w:t>Obrazložitev amandmaja k 3. členu:</w:t>
      </w:r>
    </w:p>
    <w:p w:rsidR="00A162A4" w:rsidRDefault="00A162A4" w:rsidP="00A162A4">
      <w:pPr>
        <w:jc w:val="both"/>
        <w:rPr>
          <w:rFonts w:cs="Arial"/>
          <w:szCs w:val="20"/>
        </w:rPr>
      </w:pPr>
      <w:r>
        <w:rPr>
          <w:rFonts w:cs="Arial"/>
          <w:szCs w:val="20"/>
        </w:rPr>
        <w:t xml:space="preserve">Amandma sledi mnenju ZPS, ki je izpostavila, da se besedilo prvega odstavka vsebinsko navezuje le na delovanje državnih organov in samoupravnih lokalnih skupnosti, ki so pristojni za izrekanje sankcij za kršitve. Ker pa je stanje javnega reda in miru tudi odraz ravnanja posameznikov (avtonomnega in zapovedanega), bi bilo smiselno upoštevati tudi ta vidik in določbo oblikovati širše. Poleg tega iz pojma »delovanje« državnih organov in samoupravnih lokalnih skupnosti uporabljenega v prvem odstavku, ni jasno razvidno, ali označuje naloge ali pristojnosti teh organov. </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Amandma sledi tudi mnenju ZPS, ki je opozorila, da je v besedilu drugega odstavka pri opredelitvi odgovornosti za zagotavljanje reda v objektu ali na določenem območju neustrezno alternativno napotilo na pristojnosti ali predpise. Pristojnosti se namreč lahko določajo le s predpisi. Hkrati je po mnenju ZPS treba besedilo te določbe jezikovno poenotiti z besedilom prvega odstavka in naslovom člena (vzdrževanje javnega reda in miru).</w:t>
      </w:r>
    </w:p>
    <w:p w:rsidR="00A162A4" w:rsidRDefault="00A162A4" w:rsidP="00A162A4">
      <w:pPr>
        <w:jc w:val="both"/>
        <w:rPr>
          <w:rFonts w:cs="Arial"/>
          <w:szCs w:val="20"/>
        </w:rPr>
      </w:pPr>
    </w:p>
    <w:p w:rsidR="00A162A4" w:rsidRDefault="00A162A4" w:rsidP="00A162A4">
      <w:pPr>
        <w:jc w:val="both"/>
        <w:rPr>
          <w:rFonts w:cs="Arial"/>
          <w:b/>
          <w:szCs w:val="20"/>
          <w:u w:val="single"/>
        </w:rPr>
      </w:pPr>
      <w:r>
        <w:rPr>
          <w:rFonts w:cs="Arial"/>
          <w:b/>
          <w:szCs w:val="20"/>
          <w:u w:val="single"/>
        </w:rPr>
        <w:t>Amandma k 4. členu:</w:t>
      </w:r>
    </w:p>
    <w:p w:rsidR="00A162A4" w:rsidRDefault="00A162A4" w:rsidP="00A162A4">
      <w:pPr>
        <w:jc w:val="both"/>
        <w:rPr>
          <w:rFonts w:cs="Arial"/>
          <w:szCs w:val="20"/>
        </w:rPr>
      </w:pPr>
      <w:r>
        <w:rPr>
          <w:rFonts w:cs="Arial"/>
          <w:szCs w:val="20"/>
        </w:rPr>
        <w:lastRenderedPageBreak/>
        <w:t>V 4. členu se v prvem odstavku za besedilom »ob izražanju solidarnosti« doda beseda »in«.</w:t>
      </w:r>
    </w:p>
    <w:p w:rsidR="00A162A4" w:rsidRDefault="00A162A4" w:rsidP="00A162A4">
      <w:pPr>
        <w:jc w:val="both"/>
        <w:rPr>
          <w:rFonts w:cs="Arial"/>
          <w:b/>
          <w:szCs w:val="20"/>
          <w:u w:val="single"/>
        </w:rPr>
      </w:pPr>
    </w:p>
    <w:p w:rsidR="00A162A4" w:rsidRDefault="00A162A4" w:rsidP="00A162A4">
      <w:pPr>
        <w:rPr>
          <w:rFonts w:cs="Arial"/>
          <w:szCs w:val="20"/>
        </w:rPr>
      </w:pPr>
      <w:r>
        <w:rPr>
          <w:rFonts w:cs="Arial"/>
          <w:szCs w:val="20"/>
        </w:rPr>
        <w:t>V tretjem odstavku se črta besedilo »ali izobesi ali razkazuje tujo zastavo ali simbol tuje države, ki je poškodovan ali drugače neprimeren«.</w:t>
      </w:r>
    </w:p>
    <w:p w:rsidR="00A162A4" w:rsidRDefault="00A162A4" w:rsidP="00A162A4">
      <w:pPr>
        <w:jc w:val="both"/>
        <w:rPr>
          <w:rFonts w:cs="Arial"/>
          <w:szCs w:val="20"/>
          <w:u w:val="single"/>
        </w:rPr>
      </w:pPr>
      <w:r>
        <w:rPr>
          <w:rFonts w:cs="Arial"/>
          <w:szCs w:val="20"/>
          <w:u w:val="single"/>
        </w:rPr>
        <w:t>Obrazložitev amandmaja k 4. členu:</w:t>
      </w:r>
    </w:p>
    <w:p w:rsidR="00A162A4" w:rsidRDefault="00A162A4" w:rsidP="00A162A4">
      <w:pPr>
        <w:jc w:val="both"/>
        <w:rPr>
          <w:rFonts w:cs="Arial"/>
          <w:szCs w:val="20"/>
        </w:rPr>
      </w:pPr>
      <w:r>
        <w:rPr>
          <w:rFonts w:cs="Arial"/>
          <w:szCs w:val="20"/>
        </w:rPr>
        <w:t xml:space="preserve">Amandma sledi pripombam ZPS, da je besedilo »ob izražanju solidarnosti kot dela umetniškega ali političnega izražanja« nejasno, zato je z amandmajem dodan veznik, s čimer je besedilo jasno. </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Amandma sledi tudi pripombam ZPS, ki je v zvezi s tretjim odstavkom zapisala, da je treba ponovno preučiti opredelitev »drugačne neprimernosti« zastave ali simbola ter pojasniti, kako bo potekala presoja, kdaj je ta zakonski znak prekrška izpolnjen. ZPS tudi meni, da so sicer znaki prekrška že zaobseženi v opredelitvi prekrška kot ravnanja v nasprotju s prvim in drugim odstavkom tega člena in vsebinsko podvajanje ni potrebno.</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5. členu:</w:t>
      </w:r>
    </w:p>
    <w:p w:rsidR="00A162A4" w:rsidRDefault="00A162A4" w:rsidP="00A162A4">
      <w:pPr>
        <w:jc w:val="both"/>
        <w:rPr>
          <w:rFonts w:cs="Arial"/>
          <w:szCs w:val="20"/>
        </w:rPr>
      </w:pPr>
      <w:r>
        <w:rPr>
          <w:rFonts w:cs="Arial"/>
          <w:szCs w:val="20"/>
        </w:rPr>
        <w:t>V 5. členu se v prvem odstavku za besedilom »nepridobitne pravne osebe« dodata vejica in besedilo »določene v zakonu, ki ureja nevladne organizacije,«.</w:t>
      </w:r>
    </w:p>
    <w:p w:rsidR="00A162A4" w:rsidRDefault="00A162A4" w:rsidP="00A162A4">
      <w:pPr>
        <w:jc w:val="both"/>
        <w:rPr>
          <w:rFonts w:cs="Arial"/>
          <w:szCs w:val="20"/>
        </w:rPr>
      </w:pPr>
      <w:r>
        <w:rPr>
          <w:rFonts w:cs="Arial"/>
          <w:szCs w:val="20"/>
        </w:rPr>
        <w:t>Četrti odstavek se spremeni tako, da se glasi:</w:t>
      </w:r>
    </w:p>
    <w:p w:rsidR="00A162A4" w:rsidRDefault="00A162A4" w:rsidP="00A162A4">
      <w:pPr>
        <w:jc w:val="both"/>
        <w:rPr>
          <w:rFonts w:cs="Arial"/>
          <w:szCs w:val="20"/>
        </w:rPr>
      </w:pPr>
      <w:r>
        <w:rPr>
          <w:rFonts w:cs="Arial"/>
          <w:szCs w:val="20"/>
        </w:rPr>
        <w:t>»(4) Če so bili prostovoljni prispevki zbrani ali porabljeni v nasprotju s tem zakonom, mora zbiratelj v 30 dneh po pravnomočnosti odločbe o prekršku upravičencu nakazati denarni znesek v protivrednosti zbranih ali porabljenih sredstev. V primeru, da je upravičenec umrl ali ne obstaja več, mora zbiratelj ta denarni znesek v enakem roku nakazati v humanitarne namene, določene v zakonu, ki ureja humanitarne organizacije.«</w:t>
      </w:r>
    </w:p>
    <w:p w:rsidR="00A162A4" w:rsidRDefault="00A162A4" w:rsidP="00A162A4">
      <w:pPr>
        <w:jc w:val="both"/>
        <w:rPr>
          <w:rFonts w:cs="Arial"/>
          <w:szCs w:val="20"/>
        </w:rPr>
      </w:pPr>
      <w:r>
        <w:rPr>
          <w:rFonts w:cs="Arial"/>
          <w:szCs w:val="20"/>
        </w:rPr>
        <w:t>V šestem odstavku se beseda »četrtim« nadomesti z besedo »drugim«.</w:t>
      </w:r>
    </w:p>
    <w:p w:rsidR="00A162A4" w:rsidRDefault="00A162A4" w:rsidP="00A162A4">
      <w:pPr>
        <w:tabs>
          <w:tab w:val="left" w:pos="2055"/>
        </w:tabs>
        <w:jc w:val="both"/>
        <w:rPr>
          <w:rFonts w:cs="Arial"/>
          <w:szCs w:val="20"/>
          <w:u w:val="single"/>
        </w:rPr>
      </w:pPr>
      <w:r>
        <w:rPr>
          <w:rFonts w:cs="Arial"/>
          <w:szCs w:val="20"/>
          <w:u w:val="single"/>
        </w:rPr>
        <w:t>Obrazložitev amandmaja k 5. členu:</w:t>
      </w:r>
    </w:p>
    <w:p w:rsidR="00A162A4" w:rsidRDefault="00A162A4" w:rsidP="00A162A4">
      <w:pPr>
        <w:tabs>
          <w:tab w:val="left" w:pos="2055"/>
        </w:tabs>
        <w:jc w:val="both"/>
        <w:rPr>
          <w:rFonts w:cs="Arial"/>
          <w:szCs w:val="20"/>
        </w:rPr>
      </w:pPr>
    </w:p>
    <w:p w:rsidR="00A162A4" w:rsidRDefault="00A162A4" w:rsidP="00A162A4">
      <w:pPr>
        <w:jc w:val="both"/>
        <w:rPr>
          <w:rFonts w:cs="Arial"/>
          <w:szCs w:val="20"/>
        </w:rPr>
      </w:pPr>
      <w:r>
        <w:rPr>
          <w:rFonts w:cs="Arial"/>
          <w:szCs w:val="20"/>
        </w:rPr>
        <w:t xml:space="preserve">Amandma sledi mnenju ZPS, da je treba natančneje definirati pojem »nepridobitne pravne osebe«. Nepridobitnost namreč označuje lastnost in ne pravnega statusa pravne osebe. Določbo prvega odstavka bi zato kazalo dopolniti vsaj z navezavo na zakon, ki ureja nevladne organizacije.  </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 xml:space="preserve">Amandma sledi tudi mnenju ZPS, in sicer kadar so bili prostovoljni prispevki porabljeni v nasprotju s tem zakonom (ustrezneje: v nasprotju z namenom, določenem v dovoljenju iz prejšnjega odstavka ali brez takšnega dovoljenja), jih ni mogoče nakazati upravičencu, zbiratelju je mogoče naložiti le obveznost, da nakaže denarni znesek v njihovi protivrednosti. Če je upravičenec umrl ali več ne obstaja, pa bo lahko določba učinkovala le v delu, ki zbiratelju nalaga nakazilo v humanitarne namene, zato je treba besedilo četrtega odstavka tudi v tem pogledu ustrezneje oblikovati.  </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Amandma sledi tudi mnenju ZPS, da je v šestem odstavku treba preveriti pravilnost sklica na četrti odstavek, saj ne ureja zbiranja prispevkov, temveč obveznost zbiratelja v primeru, ko so bili prispevki zbrani ali porabljeni v nasprotju s tem zakonom.</w:t>
      </w:r>
    </w:p>
    <w:p w:rsidR="00A162A4" w:rsidRDefault="00A162A4" w:rsidP="00A162A4">
      <w:pPr>
        <w:jc w:val="both"/>
        <w:rPr>
          <w:rFonts w:cs="Arial"/>
          <w:szCs w:val="20"/>
        </w:rPr>
      </w:pPr>
    </w:p>
    <w:p w:rsidR="00A162A4" w:rsidRDefault="00A162A4" w:rsidP="00A162A4">
      <w:pPr>
        <w:jc w:val="both"/>
        <w:rPr>
          <w:rFonts w:cs="Arial"/>
          <w:b/>
          <w:szCs w:val="20"/>
          <w:u w:val="single"/>
        </w:rPr>
      </w:pPr>
      <w:r>
        <w:rPr>
          <w:rFonts w:cs="Arial"/>
          <w:b/>
          <w:szCs w:val="20"/>
          <w:u w:val="single"/>
        </w:rPr>
        <w:t>Amandma k 7. členu:</w:t>
      </w:r>
    </w:p>
    <w:p w:rsidR="00A162A4" w:rsidRDefault="00A162A4" w:rsidP="00A162A4">
      <w:pPr>
        <w:jc w:val="both"/>
        <w:rPr>
          <w:rFonts w:cs="Arial"/>
          <w:szCs w:val="20"/>
        </w:rPr>
      </w:pPr>
      <w:r>
        <w:rPr>
          <w:rFonts w:cs="Arial"/>
          <w:szCs w:val="20"/>
        </w:rPr>
        <w:t>V 7. členu se v prvem, drugem in tretjem odstavku besedilo »ali v zvezi s športno prireditvijo« nadomesti z besedilom », kot jo določa zakon, ki ureja šport, na območju športnega objekta ali na območju, ki je s športno prireditvijo povezan,«.</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7. členu:</w:t>
      </w:r>
    </w:p>
    <w:p w:rsidR="00A162A4" w:rsidRDefault="00A162A4" w:rsidP="00A162A4">
      <w:pPr>
        <w:jc w:val="both"/>
        <w:rPr>
          <w:rFonts w:cs="Arial"/>
          <w:szCs w:val="20"/>
        </w:rPr>
      </w:pPr>
      <w:r>
        <w:rPr>
          <w:rFonts w:cs="Arial"/>
          <w:szCs w:val="20"/>
        </w:rPr>
        <w:t>Amandma sledi mnenju ZPS, da je besedna zveza »v zvezi s športno prireditvijo« pomensko široka in splošna, zato ni povsem jasno, na kakšna ravnanja se prekršek nanaša, s tem pa je njegova opredelitev nejasna tudi v razmerju do prekrška iz 6. člena Predloga zakona. Zato je besedilo (primerljivo z ureditvijo 62. člena Zakona o nalogah in pooblastilih policije) dopolnjeno z navezavo na opredelitev v zakonu, ki ureja šport.</w:t>
      </w:r>
    </w:p>
    <w:p w:rsidR="00A162A4" w:rsidRDefault="00A162A4" w:rsidP="00A162A4">
      <w:pPr>
        <w:jc w:val="both"/>
        <w:rPr>
          <w:rFonts w:cs="Arial"/>
          <w:szCs w:val="20"/>
        </w:rPr>
      </w:pPr>
    </w:p>
    <w:p w:rsidR="00A162A4" w:rsidRDefault="00A162A4" w:rsidP="00A162A4">
      <w:pPr>
        <w:jc w:val="both"/>
        <w:rPr>
          <w:rFonts w:cs="Arial"/>
          <w:szCs w:val="20"/>
        </w:rPr>
      </w:pPr>
    </w:p>
    <w:p w:rsidR="00A162A4" w:rsidRDefault="00A162A4" w:rsidP="00A162A4">
      <w:pPr>
        <w:jc w:val="both"/>
        <w:rPr>
          <w:rFonts w:cs="Arial"/>
          <w:szCs w:val="20"/>
        </w:rPr>
      </w:pP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9. členu:</w:t>
      </w:r>
    </w:p>
    <w:p w:rsidR="00A162A4" w:rsidRDefault="00A162A4" w:rsidP="00A162A4">
      <w:pPr>
        <w:jc w:val="both"/>
        <w:rPr>
          <w:rFonts w:cs="Arial"/>
          <w:szCs w:val="20"/>
        </w:rPr>
      </w:pPr>
      <w:r>
        <w:rPr>
          <w:rFonts w:cs="Arial"/>
          <w:szCs w:val="20"/>
        </w:rPr>
        <w:t>V 9. členu se v prvem odstavku črta besedilo »na način, opisan v 5. točki 2. člena tega zakona«.</w:t>
      </w:r>
    </w:p>
    <w:p w:rsidR="00A162A4" w:rsidRDefault="00A162A4" w:rsidP="00A162A4">
      <w:pPr>
        <w:jc w:val="both"/>
        <w:rPr>
          <w:rFonts w:cs="Arial"/>
          <w:szCs w:val="20"/>
          <w:u w:val="single"/>
        </w:rPr>
      </w:pPr>
      <w:r>
        <w:rPr>
          <w:rFonts w:cs="Arial"/>
          <w:szCs w:val="20"/>
          <w:u w:val="single"/>
        </w:rPr>
        <w:t>Obrazložitev k 9. členu</w:t>
      </w:r>
    </w:p>
    <w:p w:rsidR="00A162A4" w:rsidRDefault="00A162A4" w:rsidP="00A162A4">
      <w:pPr>
        <w:jc w:val="both"/>
        <w:rPr>
          <w:rFonts w:cs="Arial"/>
          <w:szCs w:val="20"/>
        </w:rPr>
      </w:pPr>
      <w:r>
        <w:rPr>
          <w:rFonts w:cs="Arial"/>
          <w:szCs w:val="20"/>
        </w:rPr>
        <w:t>Z amandmajem se upošteva opozorilo ZPS, da je vsebina pojma »nedostojno vedenje« opredeljena v 2. členu Predloga zakona, zato je prvem odstavku besedilo »na način, opisan v 5. točki 2. člena tega zakona« odveč.</w:t>
      </w:r>
    </w:p>
    <w:p w:rsidR="00A162A4" w:rsidRDefault="00A162A4" w:rsidP="00A162A4">
      <w:pPr>
        <w:jc w:val="both"/>
        <w:rPr>
          <w:rFonts w:cs="Arial"/>
          <w:b/>
          <w:bCs/>
          <w:szCs w:val="20"/>
          <w:u w:val="single"/>
        </w:rPr>
      </w:pPr>
      <w:r>
        <w:rPr>
          <w:rFonts w:cs="Arial"/>
          <w:b/>
          <w:bCs/>
          <w:szCs w:val="20"/>
          <w:u w:val="single"/>
        </w:rPr>
        <w:t>Amandma k 10. členu</w:t>
      </w:r>
    </w:p>
    <w:p w:rsidR="00A162A4" w:rsidRDefault="00A162A4" w:rsidP="00A162A4">
      <w:pPr>
        <w:rPr>
          <w:rFonts w:cs="Arial"/>
          <w:szCs w:val="20"/>
        </w:rPr>
      </w:pPr>
      <w:r>
        <w:rPr>
          <w:rFonts w:cs="Arial"/>
          <w:szCs w:val="20"/>
        </w:rPr>
        <w:t xml:space="preserve">V 10. členu se prvi odstavek spremeni tako, da se glasi: </w:t>
      </w:r>
    </w:p>
    <w:p w:rsidR="00A162A4" w:rsidRDefault="00A162A4" w:rsidP="00A162A4">
      <w:pPr>
        <w:jc w:val="both"/>
        <w:rPr>
          <w:rFonts w:cs="Arial"/>
          <w:szCs w:val="20"/>
        </w:rPr>
      </w:pPr>
      <w:r>
        <w:rPr>
          <w:rFonts w:cs="Arial"/>
          <w:szCs w:val="20"/>
        </w:rPr>
        <w:t xml:space="preserve">»(1) Kdor z uporabo televizijskega ali radijskega sprejemnika, drugega akustičnega aparata ali akustične naprave ali glasbila, zaradi njihove prekomerne glasnosti, pogostosti ali trajanja, moti mir ali počitek ljudi, se kaznuje z globo od 150 do 300 eurov.«. </w:t>
      </w:r>
    </w:p>
    <w:p w:rsidR="00A162A4" w:rsidRDefault="00A162A4" w:rsidP="00A162A4">
      <w:pPr>
        <w:ind w:left="5"/>
        <w:jc w:val="both"/>
        <w:rPr>
          <w:rFonts w:cs="Arial"/>
          <w:szCs w:val="20"/>
          <w:u w:val="single"/>
        </w:rPr>
      </w:pPr>
      <w:r>
        <w:rPr>
          <w:rFonts w:cs="Arial"/>
          <w:szCs w:val="20"/>
          <w:u w:val="single"/>
        </w:rPr>
        <w:t xml:space="preserve">Obrazložitev amandmaja k 10. členu: </w:t>
      </w:r>
    </w:p>
    <w:p w:rsidR="00A162A4" w:rsidRDefault="00A162A4" w:rsidP="00A162A4">
      <w:pPr>
        <w:jc w:val="both"/>
        <w:rPr>
          <w:rFonts w:cs="Arial"/>
          <w:szCs w:val="20"/>
        </w:rPr>
      </w:pPr>
      <w:r>
        <w:rPr>
          <w:rFonts w:cs="Arial"/>
          <w:szCs w:val="20"/>
        </w:rPr>
        <w:t xml:space="preserve">Amandma sledi mnenju ZPS v zvezi s prvim odstavkom, ki kot prekršek določa uporabo televizijskega ali radijskega sprejemnika, drugega akustičnega aparata ali glasbila. Odstavek je dopolnjen s kriteriji, ki bodo omogočili jasno presojo, kdaj naj bi takšno ravnanje pomenilo motenje miru ali počitka, ki ga je treba sankcionirati kot prekršek. Ti kriteriji nanašajo na glasnost, pogostost in trajanje hrupa. Posledično je odvečno tudi besedilo »in to ni posledica dovoljene dejavnosti«. </w:t>
      </w:r>
    </w:p>
    <w:p w:rsidR="00A162A4" w:rsidRDefault="00A162A4" w:rsidP="00A162A4">
      <w:pPr>
        <w:jc w:val="both"/>
        <w:rPr>
          <w:rFonts w:cs="Arial"/>
          <w:szCs w:val="20"/>
        </w:rPr>
      </w:pPr>
      <w:r>
        <w:rPr>
          <w:rFonts w:cs="Arial"/>
          <w:szCs w:val="20"/>
        </w:rPr>
        <w:t>Amandma sledi opozorilu ZPS, da predlagana opredelitev prekrškov iz prvega in drugega odstavka ne ločuje med storitvijo prekrška na javnem ali zasebnem kraju. Če naj bi bili za nadzor prekrška po tem členu pristojni tudi občinski redarji (kar določa tretji odstavek 28. člena Predloga zakona) ZPS opozarja, da za nadzor kršitev v zasebnih prostorih nimajo pooblastil. Amandma v 28 .členu tako sledi mnenju ZPS.</w:t>
      </w:r>
    </w:p>
    <w:p w:rsidR="00A162A4" w:rsidRDefault="00A162A4" w:rsidP="00A162A4">
      <w:pPr>
        <w:rPr>
          <w:rFonts w:cs="Arial"/>
          <w:b/>
          <w:szCs w:val="20"/>
          <w:u w:val="single"/>
        </w:rPr>
      </w:pPr>
      <w:r>
        <w:rPr>
          <w:rFonts w:cs="Arial"/>
          <w:b/>
          <w:szCs w:val="20"/>
          <w:u w:val="single"/>
        </w:rPr>
        <w:t>Amandma k 11. členu</w:t>
      </w:r>
    </w:p>
    <w:p w:rsidR="00A162A4" w:rsidRDefault="00A162A4" w:rsidP="00A162A4">
      <w:pPr>
        <w:jc w:val="both"/>
        <w:rPr>
          <w:rFonts w:cs="Arial"/>
          <w:szCs w:val="20"/>
        </w:rPr>
      </w:pPr>
      <w:r>
        <w:rPr>
          <w:rFonts w:cs="Arial"/>
          <w:szCs w:val="20"/>
        </w:rPr>
        <w:t>V 11. členu se v četrtem odstavku besedilo », navedene v teh odstavkih« nadomesti z besedilom »iz prvega, drugega ali tretjega odstavka tega člena«.</w:t>
      </w:r>
    </w:p>
    <w:p w:rsidR="00A162A4" w:rsidRDefault="00A162A4" w:rsidP="00A162A4">
      <w:pPr>
        <w:rPr>
          <w:rFonts w:cs="Arial"/>
          <w:szCs w:val="20"/>
          <w:u w:val="single"/>
        </w:rPr>
      </w:pPr>
      <w:r>
        <w:rPr>
          <w:rFonts w:cs="Arial"/>
          <w:szCs w:val="20"/>
          <w:u w:val="single"/>
        </w:rPr>
        <w:t>Obrazložitev amandmaja k 11. členu</w:t>
      </w:r>
    </w:p>
    <w:p w:rsidR="00A162A4" w:rsidRDefault="00A162A4" w:rsidP="00A162A4">
      <w:pPr>
        <w:jc w:val="both"/>
        <w:rPr>
          <w:rFonts w:cs="Arial"/>
          <w:szCs w:val="20"/>
          <w:lang w:val="x-none"/>
        </w:rPr>
      </w:pPr>
      <w:r>
        <w:rPr>
          <w:rFonts w:cs="Arial"/>
          <w:szCs w:val="20"/>
          <w:lang w:val="x-none"/>
        </w:rPr>
        <w:t>Amandma sledi mnenju ZPS, da je potrebno v četrtem odstavku namen izvajanja prekrškov v okviru hudodelske združbe ali skupine opredeliti natančneje.</w:t>
      </w:r>
    </w:p>
    <w:p w:rsidR="00A162A4" w:rsidRDefault="00A162A4" w:rsidP="00A162A4">
      <w:pPr>
        <w:jc w:val="both"/>
        <w:rPr>
          <w:rFonts w:cs="Arial"/>
          <w:b/>
          <w:szCs w:val="20"/>
          <w:u w:val="single"/>
          <w:lang w:val="x-none"/>
        </w:rPr>
      </w:pPr>
    </w:p>
    <w:p w:rsidR="00A162A4" w:rsidRDefault="00A162A4" w:rsidP="00A162A4">
      <w:pPr>
        <w:jc w:val="both"/>
        <w:rPr>
          <w:rFonts w:cs="Arial"/>
          <w:b/>
          <w:szCs w:val="20"/>
          <w:u w:val="single"/>
          <w:lang w:val="x-none"/>
        </w:rPr>
      </w:pPr>
      <w:r>
        <w:rPr>
          <w:rFonts w:cs="Arial"/>
          <w:b/>
          <w:szCs w:val="20"/>
          <w:u w:val="single"/>
          <w:lang w:val="x-none"/>
        </w:rPr>
        <w:t>Amandma k 12. členu:</w:t>
      </w:r>
    </w:p>
    <w:p w:rsidR="00A162A4" w:rsidRDefault="00A162A4" w:rsidP="00A162A4">
      <w:pPr>
        <w:jc w:val="both"/>
        <w:rPr>
          <w:rFonts w:eastAsia="Calibri" w:cs="Arial"/>
          <w:szCs w:val="20"/>
        </w:rPr>
      </w:pPr>
      <w:r>
        <w:rPr>
          <w:rFonts w:cs="Arial"/>
          <w:szCs w:val="20"/>
        </w:rPr>
        <w:t>V 12. členu se v tretjem odstavku za besedilom »na javnem kraju« črta besedilo »nosi,«.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Sedmi odstavek se črta.</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Dosedanji osmi odstavek postane sedmi odstavek.</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12. členu:</w:t>
      </w:r>
    </w:p>
    <w:p w:rsidR="00A162A4" w:rsidRDefault="00A162A4" w:rsidP="00A162A4">
      <w:pPr>
        <w:jc w:val="both"/>
        <w:rPr>
          <w:rFonts w:cs="Arial"/>
          <w:szCs w:val="20"/>
        </w:rPr>
      </w:pPr>
      <w:r>
        <w:rPr>
          <w:rFonts w:cs="Arial"/>
          <w:szCs w:val="20"/>
        </w:rPr>
        <w:t xml:space="preserve">Amandma sledi mnenju ZPS, da je v okviru določbe tretjega odstavka treba ponovno preveriti rešitev, po kateri naj bi bil prekršek storjen tudi v primerih, ko bi oseba predmete, naštete v predlaganem besedilu, zgolj nosila. Takšno ravnanje samo po sebi, kadar niso podane okoliščine, ki bi kazale na tveganje, da bo ogrožen javni red in mir, ne dosega stopnje nevarnosti, zaradi katere bi ga bilo utemeljeno določati kot prekršek in ga sankcionirati. </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 xml:space="preserve">Amandma sledi tudi mnenju ZPS, da je v sedmem odstavku določeno, da je prekršek iz prejšnjih odstavkov storjen tudi, če prijavitelj v postopku izjavi, da ne želi sodelovati kot priča ali oškodovanec. Čeprav je pripravljenost oškodovanca ali priče sodelovati v postopku pomembna za razjasnitev dejstev ter dokazovanje, pa s to okoliščino po mnenju ZPS odločitve pristojnega </w:t>
      </w:r>
      <w:r>
        <w:rPr>
          <w:rFonts w:cs="Arial"/>
          <w:szCs w:val="20"/>
        </w:rPr>
        <w:lastRenderedPageBreak/>
        <w:t>organa, ali je bil prekršek storjen, ni mogoče utemeljevati. Iz tega razloga se je sedmi odstavek črtal.</w:t>
      </w:r>
    </w:p>
    <w:p w:rsidR="00A162A4" w:rsidRDefault="00A162A4" w:rsidP="00A162A4">
      <w:pPr>
        <w:jc w:val="both"/>
        <w:rPr>
          <w:rFonts w:cs="Arial"/>
          <w:szCs w:val="20"/>
        </w:rPr>
      </w:pPr>
    </w:p>
    <w:p w:rsidR="00A162A4" w:rsidRDefault="00A162A4" w:rsidP="00A162A4">
      <w:pPr>
        <w:jc w:val="both"/>
        <w:rPr>
          <w:rFonts w:cs="Arial"/>
          <w:b/>
          <w:szCs w:val="20"/>
          <w:u w:val="single"/>
        </w:rPr>
      </w:pPr>
      <w:r>
        <w:rPr>
          <w:rFonts w:cs="Arial"/>
          <w:b/>
          <w:szCs w:val="20"/>
          <w:u w:val="single"/>
        </w:rPr>
        <w:t>Amandma k 15. členu:</w:t>
      </w:r>
    </w:p>
    <w:p w:rsidR="00A162A4" w:rsidRDefault="00A162A4" w:rsidP="00A162A4">
      <w:pPr>
        <w:jc w:val="both"/>
        <w:rPr>
          <w:rFonts w:cs="Arial"/>
          <w:b/>
          <w:szCs w:val="20"/>
          <w:u w:val="single"/>
        </w:rPr>
      </w:pPr>
    </w:p>
    <w:p w:rsidR="00A162A4" w:rsidRDefault="00A162A4" w:rsidP="00A162A4">
      <w:pPr>
        <w:jc w:val="both"/>
        <w:rPr>
          <w:rFonts w:cs="Arial"/>
          <w:bCs/>
          <w:szCs w:val="20"/>
        </w:rPr>
      </w:pPr>
      <w:r>
        <w:rPr>
          <w:rFonts w:cs="Arial"/>
          <w:bCs/>
          <w:szCs w:val="20"/>
        </w:rPr>
        <w:t>15. člen se spremeni tako, da se glasi:</w:t>
      </w:r>
    </w:p>
    <w:p w:rsidR="00A162A4" w:rsidRDefault="00A162A4" w:rsidP="00A162A4">
      <w:pPr>
        <w:jc w:val="both"/>
        <w:rPr>
          <w:rFonts w:cs="Arial"/>
          <w:b/>
          <w:szCs w:val="20"/>
          <w:u w:val="single"/>
        </w:rPr>
      </w:pPr>
    </w:p>
    <w:p w:rsidR="00A162A4" w:rsidRDefault="00A162A4" w:rsidP="00A162A4">
      <w:pPr>
        <w:jc w:val="center"/>
        <w:rPr>
          <w:rFonts w:cs="Arial"/>
          <w:b/>
          <w:bCs/>
          <w:szCs w:val="20"/>
        </w:rPr>
      </w:pPr>
      <w:r>
        <w:rPr>
          <w:rFonts w:cs="Arial"/>
          <w:szCs w:val="20"/>
        </w:rPr>
        <w:t>»</w:t>
      </w:r>
      <w:r>
        <w:rPr>
          <w:rFonts w:cs="Arial"/>
          <w:b/>
          <w:bCs/>
          <w:szCs w:val="20"/>
        </w:rPr>
        <w:t xml:space="preserve">15. člen </w:t>
      </w:r>
    </w:p>
    <w:p w:rsidR="00A162A4" w:rsidRDefault="00A162A4" w:rsidP="00A162A4">
      <w:pPr>
        <w:jc w:val="center"/>
        <w:rPr>
          <w:rFonts w:cs="Arial"/>
          <w:b/>
          <w:bCs/>
          <w:szCs w:val="20"/>
        </w:rPr>
      </w:pPr>
      <w:r>
        <w:rPr>
          <w:rFonts w:cs="Arial"/>
          <w:b/>
          <w:bCs/>
          <w:szCs w:val="20"/>
        </w:rPr>
        <w:t>(pisanje in risanje po objektih ali drugih javno dostopnih krajih)</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Kdor piše ali riše po zidovih, ograjah ali drugih javno dostopnih krajih in s tem povzroči trajnejše posledice, razen na krajih, kjer je to dovoljeno, se kaznuje z globo od 400 do 600 eurov.«.</w:t>
      </w:r>
    </w:p>
    <w:p w:rsidR="00A162A4" w:rsidRDefault="00A162A4" w:rsidP="00A162A4">
      <w:pPr>
        <w:jc w:val="both"/>
        <w:rPr>
          <w:rFonts w:cs="Arial"/>
          <w:color w:val="000000" w:themeColor="text1"/>
          <w:szCs w:val="20"/>
        </w:rPr>
      </w:pPr>
    </w:p>
    <w:p w:rsidR="00A162A4" w:rsidRDefault="00A162A4" w:rsidP="00A162A4">
      <w:pPr>
        <w:jc w:val="both"/>
        <w:rPr>
          <w:rFonts w:cs="Arial"/>
          <w:color w:val="000000" w:themeColor="text1"/>
          <w:szCs w:val="20"/>
          <w:u w:val="single"/>
        </w:rPr>
      </w:pPr>
      <w:r>
        <w:rPr>
          <w:rFonts w:cs="Arial"/>
          <w:color w:val="000000" w:themeColor="text1"/>
          <w:szCs w:val="20"/>
          <w:u w:val="single"/>
        </w:rPr>
        <w:t>Obrazložitev amandmaja k 15. členu:</w:t>
      </w:r>
    </w:p>
    <w:p w:rsidR="00A162A4" w:rsidRDefault="00A162A4" w:rsidP="00A162A4">
      <w:pPr>
        <w:jc w:val="both"/>
        <w:rPr>
          <w:rFonts w:cs="Arial"/>
          <w:szCs w:val="20"/>
        </w:rPr>
      </w:pPr>
      <w:r>
        <w:rPr>
          <w:rFonts w:cs="Arial"/>
          <w:color w:val="000000" w:themeColor="text1"/>
          <w:szCs w:val="20"/>
        </w:rPr>
        <w:t xml:space="preserve">Amandma upošteva mnenje ZPS, da je v naslovu člena kot prekršek opredeljeno pisanje po objektih, medtem ko je besedilo določbe širše, kar je treba uskladiti. Poleg tega se s spremembo besedila člena znaki prekrška določajo tako, da bodo zajeta le ravnanja s trajnejšimi posledicami. Iz sankcioniranja bodo izvzeta ravnanja, katerih posledice je mogoče odstraniti hitro, preprosto in brez občutnih stroškov. </w:t>
      </w:r>
    </w:p>
    <w:p w:rsidR="00A162A4" w:rsidRDefault="00A162A4" w:rsidP="00A162A4">
      <w:pPr>
        <w:jc w:val="both"/>
        <w:rPr>
          <w:rFonts w:cs="Arial"/>
          <w:szCs w:val="20"/>
        </w:rPr>
      </w:pPr>
    </w:p>
    <w:p w:rsidR="00A162A4" w:rsidRDefault="00A162A4" w:rsidP="00A162A4">
      <w:pPr>
        <w:rPr>
          <w:rFonts w:cs="Arial"/>
          <w:szCs w:val="20"/>
          <w:u w:val="single"/>
        </w:rPr>
      </w:pPr>
      <w:r>
        <w:rPr>
          <w:rFonts w:cs="Arial"/>
          <w:b/>
          <w:bCs/>
          <w:szCs w:val="20"/>
          <w:u w:val="single"/>
        </w:rPr>
        <w:t>Amandma k 16. členu:</w:t>
      </w:r>
    </w:p>
    <w:p w:rsidR="00A162A4" w:rsidRDefault="00A162A4" w:rsidP="00A162A4">
      <w:pPr>
        <w:rPr>
          <w:rFonts w:cs="Arial"/>
          <w:szCs w:val="20"/>
        </w:rPr>
      </w:pPr>
      <w:r>
        <w:rPr>
          <w:rFonts w:cs="Arial"/>
          <w:szCs w:val="20"/>
        </w:rPr>
        <w:t>16. člen se spremeni tako, da se glasi:</w:t>
      </w:r>
    </w:p>
    <w:p w:rsidR="00A162A4" w:rsidRDefault="00A162A4" w:rsidP="00A162A4">
      <w:pPr>
        <w:rPr>
          <w:rFonts w:cs="Arial"/>
          <w:szCs w:val="20"/>
        </w:rPr>
      </w:pPr>
    </w:p>
    <w:p w:rsidR="00A162A4" w:rsidRDefault="00A162A4" w:rsidP="00A162A4">
      <w:pPr>
        <w:jc w:val="center"/>
        <w:rPr>
          <w:rFonts w:cs="Arial"/>
          <w:b/>
          <w:bCs/>
          <w:szCs w:val="20"/>
        </w:rPr>
      </w:pPr>
      <w:r>
        <w:rPr>
          <w:rFonts w:cs="Arial"/>
          <w:szCs w:val="20"/>
        </w:rPr>
        <w:t>»</w:t>
      </w:r>
      <w:r>
        <w:rPr>
          <w:rFonts w:cs="Arial"/>
          <w:b/>
          <w:bCs/>
          <w:szCs w:val="20"/>
        </w:rPr>
        <w:t>16. člen</w:t>
      </w:r>
    </w:p>
    <w:p w:rsidR="00A162A4" w:rsidRDefault="00A162A4" w:rsidP="00A162A4">
      <w:pPr>
        <w:jc w:val="center"/>
        <w:rPr>
          <w:rFonts w:cs="Arial"/>
          <w:b/>
          <w:bCs/>
          <w:szCs w:val="20"/>
        </w:rPr>
      </w:pPr>
      <w:r>
        <w:rPr>
          <w:rFonts w:cs="Arial"/>
          <w:b/>
          <w:bCs/>
          <w:szCs w:val="20"/>
        </w:rPr>
        <w:t>(uničevanje državnih simbolov)</w:t>
      </w:r>
    </w:p>
    <w:p w:rsidR="00A162A4" w:rsidRDefault="00A162A4" w:rsidP="00A162A4">
      <w:pPr>
        <w:jc w:val="both"/>
        <w:rPr>
          <w:rFonts w:cs="Arial"/>
          <w:szCs w:val="20"/>
        </w:rPr>
      </w:pPr>
      <w:r>
        <w:rPr>
          <w:rFonts w:cs="Arial"/>
          <w:szCs w:val="20"/>
        </w:rPr>
        <w:t>(1) Kdor na javnem kraju namenoma nespoštljivo ravna, zažge ali kako drugače poškoduje ali uniči zastavo ali grb Republike Slovenije, zastavo Evropske unije ali zastavo tuje države, se kaznuje z globo od 1.000 do 2.000 eurov.</w:t>
      </w:r>
    </w:p>
    <w:p w:rsidR="00A162A4" w:rsidRDefault="00A162A4" w:rsidP="00A162A4">
      <w:pPr>
        <w:jc w:val="both"/>
        <w:rPr>
          <w:rFonts w:cs="Arial"/>
          <w:szCs w:val="20"/>
        </w:rPr>
      </w:pPr>
      <w:r>
        <w:rPr>
          <w:rFonts w:cs="Arial"/>
          <w:szCs w:val="20"/>
        </w:rPr>
        <w:t>(2) Dejanja iz prejšnjega odstavka so dovoljena če so sestavni del umetniškega izražanja za potrebe filma, televizije in gledaliških predstav.«.</w:t>
      </w:r>
    </w:p>
    <w:p w:rsidR="00A162A4" w:rsidRDefault="00A162A4" w:rsidP="00A162A4">
      <w:pPr>
        <w:rPr>
          <w:rFonts w:cs="Arial"/>
          <w:szCs w:val="20"/>
        </w:rPr>
      </w:pPr>
    </w:p>
    <w:p w:rsidR="00A162A4" w:rsidRDefault="00A162A4" w:rsidP="00A162A4">
      <w:pPr>
        <w:rPr>
          <w:rFonts w:cs="Arial"/>
          <w:szCs w:val="20"/>
          <w:u w:val="single"/>
        </w:rPr>
      </w:pPr>
      <w:r>
        <w:rPr>
          <w:rFonts w:cs="Arial"/>
          <w:szCs w:val="20"/>
          <w:u w:val="single"/>
        </w:rPr>
        <w:t>Obrazložitev amandmaja k 16. členu:</w:t>
      </w:r>
    </w:p>
    <w:p w:rsidR="00A162A4" w:rsidRDefault="00A162A4" w:rsidP="00A162A4">
      <w:pPr>
        <w:jc w:val="both"/>
        <w:rPr>
          <w:rFonts w:cs="Arial"/>
          <w:szCs w:val="20"/>
        </w:rPr>
      </w:pPr>
      <w:r>
        <w:rPr>
          <w:rFonts w:cs="Arial"/>
          <w:szCs w:val="20"/>
        </w:rPr>
        <w:t xml:space="preserve">Amandma upošteva mnenje ZPS, da je besedilo, ki se nanaša na umetniško izražanje za potrebe filma, televizije in umetniških predstav treba zaradi jasnosti ureditve v besedilo člena umestiti kot poseben odstavek, na način, primerljiv z osmim odstavkom 12. člena Predloga zakona. </w:t>
      </w:r>
    </w:p>
    <w:p w:rsidR="00A162A4" w:rsidRDefault="00A162A4" w:rsidP="00A162A4">
      <w:pPr>
        <w:jc w:val="both"/>
        <w:rPr>
          <w:rFonts w:cs="Arial"/>
          <w:szCs w:val="20"/>
        </w:rPr>
      </w:pPr>
    </w:p>
    <w:p w:rsidR="00A162A4" w:rsidRDefault="00A162A4" w:rsidP="00A162A4">
      <w:pPr>
        <w:rPr>
          <w:rFonts w:cs="Arial"/>
          <w:szCs w:val="20"/>
          <w:u w:val="single"/>
        </w:rPr>
      </w:pPr>
      <w:r>
        <w:rPr>
          <w:rFonts w:cs="Arial"/>
          <w:b/>
          <w:bCs/>
          <w:szCs w:val="20"/>
          <w:u w:val="single"/>
        </w:rPr>
        <w:t>Amandma k 20. členu:</w:t>
      </w:r>
    </w:p>
    <w:p w:rsidR="00A162A4" w:rsidRDefault="00A162A4" w:rsidP="00A162A4">
      <w:pPr>
        <w:rPr>
          <w:rFonts w:cs="Arial"/>
          <w:szCs w:val="20"/>
        </w:rPr>
      </w:pPr>
      <w:r>
        <w:rPr>
          <w:rFonts w:cs="Arial"/>
          <w:szCs w:val="20"/>
        </w:rPr>
        <w:t>V 20. členu se v prvem odstavku črta besedilo », ko je to mogoče,«.</w:t>
      </w:r>
    </w:p>
    <w:p w:rsidR="00A162A4" w:rsidRDefault="00A162A4" w:rsidP="00A162A4">
      <w:pPr>
        <w:rPr>
          <w:rFonts w:cs="Arial"/>
          <w:szCs w:val="20"/>
          <w:u w:val="single"/>
        </w:rPr>
      </w:pPr>
      <w:r>
        <w:rPr>
          <w:rFonts w:cs="Arial"/>
          <w:szCs w:val="20"/>
          <w:u w:val="single"/>
        </w:rPr>
        <w:t>Obrazložitev amandmaja k 20. členu:</w:t>
      </w:r>
    </w:p>
    <w:p w:rsidR="00A162A4" w:rsidRDefault="00A162A4" w:rsidP="00A162A4">
      <w:pPr>
        <w:jc w:val="both"/>
        <w:rPr>
          <w:rFonts w:cs="Arial"/>
          <w:szCs w:val="20"/>
        </w:rPr>
      </w:pPr>
      <w:r>
        <w:rPr>
          <w:rFonts w:cs="Arial"/>
          <w:szCs w:val="20"/>
        </w:rPr>
        <w:t>Amandma upošteva mnenje ZPS, da je treba pretehtati tudi besedilo »takoj, ko je to mogoče«, saj zaradi svoje splošnosti ne zagotavlja dovolj jasne podlage za presojo, kdaj je prekršek storjen.</w:t>
      </w:r>
    </w:p>
    <w:p w:rsidR="00A162A4" w:rsidRDefault="00A162A4" w:rsidP="00A162A4">
      <w:pPr>
        <w:jc w:val="both"/>
        <w:rPr>
          <w:rFonts w:cs="Arial"/>
          <w:szCs w:val="20"/>
        </w:rPr>
      </w:pPr>
    </w:p>
    <w:p w:rsidR="00A162A4" w:rsidRDefault="00A162A4" w:rsidP="00A162A4">
      <w:pPr>
        <w:rPr>
          <w:rFonts w:cs="Arial"/>
          <w:szCs w:val="20"/>
        </w:rPr>
      </w:pPr>
      <w:r>
        <w:rPr>
          <w:rFonts w:cs="Arial"/>
          <w:b/>
          <w:bCs/>
          <w:szCs w:val="20"/>
          <w:u w:val="single"/>
        </w:rPr>
        <w:t>Amandma k 23. členu</w:t>
      </w:r>
      <w:r>
        <w:rPr>
          <w:rFonts w:cs="Arial"/>
          <w:b/>
          <w:bCs/>
          <w:szCs w:val="20"/>
        </w:rPr>
        <w:t>:</w:t>
      </w:r>
    </w:p>
    <w:p w:rsidR="00A162A4" w:rsidRDefault="00A162A4" w:rsidP="00A162A4">
      <w:pPr>
        <w:rPr>
          <w:rFonts w:cs="Arial"/>
          <w:szCs w:val="20"/>
        </w:rPr>
      </w:pPr>
      <w:r>
        <w:rPr>
          <w:rFonts w:cs="Arial"/>
          <w:szCs w:val="20"/>
        </w:rPr>
        <w:t>23. členu se spremeni tako, da se glasi:</w:t>
      </w:r>
    </w:p>
    <w:p w:rsidR="00A162A4" w:rsidRDefault="00A162A4" w:rsidP="00A162A4">
      <w:pPr>
        <w:jc w:val="both"/>
        <w:rPr>
          <w:rFonts w:cs="Arial"/>
          <w:szCs w:val="20"/>
        </w:rPr>
      </w:pPr>
      <w:r>
        <w:rPr>
          <w:rFonts w:cs="Arial"/>
          <w:szCs w:val="20"/>
        </w:rPr>
        <w:t>»Kdor namenoma z lažnim naznanilom prekrška po tem zakonu povzroči interveniranje policije, občinskih redarjev, reševalcev ali gasilcev, se kaznuje z globo od 300 do 600 eurov.«.</w:t>
      </w:r>
    </w:p>
    <w:p w:rsidR="00A162A4" w:rsidRDefault="00A162A4" w:rsidP="00A162A4">
      <w:pPr>
        <w:rPr>
          <w:rFonts w:cs="Arial"/>
          <w:szCs w:val="20"/>
          <w:u w:val="single"/>
        </w:rPr>
      </w:pPr>
      <w:r>
        <w:rPr>
          <w:rFonts w:cs="Arial"/>
          <w:szCs w:val="20"/>
          <w:u w:val="single"/>
        </w:rPr>
        <w:t>Obrazložitev amandmaja k 21. členu:</w:t>
      </w:r>
    </w:p>
    <w:p w:rsidR="00A162A4" w:rsidRDefault="00A162A4" w:rsidP="00A162A4">
      <w:pPr>
        <w:jc w:val="both"/>
        <w:rPr>
          <w:rFonts w:cs="Arial"/>
          <w:szCs w:val="20"/>
        </w:rPr>
      </w:pPr>
      <w:r>
        <w:rPr>
          <w:rFonts w:cs="Arial"/>
          <w:szCs w:val="20"/>
        </w:rPr>
        <w:t>Amandma upošteva mnenje ZPS, da v predlaganem besedilu zadošča, da se subjektivni odnos storilca izrazi le enkrat. Podvajanje besed »naklepno« in »namenoma« je tako nepotrebno.</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24. členu:</w:t>
      </w:r>
    </w:p>
    <w:p w:rsidR="00A162A4" w:rsidRDefault="00A162A4" w:rsidP="00A162A4">
      <w:pPr>
        <w:jc w:val="both"/>
        <w:rPr>
          <w:rFonts w:cs="Arial"/>
          <w:szCs w:val="20"/>
        </w:rPr>
      </w:pPr>
      <w:r>
        <w:rPr>
          <w:rFonts w:cs="Arial"/>
          <w:szCs w:val="20"/>
        </w:rPr>
        <w:t>Naslov člena se spremeni tako, da se glasi »(vzbujanje nestrpnosti)«.</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lastRenderedPageBreak/>
        <w:t>Obrazložitev amandmaja k 24. členu:</w:t>
      </w:r>
    </w:p>
    <w:p w:rsidR="00A162A4" w:rsidRDefault="00A162A4" w:rsidP="00A162A4">
      <w:pPr>
        <w:jc w:val="both"/>
        <w:rPr>
          <w:rFonts w:cs="Arial"/>
          <w:szCs w:val="20"/>
        </w:rPr>
      </w:pPr>
      <w:r>
        <w:rPr>
          <w:rFonts w:cs="Arial"/>
          <w:szCs w:val="20"/>
        </w:rPr>
        <w:t>Z amandmajem je predlagana sprememba naslova člena, na način, ki je poenoten z naslovi drugih členov Predloga zakona, ki določajo prekrške.</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25. členu:</w:t>
      </w:r>
    </w:p>
    <w:p w:rsidR="00A162A4" w:rsidRDefault="00A162A4" w:rsidP="00A162A4">
      <w:pPr>
        <w:jc w:val="both"/>
        <w:rPr>
          <w:rFonts w:cs="Arial"/>
          <w:szCs w:val="20"/>
        </w:rPr>
      </w:pPr>
      <w:r>
        <w:rPr>
          <w:rFonts w:cs="Arial"/>
          <w:szCs w:val="20"/>
        </w:rPr>
        <w:t>V 25. členu se v prvem odstavku črta besedilo », za katere je pristojen,«</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25. členu:</w:t>
      </w:r>
    </w:p>
    <w:p w:rsidR="00A162A4" w:rsidRDefault="00A162A4" w:rsidP="00A162A4">
      <w:pPr>
        <w:jc w:val="both"/>
        <w:rPr>
          <w:rFonts w:cs="Arial"/>
          <w:szCs w:val="20"/>
        </w:rPr>
      </w:pPr>
      <w:r>
        <w:rPr>
          <w:rFonts w:cs="Arial"/>
          <w:szCs w:val="20"/>
        </w:rPr>
        <w:t>Amandma upošteva mnenje ZPS, da je pristojnost organov za nadzor nad izvajanjem tega zakona določena v 28. členu tega zakona, zato je sklicevanje nanj v prvem odstavku člena nepotrebno.</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26. členu:</w:t>
      </w:r>
    </w:p>
    <w:p w:rsidR="00A162A4" w:rsidRDefault="00A162A4" w:rsidP="00A162A4">
      <w:pPr>
        <w:jc w:val="both"/>
        <w:rPr>
          <w:rFonts w:cs="Arial"/>
          <w:szCs w:val="20"/>
        </w:rPr>
      </w:pPr>
      <w:r>
        <w:rPr>
          <w:rFonts w:cs="Arial"/>
          <w:szCs w:val="20"/>
        </w:rPr>
        <w:t>V 26. členu se v prvem odstavku črta besedilo », za katere je pristojen,«</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26. členu:</w:t>
      </w:r>
    </w:p>
    <w:p w:rsidR="00A162A4" w:rsidRDefault="00A162A4" w:rsidP="00A162A4">
      <w:pPr>
        <w:jc w:val="both"/>
        <w:rPr>
          <w:rFonts w:cs="Arial"/>
          <w:szCs w:val="20"/>
        </w:rPr>
      </w:pPr>
      <w:r>
        <w:rPr>
          <w:rFonts w:cs="Arial"/>
          <w:szCs w:val="20"/>
        </w:rPr>
        <w:t>Amandma upošteva mnenje ZPS, da je pristojnost organov za nadzor nad izvajanjem tega zakona določena v 28. členu tega zakona, zato je sklicevanje nanj v prvem odstavku člena nepotrebno.</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27. členu:</w:t>
      </w:r>
    </w:p>
    <w:p w:rsidR="00A162A4" w:rsidRDefault="00A162A4" w:rsidP="00A162A4">
      <w:pPr>
        <w:jc w:val="both"/>
        <w:rPr>
          <w:rFonts w:cs="Arial"/>
          <w:szCs w:val="20"/>
        </w:rPr>
      </w:pPr>
      <w:r>
        <w:rPr>
          <w:rFonts w:cs="Arial"/>
          <w:szCs w:val="20"/>
        </w:rPr>
        <w:t>V 27. členu se tretji odstavek spremeni tako, da se glasi: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»(3) Upravljavec mora zagotoviti ponovno dobavo elektrike ali plina takoj, ko od policista prejme ustno odredbo o prenehanju razlogov za začasen izklop dobave elektrike ali plina kršitelju.«.</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26. členu:</w:t>
      </w:r>
    </w:p>
    <w:p w:rsidR="00A162A4" w:rsidRDefault="00A162A4" w:rsidP="00A162A4">
      <w:pPr>
        <w:jc w:val="both"/>
        <w:rPr>
          <w:rFonts w:cs="Arial"/>
          <w:szCs w:val="20"/>
        </w:rPr>
      </w:pPr>
      <w:r>
        <w:rPr>
          <w:rFonts w:cs="Arial"/>
          <w:szCs w:val="20"/>
        </w:rPr>
        <w:t>Amandma upošteva mnenje ZPS, da je treba tretji odstavek dopolniti, saj iz predlagane določbe ni razvidno, kdaj in na podlagi katerih okoliščin bo izdana odredba za zagotovitev ponovne dobave elektrike ali plina.</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28. členu:</w:t>
      </w:r>
    </w:p>
    <w:p w:rsidR="00A162A4" w:rsidRDefault="00A162A4" w:rsidP="00A162A4">
      <w:pPr>
        <w:jc w:val="both"/>
        <w:rPr>
          <w:rFonts w:cs="Arial"/>
          <w:szCs w:val="20"/>
        </w:rPr>
      </w:pPr>
      <w:r>
        <w:rPr>
          <w:rFonts w:cs="Arial"/>
          <w:szCs w:val="20"/>
        </w:rPr>
        <w:t>V 28. členu se tretji odstavek spremeni tako, da se glasi:</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t>»(3) Ne glede na prvi odstavek tega člena nadzor nad izvajanjem 5., 9., 11., 12., 13., 14., 15.,  17., 18., 19., 21., 22. in 23. člena tega zakona izvaja tudi občinsko redarstvo.«.</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28. členu:</w:t>
      </w:r>
    </w:p>
    <w:p w:rsidR="00A162A4" w:rsidRDefault="00A162A4" w:rsidP="00A162A4">
      <w:pPr>
        <w:jc w:val="both"/>
        <w:rPr>
          <w:rFonts w:cs="Arial"/>
          <w:szCs w:val="20"/>
        </w:rPr>
      </w:pPr>
      <w:r>
        <w:rPr>
          <w:rFonts w:cs="Arial"/>
          <w:szCs w:val="20"/>
        </w:rPr>
        <w:t>Amandma upošteva mnenje ZPS, da je treba ponovno pretehtati tretji odstavek, ki določa pristojnost občinskih redarjev za izvajanje nadzora nad izvajanjem posameznih prekrškov, poleg nadzora policije (in v določenih primerih vojaške policije). Nabor prekrškov, za nadzor katerih naj bi bilo pristojno tudi občinsko redarstvo, se v primerjavi z veljavno zakonsko ureditvijo širi. Ker predlagana ureditev omogoča podvajanje pristojnosti več organov, jo je treba ponovno pozorno pretehtati. Z vidika pravne varnosti morajo biti pristojnosti organov določene jasno in ob upoštevanju njihovih pooblastil. Policija skrbi za varnost ljudi in premoženja, preprečuje in preiskuje hujša kazniva dejanja in prekrške, občinsko redarstvo izvaja nadzor nad milejšimi kršitvami (praviloma predpisov samoupravnih lokalnih skupnosti, kot so parkiranje, ravnanje na javnih površinah ipd.). Pooblastila policije in občinskega redarstva se torej pomembno razlikujejo, različna pa je tudi zahtevana raven usposobljenosti za delo v teh organih. Jasna razmejitev pristojnosti ne izključuje sodelovanja policije in občinskega redarstva, zagotavlja pa, da je narava ukrepanja in uporaba pooblastil sorazmerna teži prekrška, obravnava kršitev in sankcioniranja enotna, nadzor pa bolj učinkovit. S tem se uresničuje načelo pravne varnosti iz 2. člena Ustave.</w:t>
      </w:r>
    </w:p>
    <w:p w:rsidR="00A162A4" w:rsidRDefault="00A162A4" w:rsidP="00A162A4">
      <w:pPr>
        <w:jc w:val="both"/>
        <w:rPr>
          <w:rFonts w:cs="Arial"/>
          <w:szCs w:val="20"/>
        </w:rPr>
      </w:pPr>
    </w:p>
    <w:p w:rsidR="00A162A4" w:rsidRDefault="00A162A4" w:rsidP="00A162A4">
      <w:pPr>
        <w:jc w:val="both"/>
        <w:rPr>
          <w:rFonts w:cs="Arial"/>
          <w:szCs w:val="20"/>
        </w:rPr>
      </w:pPr>
      <w:r>
        <w:rPr>
          <w:rFonts w:cs="Arial"/>
          <w:szCs w:val="20"/>
        </w:rPr>
        <w:lastRenderedPageBreak/>
        <w:t>Z amandmajem se tako odvzema nadzor občinskim redarstvom nad izvajanjem 10.</w:t>
      </w:r>
      <w:r>
        <w:t xml:space="preserve"> člena </w:t>
      </w:r>
      <w:r>
        <w:rPr>
          <w:rFonts w:cs="Arial"/>
          <w:szCs w:val="20"/>
        </w:rPr>
        <w:t>(povzročanje hrupa) in 20. člena (javni red in mir v gostinskih obratih in na javnih prireditvah ter varstvo mladoletnikov) Predloga zakona, dodaja pa se nadzor nad izvajanjem 19. člena (ogrožanje z živalmi) Predloga zakona.</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29. členu:</w:t>
      </w:r>
    </w:p>
    <w:p w:rsidR="00A162A4" w:rsidRDefault="00A162A4" w:rsidP="00A162A4">
      <w:pPr>
        <w:jc w:val="both"/>
        <w:rPr>
          <w:rFonts w:cs="Arial"/>
          <w:szCs w:val="20"/>
        </w:rPr>
      </w:pPr>
      <w:r>
        <w:rPr>
          <w:rFonts w:cs="Arial"/>
          <w:szCs w:val="20"/>
        </w:rPr>
        <w:t>29. člen se spremeni tako, da se glasi:</w:t>
      </w:r>
    </w:p>
    <w:p w:rsidR="00A162A4" w:rsidRDefault="00A162A4" w:rsidP="00A162A4">
      <w:pPr>
        <w:jc w:val="both"/>
        <w:rPr>
          <w:rFonts w:cs="Arial"/>
          <w:szCs w:val="20"/>
        </w:rPr>
      </w:pPr>
    </w:p>
    <w:p w:rsidR="00A162A4" w:rsidRDefault="00A162A4" w:rsidP="00A162A4">
      <w:pPr>
        <w:jc w:val="center"/>
        <w:rPr>
          <w:rFonts w:cs="Arial"/>
          <w:b/>
          <w:bCs/>
          <w:szCs w:val="20"/>
        </w:rPr>
      </w:pPr>
      <w:r>
        <w:rPr>
          <w:rFonts w:cs="Arial"/>
          <w:b/>
          <w:bCs/>
          <w:szCs w:val="20"/>
        </w:rPr>
        <w:t>»29. člen</w:t>
      </w:r>
    </w:p>
    <w:p w:rsidR="00A162A4" w:rsidRDefault="00A162A4" w:rsidP="00A162A4">
      <w:pPr>
        <w:jc w:val="center"/>
        <w:rPr>
          <w:rFonts w:cs="Arial"/>
          <w:b/>
          <w:bCs/>
          <w:szCs w:val="20"/>
        </w:rPr>
      </w:pPr>
      <w:r>
        <w:rPr>
          <w:rFonts w:cs="Arial"/>
          <w:b/>
          <w:bCs/>
          <w:szCs w:val="20"/>
        </w:rPr>
        <w:t>(višina globe v hitrem postopku o prekršku)</w:t>
      </w:r>
    </w:p>
    <w:p w:rsidR="00A162A4" w:rsidRDefault="00A162A4" w:rsidP="00A162A4">
      <w:pPr>
        <w:jc w:val="center"/>
        <w:rPr>
          <w:rFonts w:cs="Arial"/>
          <w:b/>
          <w:bCs/>
          <w:szCs w:val="20"/>
        </w:rPr>
      </w:pPr>
    </w:p>
    <w:p w:rsidR="00A162A4" w:rsidRDefault="00A162A4" w:rsidP="00A162A4">
      <w:pPr>
        <w:jc w:val="both"/>
        <w:rPr>
          <w:rFonts w:cs="Arial"/>
          <w:szCs w:val="20"/>
        </w:rPr>
      </w:pPr>
      <w:r>
        <w:rPr>
          <w:rFonts w:cs="Arial"/>
          <w:szCs w:val="20"/>
        </w:rPr>
        <w:t>Za prekrške iz 12., 13. in 21. člena tega zakona se sme v hitrem postopku izreči globa tudi v znesku, ki je višji od najnižje predpisane globe, določene s tem zakonom.«.</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29. členu:</w:t>
      </w:r>
    </w:p>
    <w:p w:rsidR="00A162A4" w:rsidRDefault="00A162A4" w:rsidP="00A162A4">
      <w:pPr>
        <w:jc w:val="both"/>
        <w:rPr>
          <w:rFonts w:cs="Arial"/>
          <w:szCs w:val="20"/>
        </w:rPr>
      </w:pPr>
      <w:r>
        <w:rPr>
          <w:rFonts w:cs="Arial"/>
          <w:szCs w:val="20"/>
        </w:rPr>
        <w:t>Amandma upošteva mnenje ZPS in omejuje uporabo člena zgolj na 12., 13. in 21. člen Predloga zakona.</w:t>
      </w:r>
    </w:p>
    <w:p w:rsidR="00A162A4" w:rsidRDefault="00A162A4" w:rsidP="00A162A4">
      <w:pPr>
        <w:jc w:val="both"/>
        <w:rPr>
          <w:rFonts w:cs="Arial"/>
          <w:szCs w:val="20"/>
        </w:rPr>
      </w:pPr>
    </w:p>
    <w:p w:rsidR="00A162A4" w:rsidRDefault="00A162A4" w:rsidP="00A162A4">
      <w:pPr>
        <w:jc w:val="both"/>
        <w:rPr>
          <w:rFonts w:cs="Arial"/>
          <w:b/>
          <w:bCs/>
          <w:szCs w:val="20"/>
          <w:u w:val="single"/>
        </w:rPr>
      </w:pPr>
      <w:r>
        <w:rPr>
          <w:rFonts w:cs="Arial"/>
          <w:b/>
          <w:bCs/>
          <w:szCs w:val="20"/>
          <w:u w:val="single"/>
        </w:rPr>
        <w:t>Amandma k 31. členu:</w:t>
      </w:r>
    </w:p>
    <w:p w:rsidR="00A162A4" w:rsidRDefault="00A162A4" w:rsidP="00A162A4">
      <w:pPr>
        <w:jc w:val="both"/>
        <w:rPr>
          <w:rFonts w:cs="Arial"/>
          <w:szCs w:val="20"/>
        </w:rPr>
      </w:pPr>
      <w:r>
        <w:rPr>
          <w:rFonts w:cs="Arial"/>
          <w:szCs w:val="20"/>
        </w:rPr>
        <w:t>V 29. členu se za besedilom »Postopki o prekrških« doda besedilo »določenih v Zakonu o varstvu javnega reda in miru (Uradni list RS, št. 70/06, 139/20 in 113/24),«.</w:t>
      </w:r>
    </w:p>
    <w:p w:rsidR="00A162A4" w:rsidRDefault="00A162A4" w:rsidP="00A162A4">
      <w:pPr>
        <w:jc w:val="both"/>
        <w:rPr>
          <w:rFonts w:cs="Arial"/>
          <w:szCs w:val="20"/>
        </w:rPr>
      </w:pPr>
    </w:p>
    <w:p w:rsidR="00A162A4" w:rsidRDefault="00A162A4" w:rsidP="00A162A4">
      <w:pPr>
        <w:jc w:val="both"/>
        <w:rPr>
          <w:rFonts w:cs="Arial"/>
          <w:szCs w:val="20"/>
          <w:u w:val="single"/>
        </w:rPr>
      </w:pPr>
      <w:r>
        <w:rPr>
          <w:rFonts w:cs="Arial"/>
          <w:szCs w:val="20"/>
          <w:u w:val="single"/>
        </w:rPr>
        <w:t>Obrazložitev amandmaja k 31. členu:</w:t>
      </w:r>
    </w:p>
    <w:p w:rsidR="00A162A4" w:rsidRDefault="00A162A4" w:rsidP="00A162A4">
      <w:pPr>
        <w:jc w:val="both"/>
        <w:rPr>
          <w:rFonts w:cs="Arial"/>
          <w:szCs w:val="20"/>
        </w:rPr>
      </w:pPr>
      <w:r>
        <w:rPr>
          <w:rFonts w:cs="Arial"/>
          <w:szCs w:val="20"/>
        </w:rPr>
        <w:t>Amandma upošteva mnenje ZPS, da je treba določbo o dokončanju postopkov o prekrških, ki do uveljavitve tega zakona še niso bili pravnomočno končani, dopolniti z jasno opredelitvijo, na katere prekrške se nanaša (prekrški po določbah ZJRM-1).</w:t>
      </w:r>
    </w:p>
    <w:p w:rsidR="00A162A4" w:rsidRDefault="00A162A4" w:rsidP="00A162A4">
      <w:pPr>
        <w:jc w:val="both"/>
        <w:rPr>
          <w:rFonts w:cs="Arial"/>
          <w:szCs w:val="20"/>
        </w:rPr>
      </w:pPr>
      <w:r>
        <w:rPr>
          <w:rFonts w:cs="Arial"/>
          <w:szCs w:val="20"/>
        </w:rPr>
        <w:t xml:space="preserve"> </w:t>
      </w:r>
    </w:p>
    <w:p w:rsidR="00A162A4" w:rsidRDefault="00A162A4" w:rsidP="00A162A4">
      <w:pPr>
        <w:jc w:val="both"/>
        <w:rPr>
          <w:rFonts w:cs="Arial"/>
          <w:szCs w:val="20"/>
        </w:rPr>
      </w:pPr>
      <w:r>
        <w:rPr>
          <w:rFonts w:cs="Arial"/>
          <w:szCs w:val="20"/>
        </w:rPr>
        <w:t xml:space="preserve"> </w:t>
      </w:r>
    </w:p>
    <w:p w:rsidR="00A162A4" w:rsidRDefault="00A162A4" w:rsidP="00A162A4">
      <w:pPr>
        <w:rPr>
          <w:rFonts w:cs="Arial"/>
          <w:szCs w:val="20"/>
        </w:rPr>
      </w:pPr>
    </w:p>
    <w:p w:rsidR="007E1230" w:rsidRDefault="007E1230" w:rsidP="00A162A4">
      <w:pPr>
        <w:tabs>
          <w:tab w:val="left" w:pos="5570"/>
        </w:tabs>
        <w:autoSpaceDE w:val="0"/>
        <w:autoSpaceDN w:val="0"/>
        <w:adjustRightInd w:val="0"/>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7457" w:rsidRDefault="00397457" w:rsidP="00767987">
      <w:pPr>
        <w:spacing w:line="240" w:lineRule="auto"/>
      </w:pPr>
      <w:r>
        <w:separator/>
      </w:r>
    </w:p>
  </w:endnote>
  <w:endnote w:type="continuationSeparator" w:id="0">
    <w:p w:rsidR="00397457" w:rsidRDefault="0039745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967" w:rsidRDefault="00C7696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967" w:rsidRDefault="00C7696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967" w:rsidRDefault="00C7696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7457" w:rsidRDefault="00397457" w:rsidP="00767987">
      <w:pPr>
        <w:spacing w:line="240" w:lineRule="auto"/>
      </w:pPr>
      <w:r>
        <w:separator/>
      </w:r>
    </w:p>
  </w:footnote>
  <w:footnote w:type="continuationSeparator" w:id="0">
    <w:p w:rsidR="00397457" w:rsidRDefault="0039745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967" w:rsidRDefault="00C7696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967" w:rsidRDefault="00C7696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37E1"/>
    <w:rsid w:val="00286CB6"/>
    <w:rsid w:val="00366636"/>
    <w:rsid w:val="00367DE6"/>
    <w:rsid w:val="00397457"/>
    <w:rsid w:val="003B3E19"/>
    <w:rsid w:val="004076C6"/>
    <w:rsid w:val="00457A58"/>
    <w:rsid w:val="004964D7"/>
    <w:rsid w:val="004B7F76"/>
    <w:rsid w:val="004E1BCE"/>
    <w:rsid w:val="0057353E"/>
    <w:rsid w:val="00592079"/>
    <w:rsid w:val="00594080"/>
    <w:rsid w:val="005D048C"/>
    <w:rsid w:val="00674FD5"/>
    <w:rsid w:val="00682FFE"/>
    <w:rsid w:val="00684751"/>
    <w:rsid w:val="006C3450"/>
    <w:rsid w:val="006C69EC"/>
    <w:rsid w:val="007039D0"/>
    <w:rsid w:val="00767987"/>
    <w:rsid w:val="00782FD4"/>
    <w:rsid w:val="007E1230"/>
    <w:rsid w:val="00811140"/>
    <w:rsid w:val="00904A48"/>
    <w:rsid w:val="00980294"/>
    <w:rsid w:val="009C5392"/>
    <w:rsid w:val="009C657E"/>
    <w:rsid w:val="00A04FA3"/>
    <w:rsid w:val="00A162A4"/>
    <w:rsid w:val="00A16E6F"/>
    <w:rsid w:val="00A50E4B"/>
    <w:rsid w:val="00A56EFB"/>
    <w:rsid w:val="00A9231D"/>
    <w:rsid w:val="00AD3BB3"/>
    <w:rsid w:val="00B31063"/>
    <w:rsid w:val="00BC534D"/>
    <w:rsid w:val="00C0216A"/>
    <w:rsid w:val="00C76967"/>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4254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2829</Words>
  <Characters>16130</Characters>
  <Application>Microsoft Office Word</Application>
  <DocSecurity>0</DocSecurity>
  <Lines>134</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2025-11-26T10:49:00Z</dcterms:created>
  <dcterms:modified xsi:type="dcterms:W3CDTF">2025-11-26T10:49:00Z</dcterms:modified>
</cp:coreProperties>
</file>