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657E" w:rsidRPr="002760DC" w:rsidRDefault="009C657E" w:rsidP="009C657E">
      <w:pPr>
        <w:pStyle w:val="datumtevilka"/>
      </w:pPr>
      <w:bookmarkStart w:id="0" w:name="_Hlk61014710"/>
      <w:bookmarkEnd w:id="0"/>
      <w:r w:rsidRPr="002760DC">
        <w:rPr>
          <w:rFonts w:cs="Arial"/>
          <w:color w:val="000000"/>
        </w:rPr>
        <w:t>EVA:</w:t>
      </w:r>
      <w:r w:rsidRPr="002760DC">
        <w:rPr>
          <w:rFonts w:cs="Arial"/>
          <w:color w:val="000000"/>
        </w:rPr>
        <w:tab/>
      </w:r>
      <w:r w:rsidR="00A96CD4">
        <w:rPr>
          <w:rFonts w:cs="Arial"/>
          <w:color w:val="000000"/>
        </w:rPr>
        <w:t>2025-1911-0001</w:t>
      </w:r>
    </w:p>
    <w:p w:rsidR="009C657E" w:rsidRPr="002760DC" w:rsidRDefault="009C657E" w:rsidP="009C657E">
      <w:pPr>
        <w:pStyle w:val="datumtevilka"/>
      </w:pPr>
      <w:r w:rsidRPr="002760DC">
        <w:t xml:space="preserve">Številka: </w:t>
      </w:r>
      <w:r w:rsidRPr="002760DC">
        <w:tab/>
      </w:r>
      <w:r w:rsidR="00A96CD4">
        <w:rPr>
          <w:rFonts w:cs="Arial"/>
          <w:color w:val="000000"/>
        </w:rPr>
        <w:t>00704-280/2025/8</w:t>
      </w:r>
    </w:p>
    <w:p w:rsidR="009C657E" w:rsidRPr="002760DC" w:rsidRDefault="009C657E" w:rsidP="009C657E">
      <w:pPr>
        <w:pStyle w:val="datumtevilka"/>
      </w:pPr>
      <w:r>
        <w:t>Datum:</w:t>
      </w:r>
      <w:r w:rsidRPr="002760DC">
        <w:tab/>
      </w:r>
      <w:r w:rsidR="00A96CD4">
        <w:rPr>
          <w:rFonts w:cs="Arial"/>
          <w:color w:val="000000"/>
        </w:rPr>
        <w:t>20. 11. 2025</w:t>
      </w:r>
      <w:r w:rsidRPr="002760DC">
        <w:t xml:space="preserve"> </w:t>
      </w:r>
    </w:p>
    <w:p w:rsidR="009C657E" w:rsidRPr="002760DC" w:rsidRDefault="009C657E" w:rsidP="009C657E"/>
    <w:p w:rsidR="009C657E" w:rsidRDefault="009C657E" w:rsidP="009C657E">
      <w:pPr>
        <w:autoSpaceDE w:val="0"/>
        <w:autoSpaceDN w:val="0"/>
        <w:adjustRightInd w:val="0"/>
        <w:rPr>
          <w:rFonts w:cs="Arial"/>
          <w:color w:val="000000"/>
          <w:szCs w:val="20"/>
        </w:rPr>
      </w:pPr>
    </w:p>
    <w:p w:rsidR="000E477F" w:rsidRDefault="000E477F" w:rsidP="009C657E">
      <w:pPr>
        <w:autoSpaceDE w:val="0"/>
        <w:autoSpaceDN w:val="0"/>
        <w:adjustRightInd w:val="0"/>
        <w:rPr>
          <w:rFonts w:cs="Arial"/>
          <w:color w:val="000000"/>
          <w:szCs w:val="20"/>
        </w:rPr>
      </w:pPr>
      <w:bookmarkStart w:id="1" w:name="_GoBack"/>
      <w:bookmarkEnd w:id="1"/>
    </w:p>
    <w:p w:rsidR="00EB288E" w:rsidRPr="000E477F" w:rsidRDefault="00EB288E" w:rsidP="000E477F">
      <w:pPr>
        <w:tabs>
          <w:tab w:val="left" w:pos="7920"/>
        </w:tabs>
        <w:autoSpaceDE w:val="0"/>
        <w:autoSpaceDN w:val="0"/>
        <w:adjustRightInd w:val="0"/>
        <w:jc w:val="center"/>
        <w:rPr>
          <w:rFonts w:cs="Arial"/>
          <w:b/>
          <w:color w:val="000000"/>
          <w:szCs w:val="20"/>
        </w:rPr>
      </w:pPr>
      <w:r w:rsidRPr="000E477F">
        <w:rPr>
          <w:rFonts w:cs="Arial"/>
          <w:b/>
          <w:color w:val="000000"/>
          <w:szCs w:val="20"/>
        </w:rPr>
        <w:t>Predlog amandmajev k Predlogu zakona o spremembah in dopolnitvah Zakona o službi v Slovenski vojski</w:t>
      </w:r>
    </w:p>
    <w:p w:rsidR="000E477F" w:rsidRDefault="000E477F" w:rsidP="000E477F">
      <w:pPr>
        <w:tabs>
          <w:tab w:val="left" w:pos="7920"/>
        </w:tabs>
        <w:autoSpaceDE w:val="0"/>
        <w:autoSpaceDN w:val="0"/>
        <w:adjustRightInd w:val="0"/>
        <w:jc w:val="both"/>
        <w:rPr>
          <w:rFonts w:cs="Arial"/>
          <w:color w:val="000000"/>
          <w:szCs w:val="20"/>
        </w:rPr>
      </w:pPr>
    </w:p>
    <w:p w:rsidR="000E477F" w:rsidRDefault="000E477F" w:rsidP="000E477F">
      <w:pPr>
        <w:tabs>
          <w:tab w:val="left" w:pos="7920"/>
        </w:tabs>
        <w:autoSpaceDE w:val="0"/>
        <w:autoSpaceDN w:val="0"/>
        <w:adjustRightInd w:val="0"/>
        <w:jc w:val="both"/>
        <w:rPr>
          <w:rFonts w:cs="Arial"/>
          <w:color w:val="000000"/>
          <w:szCs w:val="20"/>
        </w:rPr>
      </w:pPr>
    </w:p>
    <w:p w:rsidR="000E477F" w:rsidRPr="002760DC" w:rsidRDefault="000E477F" w:rsidP="000E477F">
      <w:pPr>
        <w:tabs>
          <w:tab w:val="left" w:pos="7920"/>
        </w:tabs>
        <w:autoSpaceDE w:val="0"/>
        <w:autoSpaceDN w:val="0"/>
        <w:adjustRightInd w:val="0"/>
        <w:jc w:val="both"/>
        <w:rPr>
          <w:rFonts w:cs="Arial"/>
          <w:color w:val="000000"/>
          <w:szCs w:val="20"/>
        </w:rPr>
      </w:pPr>
    </w:p>
    <w:p w:rsidR="000E477F" w:rsidRDefault="000E477F" w:rsidP="000E477F">
      <w:pPr>
        <w:jc w:val="both"/>
        <w:rPr>
          <w:rFonts w:cs="Arial"/>
          <w:b/>
          <w:szCs w:val="20"/>
          <w:u w:val="single"/>
        </w:rPr>
      </w:pPr>
      <w:r>
        <w:rPr>
          <w:rFonts w:cs="Arial"/>
          <w:b/>
          <w:szCs w:val="20"/>
          <w:u w:val="single"/>
        </w:rPr>
        <w:t>K 2. členu</w:t>
      </w:r>
    </w:p>
    <w:p w:rsidR="000E477F" w:rsidRDefault="000E477F" w:rsidP="000E477F">
      <w:pPr>
        <w:rPr>
          <w:rFonts w:cs="Arial"/>
          <w:szCs w:val="20"/>
        </w:rPr>
      </w:pPr>
      <w:r>
        <w:rPr>
          <w:rFonts w:cs="Arial"/>
          <w:szCs w:val="20"/>
        </w:rPr>
        <w:t>2. člen se spremeni tako, da se glasi:</w:t>
      </w:r>
    </w:p>
    <w:p w:rsidR="000E477F" w:rsidRDefault="000E477F" w:rsidP="000E477F">
      <w:pPr>
        <w:rPr>
          <w:rFonts w:cs="Arial"/>
          <w:szCs w:val="20"/>
        </w:rPr>
      </w:pPr>
      <w:r>
        <w:rPr>
          <w:rFonts w:cs="Arial"/>
          <w:szCs w:val="20"/>
        </w:rPr>
        <w:t>»2. člen</w:t>
      </w:r>
    </w:p>
    <w:p w:rsidR="000E477F" w:rsidRDefault="000E477F" w:rsidP="000E477F">
      <w:pPr>
        <w:rPr>
          <w:rFonts w:cs="Arial"/>
          <w:szCs w:val="20"/>
        </w:rPr>
      </w:pPr>
      <w:r>
        <w:rPr>
          <w:rFonts w:cs="Arial"/>
          <w:szCs w:val="20"/>
        </w:rPr>
        <w:t>Za 24. členom se dodajo novi, 24.a, 24.b in 24.c člen, ki se glasijo:</w:t>
      </w:r>
    </w:p>
    <w:p w:rsidR="000E477F" w:rsidRDefault="000E477F" w:rsidP="000E477F">
      <w:pPr>
        <w:jc w:val="center"/>
        <w:rPr>
          <w:rFonts w:cs="Arial"/>
          <w:szCs w:val="20"/>
        </w:rPr>
      </w:pPr>
      <w:r>
        <w:rPr>
          <w:rFonts w:cs="Arial"/>
          <w:szCs w:val="20"/>
        </w:rPr>
        <w:t>»24.a člen</w:t>
      </w:r>
    </w:p>
    <w:p w:rsidR="000E477F" w:rsidRDefault="000E477F" w:rsidP="000E477F">
      <w:pPr>
        <w:jc w:val="center"/>
        <w:rPr>
          <w:rFonts w:cs="Arial"/>
          <w:szCs w:val="20"/>
        </w:rPr>
      </w:pPr>
      <w:r>
        <w:rPr>
          <w:rFonts w:cs="Arial"/>
          <w:szCs w:val="20"/>
        </w:rPr>
        <w:t>(služba za varovanje objektov in okolišev, ki so posebnega pomena za obrambo, in ukrepi pri izvajanju nalog)</w:t>
      </w:r>
    </w:p>
    <w:p w:rsidR="000E477F" w:rsidRDefault="000E477F" w:rsidP="000E477F">
      <w:pPr>
        <w:rPr>
          <w:rFonts w:cs="Arial"/>
          <w:szCs w:val="20"/>
        </w:rPr>
      </w:pPr>
    </w:p>
    <w:p w:rsidR="000E477F" w:rsidRDefault="000E477F" w:rsidP="000E477F">
      <w:pPr>
        <w:jc w:val="both"/>
        <w:rPr>
          <w:rFonts w:cs="Arial"/>
          <w:szCs w:val="20"/>
        </w:rPr>
      </w:pPr>
      <w:r>
        <w:rPr>
          <w:rFonts w:cs="Arial"/>
          <w:szCs w:val="20"/>
        </w:rPr>
        <w:t>(1) Ne glede na Zakon o obrambi se lahko v miru na ministrstvu organizira služba varovanja, ki fizično varuje objekte in okoliše objektov, ki so posebnega pomena za obrambo (v nadaljnjem besedilu: varovan objekt),</w:t>
      </w:r>
      <w:r>
        <w:t xml:space="preserve"> </w:t>
      </w:r>
      <w:r>
        <w:rPr>
          <w:rFonts w:cs="Arial"/>
          <w:szCs w:val="20"/>
        </w:rPr>
        <w:t xml:space="preserve">za katere ocena tveganja to dopušča. V službi varovanja, ki je notranja organizacijska enota ministrstva, se lahko zaposlijo javni uslužbenci, ki opravljajo delo varnostnika in izpolnjujejo pogoje za zaposlitev v skladu z Zakonom o obrambi in zakonom, ki ureja zasebno varovanje. Varnostnik pri opravljanju dela nosi službeno strelno orožje, službeno izkaznico in delovno obleko, ki jih predpiše minister.  </w:t>
      </w:r>
    </w:p>
    <w:p w:rsidR="000E477F" w:rsidRDefault="000E477F" w:rsidP="000E477F">
      <w:pPr>
        <w:rPr>
          <w:rFonts w:cs="Arial"/>
          <w:szCs w:val="20"/>
        </w:rPr>
      </w:pPr>
      <w:r>
        <w:rPr>
          <w:rFonts w:cs="Arial"/>
          <w:szCs w:val="20"/>
        </w:rPr>
        <w:t>(2) Pri izvajanju nalog varovanja sme varnostnik izvajati naslednje ukrepe v skladu s prvim odstavkom 29. člena Zakona o obrambi:</w:t>
      </w:r>
    </w:p>
    <w:p w:rsidR="000E477F" w:rsidRDefault="000E477F" w:rsidP="000E477F">
      <w:pPr>
        <w:pStyle w:val="Odstavekseznama"/>
        <w:numPr>
          <w:ilvl w:val="0"/>
          <w:numId w:val="2"/>
        </w:numPr>
        <w:spacing w:line="256" w:lineRule="auto"/>
        <w:jc w:val="both"/>
        <w:rPr>
          <w:rFonts w:ascii="Arial" w:hAnsi="Arial" w:cs="Arial"/>
          <w:sz w:val="20"/>
          <w:szCs w:val="20"/>
        </w:rPr>
      </w:pPr>
      <w:r>
        <w:rPr>
          <w:rFonts w:ascii="Arial" w:hAnsi="Arial" w:cs="Arial"/>
          <w:sz w:val="20"/>
          <w:szCs w:val="20"/>
        </w:rPr>
        <w:t>opozoriti osebo, naj odide z varovanega objekta, ki ga varuje, če se ta tam neupravičeno zadržuje;</w:t>
      </w:r>
    </w:p>
    <w:p w:rsidR="000E477F" w:rsidRDefault="000E477F" w:rsidP="000E477F">
      <w:pPr>
        <w:pStyle w:val="Odstavekseznama"/>
        <w:numPr>
          <w:ilvl w:val="0"/>
          <w:numId w:val="2"/>
        </w:numPr>
        <w:spacing w:line="256" w:lineRule="auto"/>
        <w:jc w:val="both"/>
        <w:rPr>
          <w:rFonts w:ascii="Arial" w:hAnsi="Arial" w:cs="Arial"/>
          <w:sz w:val="20"/>
          <w:szCs w:val="20"/>
        </w:rPr>
      </w:pPr>
      <w:r>
        <w:rPr>
          <w:rFonts w:ascii="Arial" w:hAnsi="Arial" w:cs="Arial"/>
          <w:sz w:val="20"/>
          <w:szCs w:val="20"/>
        </w:rPr>
        <w:t>ugotoviti istovetnost osebe pri vstopu oziroma izstopu iz varovanega objekta, kadar je to potrebno za varnost ljudi in premoženja, ki ga varuje;</w:t>
      </w:r>
    </w:p>
    <w:p w:rsidR="000E477F" w:rsidRDefault="000E477F" w:rsidP="000E477F">
      <w:pPr>
        <w:pStyle w:val="Odstavekseznama"/>
        <w:numPr>
          <w:ilvl w:val="0"/>
          <w:numId w:val="2"/>
        </w:numPr>
        <w:spacing w:line="256" w:lineRule="auto"/>
        <w:jc w:val="both"/>
        <w:rPr>
          <w:rFonts w:ascii="Arial" w:hAnsi="Arial" w:cs="Arial"/>
          <w:sz w:val="20"/>
          <w:szCs w:val="20"/>
        </w:rPr>
      </w:pPr>
      <w:r>
        <w:rPr>
          <w:rFonts w:ascii="Arial" w:hAnsi="Arial" w:cs="Arial"/>
          <w:sz w:val="20"/>
          <w:szCs w:val="20"/>
        </w:rPr>
        <w:t>površinsko pregledati vrhnja oblačila, notranjost vozila in prtljago osebe pri vstopu oziroma izstopu z varovanega objekta, če je to potrebno za varnost ljudi in premoženja, ki ga varuje;</w:t>
      </w:r>
    </w:p>
    <w:p w:rsidR="000E477F" w:rsidRDefault="000E477F" w:rsidP="000E477F">
      <w:pPr>
        <w:pStyle w:val="Odstavekseznama"/>
        <w:numPr>
          <w:ilvl w:val="0"/>
          <w:numId w:val="2"/>
        </w:numPr>
        <w:spacing w:line="256" w:lineRule="auto"/>
        <w:jc w:val="both"/>
        <w:rPr>
          <w:rFonts w:ascii="Arial" w:hAnsi="Arial" w:cs="Arial"/>
          <w:sz w:val="20"/>
          <w:szCs w:val="20"/>
        </w:rPr>
      </w:pPr>
      <w:r>
        <w:rPr>
          <w:rFonts w:ascii="Arial" w:hAnsi="Arial" w:cs="Arial"/>
          <w:sz w:val="20"/>
          <w:szCs w:val="20"/>
        </w:rPr>
        <w:t>preprečiti osebi vstop v varovani objekt oziroma izstop iz njega, če ta odkloni pregled iz prejšnje točke ali če nasprotuje ugotavljanju njene istovetnosti iz 2. točke tega člena;</w:t>
      </w:r>
    </w:p>
    <w:p w:rsidR="000E477F" w:rsidRDefault="000E477F" w:rsidP="000E477F">
      <w:pPr>
        <w:pStyle w:val="Odstavekseznama"/>
        <w:numPr>
          <w:ilvl w:val="0"/>
          <w:numId w:val="2"/>
        </w:numPr>
        <w:spacing w:line="256" w:lineRule="auto"/>
        <w:jc w:val="both"/>
        <w:rPr>
          <w:rFonts w:ascii="Arial" w:hAnsi="Arial" w:cs="Arial"/>
          <w:sz w:val="20"/>
          <w:szCs w:val="20"/>
        </w:rPr>
      </w:pPr>
      <w:r>
        <w:rPr>
          <w:rFonts w:ascii="Arial" w:hAnsi="Arial" w:cs="Arial"/>
          <w:sz w:val="20"/>
          <w:szCs w:val="20"/>
        </w:rPr>
        <w:t>zahtevati od osebe, ki ogroža varnost ljudi, premoženje ali hišni red v varovanem objektu, da s tem takoj preneha ali varovani objekt zapusti;</w:t>
      </w:r>
    </w:p>
    <w:p w:rsidR="000E477F" w:rsidRDefault="000E477F" w:rsidP="000E477F">
      <w:pPr>
        <w:pStyle w:val="Odstavekseznama"/>
        <w:numPr>
          <w:ilvl w:val="0"/>
          <w:numId w:val="2"/>
        </w:numPr>
        <w:spacing w:line="256" w:lineRule="auto"/>
        <w:jc w:val="both"/>
        <w:rPr>
          <w:rFonts w:ascii="Arial" w:hAnsi="Arial" w:cs="Arial"/>
          <w:sz w:val="20"/>
          <w:szCs w:val="20"/>
        </w:rPr>
      </w:pPr>
      <w:r>
        <w:rPr>
          <w:rFonts w:ascii="Arial" w:hAnsi="Arial" w:cs="Arial"/>
          <w:sz w:val="20"/>
          <w:szCs w:val="20"/>
        </w:rPr>
        <w:t>zadržati osebo, ki so jo zalotili pri kaznivem dejanju v varovanem objektu, do prihoda vojaške policije;</w:t>
      </w:r>
    </w:p>
    <w:p w:rsidR="000E477F" w:rsidRDefault="000E477F" w:rsidP="000E477F">
      <w:pPr>
        <w:pStyle w:val="Odstavekseznama"/>
        <w:numPr>
          <w:ilvl w:val="0"/>
          <w:numId w:val="2"/>
        </w:numPr>
        <w:spacing w:line="256" w:lineRule="auto"/>
        <w:jc w:val="both"/>
        <w:rPr>
          <w:rFonts w:ascii="Arial" w:hAnsi="Arial" w:cs="Arial"/>
          <w:sz w:val="20"/>
          <w:szCs w:val="20"/>
        </w:rPr>
      </w:pPr>
      <w:r>
        <w:rPr>
          <w:rFonts w:ascii="Arial" w:hAnsi="Arial" w:cs="Arial"/>
          <w:sz w:val="20"/>
          <w:szCs w:val="20"/>
        </w:rPr>
        <w:t>uporabiti sredstva za vklepanje, če osebe iz prejšnje točke ni moč zadržati drugače;</w:t>
      </w:r>
    </w:p>
    <w:p w:rsidR="000E477F" w:rsidRDefault="000E477F" w:rsidP="000E477F">
      <w:pPr>
        <w:pStyle w:val="Odstavekseznama"/>
        <w:numPr>
          <w:ilvl w:val="0"/>
          <w:numId w:val="2"/>
        </w:numPr>
        <w:spacing w:line="256" w:lineRule="auto"/>
        <w:jc w:val="both"/>
        <w:rPr>
          <w:rFonts w:ascii="Arial" w:hAnsi="Arial" w:cs="Arial"/>
          <w:sz w:val="20"/>
          <w:szCs w:val="20"/>
        </w:rPr>
      </w:pPr>
      <w:r>
        <w:rPr>
          <w:rFonts w:ascii="Arial" w:hAnsi="Arial" w:cs="Arial"/>
          <w:sz w:val="20"/>
          <w:szCs w:val="20"/>
        </w:rPr>
        <w:t>uporabiti fizično silo, če osebi ne more drugače preprečiti vstopa v varovani objekt oziroma izstopa iz njega, preprečiti neposrednega ogrožanja življenja ljudi ali premoženja, ki ga varuje, ali zadržati osebe do prihoda vojaške policije.</w:t>
      </w:r>
    </w:p>
    <w:p w:rsidR="000E477F" w:rsidRDefault="000E477F" w:rsidP="000E477F">
      <w:pPr>
        <w:jc w:val="both"/>
        <w:rPr>
          <w:rFonts w:cs="Arial"/>
          <w:szCs w:val="20"/>
        </w:rPr>
      </w:pPr>
      <w:r>
        <w:rPr>
          <w:rFonts w:cs="Arial"/>
          <w:szCs w:val="20"/>
        </w:rPr>
        <w:t xml:space="preserve">(2) Varnostnik sme ukrepati samo tako, kot je določeno s tem zakonom, da z najmanjšimi škodljivimi posledicami doseže izvršitev naloge. Če je glede na okoliščine dopustno uporabiti več ukrepov, uporabi najprej tistega, ki osebi najmanj škoduje. Z uporabo ukrepa mora varnostnik </w:t>
      </w:r>
      <w:r>
        <w:rPr>
          <w:rFonts w:cs="Arial"/>
          <w:szCs w:val="20"/>
        </w:rPr>
        <w:lastRenderedPageBreak/>
        <w:t>prenehati takoj, ko prenehajo razlogi, zaradi katerih je bil ta uporabljen, ali če ugotovi, da naloge tako ne bo mogel opraviti.</w:t>
      </w:r>
    </w:p>
    <w:p w:rsidR="000E477F" w:rsidRDefault="000E477F" w:rsidP="000E477F">
      <w:pPr>
        <w:jc w:val="both"/>
        <w:rPr>
          <w:rFonts w:cs="Arial"/>
          <w:szCs w:val="20"/>
        </w:rPr>
      </w:pPr>
    </w:p>
    <w:p w:rsidR="000E477F" w:rsidRDefault="000E477F" w:rsidP="000E477F">
      <w:pPr>
        <w:jc w:val="both"/>
        <w:rPr>
          <w:rFonts w:cs="Arial"/>
          <w:szCs w:val="20"/>
        </w:rPr>
      </w:pPr>
    </w:p>
    <w:p w:rsidR="000E477F" w:rsidRDefault="000E477F" w:rsidP="000E477F">
      <w:pPr>
        <w:jc w:val="center"/>
        <w:rPr>
          <w:rFonts w:cs="Arial"/>
          <w:szCs w:val="20"/>
        </w:rPr>
      </w:pPr>
      <w:r>
        <w:rPr>
          <w:rFonts w:cs="Arial"/>
          <w:szCs w:val="20"/>
        </w:rPr>
        <w:t>24.b člen</w:t>
      </w:r>
    </w:p>
    <w:p w:rsidR="000E477F" w:rsidRDefault="000E477F" w:rsidP="000E477F">
      <w:pPr>
        <w:jc w:val="center"/>
        <w:rPr>
          <w:rFonts w:cs="Arial"/>
          <w:szCs w:val="20"/>
        </w:rPr>
      </w:pPr>
      <w:r>
        <w:rPr>
          <w:rFonts w:cs="Arial"/>
          <w:szCs w:val="20"/>
        </w:rPr>
        <w:t>(uporaba strelnega orožja)</w:t>
      </w:r>
    </w:p>
    <w:p w:rsidR="000E477F" w:rsidRDefault="000E477F" w:rsidP="000E477F">
      <w:pPr>
        <w:rPr>
          <w:rFonts w:cs="Arial"/>
          <w:szCs w:val="20"/>
        </w:rPr>
      </w:pPr>
    </w:p>
    <w:p w:rsidR="000E477F" w:rsidRDefault="000E477F" w:rsidP="000E477F">
      <w:pPr>
        <w:rPr>
          <w:rFonts w:cs="Arial"/>
          <w:szCs w:val="20"/>
        </w:rPr>
      </w:pPr>
      <w:r>
        <w:rPr>
          <w:rFonts w:cs="Arial"/>
          <w:szCs w:val="20"/>
        </w:rPr>
        <w:t xml:space="preserve"> (1) Pri opravljanju nalog varovanja sme varnostnik uporabiti strelno orožje samo, če ne more drugače:</w:t>
      </w:r>
    </w:p>
    <w:p w:rsidR="000E477F" w:rsidRDefault="000E477F" w:rsidP="000E477F">
      <w:pPr>
        <w:pStyle w:val="Odstavekseznama"/>
        <w:numPr>
          <w:ilvl w:val="0"/>
          <w:numId w:val="3"/>
        </w:numPr>
        <w:spacing w:line="256" w:lineRule="auto"/>
        <w:rPr>
          <w:rFonts w:ascii="Arial" w:hAnsi="Arial" w:cs="Arial"/>
          <w:sz w:val="20"/>
          <w:szCs w:val="20"/>
        </w:rPr>
      </w:pPr>
      <w:r>
        <w:rPr>
          <w:rFonts w:ascii="Arial" w:hAnsi="Arial" w:cs="Arial"/>
          <w:sz w:val="20"/>
          <w:szCs w:val="20"/>
        </w:rPr>
        <w:t>zavarovati življenja ljudi;</w:t>
      </w:r>
    </w:p>
    <w:p w:rsidR="000E477F" w:rsidRDefault="000E477F" w:rsidP="000E477F">
      <w:pPr>
        <w:pStyle w:val="Odstavekseznama"/>
        <w:numPr>
          <w:ilvl w:val="0"/>
          <w:numId w:val="3"/>
        </w:numPr>
        <w:spacing w:line="256" w:lineRule="auto"/>
        <w:rPr>
          <w:rFonts w:ascii="Arial" w:hAnsi="Arial" w:cs="Arial"/>
          <w:sz w:val="20"/>
          <w:szCs w:val="20"/>
        </w:rPr>
      </w:pPr>
      <w:r>
        <w:rPr>
          <w:rFonts w:ascii="Arial" w:hAnsi="Arial" w:cs="Arial"/>
          <w:sz w:val="20"/>
          <w:szCs w:val="20"/>
        </w:rPr>
        <w:t>odvrniti napada na varovani objekt;</w:t>
      </w:r>
    </w:p>
    <w:p w:rsidR="000E477F" w:rsidRDefault="000E477F" w:rsidP="000E477F">
      <w:pPr>
        <w:pStyle w:val="Odstavekseznama"/>
        <w:numPr>
          <w:ilvl w:val="0"/>
          <w:numId w:val="3"/>
        </w:numPr>
        <w:spacing w:line="256" w:lineRule="auto"/>
        <w:rPr>
          <w:rFonts w:ascii="Arial" w:hAnsi="Arial" w:cs="Arial"/>
          <w:sz w:val="20"/>
          <w:szCs w:val="20"/>
        </w:rPr>
      </w:pPr>
      <w:r>
        <w:rPr>
          <w:rFonts w:ascii="Arial" w:hAnsi="Arial" w:cs="Arial"/>
          <w:sz w:val="20"/>
          <w:szCs w:val="20"/>
        </w:rPr>
        <w:t>odvrniti neposrednega protipravnega napada, s katerim je ogroženo njegovo življenje.</w:t>
      </w:r>
    </w:p>
    <w:p w:rsidR="000E477F" w:rsidRDefault="000E477F" w:rsidP="000E477F">
      <w:pPr>
        <w:rPr>
          <w:rFonts w:cs="Arial"/>
          <w:szCs w:val="20"/>
        </w:rPr>
      </w:pPr>
      <w:r>
        <w:rPr>
          <w:rFonts w:cs="Arial"/>
          <w:szCs w:val="20"/>
        </w:rPr>
        <w:t>(2) Preden varnostnik uporabi strelno orožje, mora, kadar okoliščine to dopuščajo, osebo, zoper katero naj bi uporabil strelno orožje, opozoriti s klicem: "Stoj, streljal bom!" in z opozorilnim strelom.</w:t>
      </w:r>
    </w:p>
    <w:p w:rsidR="000E477F" w:rsidRDefault="000E477F" w:rsidP="000E477F">
      <w:pPr>
        <w:rPr>
          <w:rFonts w:cs="Arial"/>
          <w:szCs w:val="20"/>
        </w:rPr>
      </w:pPr>
    </w:p>
    <w:p w:rsidR="000E477F" w:rsidRDefault="000E477F" w:rsidP="000E477F">
      <w:pPr>
        <w:jc w:val="center"/>
        <w:rPr>
          <w:rFonts w:cs="Arial"/>
          <w:szCs w:val="20"/>
        </w:rPr>
      </w:pPr>
      <w:r>
        <w:rPr>
          <w:rFonts w:cs="Arial"/>
          <w:szCs w:val="20"/>
        </w:rPr>
        <w:t>24.c člen</w:t>
      </w:r>
    </w:p>
    <w:p w:rsidR="000E477F" w:rsidRDefault="000E477F" w:rsidP="000E477F">
      <w:pPr>
        <w:jc w:val="center"/>
        <w:rPr>
          <w:rFonts w:cs="Arial"/>
          <w:szCs w:val="20"/>
        </w:rPr>
      </w:pPr>
      <w:r>
        <w:rPr>
          <w:rFonts w:cs="Arial"/>
          <w:szCs w:val="20"/>
        </w:rPr>
        <w:t>(evidentiranje dogodkov in ukrepov)</w:t>
      </w:r>
    </w:p>
    <w:p w:rsidR="000E477F" w:rsidRDefault="000E477F" w:rsidP="000E477F">
      <w:pPr>
        <w:jc w:val="center"/>
        <w:rPr>
          <w:rFonts w:cs="Arial"/>
          <w:szCs w:val="20"/>
        </w:rPr>
      </w:pPr>
    </w:p>
    <w:p w:rsidR="000E477F" w:rsidRDefault="000E477F" w:rsidP="000E477F">
      <w:pPr>
        <w:jc w:val="both"/>
        <w:rPr>
          <w:rFonts w:cs="Arial"/>
          <w:szCs w:val="20"/>
        </w:rPr>
      </w:pPr>
      <w:r>
        <w:rPr>
          <w:rFonts w:cs="Arial"/>
          <w:szCs w:val="20"/>
        </w:rPr>
        <w:t>(1) Varnostnik, ki uporabi ukrepe iz 4., 6., 7. ali 8. točke drugega odstavka 24.a člena tega zakona mora o tem takoj pisno obvestiti nadrejenega in vojaško policijo.</w:t>
      </w:r>
    </w:p>
    <w:p w:rsidR="000E477F" w:rsidRDefault="000E477F" w:rsidP="000E477F">
      <w:pPr>
        <w:jc w:val="both"/>
        <w:rPr>
          <w:rFonts w:cs="Arial"/>
          <w:szCs w:val="20"/>
        </w:rPr>
      </w:pPr>
      <w:r>
        <w:rPr>
          <w:rFonts w:cs="Arial"/>
          <w:szCs w:val="20"/>
        </w:rPr>
        <w:t>(2) Pisno obvestilo iz prejšnjega odstavka vsebuje tudi podatke iz tretjega, četrtega in petega odstavka 18.a člena Zakona o Slovenski obveščevalno-varnostni agenciji (Uradni list RS, št. 81/06 – uradno prečiščeno besedilo).«.«.</w:t>
      </w:r>
    </w:p>
    <w:p w:rsidR="000E477F" w:rsidRDefault="000E477F" w:rsidP="000E477F">
      <w:pPr>
        <w:rPr>
          <w:rFonts w:cs="Arial"/>
          <w:szCs w:val="20"/>
        </w:rPr>
      </w:pPr>
    </w:p>
    <w:p w:rsidR="000E477F" w:rsidRDefault="000E477F" w:rsidP="000E477F">
      <w:pPr>
        <w:rPr>
          <w:rFonts w:cs="Arial"/>
          <w:szCs w:val="20"/>
        </w:rPr>
      </w:pPr>
      <w:r>
        <w:rPr>
          <w:rFonts w:cs="Arial"/>
          <w:szCs w:val="20"/>
        </w:rPr>
        <w:t>Obrazložitev:</w:t>
      </w:r>
    </w:p>
    <w:p w:rsidR="000E477F" w:rsidRDefault="000E477F" w:rsidP="000E477F">
      <w:pPr>
        <w:jc w:val="both"/>
        <w:rPr>
          <w:rFonts w:eastAsiaTheme="minorHAnsi" w:cs="Arial"/>
          <w:szCs w:val="20"/>
        </w:rPr>
      </w:pPr>
      <w:r>
        <w:rPr>
          <w:rFonts w:cs="Arial"/>
          <w:szCs w:val="20"/>
        </w:rPr>
        <w:t xml:space="preserve">Z amandmajem se v skladu s pomisleki, ki jih je izrazila Zakonodajno-pravna službe Državnega zbora v Mnenju o Predlogu zakona o spremembah in dopolnitvah Zakona o službi v Slovenski vojski (ZSSloV-C), skrajšani postopek, EPA 2416-IX, št. 200-03/25-18/6 z dne 12. 11. 2025 (v nadaljnjem besedilu: mnenje ZPS) določneje navaja, da naloge varovanja lahko izvajajo javni uslužbenci ministrstva za obrambo, ki izpolnjujejo pogoje v skladu z Zakonom o obrambi in zakonom, ki ureja zasebno varovanje.  Določbo 2. člena predloga zakona glede internega varovanja objektov in okolišev, ki so posebnega pomena za obrambo smo predrugačili po vzoru Zakona o Slovenski obveščevalno-varnostni agenciji (Uradni list RS., št. 81/06 – uradno prečiščeno besedilo), členi 11.a do 11.č, ki urejajo službo varovanja Slovenske obveščevalno-varnostne agencije, ki fizično in s pomočjo tehničnih sredstev varuje ograjeno območje, objekte in prostore agencije. Poudarjamo, da ne gre za izvajanje ali organizacijo obrambe po Zakonu o obrambi ali Ustavi RS, ampak za »receptorske« oziroma varnostne  naloge, ki niso vrsta in organizacija obrambe, izvajajo pa se le v miru in le pri objektih, kjer ocena tveganja to dovoljuje. Podobna rešitev, ki se nanaša na upravni del Ministrstva za notranje zadeve v zvezi z določenimi organizacijskih rešitvami je tudi v Zakonu o organizaciji in delu policije, čeprav se organizacijske rešitve ne nanašajo samo na Policijo. V predlogu zakona je urejena tudi podlaga za nošenje in uporabo orožja, pogoji, ki jih morajo izpolnjevati javni uslužbenci, ki bodo opravljali naloge varovanja, in ukrepe, ki jih lahko izvajajo. Ti ukrepi so omejeni in ne pomenijo izvajanje stražarske ali druge vojaške oblike varovanja. Glede ukrepov javnih uslužbencev (varnostnikov) je treba poudariti, da lahko posegajo v človekove pravice in temeljne svoboščine, zato je ključno, da so s predlogom zakona natančno urejeni tudi pogoji in druge okoliščine, ki zasledujejo cilj varovanje objekta in okoliša, ki je posebnega pomena za obrambo, in zavarovanje življenja ljudi, v okviru katerih so postavljene zakonske meje za ravnanje teh oseb. V zvezi z izvajanjem ukrepov se zato sklicujemo na določilo prvega odstavka 29. člena ZObr, ki predpisuje ukrepe za varovanje objektov in okolišev, ki so posebnega pomena za obrambo. Zaradi posebne narave objektov, ki jih javni uslužbenec (varnostnik) varuje – objekti in okoliši posebnega pomena za obrambo – mora vedno ugotoviti, koga in zakaj bo spustil na takšno varovano območje. Zato je ukrep opozorila </w:t>
      </w:r>
      <w:r>
        <w:rPr>
          <w:rFonts w:cs="Arial"/>
          <w:szCs w:val="20"/>
        </w:rPr>
        <w:lastRenderedPageBreak/>
        <w:t>(kot najmilejši) in v nadaljevanju stopnjevanje ukrepov, kot so ugotavljanja istovetnosti, površinski pregled preprečitev vstopa, zadržanje, ipd. nujni, da se preveri, ali bi lahko dotični posameznik oziroma predmeti, ki jih ima s seboj, lahko ogrozili varnost varovanega objekta oziroma okoliša oziroma ljudi v njem. S predlogom ukrepa zahtevati od osebe, ki ogroža varnost ljudi, premoženja oziroma hišni red v varovanem območju, da z ogrožanjem preneha ali zapusti varovano območje, želi predlagatelj omogočiti (postaviti zahtevo) varnostniku, da pred uporabo fizične sile najprej poskuša opraviti svojo zakonito nalogo s tem milejšim ukrepom. Osebi, od katere varnostnik zahteva določno ravnanje pa, da se izogne hujšim posledicam, ki objektivno lahko nastanejo ob uporabi fizične sile. Na ta način predlagatelj v bistvu upošteva temeljno ustavno načelo sorazmernosti. Uporaba ukrepov je zato natančno opredeljena, s čemer se  izključuje možnost samovoljnega in nekontroliranega  omejevanja gibanja oseb brez ustrezne pravne podlage.  Javni uslužbenci, ki bodo opravljali naloge varovanja morajo izpolnjevati vse pogoje v skladu z ZObr in zakonom, ki ureja zasebno varovanje.</w:t>
      </w:r>
    </w:p>
    <w:p w:rsidR="000E477F" w:rsidRDefault="000E477F" w:rsidP="000E477F">
      <w:pPr>
        <w:autoSpaceDE w:val="0"/>
        <w:autoSpaceDN w:val="0"/>
        <w:jc w:val="both"/>
        <w:rPr>
          <w:rFonts w:eastAsia="Calibri" w:cs="Arial"/>
          <w:szCs w:val="20"/>
        </w:rPr>
      </w:pPr>
      <w:r>
        <w:rPr>
          <w:rFonts w:cs="Arial"/>
          <w:szCs w:val="20"/>
        </w:rPr>
        <w:t xml:space="preserve">Uporaba ukrepov javnih uslužbencev (varnostnikov) mora biti sorazmerna zakonitemu cilju uporabe. Varnostnik sme ukrepati samo takrat, ko je to določeno s tem zakonom in na način, ki mu omogoča, da nalogo opravi z najmanjšimi možnimi posledicami. Z ukrepom mora varnostnik prenehati takoj, ko prenehajo razlogi, zaradi katerih je bil uporabljen. S tem se pri določanju  ukrepov prepoveduje uporaba prekomerne sile in uvaja načelo postopnosti (sorazmernosti) ukrepov od milejšega k strožjemu. Dodatno je postavljen pogoj, da se strožji ukrepi (kot na primer uporaba fizične sile) v skladu s predlogom lahko uporabijo le do prihoda vojaške policije.  </w:t>
      </w:r>
    </w:p>
    <w:p w:rsidR="000E477F" w:rsidRDefault="000E477F" w:rsidP="000E477F">
      <w:pPr>
        <w:autoSpaceDE w:val="0"/>
        <w:autoSpaceDN w:val="0"/>
        <w:jc w:val="both"/>
        <w:rPr>
          <w:rFonts w:cs="Arial"/>
          <w:szCs w:val="20"/>
        </w:rPr>
      </w:pPr>
      <w:r>
        <w:rPr>
          <w:rFonts w:cs="Arial"/>
          <w:szCs w:val="20"/>
        </w:rPr>
        <w:t xml:space="preserve">S predlogom zakona so opredeljeni pogoji, skladno s katerimi lahko javni uslužbenec (varnostnik) uporabi strelno orožje, in sicer se ta ukrep lahko uporabi le zaradi  zavarovanja življenja ljudi oziroma lastnega življenja (silobran) in v primeru odvrnitve napada na varovani objekt. </w:t>
      </w:r>
    </w:p>
    <w:p w:rsidR="000E477F" w:rsidRDefault="000E477F" w:rsidP="000E477F">
      <w:pPr>
        <w:autoSpaceDE w:val="0"/>
        <w:autoSpaceDN w:val="0"/>
        <w:jc w:val="both"/>
        <w:rPr>
          <w:rFonts w:cs="Arial"/>
          <w:szCs w:val="20"/>
        </w:rPr>
      </w:pPr>
      <w:r>
        <w:rPr>
          <w:rFonts w:cs="Arial"/>
          <w:szCs w:val="20"/>
        </w:rPr>
        <w:t xml:space="preserve">Predlog zakona določa tudi posebno obveznost javnih uslužbencev (varnostnikov), da v primeru uporabe ukrepov iz tega zakona o tem poročajo predstojniku in vojaški policiji, s čemer se zagotavlja transparentnost njihovega delovanja na tem občutljivem področju dela, omogoča nadzor nad zakonitostjo dela ter organu pregona (vojaški policiji) omogoča učinkovito nadaljnje ravnanje, skladno z njihovimi pooblastili.  </w:t>
      </w:r>
    </w:p>
    <w:p w:rsidR="000E477F" w:rsidRDefault="000E477F" w:rsidP="000E477F">
      <w:pPr>
        <w:jc w:val="both"/>
        <w:rPr>
          <w:rFonts w:cs="Arial"/>
          <w:szCs w:val="20"/>
        </w:rPr>
      </w:pPr>
    </w:p>
    <w:p w:rsidR="000E477F" w:rsidRDefault="000E477F" w:rsidP="000E477F">
      <w:pPr>
        <w:jc w:val="both"/>
        <w:rPr>
          <w:rFonts w:cs="Arial"/>
          <w:b/>
          <w:szCs w:val="20"/>
          <w:u w:val="single"/>
        </w:rPr>
      </w:pPr>
      <w:r>
        <w:rPr>
          <w:rFonts w:cs="Arial"/>
          <w:b/>
          <w:szCs w:val="20"/>
          <w:u w:val="single"/>
        </w:rPr>
        <w:t>4. členu</w:t>
      </w:r>
    </w:p>
    <w:p w:rsidR="000E477F" w:rsidRDefault="000E477F" w:rsidP="000E477F">
      <w:pPr>
        <w:jc w:val="both"/>
        <w:rPr>
          <w:rFonts w:cs="Arial"/>
          <w:szCs w:val="20"/>
        </w:rPr>
      </w:pPr>
      <w:r>
        <w:rPr>
          <w:rFonts w:cs="Arial"/>
          <w:szCs w:val="20"/>
        </w:rPr>
        <w:t>V 4. členu se v spremenjenem tretjem odstavku 50. člena:</w:t>
      </w:r>
    </w:p>
    <w:p w:rsidR="000E477F" w:rsidRDefault="000E477F" w:rsidP="000E477F">
      <w:pPr>
        <w:pStyle w:val="Odstavekseznama"/>
        <w:numPr>
          <w:ilvl w:val="0"/>
          <w:numId w:val="4"/>
        </w:numPr>
        <w:spacing w:line="256" w:lineRule="auto"/>
        <w:jc w:val="both"/>
        <w:rPr>
          <w:rFonts w:ascii="Arial" w:hAnsi="Arial" w:cs="Arial"/>
          <w:sz w:val="20"/>
          <w:szCs w:val="20"/>
        </w:rPr>
      </w:pPr>
      <w:r>
        <w:rPr>
          <w:rFonts w:ascii="Arial" w:hAnsi="Arial" w:cs="Arial"/>
          <w:sz w:val="20"/>
          <w:szCs w:val="20"/>
        </w:rPr>
        <w:t>v drugi alineji beseda »mesečne« črta;</w:t>
      </w:r>
    </w:p>
    <w:p w:rsidR="000E477F" w:rsidRDefault="000E477F" w:rsidP="000E477F">
      <w:pPr>
        <w:pStyle w:val="Odstavekseznama"/>
        <w:numPr>
          <w:ilvl w:val="0"/>
          <w:numId w:val="4"/>
        </w:numPr>
        <w:spacing w:line="256" w:lineRule="auto"/>
        <w:jc w:val="both"/>
        <w:rPr>
          <w:rFonts w:ascii="Arial" w:hAnsi="Arial" w:cs="Arial"/>
          <w:sz w:val="20"/>
          <w:szCs w:val="20"/>
        </w:rPr>
      </w:pPr>
      <w:r>
        <w:rPr>
          <w:rFonts w:ascii="Arial" w:hAnsi="Arial" w:cs="Arial"/>
          <w:sz w:val="20"/>
          <w:szCs w:val="20"/>
        </w:rPr>
        <w:t>v tretji alineji se besedilo »z državnim organom, ki opravlja naloge v sistemu notranje varnosti,« nadomesti z besedilom »s policijo« in beseda »tripartitno« črta.</w:t>
      </w:r>
    </w:p>
    <w:p w:rsidR="000E477F" w:rsidRDefault="000E477F" w:rsidP="000E477F">
      <w:pPr>
        <w:jc w:val="both"/>
        <w:rPr>
          <w:rFonts w:cs="Arial"/>
          <w:szCs w:val="20"/>
        </w:rPr>
      </w:pPr>
    </w:p>
    <w:p w:rsidR="000E477F" w:rsidRDefault="000E477F" w:rsidP="000E477F">
      <w:pPr>
        <w:jc w:val="both"/>
        <w:rPr>
          <w:rFonts w:cs="Arial"/>
          <w:szCs w:val="20"/>
        </w:rPr>
      </w:pPr>
      <w:r>
        <w:rPr>
          <w:rFonts w:cs="Arial"/>
          <w:szCs w:val="20"/>
        </w:rPr>
        <w:t>Obrazložitev:</w:t>
      </w:r>
    </w:p>
    <w:p w:rsidR="000E477F" w:rsidRDefault="000E477F" w:rsidP="000E477F">
      <w:pPr>
        <w:jc w:val="both"/>
        <w:rPr>
          <w:rFonts w:cs="Arial"/>
          <w:szCs w:val="20"/>
        </w:rPr>
      </w:pPr>
      <w:r>
        <w:rPr>
          <w:rFonts w:cs="Arial"/>
          <w:szCs w:val="20"/>
        </w:rPr>
        <w:t>Amandma je redakcijske narave. Na črtanje dveh odvečnih besed in na bolj jasno opredelitev, za kateri organ, ki izvaja naloge nacionalne varnosti gre, je opozorila Zakonodajno-pravna službe Državnega zbora v mnenju ZPS. Sedaj določno navajamo, da gre za policijo.</w:t>
      </w:r>
    </w:p>
    <w:p w:rsidR="000E477F" w:rsidRDefault="000E477F" w:rsidP="000E477F">
      <w:pPr>
        <w:jc w:val="both"/>
        <w:rPr>
          <w:rFonts w:cs="Arial"/>
          <w:szCs w:val="20"/>
        </w:rPr>
      </w:pPr>
    </w:p>
    <w:p w:rsidR="000E477F" w:rsidRDefault="000E477F" w:rsidP="000E477F">
      <w:pPr>
        <w:jc w:val="both"/>
        <w:rPr>
          <w:rFonts w:cs="Arial"/>
          <w:b/>
          <w:szCs w:val="20"/>
          <w:u w:val="single"/>
        </w:rPr>
      </w:pPr>
      <w:r>
        <w:rPr>
          <w:rFonts w:cs="Arial"/>
          <w:b/>
          <w:szCs w:val="20"/>
          <w:u w:val="single"/>
        </w:rPr>
        <w:t>K 5. členu</w:t>
      </w:r>
    </w:p>
    <w:p w:rsidR="000E477F" w:rsidRDefault="000E477F" w:rsidP="000E477F">
      <w:pPr>
        <w:jc w:val="both"/>
        <w:rPr>
          <w:rFonts w:cs="Arial"/>
          <w:szCs w:val="20"/>
        </w:rPr>
      </w:pPr>
      <w:r>
        <w:rPr>
          <w:rFonts w:cs="Arial"/>
          <w:szCs w:val="20"/>
        </w:rPr>
        <w:t>V 5. členu se v novem 50.a členu:</w:t>
      </w:r>
    </w:p>
    <w:p w:rsidR="000E477F" w:rsidRDefault="000E477F" w:rsidP="000E477F">
      <w:pPr>
        <w:pStyle w:val="Odstavekseznama"/>
        <w:numPr>
          <w:ilvl w:val="0"/>
          <w:numId w:val="5"/>
        </w:numPr>
        <w:spacing w:line="256" w:lineRule="auto"/>
        <w:jc w:val="both"/>
        <w:rPr>
          <w:rFonts w:ascii="Arial" w:hAnsi="Arial" w:cs="Arial"/>
          <w:sz w:val="20"/>
          <w:szCs w:val="20"/>
        </w:rPr>
      </w:pPr>
      <w:r>
        <w:rPr>
          <w:rFonts w:ascii="Arial" w:hAnsi="Arial" w:cs="Arial"/>
          <w:sz w:val="20"/>
          <w:szCs w:val="20"/>
        </w:rPr>
        <w:t>besedilo »z uredbo, ki ureja opravljanje vojaške službe v rezervni sestavi Slovenske vojske« nadomesti z besedilom »petega odstavka 47. člena Zakona o obrambi«;</w:t>
      </w:r>
    </w:p>
    <w:p w:rsidR="000E477F" w:rsidRDefault="000E477F" w:rsidP="000E477F">
      <w:pPr>
        <w:pStyle w:val="Odstavekseznama"/>
        <w:numPr>
          <w:ilvl w:val="0"/>
          <w:numId w:val="5"/>
        </w:numPr>
        <w:spacing w:line="256" w:lineRule="auto"/>
        <w:jc w:val="both"/>
        <w:rPr>
          <w:rFonts w:ascii="Arial" w:hAnsi="Arial" w:cs="Arial"/>
          <w:sz w:val="20"/>
          <w:szCs w:val="20"/>
        </w:rPr>
      </w:pPr>
      <w:r>
        <w:rPr>
          <w:rFonts w:ascii="Arial" w:hAnsi="Arial" w:cs="Arial"/>
          <w:sz w:val="20"/>
          <w:szCs w:val="20"/>
        </w:rPr>
        <w:t>besedilo »z državnim organom, ki opravlja naloge v sistemu notranje varnosti,« nadomesti z besedilom »s policijo«;</w:t>
      </w:r>
    </w:p>
    <w:p w:rsidR="000E477F" w:rsidRDefault="000E477F" w:rsidP="000E477F">
      <w:pPr>
        <w:pStyle w:val="Odstavekseznama"/>
        <w:numPr>
          <w:ilvl w:val="0"/>
          <w:numId w:val="5"/>
        </w:numPr>
        <w:spacing w:line="256" w:lineRule="auto"/>
        <w:jc w:val="both"/>
        <w:rPr>
          <w:rFonts w:ascii="Arial" w:hAnsi="Arial" w:cs="Arial"/>
          <w:sz w:val="20"/>
          <w:szCs w:val="20"/>
        </w:rPr>
      </w:pPr>
      <w:r>
        <w:rPr>
          <w:rFonts w:ascii="Arial" w:hAnsi="Arial" w:cs="Arial"/>
          <w:sz w:val="20"/>
          <w:szCs w:val="20"/>
        </w:rPr>
        <w:t>beseda »tripartitno« črta.</w:t>
      </w:r>
    </w:p>
    <w:p w:rsidR="000E477F" w:rsidRDefault="000E477F" w:rsidP="000E477F">
      <w:pPr>
        <w:jc w:val="both"/>
        <w:rPr>
          <w:rFonts w:cs="Arial"/>
          <w:szCs w:val="20"/>
        </w:rPr>
      </w:pPr>
    </w:p>
    <w:p w:rsidR="000E477F" w:rsidRDefault="000E477F" w:rsidP="000E477F">
      <w:pPr>
        <w:jc w:val="both"/>
        <w:rPr>
          <w:rFonts w:cs="Arial"/>
          <w:szCs w:val="20"/>
        </w:rPr>
      </w:pPr>
      <w:r>
        <w:rPr>
          <w:rFonts w:cs="Arial"/>
          <w:szCs w:val="20"/>
        </w:rPr>
        <w:t>Obrazložitev:</w:t>
      </w:r>
    </w:p>
    <w:p w:rsidR="000E477F" w:rsidRDefault="000E477F" w:rsidP="000E477F">
      <w:pPr>
        <w:jc w:val="both"/>
        <w:rPr>
          <w:rFonts w:cs="Arial"/>
          <w:szCs w:val="20"/>
        </w:rPr>
      </w:pPr>
      <w:r>
        <w:rPr>
          <w:rFonts w:cs="Arial"/>
          <w:szCs w:val="20"/>
        </w:rPr>
        <w:t xml:space="preserve">Iz mnenja ZPS izhaja, da se ob upoštevanju hierarhije pravnih aktov ni dopustno v zakonu sklicevati na pogoje, ki jih določa uredba, zato se sklic na uredbo nadomesti s sklicem na Zakon </w:t>
      </w:r>
      <w:r>
        <w:rPr>
          <w:rFonts w:cs="Arial"/>
          <w:szCs w:val="20"/>
        </w:rPr>
        <w:lastRenderedPageBreak/>
        <w:t>o obrambi. Bolj jasno se opredeliti, za kateri organ, ki izvaja naloge nacionalne varnosti gre, torej za policijo. Črta se odvečna beseda »tripartitne«.</w:t>
      </w:r>
    </w:p>
    <w:p w:rsidR="000E477F" w:rsidRDefault="000E477F" w:rsidP="000E477F">
      <w:pPr>
        <w:jc w:val="both"/>
        <w:rPr>
          <w:rFonts w:cs="Arial"/>
          <w:szCs w:val="20"/>
        </w:rPr>
      </w:pPr>
    </w:p>
    <w:p w:rsidR="000E477F" w:rsidRDefault="000E477F" w:rsidP="000E477F">
      <w:pPr>
        <w:jc w:val="both"/>
        <w:rPr>
          <w:rFonts w:cs="Arial"/>
          <w:b/>
          <w:szCs w:val="20"/>
          <w:u w:val="single"/>
        </w:rPr>
      </w:pPr>
      <w:r>
        <w:rPr>
          <w:rFonts w:cs="Arial"/>
          <w:b/>
          <w:szCs w:val="20"/>
          <w:u w:val="single"/>
        </w:rPr>
        <w:t>K 7. členu</w:t>
      </w:r>
    </w:p>
    <w:p w:rsidR="000E477F" w:rsidRDefault="000E477F" w:rsidP="000E477F">
      <w:pPr>
        <w:jc w:val="both"/>
        <w:rPr>
          <w:rFonts w:cs="Arial"/>
          <w:szCs w:val="20"/>
        </w:rPr>
      </w:pPr>
      <w:r>
        <w:rPr>
          <w:rFonts w:cs="Arial"/>
          <w:szCs w:val="20"/>
        </w:rPr>
        <w:t>V 7. členu se v novem 53.a členu v sedmem odstavku za besedo »osnove« doda besedilo »za izračun nadomestila plače, ki je določena z zakonom, ki ureja delovna razmerja«.</w:t>
      </w:r>
    </w:p>
    <w:p w:rsidR="000E477F" w:rsidRDefault="000E477F" w:rsidP="000E477F">
      <w:pPr>
        <w:jc w:val="both"/>
        <w:rPr>
          <w:rFonts w:cs="Arial"/>
          <w:szCs w:val="20"/>
        </w:rPr>
      </w:pPr>
    </w:p>
    <w:p w:rsidR="000E477F" w:rsidRDefault="000E477F" w:rsidP="000E477F">
      <w:pPr>
        <w:jc w:val="both"/>
        <w:rPr>
          <w:rFonts w:cs="Arial"/>
          <w:szCs w:val="20"/>
        </w:rPr>
      </w:pPr>
      <w:r>
        <w:rPr>
          <w:rFonts w:cs="Arial"/>
          <w:szCs w:val="20"/>
        </w:rPr>
        <w:t>Obrazložitev:</w:t>
      </w:r>
    </w:p>
    <w:p w:rsidR="000E477F" w:rsidRDefault="000E477F" w:rsidP="000E477F">
      <w:pPr>
        <w:jc w:val="both"/>
        <w:rPr>
          <w:rFonts w:cs="Arial"/>
          <w:szCs w:val="20"/>
        </w:rPr>
      </w:pPr>
      <w:r>
        <w:rPr>
          <w:rFonts w:cs="Arial"/>
          <w:szCs w:val="20"/>
        </w:rPr>
        <w:t xml:space="preserve">Z dodanim besedilom v skladu z mnenjem ZPS natančneje pojasnjujemo, za katero osnovo za plačilo med opravljanjem začetnega vojaškega usposabljanja gre, in sicer gre za nadomestilo plače v višini 100 odstotkov osnove za izračun nadomestila plače, ki je določena s 137. členom Zakona o delovnih razmerjih (Uradni list RS, št. 21/13, 78/13 – </w:t>
      </w:r>
      <w:proofErr w:type="spellStart"/>
      <w:r>
        <w:rPr>
          <w:rFonts w:cs="Arial"/>
          <w:szCs w:val="20"/>
        </w:rPr>
        <w:t>popr</w:t>
      </w:r>
      <w:proofErr w:type="spellEnd"/>
      <w:r>
        <w:rPr>
          <w:rFonts w:cs="Arial"/>
          <w:szCs w:val="20"/>
        </w:rPr>
        <w:t xml:space="preserve">., 47/15 – ZZSDT, 33/16 – PZ-F, 52/16, 15/17 – </w:t>
      </w:r>
      <w:proofErr w:type="spellStart"/>
      <w:r>
        <w:rPr>
          <w:rFonts w:cs="Arial"/>
          <w:szCs w:val="20"/>
        </w:rPr>
        <w:t>odl</w:t>
      </w:r>
      <w:proofErr w:type="spellEnd"/>
      <w:r>
        <w:rPr>
          <w:rFonts w:cs="Arial"/>
          <w:szCs w:val="20"/>
        </w:rPr>
        <w:t xml:space="preserve">. US, 22/19 – </w:t>
      </w:r>
      <w:proofErr w:type="spellStart"/>
      <w:r>
        <w:rPr>
          <w:rFonts w:cs="Arial"/>
          <w:szCs w:val="20"/>
        </w:rPr>
        <w:t>ZPosS</w:t>
      </w:r>
      <w:proofErr w:type="spellEnd"/>
      <w:r>
        <w:rPr>
          <w:rFonts w:cs="Arial"/>
          <w:szCs w:val="20"/>
        </w:rPr>
        <w:t xml:space="preserve">, 81/19, 203/20 – ZIUPOPDVE, 119/21 – </w:t>
      </w:r>
      <w:proofErr w:type="spellStart"/>
      <w:r>
        <w:rPr>
          <w:rFonts w:cs="Arial"/>
          <w:szCs w:val="20"/>
        </w:rPr>
        <w:t>ZČmIS</w:t>
      </w:r>
      <w:proofErr w:type="spellEnd"/>
      <w:r>
        <w:rPr>
          <w:rFonts w:cs="Arial"/>
          <w:szCs w:val="20"/>
        </w:rPr>
        <w:t xml:space="preserve">-A, 202/21 – </w:t>
      </w:r>
      <w:proofErr w:type="spellStart"/>
      <w:r>
        <w:rPr>
          <w:rFonts w:cs="Arial"/>
          <w:szCs w:val="20"/>
        </w:rPr>
        <w:t>odl</w:t>
      </w:r>
      <w:proofErr w:type="spellEnd"/>
      <w:r>
        <w:rPr>
          <w:rFonts w:cs="Arial"/>
          <w:szCs w:val="20"/>
        </w:rPr>
        <w:t>. US, 15/22, 54/22 – ZUPŠ-1, 114/23, 136/23 – ZIUZDS in 70/25 – ZUTD-I).</w:t>
      </w:r>
    </w:p>
    <w:p w:rsidR="000E477F" w:rsidRDefault="000E477F" w:rsidP="000E477F">
      <w:pPr>
        <w:jc w:val="both"/>
        <w:rPr>
          <w:rFonts w:cs="Arial"/>
          <w:szCs w:val="20"/>
        </w:rPr>
      </w:pPr>
    </w:p>
    <w:p w:rsidR="000E477F" w:rsidRDefault="000E477F" w:rsidP="000E477F">
      <w:pPr>
        <w:jc w:val="both"/>
        <w:rPr>
          <w:rFonts w:cs="Arial"/>
          <w:b/>
          <w:szCs w:val="20"/>
          <w:u w:val="single"/>
        </w:rPr>
      </w:pPr>
      <w:r>
        <w:rPr>
          <w:rFonts w:cs="Arial"/>
          <w:b/>
          <w:szCs w:val="20"/>
          <w:u w:val="single"/>
        </w:rPr>
        <w:t>K 10. členu</w:t>
      </w:r>
    </w:p>
    <w:p w:rsidR="000E477F" w:rsidRDefault="000E477F" w:rsidP="000E477F">
      <w:pPr>
        <w:jc w:val="both"/>
        <w:rPr>
          <w:rFonts w:cs="Arial"/>
          <w:szCs w:val="20"/>
        </w:rPr>
      </w:pPr>
      <w:r>
        <w:rPr>
          <w:rFonts w:cs="Arial"/>
          <w:szCs w:val="20"/>
        </w:rPr>
        <w:t>10. člen se spremeni tako, da se glasi:</w:t>
      </w:r>
    </w:p>
    <w:p w:rsidR="000E477F" w:rsidRDefault="000E477F" w:rsidP="000E477F">
      <w:pPr>
        <w:jc w:val="both"/>
        <w:rPr>
          <w:rFonts w:cs="Arial"/>
          <w:szCs w:val="20"/>
        </w:rPr>
      </w:pPr>
      <w:r>
        <w:rPr>
          <w:rFonts w:cs="Arial"/>
          <w:szCs w:val="20"/>
        </w:rPr>
        <w:t>»10. člen</w:t>
      </w:r>
    </w:p>
    <w:p w:rsidR="000E477F" w:rsidRDefault="000E477F" w:rsidP="000E477F">
      <w:pPr>
        <w:jc w:val="both"/>
        <w:rPr>
          <w:rFonts w:cs="Arial"/>
          <w:szCs w:val="20"/>
        </w:rPr>
      </w:pPr>
      <w:r>
        <w:rPr>
          <w:rFonts w:cs="Arial"/>
          <w:szCs w:val="20"/>
        </w:rPr>
        <w:t>V 64. členu se v drugem odstavku za prvim stavkom doda nov, drugi stavek, ki se glasi: »Če vojaška oseba odpove pogodbo o zaposlitvi med operativnim urjenjem, zaradi obrambe države pred napadom ali zaradi izrednega dogodka, odpovedni rok začne teči z dnem, ko prenehajo razlogi za opravljanje vojaške službe v teh primerih.«.«.</w:t>
      </w:r>
    </w:p>
    <w:p w:rsidR="000E477F" w:rsidRDefault="000E477F" w:rsidP="000E477F">
      <w:pPr>
        <w:jc w:val="both"/>
        <w:rPr>
          <w:rFonts w:cs="Arial"/>
          <w:szCs w:val="20"/>
        </w:rPr>
      </w:pPr>
    </w:p>
    <w:p w:rsidR="000E477F" w:rsidRDefault="000E477F" w:rsidP="000E477F">
      <w:pPr>
        <w:jc w:val="both"/>
        <w:rPr>
          <w:rFonts w:cs="Arial"/>
          <w:szCs w:val="20"/>
        </w:rPr>
      </w:pPr>
      <w:r>
        <w:rPr>
          <w:rFonts w:cs="Arial"/>
          <w:szCs w:val="20"/>
        </w:rPr>
        <w:t>Obrazložitev:</w:t>
      </w:r>
    </w:p>
    <w:p w:rsidR="000E477F" w:rsidRDefault="000E477F" w:rsidP="000E477F">
      <w:pPr>
        <w:jc w:val="both"/>
        <w:rPr>
          <w:rFonts w:cs="Arial"/>
          <w:szCs w:val="20"/>
        </w:rPr>
      </w:pPr>
      <w:r>
        <w:rPr>
          <w:rFonts w:cs="Arial"/>
          <w:szCs w:val="20"/>
        </w:rPr>
        <w:t>Jasneje se določa, kdaj začne teči odpovedni rok, če vojaška oseba odpove pogodbo o zaposlitvi med operativnim urjenjem, zaradi obrambe države pred napadom oziroma zaradi izrednega dogodka, in sicer je to z dnem, ko prenehajo razlogi za opravljanje vojaške službe v teh primerih.</w:t>
      </w:r>
    </w:p>
    <w:p w:rsidR="000E477F" w:rsidRDefault="000E477F" w:rsidP="000E477F">
      <w:pPr>
        <w:jc w:val="both"/>
        <w:rPr>
          <w:rFonts w:cs="Arial"/>
          <w:szCs w:val="20"/>
        </w:rPr>
      </w:pPr>
    </w:p>
    <w:p w:rsidR="000E477F" w:rsidRDefault="000E477F" w:rsidP="000E477F">
      <w:pPr>
        <w:jc w:val="both"/>
        <w:rPr>
          <w:rFonts w:cs="Arial"/>
          <w:b/>
          <w:szCs w:val="20"/>
          <w:u w:val="single"/>
        </w:rPr>
      </w:pPr>
      <w:r>
        <w:rPr>
          <w:rFonts w:cs="Arial"/>
          <w:b/>
          <w:szCs w:val="20"/>
          <w:u w:val="single"/>
        </w:rPr>
        <w:t>K 12. členu</w:t>
      </w:r>
    </w:p>
    <w:p w:rsidR="000E477F" w:rsidRDefault="000E477F" w:rsidP="000E477F">
      <w:pPr>
        <w:jc w:val="both"/>
        <w:rPr>
          <w:rFonts w:cs="Arial"/>
          <w:szCs w:val="20"/>
        </w:rPr>
      </w:pPr>
      <w:r>
        <w:rPr>
          <w:rFonts w:cs="Arial"/>
          <w:szCs w:val="20"/>
        </w:rPr>
        <w:t>V 12. členu se za prvim odstavkom doda nov drugi odstavek, ki se glasi:</w:t>
      </w:r>
    </w:p>
    <w:p w:rsidR="000E477F" w:rsidRDefault="000E477F" w:rsidP="000E477F">
      <w:pPr>
        <w:jc w:val="both"/>
        <w:rPr>
          <w:rFonts w:cs="Arial"/>
          <w:szCs w:val="20"/>
        </w:rPr>
      </w:pPr>
      <w:r>
        <w:rPr>
          <w:rFonts w:cs="Arial"/>
          <w:szCs w:val="20"/>
        </w:rPr>
        <w:t>»(2) Minister v šestih mesecih od uveljavitve tega zakona sprejme pravilnik iz prvega odstavka 24.a člena zakona.«.</w:t>
      </w:r>
    </w:p>
    <w:p w:rsidR="000E477F" w:rsidRDefault="000E477F" w:rsidP="000E477F">
      <w:pPr>
        <w:jc w:val="both"/>
        <w:rPr>
          <w:rFonts w:cs="Arial"/>
          <w:szCs w:val="20"/>
        </w:rPr>
      </w:pPr>
      <w:r>
        <w:rPr>
          <w:rFonts w:cs="Arial"/>
          <w:szCs w:val="20"/>
        </w:rPr>
        <w:t>Dosedanja drugi in tretji odstavek postaneta tretji in četrti odstavek.</w:t>
      </w:r>
    </w:p>
    <w:p w:rsidR="000E477F" w:rsidRDefault="000E477F" w:rsidP="000E477F">
      <w:pPr>
        <w:jc w:val="both"/>
        <w:rPr>
          <w:rFonts w:cs="Arial"/>
          <w:szCs w:val="20"/>
        </w:rPr>
      </w:pPr>
    </w:p>
    <w:p w:rsidR="000E477F" w:rsidRDefault="000E477F" w:rsidP="000E477F">
      <w:pPr>
        <w:jc w:val="both"/>
        <w:rPr>
          <w:rFonts w:cs="Arial"/>
          <w:szCs w:val="20"/>
        </w:rPr>
      </w:pPr>
      <w:r>
        <w:rPr>
          <w:rFonts w:cs="Arial"/>
          <w:szCs w:val="20"/>
        </w:rPr>
        <w:t>Obrazložitev:</w:t>
      </w:r>
    </w:p>
    <w:p w:rsidR="000E477F" w:rsidRDefault="000E477F" w:rsidP="000E477F">
      <w:pPr>
        <w:jc w:val="both"/>
        <w:rPr>
          <w:rFonts w:cs="Arial"/>
          <w:szCs w:val="20"/>
        </w:rPr>
      </w:pPr>
      <w:r>
        <w:rPr>
          <w:rFonts w:cs="Arial"/>
          <w:szCs w:val="20"/>
        </w:rPr>
        <w:t>Glede na amandma k 2. členu je bilo treba določiti rok za izdajo podzakonskih predpisov v zvezi z internim varovanjem objektov in okolišev, ki so posebnega pomena za obrambo, in sicer glede nošenja službenega orožja, službene izkaznico in delovne obleke (prvi odstavek novega 24.a člena).</w:t>
      </w:r>
    </w:p>
    <w:p w:rsidR="000E477F" w:rsidRDefault="000E477F" w:rsidP="000E477F">
      <w:pPr>
        <w:jc w:val="center"/>
        <w:rPr>
          <w:rFonts w:cs="Arial"/>
          <w:szCs w:val="20"/>
        </w:rPr>
      </w:pPr>
    </w:p>
    <w:p w:rsidR="007E1230" w:rsidRDefault="007E1230" w:rsidP="000E477F">
      <w:pPr>
        <w:tabs>
          <w:tab w:val="left" w:pos="7920"/>
        </w:tabs>
        <w:autoSpaceDE w:val="0"/>
        <w:autoSpaceDN w:val="0"/>
        <w:adjustRightInd w:val="0"/>
        <w:jc w:val="both"/>
        <w:rPr>
          <w:rFonts w:cs="Arial"/>
          <w:color w:val="000000"/>
          <w:szCs w:val="20"/>
        </w:rPr>
      </w:pPr>
    </w:p>
    <w:sectPr w:rsidR="007E1230" w:rsidSect="00A16E6F">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B596E" w:rsidRDefault="000B596E" w:rsidP="00767987">
      <w:pPr>
        <w:spacing w:line="240" w:lineRule="auto"/>
      </w:pPr>
      <w:r>
        <w:separator/>
      </w:r>
    </w:p>
  </w:endnote>
  <w:endnote w:type="continuationSeparator" w:id="0">
    <w:p w:rsidR="000B596E" w:rsidRDefault="000B596E"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E5A7A" w:rsidRDefault="000E5A7A">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E5A7A" w:rsidRDefault="000E5A7A">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E5A7A" w:rsidRDefault="000E5A7A">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B596E" w:rsidRDefault="000B596E" w:rsidP="00767987">
      <w:pPr>
        <w:spacing w:line="240" w:lineRule="auto"/>
      </w:pPr>
      <w:r>
        <w:separator/>
      </w:r>
    </w:p>
  </w:footnote>
  <w:footnote w:type="continuationSeparator" w:id="0">
    <w:p w:rsidR="000B596E" w:rsidRDefault="000B596E"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E5A7A" w:rsidRDefault="000E5A7A">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E5A7A" w:rsidRDefault="000E5A7A">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5876DAC"/>
    <w:multiLevelType w:val="hybridMultilevel"/>
    <w:tmpl w:val="68145170"/>
    <w:lvl w:ilvl="0" w:tplc="CFF68ACE">
      <w:start w:val="1"/>
      <w:numFmt w:val="bullet"/>
      <w:lvlText w:val=""/>
      <w:lvlJc w:val="left"/>
      <w:pPr>
        <w:ind w:left="778" w:hanging="360"/>
      </w:pPr>
      <w:rPr>
        <w:rFonts w:ascii="Symbol" w:hAnsi="Symbol" w:hint="default"/>
      </w:rPr>
    </w:lvl>
    <w:lvl w:ilvl="1" w:tplc="A5AC5470">
      <w:start w:val="1"/>
      <w:numFmt w:val="bullet"/>
      <w:lvlText w:val="o"/>
      <w:lvlJc w:val="left"/>
      <w:pPr>
        <w:ind w:left="1498" w:hanging="360"/>
      </w:pPr>
      <w:rPr>
        <w:rFonts w:ascii="Courier New" w:hAnsi="Courier New" w:cs="Courier New" w:hint="default"/>
      </w:rPr>
    </w:lvl>
    <w:lvl w:ilvl="2" w:tplc="DC46F590">
      <w:start w:val="1"/>
      <w:numFmt w:val="bullet"/>
      <w:lvlText w:val=""/>
      <w:lvlJc w:val="left"/>
      <w:pPr>
        <w:ind w:left="2218" w:hanging="360"/>
      </w:pPr>
      <w:rPr>
        <w:rFonts w:ascii="Wingdings" w:hAnsi="Wingdings" w:hint="default"/>
      </w:rPr>
    </w:lvl>
    <w:lvl w:ilvl="3" w:tplc="184C62D4">
      <w:start w:val="1"/>
      <w:numFmt w:val="bullet"/>
      <w:lvlText w:val=""/>
      <w:lvlJc w:val="left"/>
      <w:pPr>
        <w:ind w:left="2938" w:hanging="360"/>
      </w:pPr>
      <w:rPr>
        <w:rFonts w:ascii="Symbol" w:hAnsi="Symbol" w:hint="default"/>
      </w:rPr>
    </w:lvl>
    <w:lvl w:ilvl="4" w:tplc="F1CA981E">
      <w:start w:val="1"/>
      <w:numFmt w:val="bullet"/>
      <w:lvlText w:val="o"/>
      <w:lvlJc w:val="left"/>
      <w:pPr>
        <w:ind w:left="3658" w:hanging="360"/>
      </w:pPr>
      <w:rPr>
        <w:rFonts w:ascii="Courier New" w:hAnsi="Courier New" w:cs="Courier New" w:hint="default"/>
      </w:rPr>
    </w:lvl>
    <w:lvl w:ilvl="5" w:tplc="4CEA1F12">
      <w:start w:val="1"/>
      <w:numFmt w:val="bullet"/>
      <w:lvlText w:val=""/>
      <w:lvlJc w:val="left"/>
      <w:pPr>
        <w:ind w:left="4378" w:hanging="360"/>
      </w:pPr>
      <w:rPr>
        <w:rFonts w:ascii="Wingdings" w:hAnsi="Wingdings" w:hint="default"/>
      </w:rPr>
    </w:lvl>
    <w:lvl w:ilvl="6" w:tplc="4FA8490A">
      <w:start w:val="1"/>
      <w:numFmt w:val="bullet"/>
      <w:lvlText w:val=""/>
      <w:lvlJc w:val="left"/>
      <w:pPr>
        <w:ind w:left="5098" w:hanging="360"/>
      </w:pPr>
      <w:rPr>
        <w:rFonts w:ascii="Symbol" w:hAnsi="Symbol" w:hint="default"/>
      </w:rPr>
    </w:lvl>
    <w:lvl w:ilvl="7" w:tplc="6B028D46">
      <w:start w:val="1"/>
      <w:numFmt w:val="bullet"/>
      <w:lvlText w:val="o"/>
      <w:lvlJc w:val="left"/>
      <w:pPr>
        <w:ind w:left="5818" w:hanging="360"/>
      </w:pPr>
      <w:rPr>
        <w:rFonts w:ascii="Courier New" w:hAnsi="Courier New" w:cs="Courier New" w:hint="default"/>
      </w:rPr>
    </w:lvl>
    <w:lvl w:ilvl="8" w:tplc="5C90930E">
      <w:start w:val="1"/>
      <w:numFmt w:val="bullet"/>
      <w:lvlText w:val=""/>
      <w:lvlJc w:val="left"/>
      <w:pPr>
        <w:ind w:left="6538" w:hanging="360"/>
      </w:pPr>
      <w:rPr>
        <w:rFonts w:ascii="Wingdings" w:hAnsi="Wingdings" w:hint="default"/>
      </w:rPr>
    </w:lvl>
  </w:abstractNum>
  <w:abstractNum w:abstractNumId="1" w15:restartNumberingAfterBreak="0">
    <w:nsid w:val="355413E1"/>
    <w:multiLevelType w:val="hybridMultilevel"/>
    <w:tmpl w:val="C8F29756"/>
    <w:lvl w:ilvl="0" w:tplc="C7E893E6">
      <w:start w:val="1"/>
      <w:numFmt w:val="decimal"/>
      <w:lvlText w:val="%1."/>
      <w:lvlJc w:val="left"/>
      <w:pPr>
        <w:ind w:left="720" w:hanging="360"/>
      </w:pPr>
    </w:lvl>
    <w:lvl w:ilvl="1" w:tplc="7D209B6C">
      <w:start w:val="1"/>
      <w:numFmt w:val="bullet"/>
      <w:lvlText w:val="o"/>
      <w:lvlJc w:val="left"/>
      <w:pPr>
        <w:ind w:left="1440" w:hanging="360"/>
      </w:pPr>
      <w:rPr>
        <w:rFonts w:ascii="Courier New" w:hAnsi="Courier New" w:cs="Courier New" w:hint="default"/>
      </w:rPr>
    </w:lvl>
    <w:lvl w:ilvl="2" w:tplc="14D80D5A">
      <w:start w:val="1"/>
      <w:numFmt w:val="bullet"/>
      <w:lvlText w:val=""/>
      <w:lvlJc w:val="left"/>
      <w:pPr>
        <w:ind w:left="2160" w:hanging="360"/>
      </w:pPr>
      <w:rPr>
        <w:rFonts w:ascii="Wingdings" w:hAnsi="Wingdings" w:hint="default"/>
      </w:rPr>
    </w:lvl>
    <w:lvl w:ilvl="3" w:tplc="A1E8ACCA">
      <w:start w:val="1"/>
      <w:numFmt w:val="bullet"/>
      <w:lvlText w:val=""/>
      <w:lvlJc w:val="left"/>
      <w:pPr>
        <w:ind w:left="2880" w:hanging="360"/>
      </w:pPr>
      <w:rPr>
        <w:rFonts w:ascii="Symbol" w:hAnsi="Symbol" w:hint="default"/>
      </w:rPr>
    </w:lvl>
    <w:lvl w:ilvl="4" w:tplc="64407894">
      <w:start w:val="1"/>
      <w:numFmt w:val="bullet"/>
      <w:lvlText w:val="o"/>
      <w:lvlJc w:val="left"/>
      <w:pPr>
        <w:ind w:left="3600" w:hanging="360"/>
      </w:pPr>
      <w:rPr>
        <w:rFonts w:ascii="Courier New" w:hAnsi="Courier New" w:cs="Courier New" w:hint="default"/>
      </w:rPr>
    </w:lvl>
    <w:lvl w:ilvl="5" w:tplc="62F4BB5A">
      <w:start w:val="1"/>
      <w:numFmt w:val="bullet"/>
      <w:lvlText w:val=""/>
      <w:lvlJc w:val="left"/>
      <w:pPr>
        <w:ind w:left="4320" w:hanging="360"/>
      </w:pPr>
      <w:rPr>
        <w:rFonts w:ascii="Wingdings" w:hAnsi="Wingdings" w:hint="default"/>
      </w:rPr>
    </w:lvl>
    <w:lvl w:ilvl="6" w:tplc="E06AEA90">
      <w:start w:val="1"/>
      <w:numFmt w:val="bullet"/>
      <w:lvlText w:val=""/>
      <w:lvlJc w:val="left"/>
      <w:pPr>
        <w:ind w:left="5040" w:hanging="360"/>
      </w:pPr>
      <w:rPr>
        <w:rFonts w:ascii="Symbol" w:hAnsi="Symbol" w:hint="default"/>
      </w:rPr>
    </w:lvl>
    <w:lvl w:ilvl="7" w:tplc="4E987540">
      <w:start w:val="1"/>
      <w:numFmt w:val="bullet"/>
      <w:lvlText w:val="o"/>
      <w:lvlJc w:val="left"/>
      <w:pPr>
        <w:ind w:left="5760" w:hanging="360"/>
      </w:pPr>
      <w:rPr>
        <w:rFonts w:ascii="Courier New" w:hAnsi="Courier New" w:cs="Courier New" w:hint="default"/>
      </w:rPr>
    </w:lvl>
    <w:lvl w:ilvl="8" w:tplc="7B9A4D38">
      <w:start w:val="1"/>
      <w:numFmt w:val="bullet"/>
      <w:lvlText w:val=""/>
      <w:lvlJc w:val="left"/>
      <w:pPr>
        <w:ind w:left="6480" w:hanging="360"/>
      </w:pPr>
      <w:rPr>
        <w:rFonts w:ascii="Wingdings" w:hAnsi="Wingdings" w:hint="default"/>
      </w:rPr>
    </w:lvl>
  </w:abstractNum>
  <w:abstractNum w:abstractNumId="2" w15:restartNumberingAfterBreak="0">
    <w:nsid w:val="608D4E09"/>
    <w:multiLevelType w:val="hybridMultilevel"/>
    <w:tmpl w:val="D21E4416"/>
    <w:lvl w:ilvl="0" w:tplc="39E8CF22">
      <w:start w:val="1"/>
      <w:numFmt w:val="bullet"/>
      <w:lvlText w:val=""/>
      <w:lvlJc w:val="left"/>
      <w:pPr>
        <w:ind w:left="720" w:hanging="360"/>
      </w:pPr>
      <w:rPr>
        <w:rFonts w:ascii="Symbol" w:hAnsi="Symbol" w:hint="default"/>
      </w:rPr>
    </w:lvl>
    <w:lvl w:ilvl="1" w:tplc="01A8C2BA">
      <w:start w:val="1"/>
      <w:numFmt w:val="bullet"/>
      <w:lvlText w:val="o"/>
      <w:lvlJc w:val="left"/>
      <w:pPr>
        <w:ind w:left="1440" w:hanging="360"/>
      </w:pPr>
      <w:rPr>
        <w:rFonts w:ascii="Courier New" w:hAnsi="Courier New" w:cs="Courier New" w:hint="default"/>
      </w:rPr>
    </w:lvl>
    <w:lvl w:ilvl="2" w:tplc="F6F25EF8">
      <w:start w:val="1"/>
      <w:numFmt w:val="bullet"/>
      <w:lvlText w:val=""/>
      <w:lvlJc w:val="left"/>
      <w:pPr>
        <w:ind w:left="2160" w:hanging="360"/>
      </w:pPr>
      <w:rPr>
        <w:rFonts w:ascii="Wingdings" w:hAnsi="Wingdings" w:hint="default"/>
      </w:rPr>
    </w:lvl>
    <w:lvl w:ilvl="3" w:tplc="C4B03C4E">
      <w:start w:val="1"/>
      <w:numFmt w:val="bullet"/>
      <w:lvlText w:val=""/>
      <w:lvlJc w:val="left"/>
      <w:pPr>
        <w:ind w:left="2880" w:hanging="360"/>
      </w:pPr>
      <w:rPr>
        <w:rFonts w:ascii="Symbol" w:hAnsi="Symbol" w:hint="default"/>
      </w:rPr>
    </w:lvl>
    <w:lvl w:ilvl="4" w:tplc="F0406BCE">
      <w:start w:val="1"/>
      <w:numFmt w:val="bullet"/>
      <w:lvlText w:val="o"/>
      <w:lvlJc w:val="left"/>
      <w:pPr>
        <w:ind w:left="3600" w:hanging="360"/>
      </w:pPr>
      <w:rPr>
        <w:rFonts w:ascii="Courier New" w:hAnsi="Courier New" w:cs="Courier New" w:hint="default"/>
      </w:rPr>
    </w:lvl>
    <w:lvl w:ilvl="5" w:tplc="318E6F80">
      <w:start w:val="1"/>
      <w:numFmt w:val="bullet"/>
      <w:lvlText w:val=""/>
      <w:lvlJc w:val="left"/>
      <w:pPr>
        <w:ind w:left="4320" w:hanging="360"/>
      </w:pPr>
      <w:rPr>
        <w:rFonts w:ascii="Wingdings" w:hAnsi="Wingdings" w:hint="default"/>
      </w:rPr>
    </w:lvl>
    <w:lvl w:ilvl="6" w:tplc="1FE863DA">
      <w:start w:val="1"/>
      <w:numFmt w:val="bullet"/>
      <w:lvlText w:val=""/>
      <w:lvlJc w:val="left"/>
      <w:pPr>
        <w:ind w:left="5040" w:hanging="360"/>
      </w:pPr>
      <w:rPr>
        <w:rFonts w:ascii="Symbol" w:hAnsi="Symbol" w:hint="default"/>
      </w:rPr>
    </w:lvl>
    <w:lvl w:ilvl="7" w:tplc="36F6DC38">
      <w:start w:val="1"/>
      <w:numFmt w:val="bullet"/>
      <w:lvlText w:val="o"/>
      <w:lvlJc w:val="left"/>
      <w:pPr>
        <w:ind w:left="5760" w:hanging="360"/>
      </w:pPr>
      <w:rPr>
        <w:rFonts w:ascii="Courier New" w:hAnsi="Courier New" w:cs="Courier New" w:hint="default"/>
      </w:rPr>
    </w:lvl>
    <w:lvl w:ilvl="8" w:tplc="0DEA29D8">
      <w:start w:val="1"/>
      <w:numFmt w:val="bullet"/>
      <w:lvlText w:val=""/>
      <w:lvlJc w:val="left"/>
      <w:pPr>
        <w:ind w:left="6480" w:hanging="360"/>
      </w:pPr>
      <w:rPr>
        <w:rFonts w:ascii="Wingdings" w:hAnsi="Wingdings" w:hint="default"/>
      </w:rPr>
    </w:lvl>
  </w:abstractNum>
  <w:abstractNum w:abstractNumId="3"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abstractNum w:abstractNumId="4" w15:restartNumberingAfterBreak="0">
    <w:nsid w:val="740C46AD"/>
    <w:multiLevelType w:val="hybridMultilevel"/>
    <w:tmpl w:val="5B345770"/>
    <w:lvl w:ilvl="0" w:tplc="750847B4">
      <w:start w:val="1"/>
      <w:numFmt w:val="bullet"/>
      <w:lvlText w:val=""/>
      <w:lvlJc w:val="left"/>
      <w:pPr>
        <w:ind w:left="778" w:hanging="360"/>
      </w:pPr>
      <w:rPr>
        <w:rFonts w:ascii="Symbol" w:hAnsi="Symbol" w:hint="default"/>
      </w:rPr>
    </w:lvl>
    <w:lvl w:ilvl="1" w:tplc="192E5AD2">
      <w:start w:val="1"/>
      <w:numFmt w:val="bullet"/>
      <w:lvlText w:val="o"/>
      <w:lvlJc w:val="left"/>
      <w:pPr>
        <w:ind w:left="1498" w:hanging="360"/>
      </w:pPr>
      <w:rPr>
        <w:rFonts w:ascii="Courier New" w:hAnsi="Courier New" w:cs="Courier New" w:hint="default"/>
      </w:rPr>
    </w:lvl>
    <w:lvl w:ilvl="2" w:tplc="B1C20324">
      <w:start w:val="1"/>
      <w:numFmt w:val="bullet"/>
      <w:lvlText w:val=""/>
      <w:lvlJc w:val="left"/>
      <w:pPr>
        <w:ind w:left="2218" w:hanging="360"/>
      </w:pPr>
      <w:rPr>
        <w:rFonts w:ascii="Wingdings" w:hAnsi="Wingdings" w:hint="default"/>
      </w:rPr>
    </w:lvl>
    <w:lvl w:ilvl="3" w:tplc="EE283CCC">
      <w:start w:val="1"/>
      <w:numFmt w:val="bullet"/>
      <w:lvlText w:val=""/>
      <w:lvlJc w:val="left"/>
      <w:pPr>
        <w:ind w:left="2938" w:hanging="360"/>
      </w:pPr>
      <w:rPr>
        <w:rFonts w:ascii="Symbol" w:hAnsi="Symbol" w:hint="default"/>
      </w:rPr>
    </w:lvl>
    <w:lvl w:ilvl="4" w:tplc="B952FC00">
      <w:start w:val="1"/>
      <w:numFmt w:val="bullet"/>
      <w:lvlText w:val="o"/>
      <w:lvlJc w:val="left"/>
      <w:pPr>
        <w:ind w:left="3658" w:hanging="360"/>
      </w:pPr>
      <w:rPr>
        <w:rFonts w:ascii="Courier New" w:hAnsi="Courier New" w:cs="Courier New" w:hint="default"/>
      </w:rPr>
    </w:lvl>
    <w:lvl w:ilvl="5" w:tplc="37E48854">
      <w:start w:val="1"/>
      <w:numFmt w:val="bullet"/>
      <w:lvlText w:val=""/>
      <w:lvlJc w:val="left"/>
      <w:pPr>
        <w:ind w:left="4378" w:hanging="360"/>
      </w:pPr>
      <w:rPr>
        <w:rFonts w:ascii="Wingdings" w:hAnsi="Wingdings" w:hint="default"/>
      </w:rPr>
    </w:lvl>
    <w:lvl w:ilvl="6" w:tplc="5D8082E2">
      <w:start w:val="1"/>
      <w:numFmt w:val="bullet"/>
      <w:lvlText w:val=""/>
      <w:lvlJc w:val="left"/>
      <w:pPr>
        <w:ind w:left="5098" w:hanging="360"/>
      </w:pPr>
      <w:rPr>
        <w:rFonts w:ascii="Symbol" w:hAnsi="Symbol" w:hint="default"/>
      </w:rPr>
    </w:lvl>
    <w:lvl w:ilvl="7" w:tplc="BC5A5890">
      <w:start w:val="1"/>
      <w:numFmt w:val="bullet"/>
      <w:lvlText w:val="o"/>
      <w:lvlJc w:val="left"/>
      <w:pPr>
        <w:ind w:left="5818" w:hanging="360"/>
      </w:pPr>
      <w:rPr>
        <w:rFonts w:ascii="Courier New" w:hAnsi="Courier New" w:cs="Courier New" w:hint="default"/>
      </w:rPr>
    </w:lvl>
    <w:lvl w:ilvl="8" w:tplc="E1E801A8">
      <w:start w:val="1"/>
      <w:numFmt w:val="bullet"/>
      <w:lvlText w:val=""/>
      <w:lvlJc w:val="left"/>
      <w:pPr>
        <w:ind w:left="6538" w:hanging="360"/>
      </w:pPr>
      <w:rPr>
        <w:rFonts w:ascii="Wingdings" w:hAnsi="Wingdings" w:hint="default"/>
      </w:rPr>
    </w:lvl>
  </w:abstractNum>
  <w:num w:numId="1">
    <w:abstractNumId w:val="3"/>
  </w:num>
  <w:num w:numId="2">
    <w:abstractNumId w:val="1"/>
    <w:lvlOverride w:ilvl="0">
      <w:startOverride w:val="1"/>
    </w:lvlOverride>
    <w:lvlOverride w:ilvl="1"/>
    <w:lvlOverride w:ilvl="2"/>
    <w:lvlOverride w:ilvl="3"/>
    <w:lvlOverride w:ilvl="4"/>
    <w:lvlOverride w:ilvl="5"/>
    <w:lvlOverride w:ilvl="6"/>
    <w:lvlOverride w:ilvl="7"/>
    <w:lvlOverride w:ilvl="8"/>
  </w:num>
  <w:num w:numId="3">
    <w:abstractNumId w:val="2"/>
    <w:lvlOverride w:ilvl="0"/>
    <w:lvlOverride w:ilvl="1"/>
    <w:lvlOverride w:ilvl="2"/>
    <w:lvlOverride w:ilvl="3"/>
    <w:lvlOverride w:ilvl="4"/>
    <w:lvlOverride w:ilvl="5"/>
    <w:lvlOverride w:ilvl="6"/>
    <w:lvlOverride w:ilvl="7"/>
    <w:lvlOverride w:ilvl="8"/>
  </w:num>
  <w:num w:numId="4">
    <w:abstractNumId w:val="0"/>
    <w:lvlOverride w:ilvl="0"/>
    <w:lvlOverride w:ilvl="1"/>
    <w:lvlOverride w:ilvl="2"/>
    <w:lvlOverride w:ilvl="3"/>
    <w:lvlOverride w:ilvl="4"/>
    <w:lvlOverride w:ilvl="5"/>
    <w:lvlOverride w:ilvl="6"/>
    <w:lvlOverride w:ilvl="7"/>
    <w:lvlOverride w:ilvl="8"/>
  </w:num>
  <w:num w:numId="5">
    <w:abstractNumId w:val="4"/>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41271"/>
    <w:rsid w:val="00084FCB"/>
    <w:rsid w:val="000B37A4"/>
    <w:rsid w:val="000B3FE6"/>
    <w:rsid w:val="000B596E"/>
    <w:rsid w:val="000E477F"/>
    <w:rsid w:val="000E4B03"/>
    <w:rsid w:val="000E5A7A"/>
    <w:rsid w:val="002837E1"/>
    <w:rsid w:val="00286CB6"/>
    <w:rsid w:val="00366636"/>
    <w:rsid w:val="00367DE6"/>
    <w:rsid w:val="003B3E19"/>
    <w:rsid w:val="004076C6"/>
    <w:rsid w:val="00457A58"/>
    <w:rsid w:val="004964D7"/>
    <w:rsid w:val="004B7F76"/>
    <w:rsid w:val="004E1BCE"/>
    <w:rsid w:val="0057353E"/>
    <w:rsid w:val="00592079"/>
    <w:rsid w:val="00594080"/>
    <w:rsid w:val="00674FD5"/>
    <w:rsid w:val="00682FFE"/>
    <w:rsid w:val="00684751"/>
    <w:rsid w:val="006C69EC"/>
    <w:rsid w:val="007039D0"/>
    <w:rsid w:val="00767987"/>
    <w:rsid w:val="00782FD4"/>
    <w:rsid w:val="007E1230"/>
    <w:rsid w:val="00811140"/>
    <w:rsid w:val="00904A48"/>
    <w:rsid w:val="00980294"/>
    <w:rsid w:val="009C5392"/>
    <w:rsid w:val="009C657E"/>
    <w:rsid w:val="00A04FA3"/>
    <w:rsid w:val="00A16E6F"/>
    <w:rsid w:val="00A50E4B"/>
    <w:rsid w:val="00A56EFB"/>
    <w:rsid w:val="00A9231D"/>
    <w:rsid w:val="00A96CD4"/>
    <w:rsid w:val="00AD3BB3"/>
    <w:rsid w:val="00B31063"/>
    <w:rsid w:val="00BC534D"/>
    <w:rsid w:val="00C0216A"/>
    <w:rsid w:val="00CD6077"/>
    <w:rsid w:val="00CE234E"/>
    <w:rsid w:val="00D00B65"/>
    <w:rsid w:val="00D02973"/>
    <w:rsid w:val="00DA09BE"/>
    <w:rsid w:val="00E83A83"/>
    <w:rsid w:val="00EB288E"/>
    <w:rsid w:val="00F502C5"/>
    <w:rsid w:val="00FB00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9C657E"/>
    <w:pPr>
      <w:tabs>
        <w:tab w:val="left" w:pos="3402"/>
      </w:tabs>
    </w:pPr>
    <w:rPr>
      <w:lang w:val="it-IT"/>
    </w:rPr>
  </w:style>
  <w:style w:type="paragraph" w:customStyle="1" w:styleId="Neotevilenodstavek">
    <w:name w:val="Neoštevilčen odstavek"/>
    <w:basedOn w:val="Navaden"/>
    <w:link w:val="NeotevilenodstavekZnak"/>
    <w:qFormat/>
    <w:rsid w:val="00EB288E"/>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EB288E"/>
    <w:rPr>
      <w:rFonts w:ascii="Arial" w:eastAsia="Times New Roman" w:hAnsi="Arial" w:cs="Arial"/>
      <w:lang w:eastAsia="sl-SI"/>
    </w:rPr>
  </w:style>
  <w:style w:type="paragraph" w:styleId="Odstavekseznama">
    <w:name w:val="List Paragraph"/>
    <w:basedOn w:val="Navaden"/>
    <w:uiPriority w:val="34"/>
    <w:qFormat/>
    <w:rsid w:val="000E477F"/>
    <w:pPr>
      <w:spacing w:after="160" w:line="254" w:lineRule="auto"/>
      <w:ind w:left="720"/>
      <w:contextualSpacing/>
    </w:pPr>
    <w:rPr>
      <w:rFonts w:ascii="Calibri" w:eastAsia="Calibri" w:hAnsi="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00646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1797</Words>
  <Characters>10248</Characters>
  <Application>Microsoft Office Word</Application>
  <DocSecurity>0</DocSecurity>
  <Lines>85</Lines>
  <Paragraphs>24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12021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Katja Pucihar</cp:lastModifiedBy>
  <cp:revision>2</cp:revision>
  <dcterms:created xsi:type="dcterms:W3CDTF">2025-11-20T07:58:00Z</dcterms:created>
  <dcterms:modified xsi:type="dcterms:W3CDTF">2025-11-20T07:58:00Z</dcterms:modified>
</cp:coreProperties>
</file>