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3787" w:rsidRPr="0017355E" w:rsidRDefault="007E3787" w:rsidP="007E3787">
      <w:pPr>
        <w:spacing w:before="100" w:beforeAutospacing="1" w:after="100" w:afterAutospacing="1"/>
        <w:rPr>
          <w:rFonts w:eastAsia="Times New Roman"/>
          <w:b/>
        </w:rPr>
      </w:pPr>
      <w:r w:rsidRPr="0017355E">
        <w:rPr>
          <w:rFonts w:eastAsia="Times New Roman"/>
          <w:b/>
        </w:rPr>
        <w:t>Letni program statističnih raziskovanj 202</w:t>
      </w:r>
      <w:r>
        <w:rPr>
          <w:rFonts w:eastAsia="Times New Roman"/>
          <w:b/>
        </w:rPr>
        <w:t>6</w:t>
      </w:r>
      <w:r w:rsidRPr="0017355E">
        <w:rPr>
          <w:rFonts w:eastAsia="Times New Roman"/>
          <w:b/>
        </w:rPr>
        <w:t xml:space="preserve"> – RAZVOJNI DEL</w:t>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t>Priloga 2</w:t>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p>
    <w:p w:rsidR="007E3787" w:rsidRDefault="007E3787" w:rsidP="007E3787">
      <w:pPr>
        <w:spacing w:before="100" w:beforeAutospacing="1" w:after="100" w:afterAutospacing="1"/>
        <w:rPr>
          <w:rFonts w:eastAsia="Times New Roman"/>
          <w:b/>
        </w:rPr>
      </w:pPr>
      <w:r w:rsidRPr="0017355E">
        <w:rPr>
          <w:rFonts w:eastAsia="Times New Roman"/>
          <w:b/>
        </w:rPr>
        <w:tab/>
      </w:r>
      <w:r w:rsidRPr="0017355E">
        <w:rPr>
          <w:rFonts w:eastAsia="Times New Roman"/>
        </w:rPr>
        <w:br/>
      </w:r>
      <w:r w:rsidRPr="0017355E">
        <w:rPr>
          <w:rFonts w:eastAsia="Times New Roman"/>
          <w:b/>
        </w:rPr>
        <w:t>Kazalo</w:t>
      </w:r>
    </w:p>
    <w:p w:rsidR="007E3787" w:rsidRDefault="007E3787" w:rsidP="007E3787">
      <w:pPr>
        <w:spacing w:before="100" w:beforeAutospacing="1" w:after="100" w:afterAutospacing="1"/>
        <w:rPr>
          <w:rFonts w:eastAsia="Times New Roman"/>
          <w:b/>
        </w:rPr>
      </w:pPr>
    </w:p>
    <w:tbl>
      <w:tblPr>
        <w:tblW w:w="12474" w:type="dxa"/>
        <w:tblInd w:w="70" w:type="dxa"/>
        <w:tblCellMar>
          <w:left w:w="70" w:type="dxa"/>
          <w:right w:w="70" w:type="dxa"/>
        </w:tblCellMar>
        <w:tblLook w:val="04A0" w:firstRow="1" w:lastRow="0" w:firstColumn="1" w:lastColumn="0" w:noHBand="0" w:noVBand="1"/>
      </w:tblPr>
      <w:tblGrid>
        <w:gridCol w:w="6631"/>
        <w:gridCol w:w="5843"/>
      </w:tblGrid>
      <w:tr w:rsidR="007E3787" w:rsidRPr="009730F5" w:rsidTr="007E3787">
        <w:trPr>
          <w:trHeight w:val="414"/>
        </w:trPr>
        <w:tc>
          <w:tcPr>
            <w:tcW w:w="6631" w:type="dxa"/>
            <w:noWrap/>
            <w:vAlign w:val="bottom"/>
            <w:hideMark/>
          </w:tcPr>
          <w:p w:rsidR="007E3787" w:rsidRPr="009730F5" w:rsidRDefault="007E3787" w:rsidP="006756C5">
            <w:pPr>
              <w:spacing w:before="100" w:beforeAutospacing="1" w:after="100" w:afterAutospacing="1"/>
              <w:rPr>
                <w:rFonts w:eastAsia="Times New Roman"/>
              </w:rPr>
            </w:pPr>
            <w:r w:rsidRPr="009730F5">
              <w:rPr>
                <w:rFonts w:eastAsia="Times New Roman"/>
              </w:rPr>
              <w:t>01 Nacionalni računi</w:t>
            </w:r>
          </w:p>
        </w:tc>
        <w:tc>
          <w:tcPr>
            <w:tcW w:w="5843" w:type="dxa"/>
            <w:vAlign w:val="bottom"/>
          </w:tcPr>
          <w:p w:rsidR="007E3787" w:rsidRPr="009730F5" w:rsidRDefault="007E3787" w:rsidP="006756C5">
            <w:pPr>
              <w:spacing w:before="100" w:beforeAutospacing="1" w:after="100" w:afterAutospacing="1"/>
              <w:rPr>
                <w:rFonts w:eastAsia="Times New Roman"/>
              </w:rPr>
            </w:pPr>
            <w:r w:rsidRPr="009730F5">
              <w:rPr>
                <w:rFonts w:eastAsia="Times New Roman"/>
              </w:rPr>
              <w:t>15 Energetika</w:t>
            </w:r>
          </w:p>
        </w:tc>
      </w:tr>
      <w:tr w:rsidR="007E3787" w:rsidRPr="009730F5" w:rsidTr="007E3787">
        <w:trPr>
          <w:trHeight w:val="414"/>
        </w:trPr>
        <w:tc>
          <w:tcPr>
            <w:tcW w:w="6631" w:type="dxa"/>
            <w:noWrap/>
            <w:vAlign w:val="bottom"/>
          </w:tcPr>
          <w:p w:rsidR="007E3787" w:rsidRPr="009730F5" w:rsidRDefault="007E3787" w:rsidP="006756C5">
            <w:pPr>
              <w:spacing w:before="100" w:beforeAutospacing="1" w:after="100" w:afterAutospacing="1"/>
              <w:rPr>
                <w:rFonts w:eastAsia="Times New Roman"/>
              </w:rPr>
            </w:pPr>
            <w:r w:rsidRPr="009730F5">
              <w:rPr>
                <w:rFonts w:eastAsia="Times New Roman"/>
              </w:rPr>
              <w:t>03 Cene</w:t>
            </w:r>
          </w:p>
        </w:tc>
        <w:tc>
          <w:tcPr>
            <w:tcW w:w="5843" w:type="dxa"/>
            <w:vAlign w:val="bottom"/>
          </w:tcPr>
          <w:p w:rsidR="007E3787" w:rsidRPr="009730F5" w:rsidRDefault="007E3787" w:rsidP="006756C5">
            <w:pPr>
              <w:spacing w:before="100" w:beforeAutospacing="1" w:after="100" w:afterAutospacing="1"/>
              <w:rPr>
                <w:rFonts w:eastAsia="Times New Roman"/>
              </w:rPr>
            </w:pPr>
            <w:r w:rsidRPr="009730F5">
              <w:rPr>
                <w:rFonts w:eastAsia="Times New Roman"/>
              </w:rPr>
              <w:t>16 Gradbeništvo</w:t>
            </w:r>
          </w:p>
        </w:tc>
      </w:tr>
      <w:tr w:rsidR="007E3787" w:rsidRPr="009730F5" w:rsidTr="007E3787">
        <w:trPr>
          <w:trHeight w:val="414"/>
        </w:trPr>
        <w:tc>
          <w:tcPr>
            <w:tcW w:w="6631" w:type="dxa"/>
            <w:noWrap/>
            <w:vAlign w:val="bottom"/>
            <w:hideMark/>
          </w:tcPr>
          <w:p w:rsidR="007E3787" w:rsidRPr="009730F5" w:rsidRDefault="007E3787" w:rsidP="006756C5">
            <w:pPr>
              <w:spacing w:before="100" w:beforeAutospacing="1" w:after="100" w:afterAutospacing="1"/>
              <w:rPr>
                <w:rFonts w:eastAsia="Times New Roman"/>
              </w:rPr>
            </w:pPr>
            <w:r w:rsidRPr="009730F5">
              <w:rPr>
                <w:rFonts w:eastAsia="Times New Roman"/>
              </w:rPr>
              <w:t>04 Prebivalstvo</w:t>
            </w:r>
          </w:p>
        </w:tc>
        <w:tc>
          <w:tcPr>
            <w:tcW w:w="5843" w:type="dxa"/>
            <w:vAlign w:val="bottom"/>
          </w:tcPr>
          <w:p w:rsidR="007E3787" w:rsidRPr="009730F5" w:rsidRDefault="007E3787" w:rsidP="006756C5">
            <w:pPr>
              <w:spacing w:before="100" w:beforeAutospacing="1" w:after="100" w:afterAutospacing="1"/>
              <w:rPr>
                <w:rFonts w:eastAsia="Times New Roman"/>
              </w:rPr>
            </w:pPr>
            <w:r w:rsidRPr="009730F5">
              <w:rPr>
                <w:rFonts w:eastAsia="Times New Roman"/>
              </w:rPr>
              <w:t>19 Turizem</w:t>
            </w:r>
          </w:p>
        </w:tc>
      </w:tr>
      <w:tr w:rsidR="007E3787" w:rsidRPr="009730F5" w:rsidTr="007E3787">
        <w:trPr>
          <w:trHeight w:val="414"/>
        </w:trPr>
        <w:tc>
          <w:tcPr>
            <w:tcW w:w="6631" w:type="dxa"/>
            <w:noWrap/>
            <w:vAlign w:val="bottom"/>
            <w:hideMark/>
          </w:tcPr>
          <w:p w:rsidR="007E3787" w:rsidRPr="009730F5" w:rsidRDefault="007E3787" w:rsidP="006756C5">
            <w:pPr>
              <w:spacing w:before="100" w:beforeAutospacing="1" w:after="100" w:afterAutospacing="1"/>
              <w:rPr>
                <w:rFonts w:eastAsia="Times New Roman"/>
              </w:rPr>
            </w:pPr>
            <w:r w:rsidRPr="009730F5">
              <w:rPr>
                <w:rFonts w:eastAsia="Times New Roman"/>
              </w:rPr>
              <w:t>05 Trg dela</w:t>
            </w:r>
          </w:p>
        </w:tc>
        <w:tc>
          <w:tcPr>
            <w:tcW w:w="5843" w:type="dxa"/>
            <w:vAlign w:val="bottom"/>
          </w:tcPr>
          <w:p w:rsidR="007E3787" w:rsidRPr="009730F5" w:rsidRDefault="007E3787" w:rsidP="006756C5">
            <w:pPr>
              <w:spacing w:before="100" w:beforeAutospacing="1" w:after="100" w:afterAutospacing="1"/>
              <w:rPr>
                <w:rFonts w:eastAsia="Times New Roman"/>
              </w:rPr>
            </w:pPr>
            <w:r w:rsidRPr="009730F5">
              <w:rPr>
                <w:rFonts w:eastAsia="Times New Roman"/>
              </w:rPr>
              <w:t>20 Transport in komunikacije</w:t>
            </w:r>
          </w:p>
        </w:tc>
      </w:tr>
      <w:tr w:rsidR="007E3787" w:rsidRPr="009730F5" w:rsidTr="007E3787">
        <w:trPr>
          <w:trHeight w:val="414"/>
        </w:trPr>
        <w:tc>
          <w:tcPr>
            <w:tcW w:w="6631" w:type="dxa"/>
            <w:noWrap/>
            <w:vAlign w:val="bottom"/>
            <w:hideMark/>
          </w:tcPr>
          <w:p w:rsidR="007E3787" w:rsidRPr="009730F5" w:rsidRDefault="007E3787" w:rsidP="006756C5">
            <w:pPr>
              <w:spacing w:before="100" w:beforeAutospacing="1" w:after="100" w:afterAutospacing="1"/>
              <w:rPr>
                <w:rFonts w:eastAsia="Times New Roman"/>
              </w:rPr>
            </w:pPr>
            <w:r w:rsidRPr="009730F5">
              <w:rPr>
                <w:rFonts w:eastAsia="Times New Roman"/>
              </w:rPr>
              <w:t>06 Življenjska raven</w:t>
            </w:r>
          </w:p>
        </w:tc>
        <w:tc>
          <w:tcPr>
            <w:tcW w:w="5843" w:type="dxa"/>
            <w:vAlign w:val="bottom"/>
          </w:tcPr>
          <w:p w:rsidR="007E3787" w:rsidRPr="009730F5" w:rsidRDefault="007E3787" w:rsidP="006756C5">
            <w:pPr>
              <w:spacing w:before="100" w:beforeAutospacing="1" w:after="100" w:afterAutospacing="1"/>
              <w:rPr>
                <w:rFonts w:eastAsia="Times New Roman"/>
              </w:rPr>
            </w:pPr>
            <w:r w:rsidRPr="009730F5">
              <w:rPr>
                <w:rFonts w:eastAsia="Times New Roman"/>
              </w:rPr>
              <w:t>21 Kmetijstvo, gozdarstvo in ribištvo</w:t>
            </w:r>
          </w:p>
        </w:tc>
      </w:tr>
      <w:tr w:rsidR="007E3787" w:rsidRPr="009730F5" w:rsidTr="007E3787">
        <w:trPr>
          <w:trHeight w:val="414"/>
        </w:trPr>
        <w:tc>
          <w:tcPr>
            <w:tcW w:w="6631" w:type="dxa"/>
            <w:noWrap/>
            <w:vAlign w:val="bottom"/>
            <w:hideMark/>
          </w:tcPr>
          <w:p w:rsidR="007E3787" w:rsidRPr="009730F5" w:rsidRDefault="007E3787" w:rsidP="006756C5">
            <w:pPr>
              <w:spacing w:before="100" w:beforeAutospacing="1" w:after="100" w:afterAutospacing="1"/>
              <w:rPr>
                <w:rFonts w:eastAsia="Times New Roman"/>
              </w:rPr>
            </w:pPr>
            <w:r w:rsidRPr="009730F5">
              <w:rPr>
                <w:rFonts w:eastAsia="Times New Roman"/>
              </w:rPr>
              <w:t>07 Izobraževanje</w:t>
            </w:r>
          </w:p>
        </w:tc>
        <w:tc>
          <w:tcPr>
            <w:tcW w:w="5843" w:type="dxa"/>
            <w:vAlign w:val="bottom"/>
          </w:tcPr>
          <w:p w:rsidR="007E3787" w:rsidRPr="009730F5" w:rsidRDefault="007E3787" w:rsidP="006756C5">
            <w:pPr>
              <w:spacing w:before="100" w:beforeAutospacing="1" w:after="100" w:afterAutospacing="1"/>
              <w:rPr>
                <w:rFonts w:eastAsia="Times New Roman"/>
              </w:rPr>
            </w:pPr>
            <w:r w:rsidRPr="009730F5">
              <w:rPr>
                <w:rFonts w:eastAsia="Times New Roman"/>
              </w:rPr>
              <w:t>22 Okolje</w:t>
            </w:r>
          </w:p>
        </w:tc>
      </w:tr>
      <w:tr w:rsidR="007E3787" w:rsidRPr="009730F5" w:rsidTr="007E3787">
        <w:trPr>
          <w:trHeight w:val="414"/>
        </w:trPr>
        <w:tc>
          <w:tcPr>
            <w:tcW w:w="6631" w:type="dxa"/>
            <w:noWrap/>
            <w:vAlign w:val="bottom"/>
            <w:hideMark/>
          </w:tcPr>
          <w:p w:rsidR="007E3787" w:rsidRPr="009730F5" w:rsidRDefault="007E3787" w:rsidP="006756C5">
            <w:pPr>
              <w:spacing w:before="100" w:beforeAutospacing="1" w:after="100" w:afterAutospacing="1"/>
              <w:rPr>
                <w:rFonts w:eastAsia="Times New Roman"/>
              </w:rPr>
            </w:pPr>
            <w:r w:rsidRPr="009730F5">
              <w:rPr>
                <w:rFonts w:eastAsia="Times New Roman"/>
              </w:rPr>
              <w:t>09 Zdravje in socialna varnost</w:t>
            </w:r>
          </w:p>
        </w:tc>
        <w:tc>
          <w:tcPr>
            <w:tcW w:w="5843" w:type="dxa"/>
            <w:vAlign w:val="bottom"/>
          </w:tcPr>
          <w:p w:rsidR="007E3787" w:rsidRPr="009730F5" w:rsidRDefault="007E3787" w:rsidP="006756C5">
            <w:pPr>
              <w:spacing w:before="100" w:beforeAutospacing="1" w:after="100" w:afterAutospacing="1"/>
              <w:rPr>
                <w:rFonts w:eastAsia="Times New Roman"/>
              </w:rPr>
            </w:pPr>
            <w:r w:rsidRPr="009730F5">
              <w:rPr>
                <w:rFonts w:eastAsia="Times New Roman"/>
              </w:rPr>
              <w:t>23 Medpodročni sistemi kazalnikov</w:t>
            </w:r>
          </w:p>
        </w:tc>
      </w:tr>
      <w:tr w:rsidR="007E3787" w:rsidRPr="009730F5" w:rsidTr="007E3787">
        <w:trPr>
          <w:trHeight w:val="414"/>
        </w:trPr>
        <w:tc>
          <w:tcPr>
            <w:tcW w:w="6631" w:type="dxa"/>
            <w:noWrap/>
            <w:vAlign w:val="bottom"/>
            <w:hideMark/>
          </w:tcPr>
          <w:p w:rsidR="007E3787" w:rsidRPr="009730F5" w:rsidRDefault="007E3787" w:rsidP="006756C5">
            <w:pPr>
              <w:spacing w:before="100" w:beforeAutospacing="1" w:after="100" w:afterAutospacing="1"/>
              <w:rPr>
                <w:rFonts w:eastAsia="Times New Roman"/>
              </w:rPr>
            </w:pPr>
            <w:r w:rsidRPr="009730F5">
              <w:rPr>
                <w:rFonts w:eastAsia="Times New Roman"/>
              </w:rPr>
              <w:t>10 Kriminaliteta</w:t>
            </w:r>
          </w:p>
        </w:tc>
        <w:tc>
          <w:tcPr>
            <w:tcW w:w="5843" w:type="dxa"/>
            <w:vAlign w:val="bottom"/>
          </w:tcPr>
          <w:p w:rsidR="007E3787" w:rsidRPr="009730F5" w:rsidRDefault="007E3787" w:rsidP="006756C5">
            <w:pPr>
              <w:spacing w:before="100" w:beforeAutospacing="1" w:after="100" w:afterAutospacing="1"/>
              <w:rPr>
                <w:rFonts w:eastAsia="Times New Roman"/>
              </w:rPr>
            </w:pPr>
            <w:r w:rsidRPr="009730F5">
              <w:rPr>
                <w:rFonts w:eastAsia="Times New Roman"/>
              </w:rPr>
              <w:t>25 Drugo</w:t>
            </w:r>
          </w:p>
        </w:tc>
      </w:tr>
      <w:tr w:rsidR="007E3787" w:rsidRPr="009730F5" w:rsidTr="007E3787">
        <w:trPr>
          <w:trHeight w:val="414"/>
        </w:trPr>
        <w:tc>
          <w:tcPr>
            <w:tcW w:w="6631" w:type="dxa"/>
            <w:noWrap/>
            <w:vAlign w:val="bottom"/>
            <w:hideMark/>
          </w:tcPr>
          <w:p w:rsidR="007E3787" w:rsidRPr="009730F5" w:rsidRDefault="007E3787" w:rsidP="006756C5">
            <w:pPr>
              <w:spacing w:before="100" w:beforeAutospacing="1" w:after="100" w:afterAutospacing="1"/>
              <w:rPr>
                <w:rFonts w:eastAsia="Times New Roman"/>
              </w:rPr>
            </w:pPr>
            <w:r w:rsidRPr="009730F5">
              <w:rPr>
                <w:rFonts w:eastAsia="Times New Roman"/>
              </w:rPr>
              <w:t>11 Poslovni subjekti</w:t>
            </w:r>
          </w:p>
        </w:tc>
        <w:tc>
          <w:tcPr>
            <w:tcW w:w="5843" w:type="dxa"/>
            <w:vAlign w:val="bottom"/>
          </w:tcPr>
          <w:p w:rsidR="007E3787" w:rsidRPr="009730F5" w:rsidRDefault="007E3787" w:rsidP="006756C5">
            <w:pPr>
              <w:spacing w:before="100" w:beforeAutospacing="1" w:after="100" w:afterAutospacing="1"/>
              <w:rPr>
                <w:rFonts w:eastAsia="Times New Roman"/>
              </w:rPr>
            </w:pPr>
          </w:p>
        </w:tc>
      </w:tr>
    </w:tbl>
    <w:p w:rsidR="007E3787" w:rsidRPr="0017355E" w:rsidRDefault="007E3787" w:rsidP="007E3787">
      <w:pPr>
        <w:spacing w:before="100" w:beforeAutospacing="1" w:after="100" w:afterAutospacing="1"/>
        <w:rPr>
          <w:rFonts w:eastAsia="Times New Roman"/>
        </w:rPr>
      </w:pPr>
      <w:bookmarkStart w:id="0" w:name="_GoBack"/>
      <w:bookmarkEnd w:id="0"/>
    </w:p>
    <w:p w:rsidR="00000000" w:rsidRDefault="007E3787">
      <w:pPr>
        <w:spacing w:before="100" w:beforeAutospacing="1" w:after="100" w:afterAutospacing="1"/>
        <w:sectPr w:rsidR="00000000">
          <w:footerReference w:type="default" r:id="rId6"/>
          <w:pgSz w:w="16840" w:h="11907" w:orient="landscape"/>
          <w:pgMar w:top="816" w:right="816" w:bottom="816" w:left="816" w:header="340" w:footer="340" w:gutter="0"/>
          <w:cols w:space="708"/>
          <w:rtlGutter/>
          <w:docGrid w:linePitch="360"/>
        </w:sectPr>
      </w:pPr>
    </w:p>
    <w:tbl>
      <w:tblPr>
        <w:tblW w:w="15649"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1011"/>
        <w:gridCol w:w="1511"/>
        <w:gridCol w:w="1990"/>
        <w:gridCol w:w="2307"/>
        <w:gridCol w:w="2307"/>
        <w:gridCol w:w="1990"/>
        <w:gridCol w:w="1511"/>
        <w:gridCol w:w="1511"/>
        <w:gridCol w:w="1511"/>
      </w:tblGrid>
      <w:tr w:rsidR="00000000" w:rsidTr="007E3787">
        <w:tc>
          <w:tcPr>
            <w:tcW w:w="10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R01</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Nacionalni računi</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R.01.01</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Digitalne tabele ponudbe in porabe</w:t>
            </w:r>
            <w:r>
              <w:rPr>
                <w:rFonts w:eastAsia="Times New Roman"/>
                <w:sz w:val="16"/>
                <w:szCs w:val="16"/>
              </w:rPr>
              <w:br/>
              <w:t>NR – DSUT</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Prikaz in merjenje obsega digitalnih dejavnosti in proizvodov v okviru domačega gospodarstva in v tokovih s tujino. </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iz izkaza poslovnega izida in bilance stanja gospodarskih družb, zadrug, samostojnih podjetnikov in drugih pravnih enot, podatki iz Poslovnega registra Slovenije, podatki iz davčnih evidenc, plačilne bilance, podatki o poslovanju zavarovalnic in ba</w:t>
            </w:r>
            <w:r>
              <w:rPr>
                <w:rFonts w:eastAsia="Times New Roman"/>
                <w:sz w:val="16"/>
                <w:szCs w:val="16"/>
              </w:rPr>
              <w:t xml:space="preserve">nk, javnofinančni podatki, podatki iz prirejanja iger na srečo, podatki statističnih raziskovanj. </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Administrativni viri: AJPES, BS, MF, MNZ, FURS, UJP, AZN, ZZZS, MKGP, ZPIZ, ELES do 31. 5. Statistični viri.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n.s.</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Cene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R.03.01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Najemnine poslovnih prostorov</w:t>
            </w:r>
            <w:r>
              <w:rPr>
                <w:rFonts w:eastAsia="Times New Roman"/>
                <w:sz w:val="16"/>
                <w:szCs w:val="16"/>
              </w:rPr>
              <w:br/>
              <w:t>NAJEM-POSL/ČL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Priprava indeksa najemnin poslovnih prostorov.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Najemnine poslovnih prostorov (za pisarne in lokale), naslov, vključno z EID-ji, podatki energetskih izkaznic.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viri: GURS (ETN), 65 dni po zaključku četrtletja, do 15.4. letne podatke za prejšnje leto, MOPE do 30.4.</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Prebivalstvo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R.04.01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Analiza podatkov za razvoj statistike gospodinjstev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Priprava metodologije za prihodnji registrski popis s poudarkom na problematiki gospodinjstev.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Osebe: EMŠO, priimek, datum rojstva, spol, EMŠO matere, EMŠO očeta, EMŠO zakonca, stalno /začasno prebivališ</w:t>
            </w:r>
            <w:r>
              <w:rPr>
                <w:rFonts w:eastAsia="Times New Roman"/>
                <w:sz w:val="16"/>
                <w:szCs w:val="16"/>
              </w:rPr>
              <w:t>ča (naslov, vključno z EID-ji), državljanstvo, zakonski stan, število živorojenih otrok, kraj/država rojstva, kraj/država prvega prebivališča, kraj/država prejšnjega prebivališča, leto in država priselitve, leto zadnje selitve, prebivališče leto pred popis</w:t>
            </w:r>
            <w:r>
              <w:rPr>
                <w:rFonts w:eastAsia="Times New Roman"/>
                <w:sz w:val="16"/>
                <w:szCs w:val="16"/>
              </w:rPr>
              <w:t>om, izobrazba, status aktivnosti, poklic, dejavnost, zaposlitveni status, institucionalni sektor, kraj/država dela, MŠ poslovnega subjekta, število zaposlenih v enoti poslovnega subjekta, vrsta pokojnine, trajanje brezposelnosti, podlaga za zavarovanje, la</w:t>
            </w:r>
            <w:r>
              <w:rPr>
                <w:rFonts w:eastAsia="Times New Roman"/>
                <w:sz w:val="16"/>
                <w:szCs w:val="16"/>
              </w:rPr>
              <w:t xml:space="preserve">stništvo </w:t>
            </w:r>
            <w:r>
              <w:rPr>
                <w:rFonts w:eastAsia="Times New Roman"/>
                <w:sz w:val="16"/>
                <w:szCs w:val="16"/>
              </w:rPr>
              <w:lastRenderedPageBreak/>
              <w:t>stanovanja, stanovanjsko razmerje. Gospodinjstva: EMŠO članov, zaporedna številka gospodinjstva, število članov, razmerje do referenčne osebe gospodinjstva, naslov (vključno z EID-ji). Stavbe in deli stavb (stanovanja): ID stavbe, ID dela stavbe (</w:t>
            </w:r>
            <w:r>
              <w:rPr>
                <w:rFonts w:eastAsia="Times New Roman"/>
                <w:sz w:val="16"/>
                <w:szCs w:val="16"/>
              </w:rPr>
              <w:t>stanovanja), lokacija oz. naslov (vključno z EID-ji) vključno s številko dela stavbe, leto izgradnje stavbe, število nadstropij, površina dela stavbe, dejanska raba dela stavbe, lega v stavbi, material nosilne konstrukcije, opremljenost z inštalacijami (vo</w:t>
            </w:r>
            <w:r>
              <w:rPr>
                <w:rFonts w:eastAsia="Times New Roman"/>
                <w:sz w:val="16"/>
                <w:szCs w:val="16"/>
              </w:rPr>
              <w:t>dovod, elektrika, kanalizacija), vrsta ogrevanja, opremljenost s pomožnimi prostori (WC, kopalnica, kuhinja), najem stanovanja. Podatki o lastništvu: EMŠO lastnika/solastnika, MŠ podjetja, lastniški deleži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Administrativni viri: MNZ (CRP), GURS – Kataster n</w:t>
            </w:r>
            <w:r>
              <w:rPr>
                <w:rFonts w:eastAsia="Times New Roman"/>
                <w:sz w:val="16"/>
                <w:szCs w:val="16"/>
              </w:rPr>
              <w:t>epremičnin, GURS - Evidenca trga nepremičnin (ETN - najemni posli), GURS-GJI (gospodarska javna infrastruktura - toplotna energija), MZI (Register malih kurilnih naprav), ZPIZ - prejemniki - pokojnin, ZRSZ – brezposelne osebe, ZZZS - zavarovane osebe in nj</w:t>
            </w:r>
            <w:r>
              <w:rPr>
                <w:rFonts w:eastAsia="Times New Roman"/>
                <w:sz w:val="16"/>
                <w:szCs w:val="16"/>
              </w:rPr>
              <w:t xml:space="preserve">ihovi družinski člani, RIC - maturanti in nacionalno preverjanje znanja, OZS, TZS in GZS - poklicno in strokovno izobraževanje, MNVP - register malih kurilnih naprav, MDDSZ - ISCSD. Statistični viri: </w:t>
            </w:r>
            <w:r>
              <w:rPr>
                <w:rFonts w:eastAsia="Times New Roman"/>
                <w:sz w:val="16"/>
                <w:szCs w:val="16"/>
              </w:rPr>
              <w:lastRenderedPageBreak/>
              <w:t>DEMPREB/ČL, DEM-ROJ, SEL, SEL-SOC, SRDAP, DAK, ŠOL-DIPL-</w:t>
            </w:r>
            <w:r>
              <w:rPr>
                <w:rFonts w:eastAsia="Times New Roman"/>
                <w:sz w:val="16"/>
                <w:szCs w:val="16"/>
              </w:rPr>
              <w:t>TERC, ŠOL-ŠTUD, ŠOL-DOTERC, RAVEN-DOH, EU-SILC, ANP, APG, GRAD-GD/M (gradbena dovoljenja)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1.1.2025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R05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Trg dela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Evalvacija metod vstavljanja, ki temeljijo na strojnem učenju, na podatkih o plačah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Testiranje in evalvacija uporabe metod vstavljanja, ki temeljijo na strojnem učenju, na podatkih statističnega raziskovanja Plače.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prejemniku dohodka (vključno z EMŠO in rezidentstvom), podatki o bruto dohodku in davčni osnovi, osnovi za obraču</w:t>
            </w:r>
            <w:r>
              <w:rPr>
                <w:rFonts w:eastAsia="Times New Roman"/>
                <w:sz w:val="16"/>
                <w:szCs w:val="16"/>
              </w:rPr>
              <w:t>n in plačilo prispevkov, prispevkih za socialno varnost delojemalca, prispevkih za socialno varnost delodajalca, prispevku za zavarovalno dobo, ki se šteje s povečanjem, davčnem odtegljaju, dohodkih, ki se ne vštevajo v davčno osnovo, bonitetah, pokojninsk</w:t>
            </w:r>
            <w:r>
              <w:rPr>
                <w:rFonts w:eastAsia="Times New Roman"/>
                <w:sz w:val="16"/>
                <w:szCs w:val="16"/>
              </w:rPr>
              <w:t xml:space="preserve">ih osnovah za osebo v delovnem razmerju ter dodatni podatki o plači (10-mestna matična številka (dela) poslovnega subjekta, v katerem prejemnik dohodka opravlja delo, šifra kolektivne pogodbe, ki velja za zaposlitev prejemnika dohodka, osnovna plača, del </w:t>
            </w:r>
            <w:r>
              <w:rPr>
                <w:rFonts w:eastAsia="Times New Roman"/>
                <w:sz w:val="16"/>
                <w:szCs w:val="16"/>
              </w:rPr>
              <w:lastRenderedPageBreak/>
              <w:t>p</w:t>
            </w:r>
            <w:r>
              <w:rPr>
                <w:rFonts w:eastAsia="Times New Roman"/>
                <w:sz w:val="16"/>
                <w:szCs w:val="16"/>
              </w:rPr>
              <w:t>lače za delovno uspešnost, dodatki, plačilo za poslovno uspešnost, nadomestila plače, ki bremenijo delodajalca, neto plača, izplačana v breme delodajalca, število opravljenih in neopravljenih ur (vključno s številom nadur), izplačanih v breme delodajalca).</w:t>
            </w:r>
            <w:r>
              <w:rPr>
                <w:rFonts w:eastAsia="Times New Roman"/>
                <w:sz w:val="16"/>
                <w:szCs w:val="16"/>
              </w:rPr>
              <w:t xml:space="preserve"> Datum prijave, podlaga za zavarovanje, delovni/zavarovalni čas, registrska številka zavezanca za prispevek, državljanstvo osebe, vrsta delovnega razmerja, izmensko delo, vrsta in področje izobraževalnih izidov, poklicna skupina osebe, spol, rojstni datum,</w:t>
            </w:r>
            <w:r>
              <w:rPr>
                <w:rFonts w:eastAsia="Times New Roman"/>
                <w:sz w:val="16"/>
                <w:szCs w:val="16"/>
              </w:rPr>
              <w:t xml:space="preserve"> vrsta invalidnosti, odsotnosti, indikator detaširanosti, delovna doba pri zadnjem delodajalcu, starost v letih, status aktivnosti zaposlene osebe, občina in statistična regija prebivališča. Matična številka podjetja/enote v sestavi podjetja, davčna števil</w:t>
            </w:r>
            <w:r>
              <w:rPr>
                <w:rFonts w:eastAsia="Times New Roman"/>
                <w:sz w:val="16"/>
                <w:szCs w:val="16"/>
              </w:rPr>
              <w:t>ka podjetja, vrsta lastnine, velikost podjetja, število zaposlenih, občina, upravna enota in statistična regija (NUTS 3) delovnega mesta – enote, institucionalni sektor (skupine institucionalnih enot), dejavnost enote po SKD 2008 in SKD 2025, šifra proraču</w:t>
            </w:r>
            <w:r>
              <w:rPr>
                <w:rFonts w:eastAsia="Times New Roman"/>
                <w:sz w:val="16"/>
                <w:szCs w:val="16"/>
              </w:rPr>
              <w:t>nskega uporabnika, pravno organizacijska oblika enote.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Administrativni viri: MNZ (CRP) prvi delovni dan v mesecu Statistični viri: PLAČE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R07</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Izobraževanje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R.07.01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Stopnja dokončanja srednješolskega, višješolskega in visokošolskega izobraževanja in prehodi med ravnmi izobraževanja ter vstop na trg dela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Razvoj kazalnikov o stopnji dokončanja posameznih ravni izobraževanja ter o prehodih med njimi.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Administrativni/sta</w:t>
            </w:r>
            <w:r>
              <w:rPr>
                <w:rFonts w:eastAsia="Times New Roman"/>
                <w:sz w:val="16"/>
                <w:szCs w:val="16"/>
              </w:rPr>
              <w:t xml:space="preserve">tistični viri: podatki o izobraževalnem zavodu, podatki o izobraževalnem programu oziroma o drugem izobraževalnem programu (če je bil študij dvopredmetni); podatki o dijaku, študentu oziroma diplomantu: EMŠO, priimek, </w:t>
            </w:r>
            <w:r>
              <w:rPr>
                <w:rFonts w:eastAsia="Times New Roman"/>
                <w:sz w:val="16"/>
                <w:szCs w:val="16"/>
              </w:rPr>
              <w:lastRenderedPageBreak/>
              <w:t>ime, spol, datum rojstva; občina in dr</w:t>
            </w:r>
            <w:r>
              <w:rPr>
                <w:rFonts w:eastAsia="Times New Roman"/>
                <w:sz w:val="16"/>
                <w:szCs w:val="16"/>
              </w:rPr>
              <w:t xml:space="preserve">žava stalnega prebivališča, država državljanstva, država rojstva (prvega prebivališča), leto priselitve, podatki o področju znanosti, število otrok v družini, družinski status, dosežena izobrazba staršev, država rojstva (prvega prebivališča) staršev, EMŠO </w:t>
            </w:r>
            <w:r>
              <w:rPr>
                <w:rFonts w:eastAsia="Times New Roman"/>
                <w:sz w:val="16"/>
                <w:szCs w:val="16"/>
              </w:rPr>
              <w:t>otroka, datum rojstva otroka; podatki o vključenosti (za študente): študijsko leto, obiskovanje programa na sedežu ali dislocirani enoti, občina in država, v kateri študent obiskuje študijski program, letnik študija, način študija, študij na daljavo, vrsta</w:t>
            </w:r>
            <w:r>
              <w:rPr>
                <w:rFonts w:eastAsia="Times New Roman"/>
                <w:sz w:val="16"/>
                <w:szCs w:val="16"/>
              </w:rPr>
              <w:t xml:space="preserve"> vpisa, študijsko leto prvega vpisa v ta izobraževalni program, študijsko leto prvega vpisa v katerikoli visokošolski oziroma višješolski študijski program, ali se program študentu financira iz javnih sredstev, podatki o vrsti in višini štipendije; podatki</w:t>
            </w:r>
            <w:r>
              <w:rPr>
                <w:rFonts w:eastAsia="Times New Roman"/>
                <w:sz w:val="16"/>
                <w:szCs w:val="16"/>
              </w:rPr>
              <w:t xml:space="preserve"> o študiju in diplomiranju (za diplomante): datum diplomiranja, način študija diplomanta, študijsko leto prvega vpisa v ta študijski program, letnik, v katerega se je diplomant vpisal ob prvem vpisu v ta program, študijsko leto prvega vpisa v katerikoli vi</w:t>
            </w:r>
            <w:r>
              <w:rPr>
                <w:rFonts w:eastAsia="Times New Roman"/>
                <w:sz w:val="16"/>
                <w:szCs w:val="16"/>
              </w:rPr>
              <w:t>sokošolski oziroma višješolski študijski program; podatki o predhodno doseženi izobrazbi dijaka, študenta oziroma diplomanta: vrsta, leto in država dosežene izobrazbe, podatki o zavodu in programu predhodne izobrazbe; najvišja predhodno pridobljena izobraz</w:t>
            </w:r>
            <w:r>
              <w:rPr>
                <w:rFonts w:eastAsia="Times New Roman"/>
                <w:sz w:val="16"/>
                <w:szCs w:val="16"/>
              </w:rPr>
              <w:t xml:space="preserve">ba študenta; podatki o kratkoročni mobilnosti študenta oziroma diplomanta: države visokošolskih zavodov, kjer je bil študent oziroma diplomant na izmenjavi, datumi začetkov in zaključkov izmenjav, število doseženih kreditnih točk, vrste </w:t>
            </w:r>
            <w:r>
              <w:rPr>
                <w:rFonts w:eastAsia="Times New Roman"/>
                <w:sz w:val="16"/>
                <w:szCs w:val="16"/>
              </w:rPr>
              <w:lastRenderedPageBreak/>
              <w:t>mednarodnih izmenja</w:t>
            </w:r>
            <w:r>
              <w:rPr>
                <w:rFonts w:eastAsia="Times New Roman"/>
                <w:sz w:val="16"/>
                <w:szCs w:val="16"/>
              </w:rPr>
              <w:t>v; podatki o zaposlitvi študenta oz. diplomanta (delodajalec, poklic, dejavnost, trajanje zaposlitve), podatki o dohodkih.</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Administrativni viri: MNZ (CRP), MDDSZ (štipendije); Statistični viri: DEM-PREB/ČL, SEL-SOC, ŠOL-ŠTUD, ŠOL-DIPL-TERC, DAK, SRDAP, ŠOL</w:t>
            </w:r>
            <w:r>
              <w:rPr>
                <w:rFonts w:eastAsia="Times New Roman"/>
                <w:sz w:val="16"/>
                <w:szCs w:val="16"/>
              </w:rPr>
              <w:t>-DOTERC, RAVEN-DOH.</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Različna obdobja in referenčni datumi.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2028</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R.07.02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Razvoj področja statistike športa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Statistično spremljanje področja športa, in njegovega vpliva na družbo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športnih organizacijah oz. drugih organizacijah, povezanih športno dejavnostjo, o proizvodnji, storitvah, mednarodni trgovini v športnih in s športom povezanih dejavnostih, o športnikih in zaposlenih v športni dejavnosti, o športnih objektih, o i</w:t>
            </w:r>
            <w:r>
              <w:rPr>
                <w:rFonts w:eastAsia="Times New Roman"/>
                <w:sz w:val="16"/>
                <w:szCs w:val="16"/>
              </w:rPr>
              <w:t>zdatkih in virih za športno dejavnost, o vključenosti prebivalstva v športne in rekreativne aktivnosti, o dostopnosti športnih in rekreativnih aktivnosti.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viri: MGTŠ – administrativni viri o poklicnih športnikih, zaposlenih športnih delavci</w:t>
            </w:r>
            <w:r>
              <w:rPr>
                <w:rFonts w:eastAsia="Times New Roman"/>
                <w:sz w:val="16"/>
                <w:szCs w:val="16"/>
              </w:rPr>
              <w:t xml:space="preserve">h, športnih objektih.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2028</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R09</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Zdravje in socialna varnost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R.09.01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Neenakosti v zdravju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Prikaz neenakosti v zdravju glede na različne sociodemografske značilnosti, socioekonomske kazalnike in teritorialni vidik.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EMŠO, spol, starost, stopnja dosežene izobrazbe, aktivnost, dejavnost zaposlitve, država prvega prebivališča, državljanstvo, poklic,</w:t>
            </w:r>
            <w:r>
              <w:rPr>
                <w:rFonts w:eastAsia="Times New Roman"/>
                <w:sz w:val="16"/>
                <w:szCs w:val="16"/>
              </w:rPr>
              <w:t xml:space="preserve"> stopnja urbanizacije bruto dohodek na člana gospodinjstva, zakonski stan, regija prebivališča, tip družine, velikost gospodinjstva, doseganje praga revščine, kvintilni razred gospodinjstva, število elementov, za katere je gospodinjstvo prikrajšano, podatk</w:t>
            </w:r>
            <w:r>
              <w:rPr>
                <w:rFonts w:eastAsia="Times New Roman"/>
                <w:sz w:val="16"/>
                <w:szCs w:val="16"/>
              </w:rPr>
              <w:t>i o splošnem zdravstvenem stanju, obsegu dolgotrajnih zdravstvenih težav in oviranosti pri vsakodnevnih aktivnostih zaradi zdravstvenih težav, podatki o stiku zdravstveno in zobozdravstveno službo, podatki o blaginji, podatki o bolniški odsotnosti, državlj</w:t>
            </w:r>
            <w:r>
              <w:rPr>
                <w:rFonts w:eastAsia="Times New Roman"/>
                <w:sz w:val="16"/>
                <w:szCs w:val="16"/>
              </w:rPr>
              <w:t xml:space="preserve">anstvo in leto priselitve, Medgeneracijski prenos prikrajšanosti, lastnosti stavbe in stanovanja, finančni </w:t>
            </w:r>
            <w:r>
              <w:rPr>
                <w:rFonts w:eastAsia="Times New Roman"/>
                <w:sz w:val="16"/>
                <w:szCs w:val="16"/>
              </w:rPr>
              <w:lastRenderedPageBreak/>
              <w:t xml:space="preserve">položaj gospodinjstva, EMŠO staršev, običajno prebivališče (naslov vključno z EID-ji), respondent, ki je odgovarjal v imenu izbrane osebe. Podatki o </w:t>
            </w:r>
            <w:r>
              <w:rPr>
                <w:rFonts w:eastAsia="Times New Roman"/>
                <w:sz w:val="16"/>
                <w:szCs w:val="16"/>
              </w:rPr>
              <w:t>zdravju, zdravstvenem stanju in uporabi zdravstvenega sistema: absentizem (trajanje in vzrok), hospitalizacija (trajanje, glavna in spremljajoče diagnoze, opravljene storitve), umrljivost (starost v času smrti, glavni vzrok smrti, zunanji vzrok smrti), per</w:t>
            </w:r>
            <w:r>
              <w:rPr>
                <w:rFonts w:eastAsia="Times New Roman"/>
                <w:sz w:val="16"/>
                <w:szCs w:val="16"/>
              </w:rPr>
              <w:t xml:space="preserve">inatalni podatki (število otrok, način poroda, spremstvo očeta), podatki o presejanosti v programu SVIT (vključitev osebe, izid presejanja), podatki o izdanih zdravilih (ATC koda zdravila, količina, leto izdaje zdravila).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Administrativni viri: MNZ (CRP) d</w:t>
            </w:r>
            <w:r>
              <w:rPr>
                <w:rFonts w:eastAsia="Times New Roman"/>
                <w:sz w:val="16"/>
                <w:szCs w:val="16"/>
              </w:rPr>
              <w:t xml:space="preserve">o 30.6. Statistični viri: DEM-PREB/ČL, SEL-SOC,EU-SILC, UMRLI, SBO, SZBO, ABSENTIZEM, ZDRAVILA, SVIT, EHIS.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Prejšnje leto in predpreteklo leto za dohodek</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2028</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R.09.02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Kohortna študija zdravstvenega stanja prebivalcev glede na okoljska tvegan</w:t>
            </w:r>
            <w:r>
              <w:rPr>
                <w:rFonts w:eastAsia="Times New Roman"/>
                <w:sz w:val="16"/>
                <w:szCs w:val="16"/>
              </w:rPr>
              <w:t>ja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Prikaz zdravstvenega stanja in zdravstvenega varstva prebivalcev Slovenije glede na okoljska tveganja. Validacijska študija – primerjava anketnih in administrativnih virov podatkov.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EMŠO, spol, starost, zak. stan, izobrazba, poklic, del. aktivnost, de</w:t>
            </w:r>
            <w:r>
              <w:rPr>
                <w:rFonts w:eastAsia="Times New Roman"/>
                <w:sz w:val="16"/>
                <w:szCs w:val="16"/>
              </w:rPr>
              <w:t>javnost zaposlitve, dohodki, država rojstva osebe, matere in očeta, člani gospodinjstva, podatki o splošnem zdrav. stanju in dolgotrajnih zdrav. težavah, boleznih in bolezenskih stanjih, nezgodnih poškodbah, boleznih in delu, odsotnosti z dela, gibalnih in</w:t>
            </w:r>
            <w:r>
              <w:rPr>
                <w:rFonts w:eastAsia="Times New Roman"/>
                <w:sz w:val="16"/>
                <w:szCs w:val="16"/>
              </w:rPr>
              <w:t xml:space="preserve"> čutilnih funkcijah, skrbi zase, gospodinjskih aktivnostih, telesnih bolečinah, duševnem zdravju, sprejemih v bolnišnico, obiskih pri zdravnikih in drugih zdravstvenih strokovnjakih, jemanju zdravil, cepljenju, krvnem tlaku, holesterolu, krvnemu sladkorju,</w:t>
            </w:r>
            <w:r>
              <w:rPr>
                <w:rFonts w:eastAsia="Times New Roman"/>
                <w:sz w:val="16"/>
                <w:szCs w:val="16"/>
              </w:rPr>
              <w:t xml:space="preserve"> mamografiji, brisu materničnega vratu, prisotnosti krvi v blatu, dejavnikih tveganja socialni opori, okoljskih dejavnikih, podatki o bolnišničnih obravnavah, podatki o bolniškem staležu, podatki o izdanih zdravilih, podatki o udeležbi v programu SVIT, pod</w:t>
            </w:r>
            <w:r>
              <w:rPr>
                <w:rFonts w:eastAsia="Times New Roman"/>
                <w:sz w:val="16"/>
                <w:szCs w:val="16"/>
              </w:rPr>
              <w:t xml:space="preserve">atki o </w:t>
            </w:r>
            <w:r>
              <w:rPr>
                <w:rFonts w:eastAsia="Times New Roman"/>
                <w:sz w:val="16"/>
                <w:szCs w:val="16"/>
              </w:rPr>
              <w:lastRenderedPageBreak/>
              <w:t>datumu smrti in osnovnem vzroku smrti.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 xml:space="preserve">Administrativni viri. MNZ(CRP) do 30.9. Statistični viri: DEM-PREB/ČL, SEL-SOC, UMRLI, SBO, SZBO, ABSENTIZEM, ZDRAVILA, SVIT, EHIS.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2014-2025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R.09.03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Ocena problematične uporabe drog</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Ocena pojava problematične uporabe drog, spremljanje pojava v okolju, ocena potreb za različne ciljne skupine.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EMŠO, ime in priimek, SOUNDEX, STIGMA šifra, spol, državljanstvo, vrste uporabljenih drog, način uporabe drog, vrsta stika, vključenost v druge p</w:t>
            </w:r>
            <w:r>
              <w:rPr>
                <w:rFonts w:eastAsia="Times New Roman"/>
                <w:sz w:val="16"/>
                <w:szCs w:val="16"/>
              </w:rPr>
              <w:t xml:space="preserve">rograme, obravnave, podatki o zdravljenju, podatki o okužbah, podatki o tveganih vedenjih. Podatki o izdanih zdravilih, datum smrti, osnovni in zunanji vzrok smrti.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viri: Programi zmanjševanja škode (nizkopražni programi): podatki o frekve</w:t>
            </w:r>
            <w:r>
              <w:rPr>
                <w:rFonts w:eastAsia="Times New Roman"/>
                <w:sz w:val="16"/>
                <w:szCs w:val="16"/>
              </w:rPr>
              <w:t xml:space="preserve">nci in vrsti stika uporabnikov drog, in anketna raziskava med uporabniki, vrsta stika, uporabi drog, NIJZ 14, MNZ (CRP) do 30.6. Statistični viri: UMRLI, ZDRAVILA.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2015-2025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R.09.04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Analiza odhodov in prihodov zdravstvenih delavcev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Oce</w:t>
            </w:r>
            <w:r>
              <w:rPr>
                <w:rFonts w:eastAsia="Times New Roman"/>
                <w:sz w:val="16"/>
                <w:szCs w:val="16"/>
              </w:rPr>
              <w:t>na obsega odhodov in prihodov zdravstvenih delavcev iz in v zdravstveni sistem ter odhodov zdravstvenih delavcev v tujino.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Administrativni/statistični viri: Podatki o diplomantu izobraževalnega programa s področja zdravstva ali podobno: EMŠO, spol, datum d</w:t>
            </w:r>
            <w:r>
              <w:rPr>
                <w:rFonts w:eastAsia="Times New Roman"/>
                <w:sz w:val="16"/>
                <w:szCs w:val="16"/>
              </w:rPr>
              <w:t>iplomiranja, način študija diplomanta, podatki o izobraževalnem zavodu, podatki o izobraževalnem programu; podatki o zaposlitvi (MŠ delodajalca, občina delovnega mesta, poklicna skupina (SKP-08), dejavnost (SKD 2008), institucionalni sektor), podatki o doh</w:t>
            </w:r>
            <w:r>
              <w:rPr>
                <w:rFonts w:eastAsia="Times New Roman"/>
                <w:sz w:val="16"/>
                <w:szCs w:val="16"/>
              </w:rPr>
              <w:t>odkih. Podatki o zdravstvenem delavcu: EMŠO, datum rojstva, šifra zdravstvenega delavca in sodelavca, vitalni status in datum smrti, tip prebivalca, podatki o izobrazbi, podatki o dohodkih, podlaga za zavarovanje, datum začetka in konca zavarovanja, izobra</w:t>
            </w:r>
            <w:r>
              <w:rPr>
                <w:rFonts w:eastAsia="Times New Roman"/>
                <w:sz w:val="16"/>
                <w:szCs w:val="16"/>
              </w:rPr>
              <w:t xml:space="preserve">zba, dejavnost, status aktivnosti (status registrirano brezposelne osebe in obdobja brezposelnosti, status upokojenca in datum upokojitve).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viri: NIJZ (NIJZ 16), MNZ (CRP) do 30. 6. Statistični viri: DEM-PREB/ČL, SEL-SOC, ŠOL-ŠTUD, ŠOL-DIP</w:t>
            </w:r>
            <w:r>
              <w:rPr>
                <w:rFonts w:eastAsia="Times New Roman"/>
                <w:sz w:val="16"/>
                <w:szCs w:val="16"/>
              </w:rPr>
              <w:t xml:space="preserve">L-TERC, DAK, SRDAP, RAVEN-DOH, RIZDDZ.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2010-2025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R10</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Kriminaliteta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R.10.01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oškodovancih kaznivih dejanj ovadenih, obtoženih in obsojenih oseb</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Analiza novih administrativnih virov podatkov o oškodovancih kaznivih dejanj, ki so jih zagrešili </w:t>
            </w:r>
            <w:r>
              <w:rPr>
                <w:rFonts w:eastAsia="Times New Roman"/>
                <w:sz w:val="16"/>
                <w:szCs w:val="16"/>
              </w:rPr>
              <w:lastRenderedPageBreak/>
              <w:t>ovadeni, obtoženi ali obsojeni storilci in razvoj metodologije za pripravo statističnih podatkov o oškodovancih kaznivih dejanj.</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Podatki o oškodovancih kazniv</w:t>
            </w:r>
            <w:r>
              <w:rPr>
                <w:rFonts w:eastAsia="Times New Roman"/>
                <w:sz w:val="16"/>
                <w:szCs w:val="16"/>
              </w:rPr>
              <w:t xml:space="preserve">ih dejanj: Vrhovno državno tožilstvo: ID oškodovanca v </w:t>
            </w:r>
            <w:r>
              <w:rPr>
                <w:rFonts w:eastAsia="Times New Roman"/>
                <w:sz w:val="16"/>
                <w:szCs w:val="16"/>
              </w:rPr>
              <w:lastRenderedPageBreak/>
              <w:t>povezavi s spisom v sistemu DT, EMŠO, spol, ime, priimek, naslov stalnega bivališča, datum rojstva, ID kaznivega dejanja v sistemu DT, razmerje do storilca; podatki o kaznivem dejanju po kazenskem zako</w:t>
            </w:r>
            <w:r>
              <w:rPr>
                <w:rFonts w:eastAsia="Times New Roman"/>
                <w:sz w:val="16"/>
                <w:szCs w:val="16"/>
              </w:rPr>
              <w:t xml:space="preserve">niku, tipu kaznivega dejanja, datumu in občini storitve kaznivega dejanja, vrsti storilca, vrsti osebe, vložniku ovadbe, načinu vložitve ovadbe, skupini dogodka, vrsti odločbe, razlogu zavrženja in trajanju postopka. Za neznane storilce le podatki o šifri </w:t>
            </w:r>
            <w:r>
              <w:rPr>
                <w:rFonts w:eastAsia="Times New Roman"/>
                <w:sz w:val="16"/>
                <w:szCs w:val="16"/>
              </w:rPr>
              <w:t>kaznivega dejanja, vložniku ovadbe in vrsti odločbe. Vrhovno sodišče RS: EMŠO, spol, ime, priimek, naslov stalnega bivališča, naslov začasnega bivališča, datum rojstva, razmerje do storilca; podatki o kaznivem dejanju po kazenskem zakoniku, sostorilstvu, p</w:t>
            </w:r>
            <w:r>
              <w:rPr>
                <w:rFonts w:eastAsia="Times New Roman"/>
                <w:sz w:val="16"/>
                <w:szCs w:val="16"/>
              </w:rPr>
              <w:t>riporu, datumu storitve kaznivega dejanja, steku, vrsti sodne odločbe, določeni kazenski sankciji (glavni in morebitni stranski), morebitnem varnostnem ukrepu in trajanju postopka.</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 xml:space="preserve">Administrativni viri: Vrhovno državno tožilstvo (elektronska evidenca), </w:t>
            </w:r>
            <w:r>
              <w:rPr>
                <w:rFonts w:eastAsia="Times New Roman"/>
                <w:sz w:val="16"/>
                <w:szCs w:val="16"/>
              </w:rPr>
              <w:lastRenderedPageBreak/>
              <w:t>Vrh</w:t>
            </w:r>
            <w:r>
              <w:rPr>
                <w:rFonts w:eastAsia="Times New Roman"/>
                <w:sz w:val="16"/>
                <w:szCs w:val="16"/>
              </w:rPr>
              <w:t xml:space="preserve">ovno sodišče, do 15.3. MNZ (CRP) po potrebi. Statistični viri: SPR/L, DEM-PREB/ČL, SEL-SOC, KRIM-TOŽ, KRIM-SOD.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R11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Poslovni subjekti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R.11.01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Študija izvedljivosti novega kazalnika kratkoročnega gibanja gospodarstva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Izvedba študije izvedljivosti za pripravo novega kratkoročnega kazalnika o gibanju gospodarstva.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gibanju prihodkov ali podobnih kategorij (podatki prejemkov iz davčno potrjenih računov, podatki o davku na dodano vrednost, izvozne carinske deklaracije, prilivi v okviru plačilnega prometa, poraba električne energije) ter gibanju stroškov (poda</w:t>
            </w:r>
            <w:r>
              <w:rPr>
                <w:rFonts w:eastAsia="Times New Roman"/>
                <w:sz w:val="16"/>
                <w:szCs w:val="16"/>
              </w:rPr>
              <w:t>tki o davku na dodano vrednost, uvozne carinske deklaracije, odlivi v okviru plačilnega prometa, poraba električne energije).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FURS (tedenski podatki o davčno potrjenih računih, obrazec DDV-O, carinske deklaracije - po dogovoru, podatki statistike plačilneg</w:t>
            </w:r>
            <w:r>
              <w:rPr>
                <w:rFonts w:eastAsia="Times New Roman"/>
                <w:sz w:val="16"/>
                <w:szCs w:val="16"/>
              </w:rPr>
              <w:t>a prometa – po dogovoru z AJPES), ELES (števci električne energije) - po dogovoru.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R15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Energetika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Uporaba podatkov naprednih merilnih naprav električne energije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Spremljanje rabe električne energije pri končnih odjemalcih z uporabo podatkov naprednih merilnih sistemov električne energije.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naprednih merilnih naprav električne energije na merilno mesto natančno: DŠ plačnika, naziv in naslov plačnika, leto pod</w:t>
            </w:r>
            <w:r>
              <w:rPr>
                <w:rFonts w:eastAsia="Times New Roman"/>
                <w:sz w:val="16"/>
                <w:szCs w:val="16"/>
              </w:rPr>
              <w:t>atka, mesec finančne realizacije, naziv merilnega mesta, naslov merilnega mesta, tip merilnega mesta, obračunska varovalka, šifra odjemne skupine, šifra načina obračuna, odstotek izgub transformacije, šifra olajšave za obračun omrežnine, indikator ali je p</w:t>
            </w:r>
            <w:r>
              <w:rPr>
                <w:rFonts w:eastAsia="Times New Roman"/>
                <w:sz w:val="16"/>
                <w:szCs w:val="16"/>
              </w:rPr>
              <w:t>otreben obračun dobavitelja, vrsta tarife za obračun, šifra zaračunljivega elementa, številka števca, staro stanje odbirek, staro stanje datum stanja, novo stanje odbirek, novo stanje datum stanja, šifra načina pridobitve stanja, konstanta števca, količina</w:t>
            </w:r>
            <w:r>
              <w:rPr>
                <w:rFonts w:eastAsia="Times New Roman"/>
                <w:sz w:val="16"/>
                <w:szCs w:val="16"/>
              </w:rPr>
              <w:t xml:space="preserve"> porabljene električne energije, znesek porabljene električne energije, priključna moč posameznih priključkov. Osebni podatki lastnika napredne merilne naprave: DŠ, lokacija napredne merilne naprave (naslov).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Distribucijska podjetja električne energije (p</w:t>
            </w:r>
            <w:r>
              <w:rPr>
                <w:rFonts w:eastAsia="Times New Roman"/>
                <w:sz w:val="16"/>
                <w:szCs w:val="16"/>
              </w:rPr>
              <w:t>odatki naprednih merilnih naprav električne energije), do 15. v mesecu. Administrativna vira: ELES, do 15. v mesecu, GURS (Kataster nepremičnin in Register naslovov), enkrat letno oz. po potrebi. Statistični vir: SPRS.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R.15.02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Topl</w:t>
            </w:r>
            <w:r>
              <w:rPr>
                <w:rFonts w:eastAsia="Times New Roman"/>
                <w:sz w:val="16"/>
                <w:szCs w:val="16"/>
              </w:rPr>
              <w:t>otne črpalke</w:t>
            </w:r>
            <w:r>
              <w:rPr>
                <w:rFonts w:eastAsia="Times New Roman"/>
                <w:sz w:val="16"/>
                <w:szCs w:val="16"/>
              </w:rPr>
              <w:br/>
              <w:t>E-TČ</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Dopolnitev podatkov o inštaliranih toplotnih črpalkah za potrebe nadgradnje podatkov o porabi toplote iz okolice.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energetskih izkaznic, podatki energetskega knjigovodstva, podatki o vodnih dovoljenjih, podatki o dodeljenih subvenc</w:t>
            </w:r>
            <w:r>
              <w:rPr>
                <w:rFonts w:eastAsia="Times New Roman"/>
                <w:sz w:val="16"/>
                <w:szCs w:val="16"/>
              </w:rPr>
              <w:t>ijah in kreditih, podatki o inštaliranih toplotnih črpalkah (vrsta, moč ipd.).</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Pooblaščena podjetja za namestitev, vzdrževanje ali servisiranje, popravilo in razgradnjo nepremične opreme za hlajenje in klimatizacijo in toplotnih črpalk, do 30. 1. 2026. Adm</w:t>
            </w:r>
            <w:r>
              <w:rPr>
                <w:rFonts w:eastAsia="Times New Roman"/>
                <w:sz w:val="16"/>
                <w:szCs w:val="16"/>
              </w:rPr>
              <w:t>inistrativni viri: MOPE, DRSV, Eko sklad, Geološki zavod, do 30. 4. 2026.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R.15.03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Baterijski hranilniki električne energije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Vzpostavitev spremljanja hrambe električne energije v baterijskih hranilnikih el</w:t>
            </w:r>
            <w:r>
              <w:rPr>
                <w:rFonts w:eastAsia="Times New Roman"/>
                <w:sz w:val="16"/>
                <w:szCs w:val="16"/>
              </w:rPr>
              <w:t>ektrične energije.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Podatki o hranjenju električne energije v baterijskih hranilnikih električne energije (zmogljivost shranjevanja baterij, nazivna moč baterij, električna energija, ki se dovede v omrežje iz baterij (letni nivo), električna energija, ki se iz </w:t>
            </w:r>
            <w:r>
              <w:rPr>
                <w:rFonts w:eastAsia="Times New Roman"/>
                <w:sz w:val="16"/>
                <w:szCs w:val="16"/>
              </w:rPr>
              <w:lastRenderedPageBreak/>
              <w:t>omrežja uporabl</w:t>
            </w:r>
            <w:r>
              <w:rPr>
                <w:rFonts w:eastAsia="Times New Roman"/>
                <w:sz w:val="16"/>
                <w:szCs w:val="16"/>
              </w:rPr>
              <w:t xml:space="preserve">ja za polnjenje baterij (letni nivo), leto vgradnje, napetostni nivo priključitve).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 xml:space="preserve">Distribucijska podjetja električne energije, ostala podjetja, ki uporabljajo/imajo v lasti baterijske hranilnike, najkasneje do 30. 6. 2026. </w:t>
            </w:r>
            <w:r>
              <w:rPr>
                <w:rFonts w:eastAsia="Times New Roman"/>
                <w:sz w:val="16"/>
                <w:szCs w:val="16"/>
              </w:rPr>
              <w:lastRenderedPageBreak/>
              <w:t>Administrativni vir: ELES, naj</w:t>
            </w:r>
            <w:r>
              <w:rPr>
                <w:rFonts w:eastAsia="Times New Roman"/>
                <w:sz w:val="16"/>
                <w:szCs w:val="16"/>
              </w:rPr>
              <w:t>kasneje do 30. 6. 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Prejšnje leto, Predprejšnje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R.15.04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Proizvodnja vodika</w:t>
            </w:r>
            <w:r>
              <w:rPr>
                <w:rFonts w:eastAsia="Times New Roman"/>
                <w:sz w:val="16"/>
                <w:szCs w:val="16"/>
              </w:rPr>
              <w:br/>
              <w:t>E-H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Vzpostavitev spremljanja rabe vodika v energetske namene in načinov njegove proizvodnje.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proizvodnji, porabi, zalogah in prenosu vodika ter</w:t>
            </w:r>
            <w:r>
              <w:rPr>
                <w:rFonts w:eastAsia="Times New Roman"/>
                <w:sz w:val="16"/>
                <w:szCs w:val="16"/>
              </w:rPr>
              <w:t xml:space="preserve"> različnih tehnologijah priprave vodika.</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Poslovni subjekti, ki proizvajajo vodik, do 30.4.2026. Administrativni vir: Agencija za energijo, najkasneje do 30. 6. 2026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R16</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Gradbeništvo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R.16.01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Začetek in dokončanje gradnje stavb</w:t>
            </w:r>
            <w:r>
              <w:rPr>
                <w:rFonts w:eastAsia="Times New Roman"/>
                <w:sz w:val="16"/>
                <w:szCs w:val="16"/>
              </w:rPr>
              <w:br/>
              <w:t>GRAD-ZK/ČL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Razvoj kazalnikov o začetku in dokončanju gradnje stavb.</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številu in površini stavb, ki so se pričela graditi in podatki o številu in površini dokončanih stavb in stanovanj v njih, po vrsti in</w:t>
            </w:r>
            <w:r>
              <w:rPr>
                <w:rFonts w:eastAsia="Times New Roman"/>
                <w:sz w:val="16"/>
                <w:szCs w:val="16"/>
              </w:rPr>
              <w:t>vestitorja, vrsti gradbenih del in klasifikaciji vrst objektov (CC-SI).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 MNVP (Prostorski informacijski sistem (PIS)), po dogovoru.</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R19</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Turizem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R.19.01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Tuji turisti</w:t>
            </w:r>
            <w:r>
              <w:rPr>
                <w:rFonts w:eastAsia="Times New Roman"/>
                <w:sz w:val="16"/>
                <w:szCs w:val="16"/>
              </w:rPr>
              <w:br/>
            </w:r>
            <w:r>
              <w:rPr>
                <w:rFonts w:eastAsia="Times New Roman"/>
                <w:sz w:val="16"/>
                <w:szCs w:val="16"/>
              </w:rPr>
              <w:t>TU-TURISTI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Analiza novih podatkovnih virov za prikaz osnovnih podatkov o tujih turistih v Republiki Sloveniji ter njihovih izdatkih.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Anonimizirani in agregirani podatki o gostovanju (opravljen mobilni klic, prejet/poslan SMS ter vzpostavljena podatkovna s</w:t>
            </w:r>
            <w:r>
              <w:rPr>
                <w:rFonts w:eastAsia="Times New Roman"/>
                <w:sz w:val="16"/>
                <w:szCs w:val="16"/>
              </w:rPr>
              <w:t xml:space="preserve">eja) tujih uporabnikov v slovenske mobilnem omrežju po državi od koder prihajajo. Glede na dolžino trajanja podatkovne seje se ti klasificirajo v turiste, tranzitnike in izletnike. Agregirani podatki o kartičnih transakcijah in dvigih gotovine (število in </w:t>
            </w:r>
            <w:r>
              <w:rPr>
                <w:rFonts w:eastAsia="Times New Roman"/>
                <w:sz w:val="16"/>
                <w:szCs w:val="16"/>
              </w:rPr>
              <w:t xml:space="preserve">vrednost transakcij) nerezidentov v Republiki Sloveniji.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 AKOS (podatki mobilnih operaterjev, ki zagotavljajo javna komunikacijska omrežja in/ali izvajajo javne komunikacijske storitve) najkasneje 2 meseca po referenčnem mesecu. Statis</w:t>
            </w:r>
            <w:r>
              <w:rPr>
                <w:rFonts w:eastAsia="Times New Roman"/>
                <w:sz w:val="16"/>
                <w:szCs w:val="16"/>
              </w:rPr>
              <w:t>tični viri: statistika plačil, Mobilne statistike, TU/M.</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Obvezno za administrativni vir.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2019–2026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R.19.02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Tuji potniki</w:t>
            </w:r>
            <w:r>
              <w:rPr>
                <w:rFonts w:eastAsia="Times New Roman"/>
                <w:sz w:val="16"/>
                <w:szCs w:val="16"/>
              </w:rPr>
              <w:br/>
              <w:t>TU-POTNIKI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Analiza novih podatkovnih virov za prikaz osnovnih podatkov o tujih potnikih v Republiki Sloveniji ter njihovih izdatkih.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prometu vozil iz avtomatskega štetja prometa (števno mesto, datum štetja, časovni interval štetja, vrsta vozila glede na vs</w:t>
            </w:r>
            <w:r>
              <w:rPr>
                <w:rFonts w:eastAsia="Times New Roman"/>
                <w:sz w:val="16"/>
                <w:szCs w:val="16"/>
              </w:rPr>
              <w:t xml:space="preserve">top/izstop). Anonimizirani in agregirani podatki o gostovanju (opravljen mobilni klic, prejet/poslan SMS ter vzpostavljena podatkovna </w:t>
            </w:r>
            <w:r>
              <w:rPr>
                <w:rFonts w:eastAsia="Times New Roman"/>
                <w:sz w:val="16"/>
                <w:szCs w:val="16"/>
              </w:rPr>
              <w:lastRenderedPageBreak/>
              <w:t>seja) tujih uporabnikov v slovenske mobilnem omrežju po državi od koder prihajajo. Glede na dolžino trajanja podatkovne se</w:t>
            </w:r>
            <w:r>
              <w:rPr>
                <w:rFonts w:eastAsia="Times New Roman"/>
                <w:sz w:val="16"/>
                <w:szCs w:val="16"/>
              </w:rPr>
              <w:t xml:space="preserve">je se ti klasificirajo v turiste, tranzitnike in izletnike. Agregirani podatki o kartičnih transakcijah in dvigih gotovine (število in vrednost transakcij) nerezidentov v Republiki Sloveniji.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 xml:space="preserve">Administrativna vira: MZI (DRSI) (podatki števcev prometa) – 1 </w:t>
            </w:r>
            <w:r>
              <w:rPr>
                <w:rFonts w:eastAsia="Times New Roman"/>
                <w:sz w:val="16"/>
                <w:szCs w:val="16"/>
              </w:rPr>
              <w:t xml:space="preserve">mesec po referenčnem mesecu); AKOS (podatki mobilnih operaterjev, ki zagotavljajo javna komunikacijska omrežja in/ali izvajajo javne komunikacijske storitve – </w:t>
            </w:r>
            <w:r>
              <w:rPr>
                <w:rFonts w:eastAsia="Times New Roman"/>
                <w:sz w:val="16"/>
                <w:szCs w:val="16"/>
              </w:rPr>
              <w:lastRenderedPageBreak/>
              <w:t>najkasneje 2 meseca po referenčnem mesecu). Statistični viri: statistika plačil, TR-MEJ/M, Mobiln</w:t>
            </w:r>
            <w:r>
              <w:rPr>
                <w:rFonts w:eastAsia="Times New Roman"/>
                <w:sz w:val="16"/>
                <w:szCs w:val="16"/>
              </w:rPr>
              <w:t>e statistike.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Obvezno za administrativna vira.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2019–2026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R.19.03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Prihodi in prenočitve turistov </w:t>
            </w:r>
            <w:r>
              <w:rPr>
                <w:rFonts w:eastAsia="Times New Roman"/>
                <w:sz w:val="16"/>
                <w:szCs w:val="16"/>
              </w:rPr>
              <w:br/>
              <w:t>TU/M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Spremljanje stanja prihodov gostov in njihovih prijav ter prenočitev v nastanitvenih obratih.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nastanitvenih obratih (NO), njihovih zn</w:t>
            </w:r>
            <w:r>
              <w:rPr>
                <w:rFonts w:eastAsia="Times New Roman"/>
                <w:sz w:val="16"/>
                <w:szCs w:val="16"/>
              </w:rPr>
              <w:t xml:space="preserve">ačilnostih in njihovih nastanitvenih zmogljivostih ter izvajalcih nastanitvene dejavnosti (matična številka izvajalca, davčna številka izvajalca, naziv izvajalca, sedež in naslov izvajalca, vključno z EID-ji, kontaktni podatki izvajalca, ID nastanitvenega </w:t>
            </w:r>
            <w:r>
              <w:rPr>
                <w:rFonts w:eastAsia="Times New Roman"/>
                <w:sz w:val="16"/>
                <w:szCs w:val="16"/>
              </w:rPr>
              <w:t xml:space="preserve">obrata, naziv NO, datum vpisa v register, naslov NO, vključno z EID-ji, status poročanja, vrsta in kategorija obrata); podatki o statusu NO; podatki o zmogljivosti NO (število nedeljivih enot, število prodanih nedeljivih nastanitvenih enot, število ležišč </w:t>
            </w:r>
            <w:r>
              <w:rPr>
                <w:rFonts w:eastAsia="Times New Roman"/>
                <w:sz w:val="16"/>
                <w:szCs w:val="16"/>
              </w:rPr>
              <w:t>skupaj, število stalnih in pomožnih ležišč, ali obrat omogoča dostop in nastanitev za gibalno ovirane osebe ter koliko dni v mesecu je bil nastanitveni obrat odprt za nastanitev turistov); kontaktni podatki NO, dodatna ponudba in druga ponudba nastanitvene</w:t>
            </w:r>
            <w:r>
              <w:rPr>
                <w:rFonts w:eastAsia="Times New Roman"/>
                <w:sz w:val="16"/>
                <w:szCs w:val="16"/>
              </w:rPr>
              <w:t>ga obrata. Spremljanje prihodov in prenočitev turistov (števila in značilnosti) v nastanitvenih obratih. Značilnosti turista: zaporedna številka prijave gosta v nastanitvenem obratu, državljanstvo, spol, datum rojstva, datum in ura prihoda, datum in ura od</w:t>
            </w:r>
            <w:r>
              <w:rPr>
                <w:rFonts w:eastAsia="Times New Roman"/>
                <w:sz w:val="16"/>
                <w:szCs w:val="16"/>
              </w:rPr>
              <w:t xml:space="preserve">hoda, višina polne turistične takse, razlog oprostitve </w:t>
            </w:r>
            <w:r>
              <w:rPr>
                <w:rFonts w:eastAsia="Times New Roman"/>
                <w:sz w:val="16"/>
                <w:szCs w:val="16"/>
              </w:rPr>
              <w:lastRenderedPageBreak/>
              <w:t>ali delnega plačila turistične takse.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Administrativna vira: AJPES – RNO (polni zajem), stanje na dan (omogočen dnevni prevzem). AJPES – eTurizem (polni zajem), dnevni podatki o prijavah gostov in meseč</w:t>
            </w:r>
            <w:r>
              <w:rPr>
                <w:rFonts w:eastAsia="Times New Roman"/>
                <w:sz w:val="16"/>
                <w:szCs w:val="16"/>
              </w:rPr>
              <w:t xml:space="preserve">ni podatki o nastanitvenih obratih (omogočen dnevni prevzem), najkasneje do 10. v mesecu.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Kritični (presečni) čas.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R.19.04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Obseg sodelovalnega gospodarstva na področju kratkoročnega oddajanja turističnih nastanitev</w:t>
            </w:r>
            <w:r>
              <w:rPr>
                <w:rFonts w:eastAsia="Times New Roman"/>
                <w:sz w:val="16"/>
                <w:szCs w:val="16"/>
              </w:rPr>
              <w:br/>
              <w:t>TU-SODEL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Analiza novih podatkovnih virov (tudi tistega po spremembi RNO) za prikaz obsega sodelovalnega gospodarstva na področju kratkoročnega oddajanja turističnih nastanitev v Republiki Sloveniji.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obsegu sodelovalnega gospodarstva: o ponudbi kratkoročni</w:t>
            </w:r>
            <w:r>
              <w:rPr>
                <w:rFonts w:eastAsia="Times New Roman"/>
                <w:sz w:val="16"/>
                <w:szCs w:val="16"/>
              </w:rPr>
              <w:t xml:space="preserve">h turističnih nastanitvenih zmogljivosti in turističnem prometu (prihodi in prenočitve).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Administrativna vira: AJPES – RNO (polni zajem), stanje na dan (omogočen dnevni prevzem). AJPES – eTurizem (polni zajem), dnevni podatki o prijavah gostov in mesečni </w:t>
            </w:r>
            <w:r>
              <w:rPr>
                <w:rFonts w:eastAsia="Times New Roman"/>
                <w:sz w:val="16"/>
                <w:szCs w:val="16"/>
              </w:rPr>
              <w:t>podatki o nastanitvenih obratih do 10. v mesecu. FURS, do 31. 12. 2026 (finančni podatki o poslovanju pravnih in fizičnih oseb s spletnimi platformami za nudenje kratkoročnih nastanitev). EUROSTAT (podatki pridobljeni od spletnih platform za kratkoročni na</w:t>
            </w:r>
            <w:r>
              <w:rPr>
                <w:rFonts w:eastAsia="Times New Roman"/>
                <w:sz w:val="16"/>
                <w:szCs w:val="16"/>
              </w:rPr>
              <w:t xml:space="preserve">jem turističnih nastanitvenih obratov), do konca leta 2026 (četrtletni podatki za obdobje 2025–prvo polletje 2026). Mednarodne in nacionalne spletne platforme za kratkoročni najem turističnih nastanitvenih obratov, do 31. 12. 2026.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 za administrati</w:t>
            </w:r>
            <w:r>
              <w:rPr>
                <w:rFonts w:eastAsia="Times New Roman"/>
                <w:sz w:val="16"/>
                <w:szCs w:val="16"/>
              </w:rPr>
              <w:t>vna vira.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2018–2026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R.19.05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Potovanja domačega prebivalstva</w:t>
            </w:r>
            <w:r>
              <w:rPr>
                <w:rFonts w:eastAsia="Times New Roman"/>
                <w:sz w:val="16"/>
                <w:szCs w:val="16"/>
              </w:rPr>
              <w:br/>
              <w:t>TU-ČAP</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Analiza novih podatkovnih virov za prikaz osnovnih podatkov o potovanjih domačega prebivalstva ter njihovih izdatkih.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Anonimizirani in agregirani podatki o gostovanju (opravljen </w:t>
            </w:r>
            <w:r>
              <w:rPr>
                <w:rFonts w:eastAsia="Times New Roman"/>
                <w:sz w:val="16"/>
                <w:szCs w:val="16"/>
              </w:rPr>
              <w:t>mobilni klic, prejet/poslan SMS ter vzpostavljena podatkovna seja) domačih uporabnikov v tujem mobilnem omrežju po državi gostovanja. Glede na dolžino trajanja podatkovne seje se ti klasificirajo v turiste, tranzitnike in izletnike. Agregirani podatki o ka</w:t>
            </w:r>
            <w:r>
              <w:rPr>
                <w:rFonts w:eastAsia="Times New Roman"/>
                <w:sz w:val="16"/>
                <w:szCs w:val="16"/>
              </w:rPr>
              <w:t>rtičnih transakcijah (tudi po kodi kategorije trgovca) in dvigih gotovine (število in vrednost transakcij) rezidentov.</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 AKOS (podatki mobilnih operaterjev, ki zagotavljajo javna komunikacijska omrežja in/ali izvajajo javne komunikacijsk</w:t>
            </w:r>
            <w:r>
              <w:rPr>
                <w:rFonts w:eastAsia="Times New Roman"/>
                <w:sz w:val="16"/>
                <w:szCs w:val="16"/>
              </w:rPr>
              <w:t>e storitve – najkasneje 2 meseca po referenčnem mesecu). Statistična vira: statistika plačil, Mobilne statistike.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 za administrativni vir.</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2019–2026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R20</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Transport in komunikacije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R.20.01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Intermodalni transport </w:t>
            </w:r>
            <w:r>
              <w:rPr>
                <w:rFonts w:eastAsia="Times New Roman"/>
                <w:sz w:val="16"/>
                <w:szCs w:val="16"/>
              </w:rPr>
              <w:br/>
              <w:t>TR-IMT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Spremljanje obsega intermodalnega transporta v cestnem, železniškem in pomorskem prevozu ter prometu.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intermodalnem transportu, prevozu po železnici, cestah in morju – glede na vrsto in velikost transportne enote, p</w:t>
            </w:r>
            <w:r>
              <w:rPr>
                <w:rFonts w:eastAsia="Times New Roman"/>
                <w:sz w:val="16"/>
                <w:szCs w:val="16"/>
              </w:rPr>
              <w:t xml:space="preserve">revožen tovor (tone, tonski kilometri), po kohezijskih regijah in državah.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Intermodalni logistični terminali, poslovni subjekti, ki izvajajo cestni, železniški in pomorski prevoz ter promet blaga – do 30. 6. 2026. Administrativna vira: MZI (MRVL) – do 10.</w:t>
            </w:r>
            <w:r>
              <w:rPr>
                <w:rFonts w:eastAsia="Times New Roman"/>
                <w:sz w:val="16"/>
                <w:szCs w:val="16"/>
              </w:rPr>
              <w:t xml:space="preserve"> v mesecu za prejšnji mesec. Statistični viri: TR-PRI/M, TR-POM/M, TR-LET/M, TR-LET/L, TR-CES-B/T, TR-ŽEL/ČL, TR-ŽEL/L.</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2019–2026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R.20.02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Avtocestni promet</w:t>
            </w:r>
            <w:r>
              <w:rPr>
                <w:rFonts w:eastAsia="Times New Roman"/>
                <w:sz w:val="16"/>
                <w:szCs w:val="16"/>
              </w:rPr>
              <w:br/>
              <w:t>TR-AC</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Spremljanje podatkov prometu vozil iz elektronskega cestninskega sistema v prostem prometnem toku (deljeno na domača in tuja vozila) ter o prodanih elektronskih vinjetah.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Dnevni in tedenski podatki o številu prevoženih kilometrov in številu tovornih vozil</w:t>
            </w:r>
            <w:r>
              <w:rPr>
                <w:rFonts w:eastAsia="Times New Roman"/>
                <w:sz w:val="16"/>
                <w:szCs w:val="16"/>
              </w:rPr>
              <w:t xml:space="preserve"> (po cestninskem razredu tovornih vozil in državi registraciji tovornega vozila) ter letni podatki o številu prodanih elektronskih vinjetah.</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 DARS – dnevne in tedenske podatke do konca tekočega tedna, letne podatke do 31. 1. 2027.</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w:t>
            </w:r>
            <w:r>
              <w:rPr>
                <w:rFonts w:eastAsia="Times New Roman"/>
                <w:sz w:val="16"/>
                <w:szCs w:val="16"/>
              </w:rPr>
              <w:t>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Prejšnje leto, Dan, Teden, 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R.20.03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Obseg potniškega prevoza</w:t>
            </w:r>
            <w:r>
              <w:rPr>
                <w:rFonts w:eastAsia="Times New Roman"/>
                <w:sz w:val="16"/>
                <w:szCs w:val="16"/>
              </w:rPr>
              <w:br/>
              <w:t>TR-PKM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Vzpostavitev trajnega načina spremljanja obsega potniškega prevoza, izraženega v številu potniških kilometrov (PKM) z osebnimi avtomobili, avtobusi in vlaki (pri</w:t>
            </w:r>
            <w:r>
              <w:rPr>
                <w:rFonts w:eastAsia="Times New Roman"/>
                <w:sz w:val="16"/>
                <w:szCs w:val="16"/>
              </w:rPr>
              <w:t xml:space="preserve">kaz po t.i. modal split).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Statistični viri: TR-VKM, TR-MOB, TR-ŽEL/L in TR-ŽEL/M, TR-CES-P/M in TR-CES-P/L</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 MOPE – podatki o IJPP (15. v mesecu za pretekli mesec) in DUJPP – posebnih linijskih prevoz (po vzpostavitvi sistema spremljanj</w:t>
            </w:r>
            <w:r>
              <w:rPr>
                <w:rFonts w:eastAsia="Times New Roman"/>
                <w:sz w:val="16"/>
                <w:szCs w:val="16"/>
              </w:rPr>
              <w:t>a podatkov – predvidoma konec 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2016–2025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R21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Kmetijstvo, gozdarstvo in ribištvo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R.21.01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upravljanju trajnega travinja</w:t>
            </w:r>
            <w:r>
              <w:rPr>
                <w:rFonts w:eastAsia="Times New Roman"/>
                <w:sz w:val="16"/>
                <w:szCs w:val="16"/>
              </w:rPr>
              <w:br/>
              <w:t>TRAVINJE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Preučitev možnosti priprave metodologije za stabilno zagotavljanje novih zahtev po podatkih o upravljanju trajnega travinja.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Različni podatki o trajnem travinju. Osebni podatki nosilca kmetijske proizvodnje na kmetijskem gospodarstvu: identifikator kmetij</w:t>
            </w:r>
            <w:r>
              <w:rPr>
                <w:rFonts w:eastAsia="Times New Roman"/>
                <w:sz w:val="16"/>
                <w:szCs w:val="16"/>
              </w:rPr>
              <w:t>skega gospodarstva (KMG-MID).</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Statistični viri. Administrativni viri in podatki daljinskega zaznavanja: MKGP (RKG, Evidenca dejanske rabe kmetijskih in gozdnih zemljišč, Evidenca OMD, Blok/GERK, pedološka karta Slovenije, KMRS, karta talnih števil), GURS (</w:t>
            </w:r>
            <w:r>
              <w:rPr>
                <w:rFonts w:eastAsia="Times New Roman"/>
                <w:sz w:val="16"/>
                <w:szCs w:val="16"/>
              </w:rPr>
              <w:t xml:space="preserve">Zemljiški kataster in Zbirka podatkov daljinskega zaznavanja- ciklično aero fotografiranje Slovenije CAS, Digitalni model višin </w:t>
            </w:r>
            <w:r>
              <w:rPr>
                <w:rFonts w:eastAsia="Times New Roman"/>
                <w:sz w:val="16"/>
                <w:szCs w:val="16"/>
              </w:rPr>
              <w:lastRenderedPageBreak/>
              <w:t>in reliefa), ARSO (LIFE narcIS , ekološko pomembna območja, NATURA 2000, poligoni zavarovanih območij), MOP (Namenska raba prost</w:t>
            </w:r>
            <w:r>
              <w:rPr>
                <w:rFonts w:eastAsia="Times New Roman"/>
                <w:sz w:val="16"/>
                <w:szCs w:val="16"/>
              </w:rPr>
              <w:t>ora ), ZRSVN (podatki o stanju trajnega travinja). Podatki Landsat in Sentinel. Vsi podatki po potrebi. Drugi podatkovni viri o travinju.</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R.21.02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Zakup njiv in trajnega travinja v lasti zasebnih lastnikov</w:t>
            </w:r>
            <w:r>
              <w:rPr>
                <w:rFonts w:eastAsia="Times New Roman"/>
                <w:sz w:val="16"/>
                <w:szCs w:val="16"/>
              </w:rPr>
              <w:br/>
              <w:t>ZAKUPI-ZEM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Preučitev možnosti pridobitve podatkov kmetijskih gospodarstev (družinskih kmetij) o zakupih njiv ter trajnega travinja, ki so v lasti zasebnih lastnikov.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zakupih kmetijskih zemljišč (njiv ter trajnega travinja): o lastništvu zemljišč v zakupu (z</w:t>
            </w:r>
            <w:r>
              <w:rPr>
                <w:rFonts w:eastAsia="Times New Roman"/>
                <w:sz w:val="16"/>
                <w:szCs w:val="16"/>
              </w:rPr>
              <w:t>akup od zasebnih lastnikov, od SKZG RS, drugo) in o obliki plačila zakupa (v denarju, storitvi, brezplačen zakup, drugo), o številu kmetijskih zemljišč (parcel) v zakupu, o površini ter o rabi zakupljenega zemljišča (enotna ali mešana raba zemljišča), o (p</w:t>
            </w:r>
            <w:r>
              <w:rPr>
                <w:rFonts w:eastAsia="Times New Roman"/>
                <w:sz w:val="16"/>
                <w:szCs w:val="16"/>
              </w:rPr>
              <w:t>ovprečni) letni zakupnini, o identifikacijski oznaki kmetijskih zemljišč v zakupu. Osebni podatki nosilca kmetijske proizvodnje na kmetijskem gospodarstvu: ime in priimek ter naslov, telefonska številka, e-naslov; identifikator kmetijskega gospodarstva (KM</w:t>
            </w:r>
            <w:r>
              <w:rPr>
                <w:rFonts w:eastAsia="Times New Roman"/>
                <w:sz w:val="16"/>
                <w:szCs w:val="16"/>
              </w:rPr>
              <w:t>G-MID).</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Kmetijska gospodarstva (družinske kmetije), izbrane v vzorec. Administrativni viri: MKGP (evidenca dejanske rabe kmetijskih in gozdnih zemljišč, Register kmetijskih gospodarstev), SKZG RS (Evidenca zakupnih razmerij). Statistični viri: SRKG, SREN, </w:t>
            </w:r>
            <w:r>
              <w:rPr>
                <w:rFonts w:eastAsia="Times New Roman"/>
                <w:sz w:val="16"/>
                <w:szCs w:val="16"/>
              </w:rPr>
              <w:t xml:space="preserve">KME-JUNSTRK/3L, POPIS-KME/10L. Drugi viri: KGZS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 za poslov. subjekte in admin. vire; prostovoljno za družinske kmetije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Tekoče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R22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Okolje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R.22.01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Ekosistemski računi</w:t>
            </w:r>
            <w:r>
              <w:rPr>
                <w:rFonts w:eastAsia="Times New Roman"/>
                <w:sz w:val="16"/>
                <w:szCs w:val="16"/>
              </w:rPr>
              <w:br/>
              <w:t>EA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Vzpostavitev ustrezne metodologije za razvoj ekosistemskih računov.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rabi in pokrovnosti tal; obsegu gozdnih, kmetijskih in urbanih površin; filtraciji emisij onesnaževal; oskrbi s kmetijskimi pridelki in oskrbi z lesom; ponorih in zalogah CO2; te</w:t>
            </w:r>
            <w:r>
              <w:rPr>
                <w:rFonts w:eastAsia="Times New Roman"/>
                <w:sz w:val="16"/>
                <w:szCs w:val="16"/>
              </w:rPr>
              <w:t>mperaturi površja; obisku turistov; filtraciji zraka in opraševanju z divjimi opraševalci; kazalniki stanja ekosistemov.</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viri: GURS, ARSO, MOPE, GIS, KIS, DRSV, MKGP, ZRSVN, NIB, BF, MNVP in DOPPS, do 30. 11. 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2018, 2021, 2024</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R.22.02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Potencialno okolju škodljive spodbude</w:t>
            </w:r>
            <w:r>
              <w:rPr>
                <w:rFonts w:eastAsia="Times New Roman"/>
                <w:sz w:val="16"/>
                <w:szCs w:val="16"/>
              </w:rPr>
              <w:br/>
              <w:t>PEDS</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Vzpostavitev ustrezne metodologije za razvoj potencialno okolju škodljivih spodbud.</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potencialno okolju škodljivih spodbudah.</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viri: Eko sklad, MF in druge zbirke ter vir</w:t>
            </w:r>
            <w:r>
              <w:rPr>
                <w:rFonts w:eastAsia="Times New Roman"/>
                <w:sz w:val="16"/>
                <w:szCs w:val="16"/>
              </w:rPr>
              <w:t xml:space="preserve">i, ki razpolagajo s podatki o potencialno okolju škodljivih spodbudah, do 30. 9. 2026.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Predprejšnje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2027</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R.22.03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Nadgradnja monetarnega sklopa gozdnih računov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Revizija monetarnih vrednosti gozdnih zemljišč in lesnih zalog.</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cenah golih gozdnih zemljišč, cenah lesa na panju, proizvodnih stroških po posameznih tipih, spremembah cen za posamezne kategorije gozdnih zemljišč in lesnih zalog na teh zemljiščih</w:t>
            </w:r>
            <w:r>
              <w:rPr>
                <w:rFonts w:eastAsia="Times New Roman"/>
                <w:sz w:val="16"/>
                <w:szCs w:val="16"/>
              </w:rPr>
              <w:t>.</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viri: GIS, ZGS, MKGP, SiDG, Društvo sodnih cenilcev za gozdarsko dejavnost, do 30. 7. 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2012-2025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R.22.04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Odpadkovni računi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Vzpostavitev ustrezne metodologije za razvoj odpadkovnih računov.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za izračun in iz</w:t>
            </w:r>
            <w:r>
              <w:rPr>
                <w:rFonts w:eastAsia="Times New Roman"/>
                <w:sz w:val="16"/>
                <w:szCs w:val="16"/>
              </w:rPr>
              <w:t>polnitev tabel ponudbe in porabe odpadkov (podatki o dejavnosti poslovnega subjekta, izvoru in vrsti materiala odpadkov, nevarnosti odpadkov, načinu njihove obdelave ter o izvozu in uvozu odpadkov).</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Administrativni viri: ARSO (baza IS-Odpadki), do 17. 4. 2</w:t>
            </w:r>
            <w:r>
              <w:rPr>
                <w:rFonts w:eastAsia="Times New Roman"/>
                <w:sz w:val="16"/>
                <w:szCs w:val="16"/>
              </w:rPr>
              <w:t>026.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Predprejšnje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pStyle w:val="modul"/>
            </w:pPr>
            <w:r>
              <w:t>R25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b/>
                <w:bCs/>
                <w:sz w:val="16"/>
                <w:szCs w:val="16"/>
              </w:rPr>
              <w:t>Drugo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Mobilne statistike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Vključitev podatkov operaterjev, ki zagotavljajo javna komunikacijska omrežja in/ali izvajajo javne komunikacijske storitve, kot novega vira v uradni statistični proces z vidika natančnejše umestitve obstoječih statističnih podatkov v prostor in čas ter z </w:t>
            </w:r>
            <w:r>
              <w:rPr>
                <w:rFonts w:eastAsia="Times New Roman"/>
                <w:sz w:val="16"/>
                <w:szCs w:val="16"/>
              </w:rPr>
              <w:t>vidika dodajanja novih statističnih vsebin.</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opravljenem prometu naročnikov in predplačnikov in uporabnikov, ki gostujejo v omrežjih operaterjev, ki zagotavljajo javna komunikacijska omrežja in/ali izvajajo javne komunikacijske storitve na območju</w:t>
            </w:r>
            <w:r>
              <w:rPr>
                <w:rFonts w:eastAsia="Times New Roman"/>
                <w:sz w:val="16"/>
                <w:szCs w:val="16"/>
              </w:rPr>
              <w:t xml:space="preserve"> Republike Slovenije ter razporeditvi njihovih mobilnih naprav v prostoru in času, s katerimi razpolagajo operaterji, ki zagotavljajo javna komunikacijska omrežja in/ali izvajajo javne komunikacijske storitve.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Operaterji, ki zagotavljajo javna komunikacijs</w:t>
            </w:r>
            <w:r>
              <w:rPr>
                <w:rFonts w:eastAsia="Times New Roman"/>
                <w:sz w:val="16"/>
                <w:szCs w:val="16"/>
              </w:rPr>
              <w:t>ka omrežja in/ali izvajajo javne komunikacijske storitve (A1 Slovenija, d. d., Telekom Slovenije, d. d., Hot Mobil, telekomunikacije in storitve d. o. o., Mega M, informacijske tehnologije d. o. o., SoftNET informacijske infrastrukture d.o.o., T-2 d. o. o.</w:t>
            </w:r>
            <w:r>
              <w:rPr>
                <w:rFonts w:eastAsia="Times New Roman"/>
                <w:sz w:val="16"/>
                <w:szCs w:val="16"/>
              </w:rPr>
              <w:t>, Telemach Slovenija d.o.o.).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Prostovoljno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2019–2026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2028</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R.25.02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Persone pri raziskovanjih oseb in gospodinjstev</w:t>
            </w:r>
            <w:r>
              <w:rPr>
                <w:rFonts w:eastAsia="Times New Roman"/>
                <w:sz w:val="16"/>
                <w:szCs w:val="16"/>
              </w:rPr>
              <w:br/>
              <w:t>PERSONE-OSEBE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Izboljšanje kakovosti vzorčnih okvirjev in stroškovno učinkovitejše zbiranje podatkov za raziskovanja oseb in gospodinjstev, izboljšanje kakovosti rezultatov anketnih </w:t>
            </w:r>
            <w:r>
              <w:rPr>
                <w:rFonts w:eastAsia="Times New Roman"/>
                <w:sz w:val="16"/>
                <w:szCs w:val="16"/>
              </w:rPr>
              <w:lastRenderedPageBreak/>
              <w:t>raziskovanj oseb in gospodinjstev, oplnomočenje in izobraževanje anketarjev glede značiln</w:t>
            </w:r>
            <w:r>
              <w:rPr>
                <w:rFonts w:eastAsia="Times New Roman"/>
                <w:sz w:val="16"/>
                <w:szCs w:val="16"/>
              </w:rPr>
              <w:t xml:space="preserve">osti posameznih generacij, dvig prepoznavnosti SURS in izboljšanje sodelovanja oseb in gospodinjstev, zmanjšanje njihovega obremenjevanja zaradi bolj usmerjenega komuniciranja.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Administrativni/statistični viri: EMŠO, spol, starost, zakonski stan, status a</w:t>
            </w:r>
            <w:r>
              <w:rPr>
                <w:rFonts w:eastAsia="Times New Roman"/>
                <w:sz w:val="16"/>
                <w:szCs w:val="16"/>
              </w:rPr>
              <w:t xml:space="preserve">ktivnosti, izobrazba, dohodek, tip naselja/stopnja urbanizacije, vrsta gospodinjstva in tip nastanitve, regija </w:t>
            </w:r>
            <w:r>
              <w:rPr>
                <w:rFonts w:eastAsia="Times New Roman"/>
                <w:sz w:val="16"/>
                <w:szCs w:val="16"/>
              </w:rPr>
              <w:lastRenderedPageBreak/>
              <w:t xml:space="preserve">prebivališča (NUTS3), zaposlitveni status, podatki o gospodinjstvu (število članov, razmerje do referenčne osebe v gospodinjstvu), sodelovanje v </w:t>
            </w:r>
            <w:r>
              <w:rPr>
                <w:rFonts w:eastAsia="Times New Roman"/>
                <w:sz w:val="16"/>
                <w:szCs w:val="16"/>
              </w:rPr>
              <w:t>raziskovanju, šifra anketarja, telefon (podatek ali imamo tel. št. ali ne).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 xml:space="preserve">Statistični viri: DEM-PREB/ČL, DAK, SEL-SOC, RAVEN-DOH, ADR-OSEBE, ANP, EU-SILC, IKT-GOSP, TU-ČAP, APG, MP, UIO, CDH, APEGG, </w:t>
            </w:r>
            <w:r>
              <w:rPr>
                <w:rFonts w:eastAsia="Times New Roman"/>
                <w:sz w:val="16"/>
                <w:szCs w:val="16"/>
              </w:rPr>
              <w:lastRenderedPageBreak/>
              <w:t>TR-MOB. MNZ (CRP) po potrebi.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r w:rsidR="00000000" w:rsidTr="007E3787">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R.25.03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Geoprostorska integracija števcev porabe električne energije in vode.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 xml:space="preserve">Povezovanje georeferenciranih števcev porabe električne energije in vode z geoprostorskimi podatki ter njihova integracija z nepremičninskimi evidencami in s statističnimi </w:t>
            </w:r>
            <w:r>
              <w:rPr>
                <w:rFonts w:eastAsia="Times New Roman"/>
                <w:sz w:val="16"/>
                <w:szCs w:val="16"/>
              </w:rPr>
              <w:t>podatki.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Podatki o lokaciji (koordinata) ali naslovu števcev porabe električne energije in vode. Podatki o porabi električne energije in vode poslovnih subjektov ter fizičnih oseb. Geoprostorski podatki o parcelah, stavbah, stanovanjih, gospodarski in javn</w:t>
            </w:r>
            <w:r>
              <w:rPr>
                <w:rFonts w:eastAsia="Times New Roman"/>
                <w:sz w:val="16"/>
                <w:szCs w:val="16"/>
              </w:rPr>
              <w:t xml:space="preserve">i infrastrukturi. Podatki o plačniku porabe električne energije ali vode (ime in priimek ter naslov, vključno z EID-ji, DŠ), podatki o prebivalcih (DŠ, ime in priimek ter naslov, vključno z EID-ji), o nosilcu kmetijskega gospodarstva (naslov KMG, vključno </w:t>
            </w:r>
            <w:r>
              <w:rPr>
                <w:rFonts w:eastAsia="Times New Roman"/>
                <w:sz w:val="16"/>
                <w:szCs w:val="16"/>
              </w:rPr>
              <w:t>z EID-ji, naslov nosilca kmetijskega gospodarstva, vključno z EID-ji). Podatki o nastanitvenih obratih (NO), njihovih značilnostih in njihovih nastanitvenih zmogljivostih ter izvajalcih nastanitvene dejavnosti (matična številka izvajalca, davčna številka i</w:t>
            </w:r>
            <w:r>
              <w:rPr>
                <w:rFonts w:eastAsia="Times New Roman"/>
                <w:sz w:val="16"/>
                <w:szCs w:val="16"/>
              </w:rPr>
              <w:t>zvajalca, naziv izvajalca, sedež in naslov izvajalca, kontaktni podatki izvajalca, ID nastanitvenega obrata, naziv NO, datum vpisa v register, naslov NO, status poročanja, vrsta in kategorija obrata); podatki o statusu NO; podatki o zmogljivosti NO (števil</w:t>
            </w:r>
            <w:r>
              <w:rPr>
                <w:rFonts w:eastAsia="Times New Roman"/>
                <w:sz w:val="16"/>
                <w:szCs w:val="16"/>
              </w:rPr>
              <w:t xml:space="preserve">o nedeljivih enot, število prodanih nedeljivih nastanitvenih enot, število ležišč skupaj, število stalnih in pomožnih ležišč, ali obrat omogoča dostop in nastanitev za gibalno ovirane osebe ter koliko dni v mesecu je </w:t>
            </w:r>
            <w:r>
              <w:rPr>
                <w:rFonts w:eastAsia="Times New Roman"/>
                <w:sz w:val="16"/>
                <w:szCs w:val="16"/>
              </w:rPr>
              <w:lastRenderedPageBreak/>
              <w:t>bil nastanitveni obrat odprt za nastani</w:t>
            </w:r>
            <w:r>
              <w:rPr>
                <w:rFonts w:eastAsia="Times New Roman"/>
                <w:sz w:val="16"/>
                <w:szCs w:val="16"/>
              </w:rPr>
              <w:t>tev turistov); kontaktni podatki NO, dodatna ponudba in druga ponudba nastanitvenega obrata.</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lastRenderedPageBreak/>
              <w:t>Upravljavci distribucije električne energije in vode. Administrativni viri in podatki daljinskega zaznavanja: MNZ (CRP), GURS (GJI, RPE, Register naslovov, Kataste</w:t>
            </w:r>
            <w:r>
              <w:rPr>
                <w:rFonts w:eastAsia="Times New Roman"/>
                <w:sz w:val="16"/>
                <w:szCs w:val="16"/>
              </w:rPr>
              <w:t>r nepremičnin, AJPES – RNO (polni zajem), stanje na dan (omogočen dnevni prevzem), ciklično aerofotografiranje Slovenije ter ortofoto), MKGP (Evidenca dejanske rabe kmetijskih in gozdnih zemljišč, RKG), PRS, OpenStreetMap (objekti). Rok: po dogovoru. Stati</w:t>
            </w:r>
            <w:r>
              <w:rPr>
                <w:rFonts w:eastAsia="Times New Roman"/>
                <w:sz w:val="16"/>
                <w:szCs w:val="16"/>
              </w:rPr>
              <w:t xml:space="preserve">stični viri: SPRS, DEM-PREB/ČL, TU/M, Registrski popis.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Prostovoljno za upravljavce distribucije električne energije in vode, obvezno za administrativne vire.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rPr>
                <w:rFonts w:eastAsia="Times New Roman"/>
                <w:sz w:val="16"/>
                <w:szCs w:val="16"/>
              </w:rPr>
            </w:pPr>
            <w:r>
              <w:rPr>
                <w:rFonts w:eastAsia="Times New Roman"/>
                <w:sz w:val="16"/>
                <w:szCs w:val="16"/>
              </w:rPr>
              <w:t>2026</w:t>
            </w:r>
          </w:p>
        </w:tc>
      </w:tr>
    </w:tbl>
    <w:p w:rsidR="00000000" w:rsidRDefault="007E3787" w:rsidP="007E3787">
      <w:pPr>
        <w:spacing w:after="240"/>
        <w:rPr>
          <w:rFonts w:eastAsia="Times New Roman"/>
          <w:sz w:val="20"/>
          <w:szCs w:val="20"/>
        </w:rPr>
      </w:pPr>
      <w:r>
        <w:rPr>
          <w:rFonts w:eastAsia="Times New Roman"/>
          <w:sz w:val="20"/>
          <w:szCs w:val="20"/>
        </w:rPr>
        <w:t xml:space="preserve"> </w:t>
      </w:r>
    </w:p>
    <w:sectPr w:rsidR="00000000">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E3787">
      <w:r>
        <w:separator/>
      </w:r>
    </w:p>
  </w:endnote>
  <w:endnote w:type="continuationSeparator" w:id="0">
    <w:p w:rsidR="00000000" w:rsidRDefault="007E37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E3787">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1</w:t>
    </w:r>
    <w:r>
      <w:rPr>
        <w:rFonts w:eastAsia="Times New Roman"/>
        <w:sz w:val="20"/>
        <w:szCs w:val="20"/>
      </w:rPr>
      <w:fldChar w:fldCharType="end"/>
    </w:r>
    <w:r>
      <w:rPr>
        <w:rFonts w:eastAsia="Times New Roman"/>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E3787">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2</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E3787">
      <w:r>
        <w:separator/>
      </w:r>
    </w:p>
  </w:footnote>
  <w:footnote w:type="continuationSeparator" w:id="0">
    <w:p w:rsidR="00000000" w:rsidRDefault="007E37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E3787">
    <w:pPr>
      <w:spacing w:after="240"/>
      <w:rPr>
        <w:rFonts w:eastAsia="Times New Roman"/>
        <w:sz w:val="15"/>
        <w:szCs w:val="15"/>
      </w:rPr>
    </w:pPr>
    <w:r>
      <w:rPr>
        <w:rFonts w:eastAsia="Times New Roman"/>
        <w:b/>
        <w:bCs/>
        <w:sz w:val="15"/>
        <w:szCs w:val="15"/>
      </w:rPr>
      <w:t>RAZVOJNA RAZISKOVANJA</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1012"/>
      <w:gridCol w:w="1513"/>
      <w:gridCol w:w="1991"/>
      <w:gridCol w:w="2309"/>
      <w:gridCol w:w="2309"/>
      <w:gridCol w:w="1991"/>
      <w:gridCol w:w="1512"/>
      <w:gridCol w:w="1512"/>
      <w:gridCol w:w="1512"/>
    </w:tblGrid>
    <w:tr w:rsidR="00000000">
      <w:trPr>
        <w:cantSplit/>
      </w:trPr>
      <w:tc>
        <w:tcPr>
          <w:tcW w:w="72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Izvajalec</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Zap.št.</w:t>
          </w:r>
        </w:p>
      </w:tc>
      <w:tc>
        <w:tcPr>
          <w:tcW w:w="141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Naziv</w:t>
          </w:r>
        </w:p>
      </w:tc>
      <w:tc>
        <w:tcPr>
          <w:tcW w:w="164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Namen</w:t>
          </w:r>
        </w:p>
      </w:tc>
      <w:tc>
        <w:tcPr>
          <w:tcW w:w="5216"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Podatkovni viri</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Predviden zaključek</w:t>
          </w:r>
        </w:p>
      </w:tc>
    </w:tr>
    <w:tr w:rsidR="00000000">
      <w:trPr>
        <w:cantSplit/>
      </w:trPr>
      <w:tc>
        <w:tcPr>
          <w:tcW w:w="720"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7E3787">
          <w:pPr>
            <w:rPr>
              <w:rFonts w:eastAsia="Times New Roman"/>
              <w:sz w:val="16"/>
              <w:szCs w:val="16"/>
            </w:rPr>
          </w:pP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7E3787">
          <w:pPr>
            <w:rPr>
              <w:rFonts w:eastAsia="Times New Roman"/>
              <w:sz w:val="16"/>
              <w:szCs w:val="16"/>
            </w:rPr>
          </w:pPr>
        </w:p>
      </w:tc>
      <w:tc>
        <w:tcPr>
          <w:tcW w:w="1418"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7E3787">
          <w:pPr>
            <w:rPr>
              <w:rFonts w:eastAsia="Times New Roman"/>
              <w:sz w:val="16"/>
              <w:szCs w:val="16"/>
            </w:rPr>
          </w:pPr>
        </w:p>
      </w:tc>
      <w:tc>
        <w:tcPr>
          <w:tcW w:w="1644"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7E3787">
          <w:pPr>
            <w:rPr>
              <w:rFonts w:eastAsia="Times New Roman"/>
              <w:sz w:val="16"/>
              <w:szCs w:val="16"/>
            </w:rPr>
          </w:pPr>
        </w:p>
      </w:tc>
      <w:tc>
        <w:tcPr>
          <w:tcW w:w="1644"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Vsebina</w:t>
          </w:r>
        </w:p>
      </w:tc>
      <w:tc>
        <w:tcPr>
          <w:tcW w:w="1418"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Kdo mora dati podatke in do kdaj</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Obveznost poročanja</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7E3787">
          <w:pPr>
            <w:jc w:val="center"/>
            <w:rPr>
              <w:rFonts w:eastAsia="Times New Roman"/>
              <w:sz w:val="16"/>
              <w:szCs w:val="16"/>
            </w:rPr>
          </w:pPr>
          <w:r>
            <w:rPr>
              <w:rFonts w:eastAsia="Times New Roman"/>
              <w:sz w:val="16"/>
              <w:szCs w:val="16"/>
            </w:rPr>
            <w:t>Obdobje opazovanja</w:t>
          </w: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7E3787">
          <w:pPr>
            <w:rPr>
              <w:rFonts w:eastAsia="Times New Roman"/>
              <w:sz w:val="16"/>
              <w:szCs w:val="16"/>
            </w:rPr>
          </w:pPr>
        </w:p>
      </w:tc>
    </w:tr>
  </w:tbl>
  <w:p w:rsidR="00000000" w:rsidRDefault="007E3787">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20"/>
  <w:hyphenationZone w:val="425"/>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
  <w:rsids>
    <w:rsidRoot w:val="007E3787"/>
    <w:rsid w:val="007E37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90E5E2"/>
  <w15:chartTrackingRefBased/>
  <w15:docId w15:val="{730D5D4E-CF10-43F4-AD20-8AA8E92FB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msonormal0">
    <w:name w:val="msonormal"/>
    <w:basedOn w:val="Normal"/>
    <w:pPr>
      <w:spacing w:before="100" w:beforeAutospacing="1" w:after="100" w:afterAutospacing="1"/>
    </w:p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13"/>
        <w:tab w:val="right" w:pos="9026"/>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13"/>
        <w:tab w:val="right" w:pos="9026"/>
      </w:tabs>
    </w:pPr>
  </w:style>
  <w:style w:type="character" w:customStyle="1" w:styleId="FooterChar">
    <w:name w:val="Footer Char"/>
    <w:basedOn w:val="DefaultParagraphFont"/>
    <w:link w:val="Footer"/>
    <w:uiPriority w:val="99"/>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0"/>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4589</Words>
  <Characters>31723</Characters>
  <Application>Microsoft Office Word</Application>
  <DocSecurity>0</DocSecurity>
  <Lines>264</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Znidarsic</dc:creator>
  <cp:keywords/>
  <dc:description/>
  <cp:lastModifiedBy>Erika Znidarsic</cp:lastModifiedBy>
  <cp:revision>2</cp:revision>
  <dcterms:created xsi:type="dcterms:W3CDTF">2025-10-24T08:29:00Z</dcterms:created>
  <dcterms:modified xsi:type="dcterms:W3CDTF">2025-10-24T08:29:00Z</dcterms:modified>
</cp:coreProperties>
</file>