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BC1D450" w14:textId="77777777" w:rsidR="0089750A" w:rsidRPr="00A9231D" w:rsidRDefault="0089750A" w:rsidP="0089750A">
      <w:pPr>
        <w:pStyle w:val="Glava"/>
        <w:tabs>
          <w:tab w:val="clear" w:pos="8640"/>
          <w:tab w:val="left" w:pos="5112"/>
          <w:tab w:val="left" w:pos="8641"/>
        </w:tabs>
        <w:spacing w:before="340" w:line="240" w:lineRule="exact"/>
        <w:ind w:left="-765"/>
        <w:rPr>
          <w:rFonts w:cs="Arial"/>
          <w:sz w:val="16"/>
        </w:rPr>
      </w:pPr>
      <w:bookmarkStart w:id="0" w:name="_Ref59540459"/>
      <w:bookmarkStart w:id="1" w:name="_GoBack"/>
      <w:bookmarkEnd w:id="1"/>
      <w:r w:rsidRPr="00CE234E">
        <w:rPr>
          <w:noProof/>
          <w:lang w:eastAsia="sl-SI"/>
        </w:rPr>
        <w:drawing>
          <wp:inline distT="0" distB="0" distL="0" distR="0" wp14:anchorId="27603D1B" wp14:editId="3215026F">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5FAAE65" w14:textId="6B0B3D0E" w:rsidR="0089750A" w:rsidRPr="00A9231D" w:rsidRDefault="0089750A" w:rsidP="0089750A">
      <w:pPr>
        <w:pStyle w:val="Glava"/>
        <w:tabs>
          <w:tab w:val="clear" w:pos="8640"/>
          <w:tab w:val="left" w:pos="5114"/>
          <w:tab w:val="left" w:pos="8641"/>
        </w:tabs>
        <w:spacing w:before="12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1D012E69" w14:textId="29322F09" w:rsidR="0089750A" w:rsidRPr="00A9231D" w:rsidRDefault="0089750A" w:rsidP="0089750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515E4431" w14:textId="054323F2" w:rsidR="0089750A" w:rsidRPr="00A9231D" w:rsidRDefault="0089750A" w:rsidP="0089750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286AE1AC" w14:textId="7BC6ACD0" w:rsidR="0089750A" w:rsidRPr="00A9231D" w:rsidRDefault="0089750A" w:rsidP="0089750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06135CF6" w14:textId="77777777" w:rsidR="00564C60" w:rsidRPr="00392381" w:rsidRDefault="00564C60" w:rsidP="005C24E9">
      <w:pPr>
        <w:jc w:val="right"/>
        <w:rPr>
          <w:noProof/>
          <w:lang w:val="sl-SI"/>
        </w:rPr>
      </w:pPr>
    </w:p>
    <w:p w14:paraId="77FB4DF5" w14:textId="1155993E" w:rsidR="00564C60" w:rsidRDefault="00564C60" w:rsidP="00EC7976">
      <w:pPr>
        <w:jc w:val="right"/>
        <w:rPr>
          <w:noProof/>
          <w:lang w:val="sl-SI" w:eastAsia="sl-SI"/>
        </w:rPr>
      </w:pPr>
    </w:p>
    <w:p w14:paraId="50AD2911" w14:textId="77777777" w:rsidR="0089750A" w:rsidRPr="002760DC" w:rsidRDefault="0089750A" w:rsidP="0089750A">
      <w:pPr>
        <w:pStyle w:val="datumtevilka"/>
      </w:pPr>
      <w:bookmarkStart w:id="2" w:name="_Hlk61014710"/>
      <w:bookmarkEnd w:id="2"/>
      <w:r w:rsidRPr="002760DC">
        <w:rPr>
          <w:rFonts w:cs="Arial"/>
          <w:color w:val="000000"/>
        </w:rPr>
        <w:t>EVA:</w:t>
      </w:r>
      <w:r w:rsidRPr="002760DC">
        <w:rPr>
          <w:rFonts w:cs="Arial"/>
          <w:color w:val="000000"/>
        </w:rPr>
        <w:tab/>
      </w:r>
      <w:r>
        <w:rPr>
          <w:rFonts w:cs="Arial"/>
          <w:color w:val="000000"/>
        </w:rPr>
        <w:t>2024-3130-0043</w:t>
      </w:r>
    </w:p>
    <w:p w14:paraId="1E0D61B8" w14:textId="77777777" w:rsidR="0089750A" w:rsidRPr="002760DC" w:rsidRDefault="0089750A" w:rsidP="0089750A">
      <w:pPr>
        <w:pStyle w:val="datumtevilka"/>
      </w:pPr>
      <w:r w:rsidRPr="002760DC">
        <w:t xml:space="preserve">Številka: </w:t>
      </w:r>
      <w:r w:rsidRPr="002760DC">
        <w:tab/>
      </w:r>
      <w:r>
        <w:rPr>
          <w:rFonts w:cs="Arial"/>
          <w:color w:val="000000"/>
        </w:rPr>
        <w:t>00704-115/2025/25</w:t>
      </w:r>
    </w:p>
    <w:p w14:paraId="026AA2F1" w14:textId="77777777" w:rsidR="0089750A" w:rsidRPr="002760DC" w:rsidRDefault="0089750A" w:rsidP="0089750A">
      <w:pPr>
        <w:pStyle w:val="datumtevilka"/>
      </w:pPr>
      <w:r>
        <w:t>Datum:</w:t>
      </w:r>
      <w:r w:rsidRPr="002760DC">
        <w:tab/>
      </w:r>
      <w:r>
        <w:rPr>
          <w:rFonts w:cs="Arial"/>
          <w:color w:val="000000"/>
        </w:rPr>
        <w:t>14. 10. 2025</w:t>
      </w:r>
      <w:r w:rsidRPr="002760DC">
        <w:t xml:space="preserve"> </w:t>
      </w:r>
    </w:p>
    <w:p w14:paraId="4FF9BBE2" w14:textId="77777777" w:rsidR="0089750A" w:rsidRPr="002760DC" w:rsidRDefault="0089750A" w:rsidP="0089750A"/>
    <w:p w14:paraId="3AA9C01F" w14:textId="77777777" w:rsidR="0089750A" w:rsidRDefault="0089750A" w:rsidP="0089750A">
      <w:pPr>
        <w:autoSpaceDE w:val="0"/>
        <w:autoSpaceDN w:val="0"/>
        <w:adjustRightInd w:val="0"/>
        <w:rPr>
          <w:rFonts w:cs="Arial"/>
          <w:color w:val="000000"/>
          <w:szCs w:val="20"/>
        </w:rPr>
      </w:pPr>
    </w:p>
    <w:p w14:paraId="632155B2" w14:textId="608F1483" w:rsidR="0089750A" w:rsidRPr="0089750A" w:rsidRDefault="0089750A" w:rsidP="0089750A">
      <w:pPr>
        <w:autoSpaceDE w:val="0"/>
        <w:autoSpaceDN w:val="0"/>
        <w:adjustRightInd w:val="0"/>
        <w:jc w:val="center"/>
        <w:rPr>
          <w:b/>
          <w:szCs w:val="20"/>
          <w:lang w:val="sl-SI"/>
        </w:rPr>
      </w:pPr>
      <w:proofErr w:type="spellStart"/>
      <w:r w:rsidRPr="0089750A">
        <w:rPr>
          <w:rFonts w:cs="Arial"/>
          <w:b/>
          <w:color w:val="000000"/>
          <w:szCs w:val="20"/>
        </w:rPr>
        <w:t>Mnenje</w:t>
      </w:r>
      <w:proofErr w:type="spellEnd"/>
      <w:r w:rsidRPr="0089750A">
        <w:rPr>
          <w:rFonts w:cs="Arial"/>
          <w:b/>
          <w:color w:val="000000"/>
          <w:szCs w:val="20"/>
        </w:rPr>
        <w:t xml:space="preserve"> o </w:t>
      </w:r>
      <w:proofErr w:type="spellStart"/>
      <w:r w:rsidRPr="0089750A">
        <w:rPr>
          <w:rFonts w:cs="Arial"/>
          <w:b/>
          <w:color w:val="000000"/>
          <w:szCs w:val="20"/>
        </w:rPr>
        <w:t>Zahtevi</w:t>
      </w:r>
      <w:proofErr w:type="spellEnd"/>
      <w:r w:rsidRPr="0089750A">
        <w:rPr>
          <w:rFonts w:cs="Arial"/>
          <w:b/>
          <w:color w:val="000000"/>
          <w:szCs w:val="20"/>
        </w:rPr>
        <w:t xml:space="preserve"> </w:t>
      </w:r>
      <w:proofErr w:type="spellStart"/>
      <w:r w:rsidRPr="0089750A">
        <w:rPr>
          <w:rFonts w:cs="Arial"/>
          <w:b/>
          <w:color w:val="000000"/>
          <w:szCs w:val="20"/>
        </w:rPr>
        <w:t>Državnega</w:t>
      </w:r>
      <w:proofErr w:type="spellEnd"/>
      <w:r w:rsidRPr="0089750A">
        <w:rPr>
          <w:rFonts w:cs="Arial"/>
          <w:b/>
          <w:color w:val="000000"/>
          <w:szCs w:val="20"/>
        </w:rPr>
        <w:t xml:space="preserve"> </w:t>
      </w:r>
      <w:proofErr w:type="spellStart"/>
      <w:r w:rsidRPr="0089750A">
        <w:rPr>
          <w:rFonts w:cs="Arial"/>
          <w:b/>
          <w:color w:val="000000"/>
          <w:szCs w:val="20"/>
        </w:rPr>
        <w:t>sveta</w:t>
      </w:r>
      <w:proofErr w:type="spellEnd"/>
      <w:r w:rsidRPr="0089750A">
        <w:rPr>
          <w:rFonts w:cs="Arial"/>
          <w:b/>
          <w:color w:val="000000"/>
          <w:szCs w:val="20"/>
        </w:rPr>
        <w:t xml:space="preserve">, da </w:t>
      </w:r>
      <w:proofErr w:type="spellStart"/>
      <w:r w:rsidRPr="0089750A">
        <w:rPr>
          <w:rFonts w:cs="Arial"/>
          <w:b/>
          <w:color w:val="000000"/>
          <w:szCs w:val="20"/>
        </w:rPr>
        <w:t>Državni</w:t>
      </w:r>
      <w:proofErr w:type="spellEnd"/>
      <w:r w:rsidRPr="0089750A">
        <w:rPr>
          <w:rFonts w:cs="Arial"/>
          <w:b/>
          <w:color w:val="000000"/>
          <w:szCs w:val="20"/>
        </w:rPr>
        <w:t xml:space="preserve"> </w:t>
      </w:r>
      <w:proofErr w:type="spellStart"/>
      <w:r w:rsidRPr="0089750A">
        <w:rPr>
          <w:rFonts w:cs="Arial"/>
          <w:b/>
          <w:color w:val="000000"/>
          <w:szCs w:val="20"/>
        </w:rPr>
        <w:t>zbor</w:t>
      </w:r>
      <w:proofErr w:type="spellEnd"/>
      <w:r w:rsidRPr="0089750A">
        <w:rPr>
          <w:rFonts w:cs="Arial"/>
          <w:b/>
          <w:color w:val="000000"/>
          <w:szCs w:val="20"/>
        </w:rPr>
        <w:t xml:space="preserve"> </w:t>
      </w:r>
      <w:proofErr w:type="spellStart"/>
      <w:r w:rsidRPr="0089750A">
        <w:rPr>
          <w:rFonts w:cs="Arial"/>
          <w:b/>
          <w:color w:val="000000"/>
          <w:szCs w:val="20"/>
        </w:rPr>
        <w:t>ponovno</w:t>
      </w:r>
      <w:proofErr w:type="spellEnd"/>
      <w:r w:rsidRPr="0089750A">
        <w:rPr>
          <w:rFonts w:cs="Arial"/>
          <w:b/>
          <w:color w:val="000000"/>
          <w:szCs w:val="20"/>
        </w:rPr>
        <w:t xml:space="preserve"> </w:t>
      </w:r>
      <w:proofErr w:type="spellStart"/>
      <w:r w:rsidRPr="0089750A">
        <w:rPr>
          <w:rFonts w:cs="Arial"/>
          <w:b/>
          <w:color w:val="000000"/>
          <w:szCs w:val="20"/>
        </w:rPr>
        <w:t>odloča</w:t>
      </w:r>
      <w:proofErr w:type="spellEnd"/>
      <w:r w:rsidRPr="0089750A">
        <w:rPr>
          <w:rFonts w:cs="Arial"/>
          <w:b/>
          <w:color w:val="000000"/>
          <w:szCs w:val="20"/>
        </w:rPr>
        <w:t xml:space="preserve"> o </w:t>
      </w:r>
      <w:proofErr w:type="spellStart"/>
      <w:r w:rsidRPr="0089750A">
        <w:rPr>
          <w:rFonts w:cs="Arial"/>
          <w:b/>
          <w:color w:val="000000"/>
          <w:szCs w:val="20"/>
        </w:rPr>
        <w:t>Zakonu</w:t>
      </w:r>
      <w:proofErr w:type="spellEnd"/>
      <w:r w:rsidRPr="0089750A">
        <w:rPr>
          <w:rFonts w:cs="Arial"/>
          <w:b/>
          <w:color w:val="000000"/>
          <w:szCs w:val="20"/>
        </w:rPr>
        <w:t xml:space="preserve"> o </w:t>
      </w:r>
      <w:proofErr w:type="spellStart"/>
      <w:r w:rsidRPr="0089750A">
        <w:rPr>
          <w:rFonts w:cs="Arial"/>
          <w:b/>
          <w:color w:val="000000"/>
          <w:szCs w:val="20"/>
        </w:rPr>
        <w:t>spremembah</w:t>
      </w:r>
      <w:proofErr w:type="spellEnd"/>
      <w:r w:rsidRPr="0089750A">
        <w:rPr>
          <w:rFonts w:cs="Arial"/>
          <w:b/>
          <w:color w:val="000000"/>
          <w:szCs w:val="20"/>
        </w:rPr>
        <w:t xml:space="preserve"> in </w:t>
      </w:r>
      <w:proofErr w:type="spellStart"/>
      <w:r w:rsidRPr="0089750A">
        <w:rPr>
          <w:rFonts w:cs="Arial"/>
          <w:b/>
          <w:color w:val="000000"/>
          <w:szCs w:val="20"/>
        </w:rPr>
        <w:t>dopolnitvah</w:t>
      </w:r>
      <w:proofErr w:type="spellEnd"/>
      <w:r w:rsidRPr="0089750A">
        <w:rPr>
          <w:rFonts w:cs="Arial"/>
          <w:b/>
          <w:color w:val="000000"/>
          <w:szCs w:val="20"/>
        </w:rPr>
        <w:t xml:space="preserve"> </w:t>
      </w:r>
      <w:proofErr w:type="spellStart"/>
      <w:r w:rsidRPr="0089750A">
        <w:rPr>
          <w:rFonts w:cs="Arial"/>
          <w:b/>
          <w:color w:val="000000"/>
          <w:szCs w:val="20"/>
        </w:rPr>
        <w:t>Zakona</w:t>
      </w:r>
      <w:proofErr w:type="spellEnd"/>
      <w:r w:rsidRPr="0089750A">
        <w:rPr>
          <w:rFonts w:cs="Arial"/>
          <w:b/>
          <w:color w:val="000000"/>
          <w:szCs w:val="20"/>
        </w:rPr>
        <w:t xml:space="preserve"> o </w:t>
      </w:r>
      <w:proofErr w:type="spellStart"/>
      <w:r w:rsidRPr="0089750A">
        <w:rPr>
          <w:rFonts w:cs="Arial"/>
          <w:b/>
          <w:color w:val="000000"/>
          <w:szCs w:val="20"/>
        </w:rPr>
        <w:t>splošnem</w:t>
      </w:r>
      <w:proofErr w:type="spellEnd"/>
      <w:r w:rsidRPr="0089750A">
        <w:rPr>
          <w:rFonts w:cs="Arial"/>
          <w:b/>
          <w:color w:val="000000"/>
          <w:szCs w:val="20"/>
        </w:rPr>
        <w:t xml:space="preserve"> </w:t>
      </w:r>
      <w:proofErr w:type="spellStart"/>
      <w:r w:rsidRPr="0089750A">
        <w:rPr>
          <w:rFonts w:cs="Arial"/>
          <w:b/>
          <w:color w:val="000000"/>
          <w:szCs w:val="20"/>
        </w:rPr>
        <w:t>upravnem</w:t>
      </w:r>
      <w:proofErr w:type="spellEnd"/>
      <w:r w:rsidRPr="0089750A">
        <w:rPr>
          <w:rFonts w:cs="Arial"/>
          <w:b/>
          <w:color w:val="000000"/>
          <w:szCs w:val="20"/>
        </w:rPr>
        <w:t xml:space="preserve"> </w:t>
      </w:r>
      <w:proofErr w:type="spellStart"/>
      <w:r w:rsidRPr="0089750A">
        <w:rPr>
          <w:rFonts w:cs="Arial"/>
          <w:b/>
          <w:color w:val="000000"/>
          <w:szCs w:val="20"/>
        </w:rPr>
        <w:t>postopku</w:t>
      </w:r>
      <w:proofErr w:type="spellEnd"/>
      <w:r w:rsidRPr="0089750A">
        <w:rPr>
          <w:rFonts w:cs="Arial"/>
          <w:b/>
          <w:color w:val="000000"/>
          <w:szCs w:val="20"/>
        </w:rPr>
        <w:t xml:space="preserve"> </w:t>
      </w:r>
      <w:r w:rsidRPr="0089750A">
        <w:rPr>
          <w:b/>
          <w:szCs w:val="20"/>
          <w:lang w:val="sl-SI"/>
        </w:rPr>
        <w:t>(ZUP-I)</w:t>
      </w:r>
    </w:p>
    <w:p w14:paraId="0FE0A6B8" w14:textId="77777777" w:rsidR="0089750A" w:rsidRDefault="0089750A" w:rsidP="00EC7976">
      <w:pPr>
        <w:jc w:val="right"/>
        <w:rPr>
          <w:noProof/>
          <w:lang w:val="sl-SI" w:eastAsia="sl-SI"/>
        </w:rPr>
      </w:pPr>
    </w:p>
    <w:p w14:paraId="1BE4A4FC" w14:textId="77777777" w:rsidR="0089750A" w:rsidRPr="00392381" w:rsidRDefault="0089750A" w:rsidP="00EC7976">
      <w:pPr>
        <w:jc w:val="right"/>
        <w:rPr>
          <w:rFonts w:eastAsia="Calibri" w:cs="Arial"/>
          <w:b/>
          <w:bCs/>
          <w:kern w:val="2"/>
          <w:szCs w:val="20"/>
          <w:lang w:val="sl-SI"/>
        </w:rPr>
      </w:pPr>
    </w:p>
    <w:bookmarkEnd w:id="0"/>
    <w:p w14:paraId="2C20E7BE" w14:textId="18155BFA" w:rsidR="00EC7976" w:rsidRPr="00392381" w:rsidRDefault="00EC7976" w:rsidP="00EC7976">
      <w:pPr>
        <w:jc w:val="both"/>
        <w:rPr>
          <w:szCs w:val="20"/>
          <w:lang w:val="sl-SI"/>
        </w:rPr>
      </w:pPr>
      <w:r w:rsidRPr="00392381">
        <w:rPr>
          <w:rFonts w:eastAsia="Calibri" w:cs="Arial"/>
          <w:kern w:val="2"/>
          <w:szCs w:val="20"/>
          <w:lang w:val="sl-SI"/>
        </w:rPr>
        <w:t>Državni svet Republike Slovenije</w:t>
      </w:r>
      <w:r w:rsidRPr="00392381">
        <w:rPr>
          <w:rFonts w:eastAsia="Calibri" w:cs="Arial"/>
          <w:szCs w:val="20"/>
          <w:lang w:val="sl-SI"/>
        </w:rPr>
        <w:t xml:space="preserve"> (v nadaljevanju: Državni svet) je na </w:t>
      </w:r>
      <w:r w:rsidRPr="00392381">
        <w:rPr>
          <w:rFonts w:cs="Arial"/>
          <w:szCs w:val="20"/>
          <w:lang w:val="sl-SI"/>
        </w:rPr>
        <w:t xml:space="preserve">20. izredni seji 1. 10. 2025 sprejel zahtevo, da Državni zbor </w:t>
      </w:r>
      <w:r w:rsidR="00265FA6" w:rsidRPr="00392381">
        <w:rPr>
          <w:rFonts w:cs="Arial"/>
          <w:szCs w:val="20"/>
          <w:lang w:val="sl-SI"/>
        </w:rPr>
        <w:t xml:space="preserve">Republike Slovenije (v nadaljevanju: Državni zbor) </w:t>
      </w:r>
      <w:r w:rsidRPr="00392381">
        <w:rPr>
          <w:rFonts w:cs="Arial"/>
          <w:szCs w:val="20"/>
          <w:lang w:val="sl-SI"/>
        </w:rPr>
        <w:t xml:space="preserve">ponovno odloča o Zakonu o spremembah in dopolnitvah Zakona o splošnem upravnem postopku </w:t>
      </w:r>
      <w:r w:rsidRPr="00392381">
        <w:rPr>
          <w:szCs w:val="20"/>
          <w:lang w:val="sl-SI"/>
        </w:rPr>
        <w:t>(v nadaljevanju: ZUP-I), ki ga je Državnemu zboru predložila Vlada</w:t>
      </w:r>
      <w:r w:rsidR="00265FA6" w:rsidRPr="00392381">
        <w:rPr>
          <w:szCs w:val="20"/>
          <w:lang w:val="sl-SI"/>
        </w:rPr>
        <w:t xml:space="preserve"> Republike Slovenije (v nadaljevanju: Vlada)</w:t>
      </w:r>
      <w:r w:rsidRPr="00392381">
        <w:rPr>
          <w:szCs w:val="20"/>
          <w:lang w:val="sl-SI"/>
        </w:rPr>
        <w:t>.</w:t>
      </w:r>
    </w:p>
    <w:p w14:paraId="67E3B666" w14:textId="77777777" w:rsidR="00EC7976" w:rsidRPr="00392381" w:rsidRDefault="00EC7976" w:rsidP="00EC7976">
      <w:pPr>
        <w:jc w:val="both"/>
        <w:rPr>
          <w:szCs w:val="20"/>
          <w:lang w:val="sl-SI"/>
        </w:rPr>
      </w:pPr>
    </w:p>
    <w:p w14:paraId="6DFB2DD5" w14:textId="3A0FBC33" w:rsidR="00393131" w:rsidRPr="00392381" w:rsidRDefault="00EC7976" w:rsidP="00EC7976">
      <w:pPr>
        <w:jc w:val="both"/>
        <w:rPr>
          <w:rFonts w:eastAsia="Calibri" w:cs="Arial"/>
          <w:szCs w:val="20"/>
          <w:lang w:val="sl-SI"/>
        </w:rPr>
      </w:pPr>
      <w:r w:rsidRPr="00392381">
        <w:rPr>
          <w:rFonts w:eastAsia="Calibri" w:cs="Arial"/>
          <w:szCs w:val="20"/>
          <w:lang w:val="sl-SI"/>
        </w:rPr>
        <w:t xml:space="preserve">Državni svet meni, da zakonodajne rešitve ZUP-I </w:t>
      </w:r>
      <w:r w:rsidR="00393131" w:rsidRPr="00392381">
        <w:rPr>
          <w:rFonts w:eastAsia="Calibri" w:cs="Arial"/>
          <w:szCs w:val="20"/>
          <w:lang w:val="sl-SI"/>
        </w:rPr>
        <w:t xml:space="preserve">predstavljajo nepremišljen in nesorazmeren poseg v temeljna ustavna načela in </w:t>
      </w:r>
      <w:r w:rsidR="00265FA6" w:rsidRPr="00392381">
        <w:rPr>
          <w:rFonts w:eastAsia="Calibri" w:cs="Arial"/>
          <w:szCs w:val="20"/>
          <w:lang w:val="sl-SI"/>
        </w:rPr>
        <w:t>ustavno procesna</w:t>
      </w:r>
      <w:r w:rsidR="00393131" w:rsidRPr="00392381">
        <w:rPr>
          <w:rFonts w:eastAsia="Calibri" w:cs="Arial"/>
          <w:szCs w:val="20"/>
          <w:lang w:val="sl-SI"/>
        </w:rPr>
        <w:t xml:space="preserve"> jamstva, ker znižujejo standarde pravne varnosti. Predlagane rešitve, kljub enotnim opozorilom </w:t>
      </w:r>
      <w:r w:rsidR="00265FA6" w:rsidRPr="00392381">
        <w:rPr>
          <w:rFonts w:eastAsia="Calibri" w:cs="Arial"/>
          <w:szCs w:val="20"/>
          <w:lang w:val="sl-SI"/>
        </w:rPr>
        <w:t>stroke</w:t>
      </w:r>
      <w:r w:rsidR="00393131" w:rsidRPr="00392381">
        <w:rPr>
          <w:rFonts w:eastAsia="Calibri" w:cs="Arial"/>
          <w:szCs w:val="20"/>
          <w:lang w:val="sl-SI"/>
        </w:rPr>
        <w:t>, postavljajo pod vprašaj spoštovanje načela demokratičnosti in pravne države iz 1. in 2. člena Ustave.</w:t>
      </w:r>
      <w:r w:rsidR="003373E6" w:rsidRPr="00392381">
        <w:rPr>
          <w:rStyle w:val="Sprotnaopomba-sklic"/>
          <w:rFonts w:eastAsia="Calibri" w:cs="Arial"/>
          <w:szCs w:val="20"/>
          <w:lang w:val="sl-SI"/>
        </w:rPr>
        <w:footnoteReference w:id="1"/>
      </w:r>
      <w:r w:rsidR="00393131" w:rsidRPr="00392381">
        <w:rPr>
          <w:rFonts w:eastAsia="Calibri" w:cs="Arial"/>
          <w:szCs w:val="20"/>
          <w:lang w:val="sl-SI"/>
        </w:rPr>
        <w:t xml:space="preserve"> Namesto večje optimizacije in učinkovitosti bodo vodile v večje obremenitve upravnega sodstva, ker bodo stranke prisiljene uveljavljati kršitve procesnih pravic, posledično </w:t>
      </w:r>
      <w:r w:rsidR="00265FA6" w:rsidRPr="00392381">
        <w:rPr>
          <w:rFonts w:eastAsia="Calibri" w:cs="Arial"/>
          <w:szCs w:val="20"/>
          <w:lang w:val="sl-SI"/>
        </w:rPr>
        <w:t>bodo omajale zaupanje</w:t>
      </w:r>
      <w:r w:rsidR="00393131" w:rsidRPr="00392381">
        <w:rPr>
          <w:rFonts w:eastAsia="Calibri" w:cs="Arial"/>
          <w:szCs w:val="20"/>
          <w:lang w:val="sl-SI"/>
        </w:rPr>
        <w:t xml:space="preserve"> v upravno odločanje in izvajanje oblasti. Državni svet </w:t>
      </w:r>
      <w:r w:rsidR="00167FF8" w:rsidRPr="00392381">
        <w:rPr>
          <w:rFonts w:eastAsia="Calibri" w:cs="Arial"/>
          <w:szCs w:val="20"/>
          <w:lang w:val="sl-SI"/>
        </w:rPr>
        <w:t>ugotavlja</w:t>
      </w:r>
      <w:r w:rsidR="00393131" w:rsidRPr="00392381">
        <w:rPr>
          <w:rFonts w:eastAsia="Calibri" w:cs="Arial"/>
          <w:szCs w:val="20"/>
          <w:lang w:val="sl-SI"/>
        </w:rPr>
        <w:t xml:space="preserve">, da zakonske rešitve ogrožajo transparentnost in predvidljivost upravnega odločanja, s čimer je poseženo v 22. člen Ustave. Zakon </w:t>
      </w:r>
      <w:r w:rsidR="00265FA6" w:rsidRPr="00392381">
        <w:rPr>
          <w:rFonts w:eastAsia="Calibri" w:cs="Arial"/>
          <w:szCs w:val="20"/>
          <w:lang w:val="sl-SI"/>
        </w:rPr>
        <w:t xml:space="preserve">tudi </w:t>
      </w:r>
      <w:r w:rsidR="00393131" w:rsidRPr="00392381">
        <w:rPr>
          <w:rFonts w:eastAsia="Calibri" w:cs="Arial"/>
          <w:szCs w:val="20"/>
          <w:lang w:val="sl-SI"/>
        </w:rPr>
        <w:t xml:space="preserve">ne upošteva zahtev po jasnosti in določnosti, kar dodatno otežuje pomanjkljiva obrazložitev, zato je zakon v nasprotju s 1. členom Ustave. </w:t>
      </w:r>
    </w:p>
    <w:p w14:paraId="6A43F8C4" w14:textId="77777777" w:rsidR="00393131" w:rsidRPr="00392381" w:rsidRDefault="00393131" w:rsidP="00EC7976">
      <w:pPr>
        <w:jc w:val="both"/>
        <w:rPr>
          <w:rFonts w:eastAsia="Calibri" w:cs="Arial"/>
          <w:szCs w:val="20"/>
          <w:lang w:val="sl-SI"/>
        </w:rPr>
      </w:pPr>
    </w:p>
    <w:p w14:paraId="66C4CCF0" w14:textId="0CAC3655" w:rsidR="00393131" w:rsidRPr="00392381" w:rsidRDefault="00393131" w:rsidP="00EC7976">
      <w:pPr>
        <w:jc w:val="both"/>
        <w:rPr>
          <w:rFonts w:eastAsia="Calibri" w:cs="Arial"/>
          <w:szCs w:val="20"/>
          <w:lang w:val="sl-SI"/>
        </w:rPr>
      </w:pPr>
      <w:r w:rsidRPr="00392381">
        <w:rPr>
          <w:rFonts w:eastAsia="Calibri" w:cs="Arial"/>
          <w:szCs w:val="20"/>
          <w:lang w:val="sl-SI"/>
        </w:rPr>
        <w:t xml:space="preserve">Omenjeni posegi v ustavnopravna jamstva so </w:t>
      </w:r>
      <w:r w:rsidR="00167FF8" w:rsidRPr="00392381">
        <w:rPr>
          <w:rFonts w:eastAsia="Calibri" w:cs="Arial"/>
          <w:szCs w:val="20"/>
          <w:lang w:val="sl-SI"/>
        </w:rPr>
        <w:t xml:space="preserve">po mnenju Državnega sveta nanašajo na urejanje jezikovnega pomočnika, določanje roka za obveščanje stranke o formalnih pomanjkljivostih vloge in roka za izdajo odločbe, </w:t>
      </w:r>
      <w:r w:rsidR="00C16801" w:rsidRPr="00392381">
        <w:rPr>
          <w:rFonts w:eastAsia="Calibri" w:cs="Arial"/>
          <w:szCs w:val="20"/>
          <w:lang w:val="sl-SI"/>
        </w:rPr>
        <w:t>ureditev</w:t>
      </w:r>
      <w:r w:rsidR="00167FF8" w:rsidRPr="00392381">
        <w:rPr>
          <w:rFonts w:eastAsia="Calibri" w:cs="Arial"/>
          <w:szCs w:val="20"/>
          <w:lang w:val="sl-SI"/>
        </w:rPr>
        <w:t xml:space="preserve"> navadnega vročanja in </w:t>
      </w:r>
      <w:r w:rsidR="00C16801" w:rsidRPr="00392381">
        <w:rPr>
          <w:rFonts w:eastAsia="Calibri" w:cs="Arial"/>
          <w:szCs w:val="20"/>
          <w:lang w:val="sl-SI"/>
        </w:rPr>
        <w:t>domneve</w:t>
      </w:r>
      <w:r w:rsidR="00167FF8" w:rsidRPr="00392381">
        <w:rPr>
          <w:rFonts w:eastAsia="Calibri" w:cs="Arial"/>
          <w:szCs w:val="20"/>
          <w:lang w:val="sl-SI"/>
        </w:rPr>
        <w:t xml:space="preserve"> vročitve, izdajo odločbe brez obrazložitve, uvedbo informativne odločbe</w:t>
      </w:r>
      <w:r w:rsidR="00705356" w:rsidRPr="00392381">
        <w:rPr>
          <w:rFonts w:eastAsia="Calibri" w:cs="Arial"/>
          <w:szCs w:val="20"/>
          <w:lang w:val="sl-SI"/>
        </w:rPr>
        <w:t>,</w:t>
      </w:r>
      <w:r w:rsidR="00167FF8" w:rsidRPr="00392381">
        <w:rPr>
          <w:rFonts w:eastAsia="Calibri" w:cs="Arial"/>
          <w:szCs w:val="20"/>
          <w:lang w:val="sl-SI"/>
        </w:rPr>
        <w:t xml:space="preserve"> </w:t>
      </w:r>
      <w:r w:rsidR="00705356" w:rsidRPr="00392381">
        <w:rPr>
          <w:rFonts w:eastAsia="Calibri" w:cs="Arial"/>
          <w:szCs w:val="20"/>
          <w:lang w:val="sl-SI"/>
        </w:rPr>
        <w:t>pravico do</w:t>
      </w:r>
      <w:r w:rsidR="00167FF8" w:rsidRPr="00392381">
        <w:rPr>
          <w:rFonts w:eastAsia="Calibri" w:cs="Arial"/>
          <w:szCs w:val="20"/>
          <w:lang w:val="sl-SI"/>
        </w:rPr>
        <w:t xml:space="preserve"> odpovedi pravici do pritožbe </w:t>
      </w:r>
      <w:r w:rsidR="00C16801" w:rsidRPr="00392381">
        <w:rPr>
          <w:rFonts w:eastAsia="Calibri" w:cs="Arial"/>
          <w:szCs w:val="20"/>
          <w:lang w:val="sl-SI"/>
        </w:rPr>
        <w:t>ter</w:t>
      </w:r>
      <w:r w:rsidR="00167FF8" w:rsidRPr="00392381">
        <w:rPr>
          <w:rFonts w:eastAsia="Calibri" w:cs="Arial"/>
          <w:szCs w:val="20"/>
          <w:lang w:val="sl-SI"/>
        </w:rPr>
        <w:t xml:space="preserve"> pravici do sodnega varstva</w:t>
      </w:r>
      <w:r w:rsidR="00705356" w:rsidRPr="00392381">
        <w:rPr>
          <w:rFonts w:eastAsia="Calibri" w:cs="Arial"/>
          <w:szCs w:val="20"/>
          <w:lang w:val="sl-SI"/>
        </w:rPr>
        <w:t xml:space="preserve"> in postopanjem v zvezi z obravnavo tajnih </w:t>
      </w:r>
      <w:r w:rsidR="003373E6" w:rsidRPr="00392381">
        <w:rPr>
          <w:rFonts w:eastAsia="Calibri" w:cs="Arial"/>
          <w:szCs w:val="20"/>
          <w:lang w:val="sl-SI"/>
        </w:rPr>
        <w:t>podatkov</w:t>
      </w:r>
      <w:r w:rsidR="00705356" w:rsidRPr="00392381">
        <w:rPr>
          <w:rFonts w:eastAsia="Calibri" w:cs="Arial"/>
          <w:szCs w:val="20"/>
          <w:lang w:val="sl-SI"/>
        </w:rPr>
        <w:t>.</w:t>
      </w:r>
    </w:p>
    <w:p w14:paraId="5D3709AC" w14:textId="77777777" w:rsidR="00167FF8" w:rsidRPr="00392381" w:rsidRDefault="00167FF8" w:rsidP="00EC7976">
      <w:pPr>
        <w:jc w:val="both"/>
        <w:rPr>
          <w:rFonts w:eastAsia="Calibri" w:cs="Arial"/>
          <w:szCs w:val="20"/>
          <w:lang w:val="sl-SI"/>
        </w:rPr>
      </w:pPr>
    </w:p>
    <w:p w14:paraId="413FFED6" w14:textId="06288991" w:rsidR="00167FF8" w:rsidRPr="00392381" w:rsidRDefault="00167FF8" w:rsidP="00EC7976">
      <w:pPr>
        <w:jc w:val="both"/>
        <w:rPr>
          <w:rFonts w:eastAsia="Calibri" w:cs="Arial"/>
          <w:szCs w:val="20"/>
          <w:lang w:val="sl-SI"/>
        </w:rPr>
      </w:pPr>
      <w:r w:rsidRPr="00392381">
        <w:rPr>
          <w:rFonts w:eastAsia="Calibri" w:cs="Arial"/>
          <w:szCs w:val="20"/>
          <w:lang w:val="sl-SI"/>
        </w:rPr>
        <w:t xml:space="preserve">Državni svet izpostavlja, da bi bilo v ZUP-I treba urediti molk organa na način, da se </w:t>
      </w:r>
      <w:r w:rsidR="00C16801" w:rsidRPr="00392381">
        <w:rPr>
          <w:rFonts w:eastAsia="Calibri" w:cs="Arial"/>
          <w:szCs w:val="20"/>
          <w:lang w:val="sl-SI"/>
        </w:rPr>
        <w:t xml:space="preserve">ob prekoračitvi roka za izdajo odločbe </w:t>
      </w:r>
      <w:r w:rsidRPr="00392381">
        <w:rPr>
          <w:rFonts w:eastAsia="Calibri" w:cs="Arial"/>
          <w:szCs w:val="20"/>
          <w:lang w:val="sl-SI"/>
        </w:rPr>
        <w:t xml:space="preserve">vzpostavi fikcijo izdaje pozitivne odločbe, s čimer bi se prispevalo k večji učinkovitosti postopkov zlasti v gradbenih zadevah. </w:t>
      </w:r>
    </w:p>
    <w:p w14:paraId="437306EC" w14:textId="77777777" w:rsidR="00167FF8" w:rsidRPr="00392381" w:rsidRDefault="00167FF8" w:rsidP="00EC7976">
      <w:pPr>
        <w:jc w:val="both"/>
        <w:rPr>
          <w:rFonts w:eastAsia="Calibri" w:cs="Arial"/>
          <w:szCs w:val="20"/>
          <w:lang w:val="sl-SI"/>
        </w:rPr>
      </w:pPr>
    </w:p>
    <w:p w14:paraId="7E778B1B" w14:textId="27A309BA" w:rsidR="00167FF8" w:rsidRPr="00392381" w:rsidRDefault="00167FF8" w:rsidP="00EC7976">
      <w:pPr>
        <w:jc w:val="both"/>
        <w:rPr>
          <w:rFonts w:eastAsia="Calibri" w:cs="Arial"/>
          <w:szCs w:val="20"/>
          <w:lang w:val="sl-SI"/>
        </w:rPr>
      </w:pPr>
      <w:r w:rsidRPr="00392381">
        <w:rPr>
          <w:rFonts w:eastAsia="Calibri" w:cs="Arial"/>
          <w:szCs w:val="20"/>
          <w:lang w:val="sl-SI"/>
        </w:rPr>
        <w:t xml:space="preserve">V nadaljevanju Vlada </w:t>
      </w:r>
      <w:r w:rsidR="00C16801" w:rsidRPr="00392381">
        <w:rPr>
          <w:rFonts w:eastAsia="Calibri" w:cs="Arial"/>
          <w:szCs w:val="20"/>
          <w:lang w:val="sl-SI"/>
        </w:rPr>
        <w:t>najprej izraža načelno mnenje</w:t>
      </w:r>
      <w:r w:rsidRPr="00392381">
        <w:rPr>
          <w:rFonts w:eastAsia="Calibri" w:cs="Arial"/>
          <w:szCs w:val="20"/>
          <w:lang w:val="sl-SI"/>
        </w:rPr>
        <w:t xml:space="preserve"> o zahtevi Državnega sveta</w:t>
      </w:r>
      <w:r w:rsidR="00C16801" w:rsidRPr="00392381">
        <w:rPr>
          <w:rFonts w:eastAsia="Calibri" w:cs="Arial"/>
          <w:szCs w:val="20"/>
          <w:lang w:val="sl-SI"/>
        </w:rPr>
        <w:t>,</w:t>
      </w:r>
      <w:r w:rsidRPr="00392381">
        <w:rPr>
          <w:rFonts w:eastAsia="Calibri" w:cs="Arial"/>
          <w:szCs w:val="20"/>
          <w:lang w:val="sl-SI"/>
        </w:rPr>
        <w:t xml:space="preserve"> nato pa </w:t>
      </w:r>
      <w:r w:rsidR="00C16801" w:rsidRPr="00392381">
        <w:rPr>
          <w:rFonts w:eastAsia="Calibri" w:cs="Arial"/>
          <w:szCs w:val="20"/>
          <w:lang w:val="sl-SI"/>
        </w:rPr>
        <w:t xml:space="preserve">se </w:t>
      </w:r>
      <w:r w:rsidRPr="00392381">
        <w:rPr>
          <w:rFonts w:eastAsia="Calibri" w:cs="Arial"/>
          <w:szCs w:val="20"/>
          <w:lang w:val="sl-SI"/>
        </w:rPr>
        <w:t xml:space="preserve">opredeljuje do </w:t>
      </w:r>
      <w:r w:rsidR="00C16801" w:rsidRPr="00392381">
        <w:rPr>
          <w:rFonts w:eastAsia="Calibri" w:cs="Arial"/>
          <w:szCs w:val="20"/>
          <w:lang w:val="sl-SI"/>
        </w:rPr>
        <w:t xml:space="preserve">konkretnih </w:t>
      </w:r>
      <w:r w:rsidRPr="00392381">
        <w:rPr>
          <w:rFonts w:eastAsia="Calibri" w:cs="Arial"/>
          <w:szCs w:val="20"/>
          <w:lang w:val="sl-SI"/>
        </w:rPr>
        <w:t>navedb o problematiziranih procesnih institutih.</w:t>
      </w:r>
    </w:p>
    <w:p w14:paraId="07495DE5" w14:textId="77777777" w:rsidR="00167FF8" w:rsidRPr="00392381" w:rsidRDefault="00167FF8" w:rsidP="00EC7976">
      <w:pPr>
        <w:jc w:val="both"/>
        <w:rPr>
          <w:rFonts w:eastAsia="Calibri" w:cs="Arial"/>
          <w:szCs w:val="20"/>
          <w:lang w:val="sl-SI"/>
        </w:rPr>
      </w:pPr>
    </w:p>
    <w:p w14:paraId="0AF333CA" w14:textId="77777777" w:rsidR="00167FF8" w:rsidRPr="00392381" w:rsidRDefault="00167FF8" w:rsidP="00EC7976">
      <w:pPr>
        <w:jc w:val="both"/>
        <w:rPr>
          <w:rFonts w:eastAsia="Calibri" w:cs="Arial"/>
          <w:szCs w:val="20"/>
          <w:lang w:val="sl-SI"/>
        </w:rPr>
      </w:pPr>
    </w:p>
    <w:p w14:paraId="3B18CAAA" w14:textId="476244CC" w:rsidR="00167FF8" w:rsidRPr="00392381" w:rsidRDefault="00167FF8" w:rsidP="00167FF8">
      <w:pPr>
        <w:numPr>
          <w:ilvl w:val="0"/>
          <w:numId w:val="33"/>
        </w:numPr>
        <w:jc w:val="both"/>
        <w:rPr>
          <w:rFonts w:eastAsia="Calibri" w:cs="Arial"/>
          <w:b/>
          <w:bCs/>
          <w:szCs w:val="20"/>
          <w:lang w:val="sl-SI"/>
        </w:rPr>
      </w:pPr>
      <w:r w:rsidRPr="00392381">
        <w:rPr>
          <w:rFonts w:eastAsia="Calibri" w:cs="Arial"/>
          <w:b/>
          <w:bCs/>
          <w:szCs w:val="20"/>
          <w:lang w:val="sl-SI"/>
        </w:rPr>
        <w:t>Splošno o zahtevi Državnega sveta</w:t>
      </w:r>
    </w:p>
    <w:p w14:paraId="33FFC21E" w14:textId="77777777" w:rsidR="00C16801" w:rsidRPr="00392381" w:rsidRDefault="00C16801" w:rsidP="00C16801">
      <w:pPr>
        <w:ind w:left="1080"/>
        <w:jc w:val="both"/>
        <w:rPr>
          <w:rFonts w:eastAsia="Calibri" w:cs="Arial"/>
          <w:szCs w:val="20"/>
          <w:lang w:val="sl-SI"/>
        </w:rPr>
      </w:pPr>
    </w:p>
    <w:p w14:paraId="3FF377A6" w14:textId="0FB8BEDA" w:rsidR="007C59F8" w:rsidRPr="00392381" w:rsidRDefault="00C16801" w:rsidP="00167FF8">
      <w:pPr>
        <w:jc w:val="both"/>
        <w:rPr>
          <w:rFonts w:eastAsia="Calibri" w:cs="Arial"/>
          <w:szCs w:val="20"/>
          <w:lang w:val="sl-SI"/>
        </w:rPr>
      </w:pPr>
      <w:r w:rsidRPr="00392381">
        <w:rPr>
          <w:rFonts w:eastAsia="Calibri" w:cs="Arial"/>
          <w:szCs w:val="20"/>
          <w:lang w:val="sl-SI"/>
        </w:rPr>
        <w:t>Stališča</w:t>
      </w:r>
      <w:r w:rsidR="00167FF8" w:rsidRPr="00392381">
        <w:rPr>
          <w:rFonts w:eastAsia="Calibri" w:cs="Arial"/>
          <w:szCs w:val="20"/>
          <w:lang w:val="sl-SI"/>
        </w:rPr>
        <w:t xml:space="preserve"> Državnega sveta, da je ZUP-I v koliziji z načelom demokratičnosti, načelom pravne države, načelom enakosti pred zakonom, pravic</w:t>
      </w:r>
      <w:r w:rsidR="00705356" w:rsidRPr="00392381">
        <w:rPr>
          <w:rFonts w:eastAsia="Calibri" w:cs="Arial"/>
          <w:szCs w:val="20"/>
          <w:lang w:val="sl-SI"/>
        </w:rPr>
        <w:t>o</w:t>
      </w:r>
      <w:r w:rsidR="00167FF8" w:rsidRPr="00392381">
        <w:rPr>
          <w:rFonts w:eastAsia="Calibri" w:cs="Arial"/>
          <w:szCs w:val="20"/>
          <w:lang w:val="sl-SI"/>
        </w:rPr>
        <w:t xml:space="preserve"> do enakega varstva ter pravic</w:t>
      </w:r>
      <w:r w:rsidRPr="00392381">
        <w:rPr>
          <w:rFonts w:eastAsia="Calibri" w:cs="Arial"/>
          <w:szCs w:val="20"/>
          <w:lang w:val="sl-SI"/>
        </w:rPr>
        <w:t>o</w:t>
      </w:r>
      <w:r w:rsidR="00167FF8" w:rsidRPr="00392381">
        <w:rPr>
          <w:rFonts w:eastAsia="Calibri" w:cs="Arial"/>
          <w:szCs w:val="20"/>
          <w:lang w:val="sl-SI"/>
        </w:rPr>
        <w:t xml:space="preserve"> do pravnega </w:t>
      </w:r>
      <w:r w:rsidR="00167FF8" w:rsidRPr="00392381">
        <w:rPr>
          <w:rFonts w:eastAsia="Calibri" w:cs="Arial"/>
          <w:szCs w:val="20"/>
          <w:lang w:val="sl-SI"/>
        </w:rPr>
        <w:lastRenderedPageBreak/>
        <w:t>sredstva in sodnega varstva</w:t>
      </w:r>
      <w:r w:rsidRPr="00392381">
        <w:rPr>
          <w:rFonts w:eastAsia="Calibri" w:cs="Arial"/>
          <w:szCs w:val="20"/>
          <w:lang w:val="sl-SI"/>
        </w:rPr>
        <w:t>,</w:t>
      </w:r>
      <w:r w:rsidR="00167FF8" w:rsidRPr="00392381">
        <w:rPr>
          <w:rFonts w:eastAsia="Calibri" w:cs="Arial"/>
          <w:szCs w:val="20"/>
          <w:lang w:val="sl-SI"/>
        </w:rPr>
        <w:t xml:space="preserve"> so splošn</w:t>
      </w:r>
      <w:r w:rsidRPr="00392381">
        <w:rPr>
          <w:rFonts w:eastAsia="Calibri" w:cs="Arial"/>
          <w:szCs w:val="20"/>
          <w:lang w:val="sl-SI"/>
        </w:rPr>
        <w:t>a</w:t>
      </w:r>
      <w:r w:rsidR="003373E6" w:rsidRPr="00392381">
        <w:rPr>
          <w:rFonts w:eastAsia="Calibri" w:cs="Arial"/>
          <w:szCs w:val="20"/>
          <w:lang w:val="sl-SI"/>
        </w:rPr>
        <w:t>,</w:t>
      </w:r>
      <w:r w:rsidR="00167FF8" w:rsidRPr="00392381">
        <w:rPr>
          <w:rFonts w:eastAsia="Calibri" w:cs="Arial"/>
          <w:szCs w:val="20"/>
          <w:lang w:val="sl-SI"/>
        </w:rPr>
        <w:t xml:space="preserve"> pavšaln</w:t>
      </w:r>
      <w:r w:rsidRPr="00392381">
        <w:rPr>
          <w:rFonts w:eastAsia="Calibri" w:cs="Arial"/>
          <w:szCs w:val="20"/>
          <w:lang w:val="sl-SI"/>
        </w:rPr>
        <w:t>a</w:t>
      </w:r>
      <w:r w:rsidR="003373E6" w:rsidRPr="00392381">
        <w:rPr>
          <w:rFonts w:eastAsia="Calibri" w:cs="Arial"/>
          <w:szCs w:val="20"/>
          <w:lang w:val="sl-SI"/>
        </w:rPr>
        <w:t xml:space="preserve"> in neutemeljena.</w:t>
      </w:r>
      <w:r w:rsidR="00167FF8" w:rsidRPr="00392381">
        <w:rPr>
          <w:rFonts w:eastAsia="Calibri" w:cs="Arial"/>
          <w:szCs w:val="20"/>
          <w:lang w:val="sl-SI"/>
        </w:rPr>
        <w:t xml:space="preserve"> Na takšne trditve </w:t>
      </w:r>
      <w:r w:rsidRPr="00392381">
        <w:rPr>
          <w:rFonts w:eastAsia="Calibri" w:cs="Arial"/>
          <w:szCs w:val="20"/>
          <w:lang w:val="sl-SI"/>
        </w:rPr>
        <w:t>je zato težko odgovoriti</w:t>
      </w:r>
      <w:r w:rsidR="00167FF8" w:rsidRPr="00392381">
        <w:rPr>
          <w:rFonts w:eastAsia="Calibri" w:cs="Arial"/>
          <w:szCs w:val="20"/>
          <w:lang w:val="sl-SI"/>
        </w:rPr>
        <w:t xml:space="preserve"> z natančnimi in argumentiranimi </w:t>
      </w:r>
      <w:r w:rsidRPr="00392381">
        <w:rPr>
          <w:rFonts w:eastAsia="Calibri" w:cs="Arial"/>
          <w:szCs w:val="20"/>
          <w:lang w:val="sl-SI"/>
        </w:rPr>
        <w:t>stališči</w:t>
      </w:r>
      <w:r w:rsidR="00705356" w:rsidRPr="00392381">
        <w:rPr>
          <w:rFonts w:eastAsia="Calibri" w:cs="Arial"/>
          <w:szCs w:val="20"/>
          <w:lang w:val="sl-SI"/>
        </w:rPr>
        <w:t>, saj stališča niso podrobneje pojasnjena</w:t>
      </w:r>
      <w:r w:rsidR="00167FF8" w:rsidRPr="00392381">
        <w:rPr>
          <w:rFonts w:eastAsia="Calibri" w:cs="Arial"/>
          <w:szCs w:val="20"/>
          <w:lang w:val="sl-SI"/>
        </w:rPr>
        <w:t xml:space="preserve">. Vlada </w:t>
      </w:r>
      <w:r w:rsidRPr="00392381">
        <w:rPr>
          <w:rFonts w:eastAsia="Calibri" w:cs="Arial"/>
          <w:szCs w:val="20"/>
          <w:lang w:val="sl-SI"/>
        </w:rPr>
        <w:t>ob tem</w:t>
      </w:r>
      <w:r w:rsidR="00167FF8" w:rsidRPr="00392381">
        <w:rPr>
          <w:rFonts w:eastAsia="Calibri" w:cs="Arial"/>
          <w:szCs w:val="20"/>
          <w:lang w:val="sl-SI"/>
        </w:rPr>
        <w:t xml:space="preserve"> opozarja, da je se je do mnenja Zakonodajno-pravne službe, na katerem </w:t>
      </w:r>
      <w:r w:rsidRPr="00392381">
        <w:rPr>
          <w:rFonts w:eastAsia="Calibri" w:cs="Arial"/>
          <w:szCs w:val="20"/>
          <w:lang w:val="sl-SI"/>
        </w:rPr>
        <w:t>pretežno</w:t>
      </w:r>
      <w:r w:rsidR="00167FF8" w:rsidRPr="00392381">
        <w:rPr>
          <w:rFonts w:eastAsia="Calibri" w:cs="Arial"/>
          <w:szCs w:val="20"/>
          <w:lang w:val="sl-SI"/>
        </w:rPr>
        <w:t xml:space="preserve"> temelji stališče Državnega sveta, opredelila s stališčem, ki je javno objavljeno na spletni strani Državnega zbora</w:t>
      </w:r>
      <w:r w:rsidRPr="00392381">
        <w:rPr>
          <w:rFonts w:eastAsia="Calibri" w:cs="Arial"/>
          <w:szCs w:val="20"/>
          <w:lang w:val="sl-SI"/>
        </w:rPr>
        <w:t xml:space="preserve"> med gradiv</w:t>
      </w:r>
      <w:r w:rsidR="00705356" w:rsidRPr="00392381">
        <w:rPr>
          <w:rFonts w:eastAsia="Calibri" w:cs="Arial"/>
          <w:szCs w:val="20"/>
          <w:lang w:val="sl-SI"/>
        </w:rPr>
        <w:t>i</w:t>
      </w:r>
      <w:r w:rsidRPr="00392381">
        <w:rPr>
          <w:rFonts w:eastAsia="Calibri" w:cs="Arial"/>
          <w:szCs w:val="20"/>
          <w:lang w:val="sl-SI"/>
        </w:rPr>
        <w:t xml:space="preserve"> ZUP-I</w:t>
      </w:r>
      <w:r w:rsidR="00167FF8" w:rsidRPr="00392381">
        <w:rPr>
          <w:rFonts w:eastAsia="Calibri" w:cs="Arial"/>
          <w:szCs w:val="20"/>
          <w:lang w:val="sl-SI"/>
        </w:rPr>
        <w:t xml:space="preserve">. Enako </w:t>
      </w:r>
      <w:r w:rsidR="002521FF" w:rsidRPr="00392381">
        <w:rPr>
          <w:rFonts w:eastAsia="Calibri" w:cs="Arial"/>
          <w:szCs w:val="20"/>
          <w:lang w:val="sl-SI"/>
        </w:rPr>
        <w:t xml:space="preserve">velja za stališča </w:t>
      </w:r>
      <w:r w:rsidR="00167FF8" w:rsidRPr="00392381">
        <w:rPr>
          <w:rFonts w:eastAsia="Calibri" w:cs="Arial"/>
          <w:szCs w:val="20"/>
          <w:lang w:val="sl-SI"/>
        </w:rPr>
        <w:t xml:space="preserve">Sodnega sveta. Zato bi bilo </w:t>
      </w:r>
      <w:r w:rsidRPr="00392381">
        <w:rPr>
          <w:rFonts w:eastAsia="Calibri" w:cs="Arial"/>
          <w:szCs w:val="20"/>
          <w:lang w:val="sl-SI"/>
        </w:rPr>
        <w:t xml:space="preserve">ponovno </w:t>
      </w:r>
      <w:r w:rsidR="00167FF8" w:rsidRPr="00392381">
        <w:rPr>
          <w:rFonts w:eastAsia="Calibri" w:cs="Arial"/>
          <w:szCs w:val="20"/>
          <w:lang w:val="sl-SI"/>
        </w:rPr>
        <w:t xml:space="preserve">navajanje obsežne pravne argumentacije </w:t>
      </w:r>
      <w:r w:rsidRPr="00392381">
        <w:rPr>
          <w:rFonts w:eastAsia="Calibri" w:cs="Arial"/>
          <w:szCs w:val="20"/>
          <w:lang w:val="sl-SI"/>
        </w:rPr>
        <w:t>le</w:t>
      </w:r>
      <w:r w:rsidR="00167FF8" w:rsidRPr="00392381">
        <w:rPr>
          <w:rFonts w:eastAsia="Calibri" w:cs="Arial"/>
          <w:szCs w:val="20"/>
          <w:lang w:val="sl-SI"/>
        </w:rPr>
        <w:t xml:space="preserve"> ponovitev že povedanega. Državni svet, če bi to želel, bi se do navedb Vlade lahko opredelil </w:t>
      </w:r>
      <w:r w:rsidR="00705356" w:rsidRPr="00392381">
        <w:rPr>
          <w:rFonts w:eastAsia="Calibri" w:cs="Arial"/>
          <w:szCs w:val="20"/>
          <w:lang w:val="sl-SI"/>
        </w:rPr>
        <w:t xml:space="preserve">že </w:t>
      </w:r>
      <w:r w:rsidR="00167FF8" w:rsidRPr="00392381">
        <w:rPr>
          <w:rFonts w:eastAsia="Calibri" w:cs="Arial"/>
          <w:szCs w:val="20"/>
          <w:lang w:val="sl-SI"/>
        </w:rPr>
        <w:t>v zahtevi</w:t>
      </w:r>
      <w:r w:rsidRPr="00392381">
        <w:rPr>
          <w:rFonts w:eastAsia="Calibri" w:cs="Arial"/>
          <w:szCs w:val="20"/>
          <w:lang w:val="sl-SI"/>
        </w:rPr>
        <w:t xml:space="preserve"> in jih upošteval tudi pri utemeljevanju zahteve za ponovno glasovanje</w:t>
      </w:r>
      <w:r w:rsidR="00167FF8" w:rsidRPr="00392381">
        <w:rPr>
          <w:rFonts w:eastAsia="Calibri" w:cs="Arial"/>
          <w:szCs w:val="20"/>
          <w:lang w:val="sl-SI"/>
        </w:rPr>
        <w:t>, vendar tega ne stori, ampak</w:t>
      </w:r>
      <w:r w:rsidR="002521FF" w:rsidRPr="00392381">
        <w:rPr>
          <w:rFonts w:eastAsia="Calibri" w:cs="Arial"/>
          <w:szCs w:val="20"/>
          <w:lang w:val="sl-SI"/>
        </w:rPr>
        <w:t xml:space="preserve"> pavšalno zatrjuje neskladnost ZUP-I </w:t>
      </w:r>
      <w:r w:rsidR="00167FF8" w:rsidRPr="00392381">
        <w:rPr>
          <w:rFonts w:eastAsia="Calibri" w:cs="Arial"/>
          <w:szCs w:val="20"/>
          <w:lang w:val="sl-SI"/>
        </w:rPr>
        <w:t xml:space="preserve">z ustavnimi načeli in ustavnimi pravicami. </w:t>
      </w:r>
      <w:r w:rsidR="002521FF" w:rsidRPr="00392381">
        <w:rPr>
          <w:rFonts w:eastAsia="Calibri" w:cs="Arial"/>
          <w:szCs w:val="20"/>
          <w:lang w:val="sl-SI"/>
        </w:rPr>
        <w:t>Takšno stališče</w:t>
      </w:r>
      <w:r w:rsidR="00167FF8" w:rsidRPr="00392381">
        <w:rPr>
          <w:rFonts w:eastAsia="Calibri" w:cs="Arial"/>
          <w:szCs w:val="20"/>
          <w:lang w:val="sl-SI"/>
        </w:rPr>
        <w:t xml:space="preserve"> Vlada v celoti zavrača. </w:t>
      </w:r>
      <w:r w:rsidR="007C59F8" w:rsidRPr="00392381">
        <w:rPr>
          <w:rFonts w:eastAsia="Calibri" w:cs="Arial"/>
          <w:szCs w:val="20"/>
          <w:lang w:val="sl-SI"/>
        </w:rPr>
        <w:t xml:space="preserve">Še več, Vlada je trdno prepričana, da nobeno od predlaganih pravil ZUP-I ne posega v ustavnopravna jamstva, če se izvršujejo v skladu z </w:t>
      </w:r>
      <w:r w:rsidR="00705356" w:rsidRPr="00392381">
        <w:rPr>
          <w:rFonts w:eastAsia="Calibri" w:cs="Arial"/>
          <w:szCs w:val="20"/>
          <w:lang w:val="sl-SI"/>
        </w:rPr>
        <w:t>U</w:t>
      </w:r>
      <w:r w:rsidR="007C59F8" w:rsidRPr="00392381">
        <w:rPr>
          <w:rFonts w:eastAsia="Calibri" w:cs="Arial"/>
          <w:szCs w:val="20"/>
          <w:lang w:val="sl-SI"/>
        </w:rPr>
        <w:t>stavo</w:t>
      </w:r>
      <w:r w:rsidR="002521FF" w:rsidRPr="00392381">
        <w:rPr>
          <w:rFonts w:eastAsia="Calibri" w:cs="Arial"/>
          <w:szCs w:val="20"/>
          <w:lang w:val="sl-SI"/>
        </w:rPr>
        <w:t xml:space="preserve">, kar pa je logična predpostavka vsake pravne norme. Zato ravnanje organa, </w:t>
      </w:r>
      <w:r w:rsidR="007C59F8" w:rsidRPr="00392381">
        <w:rPr>
          <w:rFonts w:eastAsia="Calibri" w:cs="Arial"/>
          <w:szCs w:val="20"/>
          <w:lang w:val="sl-SI"/>
        </w:rPr>
        <w:t xml:space="preserve">ki </w:t>
      </w:r>
      <w:r w:rsidR="00705356" w:rsidRPr="00392381">
        <w:rPr>
          <w:rFonts w:eastAsia="Calibri" w:cs="Arial"/>
          <w:szCs w:val="20"/>
          <w:lang w:val="sl-SI"/>
        </w:rPr>
        <w:t xml:space="preserve">bo </w:t>
      </w:r>
      <w:r w:rsidR="007C59F8" w:rsidRPr="00392381">
        <w:rPr>
          <w:rFonts w:eastAsia="Calibri" w:cs="Arial"/>
          <w:szCs w:val="20"/>
          <w:lang w:val="sl-SI"/>
        </w:rPr>
        <w:t>temelj</w:t>
      </w:r>
      <w:r w:rsidR="003373E6" w:rsidRPr="00392381">
        <w:rPr>
          <w:rFonts w:eastAsia="Calibri" w:cs="Arial"/>
          <w:szCs w:val="20"/>
          <w:lang w:val="sl-SI"/>
        </w:rPr>
        <w:t>ilo</w:t>
      </w:r>
      <w:r w:rsidR="007C59F8" w:rsidRPr="00392381">
        <w:rPr>
          <w:rFonts w:eastAsia="Calibri" w:cs="Arial"/>
          <w:szCs w:val="20"/>
          <w:lang w:val="sl-SI"/>
        </w:rPr>
        <w:t xml:space="preserve"> na predlaganih pravilih ZUP-I, ni oziroma ne bo samo</w:t>
      </w:r>
      <w:r w:rsidR="00705356" w:rsidRPr="00392381">
        <w:rPr>
          <w:rFonts w:eastAsia="Calibri" w:cs="Arial"/>
          <w:szCs w:val="20"/>
          <w:lang w:val="sl-SI"/>
        </w:rPr>
        <w:t xml:space="preserve"> </w:t>
      </w:r>
      <w:r w:rsidR="007C59F8" w:rsidRPr="00392381">
        <w:rPr>
          <w:rFonts w:eastAsia="Calibri" w:cs="Arial"/>
          <w:szCs w:val="20"/>
          <w:lang w:val="sl-SI"/>
        </w:rPr>
        <w:t>po</w:t>
      </w:r>
      <w:r w:rsidR="00705356" w:rsidRPr="00392381">
        <w:rPr>
          <w:rFonts w:eastAsia="Calibri" w:cs="Arial"/>
          <w:szCs w:val="20"/>
          <w:lang w:val="sl-SI"/>
        </w:rPr>
        <w:t xml:space="preserve"> </w:t>
      </w:r>
      <w:r w:rsidR="007C59F8" w:rsidRPr="00392381">
        <w:rPr>
          <w:rFonts w:eastAsia="Calibri" w:cs="Arial"/>
          <w:szCs w:val="20"/>
          <w:lang w:val="sl-SI"/>
        </w:rPr>
        <w:t xml:space="preserve">sebi v nasprotju z Ustavo. </w:t>
      </w:r>
    </w:p>
    <w:p w14:paraId="4DAE91E6" w14:textId="77777777" w:rsidR="007C59F8" w:rsidRPr="00392381" w:rsidRDefault="007C59F8" w:rsidP="00167FF8">
      <w:pPr>
        <w:jc w:val="both"/>
        <w:rPr>
          <w:rFonts w:eastAsia="Calibri" w:cs="Arial"/>
          <w:szCs w:val="20"/>
          <w:lang w:val="sl-SI"/>
        </w:rPr>
      </w:pPr>
    </w:p>
    <w:p w14:paraId="2A0711A5" w14:textId="4C2872D7" w:rsidR="00BF1F71" w:rsidRPr="00392381" w:rsidRDefault="007C59F8" w:rsidP="00167FF8">
      <w:pPr>
        <w:jc w:val="both"/>
        <w:rPr>
          <w:rFonts w:eastAsia="Calibri" w:cs="Arial"/>
          <w:szCs w:val="20"/>
          <w:lang w:val="sl-SI"/>
        </w:rPr>
      </w:pPr>
      <w:r w:rsidRPr="00392381">
        <w:rPr>
          <w:rFonts w:eastAsia="Calibri" w:cs="Arial"/>
          <w:szCs w:val="20"/>
          <w:lang w:val="sl-SI"/>
        </w:rPr>
        <w:t xml:space="preserve">Vsebina ZUP-I </w:t>
      </w:r>
      <w:r w:rsidR="002521FF" w:rsidRPr="00392381">
        <w:rPr>
          <w:rFonts w:eastAsia="Calibri" w:cs="Arial"/>
          <w:szCs w:val="20"/>
          <w:lang w:val="sl-SI"/>
        </w:rPr>
        <w:t>je rezultat strokovnih usklajevanj</w:t>
      </w:r>
      <w:r w:rsidRPr="00392381">
        <w:rPr>
          <w:rFonts w:eastAsia="Calibri" w:cs="Arial"/>
          <w:szCs w:val="20"/>
          <w:lang w:val="sl-SI"/>
        </w:rPr>
        <w:t>, ki so bila opravljena v okviru medresorske obravnave in javne obravnave zakona</w:t>
      </w:r>
      <w:r w:rsidR="002521FF" w:rsidRPr="00392381">
        <w:rPr>
          <w:rFonts w:eastAsia="Calibri" w:cs="Arial"/>
          <w:szCs w:val="20"/>
          <w:lang w:val="sl-SI"/>
        </w:rPr>
        <w:t>, tako na ravni države kot občin</w:t>
      </w:r>
      <w:r w:rsidRPr="00392381">
        <w:rPr>
          <w:rFonts w:eastAsia="Calibri" w:cs="Arial"/>
          <w:szCs w:val="20"/>
          <w:lang w:val="sl-SI"/>
        </w:rPr>
        <w:t xml:space="preserve">. Pri tem so sodelovale uradne osebe, ki vsakodnevno vodijo upravne postopke in odločajo v upravnih zadevah. Predlagani zakona je minimalni skupni imenovalec, ki ga je </w:t>
      </w:r>
      <w:r w:rsidR="00BF1F71" w:rsidRPr="00392381">
        <w:rPr>
          <w:rFonts w:eastAsia="Calibri" w:cs="Arial"/>
          <w:szCs w:val="20"/>
          <w:lang w:val="sl-SI"/>
        </w:rPr>
        <w:t xml:space="preserve">ob spoštovanju ustavnopravnih izhodišč </w:t>
      </w:r>
      <w:r w:rsidRPr="00392381">
        <w:rPr>
          <w:rFonts w:eastAsia="Calibri" w:cs="Arial"/>
          <w:szCs w:val="20"/>
          <w:lang w:val="sl-SI"/>
        </w:rPr>
        <w:t xml:space="preserve">mogoče doseči z večino udeležencev medresorske ali javne obravnave. Zato vlada zavrača </w:t>
      </w:r>
      <w:r w:rsidR="00705356" w:rsidRPr="00392381">
        <w:rPr>
          <w:rFonts w:eastAsia="Calibri" w:cs="Arial"/>
          <w:szCs w:val="20"/>
          <w:lang w:val="sl-SI"/>
        </w:rPr>
        <w:t xml:space="preserve">stališče </w:t>
      </w:r>
      <w:r w:rsidRPr="00392381">
        <w:rPr>
          <w:rFonts w:eastAsia="Calibri" w:cs="Arial"/>
          <w:szCs w:val="20"/>
          <w:lang w:val="sl-SI"/>
        </w:rPr>
        <w:t xml:space="preserve">Državnega sveta, da so v ZUP-I ignorirana enotna opozorila pravne stroke. </w:t>
      </w:r>
      <w:r w:rsidR="002521FF" w:rsidRPr="00392381">
        <w:rPr>
          <w:rFonts w:eastAsia="Calibri" w:cs="Arial"/>
          <w:szCs w:val="20"/>
          <w:lang w:val="sl-SI"/>
        </w:rPr>
        <w:t>Nedvomno gre z</w:t>
      </w:r>
      <w:r w:rsidR="00BF1F71" w:rsidRPr="00392381">
        <w:rPr>
          <w:rFonts w:eastAsia="Calibri" w:cs="Arial"/>
          <w:szCs w:val="20"/>
          <w:lang w:val="sl-SI"/>
        </w:rPr>
        <w:t xml:space="preserve">a opozorila dveh spoštovanih institucij, </w:t>
      </w:r>
      <w:r w:rsidR="002521FF" w:rsidRPr="00392381">
        <w:rPr>
          <w:rFonts w:eastAsia="Calibri" w:cs="Arial"/>
          <w:szCs w:val="20"/>
          <w:lang w:val="sl-SI"/>
        </w:rPr>
        <w:t xml:space="preserve">od katerih pa </w:t>
      </w:r>
      <w:r w:rsidR="00BF1F71" w:rsidRPr="00392381">
        <w:rPr>
          <w:rFonts w:eastAsia="Calibri" w:cs="Arial"/>
          <w:szCs w:val="20"/>
          <w:lang w:val="sl-SI"/>
        </w:rPr>
        <w:t xml:space="preserve">nobena ni specializirana za upravnopravna </w:t>
      </w:r>
      <w:r w:rsidR="002521FF" w:rsidRPr="00392381">
        <w:rPr>
          <w:rFonts w:eastAsia="Calibri" w:cs="Arial"/>
          <w:szCs w:val="20"/>
          <w:lang w:val="sl-SI"/>
        </w:rPr>
        <w:t>ali</w:t>
      </w:r>
      <w:r w:rsidR="00BF1F71" w:rsidRPr="00392381">
        <w:rPr>
          <w:rFonts w:eastAsia="Calibri" w:cs="Arial"/>
          <w:szCs w:val="20"/>
          <w:lang w:val="sl-SI"/>
        </w:rPr>
        <w:t xml:space="preserve"> </w:t>
      </w:r>
      <w:proofErr w:type="spellStart"/>
      <w:r w:rsidR="00BF1F71" w:rsidRPr="00392381">
        <w:rPr>
          <w:rFonts w:eastAsia="Calibri" w:cs="Arial"/>
          <w:szCs w:val="20"/>
          <w:lang w:val="sl-SI"/>
        </w:rPr>
        <w:t>upravnoprocesna</w:t>
      </w:r>
      <w:proofErr w:type="spellEnd"/>
      <w:r w:rsidR="00BF1F71" w:rsidRPr="00392381">
        <w:rPr>
          <w:rFonts w:eastAsia="Calibri" w:cs="Arial"/>
          <w:szCs w:val="20"/>
          <w:lang w:val="sl-SI"/>
        </w:rPr>
        <w:t xml:space="preserve"> vprašanja.</w:t>
      </w:r>
      <w:r w:rsidR="002521FF" w:rsidRPr="00392381">
        <w:rPr>
          <w:rFonts w:eastAsia="Calibri" w:cs="Arial"/>
          <w:szCs w:val="20"/>
          <w:lang w:val="sl-SI"/>
        </w:rPr>
        <w:t xml:space="preserve"> </w:t>
      </w:r>
    </w:p>
    <w:p w14:paraId="682FA82C" w14:textId="77777777" w:rsidR="00BF1F71" w:rsidRPr="00392381" w:rsidRDefault="00BF1F71" w:rsidP="00167FF8">
      <w:pPr>
        <w:jc w:val="both"/>
        <w:rPr>
          <w:rFonts w:eastAsia="Calibri" w:cs="Arial"/>
          <w:szCs w:val="20"/>
          <w:lang w:val="sl-SI"/>
        </w:rPr>
      </w:pPr>
    </w:p>
    <w:p w14:paraId="2C29FAA6" w14:textId="3578B6D4" w:rsidR="00BF1F71" w:rsidRPr="00392381" w:rsidRDefault="00BF1F71" w:rsidP="00167FF8">
      <w:pPr>
        <w:jc w:val="both"/>
        <w:rPr>
          <w:rFonts w:eastAsia="Calibri" w:cs="Arial"/>
          <w:szCs w:val="20"/>
          <w:lang w:val="sl-SI"/>
        </w:rPr>
      </w:pPr>
      <w:r w:rsidRPr="00392381">
        <w:rPr>
          <w:rFonts w:eastAsia="Calibri" w:cs="Arial"/>
          <w:szCs w:val="20"/>
          <w:lang w:val="sl-SI"/>
        </w:rPr>
        <w:t>Vlada je v odzivu na stališč</w:t>
      </w:r>
      <w:r w:rsidR="003373E6" w:rsidRPr="00392381">
        <w:rPr>
          <w:rFonts w:eastAsia="Calibri" w:cs="Arial"/>
          <w:szCs w:val="20"/>
          <w:lang w:val="sl-SI"/>
        </w:rPr>
        <w:t xml:space="preserve">a </w:t>
      </w:r>
      <w:r w:rsidRPr="00392381">
        <w:rPr>
          <w:rFonts w:eastAsia="Calibri" w:cs="Arial"/>
          <w:szCs w:val="20"/>
          <w:lang w:val="sl-SI"/>
        </w:rPr>
        <w:t xml:space="preserve">Zakonodajno-pravne službe in Sodnega sveta </w:t>
      </w:r>
      <w:r w:rsidR="00E235F9" w:rsidRPr="00392381">
        <w:rPr>
          <w:rFonts w:eastAsia="Calibri" w:cs="Arial"/>
          <w:szCs w:val="20"/>
          <w:lang w:val="sl-SI"/>
        </w:rPr>
        <w:t xml:space="preserve">že </w:t>
      </w:r>
      <w:r w:rsidRPr="00392381">
        <w:rPr>
          <w:rFonts w:eastAsia="Calibri" w:cs="Arial"/>
          <w:szCs w:val="20"/>
          <w:lang w:val="sl-SI"/>
        </w:rPr>
        <w:t xml:space="preserve">opozorila, da se v njunih mnenjih problematizirajo </w:t>
      </w:r>
      <w:r w:rsidR="002521FF" w:rsidRPr="00392381">
        <w:rPr>
          <w:rFonts w:eastAsia="Calibri" w:cs="Arial"/>
          <w:szCs w:val="20"/>
          <w:lang w:val="sl-SI"/>
        </w:rPr>
        <w:t xml:space="preserve">tudi </w:t>
      </w:r>
      <w:r w:rsidRPr="00392381">
        <w:rPr>
          <w:rFonts w:eastAsia="Calibri" w:cs="Arial"/>
          <w:szCs w:val="20"/>
          <w:lang w:val="sl-SI"/>
        </w:rPr>
        <w:t xml:space="preserve">pravila, ki so v slovenskem pravnem redu </w:t>
      </w:r>
      <w:r w:rsidR="002521FF" w:rsidRPr="00392381">
        <w:rPr>
          <w:rFonts w:eastAsia="Calibri" w:cs="Arial"/>
          <w:szCs w:val="20"/>
          <w:lang w:val="sl-SI"/>
        </w:rPr>
        <w:t xml:space="preserve">že </w:t>
      </w:r>
      <w:r w:rsidRPr="00392381">
        <w:rPr>
          <w:rFonts w:eastAsia="Calibri" w:cs="Arial"/>
          <w:szCs w:val="20"/>
          <w:lang w:val="sl-SI"/>
        </w:rPr>
        <w:t>uveljavljena in se z ZUP-I</w:t>
      </w:r>
      <w:r w:rsidR="00E235F9" w:rsidRPr="00392381">
        <w:rPr>
          <w:rFonts w:eastAsia="Calibri" w:cs="Arial"/>
          <w:szCs w:val="20"/>
          <w:lang w:val="sl-SI"/>
        </w:rPr>
        <w:t xml:space="preserve"> </w:t>
      </w:r>
      <w:r w:rsidR="002521FF" w:rsidRPr="00392381">
        <w:rPr>
          <w:rFonts w:eastAsia="Calibri" w:cs="Arial"/>
          <w:szCs w:val="20"/>
          <w:lang w:val="sl-SI"/>
        </w:rPr>
        <w:t>prenašajo na splošno raven, da bodo zaradi pozitivnih izkušenj uporabljiva tudi na drugih upravnih področjih</w:t>
      </w:r>
      <w:r w:rsidR="000B167D" w:rsidRPr="00392381">
        <w:rPr>
          <w:rFonts w:eastAsia="Calibri" w:cs="Arial"/>
          <w:szCs w:val="20"/>
          <w:lang w:val="sl-SI"/>
        </w:rPr>
        <w:t>, oziroma se njihova ureditev z ZUP-I ohranja</w:t>
      </w:r>
      <w:r w:rsidRPr="00392381">
        <w:rPr>
          <w:rFonts w:eastAsia="Calibri" w:cs="Arial"/>
          <w:szCs w:val="20"/>
          <w:lang w:val="sl-SI"/>
        </w:rPr>
        <w:t xml:space="preserve">. Tudi tem pravilom se očita poseg v procesna jamstva, čeprav so uveljavljena in se v dosedanji sodni praksi niso pokazala kot ustavnopravno </w:t>
      </w:r>
      <w:r w:rsidR="00705356" w:rsidRPr="00392381">
        <w:rPr>
          <w:rFonts w:eastAsia="Calibri" w:cs="Arial"/>
          <w:szCs w:val="20"/>
          <w:lang w:val="sl-SI"/>
        </w:rPr>
        <w:t xml:space="preserve">ali sicer </w:t>
      </w:r>
      <w:r w:rsidRPr="00392381">
        <w:rPr>
          <w:rFonts w:eastAsia="Calibri" w:cs="Arial"/>
          <w:szCs w:val="20"/>
          <w:lang w:val="sl-SI"/>
        </w:rPr>
        <w:t xml:space="preserve">sporna, kar se </w:t>
      </w:r>
      <w:r w:rsidR="00EE671F" w:rsidRPr="00392381">
        <w:rPr>
          <w:rFonts w:eastAsia="Calibri" w:cs="Arial"/>
          <w:szCs w:val="20"/>
          <w:lang w:val="sl-SI"/>
        </w:rPr>
        <w:t xml:space="preserve">nasprotno </w:t>
      </w:r>
      <w:r w:rsidRPr="00392381">
        <w:rPr>
          <w:rFonts w:eastAsia="Calibri" w:cs="Arial"/>
          <w:szCs w:val="20"/>
          <w:lang w:val="sl-SI"/>
        </w:rPr>
        <w:t xml:space="preserve">navaja za pravila ZUP-I. Konkretno, gre za pravila o izdaji odločbe brez obrazložitve, </w:t>
      </w:r>
      <w:r w:rsidR="00E235F9" w:rsidRPr="00392381">
        <w:rPr>
          <w:rFonts w:eastAsia="Calibri" w:cs="Arial"/>
          <w:szCs w:val="20"/>
          <w:lang w:val="sl-SI"/>
        </w:rPr>
        <w:t xml:space="preserve">informativni odločbi, </w:t>
      </w:r>
      <w:r w:rsidRPr="00392381">
        <w:rPr>
          <w:rFonts w:eastAsia="Calibri" w:cs="Arial"/>
          <w:szCs w:val="20"/>
          <w:lang w:val="sl-SI"/>
        </w:rPr>
        <w:t>odpovedi pravici do pritožbe in pravici do sodnega varstva</w:t>
      </w:r>
      <w:r w:rsidR="00E235F9" w:rsidRPr="00392381">
        <w:rPr>
          <w:rFonts w:eastAsia="Calibri" w:cs="Arial"/>
          <w:szCs w:val="20"/>
          <w:lang w:val="sl-SI"/>
        </w:rPr>
        <w:t>,</w:t>
      </w:r>
      <w:r w:rsidRPr="00392381">
        <w:rPr>
          <w:rFonts w:eastAsia="Calibri" w:cs="Arial"/>
          <w:szCs w:val="20"/>
          <w:lang w:val="sl-SI"/>
        </w:rPr>
        <w:t xml:space="preserve"> kot tudi </w:t>
      </w:r>
      <w:r w:rsidR="00E235F9" w:rsidRPr="00392381">
        <w:rPr>
          <w:rFonts w:eastAsia="Calibri" w:cs="Arial"/>
          <w:szCs w:val="20"/>
          <w:lang w:val="sl-SI"/>
        </w:rPr>
        <w:t>časovnem okviru</w:t>
      </w:r>
      <w:r w:rsidRPr="00392381">
        <w:rPr>
          <w:rFonts w:eastAsia="Calibri" w:cs="Arial"/>
          <w:szCs w:val="20"/>
          <w:lang w:val="sl-SI"/>
        </w:rPr>
        <w:t xml:space="preserve"> fikcije vročitve. </w:t>
      </w:r>
      <w:r w:rsidR="00EE671F" w:rsidRPr="00392381">
        <w:rPr>
          <w:rFonts w:eastAsia="Calibri" w:cs="Arial"/>
          <w:szCs w:val="20"/>
          <w:lang w:val="sl-SI"/>
        </w:rPr>
        <w:t xml:space="preserve">Podrobneje </w:t>
      </w:r>
      <w:r w:rsidRPr="00392381">
        <w:rPr>
          <w:rFonts w:eastAsia="Calibri" w:cs="Arial"/>
          <w:szCs w:val="20"/>
          <w:lang w:val="sl-SI"/>
        </w:rPr>
        <w:t xml:space="preserve">o tem v nadaljevanju. </w:t>
      </w:r>
    </w:p>
    <w:p w14:paraId="0C4A849F" w14:textId="77777777" w:rsidR="00E235F9" w:rsidRPr="00392381" w:rsidRDefault="00E235F9" w:rsidP="00167FF8">
      <w:pPr>
        <w:jc w:val="both"/>
        <w:rPr>
          <w:rFonts w:eastAsia="Calibri" w:cs="Arial"/>
          <w:szCs w:val="20"/>
          <w:lang w:val="sl-SI"/>
        </w:rPr>
      </w:pPr>
    </w:p>
    <w:p w14:paraId="388907E0" w14:textId="1082BC13" w:rsidR="00E235F9" w:rsidRPr="00392381" w:rsidRDefault="00E235F9" w:rsidP="00167FF8">
      <w:pPr>
        <w:jc w:val="both"/>
        <w:rPr>
          <w:rFonts w:eastAsia="Calibri" w:cs="Arial"/>
          <w:szCs w:val="20"/>
          <w:lang w:val="sl-SI"/>
        </w:rPr>
      </w:pPr>
      <w:r w:rsidRPr="00392381">
        <w:rPr>
          <w:rFonts w:eastAsia="Calibri" w:cs="Arial"/>
          <w:szCs w:val="20"/>
          <w:lang w:val="sl-SI"/>
        </w:rPr>
        <w:t xml:space="preserve">Državni svet je večkrat poudaril, da spremembe v ZUP-I poslabšujejo položaj strank, da se breme poenostavitve </w:t>
      </w:r>
      <w:r w:rsidR="00AB7088" w:rsidRPr="00392381">
        <w:rPr>
          <w:rFonts w:eastAsia="Calibri" w:cs="Arial"/>
          <w:szCs w:val="20"/>
          <w:lang w:val="sl-SI"/>
        </w:rPr>
        <w:t>postopka</w:t>
      </w:r>
      <w:r w:rsidRPr="00392381">
        <w:rPr>
          <w:rFonts w:eastAsia="Calibri" w:cs="Arial"/>
          <w:szCs w:val="20"/>
          <w:lang w:val="sl-SI"/>
        </w:rPr>
        <w:t xml:space="preserve"> prenaša na stranke, ki so že sicer v podrejenem položaju, kot tudi da </w:t>
      </w:r>
      <w:r w:rsidR="00AB7088" w:rsidRPr="00392381">
        <w:rPr>
          <w:rFonts w:eastAsia="Calibri" w:cs="Arial"/>
          <w:szCs w:val="20"/>
          <w:lang w:val="sl-SI"/>
        </w:rPr>
        <w:t xml:space="preserve">spremembe </w:t>
      </w:r>
      <w:r w:rsidRPr="00392381">
        <w:rPr>
          <w:rFonts w:eastAsia="Calibri" w:cs="Arial"/>
          <w:szCs w:val="20"/>
          <w:lang w:val="sl-SI"/>
        </w:rPr>
        <w:t xml:space="preserve">namesto večje optimizacije prinašajo večjo obremenitev upravnega sodstva. Vlada stališča o poslabšanju položaja strank sprejema z obžalovanjem. Iz obširne obrazložitve zakona in nenazadnje iz pojasnil </w:t>
      </w:r>
      <w:r w:rsidR="00AB7088" w:rsidRPr="00392381">
        <w:rPr>
          <w:rFonts w:eastAsia="Calibri" w:cs="Arial"/>
          <w:szCs w:val="20"/>
          <w:lang w:val="sl-SI"/>
        </w:rPr>
        <w:t>do stališč</w:t>
      </w:r>
      <w:r w:rsidRPr="00392381">
        <w:rPr>
          <w:rFonts w:eastAsia="Calibri" w:cs="Arial"/>
          <w:szCs w:val="20"/>
          <w:lang w:val="sl-SI"/>
        </w:rPr>
        <w:t xml:space="preserve"> Zakonodajno-pravne službe izhaja namen in cilj vsake od predlaganih določb. Na tem mestu  se </w:t>
      </w:r>
      <w:r w:rsidR="009D076F" w:rsidRPr="00392381">
        <w:rPr>
          <w:rFonts w:eastAsia="Calibri" w:cs="Arial"/>
          <w:szCs w:val="20"/>
          <w:lang w:val="sl-SI"/>
        </w:rPr>
        <w:t>(po vrstnem redu, ki ga je uporabil Državni svet) Vlad</w:t>
      </w:r>
      <w:r w:rsidR="000B167D" w:rsidRPr="00392381">
        <w:rPr>
          <w:rFonts w:eastAsia="Calibri" w:cs="Arial"/>
          <w:szCs w:val="20"/>
          <w:lang w:val="sl-SI"/>
        </w:rPr>
        <w:t>a</w:t>
      </w:r>
      <w:r w:rsidR="009D076F" w:rsidRPr="00392381">
        <w:rPr>
          <w:rFonts w:eastAsia="Calibri" w:cs="Arial"/>
          <w:szCs w:val="20"/>
          <w:lang w:val="sl-SI"/>
        </w:rPr>
        <w:t xml:space="preserve"> </w:t>
      </w:r>
      <w:r w:rsidR="00AB7088" w:rsidRPr="00392381">
        <w:rPr>
          <w:rFonts w:eastAsia="Calibri" w:cs="Arial"/>
          <w:szCs w:val="20"/>
          <w:lang w:val="sl-SI"/>
        </w:rPr>
        <w:t xml:space="preserve">opredeljuje </w:t>
      </w:r>
      <w:r w:rsidR="009D076F" w:rsidRPr="00392381">
        <w:rPr>
          <w:rFonts w:eastAsia="Calibri" w:cs="Arial"/>
          <w:szCs w:val="20"/>
          <w:lang w:val="sl-SI"/>
        </w:rPr>
        <w:t>do izpostavljenih pravil</w:t>
      </w:r>
      <w:r w:rsidR="001E3116" w:rsidRPr="00392381">
        <w:rPr>
          <w:rFonts w:eastAsia="Calibri" w:cs="Arial"/>
          <w:szCs w:val="20"/>
          <w:lang w:val="sl-SI"/>
        </w:rPr>
        <w:t xml:space="preserve"> z vidika očitanega poslabšanja položaja stranke</w:t>
      </w:r>
      <w:r w:rsidR="00291927" w:rsidRPr="00392381">
        <w:rPr>
          <w:rFonts w:eastAsia="Calibri" w:cs="Arial"/>
          <w:szCs w:val="20"/>
          <w:lang w:val="sl-SI"/>
        </w:rPr>
        <w:t>:</w:t>
      </w:r>
    </w:p>
    <w:p w14:paraId="51B4959D" w14:textId="77777777" w:rsidR="00E235F9" w:rsidRPr="00392381" w:rsidRDefault="00E235F9" w:rsidP="00167FF8">
      <w:pPr>
        <w:jc w:val="both"/>
        <w:rPr>
          <w:rFonts w:eastAsia="Calibri" w:cs="Arial"/>
          <w:szCs w:val="20"/>
          <w:lang w:val="sl-SI"/>
        </w:rPr>
      </w:pPr>
    </w:p>
    <w:p w14:paraId="7FA9147A" w14:textId="4E6473DA" w:rsidR="00E235F9" w:rsidRPr="00392381" w:rsidRDefault="00E235F9" w:rsidP="00E235F9">
      <w:pPr>
        <w:numPr>
          <w:ilvl w:val="0"/>
          <w:numId w:val="34"/>
        </w:numPr>
        <w:jc w:val="both"/>
        <w:rPr>
          <w:rFonts w:eastAsia="Calibri" w:cs="Arial"/>
          <w:szCs w:val="20"/>
          <w:lang w:val="sl-SI"/>
        </w:rPr>
      </w:pPr>
      <w:r w:rsidRPr="00392381">
        <w:rPr>
          <w:rFonts w:eastAsia="Calibri" w:cs="Arial"/>
          <w:szCs w:val="20"/>
          <w:lang w:val="sl-SI"/>
        </w:rPr>
        <w:t>jezikovni pomočnik</w:t>
      </w:r>
      <w:r w:rsidR="00291927" w:rsidRPr="00392381">
        <w:rPr>
          <w:rFonts w:eastAsia="Calibri" w:cs="Arial"/>
          <w:szCs w:val="20"/>
          <w:lang w:val="sl-SI"/>
        </w:rPr>
        <w:t xml:space="preserve"> bo stranki</w:t>
      </w:r>
      <w:r w:rsidR="001E3116" w:rsidRPr="00392381">
        <w:rPr>
          <w:rFonts w:eastAsia="Calibri" w:cs="Arial"/>
          <w:szCs w:val="20"/>
          <w:lang w:val="sl-SI"/>
        </w:rPr>
        <w:t>, ki ne pozna jezika,</w:t>
      </w:r>
      <w:r w:rsidR="00291927" w:rsidRPr="00392381">
        <w:rPr>
          <w:rFonts w:eastAsia="Calibri" w:cs="Arial"/>
          <w:szCs w:val="20"/>
          <w:lang w:val="sl-SI"/>
        </w:rPr>
        <w:t xml:space="preserve"> </w:t>
      </w:r>
      <w:r w:rsidR="001E3116" w:rsidRPr="00392381">
        <w:rPr>
          <w:rFonts w:eastAsia="Calibri" w:cs="Arial"/>
          <w:szCs w:val="20"/>
          <w:lang w:val="sl-SI"/>
        </w:rPr>
        <w:t xml:space="preserve">v katerem teče postopek, </w:t>
      </w:r>
      <w:r w:rsidR="00291927" w:rsidRPr="00392381">
        <w:rPr>
          <w:rFonts w:eastAsia="Calibri" w:cs="Arial"/>
          <w:szCs w:val="20"/>
          <w:lang w:val="sl-SI"/>
        </w:rPr>
        <w:t>pomagal</w:t>
      </w:r>
      <w:r w:rsidR="001E3116" w:rsidRPr="00392381">
        <w:rPr>
          <w:rFonts w:eastAsia="Calibri" w:cs="Arial"/>
          <w:szCs w:val="20"/>
          <w:lang w:val="sl-SI"/>
        </w:rPr>
        <w:t xml:space="preserve"> </w:t>
      </w:r>
      <w:r w:rsidR="00291927" w:rsidRPr="00392381">
        <w:rPr>
          <w:rFonts w:eastAsia="Calibri" w:cs="Arial"/>
          <w:szCs w:val="20"/>
          <w:lang w:val="sl-SI"/>
        </w:rPr>
        <w:t xml:space="preserve">pri uradni komunikaciji z uradno osebo. Zakonita alternativa, ki jo pozna (in </w:t>
      </w:r>
      <w:r w:rsidR="001E3116" w:rsidRPr="00392381">
        <w:rPr>
          <w:rFonts w:eastAsia="Calibri" w:cs="Arial"/>
          <w:szCs w:val="20"/>
          <w:lang w:val="sl-SI"/>
        </w:rPr>
        <w:t xml:space="preserve">tudi </w:t>
      </w:r>
      <w:r w:rsidR="00291927" w:rsidRPr="00392381">
        <w:rPr>
          <w:rFonts w:eastAsia="Calibri" w:cs="Arial"/>
          <w:szCs w:val="20"/>
          <w:lang w:val="sl-SI"/>
        </w:rPr>
        <w:t xml:space="preserve">ohranja) zakon je postavitev uradnega tolmača po predpisanem postopku. Vlada je prepričana, da je za učinkovitost in hitrost postopka ter </w:t>
      </w:r>
      <w:r w:rsidR="001E3116" w:rsidRPr="00392381">
        <w:rPr>
          <w:rFonts w:eastAsia="Calibri" w:cs="Arial"/>
          <w:szCs w:val="20"/>
          <w:lang w:val="sl-SI"/>
        </w:rPr>
        <w:t xml:space="preserve">nenazadnje nižje </w:t>
      </w:r>
      <w:r w:rsidR="00291927" w:rsidRPr="00392381">
        <w:rPr>
          <w:rFonts w:eastAsia="Calibri" w:cs="Arial"/>
          <w:szCs w:val="20"/>
          <w:lang w:val="sl-SI"/>
        </w:rPr>
        <w:t>stroške strank</w:t>
      </w:r>
      <w:r w:rsidR="001E3116" w:rsidRPr="00392381">
        <w:rPr>
          <w:rFonts w:eastAsia="Calibri" w:cs="Arial"/>
          <w:szCs w:val="20"/>
          <w:lang w:val="sl-SI"/>
        </w:rPr>
        <w:t xml:space="preserve"> neprimerljivo</w:t>
      </w:r>
      <w:r w:rsidR="00291927" w:rsidRPr="00392381">
        <w:rPr>
          <w:rFonts w:eastAsia="Calibri" w:cs="Arial"/>
          <w:szCs w:val="20"/>
          <w:lang w:val="sl-SI"/>
        </w:rPr>
        <w:t xml:space="preserve">, če stranki pri komunikaciji pomaga oseba, ki ji stranka zaupa, </w:t>
      </w:r>
      <w:r w:rsidR="001E3116" w:rsidRPr="00392381">
        <w:rPr>
          <w:rFonts w:eastAsia="Calibri" w:cs="Arial"/>
          <w:szCs w:val="20"/>
          <w:lang w:val="sl-SI"/>
        </w:rPr>
        <w:t>ob tem da</w:t>
      </w:r>
      <w:r w:rsidR="00291927" w:rsidRPr="00392381">
        <w:rPr>
          <w:rFonts w:eastAsia="Calibri" w:cs="Arial"/>
          <w:szCs w:val="20"/>
          <w:lang w:val="sl-SI"/>
        </w:rPr>
        <w:t xml:space="preserve"> uradna oseba ne dvomi v njeno znanje obeh jezikov. Postavitev tolmača nasprotno terja iskanje ustrezne osebe, seznanitev stranke z osebo, ki bo tolmačila, izdajo sklepa o postavitvi tolmača, ponovni obisk stranke, izdajo sklepa o stroških v zvezi s tolmačenjem. Postavitev jezikovnega pomočnika je zato </w:t>
      </w:r>
      <w:r w:rsidR="001E3116" w:rsidRPr="00392381">
        <w:rPr>
          <w:rFonts w:eastAsia="Calibri" w:cs="Arial"/>
          <w:szCs w:val="20"/>
          <w:lang w:val="sl-SI"/>
        </w:rPr>
        <w:t xml:space="preserve">predvsem </w:t>
      </w:r>
      <w:r w:rsidR="00291927" w:rsidRPr="00392381">
        <w:rPr>
          <w:rFonts w:eastAsia="Calibri" w:cs="Arial"/>
          <w:szCs w:val="20"/>
          <w:lang w:val="sl-SI"/>
        </w:rPr>
        <w:t>v interesu stranke, ker bo postopek učinkovitejši</w:t>
      </w:r>
      <w:r w:rsidR="001E3116" w:rsidRPr="00392381">
        <w:rPr>
          <w:rFonts w:eastAsia="Calibri" w:cs="Arial"/>
          <w:szCs w:val="20"/>
          <w:lang w:val="sl-SI"/>
        </w:rPr>
        <w:t>, h</w:t>
      </w:r>
      <w:r w:rsidR="00291927" w:rsidRPr="00392381">
        <w:rPr>
          <w:rFonts w:eastAsia="Calibri" w:cs="Arial"/>
          <w:szCs w:val="20"/>
          <w:lang w:val="sl-SI"/>
        </w:rPr>
        <w:t>itrejši</w:t>
      </w:r>
      <w:r w:rsidR="001E3116" w:rsidRPr="00392381">
        <w:rPr>
          <w:rFonts w:eastAsia="Calibri" w:cs="Arial"/>
          <w:szCs w:val="20"/>
          <w:lang w:val="sl-SI"/>
        </w:rPr>
        <w:t xml:space="preserve"> in cenejši</w:t>
      </w:r>
      <w:r w:rsidR="00291927" w:rsidRPr="00392381">
        <w:rPr>
          <w:rFonts w:eastAsia="Calibri" w:cs="Arial"/>
          <w:szCs w:val="20"/>
          <w:lang w:val="sl-SI"/>
        </w:rPr>
        <w:t>, ob tem pa je ključno tudi, da bo postavitev jezikovnega pomočnika odvisna od stranke, saj brez njene volje in interesa do postavitve jezikovnega pomočnika ne bo prišlo;</w:t>
      </w:r>
    </w:p>
    <w:p w14:paraId="054F0F9E" w14:textId="77777777" w:rsidR="00AB4690" w:rsidRPr="00392381" w:rsidRDefault="00AB4690" w:rsidP="00AB4690">
      <w:pPr>
        <w:ind w:left="720"/>
        <w:jc w:val="both"/>
        <w:rPr>
          <w:rFonts w:eastAsia="Calibri" w:cs="Arial"/>
          <w:szCs w:val="20"/>
          <w:lang w:val="sl-SI"/>
        </w:rPr>
      </w:pPr>
    </w:p>
    <w:p w14:paraId="093B5723" w14:textId="01113C78" w:rsidR="00291927" w:rsidRPr="00392381" w:rsidRDefault="00AB4690" w:rsidP="00E235F9">
      <w:pPr>
        <w:numPr>
          <w:ilvl w:val="0"/>
          <w:numId w:val="34"/>
        </w:numPr>
        <w:jc w:val="both"/>
        <w:rPr>
          <w:rFonts w:eastAsia="Calibri" w:cs="Arial"/>
          <w:szCs w:val="20"/>
          <w:lang w:val="sl-SI"/>
        </w:rPr>
      </w:pPr>
      <w:r w:rsidRPr="00392381">
        <w:rPr>
          <w:rFonts w:eastAsia="Calibri" w:cs="Arial"/>
          <w:szCs w:val="20"/>
          <w:lang w:val="sl-SI"/>
        </w:rPr>
        <w:t>sprememba pravil o</w:t>
      </w:r>
      <w:r w:rsidR="007662F4" w:rsidRPr="00392381">
        <w:rPr>
          <w:rFonts w:eastAsia="Calibri" w:cs="Arial"/>
          <w:szCs w:val="20"/>
          <w:lang w:val="sl-SI"/>
        </w:rPr>
        <w:t xml:space="preserve"> teku</w:t>
      </w:r>
      <w:r w:rsidRPr="00392381">
        <w:rPr>
          <w:rFonts w:eastAsia="Calibri" w:cs="Arial"/>
          <w:szCs w:val="20"/>
          <w:lang w:val="sl-SI"/>
        </w:rPr>
        <w:t xml:space="preserve"> roku za izdajo odločbe </w:t>
      </w:r>
      <w:r w:rsidR="008F0EE7" w:rsidRPr="00392381">
        <w:rPr>
          <w:rFonts w:eastAsia="Calibri" w:cs="Arial"/>
          <w:szCs w:val="20"/>
          <w:lang w:val="sl-SI"/>
        </w:rPr>
        <w:t xml:space="preserve">zasleduje jasnost, določnost in transparentnost, torej dobrine katerih </w:t>
      </w:r>
      <w:r w:rsidRPr="00392381">
        <w:rPr>
          <w:rFonts w:eastAsia="Calibri" w:cs="Arial"/>
          <w:szCs w:val="20"/>
          <w:lang w:val="sl-SI"/>
        </w:rPr>
        <w:t xml:space="preserve">nespoštovanje </w:t>
      </w:r>
      <w:r w:rsidR="008F0EE7" w:rsidRPr="00392381">
        <w:rPr>
          <w:rFonts w:eastAsia="Calibri" w:cs="Arial"/>
          <w:szCs w:val="20"/>
          <w:lang w:val="sl-SI"/>
        </w:rPr>
        <w:t>se očitajo</w:t>
      </w:r>
      <w:r w:rsidRPr="00392381">
        <w:rPr>
          <w:rFonts w:eastAsia="Calibri" w:cs="Arial"/>
          <w:szCs w:val="20"/>
          <w:lang w:val="sl-SI"/>
        </w:rPr>
        <w:t xml:space="preserve"> ZUP-I. Vedenje, da na </w:t>
      </w:r>
      <w:r w:rsidRPr="00392381">
        <w:rPr>
          <w:rFonts w:eastAsia="Calibri" w:cs="Arial"/>
          <w:szCs w:val="20"/>
          <w:lang w:val="sl-SI"/>
        </w:rPr>
        <w:lastRenderedPageBreak/>
        <w:t xml:space="preserve">podlagi veljavnega zakona, ki veže začetek teka roka na </w:t>
      </w:r>
      <w:proofErr w:type="spellStart"/>
      <w:r w:rsidRPr="00392381">
        <w:rPr>
          <w:rFonts w:eastAsia="Calibri" w:cs="Arial"/>
          <w:szCs w:val="20"/>
          <w:lang w:val="sl-SI"/>
        </w:rPr>
        <w:t>t.i</w:t>
      </w:r>
      <w:proofErr w:type="spellEnd"/>
      <w:r w:rsidRPr="00392381">
        <w:rPr>
          <w:rFonts w:eastAsia="Calibri" w:cs="Arial"/>
          <w:szCs w:val="20"/>
          <w:lang w:val="sl-SI"/>
        </w:rPr>
        <w:t xml:space="preserve">. formalno popolnost vloge, stranke praviloma </w:t>
      </w:r>
      <w:r w:rsidR="008F0EE7" w:rsidRPr="00392381">
        <w:rPr>
          <w:rFonts w:eastAsia="Calibri" w:cs="Arial"/>
          <w:szCs w:val="20"/>
          <w:lang w:val="sl-SI"/>
        </w:rPr>
        <w:t>niso seznanjene</w:t>
      </w:r>
      <w:r w:rsidRPr="00392381">
        <w:rPr>
          <w:rFonts w:eastAsia="Calibri" w:cs="Arial"/>
          <w:szCs w:val="20"/>
          <w:lang w:val="sl-SI"/>
        </w:rPr>
        <w:t xml:space="preserve">, kdaj se rok </w:t>
      </w:r>
      <w:r w:rsidR="008F0EE7" w:rsidRPr="00392381">
        <w:rPr>
          <w:rFonts w:eastAsia="Calibri" w:cs="Arial"/>
          <w:szCs w:val="20"/>
          <w:lang w:val="sl-SI"/>
        </w:rPr>
        <w:t xml:space="preserve">za izdajo odločbe </w:t>
      </w:r>
      <w:r w:rsidRPr="00392381">
        <w:rPr>
          <w:rFonts w:eastAsia="Calibri" w:cs="Arial"/>
          <w:szCs w:val="20"/>
          <w:lang w:val="sl-SI"/>
        </w:rPr>
        <w:t xml:space="preserve">izteče oziroma kdaj bi organ moral izdati odločbo, da bi </w:t>
      </w:r>
      <w:r w:rsidR="008F0EE7" w:rsidRPr="00392381">
        <w:rPr>
          <w:rFonts w:eastAsia="Calibri" w:cs="Arial"/>
          <w:szCs w:val="20"/>
          <w:lang w:val="sl-SI"/>
        </w:rPr>
        <w:t xml:space="preserve">lahko </w:t>
      </w:r>
      <w:r w:rsidRPr="00392381">
        <w:rPr>
          <w:rFonts w:eastAsia="Calibri" w:cs="Arial"/>
          <w:szCs w:val="20"/>
          <w:lang w:val="sl-SI"/>
        </w:rPr>
        <w:t xml:space="preserve">uveljavile pravico do pravnega sredstva zaradi molka, je </w:t>
      </w:r>
      <w:r w:rsidR="008F0EE7" w:rsidRPr="00392381">
        <w:rPr>
          <w:rFonts w:eastAsia="Calibri" w:cs="Arial"/>
          <w:szCs w:val="20"/>
          <w:lang w:val="sl-SI"/>
        </w:rPr>
        <w:t>osnovno</w:t>
      </w:r>
      <w:r w:rsidRPr="00392381">
        <w:rPr>
          <w:rFonts w:eastAsia="Calibri" w:cs="Arial"/>
          <w:szCs w:val="20"/>
          <w:lang w:val="sl-SI"/>
        </w:rPr>
        <w:t xml:space="preserve"> vodil</w:t>
      </w:r>
      <w:r w:rsidR="008F0EE7" w:rsidRPr="00392381">
        <w:rPr>
          <w:rFonts w:eastAsia="Calibri" w:cs="Arial"/>
          <w:szCs w:val="20"/>
          <w:lang w:val="sl-SI"/>
        </w:rPr>
        <w:t>o</w:t>
      </w:r>
      <w:r w:rsidRPr="00392381">
        <w:rPr>
          <w:rFonts w:eastAsia="Calibri" w:cs="Arial"/>
          <w:szCs w:val="20"/>
          <w:lang w:val="sl-SI"/>
        </w:rPr>
        <w:t>, da se začetek roka določi z dnem vložitve vloge oziroma prvega dejanja v postopku začetem po uradni dolžnosti</w:t>
      </w:r>
      <w:r w:rsidR="00DB5A83" w:rsidRPr="00392381">
        <w:rPr>
          <w:rFonts w:eastAsia="Calibri" w:cs="Arial"/>
          <w:szCs w:val="20"/>
          <w:lang w:val="sl-SI"/>
        </w:rPr>
        <w:t>, kar predstavlja enoznačno določen trenutek</w:t>
      </w:r>
      <w:r w:rsidRPr="00392381">
        <w:rPr>
          <w:rFonts w:eastAsia="Calibri" w:cs="Arial"/>
          <w:szCs w:val="20"/>
          <w:lang w:val="sl-SI"/>
        </w:rPr>
        <w:t xml:space="preserve">. Po predlogu ZUP-I bo pravna situacija </w:t>
      </w:r>
      <w:r w:rsidR="00DB5A83" w:rsidRPr="00392381">
        <w:rPr>
          <w:rFonts w:eastAsia="Calibri" w:cs="Arial"/>
          <w:szCs w:val="20"/>
          <w:lang w:val="sl-SI"/>
        </w:rPr>
        <w:t xml:space="preserve">torej </w:t>
      </w:r>
      <w:r w:rsidR="008F0EE7" w:rsidRPr="00392381">
        <w:rPr>
          <w:rFonts w:eastAsia="Calibri" w:cs="Arial"/>
          <w:szCs w:val="20"/>
          <w:lang w:val="sl-SI"/>
        </w:rPr>
        <w:t xml:space="preserve">povsem </w:t>
      </w:r>
      <w:r w:rsidRPr="00392381">
        <w:rPr>
          <w:rFonts w:eastAsia="Calibri" w:cs="Arial"/>
          <w:szCs w:val="20"/>
          <w:lang w:val="sl-SI"/>
        </w:rPr>
        <w:t>jasna in predvidljiva, saj bo organ moral izdati odločbo v zakonskem roku od vložitve vloge oziroma začetka postopka po uradni dolžnosti</w:t>
      </w:r>
      <w:r w:rsidR="007662F4" w:rsidRPr="00392381">
        <w:rPr>
          <w:rFonts w:eastAsia="Calibri" w:cs="Arial"/>
          <w:szCs w:val="20"/>
          <w:lang w:val="sl-SI"/>
        </w:rPr>
        <w:t xml:space="preserve">. Obstoječa situacija je »koristila« organom, ki so na račun (ne)popolnosti </w:t>
      </w:r>
      <w:r w:rsidR="00DB5A83" w:rsidRPr="00392381">
        <w:rPr>
          <w:rFonts w:eastAsia="Calibri" w:cs="Arial"/>
          <w:szCs w:val="20"/>
          <w:lang w:val="sl-SI"/>
        </w:rPr>
        <w:t xml:space="preserve">vlog </w:t>
      </w:r>
      <w:r w:rsidR="007662F4" w:rsidRPr="00392381">
        <w:rPr>
          <w:rFonts w:eastAsia="Calibri" w:cs="Arial"/>
          <w:szCs w:val="20"/>
          <w:lang w:val="sl-SI"/>
        </w:rPr>
        <w:t>podaljševali rok za izdajo odločbe, kar po ZUP-I ne bo več mogoče, zato ni dvoma, da sprememba sledi izključno interesom stranke po hitrem in predvidljivem poteku postopka.</w:t>
      </w:r>
    </w:p>
    <w:p w14:paraId="5F72A5E5" w14:textId="77777777" w:rsidR="007662F4" w:rsidRPr="00392381" w:rsidRDefault="007662F4" w:rsidP="007662F4">
      <w:pPr>
        <w:pStyle w:val="Odstavekseznama"/>
        <w:rPr>
          <w:rFonts w:eastAsia="Calibri" w:cs="Arial"/>
          <w:szCs w:val="20"/>
        </w:rPr>
      </w:pPr>
    </w:p>
    <w:p w14:paraId="7C876AFF" w14:textId="395F554F" w:rsidR="00BA7BD3" w:rsidRPr="00392381" w:rsidRDefault="007662F4" w:rsidP="001F0DCF">
      <w:pPr>
        <w:numPr>
          <w:ilvl w:val="0"/>
          <w:numId w:val="34"/>
        </w:numPr>
        <w:jc w:val="both"/>
        <w:rPr>
          <w:rFonts w:eastAsia="Calibri" w:cs="Arial"/>
          <w:szCs w:val="20"/>
          <w:lang w:val="sl-SI"/>
        </w:rPr>
      </w:pPr>
      <w:r w:rsidRPr="00392381">
        <w:rPr>
          <w:rFonts w:eastAsia="Calibri" w:cs="Arial"/>
          <w:szCs w:val="20"/>
          <w:lang w:val="sl-SI"/>
        </w:rPr>
        <w:t xml:space="preserve">strožja ureditev fikcije vročitve oziroma skrajšanje roka za nastanek fikcije vročitve je primarno v interesu strank, ki so naravno zainteresirane za učinkovit in hiter zaključek postopka. V času teka roka za nastanek fikcije vročitve se namreč </w:t>
      </w:r>
      <w:r w:rsidR="008F0EE7" w:rsidRPr="00392381">
        <w:rPr>
          <w:rFonts w:eastAsia="Calibri" w:cs="Arial"/>
          <w:szCs w:val="20"/>
          <w:lang w:val="sl-SI"/>
        </w:rPr>
        <w:t>procesna dejanja</w:t>
      </w:r>
      <w:r w:rsidRPr="00392381">
        <w:rPr>
          <w:rFonts w:eastAsia="Calibri" w:cs="Arial"/>
          <w:szCs w:val="20"/>
          <w:lang w:val="sl-SI"/>
        </w:rPr>
        <w:t xml:space="preserve"> ne morejo </w:t>
      </w:r>
      <w:r w:rsidR="008F0EE7" w:rsidRPr="00392381">
        <w:rPr>
          <w:rFonts w:eastAsia="Calibri" w:cs="Arial"/>
          <w:szCs w:val="20"/>
          <w:lang w:val="sl-SI"/>
        </w:rPr>
        <w:t>opravljati</w:t>
      </w:r>
      <w:r w:rsidRPr="00392381">
        <w:rPr>
          <w:rFonts w:eastAsia="Calibri" w:cs="Arial"/>
          <w:szCs w:val="20"/>
          <w:lang w:val="sl-SI"/>
        </w:rPr>
        <w:t xml:space="preserve">, v dejanskem smislu je </w:t>
      </w:r>
      <w:r w:rsidR="008F0EE7" w:rsidRPr="00392381">
        <w:rPr>
          <w:rFonts w:eastAsia="Calibri" w:cs="Arial"/>
          <w:szCs w:val="20"/>
          <w:lang w:val="sl-SI"/>
        </w:rPr>
        <w:t>»</w:t>
      </w:r>
      <w:r w:rsidRPr="00392381">
        <w:rPr>
          <w:rFonts w:eastAsia="Calibri" w:cs="Arial"/>
          <w:szCs w:val="20"/>
          <w:lang w:val="sl-SI"/>
        </w:rPr>
        <w:t>čakanje</w:t>
      </w:r>
      <w:r w:rsidR="008F0EE7" w:rsidRPr="00392381">
        <w:rPr>
          <w:rFonts w:eastAsia="Calibri" w:cs="Arial"/>
          <w:szCs w:val="20"/>
          <w:lang w:val="sl-SI"/>
        </w:rPr>
        <w:t>«</w:t>
      </w:r>
      <w:r w:rsidRPr="00392381">
        <w:rPr>
          <w:rFonts w:eastAsia="Calibri" w:cs="Arial"/>
          <w:szCs w:val="20"/>
          <w:lang w:val="sl-SI"/>
        </w:rPr>
        <w:t xml:space="preserve"> na nastanek fikcije vročitve </w:t>
      </w:r>
      <w:r w:rsidR="00A80B67" w:rsidRPr="00392381">
        <w:rPr>
          <w:rFonts w:eastAsia="Calibri" w:cs="Arial"/>
          <w:szCs w:val="20"/>
          <w:lang w:val="sl-SI"/>
        </w:rPr>
        <w:t>podobn</w:t>
      </w:r>
      <w:r w:rsidR="00DB5A83" w:rsidRPr="00392381">
        <w:rPr>
          <w:rFonts w:eastAsia="Calibri" w:cs="Arial"/>
          <w:szCs w:val="20"/>
          <w:lang w:val="sl-SI"/>
        </w:rPr>
        <w:t>o</w:t>
      </w:r>
      <w:r w:rsidR="00A80B67" w:rsidRPr="00392381">
        <w:rPr>
          <w:rFonts w:eastAsia="Calibri" w:cs="Arial"/>
          <w:szCs w:val="20"/>
          <w:lang w:val="sl-SI"/>
        </w:rPr>
        <w:t xml:space="preserve"> </w:t>
      </w:r>
      <w:r w:rsidR="008F0EE7" w:rsidRPr="00392381">
        <w:rPr>
          <w:rFonts w:eastAsia="Calibri" w:cs="Arial"/>
          <w:szCs w:val="20"/>
          <w:lang w:val="sl-SI"/>
        </w:rPr>
        <w:t xml:space="preserve">tihi </w:t>
      </w:r>
      <w:r w:rsidR="00A80B67" w:rsidRPr="00392381">
        <w:rPr>
          <w:rFonts w:eastAsia="Calibri" w:cs="Arial"/>
          <w:szCs w:val="20"/>
          <w:lang w:val="sl-SI"/>
        </w:rPr>
        <w:t xml:space="preserve">prekinitvi postopka. Ko je stranka odvisna od aktivnosti drugih oseb, na primer stranskih udeležencev, prič, izvedencev, je v njenem interesu, da je dokument </w:t>
      </w:r>
      <w:r w:rsidR="008F0EE7" w:rsidRPr="00392381">
        <w:rPr>
          <w:rFonts w:eastAsia="Calibri" w:cs="Arial"/>
          <w:szCs w:val="20"/>
          <w:lang w:val="sl-SI"/>
        </w:rPr>
        <w:t xml:space="preserve">naslovnikom </w:t>
      </w:r>
      <w:r w:rsidR="00A80B67" w:rsidRPr="00392381">
        <w:rPr>
          <w:rFonts w:eastAsia="Calibri" w:cs="Arial"/>
          <w:szCs w:val="20"/>
          <w:lang w:val="sl-SI"/>
        </w:rPr>
        <w:t xml:space="preserve">vročen čimprej, ker </w:t>
      </w:r>
      <w:r w:rsidR="008F0EE7" w:rsidRPr="00392381">
        <w:rPr>
          <w:rFonts w:eastAsia="Calibri" w:cs="Arial"/>
          <w:szCs w:val="20"/>
          <w:lang w:val="sl-SI"/>
        </w:rPr>
        <w:t>je to pogoj da se postopek izvede oziroma</w:t>
      </w:r>
      <w:r w:rsidR="00A80B67" w:rsidRPr="00392381">
        <w:rPr>
          <w:rFonts w:eastAsia="Calibri" w:cs="Arial"/>
          <w:szCs w:val="20"/>
          <w:lang w:val="sl-SI"/>
        </w:rPr>
        <w:t xml:space="preserve"> zaključi. Ob ponavljajočih se vročitvah, </w:t>
      </w:r>
      <w:r w:rsidR="008F0EE7" w:rsidRPr="00392381">
        <w:rPr>
          <w:rFonts w:eastAsia="Calibri" w:cs="Arial"/>
          <w:szCs w:val="20"/>
          <w:lang w:val="sl-SI"/>
        </w:rPr>
        <w:t xml:space="preserve">denimo </w:t>
      </w:r>
      <w:r w:rsidR="00A80B67" w:rsidRPr="00392381">
        <w:rPr>
          <w:rFonts w:eastAsia="Calibri" w:cs="Arial"/>
          <w:szCs w:val="20"/>
          <w:lang w:val="sl-SI"/>
        </w:rPr>
        <w:t xml:space="preserve">v kompleksnih postopkih je teh lahko tudi več kot pet, skrajšanje roka nezanemarljivo vpliva na zaključek postopka. Investitor bi denimo ob petih vročitvah različnih dokumentov po ZUP-I odločbo prejel 40 dni prej kot po veljavnem zakonu. Interes stranke za skrajšanje roka na strani stranke je </w:t>
      </w:r>
      <w:r w:rsidR="008F0EE7" w:rsidRPr="00392381">
        <w:rPr>
          <w:rFonts w:eastAsia="Calibri" w:cs="Arial"/>
          <w:szCs w:val="20"/>
          <w:lang w:val="sl-SI"/>
        </w:rPr>
        <w:t xml:space="preserve">torej </w:t>
      </w:r>
      <w:r w:rsidR="00A80B67" w:rsidRPr="00392381">
        <w:rPr>
          <w:rFonts w:eastAsia="Calibri" w:cs="Arial"/>
          <w:szCs w:val="20"/>
          <w:lang w:val="sl-SI"/>
        </w:rPr>
        <w:t xml:space="preserve">očiten. Seveda pa to tudi pomeni, da se bo stranka tudi sama morala prej odzivati na pozive organa, kar </w:t>
      </w:r>
      <w:r w:rsidR="00805C40" w:rsidRPr="00392381">
        <w:rPr>
          <w:rFonts w:eastAsia="Calibri" w:cs="Arial"/>
          <w:szCs w:val="20"/>
          <w:lang w:val="sl-SI"/>
        </w:rPr>
        <w:t xml:space="preserve">pa ni mogoče šteti kot nasprotno njenemu interesu, še manj da ZUP-I postopek skrajšuje na račun stranke. </w:t>
      </w:r>
      <w:r w:rsidR="008F0EE7" w:rsidRPr="00392381">
        <w:rPr>
          <w:rFonts w:eastAsia="Calibri" w:cs="Arial"/>
          <w:szCs w:val="20"/>
          <w:lang w:val="sl-SI"/>
        </w:rPr>
        <w:t>Ob</w:t>
      </w:r>
      <w:r w:rsidR="00A80B67" w:rsidRPr="00392381">
        <w:rPr>
          <w:rFonts w:eastAsia="Calibri" w:cs="Arial"/>
          <w:szCs w:val="20"/>
          <w:lang w:val="sl-SI"/>
        </w:rPr>
        <w:t xml:space="preserve"> tem je nujno zavedanje, da ZUP-I skrajšuje le rok za nastanek fikcije, </w:t>
      </w:r>
      <w:r w:rsidR="00BA7BD3" w:rsidRPr="00392381">
        <w:rPr>
          <w:rFonts w:eastAsia="Calibri" w:cs="Arial"/>
          <w:szCs w:val="20"/>
          <w:lang w:val="sl-SI"/>
        </w:rPr>
        <w:t xml:space="preserve">ki </w:t>
      </w:r>
      <w:r w:rsidR="00A80B67" w:rsidRPr="00392381">
        <w:rPr>
          <w:rFonts w:eastAsia="Calibri" w:cs="Arial"/>
          <w:szCs w:val="20"/>
          <w:lang w:val="sl-SI"/>
        </w:rPr>
        <w:t>po veljavnem zakonu nasta</w:t>
      </w:r>
      <w:r w:rsidR="00BA7BD3" w:rsidRPr="00392381">
        <w:rPr>
          <w:rFonts w:eastAsia="Calibri" w:cs="Arial"/>
          <w:szCs w:val="20"/>
          <w:lang w:val="sl-SI"/>
        </w:rPr>
        <w:t>ne</w:t>
      </w:r>
      <w:r w:rsidR="00A80B67" w:rsidRPr="00392381">
        <w:rPr>
          <w:rFonts w:eastAsia="Calibri" w:cs="Arial"/>
          <w:szCs w:val="20"/>
          <w:lang w:val="sl-SI"/>
        </w:rPr>
        <w:t xml:space="preserve"> 15</w:t>
      </w:r>
      <w:r w:rsidR="00DB5A83" w:rsidRPr="00392381">
        <w:rPr>
          <w:rFonts w:eastAsia="Calibri" w:cs="Arial"/>
          <w:szCs w:val="20"/>
          <w:lang w:val="sl-SI"/>
        </w:rPr>
        <w:t>.</w:t>
      </w:r>
      <w:r w:rsidR="00A80B67" w:rsidRPr="00392381">
        <w:rPr>
          <w:rFonts w:eastAsia="Calibri" w:cs="Arial"/>
          <w:szCs w:val="20"/>
          <w:lang w:val="sl-SI"/>
        </w:rPr>
        <w:t xml:space="preserve"> dan, </w:t>
      </w:r>
      <w:r w:rsidR="00BA7BD3" w:rsidRPr="00392381">
        <w:rPr>
          <w:rFonts w:eastAsia="Calibri" w:cs="Arial"/>
          <w:szCs w:val="20"/>
          <w:lang w:val="sl-SI"/>
        </w:rPr>
        <w:t>kar pomeni da bo stranka imela na razpolag</w:t>
      </w:r>
      <w:r w:rsidR="00DB5A83" w:rsidRPr="00392381">
        <w:rPr>
          <w:rFonts w:eastAsia="Calibri" w:cs="Arial"/>
          <w:szCs w:val="20"/>
          <w:lang w:val="sl-SI"/>
        </w:rPr>
        <w:t>o</w:t>
      </w:r>
      <w:r w:rsidR="00BA7BD3" w:rsidRPr="00392381">
        <w:rPr>
          <w:rFonts w:eastAsia="Calibri" w:cs="Arial"/>
          <w:szCs w:val="20"/>
          <w:lang w:val="sl-SI"/>
        </w:rPr>
        <w:t xml:space="preserve"> enak čas</w:t>
      </w:r>
      <w:r w:rsidR="008F0EE7" w:rsidRPr="00392381">
        <w:rPr>
          <w:rFonts w:eastAsia="Calibri" w:cs="Arial"/>
          <w:szCs w:val="20"/>
          <w:lang w:val="sl-SI"/>
        </w:rPr>
        <w:t xml:space="preserve"> za odziv kot danes</w:t>
      </w:r>
      <w:r w:rsidR="00DB5A83" w:rsidRPr="00392381">
        <w:rPr>
          <w:rFonts w:eastAsia="Calibri" w:cs="Arial"/>
          <w:szCs w:val="20"/>
          <w:lang w:val="sl-SI"/>
        </w:rPr>
        <w:t>, saj rok začne teči od nastanka fikcije</w:t>
      </w:r>
      <w:r w:rsidR="00823F9D" w:rsidRPr="00392381">
        <w:rPr>
          <w:rFonts w:eastAsia="Calibri" w:cs="Arial"/>
          <w:szCs w:val="20"/>
          <w:lang w:val="sl-SI"/>
        </w:rPr>
        <w:t xml:space="preserve"> (v določenih primerih bo stranka imela celo več časa, ker bo z vložitvijo v hišni predalčnik seznanjena z dokumentom že pred fikcijo vročitve)</w:t>
      </w:r>
      <w:r w:rsidR="00BA7BD3" w:rsidRPr="00392381">
        <w:rPr>
          <w:rFonts w:eastAsia="Calibri" w:cs="Arial"/>
          <w:szCs w:val="20"/>
          <w:lang w:val="sl-SI"/>
        </w:rPr>
        <w:t>. V izogib očitkom o posegu v pravico do pritožbe pa ZUP-I podaljšuje rok za vložitev pritožbe na 21 dni, kar pomeni, da tudi s tega vidika ni mogoče govoriti o poslabšanju pravnega položaja stranke. Državni svet je ta vidik povsem spregledal, zato je treba očitek v celoti zavrniti.</w:t>
      </w:r>
    </w:p>
    <w:p w14:paraId="61FA2E87" w14:textId="77777777" w:rsidR="006A2EEE" w:rsidRPr="00392381" w:rsidRDefault="006A2EEE" w:rsidP="006A2EEE">
      <w:pPr>
        <w:ind w:left="720"/>
        <w:jc w:val="both"/>
        <w:rPr>
          <w:rFonts w:eastAsia="Calibri" w:cs="Arial"/>
          <w:szCs w:val="20"/>
          <w:lang w:val="sl-SI"/>
        </w:rPr>
      </w:pPr>
    </w:p>
    <w:p w14:paraId="22C10E3F" w14:textId="048A36B2" w:rsidR="00E235F9" w:rsidRPr="00392381" w:rsidRDefault="00BA7BD3" w:rsidP="001F0DCF">
      <w:pPr>
        <w:numPr>
          <w:ilvl w:val="0"/>
          <w:numId w:val="34"/>
        </w:numPr>
        <w:jc w:val="both"/>
        <w:rPr>
          <w:rFonts w:eastAsia="Calibri" w:cs="Arial"/>
          <w:szCs w:val="20"/>
          <w:lang w:val="sl-SI"/>
        </w:rPr>
      </w:pPr>
      <w:r w:rsidRPr="00392381">
        <w:rPr>
          <w:rFonts w:eastAsia="Calibri" w:cs="Arial"/>
          <w:szCs w:val="20"/>
          <w:lang w:val="sl-SI"/>
        </w:rPr>
        <w:t xml:space="preserve">Državni svet je vročanje v hišni predalčnik, ki jo ZUP-I vzpostavlja kot možnost, ne obveznost za vsakokratno vročanje dokumenta v fizični obliki, prepoznal kot procesno pravilo, ki poslabšuje položaj stranke in vpliva na pravico do pravnega sredstva in sodnega varstva. Tudi </w:t>
      </w:r>
      <w:r w:rsidR="00823F9D" w:rsidRPr="00392381">
        <w:rPr>
          <w:rFonts w:eastAsia="Calibri" w:cs="Arial"/>
          <w:szCs w:val="20"/>
          <w:lang w:val="sl-SI"/>
        </w:rPr>
        <w:t>pri tem</w:t>
      </w:r>
      <w:r w:rsidRPr="00392381">
        <w:rPr>
          <w:rFonts w:eastAsia="Calibri" w:cs="Arial"/>
          <w:szCs w:val="20"/>
          <w:lang w:val="sl-SI"/>
        </w:rPr>
        <w:t xml:space="preserve"> je spregledano tako </w:t>
      </w:r>
      <w:r w:rsidR="00823F9D" w:rsidRPr="00392381">
        <w:rPr>
          <w:rFonts w:eastAsia="Calibri" w:cs="Arial"/>
          <w:szCs w:val="20"/>
          <w:lang w:val="sl-SI"/>
        </w:rPr>
        <w:t xml:space="preserve">zakonsko </w:t>
      </w:r>
      <w:r w:rsidRPr="00392381">
        <w:rPr>
          <w:rFonts w:eastAsia="Calibri" w:cs="Arial"/>
          <w:szCs w:val="20"/>
          <w:lang w:val="sl-SI"/>
        </w:rPr>
        <w:t xml:space="preserve">pravilo kot pojasnilo – obrazložitev zakona, da bo moral vročitev dokazovati organ, če </w:t>
      </w:r>
      <w:r w:rsidR="00823F9D" w:rsidRPr="00392381">
        <w:rPr>
          <w:rFonts w:eastAsia="Calibri" w:cs="Arial"/>
          <w:szCs w:val="20"/>
          <w:lang w:val="sl-SI"/>
        </w:rPr>
        <w:t>vročitve ne bo mogel dokazati</w:t>
      </w:r>
      <w:r w:rsidR="00DB5A83" w:rsidRPr="00392381">
        <w:rPr>
          <w:rFonts w:eastAsia="Calibri" w:cs="Arial"/>
          <w:szCs w:val="20"/>
          <w:lang w:val="sl-SI"/>
        </w:rPr>
        <w:t>,</w:t>
      </w:r>
      <w:r w:rsidR="00823F9D" w:rsidRPr="00392381">
        <w:rPr>
          <w:rFonts w:eastAsia="Calibri" w:cs="Arial"/>
          <w:szCs w:val="20"/>
          <w:lang w:val="sl-SI"/>
        </w:rPr>
        <w:t xml:space="preserve"> bo </w:t>
      </w:r>
      <w:r w:rsidRPr="00392381">
        <w:rPr>
          <w:rFonts w:eastAsia="Calibri" w:cs="Arial"/>
          <w:szCs w:val="20"/>
          <w:lang w:val="sl-SI"/>
        </w:rPr>
        <w:t xml:space="preserve">dokument moral vročati ponovno. </w:t>
      </w:r>
      <w:r w:rsidR="006A2EEE" w:rsidRPr="00392381">
        <w:rPr>
          <w:rFonts w:eastAsia="Calibri" w:cs="Arial"/>
          <w:szCs w:val="20"/>
          <w:lang w:val="sl-SI"/>
        </w:rPr>
        <w:t>Zato ni mogoče zatrjevati, da vročitev v hišni predalčnik prekomerno posega v pravni položaj stranke, saj zakon uvaja varovalke, ki bodo omogočile varstvo ustavnopravnega položaja stranke in zagotovile pošten postopek</w:t>
      </w:r>
      <w:r w:rsidR="00823F9D" w:rsidRPr="00392381">
        <w:rPr>
          <w:rFonts w:eastAsia="Calibri" w:cs="Arial"/>
          <w:szCs w:val="20"/>
          <w:lang w:val="sl-SI"/>
        </w:rPr>
        <w:t xml:space="preserve"> (t</w:t>
      </w:r>
      <w:r w:rsidR="00DB5A83" w:rsidRPr="00392381">
        <w:rPr>
          <w:rFonts w:eastAsia="Calibri" w:cs="Arial"/>
          <w:szCs w:val="20"/>
          <w:lang w:val="sl-SI"/>
        </w:rPr>
        <w:t>e</w:t>
      </w:r>
      <w:r w:rsidR="00823F9D" w:rsidRPr="00392381">
        <w:rPr>
          <w:rFonts w:eastAsia="Calibri" w:cs="Arial"/>
          <w:szCs w:val="20"/>
          <w:lang w:val="sl-SI"/>
        </w:rPr>
        <w:t xml:space="preserve"> so enake kot jih pozna nemški Zakon o upravnem postopku)</w:t>
      </w:r>
      <w:r w:rsidR="006A2EEE" w:rsidRPr="00392381">
        <w:rPr>
          <w:rFonts w:eastAsia="Calibri" w:cs="Arial"/>
          <w:szCs w:val="20"/>
          <w:lang w:val="sl-SI"/>
        </w:rPr>
        <w:t>. Na tak način se bodo praviloma vročale odločbe, s katerimi bo zahtevi stranke ugodeno. Vlada poudarja, da ZUP-I daje možnost različnih načinov vročitve, ki jih bodo organi uporabili glede na okoliščine postopka oziroma upravne zadeve, ob tem pa ni mogoče zatrjevati, da so obravnavane neenako, če je vročitev opravljena na en ali drug način;</w:t>
      </w:r>
    </w:p>
    <w:p w14:paraId="578B585A" w14:textId="77777777" w:rsidR="006A2EEE" w:rsidRPr="00392381" w:rsidRDefault="006A2EEE" w:rsidP="006A2EEE">
      <w:pPr>
        <w:ind w:left="720"/>
        <w:jc w:val="both"/>
        <w:rPr>
          <w:rFonts w:eastAsia="Calibri" w:cs="Arial"/>
          <w:szCs w:val="20"/>
          <w:lang w:val="sl-SI"/>
        </w:rPr>
      </w:pPr>
    </w:p>
    <w:p w14:paraId="5B2FA925" w14:textId="0B061EA7" w:rsidR="00EC5B2E" w:rsidRPr="00392381" w:rsidRDefault="006A2EEE" w:rsidP="001F0DCF">
      <w:pPr>
        <w:numPr>
          <w:ilvl w:val="0"/>
          <w:numId w:val="34"/>
        </w:numPr>
        <w:jc w:val="both"/>
        <w:rPr>
          <w:rFonts w:eastAsia="Calibri" w:cs="Arial"/>
          <w:szCs w:val="20"/>
          <w:lang w:val="sl-SI"/>
        </w:rPr>
      </w:pPr>
      <w:r w:rsidRPr="00392381">
        <w:rPr>
          <w:rFonts w:eastAsia="Calibri" w:cs="Arial"/>
          <w:szCs w:val="20"/>
          <w:lang w:val="sl-SI"/>
        </w:rPr>
        <w:t>izdaja odločbe brez obrazložitve je v interesu strank</w:t>
      </w:r>
      <w:r w:rsidR="00DB5A83" w:rsidRPr="00392381">
        <w:rPr>
          <w:rFonts w:eastAsia="Calibri" w:cs="Arial"/>
          <w:szCs w:val="20"/>
          <w:lang w:val="sl-SI"/>
        </w:rPr>
        <w:t>,</w:t>
      </w:r>
      <w:r w:rsidRPr="00392381">
        <w:rPr>
          <w:rFonts w:eastAsia="Calibri" w:cs="Arial"/>
          <w:szCs w:val="20"/>
          <w:lang w:val="sl-SI"/>
        </w:rPr>
        <w:t xml:space="preserve"> pa tudi organov. Interes stranke je v tem, da pozitivno odločbo oziroma odločbo, s kater</w:t>
      </w:r>
      <w:r w:rsidR="00DB5A83" w:rsidRPr="00392381">
        <w:rPr>
          <w:rFonts w:eastAsia="Calibri" w:cs="Arial"/>
          <w:szCs w:val="20"/>
          <w:lang w:val="sl-SI"/>
        </w:rPr>
        <w:t>e</w:t>
      </w:r>
      <w:r w:rsidRPr="00392381">
        <w:rPr>
          <w:rFonts w:eastAsia="Calibri" w:cs="Arial"/>
          <w:szCs w:val="20"/>
          <w:lang w:val="sl-SI"/>
        </w:rPr>
        <w:t xml:space="preserve"> vsebino soglaša, dobi čimprej, kar je mogoče, če organ ne piše obširne obrazložitve z navedbami o dejanskem in pravnem stanju zadeve. Govorimo o stranki, o kater</w:t>
      </w:r>
      <w:r w:rsidR="00DB5A83" w:rsidRPr="00392381">
        <w:rPr>
          <w:rFonts w:eastAsia="Calibri" w:cs="Arial"/>
          <w:szCs w:val="20"/>
          <w:lang w:val="sl-SI"/>
        </w:rPr>
        <w:t>e</w:t>
      </w:r>
      <w:r w:rsidRPr="00392381">
        <w:rPr>
          <w:rFonts w:eastAsia="Calibri" w:cs="Arial"/>
          <w:szCs w:val="20"/>
          <w:lang w:val="sl-SI"/>
        </w:rPr>
        <w:t xml:space="preserve"> pravici se odloča</w:t>
      </w:r>
      <w:r w:rsidR="00823F9D" w:rsidRPr="00392381">
        <w:rPr>
          <w:rFonts w:eastAsia="Calibri" w:cs="Arial"/>
          <w:szCs w:val="20"/>
          <w:lang w:val="sl-SI"/>
        </w:rPr>
        <w:t xml:space="preserve"> v konkretni in posamični zadevi</w:t>
      </w:r>
      <w:r w:rsidRPr="00392381">
        <w:rPr>
          <w:rFonts w:eastAsia="Calibri" w:cs="Arial"/>
          <w:szCs w:val="20"/>
          <w:lang w:val="sl-SI"/>
        </w:rPr>
        <w:t xml:space="preserve">, govorimo pa tudi o strankah, ki bodo </w:t>
      </w:r>
      <w:r w:rsidR="00823F9D" w:rsidRPr="00392381">
        <w:rPr>
          <w:rFonts w:eastAsia="Calibri" w:cs="Arial"/>
          <w:szCs w:val="20"/>
          <w:lang w:val="sl-SI"/>
        </w:rPr>
        <w:t xml:space="preserve">lahko </w:t>
      </w:r>
      <w:r w:rsidRPr="00392381">
        <w:rPr>
          <w:rFonts w:eastAsia="Calibri" w:cs="Arial"/>
          <w:szCs w:val="20"/>
          <w:lang w:val="sl-SI"/>
        </w:rPr>
        <w:t xml:space="preserve">hitreje obravnavane, ker bo organ predhodno zadevo zaključil </w:t>
      </w:r>
      <w:r w:rsidR="00823F9D" w:rsidRPr="00392381">
        <w:rPr>
          <w:rFonts w:eastAsia="Calibri" w:cs="Arial"/>
          <w:szCs w:val="20"/>
          <w:lang w:val="sl-SI"/>
        </w:rPr>
        <w:t xml:space="preserve">prej, </w:t>
      </w:r>
      <w:r w:rsidR="00DB5A83" w:rsidRPr="00392381">
        <w:rPr>
          <w:rFonts w:eastAsia="Calibri" w:cs="Arial"/>
          <w:szCs w:val="20"/>
          <w:lang w:val="sl-SI"/>
        </w:rPr>
        <w:t>saj</w:t>
      </w:r>
      <w:r w:rsidRPr="00392381">
        <w:rPr>
          <w:rFonts w:eastAsia="Calibri" w:cs="Arial"/>
          <w:szCs w:val="20"/>
          <w:lang w:val="sl-SI"/>
        </w:rPr>
        <w:t xml:space="preserve"> ne bo pisal obrazložitve. Z zakonskim pravilom, da stranka lahko zahteva izdajo odločbe s polno obrazložitvijo tudi če se zahtevku ugodi, ni </w:t>
      </w:r>
      <w:r w:rsidRPr="00392381">
        <w:rPr>
          <w:rFonts w:eastAsia="Calibri" w:cs="Arial"/>
          <w:szCs w:val="20"/>
          <w:lang w:val="sl-SI"/>
        </w:rPr>
        <w:lastRenderedPageBreak/>
        <w:t>mogoče govoriti o kakršnemkoli posegu v ustavno zagotovljeno pravico do obrazložene odločbe ali pravic</w:t>
      </w:r>
      <w:r w:rsidR="00DB5A83" w:rsidRPr="00392381">
        <w:rPr>
          <w:rFonts w:eastAsia="Calibri" w:cs="Arial"/>
          <w:szCs w:val="20"/>
          <w:lang w:val="sl-SI"/>
        </w:rPr>
        <w:t xml:space="preserve">o </w:t>
      </w:r>
      <w:r w:rsidRPr="00392381">
        <w:rPr>
          <w:rFonts w:eastAsia="Calibri" w:cs="Arial"/>
          <w:szCs w:val="20"/>
          <w:lang w:val="sl-SI"/>
        </w:rPr>
        <w:t>do pritožbe ali sodnega varstva.</w:t>
      </w:r>
    </w:p>
    <w:p w14:paraId="4E78E2B5" w14:textId="77777777" w:rsidR="00EC5B2E" w:rsidRPr="00392381" w:rsidRDefault="00EC5B2E" w:rsidP="00EC5B2E">
      <w:pPr>
        <w:pStyle w:val="Odstavekseznama"/>
        <w:rPr>
          <w:rFonts w:eastAsia="Calibri" w:cs="Arial"/>
          <w:szCs w:val="20"/>
        </w:rPr>
      </w:pPr>
    </w:p>
    <w:p w14:paraId="3A282292" w14:textId="65AFA540" w:rsidR="00EC5B2E" w:rsidRPr="00392381" w:rsidRDefault="00EC5B2E" w:rsidP="001F0DCF">
      <w:pPr>
        <w:numPr>
          <w:ilvl w:val="0"/>
          <w:numId w:val="34"/>
        </w:numPr>
        <w:jc w:val="both"/>
        <w:rPr>
          <w:rFonts w:eastAsia="Calibri" w:cs="Arial"/>
          <w:szCs w:val="20"/>
          <w:lang w:val="sl-SI"/>
        </w:rPr>
      </w:pPr>
      <w:r w:rsidRPr="00392381">
        <w:rPr>
          <w:rFonts w:eastAsia="Calibri" w:cs="Arial"/>
          <w:szCs w:val="20"/>
          <w:lang w:val="sl-SI"/>
        </w:rPr>
        <w:t xml:space="preserve">izdaja informativne odločbe pomeni način izvrševanja pravice do izjave, ki jo mora organ zagotoviti vedno, ko bi odločba negativno posegla v pravni položaj stranke, zato je nerazumljiv očitek o posegu v ustavne pravice. Vlada je prepričana, da je razumno pričakovanje, da bo stranka, ki ni zadovoljna z </w:t>
      </w:r>
      <w:r w:rsidR="00823F9D" w:rsidRPr="00392381">
        <w:rPr>
          <w:rFonts w:eastAsia="Calibri" w:cs="Arial"/>
          <w:szCs w:val="20"/>
          <w:lang w:val="sl-SI"/>
        </w:rPr>
        <w:t xml:space="preserve">informativno </w:t>
      </w:r>
      <w:r w:rsidRPr="00392381">
        <w:rPr>
          <w:rFonts w:eastAsia="Calibri" w:cs="Arial"/>
          <w:szCs w:val="20"/>
          <w:lang w:val="sl-SI"/>
        </w:rPr>
        <w:t>odločbo, to sporočila organu, ki bo postopek dopolnil ali izdal končno odločbo. Zato tudi na tem mestu ni mogoče govoriti o slabšem položaju stranke po ZUP-I</w:t>
      </w:r>
      <w:r w:rsidR="00823F9D" w:rsidRPr="00392381">
        <w:rPr>
          <w:rFonts w:eastAsia="Calibri" w:cs="Arial"/>
          <w:szCs w:val="20"/>
          <w:lang w:val="sl-SI"/>
        </w:rPr>
        <w:t>,</w:t>
      </w:r>
      <w:r w:rsidRPr="00392381">
        <w:rPr>
          <w:rFonts w:eastAsia="Calibri" w:cs="Arial"/>
          <w:szCs w:val="20"/>
          <w:lang w:val="sl-SI"/>
        </w:rPr>
        <w:t xml:space="preserve"> kot je to po veljavnem zakonu. Tudi po veljavnem zakonu velja, da če stranka ne poda izjave, organ lahko izda odločbo, zato stranka na poziv k izjavi mora reagirati, če želi ovreči ugotovitve organa.</w:t>
      </w:r>
    </w:p>
    <w:p w14:paraId="30C31CD2" w14:textId="77777777" w:rsidR="00EC5B2E" w:rsidRPr="00392381" w:rsidRDefault="00EC5B2E" w:rsidP="00EC5B2E">
      <w:pPr>
        <w:pStyle w:val="Odstavekseznama"/>
        <w:rPr>
          <w:rFonts w:eastAsia="Calibri" w:cs="Arial"/>
          <w:szCs w:val="20"/>
        </w:rPr>
      </w:pPr>
    </w:p>
    <w:p w14:paraId="0AEE40AB" w14:textId="32B4D4EF" w:rsidR="006A2EEE" w:rsidRPr="00392381" w:rsidRDefault="00EC5B2E" w:rsidP="001F0DCF">
      <w:pPr>
        <w:numPr>
          <w:ilvl w:val="0"/>
          <w:numId w:val="34"/>
        </w:numPr>
        <w:jc w:val="both"/>
        <w:rPr>
          <w:rFonts w:eastAsia="Calibri" w:cs="Arial"/>
          <w:szCs w:val="20"/>
          <w:lang w:val="sl-SI"/>
        </w:rPr>
      </w:pPr>
      <w:r w:rsidRPr="00392381">
        <w:rPr>
          <w:rFonts w:eastAsia="Calibri" w:cs="Arial"/>
          <w:szCs w:val="20"/>
          <w:lang w:val="sl-SI"/>
        </w:rPr>
        <w:t xml:space="preserve">ureditev tajnih podatkov, kot je predlagana, zasleduje poštenost postopka in obravnave strank, kadar zaradi varnosti države podatkov ni mogoče razkriti stranki. Kot je poudarilo Evropsko sodišče za človekove pravice, ki ga povzema tudi Ustavno sodišče Republike Slovenije, je omejitev dostopa do tajnih podatkov dopustna in nujna, če bi razkritje ogrozilo varnost države, zato je možnost seznanitve preko pooblaščenega odvetnika (ki ga zagotovi organ, če ga stranka ne postavi sama) razumna in sorazmerna rešitev, ki je izključno v interesu stranke ne pa organa ali oblasti, kot prikazuje Državni svet. </w:t>
      </w:r>
    </w:p>
    <w:p w14:paraId="3D571E8D" w14:textId="77777777" w:rsidR="003C1F52" w:rsidRPr="00392381" w:rsidRDefault="003C1F52" w:rsidP="003C1F52">
      <w:pPr>
        <w:pStyle w:val="Odstavekseznama"/>
        <w:rPr>
          <w:rFonts w:eastAsia="Calibri" w:cs="Arial"/>
          <w:szCs w:val="20"/>
        </w:rPr>
      </w:pPr>
    </w:p>
    <w:p w14:paraId="1D93775E" w14:textId="7E7FF20A" w:rsidR="003C1F52" w:rsidRPr="00392381" w:rsidRDefault="003C1F52" w:rsidP="003C1F52">
      <w:pPr>
        <w:jc w:val="both"/>
        <w:rPr>
          <w:rFonts w:eastAsia="Calibri" w:cs="Arial"/>
          <w:szCs w:val="20"/>
          <w:lang w:val="sl-SI"/>
        </w:rPr>
      </w:pPr>
      <w:r w:rsidRPr="00392381">
        <w:rPr>
          <w:rFonts w:eastAsia="Calibri" w:cs="Arial"/>
          <w:szCs w:val="20"/>
          <w:lang w:val="sl-SI"/>
        </w:rPr>
        <w:t xml:space="preserve">Vlada je prepričana, da je s tem </w:t>
      </w:r>
      <w:r w:rsidR="00DB5A83" w:rsidRPr="00392381">
        <w:rPr>
          <w:rFonts w:eastAsia="Calibri" w:cs="Arial"/>
          <w:szCs w:val="20"/>
          <w:lang w:val="sl-SI"/>
        </w:rPr>
        <w:t xml:space="preserve">in podrobnejšo obrazložitvijo, ki sledi v nadaljevanju, </w:t>
      </w:r>
      <w:r w:rsidRPr="00392381">
        <w:rPr>
          <w:rFonts w:eastAsia="Calibri" w:cs="Arial"/>
          <w:szCs w:val="20"/>
          <w:lang w:val="sl-SI"/>
        </w:rPr>
        <w:t>v celoti ovrgla trdit</w:t>
      </w:r>
      <w:r w:rsidR="00DB5A83" w:rsidRPr="00392381">
        <w:rPr>
          <w:rFonts w:eastAsia="Calibri" w:cs="Arial"/>
          <w:szCs w:val="20"/>
          <w:lang w:val="sl-SI"/>
        </w:rPr>
        <w:t>ve</w:t>
      </w:r>
      <w:r w:rsidRPr="00392381">
        <w:rPr>
          <w:rFonts w:eastAsia="Calibri" w:cs="Arial"/>
          <w:szCs w:val="20"/>
          <w:lang w:val="sl-SI"/>
        </w:rPr>
        <w:t xml:space="preserve">, da predlagane spremembe optimizirajo upravni postopek na račun strank. </w:t>
      </w:r>
    </w:p>
    <w:p w14:paraId="32DAA4A5" w14:textId="77777777" w:rsidR="00BA7BD3" w:rsidRPr="00392381" w:rsidRDefault="00BA7BD3" w:rsidP="00BA7BD3">
      <w:pPr>
        <w:jc w:val="both"/>
        <w:rPr>
          <w:rFonts w:eastAsia="Calibri" w:cs="Arial"/>
          <w:szCs w:val="20"/>
          <w:lang w:val="sl-SI"/>
        </w:rPr>
      </w:pPr>
    </w:p>
    <w:p w14:paraId="31D09E75" w14:textId="2C0063E6" w:rsidR="00EC5B2E" w:rsidRPr="00392381" w:rsidRDefault="00EC5B2E" w:rsidP="00BA7BD3">
      <w:pPr>
        <w:jc w:val="both"/>
        <w:rPr>
          <w:rFonts w:eastAsia="Calibri" w:cs="Arial"/>
          <w:szCs w:val="20"/>
          <w:lang w:val="sl-SI"/>
        </w:rPr>
      </w:pPr>
      <w:r w:rsidRPr="00392381">
        <w:rPr>
          <w:rFonts w:eastAsia="Calibri" w:cs="Arial"/>
          <w:szCs w:val="20"/>
          <w:lang w:val="sl-SI"/>
        </w:rPr>
        <w:t xml:space="preserve">Državni svet zapiše tudi, da bodo spremembe ZUP povečale število upravnih sporov. Takšna </w:t>
      </w:r>
      <w:r w:rsidR="00B56A2D" w:rsidRPr="00392381">
        <w:rPr>
          <w:rFonts w:eastAsia="Calibri" w:cs="Arial"/>
          <w:szCs w:val="20"/>
          <w:lang w:val="sl-SI"/>
        </w:rPr>
        <w:t xml:space="preserve">domneva je neosnovana in ne temelji na dejstvih. Ob tem ne upošteva, da je večina upravnih postopov dvostopenjskih, kar pomeni, da se bodo morebitni očitki najprej preizkusili na </w:t>
      </w:r>
      <w:proofErr w:type="spellStart"/>
      <w:r w:rsidR="00B56A2D" w:rsidRPr="00392381">
        <w:rPr>
          <w:rFonts w:eastAsia="Calibri" w:cs="Arial"/>
          <w:szCs w:val="20"/>
          <w:lang w:val="sl-SI"/>
        </w:rPr>
        <w:t>instančni</w:t>
      </w:r>
      <w:proofErr w:type="spellEnd"/>
      <w:r w:rsidR="00B56A2D" w:rsidRPr="00392381">
        <w:rPr>
          <w:rFonts w:eastAsia="Calibri" w:cs="Arial"/>
          <w:szCs w:val="20"/>
          <w:lang w:val="sl-SI"/>
        </w:rPr>
        <w:t xml:space="preserve"> ravni pred pritožbenim organom, šele na to bo zadeva lahko prišla pred sodišče. Ob tem Vlada sicer želi spomniti, da se v koledarskem letu vodi več kot 10 milijonov upravnih postopkov, sodišče pa prejme okrog 3000 tožb, zato se zdi tudi s tega vidika razumen cilj poenostavitev postopkov skozi procesne norme. Toda ob tem Vlada ponovno poudarja, da ob zakonitem izvrševanju ZUP-I to samo po sebi ne bo ustvarjalo procesnih kršitev, zato sklepanje na večje število pravnih sredstev ni prepričljivo</w:t>
      </w:r>
      <w:r w:rsidR="00DB5A83" w:rsidRPr="00392381">
        <w:rPr>
          <w:rFonts w:eastAsia="Calibri" w:cs="Arial"/>
          <w:szCs w:val="20"/>
          <w:lang w:val="sl-SI"/>
        </w:rPr>
        <w:t xml:space="preserve">, pač pa predstavlja le predvidevanje brez realne podlage. </w:t>
      </w:r>
    </w:p>
    <w:p w14:paraId="5FFB2EB5" w14:textId="77777777" w:rsidR="00B56A2D" w:rsidRPr="00392381" w:rsidRDefault="00B56A2D" w:rsidP="00BA7BD3">
      <w:pPr>
        <w:jc w:val="both"/>
        <w:rPr>
          <w:rFonts w:eastAsia="Calibri" w:cs="Arial"/>
          <w:szCs w:val="20"/>
          <w:lang w:val="sl-SI"/>
        </w:rPr>
      </w:pPr>
    </w:p>
    <w:p w14:paraId="0B2499D8" w14:textId="6777A59B" w:rsidR="00B56A2D" w:rsidRPr="00392381" w:rsidRDefault="00B56A2D" w:rsidP="00BA7BD3">
      <w:pPr>
        <w:jc w:val="both"/>
        <w:rPr>
          <w:rFonts w:eastAsia="Calibri" w:cs="Arial"/>
          <w:szCs w:val="20"/>
          <w:lang w:val="sl-SI"/>
        </w:rPr>
      </w:pPr>
      <w:r w:rsidRPr="00392381">
        <w:rPr>
          <w:rFonts w:eastAsia="Calibri" w:cs="Arial"/>
          <w:szCs w:val="20"/>
          <w:lang w:val="sl-SI"/>
        </w:rPr>
        <w:t xml:space="preserve">Na načelni ravni Vlada zavrača tudi </w:t>
      </w:r>
      <w:r w:rsidR="00DB5A83" w:rsidRPr="00392381">
        <w:rPr>
          <w:rFonts w:eastAsia="Calibri" w:cs="Arial"/>
          <w:szCs w:val="20"/>
          <w:lang w:val="sl-SI"/>
        </w:rPr>
        <w:t xml:space="preserve">pavšalno </w:t>
      </w:r>
      <w:r w:rsidRPr="00392381">
        <w:rPr>
          <w:rFonts w:eastAsia="Calibri" w:cs="Arial"/>
          <w:szCs w:val="20"/>
          <w:lang w:val="sl-SI"/>
        </w:rPr>
        <w:t>stališče, da ZUP-I ne zagotavlja zahtev po jasnosti in določnosti zaradi pomanjkljive obrazložitve. Zakonsko gradivo, ki ga je Vlada poslala v Državni zbor</w:t>
      </w:r>
      <w:r w:rsidR="00DB5A83" w:rsidRPr="00392381">
        <w:rPr>
          <w:rFonts w:eastAsia="Calibri" w:cs="Arial"/>
          <w:szCs w:val="20"/>
          <w:lang w:val="sl-SI"/>
        </w:rPr>
        <w:t>,</w:t>
      </w:r>
      <w:r w:rsidRPr="00392381">
        <w:rPr>
          <w:rFonts w:eastAsia="Calibri" w:cs="Arial"/>
          <w:szCs w:val="20"/>
          <w:lang w:val="sl-SI"/>
        </w:rPr>
        <w:t xml:space="preserve"> obsega 117 strani</w:t>
      </w:r>
      <w:r w:rsidR="00DB5A83" w:rsidRPr="00392381">
        <w:rPr>
          <w:rFonts w:eastAsia="Calibri" w:cs="Arial"/>
          <w:szCs w:val="20"/>
          <w:lang w:val="sl-SI"/>
        </w:rPr>
        <w:t>,</w:t>
      </w:r>
      <w:r w:rsidRPr="00392381">
        <w:rPr>
          <w:rFonts w:eastAsia="Calibri" w:cs="Arial"/>
          <w:szCs w:val="20"/>
          <w:lang w:val="sl-SI"/>
        </w:rPr>
        <w:t xml:space="preserve"> od tega je normativno besedilo na 24 straneh</w:t>
      </w:r>
      <w:r w:rsidR="00F926D0" w:rsidRPr="00392381">
        <w:rPr>
          <w:rFonts w:eastAsia="Calibri" w:cs="Arial"/>
          <w:szCs w:val="20"/>
          <w:lang w:val="sl-SI"/>
        </w:rPr>
        <w:t>, zato ni mogoče reči, da obrazložitev zgolj povzema vsebino člena</w:t>
      </w:r>
      <w:r w:rsidR="00DB5A83" w:rsidRPr="00392381">
        <w:rPr>
          <w:rFonts w:eastAsia="Calibri" w:cs="Arial"/>
          <w:szCs w:val="20"/>
          <w:lang w:val="sl-SI"/>
        </w:rPr>
        <w:t>.</w:t>
      </w:r>
      <w:r w:rsidR="00F926D0" w:rsidRPr="00392381">
        <w:rPr>
          <w:rFonts w:eastAsia="Calibri" w:cs="Arial"/>
          <w:szCs w:val="20"/>
          <w:lang w:val="sl-SI"/>
        </w:rPr>
        <w:t xml:space="preserve"> Toliko bolj, ker se je Vlada še podrobneje kot v gradivu zakona, do navedb Zakonodajno-pravne službe opredelila v zgoraj omenjenem gradivu.</w:t>
      </w:r>
    </w:p>
    <w:p w14:paraId="5B797126" w14:textId="77777777" w:rsidR="003C1F52" w:rsidRPr="00392381" w:rsidRDefault="003C1F52" w:rsidP="00BA7BD3">
      <w:pPr>
        <w:jc w:val="both"/>
        <w:rPr>
          <w:rFonts w:eastAsia="Calibri" w:cs="Arial"/>
          <w:szCs w:val="20"/>
          <w:lang w:val="sl-SI"/>
        </w:rPr>
      </w:pPr>
    </w:p>
    <w:p w14:paraId="7ABDE9F2" w14:textId="0BD6D5DE" w:rsidR="003C1F52" w:rsidRPr="00392381" w:rsidRDefault="003C1F52" w:rsidP="00BA7BD3">
      <w:pPr>
        <w:jc w:val="both"/>
        <w:rPr>
          <w:rFonts w:eastAsia="Calibri" w:cs="Arial"/>
          <w:szCs w:val="20"/>
          <w:lang w:val="sl-SI"/>
        </w:rPr>
      </w:pPr>
      <w:r w:rsidRPr="00392381">
        <w:rPr>
          <w:rFonts w:eastAsia="Calibri" w:cs="Arial"/>
          <w:szCs w:val="20"/>
          <w:lang w:val="sl-SI"/>
        </w:rPr>
        <w:t xml:space="preserve">Vlada na tem mestu opozarja, da Državni svet v zahtevi za ponovno glasovanje predlaga celo zahtevo za vzpostavitev fikcije pozitivne odločitve, če odločitev ni izdana v zakonitem roku. Predlog ni v ničemer povezan z zahtevo za ponovno glasovanje, niti ga v tej fazi postopka ni mogoče podajati, zato namen </w:t>
      </w:r>
      <w:r w:rsidR="00F926D0" w:rsidRPr="00392381">
        <w:rPr>
          <w:rFonts w:eastAsia="Calibri" w:cs="Arial"/>
          <w:szCs w:val="20"/>
          <w:lang w:val="sl-SI"/>
        </w:rPr>
        <w:t xml:space="preserve">zahteve </w:t>
      </w:r>
      <w:r w:rsidRPr="00392381">
        <w:rPr>
          <w:rFonts w:eastAsia="Calibri" w:cs="Arial"/>
          <w:szCs w:val="20"/>
          <w:lang w:val="sl-SI"/>
        </w:rPr>
        <w:t xml:space="preserve">ni jasen. Tudi sicer je Vlada do predloga zadržana, saj bi z njimi ustvarili </w:t>
      </w:r>
      <w:r w:rsidR="00F926D0" w:rsidRPr="00392381">
        <w:rPr>
          <w:rFonts w:eastAsia="Calibri" w:cs="Arial"/>
          <w:szCs w:val="20"/>
          <w:lang w:val="sl-SI"/>
        </w:rPr>
        <w:t>nepredvidljive</w:t>
      </w:r>
      <w:r w:rsidRPr="00392381">
        <w:rPr>
          <w:rFonts w:eastAsia="Calibri" w:cs="Arial"/>
          <w:szCs w:val="20"/>
          <w:lang w:val="sl-SI"/>
        </w:rPr>
        <w:t xml:space="preserve"> in nepopravljive posledice za (nasprotne) stranke, stranske udeležence in javni interes, zato je </w:t>
      </w:r>
      <w:r w:rsidR="007B5836" w:rsidRPr="00392381">
        <w:rPr>
          <w:rFonts w:eastAsia="Calibri" w:cs="Arial"/>
          <w:szCs w:val="20"/>
          <w:lang w:val="sl-SI"/>
        </w:rPr>
        <w:t>o</w:t>
      </w:r>
      <w:r w:rsidRPr="00392381">
        <w:rPr>
          <w:rFonts w:eastAsia="Calibri" w:cs="Arial"/>
          <w:szCs w:val="20"/>
          <w:lang w:val="sl-SI"/>
        </w:rPr>
        <w:t xml:space="preserve"> tovrstnih rešitvah treba razmišljati v področnih zakonih</w:t>
      </w:r>
      <w:r w:rsidR="007B5836" w:rsidRPr="00392381">
        <w:rPr>
          <w:rFonts w:eastAsia="Calibri" w:cs="Arial"/>
          <w:szCs w:val="20"/>
          <w:lang w:val="sl-SI"/>
        </w:rPr>
        <w:t>, na podlagi predhodnih analiz,</w:t>
      </w:r>
      <w:r w:rsidRPr="00392381">
        <w:rPr>
          <w:rFonts w:eastAsia="Calibri" w:cs="Arial"/>
          <w:szCs w:val="20"/>
          <w:lang w:val="sl-SI"/>
        </w:rPr>
        <w:t xml:space="preserve"> ne pa v splošnem kot je ZUP. </w:t>
      </w:r>
      <w:r w:rsidR="00A20C43" w:rsidRPr="00392381">
        <w:rPr>
          <w:rFonts w:eastAsia="Calibri" w:cs="Arial"/>
          <w:szCs w:val="20"/>
          <w:lang w:val="sl-SI"/>
        </w:rPr>
        <w:t>Ker zahteva izrecno izpostavlja gradbene zadeve, je treba opozoriti, da v noveli Gradbenega zakona takšna rešitev ni bila uporabljena, čeprav bi sodila tja</w:t>
      </w:r>
      <w:r w:rsidR="003373E6" w:rsidRPr="00392381">
        <w:rPr>
          <w:rFonts w:eastAsia="Calibri" w:cs="Arial"/>
          <w:szCs w:val="20"/>
          <w:lang w:val="sl-SI"/>
        </w:rPr>
        <w:t>,</w:t>
      </w:r>
      <w:r w:rsidR="00A20C43" w:rsidRPr="00392381">
        <w:rPr>
          <w:rFonts w:eastAsia="Calibri" w:cs="Arial"/>
          <w:szCs w:val="20"/>
          <w:lang w:val="sl-SI"/>
        </w:rPr>
        <w:t xml:space="preserve"> ne pa v splošni zakon. </w:t>
      </w:r>
    </w:p>
    <w:p w14:paraId="0BC49DA6" w14:textId="3B9B3BE2" w:rsidR="00C16801" w:rsidRPr="00392381" w:rsidRDefault="00D56485" w:rsidP="00167FF8">
      <w:pPr>
        <w:jc w:val="both"/>
        <w:rPr>
          <w:rFonts w:eastAsia="Calibri" w:cs="Arial"/>
          <w:szCs w:val="20"/>
          <w:lang w:val="sl-SI"/>
        </w:rPr>
      </w:pPr>
      <w:r w:rsidRPr="00392381">
        <w:rPr>
          <w:rFonts w:eastAsia="Calibri" w:cs="Arial"/>
          <w:szCs w:val="20"/>
          <w:lang w:val="sl-SI"/>
        </w:rPr>
        <w:t xml:space="preserve"> </w:t>
      </w:r>
    </w:p>
    <w:p w14:paraId="4C75BFFD" w14:textId="15BD5783" w:rsidR="00167FF8" w:rsidRPr="00392381" w:rsidRDefault="00B56A2D" w:rsidP="00167FF8">
      <w:pPr>
        <w:jc w:val="both"/>
        <w:rPr>
          <w:rFonts w:eastAsia="Calibri" w:cs="Arial"/>
          <w:szCs w:val="20"/>
          <w:lang w:val="sl-SI"/>
        </w:rPr>
      </w:pPr>
      <w:r w:rsidRPr="00392381">
        <w:rPr>
          <w:rFonts w:eastAsia="Calibri" w:cs="Arial"/>
          <w:szCs w:val="20"/>
          <w:lang w:val="sl-SI"/>
        </w:rPr>
        <w:t xml:space="preserve">V nadaljevanju se Vlada podrobneje opredeljuje do očitkov o posameznih procesnih institutih: </w:t>
      </w:r>
    </w:p>
    <w:p w14:paraId="3009AABB" w14:textId="77777777" w:rsidR="00167FF8" w:rsidRPr="00392381" w:rsidRDefault="00167FF8" w:rsidP="00167FF8">
      <w:pPr>
        <w:jc w:val="both"/>
        <w:rPr>
          <w:rFonts w:eastAsia="Calibri" w:cs="Arial"/>
          <w:szCs w:val="20"/>
          <w:lang w:val="sl-SI"/>
        </w:rPr>
      </w:pPr>
    </w:p>
    <w:p w14:paraId="1E24B30C" w14:textId="77777777" w:rsidR="00D53855" w:rsidRPr="00392381" w:rsidRDefault="00D53855" w:rsidP="00167FF8">
      <w:pPr>
        <w:jc w:val="both"/>
        <w:rPr>
          <w:rFonts w:eastAsia="Calibri" w:cs="Arial"/>
          <w:szCs w:val="20"/>
          <w:lang w:val="sl-SI"/>
        </w:rPr>
      </w:pPr>
    </w:p>
    <w:p w14:paraId="32CCE66D" w14:textId="68ED0EBD" w:rsidR="00167FF8" w:rsidRPr="00392381" w:rsidRDefault="00454685" w:rsidP="001C689B">
      <w:pPr>
        <w:numPr>
          <w:ilvl w:val="0"/>
          <w:numId w:val="33"/>
        </w:numPr>
        <w:jc w:val="both"/>
        <w:rPr>
          <w:rFonts w:eastAsia="Calibri" w:cs="Arial"/>
          <w:b/>
          <w:bCs/>
          <w:szCs w:val="20"/>
          <w:lang w:val="sl-SI"/>
        </w:rPr>
      </w:pPr>
      <w:r w:rsidRPr="00392381">
        <w:rPr>
          <w:rFonts w:eastAsia="Calibri" w:cs="Arial"/>
          <w:b/>
          <w:bCs/>
          <w:szCs w:val="20"/>
          <w:lang w:val="sl-SI"/>
        </w:rPr>
        <w:t xml:space="preserve">Jezik v postopku – jezikovni </w:t>
      </w:r>
      <w:r w:rsidR="001C689B" w:rsidRPr="00392381">
        <w:rPr>
          <w:rFonts w:eastAsia="Calibri" w:cs="Arial"/>
          <w:b/>
          <w:bCs/>
          <w:szCs w:val="20"/>
          <w:lang w:val="sl-SI"/>
        </w:rPr>
        <w:t>pomočnik</w:t>
      </w:r>
    </w:p>
    <w:p w14:paraId="6C6C20E1" w14:textId="77777777" w:rsidR="00454685" w:rsidRPr="00392381" w:rsidRDefault="00454685" w:rsidP="00454685">
      <w:pPr>
        <w:jc w:val="both"/>
        <w:rPr>
          <w:rFonts w:eastAsia="Calibri" w:cs="Arial"/>
          <w:szCs w:val="20"/>
          <w:lang w:val="sl-SI"/>
        </w:rPr>
      </w:pPr>
    </w:p>
    <w:p w14:paraId="4C48B48A" w14:textId="56B13046" w:rsidR="00454685" w:rsidRPr="00392381" w:rsidRDefault="00454685" w:rsidP="00454685">
      <w:pPr>
        <w:autoSpaceDE w:val="0"/>
        <w:autoSpaceDN w:val="0"/>
        <w:adjustRightInd w:val="0"/>
        <w:jc w:val="both"/>
        <w:rPr>
          <w:rFonts w:cs="Arial"/>
          <w:b/>
          <w:bCs/>
          <w:szCs w:val="20"/>
          <w:lang w:val="sl-SI"/>
        </w:rPr>
      </w:pPr>
      <w:r w:rsidRPr="00392381">
        <w:rPr>
          <w:rFonts w:cs="Arial"/>
          <w:b/>
          <w:bCs/>
          <w:szCs w:val="20"/>
          <w:lang w:val="sl-SI"/>
        </w:rPr>
        <w:t xml:space="preserve">Novi institut t. i. jezikovnega pomočnika, tako kot že uveljavljen institut tolmača, zasleduje isti cilj, to je zagotavljanje ustavne pravice iz 62. člena Ustave stranki ali drugemu </w:t>
      </w:r>
      <w:r w:rsidRPr="00392381">
        <w:rPr>
          <w:rFonts w:cs="Arial"/>
          <w:b/>
          <w:bCs/>
          <w:szCs w:val="20"/>
          <w:lang w:val="sl-SI"/>
        </w:rPr>
        <w:lastRenderedPageBreak/>
        <w:t xml:space="preserve">udeležencu, ki ne zna jezika, v katerem teče postopek, spremljati postopek in dajati izjave v svojem jeziku. Gre le za drugačen način izvrševanja te pravice, ki pa ga ZUP zgolj omogoča in ne zapoveduje. Tako za tolmača, ki ga ZUP že ureja, kot za jezikovnega pomočnika, zakon ne predvideva nobenih zahtev glede jezikovnega znanja, zato sta glede formalnih zahtev v zvezi z izobrazbo oziroma usposobljenostjo tolmač in jezikovni pomočnik v enakem položaju, prav tako z vidika stroškov postopka. Smiselnost postavitve jezikovnega pomočnika je podana, kadar ga stranka pripelje s seboj, pa narava upravne zadeve ne zahteva postavitve tolmača, ker po presoji uradne osebe jezikovni pomočnik lahko pomaga stranki pri komunikaciji z organom. </w:t>
      </w:r>
    </w:p>
    <w:p w14:paraId="504F1966" w14:textId="77777777" w:rsidR="00454685" w:rsidRPr="00392381" w:rsidRDefault="00454685" w:rsidP="00454685">
      <w:pPr>
        <w:autoSpaceDE w:val="0"/>
        <w:autoSpaceDN w:val="0"/>
        <w:adjustRightInd w:val="0"/>
        <w:jc w:val="both"/>
        <w:rPr>
          <w:rFonts w:cs="Arial"/>
          <w:b/>
          <w:bCs/>
          <w:szCs w:val="20"/>
          <w:lang w:val="sl-SI"/>
        </w:rPr>
      </w:pPr>
    </w:p>
    <w:p w14:paraId="06F4E0FC" w14:textId="77777777" w:rsidR="00454685" w:rsidRPr="00392381" w:rsidRDefault="00454685" w:rsidP="00454685">
      <w:pPr>
        <w:autoSpaceDE w:val="0"/>
        <w:autoSpaceDN w:val="0"/>
        <w:adjustRightInd w:val="0"/>
        <w:jc w:val="both"/>
        <w:rPr>
          <w:rFonts w:cs="Arial"/>
          <w:szCs w:val="20"/>
          <w:lang w:val="sl-SI"/>
        </w:rPr>
      </w:pPr>
      <w:r w:rsidRPr="00392381">
        <w:rPr>
          <w:rFonts w:cs="Arial"/>
          <w:szCs w:val="20"/>
          <w:lang w:val="sl-SI"/>
        </w:rPr>
        <w:t>Državni svet v zvezi z institutom jezikovnega pomočnika opozarja, da ureditev odpira možnosti za neenakopravno obravnavo strank, saj ni določenih minimalnih zahtev glede jezikovnega znanja in jasnih kriterijev za presojo smiselnosti, kar je v nasprotju s 14. členom Ustave.</w:t>
      </w:r>
    </w:p>
    <w:p w14:paraId="7B67E69B" w14:textId="77777777" w:rsidR="00454685" w:rsidRPr="00392381" w:rsidRDefault="00454685" w:rsidP="00454685">
      <w:pPr>
        <w:autoSpaceDE w:val="0"/>
        <w:autoSpaceDN w:val="0"/>
        <w:adjustRightInd w:val="0"/>
        <w:jc w:val="both"/>
        <w:rPr>
          <w:rFonts w:cs="Arial"/>
          <w:b/>
          <w:bCs/>
          <w:szCs w:val="20"/>
          <w:lang w:val="sl-SI"/>
        </w:rPr>
      </w:pPr>
    </w:p>
    <w:p w14:paraId="5C06B7F3" w14:textId="4A4CBCC5" w:rsidR="00454685" w:rsidRPr="00392381" w:rsidRDefault="00454685" w:rsidP="00454685">
      <w:pPr>
        <w:autoSpaceDE w:val="0"/>
        <w:autoSpaceDN w:val="0"/>
        <w:adjustRightInd w:val="0"/>
        <w:jc w:val="both"/>
        <w:rPr>
          <w:rFonts w:cs="Arial"/>
          <w:szCs w:val="20"/>
          <w:lang w:val="sl-SI"/>
        </w:rPr>
      </w:pPr>
      <w:r w:rsidRPr="00392381">
        <w:rPr>
          <w:rFonts w:cs="Arial"/>
          <w:szCs w:val="20"/>
          <w:lang w:val="sl-SI"/>
        </w:rPr>
        <w:t xml:space="preserve">Nova ureditev omogoča, da stranka ali drugi udeleženec k procesnemu dejanju pripelje osebo, ki ji zaupa, za pomoč pri neposredni komunikaciji z organom oziroma uradno osebo, če ne pozna uradnega jezika, v katerem teče postopek oziroma posluje organ. Stranke in drugi udeleženci, ki ne govorijo uradnega jezika, namreč v praksi pogosto prihajajo k upravnemu organu s sorodniki, znanci, prijatelji, da bi jim ti pomagali pri komunikaciji, vendar jim po togi veljavni ureditvi ne morejo, ker je treba postaviti tolmača. Novi institut jezikovnega pomočnika, tako kot že uveljavljen institut tolmača, zasleduje isti cilj, to je zagotavljanje ustavne pravice stranke ali drugega udeleženca, ki ne zna jezika, v katerem teče postopek, ki jo določa 62. člen Ustave, spremljati ugotovitveni postopek in dajati izjave v svojem jeziku. Gre torej le za drugačen način zagotavljanja te pravice, ki pa ga ZUP zgolj omogoča in ne zapoveduje. Uradna oseba se v postopku vedno lahko odloči, da bo stranki ali drugemu udeležencu postavila tolmača in ne bo sledila želji stranke po pomoči pri komunikaciji s strani jezikovnega pomočnika. Ob dejstvu, da tako za tolmača, kot tudi za jezikovnega pomočnika, ZUP ne predpisuje nobenih formalnih zahtev glede jezikovne izobrazbe, saj lahko v upravnem postopku kot tolmač sodeluje vsaka oseba, ki po prepričanju uradne osebe pozna uradni jezik in tuji jezik, ki ga je treba prevajati, sta glede formalnih zahtev v zvezi z izobrazbo oziroma ustrezno usposobljenostjo tolmač in jezikovni pomočnik v enakem položaju. </w:t>
      </w:r>
      <w:r w:rsidR="00A362E4" w:rsidRPr="00392381">
        <w:rPr>
          <w:rFonts w:cs="Arial"/>
          <w:szCs w:val="20"/>
          <w:lang w:val="sl-SI"/>
        </w:rPr>
        <w:t xml:space="preserve">Glede na to, da je na podlagi presoje uradne osebe dopustna postavitev (uradnega) tolmača, ni ovir, da uradna oseba ne bi mogla presoditi sposobnosti potencialnega jezikovnega pomočnika v smislu, ali lahko verodostojno pomaga stranka pri komunikaciji, toliko bolj ker je pomoč pogojena z voljo stranke in njenim zaupanjem jezikovnemu pomočniku. Uradna oseba bo morebitno odločitev o </w:t>
      </w:r>
      <w:proofErr w:type="spellStart"/>
      <w:r w:rsidR="00A362E4" w:rsidRPr="00392381">
        <w:rPr>
          <w:rFonts w:cs="Arial"/>
          <w:szCs w:val="20"/>
          <w:lang w:val="sl-SI"/>
        </w:rPr>
        <w:t>nedopustitvi</w:t>
      </w:r>
      <w:proofErr w:type="spellEnd"/>
      <w:r w:rsidR="00A362E4" w:rsidRPr="00392381">
        <w:rPr>
          <w:rFonts w:cs="Arial"/>
          <w:szCs w:val="20"/>
          <w:lang w:val="sl-SI"/>
        </w:rPr>
        <w:t xml:space="preserve"> komunikacije preko jezikovnega pomočnik morala utemeljiti v odločbi, zato v primeru, da narava zadeve ali znanje potencialnega jezikovnega pomočnika ne omogoča varstva pravic strank ali javnega interesa, ni mogoče govoriti o kršitvi načela enakosti iz 14. člena Ustave. </w:t>
      </w:r>
      <w:r w:rsidRPr="00392381">
        <w:rPr>
          <w:rFonts w:cs="Arial"/>
          <w:szCs w:val="20"/>
          <w:lang w:val="sl-SI"/>
        </w:rPr>
        <w:t xml:space="preserve">Prav tako sta tolmač in jezikovni pomočnik izenačena z vidika stroškov postopka, saj je strošek jezikovnega pomočnika poseben strošek postopka, enako kot izdatki, povezani s tolmačem. </w:t>
      </w:r>
    </w:p>
    <w:p w14:paraId="08CBD7FF" w14:textId="77777777" w:rsidR="00454685" w:rsidRPr="00392381" w:rsidRDefault="00454685" w:rsidP="00454685">
      <w:pPr>
        <w:autoSpaceDE w:val="0"/>
        <w:autoSpaceDN w:val="0"/>
        <w:adjustRightInd w:val="0"/>
        <w:jc w:val="both"/>
        <w:rPr>
          <w:rFonts w:cs="Arial"/>
          <w:szCs w:val="20"/>
          <w:lang w:val="sl-SI"/>
        </w:rPr>
      </w:pPr>
    </w:p>
    <w:p w14:paraId="0F2A08A3" w14:textId="36187887" w:rsidR="00454685" w:rsidRPr="00392381" w:rsidRDefault="00454685" w:rsidP="00454685">
      <w:pPr>
        <w:autoSpaceDE w:val="0"/>
        <w:autoSpaceDN w:val="0"/>
        <w:adjustRightInd w:val="0"/>
        <w:jc w:val="both"/>
        <w:rPr>
          <w:rFonts w:cs="Arial"/>
          <w:szCs w:val="20"/>
          <w:lang w:val="sl-SI"/>
        </w:rPr>
      </w:pPr>
      <w:r w:rsidRPr="00392381">
        <w:rPr>
          <w:rFonts w:cs="Arial"/>
          <w:szCs w:val="20"/>
          <w:lang w:val="sl-SI"/>
        </w:rPr>
        <w:t xml:space="preserve">Kolikor se ob novi ureditvi pojavi dilema, zakaj sploh uvesti institut jezikovnega pomočnika, </w:t>
      </w:r>
      <w:r w:rsidR="003373E6" w:rsidRPr="00392381">
        <w:rPr>
          <w:rFonts w:cs="Arial"/>
          <w:szCs w:val="20"/>
          <w:lang w:val="sl-SI"/>
        </w:rPr>
        <w:t>Vlada pojasnjuje</w:t>
      </w:r>
      <w:r w:rsidRPr="00392381">
        <w:rPr>
          <w:rFonts w:cs="Arial"/>
          <w:szCs w:val="20"/>
          <w:lang w:val="sl-SI"/>
        </w:rPr>
        <w:t>, da se v določenih vidikih oba instituta tudi razlikujeta: tolmača določi uradna oseba s sklepom, v zvezi s čimer je treba dati predhodno stranki možnost, da se izjavi o tem, kdo naj bo tolmač. Pri tem mora organ po uradni dolžnosti paziti še na pravila o nepristranskosti, ki ga vežejo enako kot v primeru postavitve izvedenca, zato za tolmača ne more biti imenovana oseba, ki je  zaradi razlogov osebne ali sorodstvene narave pristranska. V sklepu se tudi opredeli njegovo nalogo v konkretnem postopku in časovni obseg sodelovanja v postopku. Jezikovnega pomočnika po drugi strani pripelje stranka ali drug udeleženec s seboj, uradna oseba pa lahko dovoli, da mu le-ta pomaga pri komunikaciji pri uradnem dejanju v postopku z uradno osebo oziroma z morebitnimi drugimi udeleženci v postopku.</w:t>
      </w:r>
      <w:r w:rsidRPr="00392381">
        <w:rPr>
          <w:lang w:val="sl-SI"/>
        </w:rPr>
        <w:t xml:space="preserve"> </w:t>
      </w:r>
      <w:r w:rsidRPr="00392381">
        <w:rPr>
          <w:rFonts w:cs="Arial"/>
          <w:szCs w:val="20"/>
          <w:lang w:val="sl-SI"/>
        </w:rPr>
        <w:t xml:space="preserve">Jezikovnega pomočnika torej uradna oseba ne postavi s sklepom, pač pa lahko zgolj dovoli njegovo pomoč stranki ali drugemu udeležencu, če ga ta pripelje s sabo, ker mu zaupa, da mu bo ustrezno prevajal. Jezikovni pomočnik je lahko tudi sorodnik stranke, kar za izvedenca (in tudi tolmača) praviloma ne velja. Za pravilnost prevajanja oziroma podajanja izjav jezikovnega pomočnika uradna oseba ne odgovarja, kar je logična posledica tega, da ga ni imenovala, pač pa je stranki zgolj »dopustila«, </w:t>
      </w:r>
      <w:r w:rsidRPr="00392381">
        <w:rPr>
          <w:rFonts w:cs="Arial"/>
          <w:szCs w:val="20"/>
          <w:lang w:val="sl-SI"/>
        </w:rPr>
        <w:lastRenderedPageBreak/>
        <w:t>da ji pomaga pri komunikaciji. Ker tolmača določi organ, ta tudi odgovarja za njegovo izbiro, če bi bilo ugotovljeno, da ne prevaja pravilno in ustrezno.</w:t>
      </w:r>
    </w:p>
    <w:p w14:paraId="5A9A1521" w14:textId="77777777" w:rsidR="00454685" w:rsidRPr="00392381" w:rsidRDefault="00454685" w:rsidP="00454685">
      <w:pPr>
        <w:autoSpaceDE w:val="0"/>
        <w:autoSpaceDN w:val="0"/>
        <w:adjustRightInd w:val="0"/>
        <w:jc w:val="both"/>
        <w:rPr>
          <w:rFonts w:cs="Arial"/>
          <w:szCs w:val="20"/>
          <w:lang w:val="sl-SI"/>
        </w:rPr>
      </w:pPr>
    </w:p>
    <w:p w14:paraId="64296A81" w14:textId="3A97E23B" w:rsidR="00454685" w:rsidRPr="00392381" w:rsidRDefault="00454685" w:rsidP="00454685">
      <w:pPr>
        <w:autoSpaceDE w:val="0"/>
        <w:autoSpaceDN w:val="0"/>
        <w:adjustRightInd w:val="0"/>
        <w:jc w:val="both"/>
        <w:rPr>
          <w:rFonts w:cs="Arial"/>
          <w:szCs w:val="20"/>
          <w:lang w:val="sl-SI"/>
        </w:rPr>
      </w:pPr>
      <w:r w:rsidRPr="00392381">
        <w:rPr>
          <w:rFonts w:cs="Arial"/>
          <w:szCs w:val="20"/>
          <w:lang w:val="sl-SI"/>
        </w:rPr>
        <w:t xml:space="preserve">Oceno smiselnosti sodelovanja jezikovnega pomočnika, ki jo zakon določa kot kriterij za njegovo postavitev, uradna oseba oblikuje glede na konkretno situacijo, in sicer glede na zahtevnost oziroma kompleksnost konkretne upravne zadeve in tudi samo procesno dejanje, pri katerem se predlaga pomoč jezikovnega pomočnika. Poleg tega je ocena organa odvisna tudi od hitrosti oziroma nujnosti izvedbe postopka – če gre npr. za upravno zadevo, v kateri se </w:t>
      </w:r>
      <w:r w:rsidR="001B2051" w:rsidRPr="00392381">
        <w:rPr>
          <w:rFonts w:cs="Arial"/>
          <w:szCs w:val="20"/>
          <w:lang w:val="sl-SI"/>
        </w:rPr>
        <w:t xml:space="preserve">pri ugotavljanju dejanskega stanja </w:t>
      </w:r>
      <w:r w:rsidRPr="00392381">
        <w:rPr>
          <w:rFonts w:cs="Arial"/>
          <w:szCs w:val="20"/>
          <w:lang w:val="sl-SI"/>
        </w:rPr>
        <w:t>ne uporabljajo zapleteni strokovni izrazi in se kot dokaz ne obravnavajo zahtevne študije ali elaborati, stranka oziroma drug udeleženec pa želi hkrati čim hitrejši zaključek postopka, pri čemer uradna oseba v pogovoru z jezikovnim pomočnikom presodi, da bo ustrezno pomagal stranki pri komunikaciji v postopku, lahko dovoli stranki, da ji le-ta pomaga. Če kompleksna narava zadeve oziroma procesnega dejanja terja sodelovanje tolmača, ki ima ustrezne kompetence in izkušnje pri prevajanju na določenem področju, bo uradna oseba, zaradi varstva pravic stranke in varstva javnega interesa, predvidoma določila ustreznega tolmača.</w:t>
      </w:r>
    </w:p>
    <w:p w14:paraId="23E7B6B3" w14:textId="77777777" w:rsidR="00454685" w:rsidRPr="00392381" w:rsidRDefault="00454685" w:rsidP="00454685">
      <w:pPr>
        <w:autoSpaceDE w:val="0"/>
        <w:autoSpaceDN w:val="0"/>
        <w:adjustRightInd w:val="0"/>
        <w:jc w:val="both"/>
        <w:rPr>
          <w:rFonts w:cs="Arial"/>
          <w:szCs w:val="20"/>
          <w:lang w:val="sl-SI"/>
        </w:rPr>
      </w:pPr>
    </w:p>
    <w:p w14:paraId="0B58B0B8" w14:textId="4E8C8D93" w:rsidR="00454685" w:rsidRPr="00392381" w:rsidRDefault="00454685" w:rsidP="00454685">
      <w:pPr>
        <w:autoSpaceDE w:val="0"/>
        <w:autoSpaceDN w:val="0"/>
        <w:adjustRightInd w:val="0"/>
        <w:jc w:val="both"/>
        <w:rPr>
          <w:rFonts w:cs="Arial"/>
          <w:szCs w:val="20"/>
          <w:lang w:val="sl-SI"/>
        </w:rPr>
      </w:pPr>
      <w:r w:rsidRPr="00392381">
        <w:rPr>
          <w:rFonts w:cs="Arial"/>
          <w:szCs w:val="20"/>
          <w:lang w:val="sl-SI"/>
        </w:rPr>
        <w:t xml:space="preserve">Glede na to, da si konkretne upravne zadeve, pa čeprav istovrstne, in posamezna procesna dejanja med seboj niso enaka, </w:t>
      </w:r>
      <w:r w:rsidR="001B2051" w:rsidRPr="00392381">
        <w:rPr>
          <w:rFonts w:cs="Arial"/>
          <w:szCs w:val="20"/>
          <w:lang w:val="sl-SI"/>
        </w:rPr>
        <w:t>ni mogoče</w:t>
      </w:r>
      <w:r w:rsidRPr="00392381">
        <w:rPr>
          <w:rFonts w:cs="Arial"/>
          <w:szCs w:val="20"/>
          <w:lang w:val="sl-SI"/>
        </w:rPr>
        <w:t xml:space="preserve"> pavšalno govoriti o neenakosti strank, če bo pri določeni vrsti postopkov organ v eni zadevi določil tolmača, v drugi istovrstni zadevi pa bo ugodil strankini prošnji za pomoč jezikovnega pomočnika. Stranke se namreč za jezikovnega pomočnika lahko tudi ne odločijo, ga ne pripeljejo s seboj in uradna oseba jim je v teh primerih, če ne znajo uradnega jezika, dolžna zagotovit spremljanje postopka po tolmaču. Prav tako se lahko uradna oseba šele ob pogovoru s konkretnim jezikovnim pomočnikom prepriča o njegovi sposobnosti, da bo stranki natančno sporočil to, kar bo izrečeno. Če stranka s seboj pripelje pomočnika, ki po presoji uradne osebe tega ni zmožen, mu ne sme dovoliti, da pomaga stranki, pač pa ji bo določila tolmača. Po pojasnjenem nikakor ne moremo govoriti o neenakosti strank, kolikor je vsem strankam, ki ne znajo jezika, v katerem teče postopek, zagotovljena ustavna pravica do spremljanja postopka ali procesnega dejanja v svojem jeziku – bodisi s pomočjo osebe, ki ji zaupa in pomaga pri komunikaciji, bodisi po tolmaču. Stranke so enakopravno obravnavane, če imajo vse zagotovljeno spremljanje postopka v jeziku, ki ga razumejo. Uradnim osebam pa je z novim institutom jezikovnega pomočnika zgolj dana na voljo dodatna zakonsko dopustna možnost za zagotovitev te pravice.</w:t>
      </w:r>
    </w:p>
    <w:p w14:paraId="64804574" w14:textId="77777777" w:rsidR="00454685" w:rsidRPr="00392381" w:rsidRDefault="00454685" w:rsidP="00454685">
      <w:pPr>
        <w:autoSpaceDE w:val="0"/>
        <w:autoSpaceDN w:val="0"/>
        <w:adjustRightInd w:val="0"/>
        <w:jc w:val="both"/>
        <w:rPr>
          <w:rFonts w:cs="Arial"/>
          <w:szCs w:val="20"/>
          <w:lang w:val="sl-SI"/>
        </w:rPr>
      </w:pPr>
    </w:p>
    <w:p w14:paraId="281D4ED4" w14:textId="77777777" w:rsidR="00454685" w:rsidRPr="00392381" w:rsidRDefault="00454685" w:rsidP="00454685">
      <w:pPr>
        <w:jc w:val="both"/>
        <w:rPr>
          <w:rFonts w:eastAsia="Calibri" w:cs="Arial"/>
          <w:szCs w:val="20"/>
          <w:lang w:val="sl-SI"/>
        </w:rPr>
      </w:pPr>
    </w:p>
    <w:p w14:paraId="45FECDEC" w14:textId="6D75EBA4" w:rsidR="001C689B" w:rsidRPr="00392381" w:rsidRDefault="003C1F52" w:rsidP="001C689B">
      <w:pPr>
        <w:numPr>
          <w:ilvl w:val="0"/>
          <w:numId w:val="33"/>
        </w:numPr>
        <w:jc w:val="both"/>
        <w:rPr>
          <w:rFonts w:eastAsia="Calibri" w:cs="Arial"/>
          <w:b/>
          <w:bCs/>
          <w:szCs w:val="20"/>
          <w:lang w:val="sl-SI"/>
        </w:rPr>
      </w:pPr>
      <w:r w:rsidRPr="00392381">
        <w:rPr>
          <w:rFonts w:eastAsia="Calibri" w:cs="Arial"/>
          <w:b/>
          <w:bCs/>
          <w:szCs w:val="20"/>
          <w:lang w:val="sl-SI"/>
        </w:rPr>
        <w:t>Rok za izdajo odločbe</w:t>
      </w:r>
    </w:p>
    <w:p w14:paraId="5FB5000A" w14:textId="77777777" w:rsidR="003C1F52" w:rsidRPr="00392381" w:rsidRDefault="003C1F52" w:rsidP="001B2051">
      <w:pPr>
        <w:jc w:val="both"/>
        <w:rPr>
          <w:rFonts w:eastAsia="Calibri" w:cs="Arial"/>
          <w:szCs w:val="20"/>
          <w:lang w:val="sl-SI"/>
        </w:rPr>
      </w:pPr>
    </w:p>
    <w:p w14:paraId="2FDF33DE" w14:textId="49ECE144" w:rsidR="001B2051" w:rsidRPr="00392381" w:rsidRDefault="001B2051" w:rsidP="001B2051">
      <w:pPr>
        <w:jc w:val="both"/>
        <w:rPr>
          <w:rFonts w:cs="Arial"/>
          <w:b/>
          <w:bCs/>
          <w:szCs w:val="20"/>
          <w:lang w:val="sl-SI"/>
        </w:rPr>
      </w:pPr>
      <w:r w:rsidRPr="00392381">
        <w:rPr>
          <w:rFonts w:cs="Arial"/>
          <w:b/>
          <w:bCs/>
          <w:szCs w:val="20"/>
          <w:lang w:val="sl-SI"/>
        </w:rPr>
        <w:t>Rok za izdajo odločbe je v novi ureditvi določen jasno, s čimer se sledi načelu legalitete iz 2. člena Ustave in načelu enakosti strank iz 14. člena Ustave. V veljavni ureditvi zaradi nejasnih pravil (področnih) zakonov o popolnosti vloge pogosto ni mogoče enoznačno določiti, kdaj je vloga popolna oziroma kdaj je začel teči rok, popolnost vloge je neredko tudi predmet subjektivne presoje uradne osebe, zato je posledično nejasno, kdaj je stranka pridobila pravico do pritožbe zaradi molka. Uradnim osebam, ki so pooblaščene za vodenje postopka oziroma za odločanje v njem, mora biti v okviru teh pooblastil zaupano, da bodo stranke pravočasno pozvale k morebitni odpravi pomanjkljivosti vloge in z gotovostjo ugotovile relevantno dejansko stanje do izteka (podaljšanega) roka za izdajo odločbe, ki bo po novi ureditvi določen jasno in enoznačno. Za stranke je pri tem bistveno, da prejmejo odločbo v zakonitem roku, ne pa, v katerem roku jih organ pozove k dopolnitvi vloge.</w:t>
      </w:r>
    </w:p>
    <w:p w14:paraId="20D5965B" w14:textId="77777777" w:rsidR="001B2051" w:rsidRPr="00392381" w:rsidRDefault="001B2051" w:rsidP="001B2051">
      <w:pPr>
        <w:jc w:val="both"/>
        <w:rPr>
          <w:rFonts w:cs="Arial"/>
          <w:b/>
          <w:bCs/>
          <w:szCs w:val="20"/>
          <w:lang w:val="sl-SI"/>
        </w:rPr>
      </w:pPr>
    </w:p>
    <w:p w14:paraId="3CF5D835" w14:textId="77777777" w:rsidR="001B2051" w:rsidRPr="00392381" w:rsidRDefault="001B2051" w:rsidP="001B2051">
      <w:pPr>
        <w:jc w:val="both"/>
        <w:rPr>
          <w:rFonts w:cs="Arial"/>
          <w:szCs w:val="20"/>
          <w:lang w:val="sl-SI"/>
        </w:rPr>
      </w:pPr>
      <w:r w:rsidRPr="00392381">
        <w:rPr>
          <w:rFonts w:cs="Arial"/>
          <w:szCs w:val="20"/>
          <w:lang w:val="sl-SI"/>
        </w:rPr>
        <w:t xml:space="preserve">Državni svet glede spremenjenega roka za izdajo odločbe navaja, da dejansko razpoložljivi čas za vsebinsko obravnavo popolne vloge in izdajo odločbe ni več jasno razviden in predvidljiv. Prav tako pravi, da bo črtanje </w:t>
      </w:r>
      <w:proofErr w:type="spellStart"/>
      <w:r w:rsidRPr="00392381">
        <w:rPr>
          <w:rFonts w:cs="Arial"/>
          <w:szCs w:val="20"/>
          <w:lang w:val="sl-SI"/>
        </w:rPr>
        <w:t>instrukcijskega</w:t>
      </w:r>
      <w:proofErr w:type="spellEnd"/>
      <w:r w:rsidRPr="00392381">
        <w:rPr>
          <w:rFonts w:cs="Arial"/>
          <w:szCs w:val="20"/>
          <w:lang w:val="sl-SI"/>
        </w:rPr>
        <w:t xml:space="preserve"> roka petih delovnih dni iz 67. člena zakona poslabšalo pravni položaj strank, če bo v konkretni zadevi določen prekratek rok za dopolnitev vloge, organ pa z določitvijo roka lahko vpliva tudi na čas, ki je na voljo za vsebinsko obravnavo vloge. Do sedaj je za stranke veljala ugodnejša ureditev, saj jim je bilo zagotovljeno, da so bile v roku petih delovnih dni obveščene o tem, ali morajo vlogo dopolniti.</w:t>
      </w:r>
    </w:p>
    <w:p w14:paraId="3E74371B" w14:textId="77777777" w:rsidR="001B2051" w:rsidRPr="00392381" w:rsidRDefault="001B2051" w:rsidP="001B2051">
      <w:pPr>
        <w:jc w:val="both"/>
        <w:rPr>
          <w:rFonts w:cs="Arial"/>
          <w:b/>
          <w:bCs/>
          <w:szCs w:val="20"/>
          <w:lang w:val="sl-SI"/>
        </w:rPr>
      </w:pPr>
    </w:p>
    <w:p w14:paraId="0B72D616" w14:textId="77777777" w:rsidR="001B2051" w:rsidRPr="00392381" w:rsidRDefault="001B2051" w:rsidP="001B2051">
      <w:pPr>
        <w:jc w:val="both"/>
        <w:rPr>
          <w:rFonts w:cs="Arial"/>
          <w:szCs w:val="20"/>
          <w:lang w:val="sl-SI"/>
        </w:rPr>
      </w:pPr>
      <w:r w:rsidRPr="00392381">
        <w:rPr>
          <w:rFonts w:cs="Arial"/>
          <w:szCs w:val="20"/>
          <w:lang w:val="sl-SI"/>
        </w:rPr>
        <w:t xml:space="preserve">Pojasnjujemo, da spremenjena ureditev začetka teka roka za izdajo odločbe vsekakor bistveno bolj varuje pravni položaj stranke, ki je lahko prizadet, če organ ne vodi postopka oziroma, če ne odloča v zakonsko določenem roku. Zakonska ureditev določitve rokov za izdajo odločbe je namenjena varstvu stranke, ki ima s tem pravno predvidljivo jamstvo, kdaj lahko upravičeno pričakuje, da bo organ odločil v zadevi, ker sicer lahko zoper njegovo pasivnost uporabi pravna sredstva. Z določanjem roka za izdajo odločbe se posredno varuje tudi javni interes po pravočasni izdaji odločbe. Določitev roka pomeni torej obveznost organa, da stori vse, da bo v zakonitem roku izdana zakonita odločba. </w:t>
      </w:r>
    </w:p>
    <w:p w14:paraId="4F8BC436" w14:textId="77777777" w:rsidR="001B2051" w:rsidRPr="00392381" w:rsidRDefault="001B2051" w:rsidP="001B2051">
      <w:pPr>
        <w:jc w:val="both"/>
        <w:rPr>
          <w:rFonts w:cs="Arial"/>
          <w:szCs w:val="20"/>
          <w:lang w:val="sl-SI"/>
        </w:rPr>
      </w:pPr>
    </w:p>
    <w:p w14:paraId="3FF32AA0" w14:textId="4292CAD9" w:rsidR="001B2051" w:rsidRPr="00392381" w:rsidRDefault="001B2051" w:rsidP="001B2051">
      <w:pPr>
        <w:jc w:val="both"/>
        <w:rPr>
          <w:rFonts w:cs="Arial"/>
          <w:szCs w:val="20"/>
          <w:lang w:val="sl-SI"/>
        </w:rPr>
      </w:pPr>
      <w:r w:rsidRPr="00392381">
        <w:rPr>
          <w:rFonts w:cs="Arial"/>
          <w:szCs w:val="20"/>
          <w:lang w:val="sl-SI"/>
        </w:rPr>
        <w:t>S spremenjeno ureditvijo so roki za izdajo odločbe določeni jasneje in natančneje, ter s tem zasledujejo načel</w:t>
      </w:r>
      <w:r w:rsidR="00176F89" w:rsidRPr="00392381">
        <w:rPr>
          <w:rFonts w:cs="Arial"/>
          <w:szCs w:val="20"/>
          <w:lang w:val="sl-SI"/>
        </w:rPr>
        <w:t xml:space="preserve">a zaupanja v pravno ter jasnosti in določnosti </w:t>
      </w:r>
      <w:r w:rsidRPr="00392381">
        <w:rPr>
          <w:rFonts w:cs="Arial"/>
          <w:szCs w:val="20"/>
          <w:lang w:val="sl-SI"/>
        </w:rPr>
        <w:t xml:space="preserve">iz 2. člena Ustave, po katerem morajo biti zakonske norme jasne, razumljive in predvidljive ter ne smejo povzročiti različne obravnave strank v enakem ali podobnem pravnem položaju. Veljavni zakon namreč določa, da mora organ izdati odločbo v dveh mesecih od popolnosti zahtevka oziroma v dveh mesecih od začetka postopka po uradni dolžnosti, če je to v interesu stranke. Navedena določba se je v praksi pogosto izkazala kot nejasna. Predvsem zaradi nejasnih pravil iz (področnih) zakonov se je namreč izkazalo, da pogosto ni mogoče enoznačno določiti, kdaj je vloga popolna oziroma kdaj je začel teči rok ter posledično, kdaj je stranka pridobila pravico do pritožbe zaradi molka. Ali je vloga popolna, je neredko predmet subjektivne presoje uradne osebe. Zaradi jasnosti pravnega položaja stranke in organa se v postopkih na zahtevo začetek teka roka z novo ureditvijo veže na trenutek vložitve vloge pri pristojnem organu, oziroma na dan, ko je bil začet postopek po uradni dolžnosti (to je dan, ko je pristojni organ opravil v ta namen kakršnokoli dejanje). Hkrati zaradi specifičnosti in zahtevnosti nekaterih upravnih postopkov zakon omogoča podaljšanje roka, o čemer mora organ stranko pred iztekom roka seznaniti. </w:t>
      </w:r>
    </w:p>
    <w:p w14:paraId="6EB72240" w14:textId="77777777" w:rsidR="001B2051" w:rsidRPr="00392381" w:rsidRDefault="001B2051" w:rsidP="001B2051">
      <w:pPr>
        <w:jc w:val="both"/>
        <w:rPr>
          <w:rFonts w:cs="Arial"/>
          <w:szCs w:val="20"/>
          <w:lang w:val="sl-SI"/>
        </w:rPr>
      </w:pPr>
    </w:p>
    <w:p w14:paraId="02A9E132" w14:textId="4676C2AC" w:rsidR="001B2051" w:rsidRPr="00392381" w:rsidRDefault="001B2051" w:rsidP="001B2051">
      <w:pPr>
        <w:jc w:val="both"/>
        <w:rPr>
          <w:rFonts w:cs="Arial"/>
          <w:szCs w:val="20"/>
          <w:lang w:val="sl-SI"/>
        </w:rPr>
      </w:pPr>
      <w:r w:rsidRPr="00392381">
        <w:rPr>
          <w:rFonts w:cs="Arial"/>
          <w:szCs w:val="20"/>
          <w:lang w:val="sl-SI"/>
        </w:rPr>
        <w:t>Nova ureditev je torej jasna in transparentna, stranki pa je rok za izdajo odločbe v celoti že ves čas znan, na ta način pa je jasno in vsekakor predvidljivo tudi, kdaj lahko vloži pritožbo zaradi molka organa. S tem zakon dejansko omogoča enakopravno obravnavo strank, saj začne po spremenjeni ureditvi začetek teka roka za izdajo odločbe teči od popolnoma jasne navezne okoliščine, v primerjavi z do sedaj uveljavljenim pravilom, ko začne ta rok teči od popolnosti vloge dalje. »Popolnost« vloge organi, kot že navedeno zgoraj, razlagajo različno (od formalne popolnosti vloge, kar je sicer namen zakona, do materialnopravno popolne ugotovitve dejanskega stanja, ki ga določajo področni predpisi), zaradi česar se v praksi sedaj ne zasleduje načelo enakosti pred zakonom</w:t>
      </w:r>
      <w:r w:rsidR="00176F89" w:rsidRPr="00392381">
        <w:rPr>
          <w:rFonts w:cs="Arial"/>
          <w:szCs w:val="20"/>
          <w:lang w:val="sl-SI"/>
        </w:rPr>
        <w:t xml:space="preserve"> ter enake obravnave</w:t>
      </w:r>
      <w:r w:rsidRPr="00392381">
        <w:rPr>
          <w:rFonts w:cs="Arial"/>
          <w:szCs w:val="20"/>
          <w:lang w:val="sl-SI"/>
        </w:rPr>
        <w:t>. Menimo, da so s spremembo 222. člena ZUP pravila glede teka roka za izdajo odločbe v splošnem upravnem postopku določena na način, ki ne omogoča različne razlage določbe, kar bo pripomoglo k enak</w:t>
      </w:r>
      <w:r w:rsidR="00176F89" w:rsidRPr="00392381">
        <w:rPr>
          <w:rFonts w:cs="Arial"/>
          <w:szCs w:val="20"/>
          <w:lang w:val="sl-SI"/>
        </w:rPr>
        <w:t>i</w:t>
      </w:r>
      <w:r w:rsidRPr="00392381">
        <w:rPr>
          <w:rFonts w:cs="Arial"/>
          <w:szCs w:val="20"/>
          <w:lang w:val="sl-SI"/>
        </w:rPr>
        <w:t xml:space="preserve"> obravnavi.</w:t>
      </w:r>
    </w:p>
    <w:p w14:paraId="4A30FD07" w14:textId="77777777" w:rsidR="001B2051" w:rsidRPr="00392381" w:rsidRDefault="001B2051" w:rsidP="001B2051">
      <w:pPr>
        <w:jc w:val="both"/>
        <w:rPr>
          <w:rFonts w:cs="Arial"/>
          <w:szCs w:val="20"/>
          <w:lang w:val="sl-SI"/>
        </w:rPr>
      </w:pPr>
    </w:p>
    <w:p w14:paraId="5467C26C" w14:textId="1F2BA519" w:rsidR="001B2051" w:rsidRPr="00392381" w:rsidRDefault="001B2051" w:rsidP="001B2051">
      <w:pPr>
        <w:jc w:val="both"/>
        <w:rPr>
          <w:rFonts w:cs="Arial"/>
          <w:szCs w:val="20"/>
          <w:lang w:val="sl-SI"/>
        </w:rPr>
      </w:pPr>
      <w:r w:rsidRPr="00392381">
        <w:rPr>
          <w:rFonts w:cs="Arial"/>
          <w:szCs w:val="20"/>
          <w:lang w:val="sl-SI"/>
        </w:rPr>
        <w:t xml:space="preserve">S spremembo zakona se odpravlja </w:t>
      </w:r>
      <w:r w:rsidR="00176F89" w:rsidRPr="00392381">
        <w:rPr>
          <w:rFonts w:cs="Arial"/>
          <w:szCs w:val="20"/>
          <w:lang w:val="sl-SI"/>
        </w:rPr>
        <w:t>(</w:t>
      </w:r>
      <w:proofErr w:type="spellStart"/>
      <w:r w:rsidR="00176F89" w:rsidRPr="00392381">
        <w:rPr>
          <w:rFonts w:cs="Arial"/>
          <w:szCs w:val="20"/>
          <w:lang w:val="sl-SI"/>
        </w:rPr>
        <w:t>instrukcijski</w:t>
      </w:r>
      <w:proofErr w:type="spellEnd"/>
      <w:r w:rsidR="00176F89" w:rsidRPr="00392381">
        <w:rPr>
          <w:rFonts w:cs="Arial"/>
          <w:szCs w:val="20"/>
          <w:lang w:val="sl-SI"/>
        </w:rPr>
        <w:t xml:space="preserve">) </w:t>
      </w:r>
      <w:r w:rsidRPr="00392381">
        <w:rPr>
          <w:rFonts w:cs="Arial"/>
          <w:szCs w:val="20"/>
          <w:lang w:val="sl-SI"/>
        </w:rPr>
        <w:t xml:space="preserve">rok petih delovnih dni za izdajo poziva za odpravo (formalnih) pomanjkljivosti vloge. Ta rok v praksi ne dosega svojega namena, saj organi roku praviloma ne morejo slediti zaradi objektivnih razlogov, ki onemogočajo formalni preizkus v petih delovnih dneh, in morebitne pozive za dopolnitev izdajajo po poteku roka. Zato je vztrajanje pri tem roku, ki mu organi ne morejo slediti, hkrati pa ustvarja pričakovanja strank, ki jim organi ne morejo zadostiti, nesmiselno, sploh ker zamuda </w:t>
      </w:r>
      <w:proofErr w:type="spellStart"/>
      <w:r w:rsidRPr="00392381">
        <w:rPr>
          <w:rFonts w:cs="Arial"/>
          <w:szCs w:val="20"/>
          <w:lang w:val="sl-SI"/>
        </w:rPr>
        <w:t>instrukcijskega</w:t>
      </w:r>
      <w:proofErr w:type="spellEnd"/>
      <w:r w:rsidRPr="00392381">
        <w:rPr>
          <w:rFonts w:cs="Arial"/>
          <w:szCs w:val="20"/>
          <w:lang w:val="sl-SI"/>
        </w:rPr>
        <w:t xml:space="preserve"> roka za stranko ali organ nima nobenih pravnih učinkov. Kot že navedeno zgoraj, organi glede na različna in nejasna pravila področnih zakonov tudi različno razlagajo formalno popolnost vloge in zato strankam dejstvo, da so (ali pa niso) pozvane k dopolnitvi vloge, dandanes ne daje jasnega in enoznačnega odgovora o tem, ali je njihova vloga formalno popolna in s tem primerna za vsebinsko obravnavo. </w:t>
      </w:r>
    </w:p>
    <w:p w14:paraId="2B9A81A7" w14:textId="77777777" w:rsidR="001B2051" w:rsidRPr="00392381" w:rsidRDefault="001B2051" w:rsidP="001B2051">
      <w:pPr>
        <w:jc w:val="both"/>
        <w:rPr>
          <w:rFonts w:cs="Arial"/>
          <w:szCs w:val="20"/>
          <w:lang w:val="sl-SI"/>
        </w:rPr>
      </w:pPr>
    </w:p>
    <w:p w14:paraId="616CA408" w14:textId="012404A3" w:rsidR="001B2051" w:rsidRPr="00392381" w:rsidRDefault="001B2051" w:rsidP="001B2051">
      <w:pPr>
        <w:jc w:val="both"/>
        <w:rPr>
          <w:rFonts w:cs="Arial"/>
          <w:szCs w:val="20"/>
          <w:lang w:val="sl-SI"/>
        </w:rPr>
      </w:pPr>
      <w:r w:rsidRPr="00392381">
        <w:rPr>
          <w:rFonts w:cs="Arial"/>
          <w:szCs w:val="20"/>
          <w:lang w:val="sl-SI"/>
        </w:rPr>
        <w:t xml:space="preserve">Ob tem je z vidika poštenega postopka, ki predpostavlja odločanje v zakonskem roku, za stranko bistveno, kdaj bo organ odločil v zadevi, ne pa, ali je njena vloga formalno popolna. Z vidika stranke in njenega varovanega pravnega položaja je nepomembno, ali jo bo organ pozval k odpravi formalnih pomanjkljivosti in predložitvi dokazil, ampak predvsem, ali bo postopek izvedel in izdal odločbo v zakonitem roku. Na način, kot izhaja iz zakonskih sprememb, pa je za stranke, in tudi za uradne osebe, rok za izdajo odločbe popolnoma jasen in enoznačen. V okviru zakonsko jasno določenega roka za izdajo odločbe mora uradna oseba pozvati stranko k dopolnitvi vloge, </w:t>
      </w:r>
      <w:r w:rsidRPr="00392381">
        <w:rPr>
          <w:rFonts w:cs="Arial"/>
          <w:szCs w:val="20"/>
          <w:lang w:val="sl-SI"/>
        </w:rPr>
        <w:lastRenderedPageBreak/>
        <w:t xml:space="preserve">kolikor je le-ta nejasna ali nepopolna, ter izvesti celoten </w:t>
      </w:r>
      <w:r w:rsidR="008E7C3F" w:rsidRPr="00392381">
        <w:rPr>
          <w:rFonts w:cs="Arial"/>
          <w:szCs w:val="20"/>
          <w:lang w:val="sl-SI"/>
        </w:rPr>
        <w:t xml:space="preserve">ugotovitveni in </w:t>
      </w:r>
      <w:r w:rsidRPr="00392381">
        <w:rPr>
          <w:rFonts w:cs="Arial"/>
          <w:szCs w:val="20"/>
          <w:lang w:val="sl-SI"/>
        </w:rPr>
        <w:t xml:space="preserve">dokazni postopek, da ugotovi dejansko stanje, ki omogoča sprejem odločitve v zadevi. Roke za izvedbo teh dejanj znotraj 2-mesečnega roka za izdajo odločbe določi uradna oseba glede na okoliščine konkretne upravne zadeve. Kot že navedeno, je tudi uradni osebi namreč popolnoma jasen zakonski rok, v katerem mora izdati odločbo. </w:t>
      </w:r>
    </w:p>
    <w:p w14:paraId="1FDDA1DF" w14:textId="77777777" w:rsidR="001B2051" w:rsidRPr="00392381" w:rsidRDefault="001B2051" w:rsidP="001B2051">
      <w:pPr>
        <w:jc w:val="both"/>
        <w:rPr>
          <w:rFonts w:cs="Arial"/>
          <w:szCs w:val="20"/>
          <w:lang w:val="sl-SI"/>
        </w:rPr>
      </w:pPr>
    </w:p>
    <w:p w14:paraId="1497AF1F" w14:textId="6C09DC21" w:rsidR="001B2051" w:rsidRPr="00392381" w:rsidRDefault="001B2051" w:rsidP="001B2051">
      <w:pPr>
        <w:jc w:val="both"/>
        <w:rPr>
          <w:rFonts w:cs="Arial"/>
          <w:szCs w:val="20"/>
          <w:lang w:val="sl-SI"/>
        </w:rPr>
      </w:pPr>
      <w:r w:rsidRPr="00392381">
        <w:rPr>
          <w:rFonts w:cs="Arial"/>
          <w:szCs w:val="20"/>
          <w:lang w:val="sl-SI"/>
        </w:rPr>
        <w:t>Neutemeljen in nejasen je zato očitek Državnega sveta, da bo nova ureditev poslabšala pravni položaj strank, če bi bil v konkretni zadevi določen prekratek rok za dopolnitev vloge – že po veljavni ureditvi rok za dopolnitev vloge določi uradna oseba v pozivu</w:t>
      </w:r>
      <w:r w:rsidR="008E7C3F" w:rsidRPr="00392381">
        <w:rPr>
          <w:rFonts w:cs="Arial"/>
          <w:szCs w:val="20"/>
          <w:lang w:val="sl-SI"/>
        </w:rPr>
        <w:t xml:space="preserve"> (zakon namreč določa le rok za pregled in izdajo poziva, ne pa roka, v katerem bi stranka morala dopolniti nepopolno vlogo)</w:t>
      </w:r>
      <w:r w:rsidRPr="00392381">
        <w:rPr>
          <w:rFonts w:cs="Arial"/>
          <w:szCs w:val="20"/>
          <w:lang w:val="sl-SI"/>
        </w:rPr>
        <w:t xml:space="preserve">, ta rok pa je tudi podaljšljiv, torej ga uradna oseba lahko v primeru opravičenih razlogov na prošnjo stranke, pred iztekom roka, podaljša v skladu z 99. členom ZUP, ki se s to novelo ne spreminja. Glede očitka, da bo organ z določitvijo roka za dopolnitev vloge vplival na čas, ki bo na voljo za vsebinsko obravnavo zadeve, je treba, ob upoštevanju vsega zgoraj že pojasnjenega, poudariti, da mora biti uradnim osebam, ki so pooblaščene za vodenje postopka oziroma za odločanje v njem, v okviru teh pooblastil zaupano, da bodo stranke pravočasno pozvale k morebitni odpravi pomanjkljivosti vloge in ugotovile dejansko stanje tako, da bo do izteka (podaljšanega) roka za izdajo odločbe le-to mogoče izdati, ob hkratnem zavedanju, da v veljavni ureditvi sicer predpisanemu </w:t>
      </w:r>
      <w:proofErr w:type="spellStart"/>
      <w:r w:rsidRPr="00392381">
        <w:rPr>
          <w:rFonts w:cs="Arial"/>
          <w:szCs w:val="20"/>
          <w:lang w:val="sl-SI"/>
        </w:rPr>
        <w:t>instrukcijskemu</w:t>
      </w:r>
      <w:proofErr w:type="spellEnd"/>
      <w:r w:rsidRPr="00392381">
        <w:rPr>
          <w:rFonts w:cs="Arial"/>
          <w:szCs w:val="20"/>
          <w:lang w:val="sl-SI"/>
        </w:rPr>
        <w:t xml:space="preserve"> roku za izdajo poziva uradne osebe običajno ne morejo slediti in pozive izdajajo kasneje, s pozivanjem k odpravi pomanjkljivosti vloge pa </w:t>
      </w:r>
      <w:r w:rsidR="008E7C3F" w:rsidRPr="00392381">
        <w:rPr>
          <w:rFonts w:cs="Arial"/>
          <w:szCs w:val="20"/>
          <w:lang w:val="sl-SI"/>
        </w:rPr>
        <w:t xml:space="preserve">naknadno </w:t>
      </w:r>
      <w:r w:rsidRPr="00392381">
        <w:rPr>
          <w:rFonts w:cs="Arial"/>
          <w:szCs w:val="20"/>
          <w:lang w:val="sl-SI"/>
        </w:rPr>
        <w:t xml:space="preserve">pozivajo tudi k predložitvi dokazil, ki ne predstavljajo več formalnih pomanjkljivosti vloge, pač pa njeno vsebinsko obravnavo. </w:t>
      </w:r>
      <w:r w:rsidR="008E7C3F" w:rsidRPr="00392381">
        <w:rPr>
          <w:rFonts w:cs="Arial"/>
          <w:szCs w:val="20"/>
          <w:lang w:val="sl-SI"/>
        </w:rPr>
        <w:t>Poziv k odpravi formalnih pomanjkljivosti ne pomeni, da organ stranke morda v kasnejši fazi postopka ne bo pozval k predložitvi dokazil, zato stranka ob odsotnosti poziva za odpravo formalnih pomanjkljivosti ne more upravičeno pričakovati, da ji vloge ne bo treba dopolnjevati</w:t>
      </w:r>
      <w:r w:rsidR="007F64B2" w:rsidRPr="00392381">
        <w:rPr>
          <w:rFonts w:cs="Arial"/>
          <w:szCs w:val="20"/>
          <w:lang w:val="sl-SI"/>
        </w:rPr>
        <w:t xml:space="preserve">, kar posledično pomeni, da je rok pet delovnih dni </w:t>
      </w:r>
      <w:r w:rsidR="008E7C3F" w:rsidRPr="00392381">
        <w:rPr>
          <w:rFonts w:cs="Arial"/>
          <w:szCs w:val="20"/>
          <w:lang w:val="sl-SI"/>
        </w:rPr>
        <w:t xml:space="preserve">lahko zavajajoč. </w:t>
      </w:r>
    </w:p>
    <w:p w14:paraId="1A25FA34" w14:textId="77777777" w:rsidR="001B2051" w:rsidRPr="00392381" w:rsidRDefault="001B2051" w:rsidP="001B2051">
      <w:pPr>
        <w:jc w:val="both"/>
        <w:rPr>
          <w:lang w:val="sl-SI"/>
        </w:rPr>
      </w:pPr>
    </w:p>
    <w:p w14:paraId="48A6E22B" w14:textId="77777777" w:rsidR="001B2051" w:rsidRPr="00392381" w:rsidRDefault="001B2051" w:rsidP="001B2051">
      <w:pPr>
        <w:jc w:val="both"/>
        <w:rPr>
          <w:rFonts w:eastAsia="Calibri" w:cs="Arial"/>
          <w:szCs w:val="20"/>
          <w:lang w:val="sl-SI"/>
        </w:rPr>
      </w:pPr>
    </w:p>
    <w:p w14:paraId="4C8B87F7" w14:textId="643DC5EB" w:rsidR="00847A71" w:rsidRPr="00392381" w:rsidRDefault="00847A71" w:rsidP="00847A71">
      <w:pPr>
        <w:numPr>
          <w:ilvl w:val="0"/>
          <w:numId w:val="33"/>
        </w:numPr>
        <w:jc w:val="both"/>
        <w:rPr>
          <w:rFonts w:eastAsia="Calibri" w:cs="Arial"/>
          <w:b/>
          <w:bCs/>
          <w:szCs w:val="20"/>
          <w:lang w:val="sl-SI"/>
        </w:rPr>
      </w:pPr>
      <w:r w:rsidRPr="00392381">
        <w:rPr>
          <w:rFonts w:eastAsia="Calibri" w:cs="Arial"/>
          <w:b/>
          <w:bCs/>
          <w:szCs w:val="20"/>
          <w:lang w:val="sl-SI"/>
        </w:rPr>
        <w:t>Odločba</w:t>
      </w:r>
    </w:p>
    <w:p w14:paraId="2C215D22" w14:textId="77777777" w:rsidR="001B2051" w:rsidRPr="00392381" w:rsidRDefault="001B2051" w:rsidP="001B2051">
      <w:pPr>
        <w:jc w:val="both"/>
        <w:rPr>
          <w:rFonts w:eastAsia="Calibri" w:cs="Arial"/>
          <w:szCs w:val="20"/>
          <w:lang w:val="sl-SI"/>
        </w:rPr>
      </w:pPr>
    </w:p>
    <w:p w14:paraId="570632CA" w14:textId="4C765BE0" w:rsidR="00847A71" w:rsidRPr="00392381" w:rsidRDefault="00A75D44" w:rsidP="0069086C">
      <w:pPr>
        <w:pStyle w:val="Odstavekseznama"/>
        <w:overflowPunct/>
        <w:autoSpaceDE/>
        <w:autoSpaceDN/>
        <w:adjustRightInd/>
        <w:spacing w:line="260" w:lineRule="exact"/>
        <w:ind w:left="0"/>
        <w:contextualSpacing/>
        <w:textAlignment w:val="auto"/>
        <w:rPr>
          <w:rFonts w:cs="Arial"/>
          <w:b/>
          <w:bCs/>
          <w:kern w:val="2"/>
          <w:sz w:val="20"/>
          <w:szCs w:val="20"/>
        </w:rPr>
      </w:pPr>
      <w:r w:rsidRPr="00392381">
        <w:rPr>
          <w:rFonts w:cs="Arial"/>
          <w:b/>
          <w:bCs/>
          <w:kern w:val="2"/>
          <w:sz w:val="20"/>
          <w:szCs w:val="20"/>
        </w:rPr>
        <w:t xml:space="preserve">      </w:t>
      </w:r>
      <w:r w:rsidR="0069086C" w:rsidRPr="00392381">
        <w:rPr>
          <w:rFonts w:cs="Arial"/>
          <w:b/>
          <w:bCs/>
          <w:kern w:val="2"/>
          <w:sz w:val="20"/>
          <w:szCs w:val="20"/>
        </w:rPr>
        <w:t xml:space="preserve">a) </w:t>
      </w:r>
      <w:r w:rsidRPr="00392381">
        <w:rPr>
          <w:rFonts w:cs="Arial"/>
          <w:b/>
          <w:bCs/>
          <w:kern w:val="2"/>
          <w:sz w:val="20"/>
          <w:szCs w:val="20"/>
        </w:rPr>
        <w:t xml:space="preserve"> </w:t>
      </w:r>
      <w:r w:rsidR="0069086C" w:rsidRPr="00392381">
        <w:rPr>
          <w:rFonts w:cs="Arial"/>
          <w:b/>
          <w:bCs/>
          <w:kern w:val="2"/>
          <w:sz w:val="20"/>
          <w:szCs w:val="20"/>
        </w:rPr>
        <w:t xml:space="preserve"> </w:t>
      </w:r>
      <w:r w:rsidR="00847A71" w:rsidRPr="00392381">
        <w:rPr>
          <w:rFonts w:cs="Arial"/>
          <w:b/>
          <w:bCs/>
          <w:kern w:val="2"/>
          <w:sz w:val="20"/>
          <w:szCs w:val="20"/>
        </w:rPr>
        <w:t>Informativna odločba</w:t>
      </w:r>
    </w:p>
    <w:p w14:paraId="23D75656" w14:textId="02FA867B" w:rsidR="00847A71" w:rsidRPr="00392381" w:rsidRDefault="00847A71" w:rsidP="00847A71">
      <w:pPr>
        <w:jc w:val="both"/>
        <w:rPr>
          <w:rFonts w:cs="Arial"/>
          <w:b/>
          <w:bCs/>
          <w:kern w:val="2"/>
          <w:szCs w:val="20"/>
          <w:lang w:val="sl-SI"/>
        </w:rPr>
      </w:pPr>
      <w:r w:rsidRPr="00392381">
        <w:rPr>
          <w:rFonts w:cs="Arial"/>
          <w:b/>
          <w:bCs/>
          <w:kern w:val="2"/>
          <w:szCs w:val="20"/>
          <w:lang w:val="sl-SI"/>
        </w:rPr>
        <w:t xml:space="preserve">Institut informativne odločbe ne posega v ustavni pravici do pravnega sredstva iz 25. člena Ustave in do sodnega varstva iz 23. člena Ustave, saj je stranki zagotovljena možnost ugovora zoper informativno odločbo, za kar ima na voljo dovolj dolg rok, njen ugovor pa »povzroči« dopolnitev postopka oziroma izdajo nove informativne odločbe ali končne odločbe v zadevi, zoper katero ima spet na voljo pravna sredstva. Navedeni ustavni pravici strankam torej z institutom informativne odločbe nista odvzeti ali krateni, razumno pa je pričakovanje, da morajo pa stranke aktivno ravnati, če ju želijo uveljaviti, kot velja to tudi sicer (npr. pravico do pritožbe zoper odločbo lahko stranka uveljavlja le s svojim aktivnim ravnanjem). Bistveno je, da so stranke </w:t>
      </w:r>
      <w:r w:rsidRPr="00392381">
        <w:rPr>
          <w:rFonts w:cs="Arial"/>
          <w:b/>
          <w:bCs/>
          <w:szCs w:val="20"/>
          <w:lang w:val="sl-SI"/>
        </w:rPr>
        <w:t xml:space="preserve">pravilno in popolno seznanjene z možnostjo ugovora, rokom za ugovor in posledicami, če ugovora ne bodo vložile; kolikor te možnosti, čeprav bi jo lahko, ne izkoristijo, nastopijo predvidene pravne posledice, saj </w:t>
      </w:r>
      <w:r w:rsidRPr="00392381">
        <w:rPr>
          <w:rFonts w:cs="Arial"/>
          <w:b/>
          <w:bCs/>
          <w:kern w:val="2"/>
          <w:szCs w:val="20"/>
          <w:lang w:val="sl-SI"/>
        </w:rPr>
        <w:t>se stranke svojim pravicam lahko odpovedo.</w:t>
      </w:r>
    </w:p>
    <w:p w14:paraId="1717EAC0" w14:textId="77777777" w:rsidR="00847A71" w:rsidRPr="00392381" w:rsidRDefault="00847A71" w:rsidP="00847A71">
      <w:pPr>
        <w:jc w:val="both"/>
        <w:rPr>
          <w:rFonts w:cs="Arial"/>
          <w:b/>
          <w:bCs/>
          <w:kern w:val="2"/>
          <w:szCs w:val="20"/>
          <w:lang w:val="sl-SI"/>
        </w:rPr>
      </w:pPr>
    </w:p>
    <w:p w14:paraId="0B95827F" w14:textId="77777777" w:rsidR="00847A71" w:rsidRPr="00392381" w:rsidRDefault="00847A71" w:rsidP="00847A71">
      <w:pPr>
        <w:jc w:val="both"/>
        <w:rPr>
          <w:rFonts w:cs="Arial"/>
          <w:kern w:val="2"/>
          <w:szCs w:val="20"/>
          <w:lang w:val="sl-SI"/>
        </w:rPr>
      </w:pPr>
      <w:r w:rsidRPr="00392381">
        <w:rPr>
          <w:rFonts w:cs="Arial"/>
          <w:kern w:val="2"/>
          <w:szCs w:val="20"/>
          <w:lang w:val="sl-SI"/>
        </w:rPr>
        <w:t>Državni svet navaja, da se z informativno odločbo posega v bistvo ustavno zagotovljene pravice do pravnega sredstva in do sodnega varstva. Ker rešitev v sistemskem zakonu ni zamejena in ne vsebuje ustreznih varovalk, saj pasivnost prava neuke stranke lahko pomeni hude pravne posledice, je neustrezna.</w:t>
      </w:r>
    </w:p>
    <w:p w14:paraId="01BC0534" w14:textId="77777777" w:rsidR="00847A71" w:rsidRPr="00392381" w:rsidRDefault="00847A71" w:rsidP="00847A71">
      <w:pPr>
        <w:jc w:val="both"/>
        <w:rPr>
          <w:rFonts w:cs="Arial"/>
          <w:kern w:val="2"/>
          <w:szCs w:val="20"/>
          <w:lang w:val="sl-SI"/>
        </w:rPr>
      </w:pPr>
    </w:p>
    <w:p w14:paraId="25203ECF" w14:textId="79D8DBF3" w:rsidR="00847A71" w:rsidRPr="00392381" w:rsidRDefault="00847A71" w:rsidP="00847A71">
      <w:pPr>
        <w:jc w:val="both"/>
        <w:rPr>
          <w:rFonts w:cs="Arial"/>
          <w:kern w:val="2"/>
          <w:szCs w:val="20"/>
          <w:lang w:val="sl-SI"/>
        </w:rPr>
      </w:pPr>
      <w:r w:rsidRPr="00392381">
        <w:rPr>
          <w:rFonts w:cs="Arial"/>
          <w:kern w:val="2"/>
          <w:szCs w:val="20"/>
          <w:lang w:val="sl-SI"/>
        </w:rPr>
        <w:t xml:space="preserve">Namen informativne odločbe je zagotavljanje pravice do obrambe v smislu seznanitve z dokazno oceno in zagotavljanje pravice do izjave. Z njo se neposredno ne ureja pravni položaj stranke v smislu odločanja o njeni pravici, obveznosti ali pravni koristi. Informativna odločba namreč postane pravnomočna odločba o glavni stvari le, če stranka ne izkoristi pravice do izjave tako, da vloži ugovor. Šele takrat na njeni podlagi nastanejo pravni učinki odločitve o pravici, obveznosti ali pravni koristi. V primeru ugovora informativna odločba ne posega v pravni položaj stranke, saj organ po ugovoru vedno izda odločbo – bodisi končno odločbo o glavni stvari bodisi novo informativno odločbo.  Če je zoper informativno odločbo vložen ugovor, namreč organ nadaljuje </w:t>
      </w:r>
      <w:r w:rsidRPr="00392381">
        <w:rPr>
          <w:rFonts w:cs="Arial"/>
          <w:kern w:val="2"/>
          <w:szCs w:val="20"/>
          <w:lang w:val="sl-SI"/>
        </w:rPr>
        <w:lastRenderedPageBreak/>
        <w:t>s postopkom tako, da ga dopolni in izda novo informativno odločbo oziroma odločbo o glavni stvari, če pa postopka ne dopolnjuje, izda odločbo o glavni stvari, v kateri se opredeli do navedb stranke iz ugovora. Organ na formalen način ne odloča o utemeljenosti ali neutemeljenosti ugovora, ampak nadaljuje postopek kot predhodno navedeno. Pri tem ni bistveno, kakšne razloge stranka navede v ugovoru. Zato vsak ugovor, v katerem stranka izrazi nestrinjanje z informativno odločbo, pomeni, da mora organ postopek nadaljevati oziroma, da postopek na prvi stopnji ni zaključen. O možnosti vložitve ugovora, o roku za ugovor in o pravnih posledicah, ki bodo nastopile, če ga ne vloži, mora biti stranka seznanjena v pouku o pravnem sredstvu, ki je sestavni del informativne odločbe.</w:t>
      </w:r>
    </w:p>
    <w:p w14:paraId="61165767" w14:textId="77777777" w:rsidR="00847A71" w:rsidRPr="00392381" w:rsidRDefault="00847A71" w:rsidP="00847A71">
      <w:pPr>
        <w:jc w:val="both"/>
        <w:rPr>
          <w:rFonts w:cs="Arial"/>
          <w:kern w:val="2"/>
          <w:szCs w:val="20"/>
          <w:lang w:val="sl-SI"/>
        </w:rPr>
      </w:pPr>
    </w:p>
    <w:p w14:paraId="3123F0D9" w14:textId="77777777" w:rsidR="00847A71" w:rsidRPr="00392381" w:rsidRDefault="00847A71" w:rsidP="00847A71">
      <w:pPr>
        <w:jc w:val="both"/>
        <w:rPr>
          <w:rFonts w:cs="Arial"/>
          <w:kern w:val="2"/>
          <w:szCs w:val="20"/>
          <w:lang w:val="sl-SI"/>
        </w:rPr>
      </w:pPr>
      <w:r w:rsidRPr="00392381">
        <w:rPr>
          <w:rFonts w:cs="Arial"/>
          <w:kern w:val="2"/>
          <w:szCs w:val="20"/>
          <w:lang w:val="sl-SI"/>
        </w:rPr>
        <w:t xml:space="preserve">Vložitev ugovora zoper informativno odločbo ne vpliva na pravico do pritožbe zoper odločbo o glavni stvari. Kadar organ na podlagi ugovora izda odločbo o glavni stvari, lahko (vsaka) stranka, če je teh več, tudi tista, ki ni vložila ugovora, odločbo izpodbija s pritožbo po uveljavljenem postopku. Pri tem lahko navaja tudi razloge, zaradi katerih je vložila ugovor. Torej nevložitev ugovora, če je strank več, ne omejuje pravice do pritožbe. Tiste, ki ugovora niso vložile, sicer tvegajo, da bo informativna odločba postala pravnomočna odločba, če tudi nobena druga od strank ne bo vložila ugovora. Pravice do pritožbe se ne omejuje s tem, ali je odločba o glavni stvari vsebinsko in tudi sicer enaka kot informativna odločba oziroma (ne)spremenjena, niti z morebitno dopolnitvijo postopka. </w:t>
      </w:r>
    </w:p>
    <w:p w14:paraId="4ADB73EC" w14:textId="77777777" w:rsidR="00847A71" w:rsidRPr="00392381" w:rsidRDefault="00847A71" w:rsidP="00847A71">
      <w:pPr>
        <w:jc w:val="both"/>
        <w:rPr>
          <w:rFonts w:cs="Arial"/>
          <w:kern w:val="2"/>
          <w:szCs w:val="20"/>
          <w:lang w:val="sl-SI"/>
        </w:rPr>
      </w:pPr>
    </w:p>
    <w:p w14:paraId="5FFAFC53" w14:textId="77777777" w:rsidR="00847A71" w:rsidRPr="00392381" w:rsidRDefault="00847A71" w:rsidP="00847A71">
      <w:pPr>
        <w:jc w:val="both"/>
        <w:rPr>
          <w:rFonts w:cs="Arial"/>
          <w:kern w:val="2"/>
          <w:szCs w:val="20"/>
          <w:lang w:val="sl-SI"/>
        </w:rPr>
      </w:pPr>
      <w:r w:rsidRPr="00392381">
        <w:rPr>
          <w:rFonts w:cs="Arial"/>
          <w:kern w:val="2"/>
          <w:szCs w:val="20"/>
          <w:lang w:val="sl-SI"/>
        </w:rPr>
        <w:t xml:space="preserve">V primeru vložene zahteve za vstop v postopek v času teka 21-dnevnega roka za ugovor organ vedno dopolni postopek (ne glede na to, ali je stranka, ki ji je bila vročena informativna odločba, vložila ugovor ali ne) na način, da vloženo zahtevo obravnava v skladu z že uveljavljenimi pravili, določenimi v 142. členu zakona. </w:t>
      </w:r>
    </w:p>
    <w:p w14:paraId="3AAEE2F4" w14:textId="77777777" w:rsidR="00847A71" w:rsidRPr="00392381" w:rsidRDefault="00847A71" w:rsidP="00847A71">
      <w:pPr>
        <w:jc w:val="both"/>
        <w:rPr>
          <w:rFonts w:cs="Arial"/>
          <w:kern w:val="2"/>
          <w:szCs w:val="20"/>
          <w:lang w:val="sl-SI"/>
        </w:rPr>
      </w:pPr>
    </w:p>
    <w:p w14:paraId="62458C92" w14:textId="7FF40516" w:rsidR="00847A71" w:rsidRPr="00392381" w:rsidRDefault="00847A71" w:rsidP="00847A71">
      <w:pPr>
        <w:jc w:val="both"/>
        <w:rPr>
          <w:rFonts w:cs="Arial"/>
          <w:kern w:val="2"/>
          <w:szCs w:val="20"/>
          <w:lang w:val="sl-SI"/>
        </w:rPr>
      </w:pPr>
      <w:r w:rsidRPr="00392381">
        <w:rPr>
          <w:rFonts w:cs="Arial"/>
          <w:kern w:val="2"/>
          <w:szCs w:val="20"/>
          <w:lang w:val="sl-SI"/>
        </w:rPr>
        <w:t xml:space="preserve">Organ torej lahko, ko ugotovi, da je dejansko stanje v konkretni zadevi ugotovljeno z gotovostjo (skladno z načelom materialne resnice), izda informativno odločbo, s katero stranki predstavi ugotovljeno dejansko stanje v zadevi. Uporaba instituta informativne odločbe je zamejena zgolj na položaje, ko organ v konkretni zadevi dejansko stanje popolnoma ugotovi, hkrati pa mora v zvezi s tem stranki še zagotoviti pravico do izjave. Sicer tudi v primerih z gotovostjo ugotovljenega dejanskega stanja lahko organ stranko še vedno povabi k podaji izjave namesto izdaje informativne odločbe, kar pa se predvideva predvsem v postopkih, v katerih bo organ, glede na poznavanje konkretne zadeve, njenih okoliščin in strank postopka, lahko pričakoval nasprotovanje </w:t>
      </w:r>
      <w:r w:rsidR="00161AB8" w:rsidRPr="00392381">
        <w:rPr>
          <w:rFonts w:cs="Arial"/>
          <w:kern w:val="2"/>
          <w:szCs w:val="20"/>
          <w:lang w:val="sl-SI"/>
        </w:rPr>
        <w:t>dokazni oceni</w:t>
      </w:r>
      <w:r w:rsidRPr="00392381">
        <w:rPr>
          <w:rFonts w:cs="Arial"/>
          <w:kern w:val="2"/>
          <w:szCs w:val="20"/>
          <w:lang w:val="sl-SI"/>
        </w:rPr>
        <w:t xml:space="preserve">, ker bi odločitev negativno posegla v pravni položaj stranke. </w:t>
      </w:r>
    </w:p>
    <w:p w14:paraId="212EA664" w14:textId="77777777" w:rsidR="00847A71" w:rsidRPr="00392381" w:rsidRDefault="00847A71" w:rsidP="00847A71">
      <w:pPr>
        <w:jc w:val="both"/>
        <w:rPr>
          <w:rFonts w:cs="Arial"/>
          <w:kern w:val="2"/>
          <w:szCs w:val="20"/>
          <w:lang w:val="sl-SI"/>
        </w:rPr>
      </w:pPr>
    </w:p>
    <w:p w14:paraId="15B20CA4" w14:textId="24A0DFA5" w:rsidR="00847A71" w:rsidRPr="00392381" w:rsidRDefault="00847A71" w:rsidP="00847A71">
      <w:pPr>
        <w:jc w:val="both"/>
        <w:rPr>
          <w:rFonts w:cs="Arial"/>
          <w:kern w:val="2"/>
          <w:szCs w:val="20"/>
          <w:lang w:val="sl-SI"/>
        </w:rPr>
      </w:pPr>
      <w:r w:rsidRPr="00392381">
        <w:rPr>
          <w:rFonts w:cs="Arial"/>
          <w:kern w:val="2"/>
          <w:szCs w:val="20"/>
          <w:lang w:val="sl-SI"/>
        </w:rPr>
        <w:t>Stranka se po prejemu informativne odločbe seznani z ugotovljenim dejanskim stanjem in na način, da vloži ugovor zoper informativno odločbo, uveljavlja svojo pravico do izjave in do sodelovanja v postopku, o čemer mora biti poučena v pouku o pravnem sredstvu, ki se nahaja v informativni odločbi. Prav tako mora biti stranka v pouku o pravnem sredstvu poučena o pravnih posledicah, ki bodo nastopile, če pravice do ugovora ne bo izkoristila. Predviden je 21-dnevni rok za vložitev ugovora, ki zadošča, da se stranka lahko seznani z vsemi pravno relevantnimi dejstvih, na katerih temelji odločba, ter se o njih izjavi</w:t>
      </w:r>
      <w:r w:rsidR="00161AB8" w:rsidRPr="00392381">
        <w:rPr>
          <w:rFonts w:cs="Arial"/>
          <w:kern w:val="2"/>
          <w:szCs w:val="20"/>
          <w:lang w:val="sl-SI"/>
        </w:rPr>
        <w:t xml:space="preserve"> (enak rok je predviden tudi za pritožbo!)</w:t>
      </w:r>
      <w:r w:rsidRPr="00392381">
        <w:rPr>
          <w:rFonts w:cs="Arial"/>
          <w:kern w:val="2"/>
          <w:szCs w:val="20"/>
          <w:lang w:val="sl-SI"/>
        </w:rPr>
        <w:t xml:space="preserve">. Kolikor pa stranka v celoti soglaša z ugotovljenim dejanskim stanjem in torej posledično tudi s predvideno odločitvijo, ji pravice do ugovora ni treba izkoristiti oziroma ji ni treba storiti nič in na ta način bo dosegla, da bo informativna odločba postala končna pravnomočna odločba v zadevi. O vsem navedenem pa mora biti, kar je bistveno, stranka poučena v pouku o pravnem sredstvu, saj bo le ob zavedanju in seznanitvi z vsemi možnostmi, ki jih ima in ob poznavanju vseh posledic (ne)vložitve ugovora, lahko sprejela ustrezno odločitev glede svojega nadaljnjega postopanja. Kolikor bo stranka pasivna (ne bo izkoristila pravice do ugovora), bo nosila pravne posledice te svoje odločitve. Pasivnost stranke v smislu </w:t>
      </w:r>
      <w:proofErr w:type="spellStart"/>
      <w:r w:rsidRPr="00392381">
        <w:rPr>
          <w:rFonts w:cs="Arial"/>
          <w:kern w:val="2"/>
          <w:szCs w:val="20"/>
          <w:lang w:val="sl-SI"/>
        </w:rPr>
        <w:t>neodzivanja</w:t>
      </w:r>
      <w:proofErr w:type="spellEnd"/>
      <w:r w:rsidRPr="00392381">
        <w:rPr>
          <w:rFonts w:cs="Arial"/>
          <w:kern w:val="2"/>
          <w:szCs w:val="20"/>
          <w:lang w:val="sl-SI"/>
        </w:rPr>
        <w:t xml:space="preserve"> ima povsem enake učinke kot v veljavnem zakonu. Če ne izkoristi pravice do izjave, že danes organ po poteku roka za izjavo izda končno odločbo, ki temelji na pravnem in dejanskem stanju, ki je bilo stranki predstavljeno. Tudi po veljavnem zakonu v pritožbenem ali sodnem postopku stranka ne more navajati novih dejstev in dokazov, če jih ni navedla v postopku pred izdajo odločbe, čeprav je imela to možnost. Pasivnost stranke tudi sicer v upravnem postopku, pri uporabi drugih, že uveljavljenih institutov, povzroči pravne posledice, ki zadenejo stranko (npr. nevložitev pritožbe zoper odločbo povzroči </w:t>
      </w:r>
      <w:r w:rsidRPr="00392381">
        <w:rPr>
          <w:rFonts w:cs="Arial"/>
          <w:kern w:val="2"/>
          <w:szCs w:val="20"/>
          <w:lang w:val="sl-SI"/>
        </w:rPr>
        <w:lastRenderedPageBreak/>
        <w:t>nastanek dokončnosti odločbe). Bistveno pri tem je, da je stranka ustrezno, jasno in pravočasno poučena o svojih pravicah in pravnih posledicah, če pravic ne bo uveljavljala. Kolikor jih kljub poučitvi ne uveljavi, jo zadenejo pravne posledice tega.</w:t>
      </w:r>
    </w:p>
    <w:p w14:paraId="6A9BBFE6" w14:textId="77777777" w:rsidR="00847A71" w:rsidRPr="00392381" w:rsidRDefault="00847A71" w:rsidP="00847A71">
      <w:pPr>
        <w:jc w:val="both"/>
        <w:rPr>
          <w:rFonts w:cs="Arial"/>
          <w:kern w:val="2"/>
          <w:szCs w:val="20"/>
          <w:lang w:val="sl-SI"/>
        </w:rPr>
      </w:pPr>
    </w:p>
    <w:p w14:paraId="741DCFF7" w14:textId="24793996" w:rsidR="00847A71" w:rsidRPr="00392381" w:rsidRDefault="00847A71" w:rsidP="00847A71">
      <w:pPr>
        <w:jc w:val="both"/>
        <w:rPr>
          <w:rFonts w:cs="Arial"/>
          <w:szCs w:val="20"/>
          <w:lang w:val="sl-SI"/>
        </w:rPr>
      </w:pPr>
      <w:r w:rsidRPr="00392381">
        <w:rPr>
          <w:rFonts w:cs="Arial"/>
          <w:kern w:val="2"/>
          <w:szCs w:val="20"/>
          <w:lang w:val="sl-SI"/>
        </w:rPr>
        <w:t>Po pojasnjenem informativn</w:t>
      </w:r>
      <w:r w:rsidR="00161AB8" w:rsidRPr="00392381">
        <w:rPr>
          <w:rFonts w:cs="Arial"/>
          <w:kern w:val="2"/>
          <w:szCs w:val="20"/>
          <w:lang w:val="sl-SI"/>
        </w:rPr>
        <w:t>a</w:t>
      </w:r>
      <w:r w:rsidRPr="00392381">
        <w:rPr>
          <w:rFonts w:cs="Arial"/>
          <w:kern w:val="2"/>
          <w:szCs w:val="20"/>
          <w:lang w:val="sl-SI"/>
        </w:rPr>
        <w:t xml:space="preserve"> odločb</w:t>
      </w:r>
      <w:r w:rsidR="00161AB8" w:rsidRPr="00392381">
        <w:rPr>
          <w:rFonts w:cs="Arial"/>
          <w:kern w:val="2"/>
          <w:szCs w:val="20"/>
          <w:lang w:val="sl-SI"/>
        </w:rPr>
        <w:t>a</w:t>
      </w:r>
      <w:r w:rsidRPr="00392381">
        <w:rPr>
          <w:rFonts w:cs="Arial"/>
          <w:kern w:val="2"/>
          <w:szCs w:val="20"/>
          <w:lang w:val="sl-SI"/>
        </w:rPr>
        <w:t xml:space="preserve"> ne posega v ustavni pravici do pravnega sredstva iz 25. člena Ustave in do sodnega varstva iz 23. člena Ustave, saj je stranki zagotovljena možnost ugovora zoper informativno odločbo, za kar ima na voljo dovolj dolg rok, njen ugovor pa »povzroči« dopolnitev postopka oziroma izdajo nove informativne odločbe ali končne odločbe v zadevi, zoper katero ima spet na voljo pravna sredstva (ugovor zoper informativno odločbo oziroma pritožbo zoper končno odločbo, če gre za dvostopenjski postopek). Navedeni ustavni pravici strankam torej z institutom informativne odločbe nista odvzeti ali krateni, morajo pa stranke aktivno ravnati, če ju želijo uveljaviti, kot velja to tudi sicer (npr. pravico do pritožbe zoper odločbo lahko stranka uveljavlja le s svojim aktivnim ravnanjem), o čemer pa bodo ustrezno in natančno poučene. </w:t>
      </w:r>
      <w:r w:rsidR="00161AB8" w:rsidRPr="00392381">
        <w:rPr>
          <w:rFonts w:cs="Arial"/>
          <w:kern w:val="2"/>
          <w:szCs w:val="20"/>
          <w:lang w:val="sl-SI"/>
        </w:rPr>
        <w:t xml:space="preserve">Zakon temelji na razumni domnevi, da bo stranka nestrinjanje z odločitvijo </w:t>
      </w:r>
      <w:r w:rsidR="005A7881" w:rsidRPr="00392381">
        <w:rPr>
          <w:rFonts w:cs="Arial"/>
          <w:kern w:val="2"/>
          <w:szCs w:val="20"/>
          <w:lang w:val="sl-SI"/>
        </w:rPr>
        <w:t xml:space="preserve">uveljavljala pri organu, ki je informativno odločbo izdal, saj bo ta naprej presoditi ali so pomisleki stranke utemeljeni in lahko vplivajo na odločitev. Ob razčiščenju ugotovitev prvostopenjskega organa in zatrjevanj strank bo slednjim, tako kot sedaj, zagotovljena pravica do pritožbe ali sodnega varstva. </w:t>
      </w:r>
      <w:r w:rsidRPr="00392381">
        <w:rPr>
          <w:rFonts w:cs="Arial"/>
          <w:kern w:val="2"/>
          <w:szCs w:val="20"/>
          <w:lang w:val="sl-SI"/>
        </w:rPr>
        <w:t xml:space="preserve">Glede na navedeno tudi ne moremo govoriti o hudih posledicah za prava neuke stranke, če kljub natančni poučitvi pravice do ugovora ne bodo izkoristile in se bodo s tem odpovedale pravici do pritožbe oziroma do sodnega varstva, saj se stranke svojim pravicam lahko svobodno odpovedo. Bistveno je, da so stranke pred tem </w:t>
      </w:r>
      <w:r w:rsidRPr="00392381">
        <w:rPr>
          <w:rFonts w:cs="Arial"/>
          <w:szCs w:val="20"/>
          <w:lang w:val="sl-SI"/>
        </w:rPr>
        <w:t xml:space="preserve">pravilno in popolno seznanjene z možnostjo ugovora, rokom za ugovor in posledicami, če ugovora ne bodo vložile; kolikor te možnosti, čeprav bi jo lahko, ne izkoristijo, nastopijo predvidene pravne posledice. </w:t>
      </w:r>
    </w:p>
    <w:p w14:paraId="137B8584" w14:textId="77777777" w:rsidR="009631E8" w:rsidRPr="00392381" w:rsidRDefault="009631E8" w:rsidP="00847A71">
      <w:pPr>
        <w:jc w:val="both"/>
        <w:rPr>
          <w:rFonts w:cs="Arial"/>
          <w:kern w:val="2"/>
          <w:szCs w:val="20"/>
          <w:lang w:val="sl-SI"/>
        </w:rPr>
      </w:pPr>
    </w:p>
    <w:p w14:paraId="7485C09E" w14:textId="576FFE50" w:rsidR="009631E8" w:rsidRPr="00392381" w:rsidRDefault="009631E8" w:rsidP="009631E8">
      <w:pPr>
        <w:jc w:val="both"/>
        <w:rPr>
          <w:rFonts w:cs="Arial"/>
          <w:kern w:val="2"/>
          <w:szCs w:val="20"/>
          <w:lang w:val="sl-SI"/>
        </w:rPr>
      </w:pPr>
      <w:r w:rsidRPr="00392381">
        <w:rPr>
          <w:rFonts w:cs="Arial"/>
          <w:kern w:val="2"/>
          <w:szCs w:val="20"/>
          <w:lang w:val="sl-SI"/>
        </w:rPr>
        <w:t xml:space="preserve">K navedenemu dodajamo, da je informativna odločba po svoji pravni naravi torej najprej akt informativne narave, ki pa postane, kolikor stranka z njim v celoti soglaša in ne vloži ugovora, pravnomočna odločba, s katero je odločeno o njeni pravici, obveznosti ali pravni koristi. Institut  »informativne odločbe« </w:t>
      </w:r>
      <w:r w:rsidR="002E318C" w:rsidRPr="00392381">
        <w:rPr>
          <w:rFonts w:cs="Arial"/>
          <w:kern w:val="2"/>
          <w:szCs w:val="20"/>
          <w:lang w:val="sl-SI"/>
        </w:rPr>
        <w:t xml:space="preserve">je že uveljavljen </w:t>
      </w:r>
      <w:r w:rsidRPr="00392381">
        <w:rPr>
          <w:rFonts w:cs="Arial"/>
          <w:kern w:val="2"/>
          <w:szCs w:val="20"/>
          <w:lang w:val="sl-SI"/>
        </w:rPr>
        <w:t>na področju kmetijstva</w:t>
      </w:r>
      <w:r w:rsidRPr="00392381">
        <w:rPr>
          <w:rFonts w:cs="Arial"/>
          <w:kern w:val="2"/>
          <w:szCs w:val="20"/>
          <w:vertAlign w:val="superscript"/>
          <w:lang w:val="sl-SI"/>
        </w:rPr>
        <w:footnoteReference w:id="2"/>
      </w:r>
      <w:r w:rsidRPr="00392381">
        <w:rPr>
          <w:rFonts w:cs="Arial"/>
          <w:kern w:val="2"/>
          <w:szCs w:val="20"/>
          <w:lang w:val="sl-SI"/>
        </w:rPr>
        <w:t xml:space="preserve">, </w:t>
      </w:r>
      <w:r w:rsidR="002E318C" w:rsidRPr="00392381">
        <w:rPr>
          <w:rFonts w:cs="Arial"/>
          <w:kern w:val="2"/>
          <w:szCs w:val="20"/>
          <w:lang w:val="sl-SI"/>
        </w:rPr>
        <w:t xml:space="preserve">na področju </w:t>
      </w:r>
      <w:r w:rsidRPr="00392381">
        <w:rPr>
          <w:rFonts w:cs="Arial"/>
          <w:kern w:val="2"/>
          <w:szCs w:val="20"/>
          <w:lang w:val="sl-SI"/>
        </w:rPr>
        <w:t>sociale</w:t>
      </w:r>
      <w:r w:rsidRPr="00392381">
        <w:rPr>
          <w:rFonts w:cs="Arial"/>
          <w:kern w:val="2"/>
          <w:szCs w:val="20"/>
          <w:vertAlign w:val="superscript"/>
          <w:lang w:val="sl-SI"/>
        </w:rPr>
        <w:footnoteReference w:id="3"/>
      </w:r>
      <w:r w:rsidRPr="00392381">
        <w:rPr>
          <w:rFonts w:cs="Arial"/>
          <w:kern w:val="2"/>
          <w:szCs w:val="20"/>
          <w:lang w:val="sl-SI"/>
        </w:rPr>
        <w:t xml:space="preserve"> in davkov</w:t>
      </w:r>
      <w:r w:rsidRPr="00392381">
        <w:rPr>
          <w:rFonts w:cs="Arial"/>
          <w:kern w:val="2"/>
          <w:szCs w:val="20"/>
          <w:vertAlign w:val="superscript"/>
          <w:lang w:val="sl-SI"/>
        </w:rPr>
        <w:footnoteReference w:id="4"/>
      </w:r>
      <w:r w:rsidRPr="00392381">
        <w:rPr>
          <w:rFonts w:cs="Arial"/>
          <w:kern w:val="2"/>
          <w:szCs w:val="20"/>
          <w:lang w:val="sl-SI"/>
        </w:rPr>
        <w:t xml:space="preserve"> </w:t>
      </w:r>
      <w:r w:rsidR="002E318C" w:rsidRPr="00392381">
        <w:rPr>
          <w:rFonts w:cs="Arial"/>
          <w:kern w:val="2"/>
          <w:szCs w:val="20"/>
          <w:lang w:val="sl-SI"/>
        </w:rPr>
        <w:t xml:space="preserve">pa pravno in vsebinsko primerljiva ureditev informativnega izračuna, </w:t>
      </w:r>
      <w:r w:rsidRPr="00392381">
        <w:rPr>
          <w:rFonts w:cs="Arial"/>
          <w:kern w:val="2"/>
          <w:szCs w:val="20"/>
          <w:lang w:val="sl-SI"/>
        </w:rPr>
        <w:t xml:space="preserve">ter </w:t>
      </w:r>
      <w:r w:rsidRPr="009631E8">
        <w:rPr>
          <w:rFonts w:cs="Arial"/>
          <w:kern w:val="2"/>
          <w:szCs w:val="20"/>
          <w:lang w:val="sl-SI"/>
        </w:rPr>
        <w:t xml:space="preserve">se v dosedanji sodni praksi </w:t>
      </w:r>
      <w:r w:rsidR="002E318C" w:rsidRPr="00392381">
        <w:rPr>
          <w:rFonts w:cs="Arial"/>
          <w:kern w:val="2"/>
          <w:szCs w:val="20"/>
          <w:lang w:val="sl-SI"/>
        </w:rPr>
        <w:t>nista i</w:t>
      </w:r>
      <w:r w:rsidRPr="009631E8">
        <w:rPr>
          <w:rFonts w:cs="Arial"/>
          <w:kern w:val="2"/>
          <w:szCs w:val="20"/>
          <w:lang w:val="sl-SI"/>
        </w:rPr>
        <w:t>zkazala kot ustavnopravno sporna.</w:t>
      </w:r>
    </w:p>
    <w:p w14:paraId="037A658E" w14:textId="77777777" w:rsidR="009631E8" w:rsidRPr="00392381" w:rsidRDefault="009631E8" w:rsidP="00847A71">
      <w:pPr>
        <w:jc w:val="both"/>
        <w:rPr>
          <w:rFonts w:cs="Arial"/>
          <w:kern w:val="2"/>
          <w:szCs w:val="20"/>
          <w:lang w:val="sl-SI"/>
        </w:rPr>
      </w:pPr>
    </w:p>
    <w:p w14:paraId="36C028C6" w14:textId="77777777" w:rsidR="00847A71" w:rsidRPr="00392381" w:rsidRDefault="00847A71" w:rsidP="00847A71">
      <w:pPr>
        <w:rPr>
          <w:rFonts w:cs="Arial"/>
          <w:szCs w:val="20"/>
          <w:lang w:val="sl-SI"/>
        </w:rPr>
      </w:pPr>
    </w:p>
    <w:p w14:paraId="04E8F918" w14:textId="4EB989FF" w:rsidR="00847A71" w:rsidRPr="00392381" w:rsidRDefault="0069086C" w:rsidP="0069086C">
      <w:pPr>
        <w:pStyle w:val="Odstavekseznama"/>
        <w:overflowPunct/>
        <w:autoSpaceDE/>
        <w:autoSpaceDN/>
        <w:adjustRightInd/>
        <w:spacing w:line="260" w:lineRule="exact"/>
        <w:ind w:left="360"/>
        <w:contextualSpacing/>
        <w:jc w:val="left"/>
        <w:textAlignment w:val="auto"/>
        <w:rPr>
          <w:rFonts w:cs="Arial"/>
          <w:b/>
          <w:bCs/>
          <w:sz w:val="20"/>
          <w:szCs w:val="20"/>
        </w:rPr>
      </w:pPr>
      <w:r w:rsidRPr="00392381">
        <w:rPr>
          <w:rFonts w:cs="Arial"/>
          <w:b/>
          <w:bCs/>
          <w:sz w:val="20"/>
          <w:szCs w:val="20"/>
        </w:rPr>
        <w:t xml:space="preserve">b)   </w:t>
      </w:r>
      <w:r w:rsidR="00847A71" w:rsidRPr="00392381">
        <w:rPr>
          <w:rFonts w:cs="Arial"/>
          <w:b/>
          <w:bCs/>
          <w:sz w:val="20"/>
          <w:szCs w:val="20"/>
        </w:rPr>
        <w:t>Odločba brez obrazložitve</w:t>
      </w:r>
    </w:p>
    <w:p w14:paraId="78A8B3EE" w14:textId="0910816C" w:rsidR="00847A71" w:rsidRPr="00392381" w:rsidRDefault="00847A71" w:rsidP="00847A71">
      <w:pPr>
        <w:jc w:val="both"/>
        <w:rPr>
          <w:rFonts w:cs="Arial"/>
          <w:b/>
          <w:bCs/>
          <w:kern w:val="2"/>
          <w:szCs w:val="20"/>
          <w:lang w:val="sl-SI"/>
        </w:rPr>
      </w:pPr>
      <w:r w:rsidRPr="00392381">
        <w:rPr>
          <w:rFonts w:cs="Arial"/>
          <w:b/>
          <w:bCs/>
          <w:kern w:val="2"/>
          <w:szCs w:val="20"/>
          <w:lang w:val="sl-SI"/>
        </w:rPr>
        <w:t xml:space="preserve">Izdaja odločbe brez obrazložitve je v zakonu predvidena kot </w:t>
      </w:r>
      <w:r w:rsidR="003A3CDC" w:rsidRPr="00392381">
        <w:rPr>
          <w:rFonts w:cs="Arial"/>
          <w:b/>
          <w:bCs/>
          <w:kern w:val="2"/>
          <w:szCs w:val="20"/>
          <w:lang w:val="sl-SI"/>
        </w:rPr>
        <w:t xml:space="preserve">procesna </w:t>
      </w:r>
      <w:r w:rsidRPr="00392381">
        <w:rPr>
          <w:rFonts w:cs="Arial"/>
          <w:b/>
          <w:bCs/>
          <w:kern w:val="2"/>
          <w:szCs w:val="20"/>
          <w:lang w:val="sl-SI"/>
        </w:rPr>
        <w:t xml:space="preserve">možnost </w:t>
      </w:r>
      <w:r w:rsidR="003A3CDC" w:rsidRPr="00392381">
        <w:rPr>
          <w:rFonts w:cs="Arial"/>
          <w:b/>
          <w:bCs/>
          <w:kern w:val="2"/>
          <w:szCs w:val="20"/>
          <w:lang w:val="sl-SI"/>
        </w:rPr>
        <w:t xml:space="preserve">organa </w:t>
      </w:r>
      <w:r w:rsidRPr="00392381">
        <w:rPr>
          <w:rFonts w:cs="Arial"/>
          <w:b/>
          <w:bCs/>
          <w:kern w:val="2"/>
          <w:szCs w:val="20"/>
          <w:lang w:val="sl-SI"/>
        </w:rPr>
        <w:t>in njena izdaja v nobeni vrsti postopkov ni obvezna. Izdaja odločbe brez obrazložitve je pogojena z ugoditvijo zahtevi stranke, kot tudi z dejstvom, da odločba ne posega v pravne položaje drugih oseb. V pravico stranke do pravnega sredstva ali do sodnega varstva z odločbo brez obrazložitve ni poseženo, saj ima stranka pri vseh dejanjih v postopku možnost aktivnega sodelovanja in vplivanja na njegov potek. Stranka lahko od organa zahteva, da ji izda odločbo s polno obrazložitvijo tako, da napove pritožbo v roku 15 dni po vročitvi odločbe in organ mora izdati odločbo s polno obrazložitvijo v osmih dneh od napovedi pritožbe. Napoved pritožbe ne zavezuje stranke, da pritožbo kasneje tudi vloži.</w:t>
      </w:r>
      <w:r w:rsidRPr="00392381">
        <w:rPr>
          <w:rFonts w:cs="Arial"/>
          <w:kern w:val="2"/>
          <w:szCs w:val="20"/>
          <w:lang w:val="sl-SI"/>
        </w:rPr>
        <w:t xml:space="preserve"> </w:t>
      </w:r>
      <w:r w:rsidRPr="00392381">
        <w:rPr>
          <w:rFonts w:cs="Arial"/>
          <w:b/>
          <w:bCs/>
          <w:kern w:val="2"/>
          <w:szCs w:val="20"/>
          <w:lang w:val="sl-SI"/>
        </w:rPr>
        <w:t xml:space="preserve"> Kolikor pa se pravici do pravnega sredstva oziroma do sodnega varstva stranka svobodno odpove in je o posledicah te odpovedi vnaprej jasno in natančno poučena, nastopijo </w:t>
      </w:r>
      <w:r w:rsidRPr="00392381">
        <w:rPr>
          <w:rFonts w:cs="Arial"/>
          <w:b/>
          <w:bCs/>
          <w:kern w:val="2"/>
          <w:szCs w:val="20"/>
          <w:lang w:val="sl-SI"/>
        </w:rPr>
        <w:lastRenderedPageBreak/>
        <w:t>pravne posledice, določene z zakonom, zato o izvotlitvi pravice do pravnega sredstva ni mogoče govoriti. Smiselno enako ureditev že več let vsebuje ZP-1, pa le-ta nikoli ni bila pripoznana kot sporna.</w:t>
      </w:r>
      <w:r w:rsidR="002E318C" w:rsidRPr="00392381">
        <w:rPr>
          <w:rFonts w:cs="Arial"/>
          <w:b/>
          <w:bCs/>
          <w:kern w:val="2"/>
          <w:szCs w:val="20"/>
          <w:lang w:val="sl-SI"/>
        </w:rPr>
        <w:t xml:space="preserve"> V skladu z novo ureditvijo lahko tudi državni tožilec in državni odvetnik, ki nista sodelovala kot stranki v postopku, v roku, v katerem lahko napove pritožbo stranka, napovesta pritožbo ali zahtevata vročitev odločbe.</w:t>
      </w:r>
    </w:p>
    <w:p w14:paraId="7B0BA3B9" w14:textId="77777777" w:rsidR="00847A71" w:rsidRPr="00392381" w:rsidRDefault="00847A71" w:rsidP="00847A71">
      <w:pPr>
        <w:jc w:val="both"/>
        <w:rPr>
          <w:rFonts w:cs="Arial"/>
          <w:b/>
          <w:bCs/>
          <w:kern w:val="2"/>
          <w:szCs w:val="20"/>
          <w:lang w:val="sl-SI"/>
        </w:rPr>
      </w:pPr>
    </w:p>
    <w:p w14:paraId="0894F090" w14:textId="77777777" w:rsidR="00847A71" w:rsidRPr="00392381" w:rsidRDefault="00847A71" w:rsidP="00847A71">
      <w:pPr>
        <w:jc w:val="both"/>
        <w:rPr>
          <w:rFonts w:cs="Arial"/>
          <w:szCs w:val="20"/>
          <w:lang w:val="sl-SI"/>
        </w:rPr>
      </w:pPr>
      <w:r w:rsidRPr="00392381">
        <w:rPr>
          <w:rFonts w:cs="Arial"/>
          <w:kern w:val="2"/>
          <w:szCs w:val="20"/>
          <w:lang w:val="sl-SI"/>
        </w:rPr>
        <w:t xml:space="preserve">Državni svet navaja, da je obrazložitev odločbe ključni element vsakega poštenega postopka, zato izdaja odločbe brez obrazložitve, ki je pogojena z </w:t>
      </w:r>
      <w:r w:rsidRPr="00392381">
        <w:rPr>
          <w:rFonts w:eastAsia="Calibri" w:cs="Arial"/>
          <w:szCs w:val="20"/>
          <w:lang w:val="sl-SI"/>
        </w:rPr>
        <w:t>odločitvijo stranke o napovedi pritožbe, preden ima ta možnost vpogleda v celovito pisno obrazložitev, izvotli smisel pravice do pravnega sredstva. Takšna ureditev zmanjšuje nadzor nad zakonitostjo in povečuje tveganje za arbitrarno odločanje organov, močno pa tudi zmanjša možnost zastopnikov javnega interesa, da bi učinkovito uveljavljali varstvo javnih koristi in preverjali zakonitost odločanja.</w:t>
      </w:r>
    </w:p>
    <w:p w14:paraId="54DD7DA2" w14:textId="77777777" w:rsidR="00847A71" w:rsidRPr="00392381" w:rsidRDefault="00847A71" w:rsidP="00847A71">
      <w:pPr>
        <w:rPr>
          <w:rFonts w:cs="Arial"/>
          <w:szCs w:val="20"/>
          <w:lang w:val="sl-SI"/>
        </w:rPr>
      </w:pPr>
    </w:p>
    <w:p w14:paraId="502987F7" w14:textId="77777777" w:rsidR="00847A71" w:rsidRPr="00392381" w:rsidRDefault="00847A71" w:rsidP="00847A71">
      <w:pPr>
        <w:jc w:val="both"/>
        <w:rPr>
          <w:rFonts w:cs="Arial"/>
          <w:kern w:val="2"/>
          <w:szCs w:val="20"/>
          <w:lang w:val="sl-SI"/>
        </w:rPr>
      </w:pPr>
      <w:r w:rsidRPr="00392381">
        <w:rPr>
          <w:rFonts w:cs="Arial"/>
          <w:kern w:val="2"/>
          <w:szCs w:val="20"/>
          <w:lang w:val="sl-SI"/>
        </w:rPr>
        <w:t xml:space="preserve">Odločbo brez obrazložitve lahko izda organ, če zahtevi stranke ugodi in nihče ne ugovarja postavljenemu zahtevku. S tem se v splošnem zakonu vzpostavlja pravna podlaga, po kateri organ v postopkih na zahtevo stranke izjemoma lahko izda odločbo brez obrazložitve, ki jo sicer ureja 214. člen ZUP. Njena izdaja je pogojena z ugoditvijo zahtevi stranke, kot tudi z dejstvom, da odločba ne posega v pravne položaje drugih oseb. Izdaja odločbe brez obrazložitve ni zavezujoča, saj organ vedno lahko presodi, da bo vseeno izdal odločbo s polno obrazložitvijo. Takšne situacije so možne, če ugoditev zahtevku ni enoznačna, na primer glede višine zneska, ki se priznava, če je pričakovati, da bodo drugi udeleženci lahko uveljavili pravico do pritožbe, ali če je zaradi specifičnih pravil posebnih postopkov treba izdati odločbo s polno obrazložitvijo. </w:t>
      </w:r>
    </w:p>
    <w:p w14:paraId="6451FFF2" w14:textId="77777777" w:rsidR="00847A71" w:rsidRPr="00392381" w:rsidRDefault="00847A71" w:rsidP="00847A71">
      <w:pPr>
        <w:jc w:val="both"/>
        <w:rPr>
          <w:rFonts w:cs="Arial"/>
          <w:kern w:val="2"/>
          <w:szCs w:val="20"/>
          <w:lang w:val="sl-SI"/>
        </w:rPr>
      </w:pPr>
    </w:p>
    <w:p w14:paraId="38D4D25D" w14:textId="7EB62E1A" w:rsidR="00847A71" w:rsidRPr="00392381" w:rsidRDefault="00847A71" w:rsidP="00847A71">
      <w:pPr>
        <w:jc w:val="both"/>
        <w:rPr>
          <w:rFonts w:cs="Arial"/>
          <w:kern w:val="2"/>
          <w:szCs w:val="20"/>
          <w:lang w:val="sl-SI"/>
        </w:rPr>
      </w:pPr>
      <w:r w:rsidRPr="00392381">
        <w:rPr>
          <w:rFonts w:cs="Arial"/>
          <w:kern w:val="2"/>
          <w:szCs w:val="20"/>
          <w:lang w:val="sl-SI"/>
        </w:rPr>
        <w:t>Izdaja odločbe brez obrazložitve odraža načelo ekonomičnosti, ko organ zaradi večje učinkovitosti v interesu stranke in organa (hitrejša izdaja odločbe) ne pripravlja obrazložitve, če ta ni nujno potrebna, ker po naravi stvari zaradi ugoditve zahtevi ni pričakovati, da bi stranka uveljavljala pravico do pritožbe, organ pa lahko ta čas nameni drugim</w:t>
      </w:r>
      <w:r w:rsidR="0033059E" w:rsidRPr="00392381">
        <w:rPr>
          <w:rFonts w:cs="Arial"/>
          <w:kern w:val="2"/>
          <w:szCs w:val="20"/>
          <w:lang w:val="sl-SI"/>
        </w:rPr>
        <w:t xml:space="preserve"> nerešenim zadevam</w:t>
      </w:r>
      <w:r w:rsidRPr="00392381">
        <w:rPr>
          <w:rFonts w:cs="Arial"/>
          <w:kern w:val="2"/>
          <w:szCs w:val="20"/>
          <w:lang w:val="sl-SI"/>
        </w:rPr>
        <w:t>, stranka pa je hkrati tudi zadovoljna s tem, da je bilo njenemu zahtevku ugodeno in da bo v zvezi s tem hitro prejela pozitivno odločbo. Toda tudi, če je izdana odločba brez obrazložitve in stranka ali drug udeleženec ocenjuje, da je odločitev nezakonita, mu je omogočeno, da to nezakonitost uveljavlja. Stranka namreč od organa lahko zahteva, da ji izda odločbo s polno obrazložitvijo, in sicer tako, da napove pritožbo v roku 15 dni po vročitvi odločbe pri organu, ki je odločbo izdal. Organ o tem pouči stranko v pouku odločbe brez obrazložitve. Če stranka napove pritožbo, izda organ odločbo s polno obrazložitvijo v roku osmih dni od vložitve zahteve. Napoved pritožbe ne zavezuje stranke, da pritožbo tudi vloži. Na podlagi polne obrazložitve stranka presodi, ali bo odločbo izpodbijala v pritožbenem ali sodnem postopku.</w:t>
      </w:r>
    </w:p>
    <w:p w14:paraId="5796FF64" w14:textId="77777777" w:rsidR="00847A71" w:rsidRPr="00392381" w:rsidRDefault="00847A71" w:rsidP="00847A71">
      <w:pPr>
        <w:jc w:val="both"/>
        <w:rPr>
          <w:rFonts w:cs="Arial"/>
          <w:kern w:val="2"/>
          <w:szCs w:val="20"/>
          <w:lang w:val="sl-SI"/>
        </w:rPr>
      </w:pPr>
      <w:r w:rsidRPr="00392381">
        <w:rPr>
          <w:rFonts w:cs="Arial"/>
          <w:kern w:val="2"/>
          <w:szCs w:val="20"/>
          <w:lang w:val="sl-SI"/>
        </w:rPr>
        <w:t xml:space="preserve"> </w:t>
      </w:r>
    </w:p>
    <w:p w14:paraId="56D095B7" w14:textId="77777777" w:rsidR="00847A71" w:rsidRPr="00392381" w:rsidRDefault="00847A71" w:rsidP="00847A71">
      <w:pPr>
        <w:jc w:val="both"/>
        <w:rPr>
          <w:rFonts w:cs="Arial"/>
          <w:kern w:val="2"/>
          <w:szCs w:val="20"/>
          <w:lang w:val="sl-SI"/>
        </w:rPr>
      </w:pPr>
      <w:r w:rsidRPr="00392381">
        <w:rPr>
          <w:rFonts w:cs="Arial"/>
          <w:kern w:val="2"/>
          <w:szCs w:val="20"/>
          <w:lang w:val="sl-SI"/>
        </w:rPr>
        <w:t xml:space="preserve">Če stranka v roku ne napove pritožbe, se šteje, da se je pritožbi odpovedala, zato po izteku roka za napoved pritožbe odločba postane dokončna in pravnomočna. Če v postopku sodeluje več strank, napoved pritožbe ene izmed njih ovira nastanek dokončnosti in pravnomočnosti. Kljub temu, da se odločba s polno obrazložitvijo vroči vsem strankam, lahko odločbo izpodbija samo tista stranka, ki je napovedala pritožbo. Šteje se, da so se stranke, ki niso napovedale pritožbe, odpovedale pritožbi, zato se njihova morebitna pritožba šteje kot nedovoljena. V enostopenjskih upravnih zadevah, ki se zaključijo z odločbo brez obrazložitve, velja smiselno enako kot v dvostopenjskih upravnih zadevah - stranka lahko napove uveljavljanje sodnega varstva, organ pa mora v roku osmih dni izdati odločbo s polno obrazložitvijo. Rok za pritožbo oziroma tožbo začne teči od vročitve odločbe s polno obrazložitvijo. </w:t>
      </w:r>
    </w:p>
    <w:p w14:paraId="1B0C6706" w14:textId="77777777" w:rsidR="00847A71" w:rsidRPr="00392381" w:rsidRDefault="00847A71" w:rsidP="00847A71">
      <w:pPr>
        <w:jc w:val="both"/>
        <w:rPr>
          <w:rFonts w:cs="Arial"/>
          <w:kern w:val="2"/>
          <w:szCs w:val="20"/>
          <w:lang w:val="sl-SI"/>
        </w:rPr>
      </w:pPr>
    </w:p>
    <w:p w14:paraId="45D906FA" w14:textId="77777777" w:rsidR="00847A71" w:rsidRPr="00392381" w:rsidRDefault="00847A71" w:rsidP="00847A71">
      <w:pPr>
        <w:jc w:val="both"/>
        <w:rPr>
          <w:rFonts w:cs="Arial"/>
          <w:szCs w:val="20"/>
          <w:lang w:val="sl-SI"/>
        </w:rPr>
      </w:pPr>
      <w:r w:rsidRPr="00392381">
        <w:rPr>
          <w:rFonts w:cs="Arial"/>
          <w:kern w:val="2"/>
          <w:szCs w:val="20"/>
          <w:lang w:val="sl-SI"/>
        </w:rPr>
        <w:t xml:space="preserve">Če oseba ni sodelovala v postopku do izdaje odločbe brez obrazložitve, pa bi morala biti udeležena kot stranski udeleženec, lahko v roku, v katerem lahko stranka napove vložitev pritožbe, neposredno napove pritožbo in s tem uveljavlja zahtevo za vročitev odločbe z obrazložitvijo. Takšno možnost bo oseba uporabila, če je izvedela za vsebino izdane odločbe, sicer bo najprej zahtevala vročitev odločbe, nato pa presojala, ali bo napovedala pritožbo. S tem se omogoči vstop v postopek stranskim udeležencem tudi po izdaji odločbe brez obrazložitve. Kadar bodo že stranke napovedale vložitev pritožbe, prezrti stranski udeleženec lahko zahteva vstop v postopek po veljavnem 229. členu ZUP, tako da vloži pritožbo (če ve za izdajo odločbe) </w:t>
      </w:r>
      <w:r w:rsidRPr="00392381">
        <w:rPr>
          <w:rFonts w:cs="Arial"/>
          <w:kern w:val="2"/>
          <w:szCs w:val="20"/>
          <w:lang w:val="sl-SI"/>
        </w:rPr>
        <w:lastRenderedPageBreak/>
        <w:t>ali v roku za pritožbo za stranko zahteva vročitev odločbe. Pri presoji upravičenosti zahtevka bo organ presojal pravni interes vložnika v smislu 43. člena ZUP. Zakon predvideva tudi, da lahko d</w:t>
      </w:r>
      <w:r w:rsidRPr="00392381">
        <w:rPr>
          <w:rFonts w:cs="Arial"/>
          <w:szCs w:val="20"/>
          <w:lang w:val="sl-SI"/>
        </w:rPr>
        <w:t>ržavni tožilec in državni odvetnik, ki nista sodelovala kot stranki v postopku, v roku, v katerem lahko napove pritožbo stranka, napovesta pritožbo ali zahtevata vročitev odločbe.</w:t>
      </w:r>
    </w:p>
    <w:p w14:paraId="31ED8EB2" w14:textId="77777777" w:rsidR="00847A71" w:rsidRPr="00392381" w:rsidRDefault="00847A71" w:rsidP="00847A71">
      <w:pPr>
        <w:jc w:val="both"/>
        <w:rPr>
          <w:rFonts w:cs="Arial"/>
          <w:kern w:val="2"/>
          <w:szCs w:val="20"/>
          <w:lang w:val="sl-SI"/>
        </w:rPr>
      </w:pPr>
    </w:p>
    <w:p w14:paraId="01880F65" w14:textId="32FDE8D1" w:rsidR="00847A71" w:rsidRPr="00392381" w:rsidRDefault="00847A71" w:rsidP="00847A71">
      <w:pPr>
        <w:jc w:val="both"/>
        <w:rPr>
          <w:rFonts w:cs="Arial"/>
          <w:kern w:val="2"/>
          <w:szCs w:val="20"/>
          <w:lang w:val="sl-SI"/>
        </w:rPr>
      </w:pPr>
      <w:r w:rsidRPr="00392381">
        <w:rPr>
          <w:rFonts w:cs="Arial"/>
          <w:kern w:val="2"/>
          <w:szCs w:val="20"/>
          <w:lang w:val="sl-SI"/>
        </w:rPr>
        <w:t xml:space="preserve">Glede na pojasnjeno je torej izdaja odločbe brez obrazložitve v zakonu predvidena kot </w:t>
      </w:r>
      <w:r w:rsidR="0033059E" w:rsidRPr="00392381">
        <w:rPr>
          <w:rFonts w:cs="Arial"/>
          <w:kern w:val="2"/>
          <w:szCs w:val="20"/>
          <w:lang w:val="sl-SI"/>
        </w:rPr>
        <w:t xml:space="preserve">procesna </w:t>
      </w:r>
      <w:r w:rsidRPr="00392381">
        <w:rPr>
          <w:rFonts w:cs="Arial"/>
          <w:kern w:val="2"/>
          <w:szCs w:val="20"/>
          <w:lang w:val="sl-SI"/>
        </w:rPr>
        <w:t xml:space="preserve">možnost in njena izdaja ni obvezna. Pogoji, pod katerimi lahko organ izda odločbo brez obrazložitve, so v zakonu jasno določeni. Tudi, če so izpolnjeni vsi ti pogoji in organ izda odločbo brez obrazložitve, pa lahko stranka še vedno doseže izdajo odločbe s polno obrazložitvijo tako, da napove pritožbo zoper odločbo brez obrazložitve v 15 dneh po vročitvi te odločbe. Organ mora v primeru vložene napovedi pritožbe vedno izdati odločbo s polno obrazložitvijo v osmih dneh od prejema napovedi pritožbe. O vsem navedenem mora biti stranka poučena v pouku o pravnem sredstvu odločbe brez obrazložitve. Stranka se po prejemu odločbe s polno obrazložitvijo seznani z vsemi razlogi za sprejeto odločitev in se lahko odloči za vložitev pritožbe zoper odločbo po redni poti. Stranka se lahko odloči, da napovedi pritožbe zoper odločbo brez obrazložitve ne bo izkoristila, saj se svojim pravicam lahko odpove. Bistveno je, da je pred tem </w:t>
      </w:r>
      <w:r w:rsidRPr="00392381">
        <w:rPr>
          <w:rFonts w:cs="Arial"/>
          <w:szCs w:val="20"/>
          <w:lang w:val="sl-SI"/>
        </w:rPr>
        <w:t xml:space="preserve">pravilno in popolno seznanjena z možnostjo napovedi pritožbe, rokom za napoved in posledicami, če pritožbe ne bo napovedala, kar smiselno enako velja glede pravice do sodnega varstva. </w:t>
      </w:r>
    </w:p>
    <w:p w14:paraId="5BC3492A" w14:textId="77777777" w:rsidR="00847A71" w:rsidRPr="00392381" w:rsidRDefault="00847A71" w:rsidP="00847A71">
      <w:pPr>
        <w:jc w:val="both"/>
        <w:rPr>
          <w:rFonts w:cs="Arial"/>
          <w:kern w:val="2"/>
          <w:szCs w:val="20"/>
          <w:lang w:val="sl-SI"/>
        </w:rPr>
      </w:pPr>
    </w:p>
    <w:p w14:paraId="6DDAC84B" w14:textId="49E3F306" w:rsidR="00847A71" w:rsidRPr="00392381" w:rsidRDefault="00847A71" w:rsidP="00847A71">
      <w:pPr>
        <w:jc w:val="both"/>
        <w:rPr>
          <w:rFonts w:cs="Arial"/>
          <w:kern w:val="2"/>
          <w:szCs w:val="20"/>
          <w:lang w:val="sl-SI"/>
        </w:rPr>
      </w:pPr>
      <w:r w:rsidRPr="00392381">
        <w:rPr>
          <w:rFonts w:cs="Arial"/>
          <w:kern w:val="2"/>
          <w:szCs w:val="20"/>
          <w:lang w:val="sl-SI"/>
        </w:rPr>
        <w:t xml:space="preserve">Očitek, da izdaja odločbe brez obrazložitve, ki je pogojena z </w:t>
      </w:r>
      <w:r w:rsidRPr="00392381">
        <w:rPr>
          <w:rFonts w:eastAsia="Calibri" w:cs="Arial"/>
          <w:szCs w:val="20"/>
          <w:lang w:val="sl-SI"/>
        </w:rPr>
        <w:t xml:space="preserve">odločitvijo stranke o napovedi pritožbe, preden ima ta možnost vpogleda v celovito pisno obrazložitev, izvotli smisel pravice do pravnega sredstva, je po pojasnjenem nelogičen in neutemeljen. Izdaja odločbe brez obrazložitve namreč ni pogojena z napovedjo pritožbe, pač pa je izdaja odločbe s polno obrazložitvijo v primeru odločb brez obrazložitve pogojena z napovedjo pritožbe. Pa vendar tudi postopanje na način, kot je določeno v noveli zakona, torej z napovedjo pritožbe, ne predstavlja izvotlitve pravice do pravnega sredstva, saj ta pravica ni zagotovljena zgolj navidezno, pač pa je zagotovljena v polni meri, </w:t>
      </w:r>
      <w:r w:rsidRPr="00392381">
        <w:rPr>
          <w:rFonts w:cs="Arial"/>
          <w:kern w:val="2"/>
          <w:szCs w:val="20"/>
          <w:lang w:val="sl-SI"/>
        </w:rPr>
        <w:t xml:space="preserve">pri čemer mora stranka zoper odločbo brez obrazložitve najprej napovedati pritožbo, kar povzroči izdajo odločbe z obrazložitvijo. Po prejemu take odločbe ima stranka na voljo pravno sredstvo ali sodno varstvo (odvisno od vrste postopka), kot sicer, če bi ji bila že takoj izdana odločba z obrazložitvijo. </w:t>
      </w:r>
    </w:p>
    <w:p w14:paraId="7D42CA19" w14:textId="77777777" w:rsidR="00847A71" w:rsidRPr="00392381" w:rsidRDefault="00847A71" w:rsidP="00847A71">
      <w:pPr>
        <w:jc w:val="both"/>
        <w:rPr>
          <w:rFonts w:cs="Arial"/>
          <w:kern w:val="2"/>
          <w:szCs w:val="20"/>
          <w:lang w:val="sl-SI"/>
        </w:rPr>
      </w:pPr>
    </w:p>
    <w:p w14:paraId="06500DCF" w14:textId="66D8AA6E" w:rsidR="00847A71" w:rsidRPr="00392381" w:rsidRDefault="00847A71" w:rsidP="00847A71">
      <w:pPr>
        <w:jc w:val="both"/>
        <w:rPr>
          <w:rFonts w:cs="Arial"/>
          <w:szCs w:val="20"/>
          <w:lang w:val="sl-SI"/>
        </w:rPr>
      </w:pPr>
      <w:r w:rsidRPr="00392381">
        <w:rPr>
          <w:rFonts w:cs="Arial"/>
          <w:kern w:val="2"/>
          <w:szCs w:val="20"/>
          <w:lang w:val="sl-SI"/>
        </w:rPr>
        <w:t xml:space="preserve">V zvezi z uveljavljanjem rednih ali izrednih pravnih sredstev pri odločbah brez obrazložitve oziroma v zvezi z očitkom o zmanjšanju nadzora nad zakonitostjo in povečanjem tveganja za arbitrarno odločanje upravnih organov, pojasnjujemo, da je za presojo pravilnosti in zakonitosti izdane odločbe bistven njen izrek (ki tudi edini postane dokončen, pravnomočen in izvršljiv) ter listinska dokumentacija konkretne zadeve, ki v celoti izkazuje ugotovljeno dejansko stanje ter opravljena procesna dejanja. Res je sicer, da obrazložitev vsebuje argumente glede tega, katerim dokazom je organ verjel in jim sledil ter zakaj, vendar je obstoj razlogov, ki narekujejo uporabo določenega pravnega sredstva zoper konkretno odločbo, mogoče v celoti ugotoviti iz listinske dokumentacije zadeve. </w:t>
      </w:r>
      <w:r w:rsidR="002E318C" w:rsidRPr="00392381">
        <w:rPr>
          <w:rFonts w:cs="Arial"/>
          <w:kern w:val="2"/>
          <w:szCs w:val="20"/>
          <w:lang w:val="sl-SI"/>
        </w:rPr>
        <w:t xml:space="preserve">Obrazložitev namreč temelji na zapisu argumentov, vendar morajo le ti temeljiti in izhajati iz zbranega procesnega gradiva, saj je obrazložitev le zrcalna slika zbranega procesnega gradiva v upravni akt. </w:t>
      </w:r>
      <w:r w:rsidRPr="00392381">
        <w:rPr>
          <w:rFonts w:cs="Arial"/>
          <w:kern w:val="2"/>
          <w:szCs w:val="20"/>
          <w:lang w:val="sl-SI"/>
        </w:rPr>
        <w:t xml:space="preserve">Ne nazadnje je v še veljavni ureditvi predvidena izdaja odločbe s skrajšano obrazložitvijo (ki se s to novelo zakona sicer črta), ki je tako skopa (vsebuje kratko obrazložitev strankinega zahtevka in sklicevanje na pravne predpise, na podlagi katerih je bilo o zadevi odločeno), da se zastavlja vprašanje, ali bi taka skrajšana obrazložitev lahko predstavljala zadostno podlago za presojo pravilnosti in zakonitosti odločbe v smislu, kot izpostavlja Državni svet. Pa vendar ta, trenutno še veljavna zakonska rešitev, nikoli ni bila pripoznana kot sporna. </w:t>
      </w:r>
    </w:p>
    <w:p w14:paraId="482E60E4" w14:textId="77777777" w:rsidR="00847A71" w:rsidRPr="00392381" w:rsidRDefault="00847A71" w:rsidP="00847A71">
      <w:pPr>
        <w:jc w:val="both"/>
        <w:rPr>
          <w:rFonts w:cs="Arial"/>
          <w:szCs w:val="20"/>
          <w:lang w:val="sl-SI"/>
        </w:rPr>
      </w:pPr>
    </w:p>
    <w:p w14:paraId="3647E87D" w14:textId="77777777" w:rsidR="00847A71" w:rsidRPr="00392381" w:rsidRDefault="00847A71" w:rsidP="00847A71">
      <w:pPr>
        <w:jc w:val="both"/>
        <w:rPr>
          <w:rFonts w:cs="Arial"/>
          <w:szCs w:val="20"/>
          <w:lang w:val="sl-SI"/>
        </w:rPr>
      </w:pPr>
      <w:r w:rsidRPr="00392381">
        <w:rPr>
          <w:rFonts w:cs="Arial"/>
          <w:kern w:val="2"/>
          <w:szCs w:val="20"/>
          <w:lang w:val="sl-SI"/>
        </w:rPr>
        <w:t xml:space="preserve">Po pojasnjenem menimo, da v pravico stranke do poštenega postopka in do pravnega sredstva z odločbo brez obrazložitve ni poseženo, saj ima stranka pri vseh dejanjih v postopku možnost aktivnega sodelovanja in vplivanja na njegov potek – stranka lahko v primernem roku 15 dni napove pritožbo in s tem doseže izdajo odločbe s polno obrazložitvijo. Pri tem napoved pritožbe stranke ni pravno sredstvo in ne veže stranke k dejanski vložitvi pritožbe po prejemu polno obrazložene odločbe, pač pa se šele takrat stranka odloči, ali bo pravico do pritožbe izkoristila ali ne. Nova ureditev tudi zavezuje organ, da stranko o vseh njenih pravicah pravočasno in podrobno pouči, kar je nujno potreben pogoj za to, da lahko stranka dejansko izkoristi svoje pravice. Nadalje </w:t>
      </w:r>
      <w:r w:rsidRPr="00392381">
        <w:rPr>
          <w:rFonts w:cs="Arial"/>
          <w:kern w:val="2"/>
          <w:szCs w:val="20"/>
          <w:lang w:val="sl-SI"/>
        </w:rPr>
        <w:lastRenderedPageBreak/>
        <w:t>zakon tudi določa kriterije, ki omogočajo izdajo odločbe brez obrazložitve, torej odločitev o njeni izdaji ni prepuščena arbitrarnosti organa, prav tako pa morebitno arbitrarno postopanje organa preprečuje zakonsko predvidena pravica napovedi pritožbe, na podlagi katere bo organ moral pripraviti odločbo s polno obrazložitvijo. Kot določa nova ureditev, lahko d</w:t>
      </w:r>
      <w:r w:rsidRPr="00392381">
        <w:rPr>
          <w:rFonts w:cs="Arial"/>
          <w:szCs w:val="20"/>
          <w:lang w:val="sl-SI"/>
        </w:rPr>
        <w:t>ržavni tožilec in državni odvetnik, ki nista sodelovala kot stranki v postopku, v roku, v katerem lahko napove pritožbo stranka, napovesta pritožbo ali zahtevata vročitev odločbe in s tem dosežeta izdajo obrazložene odločbe, na podlagi katere bosta preverila zakonitost odločanja in presodila, ali bi bilo treba uveljavljati varstvo javne koristi v konkretni zadevi. Kolikor ta rok zamudita, je preveritev izdane odločbe, četudi brez obrazložitve, vedno možna na podlagi listinske dokumentacije konkretne zadeve, ki izkazuje ugotovljeno dejansko stanje in iz katerega izhajajo razlogi za sprejeto odločitev ter predstavlja podlago za presojo glede morebitnega uveljavljanja (izrednih) pravnih sredstev.</w:t>
      </w:r>
    </w:p>
    <w:p w14:paraId="7FAEDF32" w14:textId="77777777" w:rsidR="00847A71" w:rsidRPr="00392381" w:rsidRDefault="00847A71" w:rsidP="00847A71">
      <w:pPr>
        <w:jc w:val="both"/>
        <w:rPr>
          <w:rFonts w:cs="Arial"/>
          <w:szCs w:val="20"/>
          <w:lang w:val="sl-SI"/>
        </w:rPr>
      </w:pPr>
    </w:p>
    <w:p w14:paraId="72B56E8E" w14:textId="2DE0198A" w:rsidR="00847A71" w:rsidRPr="00392381" w:rsidRDefault="00847A71" w:rsidP="00847A71">
      <w:pPr>
        <w:jc w:val="both"/>
        <w:rPr>
          <w:rFonts w:cs="Arial"/>
          <w:szCs w:val="20"/>
          <w:lang w:val="sl-SI"/>
        </w:rPr>
      </w:pPr>
      <w:r w:rsidRPr="00392381">
        <w:rPr>
          <w:rFonts w:cs="Arial"/>
          <w:szCs w:val="20"/>
          <w:lang w:val="sl-SI"/>
        </w:rPr>
        <w:t>Nadalje opozarjamo, da nekateri zakoni, na primer Zakon o tujcih</w:t>
      </w:r>
      <w:r w:rsidRPr="00392381">
        <w:rPr>
          <w:rStyle w:val="Sprotnaopomba-sklic"/>
          <w:rFonts w:cs="Arial"/>
          <w:szCs w:val="20"/>
          <w:lang w:val="sl-SI"/>
        </w:rPr>
        <w:footnoteReference w:id="5"/>
      </w:r>
      <w:r w:rsidRPr="00392381">
        <w:rPr>
          <w:rFonts w:cs="Arial"/>
          <w:szCs w:val="20"/>
          <w:lang w:val="sl-SI"/>
        </w:rPr>
        <w:t xml:space="preserve"> (v nadaljevanju: ZTuj-2) v 58. členu, že ves čas predvideva izdajo dovoljenj brez obrazložitve, pa se ne poraja vprašanje poseganja v pravico do pravnega sredstva, pri čemer ta zakon </w:t>
      </w:r>
      <w:r w:rsidR="0069086C" w:rsidRPr="00392381">
        <w:rPr>
          <w:rFonts w:cs="Arial"/>
          <w:szCs w:val="20"/>
          <w:lang w:val="sl-SI"/>
        </w:rPr>
        <w:t>niti</w:t>
      </w:r>
      <w:r w:rsidRPr="00392381">
        <w:rPr>
          <w:rFonts w:cs="Arial"/>
          <w:szCs w:val="20"/>
          <w:lang w:val="sl-SI"/>
        </w:rPr>
        <w:t xml:space="preserve"> ne predvideva možnosti pridobitve odločbe (dovoljenja) z obrazložitvijo. </w:t>
      </w:r>
      <w:r w:rsidRPr="00392381">
        <w:rPr>
          <w:rFonts w:cs="Arial"/>
          <w:kern w:val="2"/>
          <w:szCs w:val="20"/>
          <w:lang w:val="sl-SI"/>
        </w:rPr>
        <w:t>Nadalje Zakon o prekrških</w:t>
      </w:r>
      <w:r w:rsidRPr="00392381">
        <w:rPr>
          <w:rStyle w:val="Sprotnaopomba-sklic"/>
          <w:rFonts w:cs="Arial"/>
          <w:kern w:val="2"/>
          <w:szCs w:val="20"/>
          <w:lang w:val="sl-SI"/>
        </w:rPr>
        <w:footnoteReference w:id="6"/>
      </w:r>
      <w:r w:rsidRPr="00392381">
        <w:rPr>
          <w:rFonts w:cs="Arial"/>
          <w:kern w:val="2"/>
          <w:szCs w:val="20"/>
          <w:lang w:val="sl-SI"/>
        </w:rPr>
        <w:t xml:space="preserve"> (v nadaljevanju: ZP-1) v 59.a členu določa izdajo odločbe brez obrazložitve, pri čemer morajo upravičenci do zahteve za sodno varstvo njeno vložitev pisno napovedati, s čimer dosežejo izdajo odločbe z obrazložitvijo. Zastavlja se vprašanje, zakaj je ureditev v ZP-1 za Državni svet ustrezna in ustavno skladna ter ne poraja dvomov</w:t>
      </w:r>
      <w:r w:rsidRPr="00392381">
        <w:rPr>
          <w:rFonts w:cs="Arial"/>
          <w:szCs w:val="20"/>
          <w:lang w:val="sl-SI"/>
        </w:rPr>
        <w:t xml:space="preserve"> v zakonitost, pravno varstvo ipd., pa je odločitev po vsebini za storilca prekrška bistveno bolj obremenjujoča kot odločitev o ugoditvi zahtevku.</w:t>
      </w:r>
    </w:p>
    <w:p w14:paraId="355F4548" w14:textId="77777777" w:rsidR="00847A71" w:rsidRDefault="00847A71" w:rsidP="00847A71">
      <w:pPr>
        <w:jc w:val="both"/>
        <w:rPr>
          <w:rFonts w:cs="Arial"/>
          <w:kern w:val="2"/>
          <w:szCs w:val="20"/>
          <w:lang w:val="sl-SI"/>
        </w:rPr>
      </w:pPr>
    </w:p>
    <w:p w14:paraId="771D3970" w14:textId="77777777" w:rsidR="004742E3" w:rsidRPr="004742E3" w:rsidRDefault="004742E3" w:rsidP="004742E3">
      <w:pPr>
        <w:jc w:val="both"/>
        <w:rPr>
          <w:rFonts w:cs="Arial"/>
          <w:szCs w:val="20"/>
          <w:lang w:val="sl-SI"/>
        </w:rPr>
      </w:pPr>
      <w:r w:rsidRPr="004742E3">
        <w:rPr>
          <w:rFonts w:cs="Arial"/>
          <w:szCs w:val="20"/>
          <w:lang w:val="sl-SI"/>
        </w:rPr>
        <w:t>Poleg navedenega velja omeniti še, da sodbo brez obrazložitve pod določenimi pogoji predvideva tudi Zakon o kazenskem postopku</w:t>
      </w:r>
      <w:r w:rsidRPr="004742E3">
        <w:rPr>
          <w:rStyle w:val="Sprotnaopomba-sklic"/>
          <w:rFonts w:cs="Arial"/>
          <w:szCs w:val="20"/>
          <w:lang w:val="sl-SI"/>
        </w:rPr>
        <w:footnoteReference w:id="7"/>
      </w:r>
      <w:r w:rsidRPr="004742E3">
        <w:rPr>
          <w:rFonts w:cs="Arial"/>
          <w:szCs w:val="20"/>
          <w:lang w:val="sl-SI"/>
        </w:rPr>
        <w:t>. Prav tako Zakon o pravdnem postopku v 323. členu</w:t>
      </w:r>
      <w:r w:rsidRPr="004742E3">
        <w:rPr>
          <w:rStyle w:val="Sprotnaopomba-sklic"/>
          <w:rFonts w:cs="Arial"/>
          <w:szCs w:val="20"/>
        </w:rPr>
        <w:footnoteReference w:id="8"/>
      </w:r>
      <w:r w:rsidRPr="004742E3">
        <w:rPr>
          <w:rFonts w:cs="Arial"/>
          <w:szCs w:val="20"/>
          <w:lang w:val="sl-SI"/>
        </w:rPr>
        <w:t xml:space="preserve">  in 457. členu</w:t>
      </w:r>
      <w:r w:rsidRPr="004742E3">
        <w:rPr>
          <w:rStyle w:val="Sprotnaopomba-sklic"/>
          <w:rFonts w:cs="Arial"/>
          <w:szCs w:val="20"/>
        </w:rPr>
        <w:footnoteReference w:id="9"/>
      </w:r>
      <w:r w:rsidRPr="004742E3">
        <w:rPr>
          <w:rFonts w:cs="Arial"/>
          <w:szCs w:val="20"/>
          <w:lang w:val="sl-SI"/>
        </w:rPr>
        <w:t xml:space="preserve"> omogoča izdajo sodbe s skrajšano obrazložitvijo, pri čemer gre za tako okrnjeno obrazložitev (</w:t>
      </w:r>
      <w:r w:rsidRPr="004742E3">
        <w:rPr>
          <w:rFonts w:eastAsia="Calibri" w:cs="Arial"/>
          <w:szCs w:val="20"/>
          <w:lang w:val="sl-SI" w:eastAsia="sl-SI"/>
        </w:rPr>
        <w:t xml:space="preserve">vsebuje samo navedbo zahtevkov in dejstev, na katere stranke opirajo zahtevke), da iz nje </w:t>
      </w:r>
      <w:r w:rsidRPr="004742E3">
        <w:rPr>
          <w:rFonts w:cs="Arial"/>
          <w:szCs w:val="20"/>
          <w:lang w:val="sl-SI"/>
        </w:rPr>
        <w:t xml:space="preserve">ni mogoče razbrati </w:t>
      </w:r>
      <w:r w:rsidRPr="004742E3">
        <w:rPr>
          <w:rFonts w:cs="Arial"/>
          <w:kern w:val="2"/>
          <w:szCs w:val="20"/>
          <w:lang w:val="sl-SI"/>
        </w:rPr>
        <w:t>argumentov glede tega, katerim dokazom je sodišče verjelo in jim sledilo ter zakaj</w:t>
      </w:r>
      <w:r w:rsidRPr="004742E3">
        <w:rPr>
          <w:rFonts w:cs="Arial"/>
          <w:szCs w:val="20"/>
          <w:lang w:val="sl-SI"/>
        </w:rPr>
        <w:t xml:space="preserve"> oziroma, zakaj je sodišče sprejelo konkretno odločitev. Kljub temu se Državnemu svetu ni zastavil dvom v ustavno skladnost navedenih določb Zakona o kazenskem postopku in Zakona o pravdnem postopku, novi ureditvi odločbe brez obrazložitve iz 214.a člena pa neargumentirano očita izvotlitev smisla pravice do pravnega sredstva, </w:t>
      </w:r>
      <w:r w:rsidRPr="004742E3">
        <w:rPr>
          <w:rFonts w:eastAsia="Calibri" w:cs="Arial"/>
          <w:szCs w:val="20"/>
          <w:lang w:val="sl-SI"/>
        </w:rPr>
        <w:t>zmanjšanje nadzora nad zakonitostjo in povečanje tveganja za arbitrarno odločanje organov.</w:t>
      </w:r>
    </w:p>
    <w:p w14:paraId="22F1B333" w14:textId="77777777" w:rsidR="00847A71" w:rsidRPr="00392381" w:rsidRDefault="00847A71" w:rsidP="00847A71">
      <w:pPr>
        <w:jc w:val="both"/>
        <w:rPr>
          <w:rFonts w:cs="Arial"/>
          <w:szCs w:val="20"/>
          <w:lang w:val="sl-SI"/>
        </w:rPr>
      </w:pPr>
      <w:r w:rsidRPr="00392381">
        <w:rPr>
          <w:rFonts w:cs="Arial"/>
          <w:kern w:val="2"/>
          <w:szCs w:val="20"/>
          <w:lang w:val="sl-SI"/>
        </w:rPr>
        <w:t>Zakon predvideva možnost izdaje odločbe brez obrazložitve še v primeru odločb, ki jih organ ustno razglasi. Le-te</w:t>
      </w:r>
      <w:r w:rsidRPr="00392381">
        <w:rPr>
          <w:rFonts w:cs="Arial"/>
          <w:szCs w:val="20"/>
          <w:lang w:val="sl-SI"/>
        </w:rPr>
        <w:t xml:space="preserve"> lahko izda organ v vseh upravnih zadevah - tistih, ki se začnejo na zahtevo stranke, in tistih, ki so začete po uradni dolžnosti. Izda jih tako, da jih na ustni obravnavi ustno razglasi. To bo lahko storil takrat, ko bo po končani ustni obravnavi presodil, da je dejansko stanje pravilno in popolno ugotovljeno in je hkrati zadoščeno pravici stranke do sodelovanja v postopku </w:t>
      </w:r>
      <w:r w:rsidRPr="00392381">
        <w:rPr>
          <w:rFonts w:cs="Arial"/>
          <w:szCs w:val="20"/>
          <w:lang w:val="sl-SI"/>
        </w:rPr>
        <w:lastRenderedPageBreak/>
        <w:t>oziroma pravici do izjave. Ustna razglasitev odločbe bo prišla v poštev, kadar bodo na obravnavi sodelovale vse stranke, saj je smiselna le ob navzočnosti vseh strank. Ko bo odločba razglašena, bo organ na odločitev vezan in je ne bo mogel spreminjati pri izdaji pisne odločbe. Organ odločbo ustno razglasi na ustni obravnavi tako, da prebere izrek in sporoči razloge za odločitev. Stranke ob tem obvezno seznani, da bo izdana pisna odločba in da se lahko odpovedo pravici do pritožbe oziroma sodnega varstva. Če se bodo stranke odpovedale pravici do pritožbe oziroma do sodnega varstva do izdaje pisne odločbe, ker bodo z ustno razglašeno odločitvijo soglašale, bo pisna odločba izdana brez obrazložitve, hkrati pa bo z vročitvijo postala dokončna in pravnomočna, zato je ne bo mogoče izpodbijati v pritožbenem ali sodnem postopku. Kolikor se stranka do izdaje pisne odločbe ne bo odpovedala pravici do pritožbe oziroma do sodnega varstva, ji bo organ vročil odločbo s polno obrazložitvijo, rok za vložitev pravnega sredstva oziroma sodnega varstva pa bo začel teči z vročitvijo pisne odločbe. V primerih ustno razglašenih odločb bo torej stranka vedno prejela odločbo s polno obrazložitvijo, če po ustni razglasitvi ne bo storila ničesar – bodisi, ker ne bo prepričana v ustno razglašeno odločitev (in se bo želela seznaniti z razlogi zanjo), bodisi, ker z njo ne bo soglašala ali pa preprosto, ker ne bo zainteresirana za hiter nastop dokončnosti in pravnomočnosti odločitve ter bo želela počakati na pisno obrazloženo odločbo.</w:t>
      </w:r>
    </w:p>
    <w:p w14:paraId="2D746F6A" w14:textId="77777777" w:rsidR="00847A71" w:rsidRPr="00392381" w:rsidRDefault="00847A71" w:rsidP="00847A71">
      <w:pPr>
        <w:jc w:val="both"/>
        <w:rPr>
          <w:rFonts w:cs="Arial"/>
          <w:szCs w:val="20"/>
          <w:lang w:val="sl-SI"/>
        </w:rPr>
      </w:pPr>
    </w:p>
    <w:p w14:paraId="66E2FEB6" w14:textId="080CED78" w:rsidR="00847A71" w:rsidRPr="00392381" w:rsidRDefault="00847A71" w:rsidP="00847A71">
      <w:pPr>
        <w:jc w:val="both"/>
        <w:rPr>
          <w:rFonts w:cs="Arial"/>
          <w:szCs w:val="20"/>
          <w:lang w:val="sl-SI"/>
        </w:rPr>
      </w:pPr>
      <w:r w:rsidRPr="00392381">
        <w:rPr>
          <w:rFonts w:cs="Arial"/>
          <w:szCs w:val="20"/>
          <w:lang w:val="sl-SI"/>
        </w:rPr>
        <w:t xml:space="preserve">Tudi za ustno razglašene odločbe, ki se pisno izdajo brez obrazložitve, smiselno velja vse pojasnjeno zgoraj, pri čemer pri teh odločbah strankina neaktivnost vedno povzroči izdajo odločbe s polno obrazložitvijo. Kolikor po ustni razglasitvi odločbe stranka ne stori ničesar, namreč organ izda odločbo s polno pisno obrazložitvijo, zoper katero lahko stranka uveljavlja pravna sredstva od vročitve odločbe dalje. Le aktivno </w:t>
      </w:r>
      <w:r w:rsidR="0069086C" w:rsidRPr="00392381">
        <w:rPr>
          <w:rFonts w:cs="Arial"/>
          <w:szCs w:val="20"/>
          <w:lang w:val="sl-SI"/>
        </w:rPr>
        <w:t xml:space="preserve">in voljno </w:t>
      </w:r>
      <w:r w:rsidRPr="00392381">
        <w:rPr>
          <w:rFonts w:cs="Arial"/>
          <w:szCs w:val="20"/>
          <w:lang w:val="sl-SI"/>
        </w:rPr>
        <w:t xml:space="preserve">ravnanje stranke, torej odpoved pravici do pritožbe oziroma do sodnega varstva, ki ga stranka poda ustno na zapisnik ali pisno, povzroči izdajo pisne odločbe brez obrazložitve, česar se bo stranka po </w:t>
      </w:r>
      <w:r w:rsidR="0069086C" w:rsidRPr="00392381">
        <w:rPr>
          <w:rFonts w:cs="Arial"/>
          <w:szCs w:val="20"/>
          <w:lang w:val="sl-SI"/>
        </w:rPr>
        <w:t xml:space="preserve">logičnih </w:t>
      </w:r>
      <w:r w:rsidRPr="00392381">
        <w:rPr>
          <w:rFonts w:cs="Arial"/>
          <w:szCs w:val="20"/>
          <w:lang w:val="sl-SI"/>
        </w:rPr>
        <w:t>pričakovanjih poslužila le, kadar bo v celoti soglašala z odločitvijo in hkrati želela čim prej doseči njeno dokončnost in pravnomočnost.</w:t>
      </w:r>
    </w:p>
    <w:p w14:paraId="2D5277B7" w14:textId="77777777" w:rsidR="00847A71" w:rsidRPr="00392381" w:rsidRDefault="00847A71" w:rsidP="00847A71">
      <w:pPr>
        <w:jc w:val="both"/>
        <w:rPr>
          <w:rFonts w:cs="Arial"/>
          <w:szCs w:val="20"/>
          <w:lang w:val="sl-SI"/>
        </w:rPr>
      </w:pPr>
    </w:p>
    <w:p w14:paraId="4FC77B06" w14:textId="77777777" w:rsidR="00847A71" w:rsidRPr="00392381" w:rsidRDefault="00847A71" w:rsidP="00847A71">
      <w:pPr>
        <w:jc w:val="both"/>
        <w:rPr>
          <w:rFonts w:cs="Arial"/>
          <w:szCs w:val="20"/>
          <w:lang w:val="sl-SI"/>
        </w:rPr>
      </w:pPr>
      <w:r w:rsidRPr="00392381">
        <w:rPr>
          <w:rFonts w:cs="Arial"/>
          <w:szCs w:val="20"/>
          <w:lang w:val="sl-SI"/>
        </w:rPr>
        <w:t xml:space="preserve">V zvezi z navedeno ureditvijo opozarjamo na 98. člen ZP-1, po katerem se odločbe v </w:t>
      </w:r>
      <w:proofErr w:type="spellStart"/>
      <w:r w:rsidRPr="00392381">
        <w:rPr>
          <w:rFonts w:cs="Arial"/>
          <w:szCs w:val="20"/>
          <w:lang w:val="sl-SI"/>
        </w:rPr>
        <w:t>prekrškovnih</w:t>
      </w:r>
      <w:proofErr w:type="spellEnd"/>
      <w:r w:rsidRPr="00392381">
        <w:rPr>
          <w:rFonts w:cs="Arial"/>
          <w:szCs w:val="20"/>
          <w:lang w:val="sl-SI"/>
        </w:rPr>
        <w:t xml:space="preserve"> postopkih lahko razglasijo ustno, obdolženec in drugi upravičenci do pritožbe, če so navzoči, pa morajo  napovedati vložitev pritožbe, sicer se šteje, da so se odpovedali pravici do pritožbe. Po poteku roka za vložitev napovedi pritožbe, če nihče od upravičencev ni napovedal pritožbe, sodišče izda sodbo brez obrazložitve. Sprašujemo se, zakaj je smiselno enaka ureditev v </w:t>
      </w:r>
      <w:proofErr w:type="spellStart"/>
      <w:r w:rsidRPr="00392381">
        <w:rPr>
          <w:rFonts w:cs="Arial"/>
          <w:szCs w:val="20"/>
          <w:lang w:val="sl-SI"/>
        </w:rPr>
        <w:t>prekrškovnem</w:t>
      </w:r>
      <w:proofErr w:type="spellEnd"/>
      <w:r w:rsidRPr="00392381">
        <w:rPr>
          <w:rFonts w:cs="Arial"/>
          <w:szCs w:val="20"/>
          <w:lang w:val="sl-SI"/>
        </w:rPr>
        <w:t xml:space="preserve"> postopku že vrsto let pripoznana kot nesporna, v splošnem upravnem postopku pa se glede te ureditve Državnemu svetu odpirajo vprašanja njene skladnosti s pravico do pravnega sredstva.</w:t>
      </w:r>
    </w:p>
    <w:p w14:paraId="1793068D" w14:textId="77777777" w:rsidR="0069086C" w:rsidRPr="00392381" w:rsidRDefault="0069086C" w:rsidP="00847A71">
      <w:pPr>
        <w:jc w:val="both"/>
        <w:rPr>
          <w:rFonts w:cs="Arial"/>
          <w:szCs w:val="20"/>
          <w:lang w:val="sl-SI"/>
        </w:rPr>
      </w:pPr>
    </w:p>
    <w:p w14:paraId="030FF56E" w14:textId="77777777" w:rsidR="00545FC0" w:rsidRPr="00392381" w:rsidRDefault="00545FC0" w:rsidP="00847A71">
      <w:pPr>
        <w:jc w:val="both"/>
        <w:rPr>
          <w:rFonts w:cs="Arial"/>
          <w:szCs w:val="20"/>
          <w:lang w:val="sl-SI"/>
        </w:rPr>
      </w:pPr>
    </w:p>
    <w:p w14:paraId="7EB8C494" w14:textId="0B2B4FDF" w:rsidR="00545FC0" w:rsidRPr="00392381" w:rsidRDefault="00545FC0" w:rsidP="00545FC0">
      <w:pPr>
        <w:numPr>
          <w:ilvl w:val="0"/>
          <w:numId w:val="41"/>
        </w:numPr>
        <w:jc w:val="both"/>
        <w:rPr>
          <w:rFonts w:eastAsia="Calibri" w:cs="Arial"/>
          <w:b/>
          <w:bCs/>
          <w:szCs w:val="20"/>
          <w:lang w:val="sl-SI"/>
        </w:rPr>
      </w:pPr>
      <w:r w:rsidRPr="00392381">
        <w:rPr>
          <w:rFonts w:cs="Arial"/>
          <w:b/>
          <w:bCs/>
          <w:szCs w:val="20"/>
          <w:lang w:val="sl-SI"/>
        </w:rPr>
        <w:t>Vročanje</w:t>
      </w:r>
    </w:p>
    <w:p w14:paraId="2FF02804" w14:textId="77777777" w:rsidR="00545FC0" w:rsidRPr="00392381" w:rsidRDefault="00545FC0" w:rsidP="00545FC0">
      <w:pPr>
        <w:jc w:val="both"/>
        <w:rPr>
          <w:rFonts w:cs="Arial"/>
          <w:b/>
          <w:bCs/>
          <w:szCs w:val="20"/>
          <w:lang w:val="sl-SI"/>
        </w:rPr>
      </w:pPr>
    </w:p>
    <w:p w14:paraId="6CF9F775" w14:textId="053584AB" w:rsidR="00545FC0" w:rsidRPr="00392381" w:rsidRDefault="00545FC0" w:rsidP="00545FC0">
      <w:pPr>
        <w:spacing w:line="240" w:lineRule="atLeast"/>
        <w:jc w:val="both"/>
        <w:rPr>
          <w:rFonts w:eastAsia="Calibri" w:cs="Arial"/>
          <w:szCs w:val="20"/>
          <w:lang w:val="sl-SI"/>
        </w:rPr>
      </w:pPr>
      <w:r w:rsidRPr="00392381">
        <w:rPr>
          <w:rFonts w:cs="Arial"/>
          <w:szCs w:val="20"/>
          <w:lang w:val="sl-SI"/>
        </w:rPr>
        <w:t>Državni svet navaja, da s</w:t>
      </w:r>
      <w:r w:rsidRPr="00392381">
        <w:rPr>
          <w:rFonts w:eastAsia="Calibri" w:cs="Arial"/>
          <w:szCs w:val="20"/>
          <w:lang w:val="sl-SI"/>
        </w:rPr>
        <w:t xml:space="preserve">premembe glede vročanja predstavljajo resen poseg v ustavno pravico do enakega varstva pravic iz 22. člena Ustave, pravico do sodnega varstva iz 23. člena Ustave in pravico do pravnega sredstva iz 25. člena Ustave. Kot nadaljuje, novela bistveno skrajšuje rok za nastanek fikcije vročitve s petnajstih na zgolj sedem dni od odpreme dokumenta, kar izhaja iz spremenjenih oziroma novih 86.a, 86.b in 87. člena. Očitajo, da so določbe, ki se nanašajo na vročanje, medsebojno prepletene in pomensko odprte, zato ureditev ni dovolj jasna, jasnost in določnost pa sta zahtevi, ki izhajata iz načela pravne države. </w:t>
      </w:r>
    </w:p>
    <w:p w14:paraId="4C97365E" w14:textId="77777777" w:rsidR="00545FC0" w:rsidRPr="00392381" w:rsidRDefault="00545FC0" w:rsidP="00545FC0">
      <w:pPr>
        <w:spacing w:line="240" w:lineRule="atLeast"/>
        <w:jc w:val="both"/>
        <w:rPr>
          <w:rFonts w:eastAsia="Calibri" w:cs="Arial"/>
          <w:szCs w:val="20"/>
          <w:lang w:val="sl-SI"/>
        </w:rPr>
      </w:pPr>
    </w:p>
    <w:p w14:paraId="600D9F85" w14:textId="251221F3" w:rsidR="00545FC0" w:rsidRPr="00392381" w:rsidRDefault="00545FC0" w:rsidP="00545FC0">
      <w:pPr>
        <w:spacing w:line="240" w:lineRule="atLeast"/>
        <w:jc w:val="both"/>
        <w:rPr>
          <w:rFonts w:eastAsia="Calibri" w:cs="Arial"/>
          <w:szCs w:val="20"/>
          <w:lang w:val="sl-SI"/>
        </w:rPr>
      </w:pPr>
      <w:r w:rsidRPr="00392381">
        <w:rPr>
          <w:rFonts w:eastAsia="Calibri" w:cs="Arial"/>
          <w:szCs w:val="20"/>
          <w:lang w:val="sl-SI"/>
        </w:rPr>
        <w:t>Državni svet meni, da je ureditev vročanja konfuzna in da ni jasno, kakšno je razmerje med navadnim in osebnim vročanjem oziroma kdaj se kateri od teh dveh načinov uporablja. Kot navaja Državni svet, je pomensko odprta dikcija pri osebnem vročanju pravno sporna, ker bo omogočala arbitrarno delovanje upravnih organov in ogrozila ustavne pravice strank.</w:t>
      </w:r>
    </w:p>
    <w:p w14:paraId="05AD9653" w14:textId="77777777" w:rsidR="00545FC0" w:rsidRPr="00392381" w:rsidRDefault="00545FC0" w:rsidP="00545FC0">
      <w:pPr>
        <w:spacing w:line="240" w:lineRule="atLeast"/>
        <w:jc w:val="both"/>
        <w:rPr>
          <w:rFonts w:eastAsia="Calibri" w:cs="Arial"/>
          <w:szCs w:val="20"/>
          <w:lang w:val="sl-SI"/>
        </w:rPr>
      </w:pPr>
    </w:p>
    <w:p w14:paraId="6F6C9BEE" w14:textId="77777777" w:rsidR="00545FC0" w:rsidRPr="00392381" w:rsidRDefault="00545FC0" w:rsidP="00545FC0">
      <w:pPr>
        <w:spacing w:line="240" w:lineRule="atLeast"/>
        <w:jc w:val="both"/>
        <w:rPr>
          <w:rFonts w:eastAsia="Calibri" w:cs="Arial"/>
          <w:szCs w:val="20"/>
          <w:lang w:val="sl-SI"/>
        </w:rPr>
      </w:pPr>
      <w:r w:rsidRPr="00392381">
        <w:rPr>
          <w:rFonts w:eastAsia="Calibri" w:cs="Arial"/>
          <w:szCs w:val="20"/>
          <w:lang w:val="sl-SI"/>
        </w:rPr>
        <w:t xml:space="preserve">Državni svet tudi izraža skrb, da bo uvedba navadnega vročanja predstavljala visoko tveganje, da bo stranka zamudila rok za vložitev pravnega sredstva, saj se bo dejanski čas za uveljavljanje pravnega sredstva lahko drastično skrajšal. Vezava fikcije vročitve na dan odpreme pri navadnem vročanju v kombinaciji s skrajšanjem roka za nastop fikcije vročitve je po mnenju Državnega sveta povsem nesorazmeren poseg, ki ne zagotavlja visoke verjetnosti seznanitve naslovnika z </w:t>
      </w:r>
      <w:r w:rsidRPr="00392381">
        <w:rPr>
          <w:rFonts w:eastAsia="Calibri" w:cs="Arial"/>
          <w:szCs w:val="20"/>
          <w:lang w:val="sl-SI"/>
        </w:rPr>
        <w:lastRenderedPageBreak/>
        <w:t>dokumentom, kar lahko zanj prinese tudi hude pravne posledice. Kot še navajajo, zakonska ureditev dejansko vpeljuje neustrezno domnevo, po kateri se predpostavlja, da so stranke v vsakem trenutku dosegljive za vročanje, pri čemer pa se zanemari vsaj to, da že sama delovnopravna zakonodaja predvideva najmanj dvotedensko obvezno odsotnost zaradi koriščenja letnega dopusta in torej možnost nedosegljivosti posameznika od doma.</w:t>
      </w:r>
    </w:p>
    <w:p w14:paraId="34A6F8FD" w14:textId="77777777" w:rsidR="00545FC0" w:rsidRPr="00392381" w:rsidRDefault="00545FC0" w:rsidP="00545FC0">
      <w:pPr>
        <w:spacing w:line="240" w:lineRule="atLeast"/>
        <w:jc w:val="both"/>
        <w:rPr>
          <w:rFonts w:eastAsia="Calibri" w:cs="Arial"/>
          <w:szCs w:val="20"/>
          <w:lang w:val="sl-SI"/>
        </w:rPr>
      </w:pPr>
    </w:p>
    <w:p w14:paraId="04AAE1BF" w14:textId="353251C2" w:rsidR="00545FC0" w:rsidRPr="00392381" w:rsidRDefault="00545FC0" w:rsidP="00545FC0">
      <w:pPr>
        <w:numPr>
          <w:ilvl w:val="0"/>
          <w:numId w:val="42"/>
        </w:numPr>
        <w:spacing w:line="240" w:lineRule="atLeast"/>
        <w:jc w:val="both"/>
        <w:rPr>
          <w:rFonts w:eastAsia="Calibri" w:cs="Arial"/>
          <w:szCs w:val="20"/>
          <w:lang w:val="sl-SI"/>
        </w:rPr>
      </w:pPr>
      <w:r w:rsidRPr="00392381">
        <w:rPr>
          <w:rFonts w:cs="Arial"/>
          <w:b/>
          <w:bCs/>
          <w:szCs w:val="20"/>
          <w:lang w:val="sl-SI"/>
        </w:rPr>
        <w:t>Ureditev navadnega vročanja v hišni predalčnik in nejasnosti v razmerju do kvalificiranega (osebnega) vročanja</w:t>
      </w:r>
    </w:p>
    <w:p w14:paraId="2AA31C14" w14:textId="77777777" w:rsidR="00545FC0" w:rsidRPr="00392381" w:rsidRDefault="00545FC0" w:rsidP="00545FC0">
      <w:pPr>
        <w:spacing w:line="240" w:lineRule="atLeast"/>
        <w:jc w:val="both"/>
        <w:rPr>
          <w:rFonts w:eastAsia="Calibri" w:cs="Arial"/>
          <w:szCs w:val="20"/>
          <w:lang w:val="sl-SI"/>
        </w:rPr>
      </w:pPr>
    </w:p>
    <w:p w14:paraId="162243D6" w14:textId="63265151" w:rsidR="00220BC6" w:rsidRPr="00392381" w:rsidRDefault="00220BC6" w:rsidP="00545FC0">
      <w:pPr>
        <w:spacing w:line="240" w:lineRule="atLeast"/>
        <w:jc w:val="both"/>
        <w:rPr>
          <w:rFonts w:eastAsia="Calibri" w:cs="Arial"/>
          <w:b/>
          <w:bCs/>
          <w:szCs w:val="20"/>
          <w:lang w:val="sl-SI"/>
        </w:rPr>
      </w:pPr>
      <w:r w:rsidRPr="00392381">
        <w:rPr>
          <w:rFonts w:eastAsia="Calibri" w:cs="Arial"/>
          <w:b/>
          <w:bCs/>
          <w:szCs w:val="20"/>
          <w:lang w:val="sl-SI"/>
        </w:rPr>
        <w:t>ZUP-I je razširil možnost vročitve z neposredno vložitvijo v hišni predalčnik, ki jo ZUP sicer</w:t>
      </w:r>
      <w:r w:rsidR="00656C26" w:rsidRPr="00392381">
        <w:rPr>
          <w:rFonts w:eastAsia="Calibri" w:cs="Arial"/>
          <w:b/>
          <w:bCs/>
          <w:szCs w:val="20"/>
          <w:lang w:val="sl-SI"/>
        </w:rPr>
        <w:t xml:space="preserve"> že ureja vendar v omejenem obsegu</w:t>
      </w:r>
      <w:r w:rsidRPr="00392381">
        <w:rPr>
          <w:rFonts w:eastAsia="Calibri" w:cs="Arial"/>
          <w:b/>
          <w:bCs/>
          <w:szCs w:val="20"/>
          <w:lang w:val="sl-SI"/>
        </w:rPr>
        <w:t xml:space="preserve">. Možnost vročanja v hišni predalčnik je </w:t>
      </w:r>
      <w:r w:rsidR="00656C26" w:rsidRPr="00392381">
        <w:rPr>
          <w:rFonts w:eastAsia="Calibri" w:cs="Arial"/>
          <w:b/>
          <w:bCs/>
          <w:szCs w:val="20"/>
          <w:lang w:val="sl-SI"/>
        </w:rPr>
        <w:t>že predpisana, ne le omogočena kot v ZUP,</w:t>
      </w:r>
      <w:r w:rsidRPr="00392381">
        <w:rPr>
          <w:rFonts w:eastAsia="Calibri" w:cs="Arial"/>
          <w:b/>
          <w:bCs/>
          <w:szCs w:val="20"/>
          <w:lang w:val="sl-SI"/>
        </w:rPr>
        <w:t xml:space="preserve"> v številnih področnih zakonih s področja upravnega prava (npr. Zakonu o uveljavljanju pravic iz javnih sredstev, Zakonu o starševskem varstvu in družinskih prejemkih, Zakonu o štipendiranju, Zakonu o kmetijstvu, Zakonu o davčnem postopku idr.), </w:t>
      </w:r>
      <w:r w:rsidR="00656C26" w:rsidRPr="00392381">
        <w:rPr>
          <w:rFonts w:eastAsia="Calibri" w:cs="Arial"/>
          <w:b/>
          <w:bCs/>
          <w:szCs w:val="20"/>
          <w:lang w:val="sl-SI"/>
        </w:rPr>
        <w:t xml:space="preserve">takšno ureditev pa vsebuje tudi </w:t>
      </w:r>
      <w:r w:rsidRPr="00392381">
        <w:rPr>
          <w:rFonts w:eastAsia="Calibri" w:cs="Arial"/>
          <w:b/>
          <w:bCs/>
          <w:szCs w:val="20"/>
          <w:lang w:val="sl-SI"/>
        </w:rPr>
        <w:t>Zakon o pravdnem postopku</w:t>
      </w:r>
      <w:r w:rsidR="00656C26" w:rsidRPr="00392381">
        <w:rPr>
          <w:rFonts w:eastAsia="Calibri" w:cs="Arial"/>
          <w:b/>
          <w:bCs/>
          <w:szCs w:val="20"/>
          <w:lang w:val="sl-SI"/>
        </w:rPr>
        <w:t>. Zato uvedba možnosti vročanja z dostavo v hišni predalčnik ne bo predstavljala novote v slovenskem pravnem redu. Niti ne bo vplivala na pravno varnost naslovnikov, saj ZUP-I uvaja varovalke zaradi katerih se ne more zgoditi, da bi nastopila fikcija vročitve, če dokument ne bi bil vložen v hišni predalčnik ali če bi bil (pomotoma) vložen kasneje</w:t>
      </w:r>
      <w:r w:rsidR="001C6F78" w:rsidRPr="00392381">
        <w:rPr>
          <w:rFonts w:eastAsia="Calibri" w:cs="Arial"/>
          <w:b/>
          <w:bCs/>
          <w:szCs w:val="20"/>
          <w:lang w:val="sl-SI"/>
        </w:rPr>
        <w:t>,</w:t>
      </w:r>
      <w:r w:rsidR="00656C26" w:rsidRPr="00392381">
        <w:rPr>
          <w:rFonts w:eastAsia="Calibri" w:cs="Arial"/>
          <w:b/>
          <w:bCs/>
          <w:szCs w:val="20"/>
          <w:lang w:val="sl-SI"/>
        </w:rPr>
        <w:t xml:space="preserve"> kot bi moral biti po pravilih o izvajanju poštnih storitev. Ob tem sicer ZUP-I, enako kot Zakon o pravdnem postopku, uradni osebi daje možnost, da lahko dokument vroča s priporočeno pošiljko po pravilih ZUP, ki urejajo kvalificirano – osebno vročanje. Čeprav je slednje določeno kot izjema</w:t>
      </w:r>
      <w:r w:rsidR="003373E6" w:rsidRPr="00392381">
        <w:rPr>
          <w:rFonts w:eastAsia="Calibri" w:cs="Arial"/>
          <w:b/>
          <w:bCs/>
          <w:szCs w:val="20"/>
          <w:lang w:val="sl-SI"/>
        </w:rPr>
        <w:t>,</w:t>
      </w:r>
      <w:r w:rsidR="00656C26" w:rsidRPr="00392381">
        <w:rPr>
          <w:rFonts w:eastAsia="Calibri" w:cs="Arial"/>
          <w:b/>
          <w:bCs/>
          <w:szCs w:val="20"/>
          <w:lang w:val="sl-SI"/>
        </w:rPr>
        <w:t xml:space="preserve"> glede na vročanje v hišni predalčnik</w:t>
      </w:r>
      <w:r w:rsidR="003373E6" w:rsidRPr="00392381">
        <w:rPr>
          <w:rFonts w:eastAsia="Calibri" w:cs="Arial"/>
          <w:b/>
          <w:bCs/>
          <w:szCs w:val="20"/>
          <w:lang w:val="sl-SI"/>
        </w:rPr>
        <w:t>, jo uradna oseba lahko uporabi</w:t>
      </w:r>
      <w:r w:rsidR="002E318C" w:rsidRPr="00392381">
        <w:rPr>
          <w:rFonts w:eastAsia="Calibri" w:cs="Arial"/>
          <w:b/>
          <w:bCs/>
          <w:szCs w:val="20"/>
          <w:lang w:val="sl-SI"/>
        </w:rPr>
        <w:t xml:space="preserve"> vedno</w:t>
      </w:r>
      <w:r w:rsidR="003373E6" w:rsidRPr="00392381">
        <w:rPr>
          <w:rFonts w:eastAsia="Calibri" w:cs="Arial"/>
          <w:b/>
          <w:bCs/>
          <w:szCs w:val="20"/>
          <w:lang w:val="sl-SI"/>
        </w:rPr>
        <w:t xml:space="preserve">, </w:t>
      </w:r>
      <w:r w:rsidR="002E318C" w:rsidRPr="00392381">
        <w:rPr>
          <w:rFonts w:eastAsia="Calibri" w:cs="Arial"/>
          <w:b/>
          <w:bCs/>
          <w:szCs w:val="20"/>
          <w:lang w:val="sl-SI"/>
        </w:rPr>
        <w:t>ko</w:t>
      </w:r>
      <w:r w:rsidR="003373E6" w:rsidRPr="00392381">
        <w:rPr>
          <w:rFonts w:eastAsia="Calibri" w:cs="Arial"/>
          <w:b/>
          <w:bCs/>
          <w:szCs w:val="20"/>
          <w:lang w:val="sl-SI"/>
        </w:rPr>
        <w:t xml:space="preserve"> presodi, da je kvalificirana vročitev bolj učinkovita. </w:t>
      </w:r>
    </w:p>
    <w:p w14:paraId="48C66416" w14:textId="77777777" w:rsidR="00220BC6" w:rsidRPr="00392381" w:rsidRDefault="00220BC6" w:rsidP="00545FC0">
      <w:pPr>
        <w:spacing w:line="240" w:lineRule="atLeast"/>
        <w:jc w:val="both"/>
        <w:rPr>
          <w:rFonts w:eastAsia="Calibri" w:cs="Arial"/>
          <w:szCs w:val="20"/>
          <w:lang w:val="sl-SI"/>
        </w:rPr>
      </w:pPr>
    </w:p>
    <w:p w14:paraId="4E78EDE0" w14:textId="2B124918" w:rsidR="00545FC0" w:rsidRPr="00392381" w:rsidRDefault="00545FC0" w:rsidP="00545FC0">
      <w:pPr>
        <w:jc w:val="both"/>
        <w:rPr>
          <w:rFonts w:cs="Arial"/>
          <w:szCs w:val="20"/>
          <w:lang w:val="sl-SI"/>
        </w:rPr>
      </w:pPr>
      <w:r w:rsidRPr="00392381">
        <w:rPr>
          <w:rFonts w:cs="Arial"/>
          <w:szCs w:val="20"/>
          <w:lang w:val="sl-SI"/>
        </w:rPr>
        <w:t xml:space="preserve">Vlada pojasnjuje, da z vidika pravne varnosti strank oziroma njihovih procesnih pravic ni realne potrebe, da bi se </w:t>
      </w:r>
      <w:r w:rsidR="00564FB9" w:rsidRPr="00392381">
        <w:rPr>
          <w:rFonts w:cs="Arial"/>
          <w:szCs w:val="20"/>
          <w:lang w:val="sl-SI"/>
        </w:rPr>
        <w:t xml:space="preserve">vsi </w:t>
      </w:r>
      <w:r w:rsidRPr="00392381">
        <w:rPr>
          <w:rFonts w:cs="Arial"/>
          <w:szCs w:val="20"/>
          <w:lang w:val="sl-SI"/>
        </w:rPr>
        <w:t xml:space="preserve">dokumenti, </w:t>
      </w:r>
      <w:r w:rsidR="00564FB9" w:rsidRPr="00392381">
        <w:rPr>
          <w:rFonts w:cs="Arial"/>
          <w:szCs w:val="20"/>
          <w:lang w:val="sl-SI"/>
        </w:rPr>
        <w:t xml:space="preserve">katerih vročitev je povezana z začetkom teka roka, </w:t>
      </w:r>
      <w:r w:rsidRPr="00392381">
        <w:rPr>
          <w:rFonts w:cs="Arial"/>
          <w:szCs w:val="20"/>
          <w:lang w:val="sl-SI"/>
        </w:rPr>
        <w:t xml:space="preserve">vročali po kvalificiranih pravilih s priporočeno poštno pošiljko. Zato je na splošni ravni potrebno in racionalno omogočiti še druge načine vročanja, kot je </w:t>
      </w:r>
      <w:r w:rsidR="00564FB9" w:rsidRPr="00392381">
        <w:rPr>
          <w:rFonts w:cs="Arial"/>
          <w:szCs w:val="20"/>
          <w:lang w:val="sl-SI"/>
        </w:rPr>
        <w:t xml:space="preserve">vročanje </w:t>
      </w:r>
      <w:r w:rsidRPr="00392381">
        <w:rPr>
          <w:rFonts w:cs="Arial"/>
          <w:szCs w:val="20"/>
          <w:lang w:val="sl-SI"/>
        </w:rPr>
        <w:t>z dostavo v hišni predalčnik naslovnika. Dolžnost organa je namreč, da vsakemu naslovniku zagotovi možnost seznanitve z dokumentom</w:t>
      </w:r>
      <w:r w:rsidR="00564FB9" w:rsidRPr="00392381">
        <w:rPr>
          <w:rFonts w:cs="Arial"/>
          <w:szCs w:val="20"/>
          <w:lang w:val="sl-SI"/>
        </w:rPr>
        <w:t xml:space="preserve">, kar nedvomno omogoča in zagotavlja tudi vročitev z vložitvijo v hišni predalčnik. </w:t>
      </w:r>
      <w:r w:rsidRPr="00392381">
        <w:rPr>
          <w:rFonts w:cs="Arial"/>
          <w:szCs w:val="20"/>
          <w:lang w:val="sl-SI"/>
        </w:rPr>
        <w:t xml:space="preserve"> </w:t>
      </w:r>
    </w:p>
    <w:p w14:paraId="104A9693" w14:textId="77777777" w:rsidR="00545FC0" w:rsidRPr="00392381" w:rsidRDefault="00545FC0" w:rsidP="00545FC0">
      <w:pPr>
        <w:jc w:val="both"/>
        <w:rPr>
          <w:rFonts w:cs="Arial"/>
          <w:szCs w:val="20"/>
          <w:lang w:val="sl-SI"/>
        </w:rPr>
      </w:pPr>
    </w:p>
    <w:p w14:paraId="187F43F8" w14:textId="778AEEB7" w:rsidR="00545FC0" w:rsidRPr="00392381" w:rsidRDefault="00545FC0" w:rsidP="00545FC0">
      <w:pPr>
        <w:jc w:val="both"/>
        <w:rPr>
          <w:rFonts w:cs="Arial"/>
          <w:szCs w:val="20"/>
          <w:lang w:val="sl-SI"/>
        </w:rPr>
      </w:pPr>
      <w:r w:rsidRPr="00392381">
        <w:rPr>
          <w:rFonts w:cs="Arial"/>
          <w:szCs w:val="20"/>
          <w:lang w:val="sl-SI"/>
        </w:rPr>
        <w:t>Kot je poudarilo Ustavno sodišče RS</w:t>
      </w:r>
      <w:r w:rsidRPr="00392381">
        <w:rPr>
          <w:rStyle w:val="Sprotnaopomba-sklic"/>
          <w:rFonts w:cs="Arial"/>
          <w:szCs w:val="20"/>
          <w:lang w:val="sl-SI"/>
        </w:rPr>
        <w:footnoteReference w:id="10"/>
      </w:r>
      <w:r w:rsidRPr="00392381">
        <w:rPr>
          <w:rFonts w:cs="Arial"/>
          <w:szCs w:val="20"/>
          <w:lang w:val="sl-SI"/>
        </w:rPr>
        <w:t>, iz pravice do enakega varstva pravic iz 22. člena Ustave izhaja zahteva po kontradiktornem postopku, na podlagi katere morata biti vsaki stranki zagotovljeni možnost sodelovanja v postopku in možnost obrambe pred vsemi procesnimi dejanji, ki bi lahko vplivala na njene pravice oziroma na njen pravni položaj. Bistven predpogoj za uresničevanje pravice do izjave v postopku je pravica do informacije. Najpomembnejši procesni institut, ki služi uresničevanju pravice do informacije, pa je vročanje. Vročitev lahko svoj namen doseže le, če je dejansko zagotovljeno, da bo pisanje prispelo do naslovnika. Pravica do obveščenosti in do izjavljanja v sodnem postopku pa ni brezmejna, absolutna. Biti mora v ravnovesju z drugimi vrednotami. Ustavno sodišče zato ne izključuje metod vročanja, ki so izjeme od zahteve po vročitvi pisanj neposredno naslovniku, npr. razne oblike nadomestne vročitve in fikcije vročitve. Kar upravičuje navedene načine vročanja, je torej realno pričakovanje, da se bo naslovnik s sodnim pisanjem pravočasno seznanil in da mu bo s tem dejansko omogočeno, da uresniči pravico do izjave v postopku. Z vidika 22. člena Ustave torej zadošča, če so stranki zagotovljene realne možnosti za pravočasno seznanitev s postopkom in z vsemi procesnimi dejanji, ki vplivajo na odločitev o njeni zadevi. </w:t>
      </w:r>
    </w:p>
    <w:p w14:paraId="655F4E45" w14:textId="77777777" w:rsidR="00545FC0" w:rsidRPr="00392381" w:rsidRDefault="00545FC0" w:rsidP="00545FC0">
      <w:pPr>
        <w:jc w:val="both"/>
        <w:rPr>
          <w:rFonts w:cs="Arial"/>
          <w:szCs w:val="20"/>
          <w:lang w:val="sl-SI"/>
        </w:rPr>
      </w:pPr>
    </w:p>
    <w:p w14:paraId="144A8A5B" w14:textId="57593EE4" w:rsidR="00545FC0" w:rsidRPr="00392381" w:rsidRDefault="00545FC0" w:rsidP="00545FC0">
      <w:pPr>
        <w:jc w:val="both"/>
        <w:rPr>
          <w:rFonts w:cs="Arial"/>
          <w:szCs w:val="20"/>
          <w:lang w:val="sl-SI"/>
        </w:rPr>
      </w:pPr>
      <w:r w:rsidRPr="00392381">
        <w:rPr>
          <w:rFonts w:cs="Arial"/>
          <w:szCs w:val="20"/>
          <w:lang w:val="sl-SI"/>
        </w:rPr>
        <w:t>Vročanje je dejanje organa, ki s tem zagotavlja pravico do informiranosti, zato način vročitve ne more biti odločilen.</w:t>
      </w:r>
      <w:r w:rsidR="00564FB9" w:rsidRPr="00392381">
        <w:rPr>
          <w:rFonts w:cs="Arial"/>
          <w:szCs w:val="20"/>
          <w:lang w:val="sl-SI"/>
        </w:rPr>
        <w:t xml:space="preserve"> Način vročitve tudi ni pravica stranke, kot je sicer pravica do informiranosti in vročitve.</w:t>
      </w:r>
      <w:r w:rsidRPr="00392381">
        <w:rPr>
          <w:rFonts w:cs="Arial"/>
          <w:szCs w:val="20"/>
          <w:lang w:val="sl-SI"/>
        </w:rPr>
        <w:t xml:space="preserve"> Posledično naslovnika, ki jima je isti dokument vročen na različna načina, ne moreta biti v različnih pravnih položajih. O tem bi lahko govorili le, če kateri od naslovnikov ne bi imel realne možnosti, da se z dokumentom seznani. Situacija, ko se različnim naslovnikom lahko vroča na različne načine, ni novost v upravnem postopku, saj se že po veljavnem zakonu naslovnikom lahko vroča po elektronski ali fizični poti. </w:t>
      </w:r>
      <w:r w:rsidR="00564FB9" w:rsidRPr="00392381">
        <w:rPr>
          <w:rFonts w:cs="Arial"/>
          <w:szCs w:val="20"/>
          <w:lang w:val="sl-SI"/>
        </w:rPr>
        <w:t xml:space="preserve">Prav tako se po veljavnem zakonu določeni dokumenti izdani v upravnem postopku vročajo po ZUP drugi pa po Zakonu o poštnih storitvah. </w:t>
      </w:r>
      <w:r w:rsidRPr="00392381">
        <w:rPr>
          <w:rFonts w:cs="Arial"/>
          <w:szCs w:val="20"/>
          <w:lang w:val="sl-SI"/>
        </w:rPr>
        <w:t xml:space="preserve">Možnost </w:t>
      </w:r>
      <w:r w:rsidRPr="00392381">
        <w:rPr>
          <w:rFonts w:cs="Arial"/>
          <w:szCs w:val="20"/>
          <w:lang w:val="sl-SI"/>
        </w:rPr>
        <w:lastRenderedPageBreak/>
        <w:t>izbire načina vročitve med fizičnim in elektronskim vročanjem, ki jo veljavni zakon omogoča</w:t>
      </w:r>
      <w:r w:rsidR="00564FB9" w:rsidRPr="00392381">
        <w:rPr>
          <w:rFonts w:cs="Arial"/>
          <w:szCs w:val="20"/>
          <w:lang w:val="sl-SI"/>
        </w:rPr>
        <w:t xml:space="preserve"> in se več let nemoteno izvršuje</w:t>
      </w:r>
      <w:r w:rsidRPr="00392381">
        <w:rPr>
          <w:rFonts w:cs="Arial"/>
          <w:szCs w:val="20"/>
          <w:lang w:val="sl-SI"/>
        </w:rPr>
        <w:t>, je predmet procesne »diskrecije«, ko uradna oseba izbira med različnimi načini izvedbe postopka, ki so v neki življenjski situaciji najbolj primerni</w:t>
      </w:r>
      <w:r w:rsidR="00564FB9" w:rsidRPr="00392381">
        <w:rPr>
          <w:rFonts w:cs="Arial"/>
          <w:szCs w:val="20"/>
          <w:lang w:val="sl-SI"/>
        </w:rPr>
        <w:t xml:space="preserve"> in učinkoviti</w:t>
      </w:r>
      <w:r w:rsidRPr="00392381">
        <w:rPr>
          <w:rFonts w:cs="Arial"/>
          <w:szCs w:val="20"/>
          <w:lang w:val="sl-SI"/>
        </w:rPr>
        <w:t>, da se doseže namen. Zaradi načina vročitve tudi ni mogoče sklepati</w:t>
      </w:r>
      <w:r w:rsidR="000E25D5" w:rsidRPr="00392381">
        <w:rPr>
          <w:rFonts w:cs="Arial"/>
          <w:szCs w:val="20"/>
          <w:lang w:val="sl-SI"/>
        </w:rPr>
        <w:t xml:space="preserve"> ali zatrjevati</w:t>
      </w:r>
      <w:r w:rsidRPr="00392381">
        <w:rPr>
          <w:rFonts w:cs="Arial"/>
          <w:szCs w:val="20"/>
          <w:lang w:val="sl-SI"/>
        </w:rPr>
        <w:t xml:space="preserve">, da je nekdo </w:t>
      </w:r>
      <w:r w:rsidR="00564FB9" w:rsidRPr="00392381">
        <w:rPr>
          <w:rFonts w:cs="Arial"/>
          <w:szCs w:val="20"/>
          <w:lang w:val="sl-SI"/>
        </w:rPr>
        <w:t xml:space="preserve">v </w:t>
      </w:r>
      <w:r w:rsidRPr="00392381">
        <w:rPr>
          <w:rFonts w:cs="Arial"/>
          <w:szCs w:val="20"/>
          <w:lang w:val="sl-SI"/>
        </w:rPr>
        <w:t xml:space="preserve">boljšem ali slabšem procesnopravnem položaju. </w:t>
      </w:r>
      <w:r w:rsidR="00564FB9" w:rsidRPr="00392381">
        <w:rPr>
          <w:rFonts w:cs="Arial"/>
          <w:szCs w:val="20"/>
          <w:lang w:val="sl-SI"/>
        </w:rPr>
        <w:t>Zakon temelji na izhodišču, da</w:t>
      </w:r>
      <w:r w:rsidRPr="00392381">
        <w:rPr>
          <w:rFonts w:cs="Arial"/>
          <w:szCs w:val="20"/>
          <w:lang w:val="sl-SI"/>
        </w:rPr>
        <w:t xml:space="preserve">, da </w:t>
      </w:r>
      <w:r w:rsidR="000E25D5" w:rsidRPr="00392381">
        <w:rPr>
          <w:rFonts w:cs="Arial"/>
          <w:szCs w:val="20"/>
          <w:lang w:val="sl-SI"/>
        </w:rPr>
        <w:t xml:space="preserve">v pravni normi </w:t>
      </w:r>
      <w:r w:rsidRPr="00392381">
        <w:rPr>
          <w:rFonts w:cs="Arial"/>
          <w:szCs w:val="20"/>
          <w:lang w:val="sl-SI"/>
        </w:rPr>
        <w:t xml:space="preserve">ni mogoče </w:t>
      </w:r>
      <w:r w:rsidR="000E25D5" w:rsidRPr="00392381">
        <w:rPr>
          <w:rFonts w:cs="Arial"/>
          <w:szCs w:val="20"/>
          <w:lang w:val="sl-SI"/>
        </w:rPr>
        <w:t xml:space="preserve">enoznačno </w:t>
      </w:r>
      <w:r w:rsidRPr="00392381">
        <w:rPr>
          <w:rFonts w:cs="Arial"/>
          <w:szCs w:val="20"/>
          <w:lang w:val="sl-SI"/>
        </w:rPr>
        <w:t xml:space="preserve">predvideti </w:t>
      </w:r>
      <w:r w:rsidR="000E25D5" w:rsidRPr="00392381">
        <w:rPr>
          <w:rFonts w:cs="Arial"/>
          <w:szCs w:val="20"/>
          <w:lang w:val="sl-SI"/>
        </w:rPr>
        <w:t xml:space="preserve">in urediti </w:t>
      </w:r>
      <w:r w:rsidRPr="00392381">
        <w:rPr>
          <w:rFonts w:cs="Arial"/>
          <w:szCs w:val="20"/>
          <w:lang w:val="sl-SI"/>
        </w:rPr>
        <w:t xml:space="preserve">vseh življenjskih situacij, zato je način izvedbe procesnega dejanja treba prepustiti uradni osebi, ki pozna okoliščine konkretne in posamične upravne zadeve, seveda v okviru zakonsko dopustnih možnosti. Takšno postopanje je v procesnih razmerjih običajno, uradna oseba denimo vedno presoja: katere dokaze bo izvedla, ali je dejansko stanje popolnoma ugotovljeno, da lahko izda odločbo, na kakšen način bo stranki omogočeno izvrševanje pravice do izjave, ali bo izvedena ustna obravnava (če seveda ne gre za okoliščine, v katerih je obvezna), kakšna denarna kazen bo dosegla namen ipd.. Kolikor zakonodajalec prepusti možnost izbire med več pravno dopustnimi možnostmi, ni mogoče govoriti o arbitrarnosti. Ker je uradna oseba pooblaščena za vodenje postopka oziroma za odločitev v zadevi, ji mora biti v okviru tega pooblastila tudi zaupano, da izbere najbolj primeren način vročitve. </w:t>
      </w:r>
    </w:p>
    <w:p w14:paraId="0AAA7E02" w14:textId="77777777" w:rsidR="00545FC0" w:rsidRPr="00392381" w:rsidRDefault="00545FC0" w:rsidP="00545FC0">
      <w:pPr>
        <w:jc w:val="both"/>
        <w:rPr>
          <w:rFonts w:cs="Arial"/>
          <w:szCs w:val="20"/>
          <w:lang w:val="sl-SI"/>
        </w:rPr>
      </w:pPr>
    </w:p>
    <w:p w14:paraId="49B0C800" w14:textId="15CE843A" w:rsidR="00545FC0" w:rsidRPr="00392381" w:rsidRDefault="00545FC0" w:rsidP="00545FC0">
      <w:pPr>
        <w:jc w:val="both"/>
        <w:rPr>
          <w:rFonts w:cs="Arial"/>
          <w:szCs w:val="20"/>
          <w:lang w:val="sl-SI"/>
        </w:rPr>
      </w:pPr>
      <w:r w:rsidRPr="00392381">
        <w:rPr>
          <w:rFonts w:cs="Arial"/>
          <w:szCs w:val="20"/>
          <w:lang w:val="sl-SI"/>
        </w:rPr>
        <w:t xml:space="preserve">V skladu z </w:t>
      </w:r>
      <w:r w:rsidR="000E25D5" w:rsidRPr="00392381">
        <w:rPr>
          <w:rFonts w:cs="Arial"/>
          <w:szCs w:val="20"/>
          <w:lang w:val="sl-SI"/>
        </w:rPr>
        <w:t>ZUP-I</w:t>
      </w:r>
      <w:r w:rsidRPr="00392381">
        <w:rPr>
          <w:rFonts w:cs="Arial"/>
          <w:szCs w:val="20"/>
          <w:lang w:val="sl-SI"/>
        </w:rPr>
        <w:t xml:space="preserve"> se bo uradno pisanje </w:t>
      </w:r>
      <w:r w:rsidR="000E25D5" w:rsidRPr="00392381">
        <w:rPr>
          <w:rFonts w:cs="Arial"/>
          <w:szCs w:val="20"/>
          <w:lang w:val="sl-SI"/>
        </w:rPr>
        <w:t>vročalo s priporočeno pošiljko po pravilih ZUP</w:t>
      </w:r>
      <w:r w:rsidRPr="00392381">
        <w:rPr>
          <w:rFonts w:cs="Arial"/>
          <w:szCs w:val="20"/>
          <w:lang w:val="sl-SI"/>
        </w:rPr>
        <w:t xml:space="preserve">, če bo uradna oseba presodila, da je kvalificirana vročitev učinkovitejša kot navadna </w:t>
      </w:r>
      <w:r w:rsidR="000E25D5" w:rsidRPr="00392381">
        <w:rPr>
          <w:rFonts w:cs="Arial"/>
          <w:szCs w:val="20"/>
          <w:lang w:val="sl-SI"/>
        </w:rPr>
        <w:t xml:space="preserve">vročitev </w:t>
      </w:r>
      <w:r w:rsidRPr="00392381">
        <w:rPr>
          <w:rFonts w:cs="Arial"/>
          <w:szCs w:val="20"/>
          <w:lang w:val="sl-SI"/>
        </w:rPr>
        <w:t>z vložitvijo v hišni predalčnik, ker bo predvidela, da v konkretni zadevi potrebuje dokaz o vročitvi npr. zaradi morebitnega izogibanja vročitvi ali v izogib ponavljanju vročitve ipd.</w:t>
      </w:r>
    </w:p>
    <w:p w14:paraId="1DF58776" w14:textId="77777777" w:rsidR="00545FC0" w:rsidRPr="00392381" w:rsidRDefault="00545FC0" w:rsidP="00545FC0">
      <w:pPr>
        <w:jc w:val="both"/>
        <w:rPr>
          <w:rFonts w:cs="Arial"/>
          <w:szCs w:val="20"/>
          <w:lang w:val="sl-SI"/>
        </w:rPr>
      </w:pPr>
    </w:p>
    <w:p w14:paraId="585A2D5E" w14:textId="77777777" w:rsidR="000E25D5" w:rsidRPr="00392381" w:rsidRDefault="000E25D5" w:rsidP="00545FC0">
      <w:pPr>
        <w:jc w:val="both"/>
        <w:rPr>
          <w:rFonts w:eastAsia="Calibri" w:cs="Arial"/>
          <w:szCs w:val="20"/>
          <w:lang w:val="sl-SI"/>
        </w:rPr>
      </w:pPr>
      <w:r w:rsidRPr="00392381">
        <w:rPr>
          <w:rFonts w:eastAsia="Calibri" w:cs="Arial"/>
          <w:szCs w:val="20"/>
          <w:lang w:val="sl-SI"/>
        </w:rPr>
        <w:t>ZUP-I</w:t>
      </w:r>
      <w:r w:rsidR="00545FC0" w:rsidRPr="00392381">
        <w:rPr>
          <w:rFonts w:eastAsia="Calibri" w:cs="Arial"/>
          <w:szCs w:val="20"/>
          <w:lang w:val="sl-SI"/>
        </w:rPr>
        <w:t xml:space="preserve"> vročanje v hišni predalčnik vzpostavlja kot </w:t>
      </w:r>
      <w:r w:rsidRPr="00392381">
        <w:rPr>
          <w:rFonts w:eastAsia="Calibri" w:cs="Arial"/>
          <w:szCs w:val="20"/>
          <w:lang w:val="sl-SI"/>
        </w:rPr>
        <w:t xml:space="preserve">procesno </w:t>
      </w:r>
      <w:r w:rsidR="00545FC0" w:rsidRPr="00392381">
        <w:rPr>
          <w:rFonts w:eastAsia="Calibri" w:cs="Arial"/>
          <w:szCs w:val="20"/>
          <w:lang w:val="sl-SI"/>
        </w:rPr>
        <w:t xml:space="preserve">možnost, sicer primarno, vendar ne kot obveznost za vsakokratno vročanje dokumenta v fizični obliki. Državni svet sicer navaja, da bo navedena oblika vročanja poslabšala položaj stranke in vplivala na pravico do pravnega sredstva in sodnega varstva, vendar pri tem spregleda </w:t>
      </w:r>
      <w:r w:rsidRPr="00392381">
        <w:rPr>
          <w:rFonts w:eastAsia="Calibri" w:cs="Arial"/>
          <w:szCs w:val="20"/>
          <w:lang w:val="sl-SI"/>
        </w:rPr>
        <w:t xml:space="preserve">pravno dejstvo, da je vročanje dejanje organa, ki ga mora dokazovati, kadar je to potrebno. Obveznost organa o dokazovanju vročanja je v izogib dvoma izrecno zapisana v zakonu (na vsebinsko enak način kot sicer v nemškem ZUP). To pomeni, da bo organ, ki </w:t>
      </w:r>
      <w:r w:rsidR="00545FC0" w:rsidRPr="00392381">
        <w:rPr>
          <w:rFonts w:eastAsia="Calibri" w:cs="Arial"/>
          <w:szCs w:val="20"/>
          <w:lang w:val="sl-SI"/>
        </w:rPr>
        <w:t xml:space="preserve">vročitve </w:t>
      </w:r>
      <w:r w:rsidRPr="00392381">
        <w:rPr>
          <w:rFonts w:eastAsia="Calibri" w:cs="Arial"/>
          <w:szCs w:val="20"/>
          <w:lang w:val="sl-SI"/>
        </w:rPr>
        <w:t xml:space="preserve">oziroma realne možnosti seznanitve </w:t>
      </w:r>
      <w:r w:rsidR="00545FC0" w:rsidRPr="00392381">
        <w:rPr>
          <w:rFonts w:eastAsia="Calibri" w:cs="Arial"/>
          <w:szCs w:val="20"/>
          <w:lang w:val="sl-SI"/>
        </w:rPr>
        <w:t xml:space="preserve">ne bo mogel dokazati, bo </w:t>
      </w:r>
      <w:r w:rsidRPr="00392381">
        <w:rPr>
          <w:rFonts w:eastAsia="Calibri" w:cs="Arial"/>
          <w:szCs w:val="20"/>
          <w:lang w:val="sl-SI"/>
        </w:rPr>
        <w:t>vročitev opravil</w:t>
      </w:r>
      <w:r w:rsidR="00545FC0" w:rsidRPr="00392381">
        <w:rPr>
          <w:rFonts w:eastAsia="Calibri" w:cs="Arial"/>
          <w:szCs w:val="20"/>
          <w:lang w:val="sl-SI"/>
        </w:rPr>
        <w:t xml:space="preserve"> ponovno. Zato ni mogoče zatrjevati, da vročitev v hišni predalčnik prekomerno posega v pravni položaj stranke, saj zakon uvaja varovalke, ki bodo omogočile varstvo ustavnopravnega položaja stranke in zagotovile pošten postopek. Na tak način se bodo praviloma vročale odločbe, s katerimi bo zahtevi stranke ugodeno in uradna oseba ne bo pričakovala izogibanja vročitvi. </w:t>
      </w:r>
    </w:p>
    <w:p w14:paraId="784B05C7" w14:textId="77777777" w:rsidR="000E25D5" w:rsidRPr="00392381" w:rsidRDefault="000E25D5" w:rsidP="00545FC0">
      <w:pPr>
        <w:jc w:val="both"/>
        <w:rPr>
          <w:rFonts w:eastAsia="Calibri" w:cs="Arial"/>
          <w:szCs w:val="20"/>
          <w:lang w:val="sl-SI"/>
        </w:rPr>
      </w:pPr>
    </w:p>
    <w:p w14:paraId="6F5A7D13" w14:textId="56D9BC53" w:rsidR="00545FC0" w:rsidRPr="00392381" w:rsidRDefault="000E25D5" w:rsidP="00545FC0">
      <w:pPr>
        <w:jc w:val="both"/>
        <w:rPr>
          <w:rFonts w:eastAsia="Calibri" w:cs="Arial"/>
          <w:szCs w:val="20"/>
          <w:lang w:val="sl-SI"/>
        </w:rPr>
      </w:pPr>
      <w:r w:rsidRPr="00392381">
        <w:rPr>
          <w:rFonts w:eastAsia="Calibri" w:cs="Arial"/>
          <w:szCs w:val="20"/>
          <w:lang w:val="sl-SI"/>
        </w:rPr>
        <w:t xml:space="preserve">Ob navedenem </w:t>
      </w:r>
      <w:r w:rsidR="00545FC0" w:rsidRPr="00392381">
        <w:rPr>
          <w:rFonts w:eastAsia="Calibri" w:cs="Arial"/>
          <w:szCs w:val="20"/>
          <w:lang w:val="sl-SI"/>
        </w:rPr>
        <w:t xml:space="preserve">ni razumljiv očitek glede vpliva </w:t>
      </w:r>
      <w:r w:rsidRPr="00392381">
        <w:rPr>
          <w:rFonts w:eastAsia="Calibri" w:cs="Arial"/>
          <w:szCs w:val="20"/>
          <w:lang w:val="sl-SI"/>
        </w:rPr>
        <w:t xml:space="preserve">vročanja </w:t>
      </w:r>
      <w:r w:rsidR="00545FC0" w:rsidRPr="00392381">
        <w:rPr>
          <w:rFonts w:eastAsia="Calibri" w:cs="Arial"/>
          <w:szCs w:val="20"/>
          <w:lang w:val="sl-SI"/>
        </w:rPr>
        <w:t>na pravico do pravnega sredstva, saj se ravno s tem namenom</w:t>
      </w:r>
      <w:r w:rsidRPr="00392381">
        <w:rPr>
          <w:rFonts w:eastAsia="Calibri" w:cs="Arial"/>
          <w:szCs w:val="20"/>
          <w:lang w:val="sl-SI"/>
        </w:rPr>
        <w:t xml:space="preserve">, da se ne bi poseglo v omenjeno pravico </w:t>
      </w:r>
      <w:r w:rsidR="00545FC0" w:rsidRPr="00392381">
        <w:rPr>
          <w:rFonts w:eastAsia="Calibri" w:cs="Arial"/>
          <w:szCs w:val="20"/>
          <w:lang w:val="sl-SI"/>
        </w:rPr>
        <w:t>podaljšuje rok za vložitev pritožbe na 21 dni, kar pomeni, da tudi s tega vidika ni mogoče govoriti o poslabšanju pravnega položaja stranke.</w:t>
      </w:r>
      <w:r w:rsidR="00220BC6" w:rsidRPr="00392381">
        <w:rPr>
          <w:rFonts w:eastAsia="Calibri" w:cs="Arial"/>
          <w:szCs w:val="20"/>
          <w:lang w:val="sl-SI"/>
        </w:rPr>
        <w:t xml:space="preserve"> Procesno pravni položaj stranke je v tem primeru bistveno enak kot po veljavnem zakonu, v določenih primerih celo ugodnejši (npr. ko se seznani z odločbo isti dan, ko je puščena v hišnem predalčniku, ko formalnopravno še začnejo teči roki za vložitev pritožbe). </w:t>
      </w:r>
    </w:p>
    <w:p w14:paraId="7D7D3F7B" w14:textId="77777777" w:rsidR="00545FC0" w:rsidRPr="00392381" w:rsidRDefault="00545FC0" w:rsidP="00545FC0">
      <w:pPr>
        <w:jc w:val="both"/>
        <w:rPr>
          <w:rFonts w:eastAsia="Calibri" w:cs="Arial"/>
          <w:szCs w:val="20"/>
          <w:lang w:val="sl-SI"/>
        </w:rPr>
      </w:pPr>
    </w:p>
    <w:p w14:paraId="48F93C02" w14:textId="09C89F8E" w:rsidR="00545FC0" w:rsidRPr="00392381" w:rsidRDefault="00220BC6" w:rsidP="00545FC0">
      <w:pPr>
        <w:jc w:val="both"/>
        <w:rPr>
          <w:rFonts w:cs="Arial"/>
          <w:szCs w:val="20"/>
          <w:lang w:val="sl-SI"/>
        </w:rPr>
      </w:pPr>
      <w:r w:rsidRPr="00392381">
        <w:rPr>
          <w:rFonts w:cs="Arial"/>
          <w:szCs w:val="20"/>
          <w:lang w:val="sl-SI"/>
        </w:rPr>
        <w:t>Ob tem ne gre spregledati</w:t>
      </w:r>
      <w:r w:rsidR="00545FC0" w:rsidRPr="00392381">
        <w:rPr>
          <w:rFonts w:cs="Arial"/>
          <w:szCs w:val="20"/>
          <w:lang w:val="sl-SI"/>
        </w:rPr>
        <w:t xml:space="preserve">, da so se pravila o vročanju z dostavo v hišni predalčnik že uveljavila v številnih področnih zakonih. Navedeno pa ne pomeni, da zaradi razlogov, na katerih je temeljila področna ureditev vročanja, ni mogoče uvesti vročanja v hišni predalčnik v splošnem zakonu. To nenazadnje kaže očiten trend širjenja navadnega vročanja v področnih zakonih, kar ima samo po sebi lahko negativni učinek na pravno varnost (zaupanje v pravo, predvidljivost), saj prava neuki naslovniki največkrat ne poznajo procesnih pravil vročanja v vsaki konkretni zadevi. Z uveljavitvijo v ZUP se bo nedvomno razširilo vedenje, da se dokumenti lahko vročajo na različne načine, prav tako pa je pričakovati poenotenje področnih zakonov z ZUP. </w:t>
      </w:r>
      <w:r w:rsidRPr="00392381">
        <w:rPr>
          <w:rFonts w:cs="Arial"/>
          <w:szCs w:val="20"/>
          <w:lang w:val="sl-SI"/>
        </w:rPr>
        <w:t>Še več, z dopolnitvijo ZUP bo pravno urejena situacija, ko stranka dokumenta ne prejme ali ga prejme kasneje, kar področni zakoni ne urejajo, zato bodo stranke nedvomno v boljšem in bolj predvidljivem pravnem položaju kot so danes, saj se določijo enotni procesni standardi o opremljenosti pošiljke, procesnem položaju naslovnika, odpravljeni bodo dvomi o postopanju v primeru dvoma o vročitvi ter s tem povezanimi obveznostmi organa.</w:t>
      </w:r>
    </w:p>
    <w:p w14:paraId="1C7FE8FA" w14:textId="77777777" w:rsidR="00545FC0" w:rsidRPr="00392381" w:rsidRDefault="00545FC0" w:rsidP="00545FC0">
      <w:pPr>
        <w:jc w:val="both"/>
        <w:rPr>
          <w:rFonts w:cs="Arial"/>
          <w:szCs w:val="20"/>
          <w:lang w:val="sl-SI"/>
        </w:rPr>
      </w:pPr>
    </w:p>
    <w:p w14:paraId="721986E6" w14:textId="709DB5AB" w:rsidR="00545FC0" w:rsidRPr="00392381" w:rsidRDefault="00545FC0" w:rsidP="00545FC0">
      <w:pPr>
        <w:jc w:val="both"/>
        <w:rPr>
          <w:rFonts w:cs="Arial"/>
          <w:szCs w:val="20"/>
          <w:lang w:val="sl-SI"/>
        </w:rPr>
      </w:pPr>
      <w:r w:rsidRPr="00392381">
        <w:rPr>
          <w:rFonts w:cs="Arial"/>
          <w:szCs w:val="20"/>
          <w:lang w:val="sl-SI"/>
        </w:rPr>
        <w:lastRenderedPageBreak/>
        <w:t xml:space="preserve">S spremembo ZUP bo omogočena enaka obravnava vseh naslovnikov. Odpravljeni bodo potencialni dvomi, ali so potrebe, zaradi katerih se je v področnem zakonu odstopilo od splošne ureditve, sploh realno utemeljene in kot take ustavnopravno skladne za odstop od splošne ureditve (prim. 3. člen ZUP). </w:t>
      </w:r>
    </w:p>
    <w:p w14:paraId="58591BB7" w14:textId="77777777" w:rsidR="00545FC0" w:rsidRPr="00392381" w:rsidRDefault="00545FC0" w:rsidP="00545FC0">
      <w:pPr>
        <w:jc w:val="both"/>
        <w:rPr>
          <w:rFonts w:cs="Arial"/>
          <w:szCs w:val="20"/>
          <w:lang w:val="sl-SI"/>
        </w:rPr>
      </w:pPr>
    </w:p>
    <w:p w14:paraId="6D89268D" w14:textId="77777777" w:rsidR="00545FC0" w:rsidRPr="00392381" w:rsidRDefault="00545FC0" w:rsidP="00545FC0">
      <w:pPr>
        <w:jc w:val="both"/>
        <w:rPr>
          <w:rFonts w:eastAsia="Calibri" w:cs="Arial"/>
          <w:szCs w:val="20"/>
          <w:lang w:val="sl-SI"/>
        </w:rPr>
      </w:pPr>
      <w:r w:rsidRPr="00392381">
        <w:rPr>
          <w:rFonts w:cs="Arial"/>
          <w:szCs w:val="20"/>
          <w:lang w:val="sl-SI"/>
        </w:rPr>
        <w:t xml:space="preserve">Sklepno poudarjamo, da </w:t>
      </w:r>
      <w:r w:rsidRPr="00392381">
        <w:rPr>
          <w:rFonts w:eastAsia="Calibri" w:cs="Arial"/>
          <w:szCs w:val="20"/>
          <w:lang w:val="sl-SI"/>
        </w:rPr>
        <w:t>daje novela možnost različnih načinov vročitve, ki jih bodo organi uporabili glede na okoliščine postopka oziroma upravne zadeve, ob tem pa nikakor ni mogoče zatrjevati, da so obravnavane neenako, če je vročitev opravljena na en ali drug način.</w:t>
      </w:r>
    </w:p>
    <w:p w14:paraId="4198DEB7" w14:textId="77777777" w:rsidR="00545FC0" w:rsidRPr="00392381" w:rsidRDefault="00545FC0" w:rsidP="00545FC0">
      <w:pPr>
        <w:jc w:val="both"/>
        <w:rPr>
          <w:rFonts w:cs="Arial"/>
          <w:szCs w:val="20"/>
          <w:lang w:val="sl-SI"/>
        </w:rPr>
      </w:pPr>
    </w:p>
    <w:p w14:paraId="20A4F71D" w14:textId="77777777" w:rsidR="00545FC0" w:rsidRPr="00392381" w:rsidRDefault="00545FC0" w:rsidP="00545FC0">
      <w:pPr>
        <w:spacing w:line="240" w:lineRule="atLeast"/>
        <w:jc w:val="both"/>
        <w:rPr>
          <w:rFonts w:eastAsia="Calibri" w:cs="Arial"/>
          <w:szCs w:val="20"/>
          <w:lang w:val="sl-SI"/>
        </w:rPr>
      </w:pPr>
    </w:p>
    <w:p w14:paraId="2C943383" w14:textId="4DC8E4CF" w:rsidR="00545FC0" w:rsidRPr="00392381" w:rsidRDefault="00545FC0" w:rsidP="005F0E91">
      <w:pPr>
        <w:numPr>
          <w:ilvl w:val="0"/>
          <w:numId w:val="42"/>
        </w:numPr>
        <w:jc w:val="both"/>
        <w:rPr>
          <w:rFonts w:cs="Arial"/>
          <w:b/>
          <w:bCs/>
          <w:szCs w:val="20"/>
          <w:lang w:val="sl-SI"/>
        </w:rPr>
      </w:pPr>
      <w:r w:rsidRPr="00392381">
        <w:rPr>
          <w:rFonts w:cs="Arial"/>
          <w:b/>
          <w:bCs/>
          <w:szCs w:val="20"/>
          <w:lang w:val="sl-SI"/>
        </w:rPr>
        <w:t>Skrajšanje roka za nastanek fikcije vročitve pri elektronskem in fizičnem</w:t>
      </w:r>
      <w:r w:rsidR="001C6F78" w:rsidRPr="00392381">
        <w:rPr>
          <w:rFonts w:cs="Arial"/>
          <w:b/>
          <w:bCs/>
          <w:szCs w:val="20"/>
          <w:lang w:val="sl-SI"/>
        </w:rPr>
        <w:t xml:space="preserve"> </w:t>
      </w:r>
      <w:r w:rsidRPr="00392381">
        <w:rPr>
          <w:rFonts w:cs="Arial"/>
          <w:b/>
          <w:bCs/>
          <w:szCs w:val="20"/>
          <w:lang w:val="sl-SI"/>
        </w:rPr>
        <w:t xml:space="preserve">vročanju </w:t>
      </w:r>
    </w:p>
    <w:p w14:paraId="4C890679" w14:textId="77777777" w:rsidR="00545FC0" w:rsidRPr="00392381" w:rsidRDefault="00545FC0" w:rsidP="00545FC0">
      <w:pPr>
        <w:jc w:val="both"/>
        <w:rPr>
          <w:rFonts w:cs="Arial"/>
          <w:szCs w:val="20"/>
          <w:lang w:val="sl-SI"/>
        </w:rPr>
      </w:pPr>
    </w:p>
    <w:p w14:paraId="2D230349" w14:textId="44B1F652" w:rsidR="0002594C" w:rsidRPr="00392381" w:rsidRDefault="00392381" w:rsidP="00545FC0">
      <w:pPr>
        <w:jc w:val="both"/>
        <w:rPr>
          <w:rFonts w:cs="Arial"/>
          <w:b/>
          <w:bCs/>
          <w:szCs w:val="20"/>
          <w:lang w:val="sl-SI"/>
        </w:rPr>
      </w:pPr>
      <w:r>
        <w:rPr>
          <w:rFonts w:cs="Arial"/>
          <w:b/>
          <w:bCs/>
          <w:szCs w:val="20"/>
          <w:lang w:val="sl-SI"/>
        </w:rPr>
        <w:t xml:space="preserve">S sedemdnevnim rokom </w:t>
      </w:r>
      <w:r w:rsidR="009A3525" w:rsidRPr="00392381">
        <w:rPr>
          <w:rFonts w:cs="Arial"/>
          <w:b/>
          <w:bCs/>
          <w:szCs w:val="20"/>
          <w:lang w:val="sl-SI"/>
        </w:rPr>
        <w:t>za nastanek fikcije vročitve se zasleduje želj</w:t>
      </w:r>
      <w:r w:rsidR="0002594C" w:rsidRPr="00392381">
        <w:rPr>
          <w:rFonts w:cs="Arial"/>
          <w:b/>
          <w:bCs/>
          <w:szCs w:val="20"/>
          <w:lang w:val="sl-SI"/>
        </w:rPr>
        <w:t>a</w:t>
      </w:r>
      <w:r w:rsidR="009A3525" w:rsidRPr="00392381">
        <w:rPr>
          <w:rFonts w:cs="Arial"/>
          <w:b/>
          <w:bCs/>
          <w:szCs w:val="20"/>
          <w:lang w:val="sl-SI"/>
        </w:rPr>
        <w:t xml:space="preserve"> po </w:t>
      </w:r>
      <w:r w:rsidR="0002594C" w:rsidRPr="00392381">
        <w:rPr>
          <w:rFonts w:cs="Arial"/>
          <w:b/>
          <w:bCs/>
          <w:szCs w:val="20"/>
          <w:lang w:val="sl-SI"/>
        </w:rPr>
        <w:t>hitrem in učinkovitem postopku</w:t>
      </w:r>
      <w:r w:rsidR="009A3525" w:rsidRPr="00392381">
        <w:rPr>
          <w:rFonts w:cs="Arial"/>
          <w:b/>
          <w:bCs/>
          <w:szCs w:val="20"/>
          <w:lang w:val="sl-SI"/>
        </w:rPr>
        <w:t xml:space="preserve">, ki je v interesu stranke postopka, da čimprej dobi pravnomočno in izvršljivo odločbo. </w:t>
      </w:r>
      <w:r w:rsidR="0002594C" w:rsidRPr="00392381">
        <w:rPr>
          <w:rFonts w:cs="Arial"/>
          <w:b/>
          <w:bCs/>
          <w:szCs w:val="20"/>
          <w:lang w:val="sl-SI"/>
        </w:rPr>
        <w:t>Skrajšanje roka za fikcijo vročitve samo po sebi ne vpliva na čas, ki ga ima stranka na voljo za odziv, vpliva na čas kdaj ta rok začne teči. Sedemdnevni rok je primerljiv z ureditvijo rokov uveljavljenih v sodnih postopkih (ZPP, ZKP</w:t>
      </w:r>
      <w:r w:rsidR="00BA6779">
        <w:rPr>
          <w:rStyle w:val="Sprotnaopomba-sklic"/>
          <w:rFonts w:cs="Arial"/>
          <w:b/>
          <w:bCs/>
          <w:szCs w:val="20"/>
          <w:lang w:val="sl-SI"/>
        </w:rPr>
        <w:footnoteReference w:id="11"/>
      </w:r>
      <w:r w:rsidR="0002594C" w:rsidRPr="00392381">
        <w:rPr>
          <w:rFonts w:cs="Arial"/>
          <w:b/>
          <w:bCs/>
          <w:szCs w:val="20"/>
          <w:lang w:val="sl-SI"/>
        </w:rPr>
        <w:t>) in primerljivih tujih ureditvah. Bistveno je, da temelji na realni možnosti seznanitve z dokumentom, kar z vložitvijo v hišni predalčnik, poštni predal ali elektronski predal ni sporno. V izogib očitkom o poseganju v pravico do pritožb</w:t>
      </w:r>
      <w:r>
        <w:rPr>
          <w:rFonts w:cs="Arial"/>
          <w:b/>
          <w:bCs/>
          <w:szCs w:val="20"/>
          <w:lang w:val="sl-SI"/>
        </w:rPr>
        <w:t>e</w:t>
      </w:r>
      <w:r w:rsidR="0002594C" w:rsidRPr="00392381">
        <w:rPr>
          <w:rFonts w:cs="Arial"/>
          <w:b/>
          <w:bCs/>
          <w:szCs w:val="20"/>
          <w:lang w:val="sl-SI"/>
        </w:rPr>
        <w:t xml:space="preserve">, ZUP-I podaljšuje rok za vložitev pritožbe, zato je pravni položaj stranke v tem delu povsem primerljiv z veljavno ureditvijo. </w:t>
      </w:r>
    </w:p>
    <w:p w14:paraId="016C783A" w14:textId="77777777" w:rsidR="0002594C" w:rsidRPr="00392381" w:rsidRDefault="0002594C" w:rsidP="00545FC0">
      <w:pPr>
        <w:jc w:val="both"/>
        <w:rPr>
          <w:rFonts w:cs="Arial"/>
          <w:b/>
          <w:bCs/>
          <w:szCs w:val="20"/>
          <w:lang w:val="sl-SI"/>
        </w:rPr>
      </w:pPr>
    </w:p>
    <w:p w14:paraId="3FCA40A6" w14:textId="47F84B70" w:rsidR="00545FC0" w:rsidRPr="00392381" w:rsidRDefault="00545FC0" w:rsidP="00545FC0">
      <w:pPr>
        <w:jc w:val="both"/>
        <w:rPr>
          <w:rFonts w:cs="Arial"/>
          <w:szCs w:val="20"/>
          <w:lang w:val="sl-SI"/>
        </w:rPr>
      </w:pPr>
      <w:r w:rsidRPr="00392381">
        <w:rPr>
          <w:rFonts w:cs="Arial"/>
          <w:szCs w:val="20"/>
          <w:lang w:val="sl-SI"/>
        </w:rPr>
        <w:t xml:space="preserve">S </w:t>
      </w:r>
      <w:r w:rsidR="00227ADC" w:rsidRPr="00392381">
        <w:rPr>
          <w:rFonts w:cs="Arial"/>
          <w:szCs w:val="20"/>
          <w:lang w:val="sl-SI"/>
        </w:rPr>
        <w:t>ZUP-I</w:t>
      </w:r>
      <w:r w:rsidRPr="00392381">
        <w:rPr>
          <w:rFonts w:cs="Arial"/>
          <w:szCs w:val="20"/>
          <w:lang w:val="sl-SI"/>
        </w:rPr>
        <w:t xml:space="preserve"> se pri večini načinov fizičnega in elektronskega vročanja skrajšuje rok za nastanek fikcije vročitve, namesto 15 dni, kot fikcijo ureja veljavni zakon, se določi, da fikcija vročitve nastane v 7 dneh. Pri tem je ključno, ali 7 dnevni rok omogoči naslovniku seznanitev z dokumentom. Če je dokument vložen v hišni predalčnik ali poštni predal, zlasti pa če se dokument ali obvestilo o možnosti  dostavi v elektronski predal, ima naslovnik nedvomno realno možnost seznanitve z vložitvijo. Zakon ne vzpostavlja domneve, da velja dokument z dnem vložitve kot vročen,</w:t>
      </w:r>
      <w:r w:rsidRPr="00392381">
        <w:rPr>
          <w:rFonts w:cs="Arial"/>
          <w:szCs w:val="20"/>
          <w:vertAlign w:val="superscript"/>
          <w:lang w:val="sl-SI"/>
        </w:rPr>
        <w:footnoteReference w:id="12"/>
      </w:r>
      <w:r w:rsidRPr="00392381">
        <w:rPr>
          <w:rFonts w:cs="Arial"/>
          <w:szCs w:val="20"/>
          <w:lang w:val="sl-SI"/>
        </w:rPr>
        <w:t xml:space="preserve"> ampak zaradi varstva stranke omogoči, da se dejansko seznani v 7 dneh. Kolikor je dokument vložen v hišni predalčnik ali elektronski predal, ni mogoče zatrjevati, da naslovniku ni bila dana možnost seznanitve. Nasprotno, če dokument ni bil vložen, o vročitvi s fikcijo ni mogoče govoriti. Možnost seznanitve oziroma vročitev mora v vseh situacijah dokazovati organ. V primeru dvoma je treba z ustreznimi dokazili izkazati možnost vročitve ali pa vročitev ponoviti. Predlog zakona varuje stranko tudi s tem, da določi, da 7-dnevni rok za vročitev ne ustvarja fikcije vročitve, če naslovnik dokumenta ni prejel ali ga je prejel kasneje, pri čemer je breme dokazovanja prejema na organu, ne stranki. Določitev roka za seznanitev je nujna za začetek teka roka za odziv. </w:t>
      </w:r>
    </w:p>
    <w:p w14:paraId="4D1F0156" w14:textId="77777777" w:rsidR="00545FC0" w:rsidRPr="00392381" w:rsidRDefault="00545FC0" w:rsidP="00545FC0">
      <w:pPr>
        <w:jc w:val="both"/>
        <w:rPr>
          <w:rFonts w:cs="Arial"/>
          <w:szCs w:val="20"/>
          <w:lang w:val="sl-SI"/>
        </w:rPr>
      </w:pPr>
    </w:p>
    <w:p w14:paraId="398322B3" w14:textId="77777777" w:rsidR="00545FC0" w:rsidRPr="00392381" w:rsidRDefault="00545FC0" w:rsidP="00545FC0">
      <w:pPr>
        <w:jc w:val="both"/>
        <w:rPr>
          <w:rFonts w:cs="Arial"/>
          <w:szCs w:val="20"/>
          <w:lang w:val="sl-SI"/>
        </w:rPr>
      </w:pPr>
      <w:r w:rsidRPr="00392381">
        <w:rPr>
          <w:rFonts w:cs="Arial"/>
          <w:szCs w:val="20"/>
          <w:lang w:val="sl-SI"/>
        </w:rPr>
        <w:t xml:space="preserve">Pri tem začne 7-dnevni rok teči od dneva odpreme dokumenta pri vročanju v hišni predalčnik po 86.b členu. Vezava domneve seznanitve na odpremo je nujna, ker je v primeru vročanja z </w:t>
      </w:r>
      <w:proofErr w:type="spellStart"/>
      <w:r w:rsidRPr="00392381">
        <w:rPr>
          <w:rFonts w:cs="Arial"/>
          <w:szCs w:val="20"/>
          <w:lang w:val="sl-SI"/>
        </w:rPr>
        <w:t>nepriporočeno</w:t>
      </w:r>
      <w:proofErr w:type="spellEnd"/>
      <w:r w:rsidRPr="00392381">
        <w:rPr>
          <w:rFonts w:cs="Arial"/>
          <w:szCs w:val="20"/>
          <w:lang w:val="sl-SI"/>
        </w:rPr>
        <w:t xml:space="preserve"> pošiljko dan odpreme edino objektivno dejstvo, na katerega je mogoče vezati začetek roka za domnevo seznanitve, saj pošta vročanja ne evidentira. Smiselno enako velja pri elektronskem vročanju v drug elektronski predal po petem odstavku 86.a člena, kjer organ ne razpolaga s telefonsko številko mobilnega telefona naslovnika in dejansko je odprema elektronskega sporočila edino dejstvo, na katerega je mogoče vezati začetek teka roka za domnevo seznanitve. Pri vročanju po 87. členu začne 7-dnevni rok, drugače kot navaja Državni svet, teči od </w:t>
      </w:r>
      <w:r w:rsidRPr="00392381">
        <w:rPr>
          <w:rFonts w:cs="Arial"/>
          <w:szCs w:val="20"/>
          <w:lang w:val="sl-SI" w:eastAsia="sl-SI"/>
        </w:rPr>
        <w:t xml:space="preserve">dneva, ko je bila pošiljka puščena v hišnem predalčniku oziroma poštnem predalu. </w:t>
      </w:r>
    </w:p>
    <w:p w14:paraId="76D6FA6D" w14:textId="77777777" w:rsidR="00545FC0" w:rsidRPr="00392381" w:rsidRDefault="00545FC0" w:rsidP="00545FC0">
      <w:pPr>
        <w:jc w:val="both"/>
        <w:rPr>
          <w:rFonts w:cs="Arial"/>
          <w:szCs w:val="20"/>
          <w:lang w:val="sl-SI"/>
        </w:rPr>
      </w:pPr>
    </w:p>
    <w:p w14:paraId="305219CA" w14:textId="77777777" w:rsidR="00545FC0" w:rsidRPr="00392381" w:rsidRDefault="00545FC0" w:rsidP="00545FC0">
      <w:pPr>
        <w:jc w:val="both"/>
        <w:rPr>
          <w:rFonts w:cs="Arial"/>
          <w:szCs w:val="20"/>
          <w:lang w:val="sl-SI"/>
        </w:rPr>
      </w:pPr>
      <w:r w:rsidRPr="00392381">
        <w:rPr>
          <w:rFonts w:cs="Arial"/>
          <w:szCs w:val="20"/>
          <w:lang w:val="sl-SI"/>
        </w:rPr>
        <w:lastRenderedPageBreak/>
        <w:t xml:space="preserve">7-dnevni rok je ustrezen, saj upošteva, da se stranke z vsebino hišnega predalčnika ali poštnega predala ne morejo seznaniti vsak dan, drugače kot pri elektronskih predalih, ko je seznanitev možna ves čas in kjerkoli. Ob upoštevanju navedenega zakon sledi standardom poštenega postopka iz 22. člena Ustave, saj dokument ne velja za vročen, če naslovniku ni zagotovljena realna možnost seznanitve. </w:t>
      </w:r>
    </w:p>
    <w:p w14:paraId="58B42D54" w14:textId="77777777" w:rsidR="00545FC0" w:rsidRPr="00392381" w:rsidRDefault="00545FC0" w:rsidP="00545FC0">
      <w:pPr>
        <w:jc w:val="both"/>
        <w:rPr>
          <w:rFonts w:cs="Arial"/>
          <w:szCs w:val="20"/>
          <w:lang w:val="sl-SI"/>
        </w:rPr>
      </w:pPr>
    </w:p>
    <w:p w14:paraId="133BCC48" w14:textId="17ECE919" w:rsidR="00545FC0" w:rsidRPr="00392381" w:rsidRDefault="00545FC0" w:rsidP="00545FC0">
      <w:pPr>
        <w:jc w:val="both"/>
        <w:rPr>
          <w:rFonts w:cs="Arial"/>
          <w:szCs w:val="20"/>
          <w:lang w:val="sl-SI"/>
        </w:rPr>
      </w:pPr>
      <w:r w:rsidRPr="00392381">
        <w:rPr>
          <w:rFonts w:cs="Arial"/>
          <w:szCs w:val="20"/>
          <w:lang w:val="sl-SI"/>
        </w:rPr>
        <w:t>Zakon določa 7-dnevni rok od odpreme</w:t>
      </w:r>
      <w:r w:rsidR="00392381">
        <w:rPr>
          <w:rFonts w:cs="Arial"/>
          <w:szCs w:val="20"/>
          <w:lang w:val="sl-SI"/>
        </w:rPr>
        <w:t xml:space="preserve">, poskusa vročitve ali vložitve v hišni predalčnik in poštni predal </w:t>
      </w:r>
      <w:r w:rsidRPr="00392381">
        <w:rPr>
          <w:rFonts w:cs="Arial"/>
          <w:szCs w:val="20"/>
          <w:lang w:val="sl-SI"/>
        </w:rPr>
        <w:t xml:space="preserve">pri vseh vročitvah, razen pri tistih, kjer naslovnik s podpisom vročilnice ali listine o (elektronskem) prevzemu dokumenta prevzame osebno. Zakon ne ločuje med odločbami in drugimi dokumenti, od vročitve katerih začne teči rok, kot je bilo pojasnjeno zgoraj. Razlika med odločbami in drugimi dokumenti pa se na zakonski ravni odrazi v pravici do pravnega sredstva oziroma pritožbe. Ta je pogojena z učinki vročitve odločbe in drugih dokumentov, saj odločba posega v pravni položaj naslovnika, kar za druge dokumente ne velja. Zaradi varstva pravnega položaja stranke, ki se odraža v varstvu pravice do pritožbe, zakon stranki podaljšuje rok za vložitev pritožbe iz 15 na 21 dni. Zato o nesorazmernem posegu v pravni položaj z določitvijo 7-dnevnega roka ni mogoče govoriti. Pravni položaj stranke je povsem primerljiv s pravnim položajem po veljavnem zakonu, po predlogu lahko vloži pritožbo v 28. dneh od odpreme ali poskusa vročitve, po veljavnem zakonu v 30. dneh od poskusa osebne vročitve oziroma prejema obvestila v hišni predalčnik ali poštni predal. </w:t>
      </w:r>
      <w:r w:rsidR="001C6F78" w:rsidRPr="00392381">
        <w:rPr>
          <w:rFonts w:cs="Arial"/>
          <w:szCs w:val="20"/>
          <w:lang w:val="sl-SI"/>
        </w:rPr>
        <w:t xml:space="preserve">V </w:t>
      </w:r>
      <w:r w:rsidR="005F2933" w:rsidRPr="00392381">
        <w:rPr>
          <w:rFonts w:cs="Arial"/>
          <w:szCs w:val="20"/>
          <w:lang w:val="sl-SI"/>
        </w:rPr>
        <w:t>določenih</w:t>
      </w:r>
      <w:r w:rsidR="001C6F78" w:rsidRPr="00392381">
        <w:rPr>
          <w:rFonts w:cs="Arial"/>
          <w:szCs w:val="20"/>
          <w:lang w:val="sl-SI"/>
        </w:rPr>
        <w:t xml:space="preserve"> situacijah bo stranka </w:t>
      </w:r>
      <w:r w:rsidR="005F2933" w:rsidRPr="00392381">
        <w:rPr>
          <w:rFonts w:cs="Arial"/>
          <w:szCs w:val="20"/>
          <w:lang w:val="sl-SI"/>
        </w:rPr>
        <w:t>v izrazito</w:t>
      </w:r>
      <w:r w:rsidR="001C6F78" w:rsidRPr="00392381">
        <w:rPr>
          <w:rFonts w:cs="Arial"/>
          <w:szCs w:val="20"/>
          <w:lang w:val="sl-SI"/>
        </w:rPr>
        <w:t xml:space="preserve"> boljšem položaju, saj bo od dejanske seznanitve z dokumentom imela več časa za odziv, kot ga ima danes, </w:t>
      </w:r>
      <w:r w:rsidR="005F2933" w:rsidRPr="00392381">
        <w:rPr>
          <w:rFonts w:cs="Arial"/>
          <w:szCs w:val="20"/>
          <w:lang w:val="sl-SI"/>
        </w:rPr>
        <w:t>ko</w:t>
      </w:r>
      <w:r w:rsidR="001C6F78" w:rsidRPr="00392381">
        <w:rPr>
          <w:rFonts w:cs="Arial"/>
          <w:szCs w:val="20"/>
          <w:lang w:val="sl-SI"/>
        </w:rPr>
        <w:t xml:space="preserve"> se dokument vroča po pravilih kvalificiranega – osebnega vročanja</w:t>
      </w:r>
      <w:r w:rsidR="005F2933" w:rsidRPr="00392381">
        <w:rPr>
          <w:rFonts w:cs="Arial"/>
          <w:szCs w:val="20"/>
          <w:lang w:val="sl-SI"/>
        </w:rPr>
        <w:t>, na primer: če je dokument osebno prevzela od vročevalca oziroma na pošti, rok za odziv začne s trenutkom prevzema; če dokumenta ni prevzela in je čakala, da se vloži v hišni predalčnik (v najboljšem primeru 16</w:t>
      </w:r>
      <w:r w:rsidR="00AD3EAA" w:rsidRPr="00392381">
        <w:rPr>
          <w:rFonts w:cs="Arial"/>
          <w:szCs w:val="20"/>
          <w:lang w:val="sl-SI"/>
        </w:rPr>
        <w:t>.</w:t>
      </w:r>
      <w:r w:rsidR="005F2933" w:rsidRPr="00392381">
        <w:rPr>
          <w:rFonts w:cs="Arial"/>
          <w:szCs w:val="20"/>
          <w:lang w:val="sl-SI"/>
        </w:rPr>
        <w:t xml:space="preserve"> dan od poskusa vročitve), ko je rok začel teči, čeprav z dokumentom dejansko </w:t>
      </w:r>
      <w:r w:rsidR="00AD3EAA" w:rsidRPr="00392381">
        <w:rPr>
          <w:rFonts w:cs="Arial"/>
          <w:szCs w:val="20"/>
          <w:lang w:val="sl-SI"/>
        </w:rPr>
        <w:t xml:space="preserve">še </w:t>
      </w:r>
      <w:r w:rsidR="005F2933" w:rsidRPr="00392381">
        <w:rPr>
          <w:rFonts w:cs="Arial"/>
          <w:szCs w:val="20"/>
          <w:lang w:val="sl-SI"/>
        </w:rPr>
        <w:t>ni seznanjena</w:t>
      </w:r>
      <w:r w:rsidR="00AD3EAA" w:rsidRPr="00392381">
        <w:rPr>
          <w:rFonts w:cs="Arial"/>
          <w:szCs w:val="20"/>
          <w:lang w:val="sl-SI"/>
        </w:rPr>
        <w:t xml:space="preserve">. </w:t>
      </w:r>
    </w:p>
    <w:p w14:paraId="781894AF" w14:textId="77777777" w:rsidR="00545FC0" w:rsidRPr="00392381" w:rsidRDefault="00545FC0" w:rsidP="00545FC0">
      <w:pPr>
        <w:jc w:val="both"/>
        <w:rPr>
          <w:rFonts w:cs="Arial"/>
          <w:szCs w:val="20"/>
          <w:lang w:val="sl-SI"/>
        </w:rPr>
      </w:pPr>
    </w:p>
    <w:p w14:paraId="620CF60F" w14:textId="5D25E5A3" w:rsidR="00545FC0" w:rsidRPr="00392381" w:rsidRDefault="00545FC0" w:rsidP="00545FC0">
      <w:pPr>
        <w:jc w:val="both"/>
        <w:rPr>
          <w:rFonts w:eastAsia="Calibri" w:cs="Arial"/>
          <w:szCs w:val="20"/>
          <w:lang w:val="sl-SI"/>
        </w:rPr>
      </w:pPr>
      <w:r w:rsidRPr="00392381">
        <w:rPr>
          <w:rFonts w:eastAsia="Calibri" w:cs="Arial"/>
          <w:szCs w:val="20"/>
          <w:lang w:val="sl-SI"/>
        </w:rPr>
        <w:t xml:space="preserve">Skrajšanje roka za nastanek fikcije vročitve je primarno v interesu strank, ki so naravno zainteresirane za učinkovit in hiter zaključek postopka. V času teka roka za nastanek fikcije vročitve se namreč procesna dejanja ne morejo opravljati, </w:t>
      </w:r>
      <w:r w:rsidR="00AD3EAA" w:rsidRPr="00392381">
        <w:rPr>
          <w:rFonts w:eastAsia="Calibri" w:cs="Arial"/>
          <w:szCs w:val="20"/>
          <w:lang w:val="sl-SI"/>
        </w:rPr>
        <w:t xml:space="preserve">povedano drugače postopek v tem času miru. </w:t>
      </w:r>
      <w:r w:rsidRPr="00392381">
        <w:rPr>
          <w:rFonts w:eastAsia="Calibri" w:cs="Arial"/>
          <w:szCs w:val="20"/>
          <w:lang w:val="sl-SI"/>
        </w:rPr>
        <w:t>Ko je stranka odvisna od aktivnosti drugih oseb, na primer stranskih udeležencev, prič, izvedencev, je v njenem interesu, da je dokument vročen čimprej, ker je to pogoj da se postopek izvede oziroma zaključi. Ob ponavljajočih se vročitvah, denimo v kompleksnih postopkih je teh lahko tudi več kot pet, skrajšanje roka nezanemarljivo vpliva na zaključek postopka. Investitor bi denimo ob petih vročitvah različnih dokumentov po ZUP-I odločbo prejel 40 dni prej kot po veljavnem zakonu. Interes stranke za skrajšanje roka na strani stranke je torej očiten. Seveda to tudi pomeni, da se bo stranka tudi sama morala prej odzivati na pozive organa, kar pa ni mogoče šteti kot nasprotno njenemu interesu, še manj, da ZUP-I postopek skrajšuje na račun stranke. V izogib očitkom o posegu v pravico do pritožbe pa ZUP-I podaljšuje rok za vložitev pritožbe na 21 dni, kar pomeni, da tudi s tega vidika ni mogoče govoriti o poslabšanju pravnega položaja stranke. Državni svet je ta vidik povsem spregledal, zato je treba očitek v celoti zavrniti.</w:t>
      </w:r>
    </w:p>
    <w:p w14:paraId="26487A4A" w14:textId="77777777" w:rsidR="00545FC0" w:rsidRPr="00392381" w:rsidRDefault="00545FC0" w:rsidP="00545FC0">
      <w:pPr>
        <w:pStyle w:val="Odstavekseznama"/>
        <w:spacing w:line="260" w:lineRule="exact"/>
        <w:ind w:left="0"/>
        <w:rPr>
          <w:rFonts w:cs="Arial"/>
          <w:b/>
          <w:bCs/>
          <w:sz w:val="20"/>
          <w:szCs w:val="20"/>
        </w:rPr>
      </w:pPr>
    </w:p>
    <w:p w14:paraId="45881E62" w14:textId="11E77941" w:rsidR="00545FC0" w:rsidRPr="00392381" w:rsidRDefault="00545FC0" w:rsidP="00545FC0">
      <w:pPr>
        <w:jc w:val="both"/>
        <w:rPr>
          <w:rFonts w:cs="Arial"/>
          <w:szCs w:val="20"/>
          <w:lang w:val="sl-SI"/>
        </w:rPr>
      </w:pPr>
      <w:r w:rsidRPr="00392381">
        <w:rPr>
          <w:rFonts w:cs="Arial"/>
          <w:szCs w:val="20"/>
          <w:lang w:val="sl-SI"/>
        </w:rPr>
        <w:t>Ureditvi vročanja se zaradi skrajšanja roka za nastanek fikcije očita poseg v ustavno pravico do enakega varstva. Ustavna pravica terja, da je vsak</w:t>
      </w:r>
      <w:r w:rsidR="00AD3EAA" w:rsidRPr="00392381">
        <w:rPr>
          <w:rFonts w:cs="Arial"/>
          <w:szCs w:val="20"/>
          <w:lang w:val="sl-SI"/>
        </w:rPr>
        <w:t>d</w:t>
      </w:r>
      <w:r w:rsidRPr="00392381">
        <w:rPr>
          <w:rFonts w:cs="Arial"/>
          <w:szCs w:val="20"/>
          <w:lang w:val="sl-SI"/>
        </w:rPr>
        <w:t xml:space="preserve">o seznanjen z aktom organa. Sprememba zakona temu v celoti sledi: če nekoga obišče vročevalec in mu poskuša vročiti dokument, če se dokument pusti v hišnem predalčniku, če ima nekdo dokument v elektronskem predalu, ni mogoče trditi, da mu ni dana možnost seznanitve. </w:t>
      </w:r>
    </w:p>
    <w:p w14:paraId="1202639B" w14:textId="77777777" w:rsidR="00545FC0" w:rsidRPr="00392381" w:rsidRDefault="00545FC0" w:rsidP="00545FC0">
      <w:pPr>
        <w:pStyle w:val="Odstavekseznama"/>
        <w:rPr>
          <w:rFonts w:cs="Arial"/>
          <w:sz w:val="20"/>
          <w:szCs w:val="20"/>
        </w:rPr>
      </w:pPr>
    </w:p>
    <w:p w14:paraId="00B3E829" w14:textId="75364C69" w:rsidR="00545FC0" w:rsidRPr="00392381" w:rsidRDefault="00545FC0" w:rsidP="00545FC0">
      <w:pPr>
        <w:jc w:val="both"/>
        <w:rPr>
          <w:rFonts w:cs="Arial"/>
          <w:szCs w:val="20"/>
          <w:lang w:val="sl-SI"/>
        </w:rPr>
      </w:pPr>
      <w:r w:rsidRPr="00392381">
        <w:rPr>
          <w:rFonts w:cs="Arial"/>
          <w:szCs w:val="20"/>
          <w:lang w:val="sl-SI"/>
        </w:rPr>
        <w:t xml:space="preserve">V zvezi z očitki, da je rok za nastanek fikcije vročitve prekratek, </w:t>
      </w:r>
      <w:r w:rsidR="00AD3EAA" w:rsidRPr="00392381">
        <w:rPr>
          <w:rFonts w:cs="Arial"/>
          <w:szCs w:val="20"/>
          <w:lang w:val="sl-SI"/>
        </w:rPr>
        <w:t>Vlada opozarja</w:t>
      </w:r>
      <w:r w:rsidRPr="00392381">
        <w:rPr>
          <w:rFonts w:cs="Arial"/>
          <w:szCs w:val="20"/>
          <w:lang w:val="sl-SI"/>
        </w:rPr>
        <w:t xml:space="preserve"> še na ureditev v  Zakonu o pravdnem postopku, ki v 141. členu določi: »Šteje se, da je bila vročitev opravljena na dan, ko je bilo pisanje puščeno v predalčniku, na kar je treba naslovnika na pisanju posebej opozoriti« in tudi »Šteje se, da je bila vročitev opravljena na dan, ko je bilo obvestilo o vročitvi pritrjeno na vratih, na kar je treba naslovnika na obvestilu o vročitvi posebej opozoriti.«  </w:t>
      </w:r>
    </w:p>
    <w:p w14:paraId="10DE1EE0" w14:textId="77777777" w:rsidR="00545FC0" w:rsidRPr="00392381" w:rsidRDefault="00545FC0" w:rsidP="00545FC0">
      <w:pPr>
        <w:jc w:val="both"/>
        <w:rPr>
          <w:rFonts w:cs="Arial"/>
          <w:szCs w:val="20"/>
          <w:lang w:val="sl-SI"/>
        </w:rPr>
      </w:pPr>
    </w:p>
    <w:p w14:paraId="15DE0D8D" w14:textId="5FBC080A" w:rsidR="00545FC0" w:rsidRPr="00392381" w:rsidRDefault="00545FC0" w:rsidP="00545FC0">
      <w:pPr>
        <w:jc w:val="both"/>
        <w:rPr>
          <w:rFonts w:cs="Arial"/>
          <w:szCs w:val="20"/>
          <w:lang w:val="sl-SI"/>
        </w:rPr>
      </w:pPr>
      <w:r w:rsidRPr="00392381">
        <w:rPr>
          <w:rFonts w:cs="Arial"/>
          <w:szCs w:val="20"/>
          <w:lang w:val="sl-SI"/>
        </w:rPr>
        <w:t xml:space="preserve">Nadalje tudi Zakon o kazenskem postopku v 120. in 121. členu določa sledeče: »Če gre za drugo odločbo, pri kateri teče od vročitve rok za pritožbo, ali za pritožbo nasprotne stranke, ki se vroča na odgovor, pritrdi sodišče odločbo oziroma pritožbo na sodno desko in se po preteku osmih dni </w:t>
      </w:r>
      <w:r w:rsidRPr="00392381">
        <w:rPr>
          <w:rFonts w:cs="Arial"/>
          <w:szCs w:val="20"/>
          <w:lang w:val="sl-SI"/>
        </w:rPr>
        <w:lastRenderedPageBreak/>
        <w:t xml:space="preserve">šteje, da je bila opravljena veljavna vročitev.«, »Če obdolžencu ni mogoče vročiti odločbe oziroma pritožbe, ker ni sporočil spremembe naslova ali prebivališča, se odločba oziroma pritožba pritrdi na sodno desko in se po preteku osmih dni šteje, da je bila opravljena veljavna vročitev.« »Če osebam iz prejšnjega odstavka ali oškodovancu ni mogoče vročiti vabila oziroma odločbe ali pritožbe na dotedanji naslov, pritrdi sodišče vabilo, odločbo oziroma pritožbo na sodno desko in se po preteku osmih dni šteje, da je bila opravljena veljavna vročitev.« Pri tem </w:t>
      </w:r>
      <w:r w:rsidR="00AD3EAA" w:rsidRPr="00392381">
        <w:rPr>
          <w:rFonts w:cs="Arial"/>
          <w:szCs w:val="20"/>
          <w:lang w:val="sl-SI"/>
        </w:rPr>
        <w:t>ni jasno</w:t>
      </w:r>
      <w:r w:rsidRPr="00392381">
        <w:rPr>
          <w:rFonts w:cs="Arial"/>
          <w:szCs w:val="20"/>
          <w:lang w:val="sl-SI"/>
        </w:rPr>
        <w:t xml:space="preserve">, v čem bi bila lahko bistvena razlika med navedenima postopkovnikoma in ZUP, da je sedaj krajši, 7-dnevni rok, za nastanek fikcije vročitve v ZUP prekratek, </w:t>
      </w:r>
      <w:r w:rsidR="00AD3EAA" w:rsidRPr="00392381">
        <w:rPr>
          <w:rFonts w:cs="Arial"/>
          <w:szCs w:val="20"/>
          <w:lang w:val="sl-SI"/>
        </w:rPr>
        <w:t xml:space="preserve">enak ali še krajši rok </w:t>
      </w:r>
      <w:r w:rsidRPr="00392381">
        <w:rPr>
          <w:rFonts w:cs="Arial"/>
          <w:szCs w:val="20"/>
          <w:lang w:val="sl-SI"/>
        </w:rPr>
        <w:t>v ZPP in ZKP pa ne.</w:t>
      </w:r>
    </w:p>
    <w:p w14:paraId="4BF4B0F5" w14:textId="77777777" w:rsidR="00545FC0" w:rsidRPr="00392381" w:rsidRDefault="00545FC0" w:rsidP="00545FC0">
      <w:pPr>
        <w:jc w:val="both"/>
        <w:rPr>
          <w:rFonts w:cs="Arial"/>
          <w:szCs w:val="20"/>
          <w:lang w:val="sl-SI"/>
        </w:rPr>
      </w:pPr>
    </w:p>
    <w:p w14:paraId="02BAA023" w14:textId="76B7292A" w:rsidR="00545FC0" w:rsidRPr="00392381" w:rsidRDefault="00545FC0" w:rsidP="00545FC0">
      <w:pPr>
        <w:jc w:val="both"/>
        <w:rPr>
          <w:rFonts w:cs="Arial"/>
          <w:szCs w:val="20"/>
          <w:lang w:val="sl-SI"/>
        </w:rPr>
      </w:pPr>
      <w:r w:rsidRPr="00392381">
        <w:rPr>
          <w:rFonts w:cs="Arial"/>
          <w:szCs w:val="20"/>
          <w:lang w:val="sl-SI"/>
        </w:rPr>
        <w:t>Ob tem, da je sicer ključni razlog za skrajšanje roka za fiktivno vročitev prepričanje, da krajši rok omogoča realno seznanitev in s tem pospešitev postopka do izdaje odločbe, je za odpravo dvoma o poštenosti postopka smiselno vzeti v obzir še primerjalno pravni vidik, saj nekatere države urejajo podobne ali celo krajše roke za vročitev, na primer v ZRN se šteje, da je vročitev opravljana 4</w:t>
      </w:r>
      <w:r w:rsidR="00392381">
        <w:rPr>
          <w:rFonts w:cs="Arial"/>
          <w:szCs w:val="20"/>
          <w:lang w:val="sl-SI"/>
        </w:rPr>
        <w:t>.</w:t>
      </w:r>
      <w:r w:rsidRPr="00392381">
        <w:rPr>
          <w:rFonts w:cs="Arial"/>
          <w:szCs w:val="20"/>
          <w:lang w:val="sl-SI"/>
        </w:rPr>
        <w:t xml:space="preserve"> dan od odpreme dokumenta v fizični ali elektronski obliki,</w:t>
      </w:r>
      <w:r w:rsidRPr="00392381">
        <w:rPr>
          <w:rFonts w:cs="Arial"/>
          <w:szCs w:val="20"/>
          <w:vertAlign w:val="superscript"/>
          <w:lang w:val="sl-SI"/>
        </w:rPr>
        <w:footnoteReference w:id="13"/>
      </w:r>
      <w:r w:rsidRPr="00392381">
        <w:rPr>
          <w:rFonts w:cs="Arial"/>
          <w:szCs w:val="20"/>
          <w:lang w:val="sl-SI"/>
        </w:rPr>
        <w:t xml:space="preserve"> kar še dodatno potrjuje, da je bojazen o posegu v temeljna procesna jamstva s skrajšanjem rokov neutemeljena.</w:t>
      </w:r>
    </w:p>
    <w:p w14:paraId="4C9DFDE2" w14:textId="77777777" w:rsidR="00545FC0" w:rsidRPr="00392381" w:rsidRDefault="00545FC0" w:rsidP="00545FC0">
      <w:pPr>
        <w:jc w:val="both"/>
        <w:rPr>
          <w:rFonts w:cs="Arial"/>
          <w:szCs w:val="20"/>
          <w:lang w:val="sl-SI"/>
        </w:rPr>
      </w:pPr>
    </w:p>
    <w:p w14:paraId="37379B12" w14:textId="77777777" w:rsidR="004F1E39" w:rsidRPr="00392381" w:rsidRDefault="00545FC0" w:rsidP="00847A71">
      <w:pPr>
        <w:jc w:val="both"/>
        <w:rPr>
          <w:rFonts w:cs="Arial"/>
          <w:szCs w:val="20"/>
          <w:lang w:val="sl-SI"/>
        </w:rPr>
      </w:pPr>
      <w:r w:rsidRPr="00392381">
        <w:rPr>
          <w:rFonts w:cs="Arial"/>
          <w:szCs w:val="20"/>
          <w:lang w:val="sl-SI"/>
        </w:rPr>
        <w:t xml:space="preserve">V zvezi z navedbo Državnega sveta glede pravice do neprekinjenega 2-tedenskega dopusta, </w:t>
      </w:r>
      <w:r w:rsidR="00AD3EAA" w:rsidRPr="00392381">
        <w:rPr>
          <w:rFonts w:cs="Arial"/>
          <w:szCs w:val="20"/>
          <w:lang w:val="sl-SI"/>
        </w:rPr>
        <w:t>Vlada pojasnjuje, da p</w:t>
      </w:r>
      <w:r w:rsidRPr="00392381">
        <w:rPr>
          <w:rFonts w:cs="Arial"/>
          <w:szCs w:val="20"/>
          <w:lang w:val="sl-SI"/>
        </w:rPr>
        <w:t xml:space="preserve">ravice do neprekinjenega dopusta v trajanju dveh tednov ne gre povezovati z možnostjo seznanitve z dokumentom v 7-dnevnem roku. Pravica do dopusta zaposlenemu jamči pravico do počitka zaradi delovnih obveznosti pri delodajalcu, zato je ni mogoče povezovati s pravico do sodelovanja v </w:t>
      </w:r>
      <w:r w:rsidR="006A0C93" w:rsidRPr="00392381">
        <w:rPr>
          <w:rFonts w:cs="Arial"/>
          <w:szCs w:val="20"/>
          <w:lang w:val="sl-SI"/>
        </w:rPr>
        <w:t>(</w:t>
      </w:r>
      <w:r w:rsidRPr="00392381">
        <w:rPr>
          <w:rFonts w:cs="Arial"/>
          <w:szCs w:val="20"/>
          <w:lang w:val="sl-SI"/>
        </w:rPr>
        <w:t>u</w:t>
      </w:r>
      <w:r w:rsidR="006A0C93" w:rsidRPr="00392381">
        <w:rPr>
          <w:rFonts w:cs="Arial"/>
          <w:szCs w:val="20"/>
          <w:lang w:val="sl-SI"/>
        </w:rPr>
        <w:t>)</w:t>
      </w:r>
      <w:r w:rsidRPr="00392381">
        <w:rPr>
          <w:rFonts w:cs="Arial"/>
          <w:szCs w:val="20"/>
          <w:lang w:val="sl-SI"/>
        </w:rPr>
        <w:t>pravnem postopku</w:t>
      </w:r>
      <w:r w:rsidR="006A0C93" w:rsidRPr="00392381">
        <w:rPr>
          <w:rFonts w:cs="Arial"/>
          <w:szCs w:val="20"/>
          <w:lang w:val="sl-SI"/>
        </w:rPr>
        <w:t xml:space="preserve"> v smislu, da </w:t>
      </w:r>
      <w:r w:rsidR="004F1E39" w:rsidRPr="00392381">
        <w:rPr>
          <w:rFonts w:cs="Arial"/>
          <w:szCs w:val="20"/>
          <w:lang w:val="sl-SI"/>
        </w:rPr>
        <w:t xml:space="preserve">organ v tem času ne more izvajati procesnih dejanj. </w:t>
      </w:r>
      <w:r w:rsidRPr="00392381">
        <w:rPr>
          <w:rFonts w:cs="Arial"/>
          <w:szCs w:val="20"/>
          <w:lang w:val="sl-SI"/>
        </w:rPr>
        <w:t xml:space="preserve">Niso znani primeri, ko se je pravica do koriščenja dopusta v sodni praksi ali teoriji povezovala z upravičenjem organa, da v času dopusta (ne)opravlja procesnih dejanj, vključno z vročanjem. Nasprotno, odsotnost zaradi dopusta po ustaljeni sodni praksi že sedaj ni opravičljiv razlog, da oseba ni opravila procesnega dejanja in posledično upravičeno uveljavila vrnitev v prejšnje stanje. Če bi bilo drugače bi se postavilo logično vprašanje, ali naj se vročanje ne opravlja določen čas dopusta ali celo cel dopust, pri čemer ni zanemarljivo, da imajo nekateri zaposleni tudi več kot 40 dni dopusta. Odstotna oseba za varstvo svojega pravnega položaja lahko poskrbi s postavitvijo pooblaščenca, z dogovorom z izvajalcem poštnih pošiljk o </w:t>
      </w:r>
      <w:proofErr w:type="spellStart"/>
      <w:r w:rsidRPr="00392381">
        <w:rPr>
          <w:rFonts w:cs="Arial"/>
          <w:szCs w:val="20"/>
          <w:lang w:val="sl-SI"/>
        </w:rPr>
        <w:t>prepošiljanju</w:t>
      </w:r>
      <w:proofErr w:type="spellEnd"/>
      <w:r w:rsidRPr="00392381">
        <w:rPr>
          <w:rFonts w:cs="Arial"/>
          <w:szCs w:val="20"/>
          <w:lang w:val="sl-SI"/>
        </w:rPr>
        <w:t xml:space="preserve"> na drug naslov ali z dogovorom z organom o vročanju v elektronski predal.</w:t>
      </w:r>
      <w:r w:rsidR="004F1E39" w:rsidRPr="00392381">
        <w:rPr>
          <w:rFonts w:cs="Arial"/>
          <w:szCs w:val="20"/>
          <w:lang w:val="sl-SI"/>
        </w:rPr>
        <w:t xml:space="preserve"> </w:t>
      </w:r>
    </w:p>
    <w:p w14:paraId="5E9BF9FD" w14:textId="4895ECF5" w:rsidR="0069086C" w:rsidRPr="00392381" w:rsidRDefault="0069086C" w:rsidP="00847A71">
      <w:pPr>
        <w:jc w:val="both"/>
        <w:rPr>
          <w:rFonts w:cs="Arial"/>
          <w:b/>
          <w:bCs/>
          <w:szCs w:val="20"/>
          <w:lang w:val="sl-SI"/>
        </w:rPr>
      </w:pPr>
    </w:p>
    <w:p w14:paraId="1916456B" w14:textId="77777777" w:rsidR="004F1E39" w:rsidRPr="00392381" w:rsidRDefault="004F1E39" w:rsidP="00847A71">
      <w:pPr>
        <w:jc w:val="both"/>
        <w:rPr>
          <w:rFonts w:cs="Arial"/>
          <w:b/>
          <w:bCs/>
          <w:szCs w:val="20"/>
          <w:lang w:val="sl-SI"/>
        </w:rPr>
      </w:pPr>
    </w:p>
    <w:p w14:paraId="73AF6C33" w14:textId="68B024F4" w:rsidR="00A75D44" w:rsidRPr="00392381" w:rsidRDefault="00A75D44" w:rsidP="00A75D44">
      <w:pPr>
        <w:numPr>
          <w:ilvl w:val="0"/>
          <w:numId w:val="41"/>
        </w:numPr>
        <w:jc w:val="both"/>
        <w:rPr>
          <w:rFonts w:eastAsia="Calibri" w:cs="Arial"/>
          <w:b/>
          <w:bCs/>
          <w:szCs w:val="20"/>
          <w:lang w:val="sl-SI"/>
        </w:rPr>
      </w:pPr>
      <w:r w:rsidRPr="00392381">
        <w:rPr>
          <w:rFonts w:cs="Arial"/>
          <w:b/>
          <w:bCs/>
          <w:szCs w:val="20"/>
          <w:lang w:val="sl-SI"/>
        </w:rPr>
        <w:t>Odpoved pravici do pritožbe in do sodnega varstva</w:t>
      </w:r>
    </w:p>
    <w:p w14:paraId="3DEE1B88" w14:textId="77777777" w:rsidR="0069086C" w:rsidRPr="00392381" w:rsidRDefault="0069086C" w:rsidP="00847A71">
      <w:pPr>
        <w:jc w:val="both"/>
        <w:rPr>
          <w:rFonts w:cs="Arial"/>
          <w:b/>
          <w:bCs/>
          <w:szCs w:val="20"/>
          <w:lang w:val="sl-SI"/>
        </w:rPr>
      </w:pPr>
    </w:p>
    <w:p w14:paraId="1BA6812C" w14:textId="526DEE08" w:rsidR="00847A71" w:rsidRPr="00392381" w:rsidRDefault="00847A71" w:rsidP="00847A71">
      <w:pPr>
        <w:jc w:val="both"/>
        <w:rPr>
          <w:rFonts w:cs="Arial"/>
          <w:b/>
          <w:bCs/>
          <w:szCs w:val="20"/>
          <w:lang w:val="sl-SI"/>
        </w:rPr>
      </w:pPr>
      <w:r w:rsidRPr="00392381">
        <w:rPr>
          <w:rFonts w:cs="Arial"/>
          <w:b/>
          <w:bCs/>
          <w:szCs w:val="20"/>
          <w:lang w:val="sl-SI"/>
        </w:rPr>
        <w:t>Odpoved pravici do pritožbe je v splošnem upravnem postopku uveljavljena že preko 17 let</w:t>
      </w:r>
      <w:r w:rsidR="00392381">
        <w:rPr>
          <w:rFonts w:cs="Arial"/>
          <w:b/>
          <w:bCs/>
          <w:szCs w:val="20"/>
          <w:lang w:val="sl-SI"/>
        </w:rPr>
        <w:t xml:space="preserve"> </w:t>
      </w:r>
      <w:r w:rsidR="00392381" w:rsidRPr="00392381">
        <w:rPr>
          <w:rFonts w:cs="Arial"/>
          <w:b/>
          <w:bCs/>
          <w:szCs w:val="20"/>
          <w:lang w:val="sl-SI"/>
        </w:rPr>
        <w:t>pa do sedaj v sodni praksi ni bila pripoznana kot ustavno sporna</w:t>
      </w:r>
      <w:r w:rsidRPr="00392381">
        <w:rPr>
          <w:rFonts w:cs="Arial"/>
          <w:b/>
          <w:bCs/>
          <w:szCs w:val="20"/>
          <w:lang w:val="sl-SI"/>
        </w:rPr>
        <w:t>. Prav tako vsebujejo ureditev odpovedi pritožbi oziroma pravici do pritožbe vsi drugi glavni postopkovniki. Stranka se svoji pravici, ki ji gre po zakonu, lahko odpove, o čemer mora podati jasno in nedvoumno izjavo, bistveno pa je, da je predhodno ustrezno poučena o pravnih posledicah, ki bodo nastopile, če se bo pravici odpovedala. Kolikor se kljub ustrezni poučitvi svoji pravici zavestno in svobodno odpove zato, da bi prej dosegla izvršljivost in pravnomočnost odločbe, tako njeno postopanje ne more predstavljati prekomernega posega v ustavno zagotovljena procesna jamstva, saj gre za njeno svobodno izjavo volje.</w:t>
      </w:r>
    </w:p>
    <w:p w14:paraId="5DB635A5" w14:textId="77777777" w:rsidR="00847A71" w:rsidRPr="00392381" w:rsidRDefault="00847A71" w:rsidP="00847A71">
      <w:pPr>
        <w:jc w:val="both"/>
        <w:rPr>
          <w:rFonts w:cs="Arial"/>
          <w:b/>
          <w:bCs/>
          <w:szCs w:val="20"/>
          <w:lang w:val="sl-SI"/>
        </w:rPr>
      </w:pPr>
    </w:p>
    <w:p w14:paraId="3234F1C7" w14:textId="77777777" w:rsidR="00847A71" w:rsidRPr="00392381" w:rsidRDefault="00847A71" w:rsidP="00847A71">
      <w:pPr>
        <w:jc w:val="both"/>
        <w:rPr>
          <w:rFonts w:cs="Arial"/>
          <w:szCs w:val="20"/>
          <w:lang w:val="sl-SI"/>
        </w:rPr>
      </w:pPr>
      <w:r w:rsidRPr="00392381">
        <w:rPr>
          <w:rFonts w:cs="Arial"/>
          <w:szCs w:val="20"/>
          <w:lang w:val="sl-SI"/>
        </w:rPr>
        <w:t>Državni svet navaja, da, ker gre za sistemsko ureditev, ki zajema širok krog upravnih postopkov in vključuje tudi pravno neizkušene stranke brez pooblaščenca, morajo biti pravila prilagojena zaščiti takih strank. Kot zatrjujejo, tako obstoječa, kot predlagana nova zakonska ureditev glede odpovedi pravici do pritožbe, predstavlja prekomeren poseg v ustavno varovana procesna jamstva, kar smiselno enako velja za odpoved pravici do sodnega varstva.</w:t>
      </w:r>
    </w:p>
    <w:p w14:paraId="342C3C48" w14:textId="77777777" w:rsidR="00847A71" w:rsidRPr="00392381" w:rsidRDefault="00847A71" w:rsidP="00847A71">
      <w:pPr>
        <w:jc w:val="both"/>
        <w:rPr>
          <w:rFonts w:cs="Arial"/>
          <w:b/>
          <w:bCs/>
          <w:szCs w:val="20"/>
          <w:lang w:val="sl-SI"/>
        </w:rPr>
      </w:pPr>
    </w:p>
    <w:p w14:paraId="20115998" w14:textId="4D8FFC3E" w:rsidR="00847A71" w:rsidRPr="00392381" w:rsidRDefault="00847A71" w:rsidP="00847A71">
      <w:pPr>
        <w:tabs>
          <w:tab w:val="left" w:pos="1710"/>
        </w:tabs>
        <w:jc w:val="both"/>
        <w:rPr>
          <w:rFonts w:cs="Arial"/>
          <w:szCs w:val="20"/>
          <w:lang w:val="sl-SI"/>
        </w:rPr>
      </w:pPr>
      <w:r w:rsidRPr="00392381">
        <w:rPr>
          <w:rFonts w:cs="Arial"/>
          <w:szCs w:val="20"/>
          <w:lang w:val="sl-SI"/>
        </w:rPr>
        <w:lastRenderedPageBreak/>
        <w:t>Vsi procesni zakoni (Zakon o pravdnem postopku</w:t>
      </w:r>
      <w:r w:rsidRPr="00392381">
        <w:rPr>
          <w:rStyle w:val="Sprotnaopomba-sklic"/>
          <w:rFonts w:cs="Arial"/>
          <w:szCs w:val="20"/>
          <w:lang w:val="sl-SI"/>
        </w:rPr>
        <w:footnoteReference w:id="14"/>
      </w:r>
      <w:r w:rsidRPr="00392381">
        <w:rPr>
          <w:rFonts w:cs="Arial"/>
          <w:szCs w:val="20"/>
          <w:lang w:val="sl-SI"/>
        </w:rPr>
        <w:t xml:space="preserve"> (v nadaljevanju: ZP</w:t>
      </w:r>
      <w:r w:rsidR="00A75D44" w:rsidRPr="00392381">
        <w:rPr>
          <w:rFonts w:cs="Arial"/>
          <w:szCs w:val="20"/>
          <w:lang w:val="sl-SI"/>
        </w:rPr>
        <w:t>P</w:t>
      </w:r>
      <w:r w:rsidRPr="00392381">
        <w:rPr>
          <w:rFonts w:cs="Arial"/>
          <w:szCs w:val="20"/>
          <w:lang w:val="sl-SI"/>
        </w:rPr>
        <w:t>), Zakon o kazenskem postopku</w:t>
      </w:r>
      <w:r w:rsidRPr="00392381">
        <w:rPr>
          <w:rStyle w:val="Sprotnaopomba-sklic"/>
          <w:rFonts w:cs="Arial"/>
          <w:szCs w:val="20"/>
          <w:lang w:val="sl-SI"/>
        </w:rPr>
        <w:footnoteReference w:id="15"/>
      </w:r>
      <w:r w:rsidRPr="00392381">
        <w:rPr>
          <w:rFonts w:cs="Arial"/>
          <w:szCs w:val="20"/>
          <w:lang w:val="sl-SI"/>
        </w:rPr>
        <w:t xml:space="preserve"> (v nadaljevanju: ZKP), ZP-1 in tudi ZUP) </w:t>
      </w:r>
      <w:r w:rsidR="00A75D44" w:rsidRPr="00392381">
        <w:rPr>
          <w:rFonts w:cs="Arial"/>
          <w:szCs w:val="20"/>
          <w:lang w:val="sl-SI"/>
        </w:rPr>
        <w:t xml:space="preserve">že </w:t>
      </w:r>
      <w:r w:rsidRPr="00392381">
        <w:rPr>
          <w:rFonts w:cs="Arial"/>
          <w:szCs w:val="20"/>
          <w:lang w:val="sl-SI"/>
        </w:rPr>
        <w:t>vsebujejo ureditev odpovedi pritožbi oziroma pravici do pritožbe, in sicer tudi že po ustni razglasitvi odločbe oziroma sodbe. Konkretno</w:t>
      </w:r>
      <w:r w:rsidR="00A75D44" w:rsidRPr="00392381">
        <w:rPr>
          <w:rFonts w:cs="Arial"/>
          <w:szCs w:val="20"/>
          <w:lang w:val="sl-SI"/>
        </w:rPr>
        <w:t>,</w:t>
      </w:r>
      <w:r w:rsidRPr="00392381">
        <w:rPr>
          <w:rFonts w:cs="Arial"/>
          <w:szCs w:val="20"/>
          <w:lang w:val="sl-SI"/>
        </w:rPr>
        <w:t xml:space="preserve"> v ZUP je bila odpoved pravici do pritožbe uveljavljena z novelo ZUP-E, ki je začela veljati leta 2008, torej pred 17 leti, pa do sedaj v sodni praksi ni bila pripoznana kot ustavno sporna. Zato je docela nejasno, kakšni razlogi vodijo Državni svet k pomislekom o navedeni ureditvi, ki se brez težav izvaja že toliko let. V zvezi s tem pojasnjujemo, da se stranka v upravnem postopku svoji pravici, ki ji gre po zakonu, lahko odpove, o čemer mora podati jasno in nedvoumno izjavo, pri tem pa je bistveno, da je predhodno ustrezno poučena o pravnih posledicah, ki bodo nastopile, če se bo pravici odpovedala. Kolikor se kljub ustrezni poučitvi svoji pravici zavestno in svobodno odpove zato, da bi prej dosegla izvršljivost in pravnomočnost odločbe, tako njeno postopanje ne more predstavljati prekomernega posega v ustavno zagotovljena procesna jamstva, saj gre za njeno svobodno izjavo volje, podano ob poznavanju vseh okoliščin in posledic izjave, s katero se je odpovedala pravicam, ki so ji sicer zagotovljene z Ustavo in zakonom.</w:t>
      </w:r>
    </w:p>
    <w:p w14:paraId="54A6E1FA" w14:textId="77777777" w:rsidR="00847A71" w:rsidRPr="00392381" w:rsidRDefault="00847A71" w:rsidP="00847A71">
      <w:pPr>
        <w:tabs>
          <w:tab w:val="left" w:pos="1710"/>
        </w:tabs>
        <w:jc w:val="both"/>
        <w:rPr>
          <w:rFonts w:cs="Arial"/>
          <w:szCs w:val="20"/>
          <w:lang w:val="sl-SI"/>
        </w:rPr>
      </w:pPr>
    </w:p>
    <w:p w14:paraId="213811C8" w14:textId="1CAA89F3" w:rsidR="00847A71" w:rsidRPr="00392381" w:rsidRDefault="00847A71" w:rsidP="00847A71">
      <w:pPr>
        <w:tabs>
          <w:tab w:val="left" w:pos="1710"/>
        </w:tabs>
        <w:jc w:val="both"/>
        <w:rPr>
          <w:rFonts w:eastAsia="Calibri" w:cs="Arial"/>
          <w:szCs w:val="20"/>
          <w:lang w:val="sl-SI"/>
        </w:rPr>
      </w:pPr>
      <w:r w:rsidRPr="00392381">
        <w:rPr>
          <w:rFonts w:cs="Arial"/>
          <w:szCs w:val="20"/>
          <w:lang w:val="sl-SI"/>
        </w:rPr>
        <w:t>V zvezi z očitkom, da z</w:t>
      </w:r>
      <w:r w:rsidRPr="00392381">
        <w:rPr>
          <w:rFonts w:eastAsia="Calibri" w:cs="Arial"/>
          <w:szCs w:val="20"/>
          <w:lang w:val="sl-SI"/>
        </w:rPr>
        <w:t xml:space="preserve"> ustno seznanitvijo z odločitvijo in zgolj s kratkim dodatnim pojasnilom razlogov za odločitev, stranki vsekakor ne more biti zagotovljena enaka kakovost obveščenosti, kot v primeru izdaje pisne odločbe s podrobno obrazložitvijo, ki jo lahko stranka večkrat prebere in se nadalje posvetuje glede vložitve pritožbe, </w:t>
      </w:r>
      <w:r w:rsidR="00A75D44" w:rsidRPr="00392381">
        <w:rPr>
          <w:rFonts w:eastAsia="Calibri" w:cs="Arial"/>
          <w:szCs w:val="20"/>
          <w:lang w:val="sl-SI"/>
        </w:rPr>
        <w:t>Vlada pojasnjuje</w:t>
      </w:r>
      <w:r w:rsidRPr="00392381">
        <w:rPr>
          <w:rFonts w:eastAsia="Calibri" w:cs="Arial"/>
          <w:szCs w:val="20"/>
          <w:lang w:val="sl-SI"/>
        </w:rPr>
        <w:t xml:space="preserve">, da v primeru ustno razglašene odločbe stranki dejansko ni treba storiti ničesar in prejela bo odločbo s polno obrazložitvijo. O tem mora biti skladno z zakonom pri ustni razglasitvi poučena. Kolikor iz kakršnegakoli razloga z ustno razglašeno določitvijo ne bo zadovoljna, bo vanjo podvomila ali bo potrebovala več časa, da o njej razmisli, ker o sprejeti odločitvi ne bo dovolj obveščena, stranki ne bo treba storiti ničesar in prejela bo polno obrazloženo odločbo. Torej: kolikor se ji bo ob poslušanju ustne razglasitve odločbe pojavil najmanjši dvom v sprejeto odločitev, ne bo storila ničesar, in prejela bo odločbo s polno obrazložitvijo, ki jo bo lahko večkrat prebrala in se nato odločila glede vložitve pritožbe po uveljavljenem postopku. </w:t>
      </w:r>
    </w:p>
    <w:p w14:paraId="7F0EF6F3" w14:textId="77777777" w:rsidR="00847A71" w:rsidRPr="00392381" w:rsidRDefault="00847A71" w:rsidP="00847A71">
      <w:pPr>
        <w:tabs>
          <w:tab w:val="left" w:pos="1710"/>
        </w:tabs>
        <w:jc w:val="both"/>
        <w:rPr>
          <w:rFonts w:eastAsia="Calibri" w:cs="Arial"/>
          <w:szCs w:val="20"/>
          <w:lang w:val="sl-SI"/>
        </w:rPr>
      </w:pPr>
    </w:p>
    <w:p w14:paraId="7C24CB8C" w14:textId="22E693CA" w:rsidR="00847A71" w:rsidRPr="00392381" w:rsidRDefault="00847A71" w:rsidP="00847A71">
      <w:pPr>
        <w:tabs>
          <w:tab w:val="left" w:pos="1710"/>
        </w:tabs>
        <w:jc w:val="both"/>
        <w:rPr>
          <w:rFonts w:cs="Arial"/>
          <w:szCs w:val="20"/>
          <w:lang w:val="sl-SI"/>
        </w:rPr>
      </w:pPr>
      <w:r w:rsidRPr="00392381">
        <w:rPr>
          <w:rFonts w:eastAsia="Calibri" w:cs="Arial"/>
          <w:szCs w:val="20"/>
          <w:lang w:val="sl-SI"/>
        </w:rPr>
        <w:t xml:space="preserve">Nadalje v zvezi z očitkom, da gre za sistemsko ureditev, ki zajema širok krog različnih upravnih postopkov in pogosto vključuje pravno neizkušene stranke brez pooblaščenca, ter da je zato pomembno, da so pravila ustrezno prilagojena zaščiti takih strank, ponavljamo, da je odpoved pravici do pritožbe v ZUP uveljavljena že preko 15 let in se že ves čas izvaja brez težav in zapletov. </w:t>
      </w:r>
      <w:r w:rsidR="00A75D44" w:rsidRPr="00392381">
        <w:rPr>
          <w:rFonts w:eastAsia="Calibri" w:cs="Arial"/>
          <w:szCs w:val="20"/>
          <w:lang w:val="sl-SI"/>
        </w:rPr>
        <w:t xml:space="preserve">V zvezi z odpovedjo pravici ni znan niti en primer, v katerem bi se pravica ali njene posledice izpodbijale pred sodiščem. </w:t>
      </w:r>
      <w:r w:rsidRPr="00392381">
        <w:rPr>
          <w:rFonts w:eastAsia="Calibri" w:cs="Arial"/>
          <w:szCs w:val="20"/>
          <w:lang w:val="sl-SI"/>
        </w:rPr>
        <w:t xml:space="preserve">Prav tako pravno neizkušene stranke, ki so pogosto brez pooblaščenca, saj le-ta ni obvezen, nastopajo tudi v </w:t>
      </w:r>
      <w:proofErr w:type="spellStart"/>
      <w:r w:rsidRPr="00392381">
        <w:rPr>
          <w:rFonts w:eastAsia="Calibri" w:cs="Arial"/>
          <w:szCs w:val="20"/>
          <w:lang w:val="sl-SI"/>
        </w:rPr>
        <w:t>prekrškovnih</w:t>
      </w:r>
      <w:proofErr w:type="spellEnd"/>
      <w:r w:rsidRPr="00392381">
        <w:rPr>
          <w:rFonts w:eastAsia="Calibri" w:cs="Arial"/>
          <w:szCs w:val="20"/>
          <w:lang w:val="sl-SI"/>
        </w:rPr>
        <w:t xml:space="preserve"> postopkih, pa je prav tako tudi tam že vrsto let uveljavljen institut odpovedi pravici do pritožbe, ki ni bil pripoznan kot sporen.</w:t>
      </w:r>
    </w:p>
    <w:p w14:paraId="2AA1C30E" w14:textId="77777777" w:rsidR="00847A71" w:rsidRPr="00392381" w:rsidRDefault="00847A71" w:rsidP="00847A71">
      <w:pPr>
        <w:tabs>
          <w:tab w:val="left" w:pos="1710"/>
        </w:tabs>
        <w:jc w:val="both"/>
        <w:rPr>
          <w:rFonts w:cs="Arial"/>
          <w:szCs w:val="20"/>
          <w:lang w:val="sl-SI"/>
        </w:rPr>
      </w:pPr>
    </w:p>
    <w:p w14:paraId="1AC4BA0B" w14:textId="77777777" w:rsidR="00847A71" w:rsidRPr="00392381" w:rsidRDefault="00847A71" w:rsidP="00847A71">
      <w:pPr>
        <w:tabs>
          <w:tab w:val="left" w:pos="1710"/>
        </w:tabs>
        <w:jc w:val="both"/>
        <w:rPr>
          <w:rFonts w:cs="Arial"/>
          <w:szCs w:val="20"/>
          <w:lang w:val="sl-SI"/>
        </w:rPr>
      </w:pPr>
      <w:r w:rsidRPr="00392381">
        <w:rPr>
          <w:rFonts w:cs="Arial"/>
          <w:szCs w:val="20"/>
          <w:lang w:val="sl-SI"/>
        </w:rPr>
        <w:t>V primeru, da bi odločba zaradi odpovedi pravici do pritožbe stranke po ustni razglasitvi postala dokončna in pravnomočna prej kot sicer pri pisno izdanih odločbah (npr. po poteku roka za pritožbo, če pritožba ne bi bila vložena), bi se dejansko rok za uveljavljanje pravice do udeležbe v postopku za morebitne prezrte stranske udeležence ali zastopnike javnega interesa iztekel hitreje, do česar lahko pride že v veljavni ureditvi, kadar zaradi odpovedi pravici do pritožbe dokončnost in pravnomočnost odločbe nastopi prej. Kljub temu pojasnjujemo, da jim tudi v tem primeru ostaja na voljo možnost, na podlagi katere lahko uveljavljajo svojo udeležbo v postopku - izredno pravno sredstvo obnove postopka po 9. točki 260. člena ZUP, in sicer pod pogoji in v rokih, ki jih določa ta zakon.</w:t>
      </w:r>
    </w:p>
    <w:p w14:paraId="0821F631" w14:textId="77777777" w:rsidR="00847A71" w:rsidRPr="00392381" w:rsidRDefault="00847A71" w:rsidP="00847A71">
      <w:pPr>
        <w:tabs>
          <w:tab w:val="left" w:pos="1710"/>
        </w:tabs>
        <w:jc w:val="both"/>
        <w:rPr>
          <w:rFonts w:cs="Arial"/>
          <w:szCs w:val="20"/>
          <w:lang w:val="sl-SI"/>
        </w:rPr>
      </w:pPr>
    </w:p>
    <w:p w14:paraId="19EE6023" w14:textId="77777777" w:rsidR="00847A71" w:rsidRPr="00392381" w:rsidRDefault="00847A71" w:rsidP="00847A71">
      <w:pPr>
        <w:tabs>
          <w:tab w:val="left" w:pos="1710"/>
        </w:tabs>
        <w:jc w:val="both"/>
        <w:rPr>
          <w:rFonts w:cs="Arial"/>
          <w:szCs w:val="20"/>
          <w:lang w:val="sl-SI"/>
        </w:rPr>
      </w:pPr>
      <w:r w:rsidRPr="00392381">
        <w:rPr>
          <w:rFonts w:cs="Arial"/>
          <w:szCs w:val="20"/>
          <w:lang w:val="sl-SI"/>
        </w:rPr>
        <w:t>Smiselno enaka pojasnila veljajo tudi za novo urejen institut odpovedi pravici do sodnega varstva v 281.a členu, ki se mu lahko stranke ob predhodni poučitvi svobodno odpovedo, kolikor želijo prej doseči pravnomočnost in izvršljivost odločbe.</w:t>
      </w:r>
    </w:p>
    <w:p w14:paraId="68EAEA3E" w14:textId="77777777" w:rsidR="00847A71" w:rsidRPr="00392381" w:rsidRDefault="00847A71" w:rsidP="00847A71">
      <w:pPr>
        <w:rPr>
          <w:rFonts w:cs="Arial"/>
          <w:szCs w:val="20"/>
          <w:lang w:val="sl-SI"/>
        </w:rPr>
      </w:pPr>
    </w:p>
    <w:p w14:paraId="20CCFB65" w14:textId="77777777" w:rsidR="00DB4708" w:rsidRPr="00392381" w:rsidRDefault="00DB4708" w:rsidP="00847A71">
      <w:pPr>
        <w:rPr>
          <w:rFonts w:cs="Arial"/>
          <w:szCs w:val="20"/>
          <w:lang w:val="sl-SI"/>
        </w:rPr>
      </w:pPr>
    </w:p>
    <w:p w14:paraId="7C0DCFDF" w14:textId="38B8936D" w:rsidR="00DB4708" w:rsidRPr="00392381" w:rsidRDefault="00DF5AC8" w:rsidP="00847A71">
      <w:pPr>
        <w:numPr>
          <w:ilvl w:val="0"/>
          <w:numId w:val="41"/>
        </w:numPr>
        <w:rPr>
          <w:rFonts w:cs="Arial"/>
          <w:b/>
          <w:bCs/>
          <w:szCs w:val="20"/>
          <w:lang w:val="sl-SI"/>
        </w:rPr>
      </w:pPr>
      <w:r w:rsidRPr="00392381">
        <w:rPr>
          <w:rFonts w:cs="Arial"/>
          <w:b/>
          <w:bCs/>
          <w:szCs w:val="20"/>
          <w:lang w:val="sl-SI"/>
        </w:rPr>
        <w:t>Tajni podatki</w:t>
      </w:r>
    </w:p>
    <w:p w14:paraId="418EF61B" w14:textId="77777777" w:rsidR="00DF5AC8" w:rsidRPr="00392381" w:rsidRDefault="00DF5AC8" w:rsidP="00DF5AC8">
      <w:pPr>
        <w:rPr>
          <w:rFonts w:cs="Arial"/>
          <w:b/>
          <w:bCs/>
          <w:szCs w:val="20"/>
          <w:lang w:val="sl-SI"/>
        </w:rPr>
      </w:pPr>
    </w:p>
    <w:p w14:paraId="5F53CB57" w14:textId="47FA6CDB" w:rsidR="00DF5AC8" w:rsidRPr="00392381" w:rsidRDefault="00DF5AC8" w:rsidP="00DF5AC8">
      <w:pPr>
        <w:contextualSpacing/>
        <w:jc w:val="both"/>
        <w:rPr>
          <w:rFonts w:cs="Arial"/>
          <w:b/>
          <w:bCs/>
          <w:szCs w:val="20"/>
          <w:lang w:val="sl-SI"/>
        </w:rPr>
      </w:pPr>
      <w:r w:rsidRPr="00392381">
        <w:rPr>
          <w:rFonts w:cs="Arial"/>
          <w:b/>
          <w:bCs/>
          <w:szCs w:val="20"/>
          <w:lang w:val="sl-SI"/>
        </w:rPr>
        <w:t xml:space="preserve">Iz zahteve </w:t>
      </w:r>
      <w:r w:rsidR="006F416A" w:rsidRPr="00392381">
        <w:rPr>
          <w:rFonts w:cs="Arial"/>
          <w:b/>
          <w:bCs/>
          <w:szCs w:val="20"/>
          <w:lang w:val="sl-SI"/>
        </w:rPr>
        <w:t xml:space="preserve">Državnega sveta </w:t>
      </w:r>
      <w:r w:rsidRPr="00392381">
        <w:rPr>
          <w:rFonts w:cs="Arial"/>
          <w:b/>
          <w:bCs/>
          <w:szCs w:val="20"/>
          <w:lang w:val="sl-SI"/>
        </w:rPr>
        <w:t xml:space="preserve">izhaja nasprotovanje na obravnavo tajnih podatkov in sicer na nov 146.a člen ZUP-I, ki je </w:t>
      </w:r>
      <w:r w:rsidR="006F416A" w:rsidRPr="00392381">
        <w:rPr>
          <w:rFonts w:cs="Arial"/>
          <w:b/>
          <w:bCs/>
          <w:szCs w:val="20"/>
          <w:lang w:val="sl-SI"/>
        </w:rPr>
        <w:t xml:space="preserve">neargumentirano in </w:t>
      </w:r>
      <w:r w:rsidRPr="00392381">
        <w:rPr>
          <w:rFonts w:cs="Arial"/>
          <w:b/>
          <w:bCs/>
          <w:szCs w:val="20"/>
          <w:lang w:val="sl-SI"/>
        </w:rPr>
        <w:t>pavšalno</w:t>
      </w:r>
      <w:r w:rsidR="006F416A" w:rsidRPr="00392381">
        <w:rPr>
          <w:rFonts w:cs="Arial"/>
          <w:b/>
          <w:bCs/>
          <w:szCs w:val="20"/>
          <w:lang w:val="sl-SI"/>
        </w:rPr>
        <w:t>. Vlada vztraja, da predlagani ureditvi ni mogoče očitati</w:t>
      </w:r>
      <w:r w:rsidRPr="00392381">
        <w:rPr>
          <w:rFonts w:cs="Arial"/>
          <w:szCs w:val="20"/>
          <w:lang w:val="sl-SI"/>
        </w:rPr>
        <w:t xml:space="preserve"> </w:t>
      </w:r>
      <w:r w:rsidRPr="00392381">
        <w:rPr>
          <w:rFonts w:cs="Arial"/>
          <w:b/>
          <w:bCs/>
          <w:szCs w:val="20"/>
          <w:lang w:val="sl-SI"/>
        </w:rPr>
        <w:t>nesorazmer</w:t>
      </w:r>
      <w:r w:rsidR="006F416A" w:rsidRPr="00392381">
        <w:rPr>
          <w:rFonts w:cs="Arial"/>
          <w:b/>
          <w:bCs/>
          <w:szCs w:val="20"/>
          <w:lang w:val="sl-SI"/>
        </w:rPr>
        <w:t>nega</w:t>
      </w:r>
      <w:r w:rsidRPr="00392381">
        <w:rPr>
          <w:rFonts w:cs="Arial"/>
          <w:szCs w:val="20"/>
          <w:lang w:val="sl-SI"/>
        </w:rPr>
        <w:t xml:space="preserve"> </w:t>
      </w:r>
      <w:r w:rsidRPr="00392381">
        <w:rPr>
          <w:rFonts w:cs="Arial"/>
          <w:b/>
          <w:bCs/>
          <w:szCs w:val="20"/>
          <w:lang w:val="sl-SI"/>
        </w:rPr>
        <w:t>poseg</w:t>
      </w:r>
      <w:r w:rsidR="006F416A" w:rsidRPr="00392381">
        <w:rPr>
          <w:rFonts w:cs="Arial"/>
          <w:b/>
          <w:bCs/>
          <w:szCs w:val="20"/>
          <w:lang w:val="sl-SI"/>
        </w:rPr>
        <w:t>a</w:t>
      </w:r>
      <w:r w:rsidRPr="00392381">
        <w:rPr>
          <w:rFonts w:cs="Arial"/>
          <w:b/>
          <w:bCs/>
          <w:szCs w:val="20"/>
          <w:lang w:val="sl-SI"/>
        </w:rPr>
        <w:t xml:space="preserve"> v ustavna procesna jamstva iz 22., 23. in 25. člena Ustave, saj se ravno s predlagano ureditvijo zagotavlja spoštovanje enakega varstva pravic, pravico do sodnega varstva in</w:t>
      </w:r>
      <w:r w:rsidRPr="00392381">
        <w:rPr>
          <w:b/>
          <w:bCs/>
          <w:lang w:val="sl-SI"/>
        </w:rPr>
        <w:t xml:space="preserve"> </w:t>
      </w:r>
      <w:r w:rsidRPr="00392381">
        <w:rPr>
          <w:rFonts w:cs="Arial"/>
          <w:b/>
          <w:bCs/>
          <w:szCs w:val="20"/>
          <w:lang w:val="sl-SI"/>
        </w:rPr>
        <w:t>pravico do pravnega sredstva, sicer bi v primeru ogroženosti varnosti države zaradi razkritja tajnih podatkov stranka ostala brez kakršnegakoli pravnega varstva.</w:t>
      </w:r>
      <w:r w:rsidR="006F416A" w:rsidRPr="00392381">
        <w:rPr>
          <w:rFonts w:cs="Arial"/>
          <w:b/>
          <w:bCs/>
          <w:szCs w:val="20"/>
          <w:lang w:val="sl-SI"/>
        </w:rPr>
        <w:t xml:space="preserve"> Še več, če ZUP-I ne bi uredil postopanja s tajnimi podatki, bi veljal kot neustaven, enako kot je za ZPP v preteklosti ugotovilo Ustavno sodišče. V</w:t>
      </w:r>
      <w:r w:rsidRPr="00392381">
        <w:rPr>
          <w:rFonts w:cs="Arial"/>
          <w:b/>
          <w:bCs/>
          <w:szCs w:val="20"/>
          <w:lang w:val="sl-SI"/>
        </w:rPr>
        <w:t xml:space="preserve"> zvezi s stališčem DS in sklicevanjem na navedbe ZPS, ki ocenjuje rešitev glede zagotavljanja pravic strank do udeležbe v ugotovitvenem postopku preko pooblaščenca, ki je odvetnik, ne glede na predpise o dovoljenju za dostop do tajnih podatkov kot nesorazmeren poseg v ustavna procesna jamstva iz 22., 23. in 25. člena Ustave, saj naj bi pomenilo izvotlitev teh jamstev, </w:t>
      </w:r>
      <w:r w:rsidR="006F416A" w:rsidRPr="00392381">
        <w:rPr>
          <w:rFonts w:cs="Arial"/>
          <w:b/>
          <w:bCs/>
          <w:szCs w:val="20"/>
          <w:lang w:val="sl-SI"/>
        </w:rPr>
        <w:t>Vlada pripominja</w:t>
      </w:r>
      <w:r w:rsidRPr="00392381">
        <w:rPr>
          <w:rFonts w:cs="Arial"/>
          <w:b/>
          <w:bCs/>
          <w:szCs w:val="20"/>
          <w:lang w:val="sl-SI"/>
        </w:rPr>
        <w:t xml:space="preserve">, da bi moralo takšno zatrjevanje o izvotlitvi človekovih pravic temeljiti na morebitnih navideznih urejanjih, opustitvah posebne zakonske ureditve oziroma </w:t>
      </w:r>
      <w:proofErr w:type="spellStart"/>
      <w:r w:rsidRPr="00392381">
        <w:rPr>
          <w:rFonts w:cs="Arial"/>
          <w:b/>
          <w:bCs/>
          <w:szCs w:val="20"/>
          <w:lang w:val="sl-SI"/>
        </w:rPr>
        <w:t>t.i</w:t>
      </w:r>
      <w:proofErr w:type="spellEnd"/>
      <w:r w:rsidRPr="00392381">
        <w:rPr>
          <w:rFonts w:cs="Arial"/>
          <w:b/>
          <w:bCs/>
          <w:szCs w:val="20"/>
          <w:lang w:val="sl-SI"/>
        </w:rPr>
        <w:t>. pravnih prazninah, za kar pa ne gre v novi ureditvi, s katero se urejajo pravila postopka. Nadalje se tudi ne onemogoča aktivnega sodelovanja stranke in njene celovite obrambe</w:t>
      </w:r>
      <w:r w:rsidR="006F416A" w:rsidRPr="00392381">
        <w:rPr>
          <w:rFonts w:cs="Arial"/>
          <w:b/>
          <w:bCs/>
          <w:szCs w:val="20"/>
          <w:lang w:val="sl-SI"/>
        </w:rPr>
        <w:t>,</w:t>
      </w:r>
      <w:r w:rsidRPr="00392381">
        <w:rPr>
          <w:rFonts w:cs="Arial"/>
          <w:b/>
          <w:bCs/>
          <w:szCs w:val="20"/>
          <w:lang w:val="sl-SI"/>
        </w:rPr>
        <w:t xml:space="preserve"> kot je očitano, temveč se </w:t>
      </w:r>
      <w:r w:rsidR="006F416A" w:rsidRPr="00392381">
        <w:rPr>
          <w:rFonts w:cs="Arial"/>
          <w:b/>
          <w:bCs/>
          <w:szCs w:val="20"/>
          <w:lang w:val="sl-SI"/>
        </w:rPr>
        <w:t xml:space="preserve">nasprotno </w:t>
      </w:r>
      <w:r w:rsidRPr="00392381">
        <w:rPr>
          <w:rFonts w:cs="Arial"/>
          <w:b/>
          <w:bCs/>
          <w:szCs w:val="20"/>
          <w:lang w:val="sl-SI"/>
        </w:rPr>
        <w:t>zagotavlja učinkovita obramba</w:t>
      </w:r>
      <w:r w:rsidRPr="00392381">
        <w:rPr>
          <w:rFonts w:cs="Arial"/>
          <w:szCs w:val="20"/>
          <w:lang w:val="sl-SI"/>
        </w:rPr>
        <w:t xml:space="preserve"> </w:t>
      </w:r>
      <w:r w:rsidRPr="00392381">
        <w:rPr>
          <w:rFonts w:cs="Arial"/>
          <w:b/>
          <w:bCs/>
          <w:szCs w:val="20"/>
          <w:lang w:val="sl-SI"/>
        </w:rPr>
        <w:t xml:space="preserve">z vključitvijo neodvisnega pravnega strokovnjaka. Pri tem je ključno, da bo stranki posredoval podatke, ki bodo pomembni za varstvo njenega pravnega položaja. Tako se nasprotno od očitanega, z novo ureditvijo krepi položaj stranke v primerjavi z veljavno ureditvijo in se zagotavljajo ter dosegajo splošno uveljavljeni standardi glede pravnega varstva, saj se na temelju ustavnopravnih jamstev, v skrajnih primerih zaščiti tako državo kot </w:t>
      </w:r>
      <w:r w:rsidR="006F416A" w:rsidRPr="00392381">
        <w:rPr>
          <w:rFonts w:cs="Arial"/>
          <w:b/>
          <w:bCs/>
          <w:szCs w:val="20"/>
          <w:lang w:val="sl-SI"/>
        </w:rPr>
        <w:t>prizadete</w:t>
      </w:r>
      <w:r w:rsidRPr="00392381">
        <w:rPr>
          <w:rFonts w:cs="Arial"/>
          <w:b/>
          <w:bCs/>
          <w:szCs w:val="20"/>
          <w:lang w:val="sl-SI"/>
        </w:rPr>
        <w:t xml:space="preserve"> posameznike. Poleg navedenega je potrebno izpostaviti, da veljavna ureditev, ki jo želi DS ohraniti, ne bi prestala presoje ustavnosti. Tako da so očitki, ki temeljijo na ustavnopravnih »konfliktih« in so naslovljeni na ZUP-I, dejansko očitki, ki podpirajo omejitve pravice strank pri obravnavi tajnih podatkov. S predlagano ureditvijo se namreč želi zagotoviti pravico do izjave pred izdajo odločbe in ne šele po njeni izdaji</w:t>
      </w:r>
      <w:r w:rsidR="006F416A" w:rsidRPr="00392381">
        <w:rPr>
          <w:rFonts w:cs="Arial"/>
          <w:b/>
          <w:bCs/>
          <w:szCs w:val="20"/>
          <w:lang w:val="sl-SI"/>
        </w:rPr>
        <w:t>,</w:t>
      </w:r>
      <w:r w:rsidRPr="00392381">
        <w:rPr>
          <w:rFonts w:cs="Arial"/>
          <w:b/>
          <w:bCs/>
          <w:szCs w:val="20"/>
          <w:lang w:val="sl-SI"/>
        </w:rPr>
        <w:t xml:space="preserve"> kot je urejeno v veljavni ureditvi ter se želi urediti izdajo odločbe v skladu s temeljnim načelom ZUP (9. člen). Le-ta določa, da organ svoje odločbe ne sme opreti na dejstva, glede katerih vsem strankam ni bila dana možnost, da se o njih izjavijo, razen v primerih, določenih z zakonom, tako da oporekano ne drži. Pri tem je potrebno osvetliti stališče DS, ki je oprto na sodne postopke in odločitev Vrhovnega sodišča Republike Slovenije, in sicer, da je treba že v izhodišču razlikovati, da upravni postopek ni sodni postopek in v skladu z navedenim razlikovati tudi sodno vejo oblasti od izvršilne ter njune pristojnosti.</w:t>
      </w:r>
    </w:p>
    <w:p w14:paraId="2CACBB3F" w14:textId="77777777" w:rsidR="00DF5AC8" w:rsidRPr="00392381" w:rsidRDefault="00DF5AC8" w:rsidP="00DF5AC8">
      <w:pPr>
        <w:contextualSpacing/>
        <w:jc w:val="both"/>
        <w:rPr>
          <w:rFonts w:cs="Arial"/>
          <w:szCs w:val="20"/>
          <w:lang w:val="sl-SI"/>
        </w:rPr>
      </w:pPr>
    </w:p>
    <w:p w14:paraId="657074F4" w14:textId="77777777" w:rsidR="006F416A" w:rsidRPr="00392381" w:rsidRDefault="006F416A" w:rsidP="00DF5AC8">
      <w:pPr>
        <w:contextualSpacing/>
        <w:jc w:val="both"/>
        <w:rPr>
          <w:rFonts w:cs="Arial"/>
          <w:szCs w:val="20"/>
          <w:lang w:val="sl-SI"/>
        </w:rPr>
      </w:pPr>
      <w:r w:rsidRPr="00392381">
        <w:rPr>
          <w:rFonts w:cs="Arial"/>
          <w:szCs w:val="20"/>
          <w:lang w:val="sl-SI"/>
        </w:rPr>
        <w:t>ZUP-I</w:t>
      </w:r>
      <w:r w:rsidR="00DF5AC8" w:rsidRPr="00392381">
        <w:rPr>
          <w:rFonts w:cs="Arial"/>
          <w:szCs w:val="20"/>
          <w:lang w:val="sl-SI"/>
        </w:rPr>
        <w:t xml:space="preserve"> ureja pravila o postopanju s tajnimi podatki, ki so v veljavni ureditvi neurejena oziroma so urejena pomanjkljivo, tako da je potrebna nujnost urejanja navedenih pravil. Veljavni ZUP ureja le nekatere procesne položaje, kot so pravica do pregleda dokumentov o upravni zadevi (82. člen ZUP), odgovarjanje priče na vprašanja, s katerimi bi razkrila tajne podatke, izključitev javnosti iz ustne obravnave idr.. Veljavni ZUP v 82. členu ureja, da če so bili v postopku uporabljeni dokumenti, ki vsebujejo tajne podatke in so bili uporabljeni kot podlaga za odločitev, jih imajo stranke pravico </w:t>
      </w:r>
      <w:proofErr w:type="spellStart"/>
      <w:r w:rsidR="00DF5AC8" w:rsidRPr="00392381">
        <w:rPr>
          <w:rFonts w:cs="Arial"/>
          <w:szCs w:val="20"/>
          <w:lang w:val="sl-SI"/>
        </w:rPr>
        <w:t>vpogledati</w:t>
      </w:r>
      <w:proofErr w:type="spellEnd"/>
      <w:r w:rsidR="00DF5AC8" w:rsidRPr="00392381">
        <w:rPr>
          <w:rFonts w:cs="Arial"/>
          <w:szCs w:val="20"/>
          <w:lang w:val="sl-SI"/>
        </w:rPr>
        <w:t xml:space="preserve">. S predlagano spremembo se zato dopolnjujejo pravila o sodelovanju stranke pri različnih procesnih dejanjih, v katerih se obravnavajo tajni podatki. Bistveno je, da se zagotovi pravica do izjave pred izdajo odločbe. Dopolnjena ureditev sledi uveljavljeni sodni presoji, po kateri tako pravica stranke do sodelovanja v postopku kot varstvo tajnih podatkov nista absolutna in nobena pravna vrednota nima a priori prednosti pred drugo. Predlagana pravila so ustavnopravno skladna, ker se s spremenjeno in dopolnjeno ureditvijo zakona zasleduje ustavno dopusten cilj, katerega namen je varovanje tajnih podatkov, katerih razkritje stranki bi lahko škodilo varnosti ali interesom Republike Slovenije oziroma delovanju ali izvajanju nalog organa, ki je podatke določil kot tajne, z določenimi omejitvami. </w:t>
      </w:r>
    </w:p>
    <w:p w14:paraId="0DB73D11" w14:textId="77777777" w:rsidR="006F416A" w:rsidRPr="00392381" w:rsidRDefault="006F416A" w:rsidP="00DF5AC8">
      <w:pPr>
        <w:contextualSpacing/>
        <w:jc w:val="both"/>
        <w:rPr>
          <w:rFonts w:cs="Arial"/>
          <w:szCs w:val="20"/>
          <w:lang w:val="sl-SI"/>
        </w:rPr>
      </w:pPr>
    </w:p>
    <w:p w14:paraId="79983647" w14:textId="2643AFAD" w:rsidR="00DF5AC8" w:rsidRPr="00392381" w:rsidRDefault="00DF5AC8" w:rsidP="00DF5AC8">
      <w:pPr>
        <w:contextualSpacing/>
        <w:jc w:val="both"/>
        <w:rPr>
          <w:rFonts w:cs="Arial"/>
          <w:szCs w:val="20"/>
          <w:lang w:val="sl-SI"/>
        </w:rPr>
      </w:pPr>
      <w:r w:rsidRPr="00392381">
        <w:rPr>
          <w:rFonts w:cs="Arial"/>
          <w:szCs w:val="20"/>
          <w:lang w:val="sl-SI"/>
        </w:rPr>
        <w:lastRenderedPageBreak/>
        <w:t xml:space="preserve">Iz dosedanje </w:t>
      </w:r>
      <w:proofErr w:type="spellStart"/>
      <w:r w:rsidRPr="00392381">
        <w:rPr>
          <w:rFonts w:cs="Arial"/>
          <w:szCs w:val="20"/>
          <w:lang w:val="sl-SI"/>
        </w:rPr>
        <w:t>ustavnosodne</w:t>
      </w:r>
      <w:proofErr w:type="spellEnd"/>
      <w:r w:rsidRPr="00392381">
        <w:rPr>
          <w:rFonts w:cs="Arial"/>
          <w:szCs w:val="20"/>
          <w:lang w:val="sl-SI"/>
        </w:rPr>
        <w:t xml:space="preserve"> presoje izhaja, da je varovanje tajnosti podatkov, katerih razkritje bi lahko ogrozilo državno varnost, zdravje in življenja posameznikov, ustavno dopusten razlog za posege v ustavno zagotovljene procesne pravice strank iz 22. člena Ustave. Predlagani ukrepi za varovanje tajnih podatkov, s katerimi se urejajo posebna pravila glede pooblaščenca, ki je odvetnik, so potrebni in primerni, saj se le z dostopnostjo do podatkov lahko uresničuje udeležba strank v postopku, česar ni mogoče zagotoviti na drug primeren način kot s pooblaščencem, ki je odvetnik (katerega pri zastopanju stranke zavezuje dolžnost ravnati vestno, pošteno, skrbno ter po načelih odvetniške poklicne etike). V zakonu je treba zagotavljati varstvo vseh ustavnopravno varovanih vrednost in njihovo varstvo ustrezno uravnotežiti. Pri varstvu interesov države po varovanju tajnih podatkov in varstvu procesnih pravic stranke je zato treba iskati normativne rešitve, ki bodisi preprečujejo dostop do tajnih podatkov ali v neomejenem dostopu do podatkov, ki vplivajo na odločitev. S predlagano rešitvijo pa se v okviru teh možnosti, vstopa na njunem stičišču, s čimer se v najmanjši možni meri vpliva na pravice in interese strank, tako da se med procesnimi pravicami strank in javim interesom zagotavlja ustrezno ravnovesje, pri čemer omejitve ustrezajo zahtevam poštenega postopka. Z morebitnim popolnim razkritjem tajnih podatkov in zagotovitvijo aktivne udeležbe stranke, se zgolj z opozorilom stranki ali njenemu pooblaščencu o varovanju tajnih podatkov v skladu s predpisi, ki urejajo tajne podatke, in na posledice razkritja, ne bi preprečilo škodovanja varnosti ali interesom Republike Slovenije oziroma delovanju ali izvajanju nalog organa, ki je podatke določil kot tajne, kar je predvsem pomembno iz vidika groženj.</w:t>
      </w:r>
    </w:p>
    <w:p w14:paraId="5F672C31" w14:textId="77777777" w:rsidR="00DF5AC8" w:rsidRPr="00392381" w:rsidRDefault="00DF5AC8" w:rsidP="00DF5AC8">
      <w:pPr>
        <w:contextualSpacing/>
        <w:jc w:val="both"/>
        <w:rPr>
          <w:rFonts w:cs="Arial"/>
          <w:szCs w:val="20"/>
          <w:lang w:val="sl-SI"/>
        </w:rPr>
      </w:pPr>
    </w:p>
    <w:p w14:paraId="14172AF2" w14:textId="77777777" w:rsidR="00DF5AC8" w:rsidRPr="00392381" w:rsidRDefault="00DF5AC8" w:rsidP="00DF5AC8">
      <w:pPr>
        <w:contextualSpacing/>
        <w:jc w:val="both"/>
        <w:rPr>
          <w:rFonts w:cs="Arial"/>
          <w:szCs w:val="20"/>
          <w:lang w:val="sl-SI"/>
        </w:rPr>
      </w:pPr>
      <w:r w:rsidRPr="00392381">
        <w:rPr>
          <w:rFonts w:cs="Arial"/>
          <w:szCs w:val="20"/>
          <w:lang w:val="sl-SI"/>
        </w:rPr>
        <w:t xml:space="preserve">»Enako stališče izhaja iz odločitve Ustavnega sodišča v zadevi št. U-I-134/10 (odločba z dne 24. 10. 2013, Uradni list RS, št. 92/13, in </w:t>
      </w:r>
      <w:proofErr w:type="spellStart"/>
      <w:r w:rsidRPr="00392381">
        <w:rPr>
          <w:rFonts w:cs="Arial"/>
          <w:szCs w:val="20"/>
          <w:lang w:val="sl-SI"/>
        </w:rPr>
        <w:t>OdlUS</w:t>
      </w:r>
      <w:proofErr w:type="spellEnd"/>
      <w:r w:rsidRPr="00392381">
        <w:rPr>
          <w:rFonts w:cs="Arial"/>
          <w:szCs w:val="20"/>
          <w:lang w:val="sl-SI"/>
        </w:rPr>
        <w:t xml:space="preserve"> XX, 9), kateri je opozorilo, da je varovanje tajnosti podatkov na obrambnem, vojaškem, zunanjepolitičnem in podobnih področjih pomembna in do določene mere neizbežna družbena vrednota, ki ima brez dvoma ustavno podlago, saj tajnost zaupnih podatkov, zlasti v primeru nastopa nekaterih groženj (npr. vojaška ogroženost, terorizem) – in dokler se sama ne sprevrže v grožnjo svobodi –, služi varstvu človekovih pravic in drugih temeljev ustavne ureditve (kot je na primer načelo demokratičnosti iz 1. člena Ustave). Potreba po varstvu tajnih podatkov je zato lahko – do neke mere pa celo mora biti – podlaga za zakonito omejevanje človekovih pravic, vendar pa morajo biti te omejitve skladne z Ustavo. Tudi ESČP poudarja, da pravica do razkritja dokazov – ki izhaja iz pravice do poštenega kazenskega postopka iz prvega odstavka 6. člena EKČP in zahteva, da se lahko obramba seznani z vsemi dejstvi in dokazi, ki jih predloži tožilstvo, in se do njih opredeli ter da se ji razkrijejo vsi drugi relevantni (obremenilni in razbremenilni) dokazi, s katerimi razpolaga tožilstvo – ni absolutna. Navedeno pravico je dopustno omejiti zaradi varstva drugih interesov, kot so nacionalna varnost, potreba po zaščiti prič ali varovanje tajnih policijskih metod. Vendar pa so omejitve pravic obrambe dopustne samo, kolikor so nujno potrebne. Omejitve ne smejo biti takšne, da bi posegle v samo bistvo obdolženčevih pravic. Vsako omejitev obdolženčevih pravic mora sodišče ustrezno uravnotežiti. V fazi odločanja o priporu, ki sodi v domet 5. člena EKČP, dolžnost razkritja dokazov sicer ni identična tisti iz 6. člena EKČP, vendar pa mora imeti obramba tudi v tej fazi postopka vsaj nekaj časa vnaprej dostop do osnovnih gradiv, tako da ji je zagotovljena realna možnost, da predstavi protiargumente. Kadar razkritje tovrstnih gradiv zaradi varstva javnega interesa ni mogoče, je treba težave, ki jih to povzroči priprtemu, uravnotežiti z ustreznimi ukrepi, ki mu omogočajo učinkovito obrambo. Če dokumentov, ki vsebujejo tajne podatke, v skladu z nacionalno zakonodajo strankam ni dovoljeno vročati po pošti ali po faksu, morajo državni organi najti druge ustrezne načine, da obrambi omogočijo potreben dostop do njih. Učinkovitega upravljanja tajnih podatkov med kazenskim postopkom ni dovoljeno zasledovati na račun znatnih omejitev pravic obrambe.«</w:t>
      </w:r>
      <w:r w:rsidRPr="00392381">
        <w:rPr>
          <w:rStyle w:val="Sprotnaopomba-sklic"/>
          <w:rFonts w:cs="Arial"/>
          <w:szCs w:val="20"/>
          <w:lang w:val="sl-SI"/>
        </w:rPr>
        <w:footnoteReference w:id="16"/>
      </w:r>
    </w:p>
    <w:p w14:paraId="57D742E8" w14:textId="77777777" w:rsidR="00DF5AC8" w:rsidRPr="00392381" w:rsidRDefault="00DF5AC8" w:rsidP="00DF5AC8">
      <w:pPr>
        <w:contextualSpacing/>
        <w:jc w:val="both"/>
        <w:rPr>
          <w:rFonts w:cs="Arial"/>
          <w:szCs w:val="20"/>
          <w:lang w:val="sl-SI"/>
        </w:rPr>
      </w:pPr>
    </w:p>
    <w:p w14:paraId="527F444E" w14:textId="39A9E01D" w:rsidR="00DF5AC8" w:rsidRPr="00392381" w:rsidRDefault="00DF5AC8" w:rsidP="00DF5AC8">
      <w:pPr>
        <w:contextualSpacing/>
        <w:jc w:val="both"/>
        <w:rPr>
          <w:rFonts w:cs="Arial"/>
          <w:szCs w:val="20"/>
          <w:lang w:val="sl-SI"/>
        </w:rPr>
      </w:pPr>
      <w:bookmarkStart w:id="3" w:name="_Hlk210738436"/>
      <w:r w:rsidRPr="00392381">
        <w:rPr>
          <w:rFonts w:cs="Arial"/>
          <w:szCs w:val="20"/>
          <w:lang w:val="sl-SI"/>
        </w:rPr>
        <w:t xml:space="preserve">S spremenjeno in dopolnjeno ureditvijo zakona </w:t>
      </w:r>
      <w:bookmarkEnd w:id="3"/>
      <w:r w:rsidRPr="00392381">
        <w:rPr>
          <w:rFonts w:cs="Arial"/>
          <w:szCs w:val="20"/>
          <w:lang w:val="sl-SI"/>
        </w:rPr>
        <w:t xml:space="preserve">se pri urejanju tajnih podatkov zagotavlja stranki sodelovanje v postopku in njeno uresničevanje temeljnih pravic. Načelo zaslišanja stranke, ki ima podlago v ustavni določbi, da mora biti v postopku vsakomur zagotovljeno enako varstvo njegovih pravic (22. člen Ustave), se uresničuje z zagotavljanjem možnosti izjave o dejstvih in okoliščinah, pomembnih za izdajo odločbe (zagotavljanje kontradiktornosti), torej o rezultatu dokazovanja po </w:t>
      </w:r>
      <w:r w:rsidRPr="00392381">
        <w:rPr>
          <w:rFonts w:cs="Arial"/>
          <w:szCs w:val="20"/>
          <w:lang w:val="sl-SI"/>
        </w:rPr>
        <w:lastRenderedPageBreak/>
        <w:t>končanem ugotovitvenem postopku. S spremenjeno in dopolnjeno ureditvijo zakona se nadalje tudi sledi določbi, da organ svoje odločbe ne sme opreti na dejstva, glede katerih vsem strankam ni bila dana možnost, da se o njih izjavijo, razen v primerih, določenih z zakonom (v zv. z 9. in 146. členom ZUP). Na podlagi tega temeljnega načela ima stranka pravice, ki jih določa 146. člen ZUP</w:t>
      </w:r>
      <w:r w:rsidRPr="00392381">
        <w:rPr>
          <w:rStyle w:val="Sprotnaopomba-sklic"/>
          <w:rFonts w:cs="Arial"/>
          <w:szCs w:val="20"/>
          <w:lang w:val="sl-SI"/>
        </w:rPr>
        <w:footnoteReference w:id="17"/>
      </w:r>
      <w:r w:rsidRPr="00392381">
        <w:rPr>
          <w:rFonts w:cs="Arial"/>
          <w:szCs w:val="20"/>
          <w:lang w:val="sl-SI"/>
        </w:rPr>
        <w:t>, zato ne gre za izključitev navedenih pravic, le njihovo zagotavljanje je omogočeno po pooblaščencu, ki je odvetnik (146.a člen zakona), če bi razkritje tajnih podatkov stranki lahko škodovalo varnosti ali interesom Republike Slovenije oziroma delovanju ali izvajanju nalog organa, ki je podatke določil kot tajne. Navedenih pravic se tudi ne izključuje, če razkritje tajnih podatkov stranki ne bi škodovalo varnosti ali interesom Republike Slovenije oziroma delovanju ali izvajanju nalog organa, ki je podatke določil kot tajne. Tedaj ni obveznega zastopanja po odvetniku in tudi tajni podatek se lahko razkrije.</w:t>
      </w:r>
    </w:p>
    <w:p w14:paraId="776C3D33" w14:textId="77777777" w:rsidR="00DF5AC8" w:rsidRPr="00392381" w:rsidRDefault="00DF5AC8" w:rsidP="00DF5AC8">
      <w:pPr>
        <w:contextualSpacing/>
        <w:jc w:val="both"/>
        <w:rPr>
          <w:rFonts w:cs="Arial"/>
          <w:szCs w:val="20"/>
          <w:lang w:val="sl-SI"/>
        </w:rPr>
      </w:pPr>
    </w:p>
    <w:p w14:paraId="0E74B7B4" w14:textId="77777777" w:rsidR="00DF5AC8" w:rsidRPr="00392381" w:rsidRDefault="00DF5AC8" w:rsidP="00DF5AC8">
      <w:pPr>
        <w:contextualSpacing/>
        <w:jc w:val="both"/>
        <w:rPr>
          <w:rFonts w:cs="Arial"/>
          <w:szCs w:val="20"/>
          <w:lang w:val="sl-SI"/>
        </w:rPr>
      </w:pPr>
      <w:r w:rsidRPr="00392381">
        <w:rPr>
          <w:rFonts w:cs="Arial"/>
          <w:szCs w:val="20"/>
          <w:lang w:val="sl-SI"/>
        </w:rPr>
        <w:t xml:space="preserve">Iz ustaljene </w:t>
      </w:r>
      <w:proofErr w:type="spellStart"/>
      <w:r w:rsidRPr="00392381">
        <w:rPr>
          <w:rFonts w:cs="Arial"/>
          <w:szCs w:val="20"/>
          <w:lang w:val="sl-SI"/>
        </w:rPr>
        <w:t>ustavnosodne</w:t>
      </w:r>
      <w:proofErr w:type="spellEnd"/>
      <w:r w:rsidRPr="00392381">
        <w:rPr>
          <w:rFonts w:cs="Arial"/>
          <w:szCs w:val="20"/>
          <w:lang w:val="sl-SI"/>
        </w:rPr>
        <w:t xml:space="preserve"> presoje izhaja, da je prvi pogoj za uresničevanje pravice do izjave pravica do informacije, ki jo lahko na podlagi predlagane ureditve pridobi stranka sama ali po pooblaščencu, ki je odvetnik, v odvisnosti od ugotovitve, če bi razkritje tajnih podatkov stranki lahko škodovalo varnosti ali interesom Republike Slovenije oziroma v delovanju ali izvajanju nalog organa, ki je podatke določil kot tajne in od morebitnih posledic razkritja. Obrazloženo mnenje organa, ki je podatke določil kot tajne, o morebitnih posledicah razkritja tajnega podatka, je sestavni del postopanja organa o načinu zagotavljanju udeležbe v ugotovitvenem postopku ali pri posameznih dejanjih in podlaga za odločitev o razkritju podatkov. Če bi izhajajoč iz navedenega mnenja izhajalo, da razkritje tajnih podatkov stranki ne bi škodovalo varnosti ali interesom Republike Slovenije oziroma delovanju ali izvajanju nalog organa, ki je podatke določil kot tajne, potem se takšen tajni podatek lahko razkrije in obratno. Odločitev o zagotavljanju udeležbe pa ni prepuščena organu, ki je podatke določil kot tajne, temveč organu, ki vodi postopek, saj se navedeno presoja iz vidika procesnih pravil za izdajo zakonite odločbe.</w:t>
      </w:r>
    </w:p>
    <w:p w14:paraId="2EB836B4" w14:textId="77777777" w:rsidR="00DF5AC8" w:rsidRPr="00392381" w:rsidRDefault="00DF5AC8" w:rsidP="00DF5AC8">
      <w:pPr>
        <w:contextualSpacing/>
        <w:jc w:val="both"/>
        <w:rPr>
          <w:rFonts w:cs="Arial"/>
          <w:szCs w:val="20"/>
          <w:lang w:val="sl-SI"/>
        </w:rPr>
      </w:pPr>
    </w:p>
    <w:p w14:paraId="6C1767B6" w14:textId="77777777" w:rsidR="00DF5AC8" w:rsidRPr="00392381" w:rsidRDefault="00DF5AC8" w:rsidP="00DF5AC8">
      <w:pPr>
        <w:contextualSpacing/>
        <w:jc w:val="both"/>
        <w:rPr>
          <w:rFonts w:cs="Arial"/>
          <w:szCs w:val="20"/>
          <w:lang w:val="sl-SI"/>
        </w:rPr>
      </w:pPr>
      <w:r w:rsidRPr="00392381">
        <w:rPr>
          <w:rFonts w:cs="Arial"/>
          <w:szCs w:val="20"/>
          <w:lang w:val="sl-SI"/>
        </w:rPr>
        <w:t>Z vpeljavo instituta obveznega zastopanja po pooblaščencu, ki je odvetnik, se zagotavlja učinkovita obramba, saj se z vključitvijo neodvisnega pravnega strokovnjaka zagotavlja položaj enakopravne stranke. Nadalje je potrebno izpostaviti tudi, da se s postavitvijo pooblaščenca po uradni dolžnosti, če ga poprej ne imenuje stranka sama, ne posega v zaupen odnos med stranko in pooblaščencem, ki je odvetnik.</w:t>
      </w:r>
    </w:p>
    <w:p w14:paraId="58F2A687" w14:textId="77777777" w:rsidR="00DF5AC8" w:rsidRPr="00392381" w:rsidRDefault="00DF5AC8" w:rsidP="00DF5AC8">
      <w:pPr>
        <w:contextualSpacing/>
        <w:jc w:val="both"/>
        <w:rPr>
          <w:rFonts w:cs="Arial"/>
          <w:szCs w:val="20"/>
          <w:lang w:val="sl-SI"/>
        </w:rPr>
      </w:pPr>
    </w:p>
    <w:p w14:paraId="6FEB7B28" w14:textId="77777777" w:rsidR="00DF5AC8" w:rsidRPr="00392381" w:rsidRDefault="00DF5AC8" w:rsidP="00DF5AC8">
      <w:pPr>
        <w:contextualSpacing/>
        <w:jc w:val="both"/>
        <w:rPr>
          <w:rFonts w:cs="Arial"/>
          <w:szCs w:val="20"/>
          <w:lang w:val="sl-SI"/>
        </w:rPr>
      </w:pPr>
      <w:r w:rsidRPr="00392381">
        <w:rPr>
          <w:rFonts w:cs="Arial"/>
          <w:szCs w:val="20"/>
          <w:lang w:val="sl-SI"/>
        </w:rPr>
        <w:t xml:space="preserve">Navedeno stališče je skladno z odločitvijo Vrhovnega sodišča v sodbi št. I </w:t>
      </w:r>
      <w:proofErr w:type="spellStart"/>
      <w:r w:rsidRPr="00392381">
        <w:rPr>
          <w:rFonts w:cs="Arial"/>
          <w:szCs w:val="20"/>
          <w:lang w:val="sl-SI"/>
        </w:rPr>
        <w:t>Ips</w:t>
      </w:r>
      <w:proofErr w:type="spellEnd"/>
      <w:r w:rsidRPr="00392381">
        <w:rPr>
          <w:rFonts w:cs="Arial"/>
          <w:szCs w:val="20"/>
          <w:lang w:val="sl-SI"/>
        </w:rPr>
        <w:t xml:space="preserve"> 9850/2015 z dne 22.05.2025, v kateri je določeno: »da je eden izmed nujnih pogojev za učinkovito obrambo z zagovornikom zaupen odnos med obdolžencem in zagovornikom. Ta bo praviloma bolje vzpostavljen, če si bo obdolženec zagovornika izbral sam. V dosedanji praksi Ustavnega sodišča RS je že razjasnjeno, da pravice do zagovornika po lastni izbiri ni mogoče razumeti tako, da bi morala biti zagotovljena možnost, da bo v postopku zastopnik izbrani zagovornik. Stališče, da pravica do lastne izbire zagovornika, ne glede na pomembnost zaupanja med odvetnikom in njegovo stranko, ni absolutna, je zavzeto tudi v praksi ESČP.« V zaupnost se tudi ne posega z zavezo, da odvetnik ne bo posredoval stranki tajnih podatkov, posredoval pa ji bo lahko podatke, ki so pomembni za varstvo njenega pravnega položaja.</w:t>
      </w:r>
    </w:p>
    <w:p w14:paraId="37E09FDF" w14:textId="77777777" w:rsidR="00DF5AC8" w:rsidRPr="00392381" w:rsidRDefault="00DF5AC8" w:rsidP="00DF5AC8">
      <w:pPr>
        <w:contextualSpacing/>
        <w:jc w:val="both"/>
        <w:rPr>
          <w:rFonts w:cs="Arial"/>
          <w:szCs w:val="20"/>
          <w:lang w:val="sl-SI"/>
        </w:rPr>
      </w:pPr>
    </w:p>
    <w:p w14:paraId="71A65E8A" w14:textId="77777777" w:rsidR="00DF5AC8" w:rsidRPr="00392381" w:rsidRDefault="00DF5AC8" w:rsidP="00DF5AC8">
      <w:pPr>
        <w:contextualSpacing/>
        <w:jc w:val="both"/>
        <w:rPr>
          <w:rFonts w:cs="Arial"/>
          <w:szCs w:val="20"/>
          <w:lang w:val="sl-SI"/>
        </w:rPr>
      </w:pPr>
      <w:r w:rsidRPr="00392381">
        <w:rPr>
          <w:rFonts w:cs="Arial"/>
          <w:szCs w:val="20"/>
          <w:lang w:val="sl-SI"/>
        </w:rPr>
        <w:t>Razkritje tajnih podatkov stranki je vezano na oceno škodovanja varnosti ali interesom Republike Slovenije oziroma delovanju ali izvajanju nalog organa, ki je podatke določil kot tajne. Omejitev glede pravic iz 146. člena ZUP do udeležbe v ugotovitvenem postopku ali delu ugotovitvenega postopka, v katerem se obravnavajo tajni podatki, se tako nanaša zgolj na izpolnitev navedenega kriterija, ne pride pa v poštev tudi v drugih primerih, ko ta kriterij ni izpolnjen. Pravice, ki se določajo s 146. členom zakona, se tako v primeru izpolnitve navedenega kriterija, uresničijo po pooblaščenem odvetniku, zato se ne more zgoditi, da se to temeljno procesno jamstvo za zagotavljanje poštenega postopka ne bi zagotovilo. Sicer pa organ lahko omogoči seznanitev tudi stranki, če navedeni kriterij ni izpolnjen.</w:t>
      </w:r>
    </w:p>
    <w:p w14:paraId="1685C654" w14:textId="77777777" w:rsidR="00DF5AC8" w:rsidRPr="00392381" w:rsidRDefault="00DF5AC8" w:rsidP="00DF5AC8">
      <w:pPr>
        <w:contextualSpacing/>
        <w:jc w:val="both"/>
        <w:rPr>
          <w:rFonts w:cs="Arial"/>
          <w:szCs w:val="20"/>
          <w:lang w:val="sl-SI"/>
        </w:rPr>
      </w:pPr>
    </w:p>
    <w:p w14:paraId="2516311A" w14:textId="77777777" w:rsidR="00DF5AC8" w:rsidRPr="00392381" w:rsidRDefault="00DF5AC8" w:rsidP="00DF5AC8">
      <w:pPr>
        <w:contextualSpacing/>
        <w:jc w:val="both"/>
        <w:rPr>
          <w:rFonts w:cs="Arial"/>
          <w:b/>
          <w:bCs/>
          <w:szCs w:val="20"/>
          <w:lang w:val="sl-SI"/>
        </w:rPr>
      </w:pPr>
      <w:r w:rsidRPr="00392381">
        <w:rPr>
          <w:rFonts w:cs="Arial"/>
          <w:szCs w:val="20"/>
          <w:lang w:val="sl-SI"/>
        </w:rPr>
        <w:lastRenderedPageBreak/>
        <w:t>Zoper odločitev organa, da stranki zaradi varstva tajnih podatkov omeji izvrševanje procesnih pravic oziroma ji omogoči njihovo izvrševanje preko pooblaščenega odvetnika, stranka lahko vloži pritožbo zoper sklep o postavitvi pooblaščenca. Sklep namreč temelji na materialnopravnem pogoju, da bi razkritje tajnih podatkov ogrozilo varnost in interese Republike Slovenije oziroma delovanje ali izvajanje nalog organa, ki je določil tajne podatke, zato s pritožbo izpodbija tako presojo organa o izpolnitvi omenjenega pogoja, kot tudi odločitev o postavitvi določenega pooblaščenca. Pritožba zoper sklep v skladu z uveljavljenimi pravili ne zadrži izvršitve, zato se postopek kljub pritožbi nadaljuje po pooblaščencu.</w:t>
      </w:r>
      <w:r w:rsidRPr="00392381">
        <w:rPr>
          <w:lang w:val="sl-SI"/>
        </w:rPr>
        <w:t xml:space="preserve"> </w:t>
      </w:r>
      <w:r w:rsidRPr="00392381">
        <w:rPr>
          <w:rFonts w:cs="Arial"/>
          <w:szCs w:val="20"/>
          <w:lang w:val="sl-SI"/>
        </w:rPr>
        <w:t>Prav tako je zagotovljeno tudi sodno varstvo za presojo zakonitosti upravnih aktov.</w:t>
      </w:r>
    </w:p>
    <w:p w14:paraId="5F6668D7" w14:textId="77777777" w:rsidR="00DF5AC8" w:rsidRPr="00392381" w:rsidRDefault="00DF5AC8" w:rsidP="00DF5AC8">
      <w:pPr>
        <w:contextualSpacing/>
        <w:jc w:val="both"/>
        <w:rPr>
          <w:rFonts w:cs="Arial"/>
          <w:szCs w:val="20"/>
          <w:lang w:val="sl-SI"/>
        </w:rPr>
      </w:pPr>
    </w:p>
    <w:p w14:paraId="76D0FB5C" w14:textId="77777777" w:rsidR="00DF5AC8" w:rsidRPr="00392381" w:rsidRDefault="00DF5AC8" w:rsidP="00DF5AC8">
      <w:pPr>
        <w:contextualSpacing/>
        <w:jc w:val="both"/>
        <w:rPr>
          <w:rFonts w:cs="Arial"/>
          <w:szCs w:val="20"/>
          <w:lang w:val="sl-SI"/>
        </w:rPr>
      </w:pPr>
      <w:r w:rsidRPr="00392381">
        <w:rPr>
          <w:rFonts w:cs="Arial"/>
          <w:szCs w:val="20"/>
          <w:lang w:val="sl-SI"/>
        </w:rPr>
        <w:t>Splošno načelo enakosti pred zakonom zahteva, da zakonodajalec bistveno enake položaje ureja enako, različne pa različno. »Načelu enakosti ustreza takšna normativna različnost, ki ustreza različnosti dejanskih stanj, s tem, da razlikovanje ne sme biti arbitrarno in mora predpis v okviru svojega namena izbrati sredstva, sorazmerna ugotovljeni različnosti položajev, ki so podlaga za normativno razlikovanje.«</w:t>
      </w:r>
      <w:r w:rsidRPr="00392381">
        <w:rPr>
          <w:rStyle w:val="Sprotnaopomba-sklic"/>
          <w:rFonts w:cs="Arial"/>
          <w:szCs w:val="20"/>
          <w:lang w:val="sl-SI"/>
        </w:rPr>
        <w:footnoteReference w:id="18"/>
      </w:r>
      <w:r w:rsidRPr="00392381">
        <w:rPr>
          <w:rFonts w:cs="Arial"/>
          <w:szCs w:val="20"/>
          <w:lang w:val="sl-SI"/>
        </w:rPr>
        <w:t xml:space="preserve"> Predlagana zakonska ureditev pravnih razmerij je objektivno utemeljena, ki ji ni mogoče očitati arbitrarnosti, ker so podani razumni in stvarni razlogi za predlagano zakonsko ureditev. »Načelo enakosti iz drugega odstavka 14. člena Ustave, preneseno na področje upravnih postopkov in upravnega spora, pomeni, da zakonodajalec ni dolžan urejati vseh postopkov na različnih upravnih področjih enako oziroma, da jih je dolžan urejati različno, če to zahteva narava upravnih stvari«</w:t>
      </w:r>
      <w:r w:rsidRPr="00392381">
        <w:rPr>
          <w:rStyle w:val="Sprotnaopomba-sklic"/>
          <w:rFonts w:cs="Arial"/>
          <w:szCs w:val="20"/>
          <w:lang w:val="sl-SI"/>
        </w:rPr>
        <w:footnoteReference w:id="19"/>
      </w:r>
      <w:r w:rsidRPr="00392381">
        <w:rPr>
          <w:rFonts w:cs="Arial"/>
          <w:szCs w:val="20"/>
          <w:lang w:val="sl-SI"/>
        </w:rPr>
        <w:t>, kot gre v zadevi urejanja tajnih podatkov. Drugačno urejanje tajnih podatkov v primerjavi z drugimi podatki, se utemeljuje v potrebnosti upoštevanja pravil, ki jih določata ZTP in Uredba o varovanju tajnih podatkov</w:t>
      </w:r>
      <w:r w:rsidRPr="00392381">
        <w:rPr>
          <w:rStyle w:val="Sprotnaopomba-sklic"/>
          <w:rFonts w:cs="Arial"/>
          <w:szCs w:val="20"/>
          <w:lang w:val="sl-SI"/>
        </w:rPr>
        <w:footnoteReference w:id="20"/>
      </w:r>
      <w:r w:rsidRPr="00392381">
        <w:rPr>
          <w:rFonts w:cs="Arial"/>
          <w:szCs w:val="20"/>
          <w:lang w:val="sl-SI"/>
        </w:rPr>
        <w:t>. Izhajajoč iz navedenih predpisov, spremenjen in dopolnjen zakon določa drugačno obravnavanje podatkov, ki so označeni s stopnjo tajnosti, pri čemer v zvezi z obravnavanjem tajnih podatkov in urejanjem udeležbe v postopku, določa kriterij, ki temelji na razumnih razlogih, ki so, da se z razkritjem tajnih podatkov stranki ne bi škodovalo varnosti ali interesom Republike Slovenije oziroma delovanju ali izvajanju nalog organa, ki je podatke določil kot tajne.</w:t>
      </w:r>
    </w:p>
    <w:p w14:paraId="4A47F0E8" w14:textId="77777777" w:rsidR="00DF5AC8" w:rsidRPr="00392381" w:rsidRDefault="00DF5AC8" w:rsidP="00DF5AC8">
      <w:pPr>
        <w:contextualSpacing/>
        <w:jc w:val="both"/>
        <w:rPr>
          <w:rFonts w:cs="Arial"/>
          <w:szCs w:val="20"/>
          <w:lang w:val="sl-SI"/>
        </w:rPr>
      </w:pPr>
    </w:p>
    <w:p w14:paraId="44F1D11E" w14:textId="77777777" w:rsidR="00DF5AC8" w:rsidRPr="00392381" w:rsidRDefault="00DF5AC8" w:rsidP="00DF5AC8">
      <w:pPr>
        <w:contextualSpacing/>
        <w:jc w:val="both"/>
        <w:rPr>
          <w:rFonts w:cs="Arial"/>
          <w:szCs w:val="20"/>
          <w:lang w:val="sl-SI"/>
        </w:rPr>
      </w:pPr>
      <w:r w:rsidRPr="00392381">
        <w:rPr>
          <w:rFonts w:cs="Arial"/>
          <w:szCs w:val="20"/>
          <w:lang w:val="sl-SI"/>
        </w:rPr>
        <w:t>S predlaganim 146.a členom ZUP-I se ne posega nesorazmerno v temeljna procesna jamstva iz 22., 23. in 25. člena Ustave. Teža posledic varovanja tajnih podatkov je s predlaganimi omejitvami proporcionalna vrednosti zasledovanega cilja oziroma koristim, ki bodo zaradi tega nastale, prav tako so tudi cilji spremenjenega in dopolnjenega zakona opredeljivi, razumni in ustavno legitimni. Ker je glede na navedeno očitke DS, glede ZUP-I, s katerim se dodaja nov 146.a člen, ki temeljijo na nesorazmernem posegu v ustavna procesna jamstva z vidika 22., 23. in 25. člena Ustave, potrebno kot neutemeljene zavrniti, se Državnemu zboru predlaga, da ob ponovnem odločanju o ZUP-I, spremenjen in dopolnjen zakon podpre.</w:t>
      </w:r>
    </w:p>
    <w:p w14:paraId="7F639D26" w14:textId="77777777" w:rsidR="00DF5AC8" w:rsidRPr="00392381" w:rsidRDefault="00DF5AC8" w:rsidP="00DF5AC8">
      <w:pPr>
        <w:rPr>
          <w:rFonts w:cs="Arial"/>
          <w:b/>
          <w:bCs/>
          <w:szCs w:val="20"/>
          <w:lang w:val="sl-SI"/>
        </w:rPr>
      </w:pPr>
    </w:p>
    <w:p w14:paraId="68ED5E49" w14:textId="77777777" w:rsidR="00DF5AC8" w:rsidRPr="00392381" w:rsidRDefault="00DF5AC8" w:rsidP="00DF5AC8">
      <w:pPr>
        <w:rPr>
          <w:rFonts w:cs="Arial"/>
          <w:b/>
          <w:bCs/>
          <w:szCs w:val="20"/>
          <w:lang w:val="sl-SI"/>
        </w:rPr>
      </w:pPr>
    </w:p>
    <w:p w14:paraId="44B95FF9" w14:textId="6C6F1E9F" w:rsidR="001B2051" w:rsidRPr="00392381" w:rsidRDefault="00DB4708" w:rsidP="00DB4708">
      <w:pPr>
        <w:numPr>
          <w:ilvl w:val="0"/>
          <w:numId w:val="41"/>
        </w:numPr>
        <w:jc w:val="both"/>
        <w:rPr>
          <w:rFonts w:eastAsia="Calibri" w:cs="Arial"/>
          <w:b/>
          <w:bCs/>
          <w:szCs w:val="20"/>
          <w:lang w:val="sl-SI"/>
        </w:rPr>
      </w:pPr>
      <w:r w:rsidRPr="00392381">
        <w:rPr>
          <w:rFonts w:eastAsia="Calibri" w:cs="Arial"/>
          <w:b/>
          <w:bCs/>
          <w:szCs w:val="20"/>
          <w:lang w:val="sl-SI"/>
        </w:rPr>
        <w:t>Sklepno</w:t>
      </w:r>
    </w:p>
    <w:p w14:paraId="4537FCE0" w14:textId="77777777" w:rsidR="00DB4708" w:rsidRPr="00392381" w:rsidRDefault="00DB4708" w:rsidP="00DB4708">
      <w:pPr>
        <w:jc w:val="both"/>
        <w:rPr>
          <w:rFonts w:eastAsia="Calibri" w:cs="Arial"/>
          <w:szCs w:val="20"/>
          <w:lang w:val="sl-SI"/>
        </w:rPr>
      </w:pPr>
    </w:p>
    <w:p w14:paraId="7D1B0C8B" w14:textId="528B5F3B" w:rsidR="00DB4708" w:rsidRPr="00392381" w:rsidRDefault="00DB4708" w:rsidP="00DB4708">
      <w:pPr>
        <w:jc w:val="both"/>
        <w:rPr>
          <w:rFonts w:eastAsia="Calibri" w:cs="Arial"/>
          <w:szCs w:val="20"/>
          <w:lang w:val="sl-SI"/>
        </w:rPr>
      </w:pPr>
      <w:r w:rsidRPr="00392381">
        <w:rPr>
          <w:rFonts w:eastAsia="Calibri" w:cs="Arial"/>
          <w:szCs w:val="20"/>
          <w:lang w:val="sl-SI"/>
        </w:rPr>
        <w:t xml:space="preserve">Vlada glede na pojasnjeno predlaga, da Državni zbor pri ponovnem glasovanju, podpre ZUP-I.  </w:t>
      </w:r>
    </w:p>
    <w:sectPr w:rsidR="00DB4708" w:rsidRPr="00392381" w:rsidSect="003E3756">
      <w:pgSz w:w="11900" w:h="16840" w:code="9"/>
      <w:pgMar w:top="1701" w:right="1701" w:bottom="567"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8228E17" w14:textId="77777777" w:rsidR="00DD00B6" w:rsidRDefault="00DD00B6">
      <w:r>
        <w:separator/>
      </w:r>
    </w:p>
  </w:endnote>
  <w:endnote w:type="continuationSeparator" w:id="0">
    <w:p w14:paraId="2AFBC905" w14:textId="77777777" w:rsidR="00DD00B6" w:rsidRDefault="00DD00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ptos Display">
    <w:altName w:val="Arial"/>
    <w:charset w:val="00"/>
    <w:family w:val="swiss"/>
    <w:pitch w:val="variable"/>
    <w:sig w:usb0="00000001" w:usb1="00000003" w:usb2="00000000" w:usb3="00000000" w:csb0="0000019F" w:csb1="00000000"/>
  </w:font>
  <w:font w:name="Aptos">
    <w:altName w:val="Arial"/>
    <w:charset w:val="00"/>
    <w:family w:val="swiss"/>
    <w:pitch w:val="variable"/>
    <w:sig w:usb0="00000001" w:usb1="00000003"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BA26CE" w14:textId="77777777" w:rsidR="00DD00B6" w:rsidRDefault="00DD00B6">
      <w:r>
        <w:separator/>
      </w:r>
    </w:p>
  </w:footnote>
  <w:footnote w:type="continuationSeparator" w:id="0">
    <w:p w14:paraId="36A339A8" w14:textId="77777777" w:rsidR="00DD00B6" w:rsidRDefault="00DD00B6">
      <w:r>
        <w:continuationSeparator/>
      </w:r>
    </w:p>
  </w:footnote>
  <w:footnote w:id="1">
    <w:p w14:paraId="0DF7EFF3" w14:textId="35CD22DD" w:rsidR="003373E6" w:rsidRPr="00BA6779" w:rsidRDefault="003373E6" w:rsidP="003373E6">
      <w:pPr>
        <w:pStyle w:val="Sprotnaopomba-besedilo"/>
        <w:jc w:val="both"/>
        <w:rPr>
          <w:rFonts w:ascii="Arial" w:hAnsi="Arial" w:cs="Arial"/>
          <w:sz w:val="18"/>
          <w:szCs w:val="18"/>
          <w:lang w:val="it-IT"/>
        </w:rPr>
      </w:pPr>
      <w:r w:rsidRPr="00BA6779">
        <w:rPr>
          <w:rStyle w:val="Sprotnaopomba-sklic"/>
          <w:rFonts w:ascii="Arial" w:hAnsi="Arial" w:cs="Arial"/>
          <w:sz w:val="18"/>
          <w:szCs w:val="18"/>
        </w:rPr>
        <w:footnoteRef/>
      </w:r>
      <w:r w:rsidRPr="00BA6779">
        <w:rPr>
          <w:rFonts w:ascii="Arial" w:hAnsi="Arial" w:cs="Arial"/>
          <w:sz w:val="18"/>
          <w:szCs w:val="18"/>
        </w:rPr>
        <w:t xml:space="preserve"> </w:t>
      </w:r>
      <w:r w:rsidR="009256F2" w:rsidRPr="009256F2">
        <w:rPr>
          <w:rFonts w:ascii="Arial" w:hAnsi="Arial" w:cs="Arial"/>
          <w:sz w:val="18"/>
          <w:szCs w:val="18"/>
        </w:rPr>
        <w:t>Ustava Republike Slovenije, Uradni list RS, št. 33/91-I, 42/97 – UZS68, 66/00 – UZ80, 24/03 – UZ3a, 47, 68, 69/04 – UZ14, 69/04 – UZ43, 69/04 – UZ50, 68/06 – UZ121,140,143, 47/13 – UZ148, 47/13 – UZ90,97,99, 75/16 – UZ70a in 92/21 – UZ62a.</w:t>
      </w:r>
    </w:p>
  </w:footnote>
  <w:footnote w:id="2">
    <w:p w14:paraId="4A3B5506" w14:textId="568C92D6" w:rsidR="009631E8" w:rsidRPr="00BA6779" w:rsidRDefault="009631E8" w:rsidP="001F4606">
      <w:pPr>
        <w:pStyle w:val="Sprotnaopomba-besedilo"/>
        <w:jc w:val="both"/>
        <w:rPr>
          <w:rFonts w:ascii="Arial" w:hAnsi="Arial" w:cs="Arial"/>
          <w:sz w:val="18"/>
          <w:szCs w:val="18"/>
        </w:rPr>
      </w:pPr>
      <w:r w:rsidRPr="00BA6779">
        <w:rPr>
          <w:rStyle w:val="Sprotnaopomba-sklic"/>
          <w:rFonts w:ascii="Arial" w:hAnsi="Arial" w:cs="Arial"/>
          <w:sz w:val="18"/>
          <w:szCs w:val="18"/>
        </w:rPr>
        <w:footnoteRef/>
      </w:r>
      <w:r w:rsidRPr="00BA6779">
        <w:rPr>
          <w:rFonts w:ascii="Arial" w:hAnsi="Arial" w:cs="Arial"/>
          <w:sz w:val="18"/>
          <w:szCs w:val="18"/>
        </w:rPr>
        <w:t xml:space="preserve"> </w:t>
      </w:r>
      <w:r w:rsidRPr="00BA6779">
        <w:rPr>
          <w:rFonts w:ascii="Arial" w:hAnsi="Arial" w:cs="Arial"/>
          <w:sz w:val="18"/>
          <w:szCs w:val="18"/>
        </w:rPr>
        <w:t xml:space="preserve">glej 36.č člen Zakona o kmetijstvu, Uradni list RS, št. 45/08, 57/12, 90/12 –      </w:t>
      </w:r>
      <w:proofErr w:type="spellStart"/>
      <w:r w:rsidRPr="00BA6779">
        <w:rPr>
          <w:rFonts w:ascii="Arial" w:hAnsi="Arial" w:cs="Arial"/>
          <w:sz w:val="18"/>
          <w:szCs w:val="18"/>
        </w:rPr>
        <w:t>ZdZPVHVVR</w:t>
      </w:r>
      <w:proofErr w:type="spellEnd"/>
      <w:r w:rsidRPr="00BA6779">
        <w:rPr>
          <w:rFonts w:ascii="Arial" w:hAnsi="Arial" w:cs="Arial"/>
          <w:sz w:val="18"/>
          <w:szCs w:val="18"/>
        </w:rPr>
        <w:t xml:space="preserve">, 26/14, 32/15, 27/17, 22/18, 86/21 – </w:t>
      </w:r>
      <w:proofErr w:type="spellStart"/>
      <w:r w:rsidRPr="00BA6779">
        <w:rPr>
          <w:rFonts w:ascii="Arial" w:hAnsi="Arial" w:cs="Arial"/>
          <w:sz w:val="18"/>
          <w:szCs w:val="18"/>
        </w:rPr>
        <w:t>odl</w:t>
      </w:r>
      <w:proofErr w:type="spellEnd"/>
      <w:r w:rsidRPr="00BA6779">
        <w:rPr>
          <w:rFonts w:ascii="Arial" w:hAnsi="Arial" w:cs="Arial"/>
          <w:sz w:val="18"/>
          <w:szCs w:val="18"/>
        </w:rPr>
        <w:t>. US, 123/21, 44/22, 130/22 – ZPOmK-2, 18/23 in 78/23</w:t>
      </w:r>
    </w:p>
  </w:footnote>
  <w:footnote w:id="3">
    <w:p w14:paraId="6139A91C" w14:textId="77777777" w:rsidR="009631E8" w:rsidRPr="00BA6779" w:rsidRDefault="009631E8" w:rsidP="001F4606">
      <w:pPr>
        <w:pStyle w:val="Sprotnaopomba-besedilo"/>
        <w:jc w:val="both"/>
        <w:rPr>
          <w:rFonts w:ascii="Arial" w:hAnsi="Arial" w:cs="Arial"/>
          <w:sz w:val="18"/>
          <w:szCs w:val="18"/>
        </w:rPr>
      </w:pPr>
      <w:r w:rsidRPr="00BA6779">
        <w:rPr>
          <w:rStyle w:val="Sprotnaopomba-sklic"/>
          <w:rFonts w:ascii="Arial" w:hAnsi="Arial" w:cs="Arial"/>
          <w:sz w:val="18"/>
          <w:szCs w:val="18"/>
        </w:rPr>
        <w:footnoteRef/>
      </w:r>
      <w:r w:rsidRPr="00BA6779">
        <w:rPr>
          <w:rFonts w:ascii="Arial" w:hAnsi="Arial" w:cs="Arial"/>
          <w:sz w:val="18"/>
          <w:szCs w:val="18"/>
        </w:rPr>
        <w:t xml:space="preserve"> </w:t>
      </w:r>
      <w:r w:rsidRPr="00BA6779">
        <w:rPr>
          <w:rFonts w:ascii="Arial" w:hAnsi="Arial" w:cs="Arial"/>
          <w:sz w:val="18"/>
          <w:szCs w:val="18"/>
        </w:rPr>
        <w:t xml:space="preserve">glej določbe od 38.a do 38.d člena Zakona o uveljavljanju pravic iz javnih sredstev, Uradni list RS, št. 62/10, 40/11, 40/12 – ZUJF, 57/12 – ZPCP-2D, 14/13, 56/13 – ZŠtip-1, 99/13, 14/15 – ZUUJFO, 57/15, 90/15, 38/16 – </w:t>
      </w:r>
      <w:proofErr w:type="spellStart"/>
      <w:r w:rsidRPr="00BA6779">
        <w:rPr>
          <w:rFonts w:ascii="Arial" w:hAnsi="Arial" w:cs="Arial"/>
          <w:sz w:val="18"/>
          <w:szCs w:val="18"/>
        </w:rPr>
        <w:t>odl</w:t>
      </w:r>
      <w:proofErr w:type="spellEnd"/>
      <w:r w:rsidRPr="00BA6779">
        <w:rPr>
          <w:rFonts w:ascii="Arial" w:hAnsi="Arial" w:cs="Arial"/>
          <w:sz w:val="18"/>
          <w:szCs w:val="18"/>
        </w:rPr>
        <w:t xml:space="preserve">. US, 51/16 – </w:t>
      </w:r>
      <w:proofErr w:type="spellStart"/>
      <w:r w:rsidRPr="00BA6779">
        <w:rPr>
          <w:rFonts w:ascii="Arial" w:hAnsi="Arial" w:cs="Arial"/>
          <w:sz w:val="18"/>
          <w:szCs w:val="18"/>
        </w:rPr>
        <w:t>odl</w:t>
      </w:r>
      <w:proofErr w:type="spellEnd"/>
      <w:r w:rsidRPr="00BA6779">
        <w:rPr>
          <w:rFonts w:ascii="Arial" w:hAnsi="Arial" w:cs="Arial"/>
          <w:sz w:val="18"/>
          <w:szCs w:val="18"/>
        </w:rPr>
        <w:t>. US, 88/16, 61/17 – ZUPŠ, 75/17, 77/18, 47/19, 189/20 – ZFRO, 54/22 – ZUPŠ-1, 76/23 – ZŠolPre-1B, 122/23 – ZŠtip-1C, 22/25 – ZZZRO-1 in 40/25 – ZINR</w:t>
      </w:r>
    </w:p>
  </w:footnote>
  <w:footnote w:id="4">
    <w:p w14:paraId="7C198085" w14:textId="2CBDFE71" w:rsidR="009631E8" w:rsidRPr="00BA6779" w:rsidRDefault="009631E8" w:rsidP="001F4606">
      <w:pPr>
        <w:pStyle w:val="Sprotnaopomba-besedilo"/>
        <w:jc w:val="both"/>
        <w:rPr>
          <w:rFonts w:ascii="Arial" w:hAnsi="Arial" w:cs="Arial"/>
          <w:sz w:val="18"/>
          <w:szCs w:val="18"/>
        </w:rPr>
      </w:pPr>
      <w:r w:rsidRPr="00BA6779">
        <w:rPr>
          <w:rStyle w:val="Sprotnaopomba-sklic"/>
          <w:rFonts w:ascii="Arial" w:hAnsi="Arial" w:cs="Arial"/>
          <w:sz w:val="18"/>
          <w:szCs w:val="18"/>
        </w:rPr>
        <w:footnoteRef/>
      </w:r>
      <w:r w:rsidRPr="00BA6779">
        <w:rPr>
          <w:rFonts w:ascii="Arial" w:hAnsi="Arial" w:cs="Arial"/>
          <w:sz w:val="18"/>
          <w:szCs w:val="18"/>
        </w:rPr>
        <w:t xml:space="preserve"> </w:t>
      </w:r>
      <w:r w:rsidRPr="00BA6779">
        <w:rPr>
          <w:rFonts w:ascii="Arial" w:hAnsi="Arial" w:cs="Arial"/>
          <w:sz w:val="18"/>
          <w:szCs w:val="18"/>
        </w:rPr>
        <w:t xml:space="preserve">glej 267. člen Zakona o davčnem postopku, Uradni list RS, št.  13/11 – uradno prečiščeno besedilo, 32/12, 94/12, 101/13 – </w:t>
      </w:r>
      <w:proofErr w:type="spellStart"/>
      <w:r w:rsidRPr="00BA6779">
        <w:rPr>
          <w:rFonts w:ascii="Arial" w:hAnsi="Arial" w:cs="Arial"/>
          <w:sz w:val="18"/>
          <w:szCs w:val="18"/>
        </w:rPr>
        <w:t>ZDavNepr</w:t>
      </w:r>
      <w:proofErr w:type="spellEnd"/>
      <w:r w:rsidRPr="00BA6779">
        <w:rPr>
          <w:rFonts w:ascii="Arial" w:hAnsi="Arial" w:cs="Arial"/>
          <w:sz w:val="18"/>
          <w:szCs w:val="18"/>
        </w:rPr>
        <w:t xml:space="preserve">, 111/13, 22/14 – </w:t>
      </w:r>
      <w:proofErr w:type="spellStart"/>
      <w:r w:rsidRPr="00BA6779">
        <w:rPr>
          <w:rFonts w:ascii="Arial" w:hAnsi="Arial" w:cs="Arial"/>
          <w:sz w:val="18"/>
          <w:szCs w:val="18"/>
        </w:rPr>
        <w:t>odl</w:t>
      </w:r>
      <w:proofErr w:type="spellEnd"/>
      <w:r w:rsidRPr="00BA6779">
        <w:rPr>
          <w:rFonts w:ascii="Arial" w:hAnsi="Arial" w:cs="Arial"/>
          <w:sz w:val="18"/>
          <w:szCs w:val="18"/>
        </w:rPr>
        <w:t xml:space="preserve">. US, 25/14 – ZFU, 40/14 – ZIN-B, 90/14, 91/15, 63/16, 69/17, 13/18 – ZJF-H, 36/19, 66/19, 145/20 – </w:t>
      </w:r>
      <w:proofErr w:type="spellStart"/>
      <w:r w:rsidRPr="00BA6779">
        <w:rPr>
          <w:rFonts w:ascii="Arial" w:hAnsi="Arial" w:cs="Arial"/>
          <w:sz w:val="18"/>
          <w:szCs w:val="18"/>
        </w:rPr>
        <w:t>odl</w:t>
      </w:r>
      <w:proofErr w:type="spellEnd"/>
      <w:r w:rsidRPr="00BA6779">
        <w:rPr>
          <w:rFonts w:ascii="Arial" w:hAnsi="Arial" w:cs="Arial"/>
          <w:sz w:val="18"/>
          <w:szCs w:val="18"/>
        </w:rPr>
        <w:t xml:space="preserve">. US, 203/20 – ZIUPOPDVE, 39/22 – ZFU-A, 52/22 – </w:t>
      </w:r>
      <w:proofErr w:type="spellStart"/>
      <w:r w:rsidRPr="00BA6779">
        <w:rPr>
          <w:rFonts w:ascii="Arial" w:hAnsi="Arial" w:cs="Arial"/>
          <w:sz w:val="18"/>
          <w:szCs w:val="18"/>
        </w:rPr>
        <w:t>odl</w:t>
      </w:r>
      <w:proofErr w:type="spellEnd"/>
      <w:r w:rsidRPr="00BA6779">
        <w:rPr>
          <w:rFonts w:ascii="Arial" w:hAnsi="Arial" w:cs="Arial"/>
          <w:sz w:val="18"/>
          <w:szCs w:val="18"/>
        </w:rPr>
        <w:t xml:space="preserve">. US, 87/22 – </w:t>
      </w:r>
      <w:proofErr w:type="spellStart"/>
      <w:r w:rsidRPr="00BA6779">
        <w:rPr>
          <w:rFonts w:ascii="Arial" w:hAnsi="Arial" w:cs="Arial"/>
          <w:sz w:val="18"/>
          <w:szCs w:val="18"/>
        </w:rPr>
        <w:t>odl</w:t>
      </w:r>
      <w:proofErr w:type="spellEnd"/>
      <w:r w:rsidRPr="00BA6779">
        <w:rPr>
          <w:rFonts w:ascii="Arial" w:hAnsi="Arial" w:cs="Arial"/>
          <w:sz w:val="18"/>
          <w:szCs w:val="18"/>
        </w:rPr>
        <w:t xml:space="preserve">. US, 163/22, 109/23 – </w:t>
      </w:r>
      <w:proofErr w:type="spellStart"/>
      <w:r w:rsidRPr="00BA6779">
        <w:rPr>
          <w:rFonts w:ascii="Arial" w:hAnsi="Arial" w:cs="Arial"/>
          <w:sz w:val="18"/>
          <w:szCs w:val="18"/>
        </w:rPr>
        <w:t>odl</w:t>
      </w:r>
      <w:proofErr w:type="spellEnd"/>
      <w:r w:rsidRPr="00BA6779">
        <w:rPr>
          <w:rFonts w:ascii="Arial" w:hAnsi="Arial" w:cs="Arial"/>
          <w:sz w:val="18"/>
          <w:szCs w:val="18"/>
        </w:rPr>
        <w:t>. US, 131/23 – ZORZFS, 100/24 in 40/25 – ZINR</w:t>
      </w:r>
    </w:p>
  </w:footnote>
  <w:footnote w:id="5">
    <w:p w14:paraId="172929F6" w14:textId="77777777" w:rsidR="00847A71" w:rsidRPr="00BA6779" w:rsidRDefault="00847A71" w:rsidP="001F4606">
      <w:pPr>
        <w:pStyle w:val="Sprotnaopomba-besedilo"/>
        <w:jc w:val="both"/>
        <w:rPr>
          <w:rFonts w:ascii="Arial" w:hAnsi="Arial" w:cs="Arial"/>
          <w:sz w:val="18"/>
          <w:szCs w:val="18"/>
        </w:rPr>
      </w:pPr>
      <w:r w:rsidRPr="00BA6779">
        <w:rPr>
          <w:rStyle w:val="Sprotnaopomba-sklic"/>
          <w:rFonts w:ascii="Arial" w:hAnsi="Arial" w:cs="Arial"/>
          <w:sz w:val="18"/>
          <w:szCs w:val="18"/>
        </w:rPr>
        <w:footnoteRef/>
      </w:r>
      <w:r w:rsidRPr="00BA6779">
        <w:rPr>
          <w:rFonts w:ascii="Arial" w:hAnsi="Arial" w:cs="Arial"/>
          <w:sz w:val="18"/>
          <w:szCs w:val="18"/>
        </w:rPr>
        <w:t xml:space="preserve"> </w:t>
      </w:r>
      <w:r w:rsidRPr="00BA6779">
        <w:rPr>
          <w:rFonts w:ascii="Arial" w:hAnsi="Arial" w:cs="Arial"/>
          <w:sz w:val="18"/>
          <w:szCs w:val="18"/>
        </w:rPr>
        <w:t>Zakon o tujcih, Uradni list RS, št. 46/25 – uradno prečiščeno besedilo</w:t>
      </w:r>
    </w:p>
  </w:footnote>
  <w:footnote w:id="6">
    <w:p w14:paraId="213B8940" w14:textId="77777777" w:rsidR="00847A71" w:rsidRPr="00BA6779" w:rsidRDefault="00847A71" w:rsidP="001F4606">
      <w:pPr>
        <w:pStyle w:val="Sprotnaopomba-besedilo"/>
        <w:jc w:val="both"/>
        <w:rPr>
          <w:rFonts w:ascii="Arial" w:hAnsi="Arial" w:cs="Arial"/>
          <w:sz w:val="18"/>
          <w:szCs w:val="18"/>
        </w:rPr>
      </w:pPr>
      <w:r w:rsidRPr="00BA6779">
        <w:rPr>
          <w:rStyle w:val="Sprotnaopomba-sklic"/>
          <w:rFonts w:ascii="Arial" w:hAnsi="Arial" w:cs="Arial"/>
          <w:sz w:val="18"/>
          <w:szCs w:val="18"/>
        </w:rPr>
        <w:footnoteRef/>
      </w:r>
      <w:r w:rsidRPr="00BA6779">
        <w:rPr>
          <w:rFonts w:ascii="Arial" w:hAnsi="Arial" w:cs="Arial"/>
          <w:sz w:val="18"/>
          <w:szCs w:val="18"/>
        </w:rPr>
        <w:t xml:space="preserve"> </w:t>
      </w:r>
      <w:r w:rsidRPr="00BA6779">
        <w:rPr>
          <w:rFonts w:ascii="Arial" w:hAnsi="Arial" w:cs="Arial"/>
          <w:sz w:val="18"/>
          <w:szCs w:val="18"/>
        </w:rPr>
        <w:t xml:space="preserve">Zakon o prekrških, Uradni list RS, št. 29/11 – uradno prečiščeno besedilo, 21/13, 111/13, 74/14 – </w:t>
      </w:r>
      <w:proofErr w:type="spellStart"/>
      <w:r w:rsidRPr="00BA6779">
        <w:rPr>
          <w:rFonts w:ascii="Arial" w:hAnsi="Arial" w:cs="Arial"/>
          <w:sz w:val="18"/>
          <w:szCs w:val="18"/>
        </w:rPr>
        <w:t>odl</w:t>
      </w:r>
      <w:proofErr w:type="spellEnd"/>
      <w:r w:rsidRPr="00BA6779">
        <w:rPr>
          <w:rFonts w:ascii="Arial" w:hAnsi="Arial" w:cs="Arial"/>
          <w:sz w:val="18"/>
          <w:szCs w:val="18"/>
        </w:rPr>
        <w:t xml:space="preserve">. US, 92/14 – </w:t>
      </w:r>
      <w:proofErr w:type="spellStart"/>
      <w:r w:rsidRPr="00BA6779">
        <w:rPr>
          <w:rFonts w:ascii="Arial" w:hAnsi="Arial" w:cs="Arial"/>
          <w:sz w:val="18"/>
          <w:szCs w:val="18"/>
        </w:rPr>
        <w:t>odl</w:t>
      </w:r>
      <w:proofErr w:type="spellEnd"/>
      <w:r w:rsidRPr="00BA6779">
        <w:rPr>
          <w:rFonts w:ascii="Arial" w:hAnsi="Arial" w:cs="Arial"/>
          <w:sz w:val="18"/>
          <w:szCs w:val="18"/>
        </w:rPr>
        <w:t xml:space="preserve">. US, 32/16, 15/17 – </w:t>
      </w:r>
      <w:proofErr w:type="spellStart"/>
      <w:r w:rsidRPr="00BA6779">
        <w:rPr>
          <w:rFonts w:ascii="Arial" w:hAnsi="Arial" w:cs="Arial"/>
          <w:sz w:val="18"/>
          <w:szCs w:val="18"/>
        </w:rPr>
        <w:t>odl</w:t>
      </w:r>
      <w:proofErr w:type="spellEnd"/>
      <w:r w:rsidRPr="00BA6779">
        <w:rPr>
          <w:rFonts w:ascii="Arial" w:hAnsi="Arial" w:cs="Arial"/>
          <w:sz w:val="18"/>
          <w:szCs w:val="18"/>
        </w:rPr>
        <w:t xml:space="preserve">. US, 73/19 – </w:t>
      </w:r>
      <w:proofErr w:type="spellStart"/>
      <w:r w:rsidRPr="00BA6779">
        <w:rPr>
          <w:rFonts w:ascii="Arial" w:hAnsi="Arial" w:cs="Arial"/>
          <w:sz w:val="18"/>
          <w:szCs w:val="18"/>
        </w:rPr>
        <w:t>odl</w:t>
      </w:r>
      <w:proofErr w:type="spellEnd"/>
      <w:r w:rsidRPr="00BA6779">
        <w:rPr>
          <w:rFonts w:ascii="Arial" w:hAnsi="Arial" w:cs="Arial"/>
          <w:sz w:val="18"/>
          <w:szCs w:val="18"/>
        </w:rPr>
        <w:t xml:space="preserve">. US, 175/20 – ZIUOPDVE, 5/21 – </w:t>
      </w:r>
      <w:proofErr w:type="spellStart"/>
      <w:r w:rsidRPr="00BA6779">
        <w:rPr>
          <w:rFonts w:ascii="Arial" w:hAnsi="Arial" w:cs="Arial"/>
          <w:sz w:val="18"/>
          <w:szCs w:val="18"/>
        </w:rPr>
        <w:t>odl</w:t>
      </w:r>
      <w:proofErr w:type="spellEnd"/>
      <w:r w:rsidRPr="00BA6779">
        <w:rPr>
          <w:rFonts w:ascii="Arial" w:hAnsi="Arial" w:cs="Arial"/>
          <w:sz w:val="18"/>
          <w:szCs w:val="18"/>
        </w:rPr>
        <w:t>. US in 38/24</w:t>
      </w:r>
    </w:p>
  </w:footnote>
  <w:footnote w:id="7">
    <w:p w14:paraId="373173ED" w14:textId="77777777" w:rsidR="004742E3" w:rsidRPr="004742E3" w:rsidRDefault="004742E3" w:rsidP="004742E3">
      <w:pPr>
        <w:pStyle w:val="Sprotnaopomba-besedilo"/>
        <w:rPr>
          <w:rFonts w:ascii="Arial" w:hAnsi="Arial" w:cs="Arial"/>
          <w:sz w:val="18"/>
          <w:szCs w:val="18"/>
        </w:rPr>
      </w:pPr>
      <w:r w:rsidRPr="004742E3">
        <w:rPr>
          <w:rStyle w:val="Sprotnaopomba-sklic"/>
        </w:rPr>
        <w:footnoteRef/>
      </w:r>
      <w:r w:rsidRPr="004742E3">
        <w:t xml:space="preserve"> </w:t>
      </w:r>
      <w:r w:rsidRPr="004742E3">
        <w:rPr>
          <w:rFonts w:ascii="Arial" w:hAnsi="Arial" w:cs="Arial"/>
          <w:sz w:val="18"/>
          <w:szCs w:val="18"/>
        </w:rPr>
        <w:t xml:space="preserve">Glej tretji odstavek 368. člena, ki določa: </w:t>
      </w:r>
    </w:p>
    <w:p w14:paraId="7F3916D9" w14:textId="77777777" w:rsidR="004742E3" w:rsidRPr="004742E3" w:rsidRDefault="004742E3" w:rsidP="004742E3">
      <w:pPr>
        <w:pStyle w:val="Sprotnaopomba-besedilo"/>
      </w:pPr>
      <w:r w:rsidRPr="004742E3">
        <w:rPr>
          <w:rFonts w:ascii="Arial" w:hAnsi="Arial" w:cs="Arial"/>
          <w:sz w:val="18"/>
          <w:szCs w:val="18"/>
        </w:rPr>
        <w:t>»(3) Če nihče od upravičencev do pritožbe (367. člen) pritožbe ne napove, ni potrebno, da bi pisno izdelana sodba vsebovala obrazložitev.«</w:t>
      </w:r>
    </w:p>
  </w:footnote>
  <w:footnote w:id="8">
    <w:p w14:paraId="4C2E752C" w14:textId="77777777" w:rsidR="004742E3" w:rsidRPr="004742E3" w:rsidRDefault="004742E3" w:rsidP="004742E3">
      <w:pPr>
        <w:pStyle w:val="Sprotnaopomba-besedilo"/>
        <w:rPr>
          <w:rFonts w:ascii="Arial" w:hAnsi="Arial" w:cs="Arial"/>
          <w:sz w:val="18"/>
          <w:szCs w:val="18"/>
        </w:rPr>
      </w:pPr>
      <w:r w:rsidRPr="004742E3">
        <w:rPr>
          <w:rStyle w:val="Sprotnaopomba-sklic"/>
        </w:rPr>
        <w:footnoteRef/>
      </w:r>
      <w:r w:rsidRPr="004742E3">
        <w:t xml:space="preserve"> </w:t>
      </w:r>
      <w:r w:rsidRPr="004742E3">
        <w:rPr>
          <w:rFonts w:ascii="Arial" w:hAnsi="Arial" w:cs="Arial"/>
          <w:sz w:val="18"/>
          <w:szCs w:val="18"/>
        </w:rPr>
        <w:t xml:space="preserve">Zakon o pravdnem postopku v petem in šestem odstavku 323. člena določa: </w:t>
      </w:r>
    </w:p>
    <w:p w14:paraId="2D51FA05" w14:textId="77777777" w:rsidR="004742E3" w:rsidRPr="004742E3" w:rsidRDefault="004742E3" w:rsidP="004742E3">
      <w:pPr>
        <w:pStyle w:val="Sprotnaopomba-besedilo"/>
        <w:rPr>
          <w:rFonts w:ascii="Arial" w:hAnsi="Arial" w:cs="Arial"/>
          <w:sz w:val="18"/>
          <w:szCs w:val="18"/>
        </w:rPr>
      </w:pPr>
      <w:r w:rsidRPr="004742E3">
        <w:rPr>
          <w:rFonts w:ascii="Arial" w:hAnsi="Arial" w:cs="Arial"/>
          <w:sz w:val="18"/>
          <w:szCs w:val="18"/>
        </w:rPr>
        <w:t>»(5) Če je sodišče izdalo in razglasilo sodbo skladno z drugim odstavkom 321. člena tega zakona, lahko v osmih dneh od razglasitve izdela pisno sodbo s skrajšano obrazložitvijo.</w:t>
      </w:r>
    </w:p>
    <w:p w14:paraId="3CF14DE9" w14:textId="77777777" w:rsidR="004742E3" w:rsidRPr="004742E3" w:rsidRDefault="004742E3" w:rsidP="004742E3">
      <w:pPr>
        <w:pStyle w:val="Sprotnaopomba-besedilo"/>
        <w:rPr>
          <w:rFonts w:ascii="Arial" w:hAnsi="Arial" w:cs="Arial"/>
          <w:sz w:val="18"/>
          <w:szCs w:val="18"/>
        </w:rPr>
      </w:pPr>
      <w:r w:rsidRPr="004742E3">
        <w:rPr>
          <w:rFonts w:ascii="Arial" w:hAnsi="Arial" w:cs="Arial"/>
          <w:sz w:val="18"/>
          <w:szCs w:val="18"/>
        </w:rPr>
        <w:t>(6) Sodba s skrajšano obrazložitvijo vsebuje samo navedbo zahtevkov in dejstev, na katere stranke opirajo zahtevke, ter pravni pouk o pritožbi. V pravnem pouku o pritožbi sodišče pouči stranko o dolžnosti predhodne napovedi pritožbe, roku za napoved pritožbe, pri katerem sodišču se napoved pritožbe vloži in jo opozori na posledice neplačila sodne takse za napoved pritožbe. Prav tako jo pouči, da bo sodba z obrazložitvijo po četrtem odstavku 324. člena tega zakona izdelana, če bo napovedala pritožbo, in da bo lahko vložila pritožbo zoper to sodbo.«</w:t>
      </w:r>
    </w:p>
  </w:footnote>
  <w:footnote w:id="9">
    <w:p w14:paraId="1046B10C" w14:textId="77777777" w:rsidR="004742E3" w:rsidRPr="004742E3" w:rsidRDefault="004742E3" w:rsidP="004742E3">
      <w:pPr>
        <w:pStyle w:val="Sprotnaopomba-besedilo"/>
        <w:rPr>
          <w:rFonts w:ascii="Arial" w:hAnsi="Arial" w:cs="Arial"/>
          <w:sz w:val="18"/>
          <w:szCs w:val="18"/>
        </w:rPr>
      </w:pPr>
      <w:r w:rsidRPr="004742E3">
        <w:rPr>
          <w:rStyle w:val="Sprotnaopomba-sklic"/>
        </w:rPr>
        <w:footnoteRef/>
      </w:r>
      <w:r w:rsidRPr="004742E3">
        <w:rPr>
          <w:rFonts w:ascii="Arial" w:hAnsi="Arial" w:cs="Arial"/>
          <w:sz w:val="18"/>
          <w:szCs w:val="18"/>
        </w:rPr>
        <w:t xml:space="preserve"> </w:t>
      </w:r>
      <w:r w:rsidRPr="004742E3">
        <w:rPr>
          <w:rFonts w:ascii="Arial" w:hAnsi="Arial" w:cs="Arial"/>
          <w:sz w:val="18"/>
          <w:szCs w:val="18"/>
        </w:rPr>
        <w:t>Zakon o pravdnem postopku v 457. člena določa:</w:t>
      </w:r>
    </w:p>
    <w:p w14:paraId="0302E531" w14:textId="77777777" w:rsidR="004742E3" w:rsidRPr="004742E3" w:rsidRDefault="004742E3" w:rsidP="004742E3">
      <w:pPr>
        <w:pStyle w:val="Sprotnaopomba-besedilo"/>
        <w:rPr>
          <w:rFonts w:ascii="Arial" w:hAnsi="Arial" w:cs="Arial"/>
          <w:sz w:val="18"/>
          <w:szCs w:val="18"/>
        </w:rPr>
      </w:pPr>
      <w:r w:rsidRPr="004742E3">
        <w:rPr>
          <w:rFonts w:ascii="Arial" w:hAnsi="Arial" w:cs="Arial"/>
          <w:sz w:val="18"/>
          <w:szCs w:val="18"/>
        </w:rPr>
        <w:t>»(1) Sodba v postopku v sporih majhne vrednosti se razglasi takoj po koncu glavne obravnave.</w:t>
      </w:r>
    </w:p>
    <w:p w14:paraId="211F3563" w14:textId="77777777" w:rsidR="004742E3" w:rsidRPr="004742E3" w:rsidRDefault="004742E3" w:rsidP="004742E3">
      <w:pPr>
        <w:pStyle w:val="Sprotnaopomba-besedilo"/>
        <w:rPr>
          <w:rFonts w:ascii="Arial" w:hAnsi="Arial" w:cs="Arial"/>
          <w:sz w:val="18"/>
          <w:szCs w:val="18"/>
        </w:rPr>
      </w:pPr>
      <w:r w:rsidRPr="004742E3">
        <w:rPr>
          <w:rFonts w:ascii="Arial" w:hAnsi="Arial" w:cs="Arial"/>
          <w:sz w:val="18"/>
          <w:szCs w:val="18"/>
        </w:rPr>
        <w:t>(2) Ob razglasitvi sodbe mora sodišče poučiti navzoče stranke, pod katerimi pogoji se lahko pritožijo.</w:t>
      </w:r>
    </w:p>
    <w:p w14:paraId="454FCD5D" w14:textId="77777777" w:rsidR="004742E3" w:rsidRPr="004742E3" w:rsidRDefault="004742E3" w:rsidP="004742E3">
      <w:pPr>
        <w:pStyle w:val="Sprotnaopomba-besedilo"/>
        <w:rPr>
          <w:rFonts w:ascii="Arial" w:hAnsi="Arial" w:cs="Arial"/>
          <w:sz w:val="18"/>
          <w:szCs w:val="18"/>
        </w:rPr>
      </w:pPr>
      <w:r w:rsidRPr="004742E3">
        <w:rPr>
          <w:rFonts w:ascii="Arial" w:hAnsi="Arial" w:cs="Arial"/>
          <w:sz w:val="18"/>
          <w:szCs w:val="18"/>
        </w:rPr>
        <w:t>(3) Sodišče lahko pisno sodbo izdela v skladu s 324. členom tega zakona ali v skladu s šestim odstavkom 323. člena tega zakona.«</w:t>
      </w:r>
    </w:p>
    <w:p w14:paraId="218654AF" w14:textId="77777777" w:rsidR="004742E3" w:rsidRPr="007B050B" w:rsidRDefault="004742E3" w:rsidP="004742E3">
      <w:pPr>
        <w:pStyle w:val="Sprotnaopomba-besedilo"/>
        <w:rPr>
          <w:rFonts w:ascii="Arial" w:hAnsi="Arial" w:cs="Arial"/>
          <w:sz w:val="18"/>
          <w:szCs w:val="18"/>
        </w:rPr>
      </w:pPr>
    </w:p>
  </w:footnote>
  <w:footnote w:id="10">
    <w:p w14:paraId="7C6400FA" w14:textId="77777777" w:rsidR="00545FC0" w:rsidRPr="00BA6779" w:rsidRDefault="00545FC0" w:rsidP="001F4606">
      <w:pPr>
        <w:pStyle w:val="Sprotnaopomba-besedilo"/>
        <w:jc w:val="both"/>
        <w:rPr>
          <w:rFonts w:ascii="Arial" w:hAnsi="Arial" w:cs="Arial"/>
          <w:sz w:val="18"/>
          <w:szCs w:val="18"/>
        </w:rPr>
      </w:pPr>
      <w:r w:rsidRPr="00BA6779">
        <w:rPr>
          <w:rStyle w:val="Sprotnaopomba-sklic"/>
          <w:rFonts w:ascii="Arial" w:hAnsi="Arial" w:cs="Arial"/>
          <w:sz w:val="18"/>
          <w:szCs w:val="18"/>
        </w:rPr>
        <w:footnoteRef/>
      </w:r>
      <w:r w:rsidRPr="00BA6779">
        <w:rPr>
          <w:rFonts w:ascii="Arial" w:hAnsi="Arial" w:cs="Arial"/>
          <w:sz w:val="18"/>
          <w:szCs w:val="18"/>
        </w:rPr>
        <w:t xml:space="preserve"> </w:t>
      </w:r>
      <w:r w:rsidRPr="00BA6779">
        <w:rPr>
          <w:rFonts w:ascii="Arial" w:hAnsi="Arial" w:cs="Arial"/>
          <w:sz w:val="18"/>
          <w:szCs w:val="18"/>
        </w:rPr>
        <w:t>Odločba Ustavnega sodišča RS, opr. št. Up-950/21 z dne 14. 3. 2024, 22. in 23. točka obrazložitve</w:t>
      </w:r>
    </w:p>
  </w:footnote>
  <w:footnote w:id="11">
    <w:p w14:paraId="7A438B71" w14:textId="505EBC96" w:rsidR="00BA6779" w:rsidRPr="00BA6779" w:rsidRDefault="00BA6779" w:rsidP="00BA6779">
      <w:pPr>
        <w:pStyle w:val="Sprotnaopomba-besedilo"/>
        <w:jc w:val="both"/>
        <w:rPr>
          <w:sz w:val="18"/>
          <w:szCs w:val="18"/>
        </w:rPr>
      </w:pPr>
      <w:r w:rsidRPr="00BA6779">
        <w:rPr>
          <w:rStyle w:val="Sprotnaopomba-sklic"/>
          <w:rFonts w:ascii="Arial" w:hAnsi="Arial" w:cs="Arial"/>
          <w:color w:val="000000"/>
          <w:sz w:val="18"/>
          <w:szCs w:val="18"/>
        </w:rPr>
        <w:footnoteRef/>
      </w:r>
      <w:r w:rsidRPr="00BA6779">
        <w:rPr>
          <w:rFonts w:ascii="Arial" w:hAnsi="Arial" w:cs="Arial"/>
          <w:color w:val="000000"/>
          <w:sz w:val="18"/>
          <w:szCs w:val="18"/>
        </w:rPr>
        <w:t xml:space="preserve"> </w:t>
      </w:r>
      <w:r w:rsidR="009256F2" w:rsidRPr="009256F2">
        <w:rPr>
          <w:rFonts w:ascii="Arial" w:hAnsi="Arial" w:cs="Arial"/>
          <w:color w:val="000000"/>
          <w:sz w:val="18"/>
          <w:szCs w:val="18"/>
        </w:rPr>
        <w:t xml:space="preserve">Zakon o kazenskem postopku, Uradni list RS, št. 176/21 – uradno prečiščeno besedilo, 96/22 – </w:t>
      </w:r>
      <w:proofErr w:type="spellStart"/>
      <w:r w:rsidR="009256F2" w:rsidRPr="009256F2">
        <w:rPr>
          <w:rFonts w:ascii="Arial" w:hAnsi="Arial" w:cs="Arial"/>
          <w:color w:val="000000"/>
          <w:sz w:val="18"/>
          <w:szCs w:val="18"/>
        </w:rPr>
        <w:t>odl</w:t>
      </w:r>
      <w:proofErr w:type="spellEnd"/>
      <w:r w:rsidR="009256F2" w:rsidRPr="009256F2">
        <w:rPr>
          <w:rFonts w:ascii="Arial" w:hAnsi="Arial" w:cs="Arial"/>
          <w:color w:val="000000"/>
          <w:sz w:val="18"/>
          <w:szCs w:val="18"/>
        </w:rPr>
        <w:t xml:space="preserve">. US, 2/23 – </w:t>
      </w:r>
      <w:proofErr w:type="spellStart"/>
      <w:r w:rsidR="009256F2" w:rsidRPr="009256F2">
        <w:rPr>
          <w:rFonts w:ascii="Arial" w:hAnsi="Arial" w:cs="Arial"/>
          <w:color w:val="000000"/>
          <w:sz w:val="18"/>
          <w:szCs w:val="18"/>
        </w:rPr>
        <w:t>odl</w:t>
      </w:r>
      <w:proofErr w:type="spellEnd"/>
      <w:r w:rsidR="009256F2" w:rsidRPr="009256F2">
        <w:rPr>
          <w:rFonts w:ascii="Arial" w:hAnsi="Arial" w:cs="Arial"/>
          <w:color w:val="000000"/>
          <w:sz w:val="18"/>
          <w:szCs w:val="18"/>
        </w:rPr>
        <w:t xml:space="preserve">. US, 89/23 – </w:t>
      </w:r>
      <w:proofErr w:type="spellStart"/>
      <w:r w:rsidR="009256F2" w:rsidRPr="009256F2">
        <w:rPr>
          <w:rFonts w:ascii="Arial" w:hAnsi="Arial" w:cs="Arial"/>
          <w:color w:val="000000"/>
          <w:sz w:val="18"/>
          <w:szCs w:val="18"/>
        </w:rPr>
        <w:t>odl</w:t>
      </w:r>
      <w:proofErr w:type="spellEnd"/>
      <w:r w:rsidR="009256F2" w:rsidRPr="009256F2">
        <w:rPr>
          <w:rFonts w:ascii="Arial" w:hAnsi="Arial" w:cs="Arial"/>
          <w:color w:val="000000"/>
          <w:sz w:val="18"/>
          <w:szCs w:val="18"/>
        </w:rPr>
        <w:t>. US in 53/24.</w:t>
      </w:r>
    </w:p>
  </w:footnote>
  <w:footnote w:id="12">
    <w:p w14:paraId="23866FE8" w14:textId="77777777" w:rsidR="00545FC0" w:rsidRPr="00BA6779" w:rsidRDefault="00545FC0" w:rsidP="001F4606">
      <w:pPr>
        <w:pStyle w:val="Sprotnaopomba-besedilo"/>
        <w:jc w:val="both"/>
        <w:rPr>
          <w:rFonts w:ascii="Arial" w:hAnsi="Arial" w:cs="Arial"/>
          <w:sz w:val="18"/>
          <w:szCs w:val="18"/>
        </w:rPr>
      </w:pPr>
      <w:r w:rsidRPr="00BA6779">
        <w:rPr>
          <w:rStyle w:val="Sprotnaopomba-sklic"/>
          <w:rFonts w:ascii="Arial" w:hAnsi="Arial" w:cs="Arial"/>
          <w:sz w:val="18"/>
          <w:szCs w:val="18"/>
        </w:rPr>
        <w:footnoteRef/>
      </w:r>
      <w:r w:rsidRPr="00BA6779">
        <w:rPr>
          <w:rFonts w:ascii="Arial" w:hAnsi="Arial" w:cs="Arial"/>
          <w:sz w:val="18"/>
          <w:szCs w:val="18"/>
        </w:rPr>
        <w:t xml:space="preserve"> </w:t>
      </w:r>
      <w:r w:rsidRPr="00BA6779">
        <w:rPr>
          <w:rFonts w:ascii="Arial" w:hAnsi="Arial" w:cs="Arial"/>
          <w:sz w:val="18"/>
          <w:szCs w:val="18"/>
        </w:rPr>
        <w:t xml:space="preserve">Takšen primer je določen v Zakonu o pravdnem postopku, ki v 141. členu določi: Če vročitev po 140. členu tega zakona ni možna, se vročitev fizični osebi opravi tako, da vročevalec pisanje pusti v hišnem ali izpostavljenem predalčniku na naslovu stanovanja. </w:t>
      </w:r>
      <w:r w:rsidRPr="00BA6779">
        <w:rPr>
          <w:rFonts w:ascii="Arial" w:hAnsi="Arial" w:cs="Arial"/>
          <w:b/>
          <w:bCs/>
          <w:sz w:val="18"/>
          <w:szCs w:val="18"/>
        </w:rPr>
        <w:t>Šteje se, da je bila vročitev opravljena na dan, ko je bilo pisanje puščeno v predalčniku, na kar je treba naslovnika na pisanju posebej opozoriti</w:t>
      </w:r>
      <w:r w:rsidRPr="00BA6779">
        <w:rPr>
          <w:rFonts w:ascii="Arial" w:hAnsi="Arial" w:cs="Arial"/>
          <w:sz w:val="18"/>
          <w:szCs w:val="18"/>
        </w:rPr>
        <w:t xml:space="preserve">. Če naslovnik nima predalčnika ali je ta neuporaben, se pisanje izroči sodišču, ki je vročitev odredilo, če gre za vročitev po pošti, pa pošti v kraju njegovega stanovanja, na vratih stanovanja pa pusti obvestilo o vročitvi, v katerem je navedeno, kje je pisanje. </w:t>
      </w:r>
      <w:r w:rsidRPr="00BA6779">
        <w:rPr>
          <w:rFonts w:ascii="Arial" w:hAnsi="Arial" w:cs="Arial"/>
          <w:b/>
          <w:bCs/>
          <w:sz w:val="18"/>
          <w:szCs w:val="18"/>
        </w:rPr>
        <w:t>Šteje se, da je bila vročitev opravljena na dan, ko je bilo obvestilo o vročitvi pritrjeno na vratih</w:t>
      </w:r>
      <w:r w:rsidRPr="00BA6779">
        <w:rPr>
          <w:rFonts w:ascii="Arial" w:hAnsi="Arial" w:cs="Arial"/>
          <w:sz w:val="18"/>
          <w:szCs w:val="18"/>
        </w:rPr>
        <w:t>, na kar je treba naslovnika na obvestilu o vročitvi posebej opozoriti.</w:t>
      </w:r>
    </w:p>
  </w:footnote>
  <w:footnote w:id="13">
    <w:p w14:paraId="7FA022F8" w14:textId="5D75B22A" w:rsidR="00545FC0" w:rsidRPr="00BA6779" w:rsidRDefault="00545FC0" w:rsidP="001F4606">
      <w:pPr>
        <w:pStyle w:val="Sprotnaopomba-besedilo"/>
        <w:jc w:val="both"/>
        <w:rPr>
          <w:rFonts w:ascii="Arial" w:hAnsi="Arial" w:cs="Arial"/>
          <w:sz w:val="18"/>
          <w:szCs w:val="18"/>
        </w:rPr>
      </w:pPr>
      <w:r w:rsidRPr="00BA6779">
        <w:rPr>
          <w:rStyle w:val="Sprotnaopomba-sklic"/>
          <w:rFonts w:ascii="Arial" w:hAnsi="Arial" w:cs="Arial"/>
          <w:sz w:val="18"/>
          <w:szCs w:val="18"/>
        </w:rPr>
        <w:footnoteRef/>
      </w:r>
      <w:r w:rsidRPr="00BA6779">
        <w:rPr>
          <w:rFonts w:ascii="Arial" w:hAnsi="Arial" w:cs="Arial"/>
          <w:sz w:val="18"/>
          <w:szCs w:val="18"/>
        </w:rPr>
        <w:t xml:space="preserve"> </w:t>
      </w:r>
      <w:proofErr w:type="spellStart"/>
      <w:r w:rsidRPr="00BA6779">
        <w:rPr>
          <w:rFonts w:ascii="Arial" w:hAnsi="Arial" w:cs="Arial"/>
          <w:sz w:val="18"/>
          <w:szCs w:val="18"/>
        </w:rPr>
        <w:t>Verwaltungszustellungsgesetz</w:t>
      </w:r>
      <w:proofErr w:type="spellEnd"/>
      <w:r w:rsidRPr="00BA6779">
        <w:rPr>
          <w:rFonts w:ascii="Arial" w:hAnsi="Arial" w:cs="Arial"/>
          <w:sz w:val="18"/>
          <w:szCs w:val="18"/>
        </w:rPr>
        <w:t xml:space="preserve">, 4. člen, drugi odstavek: »Za dokaz dostave zadostuje povratnica. Sicer se dokument šteje za dostavljenega četrti dan po oddaji na pošti, razen če ni bil dostavljen ali je bil dostavljen pozneje. V primeru dvoma mora organ dokazati prejem in čas prejema. Dan oddaje pošti se zabeleži v dokumentaciji. </w:t>
      </w:r>
    </w:p>
  </w:footnote>
  <w:footnote w:id="14">
    <w:p w14:paraId="040D2FA6" w14:textId="77777777" w:rsidR="00847A71" w:rsidRPr="00BA6779" w:rsidRDefault="00847A71" w:rsidP="001F4606">
      <w:pPr>
        <w:pStyle w:val="Sprotnaopomba-besedilo"/>
        <w:jc w:val="both"/>
        <w:rPr>
          <w:rFonts w:ascii="Arial" w:hAnsi="Arial" w:cs="Arial"/>
          <w:sz w:val="18"/>
          <w:szCs w:val="18"/>
        </w:rPr>
      </w:pPr>
      <w:r w:rsidRPr="00BA6779">
        <w:rPr>
          <w:rStyle w:val="Sprotnaopomba-sklic"/>
          <w:rFonts w:ascii="Arial" w:hAnsi="Arial" w:cs="Arial"/>
          <w:sz w:val="18"/>
          <w:szCs w:val="18"/>
        </w:rPr>
        <w:footnoteRef/>
      </w:r>
      <w:r w:rsidRPr="00BA6779">
        <w:rPr>
          <w:rFonts w:ascii="Arial" w:hAnsi="Arial" w:cs="Arial"/>
          <w:sz w:val="18"/>
          <w:szCs w:val="18"/>
        </w:rPr>
        <w:t xml:space="preserve"> </w:t>
      </w:r>
      <w:r w:rsidRPr="00BA6779">
        <w:rPr>
          <w:rFonts w:ascii="Arial" w:hAnsi="Arial" w:cs="Arial"/>
          <w:sz w:val="18"/>
          <w:szCs w:val="18"/>
        </w:rPr>
        <w:t xml:space="preserve">Zakon o pravdnem postopku, Uradni list RS, št. 73/07 – uradno prečiščeno besedilo, 45/08 – </w:t>
      </w:r>
      <w:proofErr w:type="spellStart"/>
      <w:r w:rsidRPr="00BA6779">
        <w:rPr>
          <w:rFonts w:ascii="Arial" w:hAnsi="Arial" w:cs="Arial"/>
          <w:sz w:val="18"/>
          <w:szCs w:val="18"/>
        </w:rPr>
        <w:t>ZArbit</w:t>
      </w:r>
      <w:proofErr w:type="spellEnd"/>
      <w:r w:rsidRPr="00BA6779">
        <w:rPr>
          <w:rFonts w:ascii="Arial" w:hAnsi="Arial" w:cs="Arial"/>
          <w:sz w:val="18"/>
          <w:szCs w:val="18"/>
        </w:rPr>
        <w:t xml:space="preserve">, 45/08, 111/08 – </w:t>
      </w:r>
      <w:proofErr w:type="spellStart"/>
      <w:r w:rsidRPr="00BA6779">
        <w:rPr>
          <w:rFonts w:ascii="Arial" w:hAnsi="Arial" w:cs="Arial"/>
          <w:sz w:val="18"/>
          <w:szCs w:val="18"/>
        </w:rPr>
        <w:t>odl</w:t>
      </w:r>
      <w:proofErr w:type="spellEnd"/>
      <w:r w:rsidRPr="00BA6779">
        <w:rPr>
          <w:rFonts w:ascii="Arial" w:hAnsi="Arial" w:cs="Arial"/>
          <w:sz w:val="18"/>
          <w:szCs w:val="18"/>
        </w:rPr>
        <w:t xml:space="preserve">. US, 57/09 – </w:t>
      </w:r>
      <w:proofErr w:type="spellStart"/>
      <w:r w:rsidRPr="00BA6779">
        <w:rPr>
          <w:rFonts w:ascii="Arial" w:hAnsi="Arial" w:cs="Arial"/>
          <w:sz w:val="18"/>
          <w:szCs w:val="18"/>
        </w:rPr>
        <w:t>odl</w:t>
      </w:r>
      <w:proofErr w:type="spellEnd"/>
      <w:r w:rsidRPr="00BA6779">
        <w:rPr>
          <w:rFonts w:ascii="Arial" w:hAnsi="Arial" w:cs="Arial"/>
          <w:sz w:val="18"/>
          <w:szCs w:val="18"/>
        </w:rPr>
        <w:t xml:space="preserve">. US, 12/10 – </w:t>
      </w:r>
      <w:proofErr w:type="spellStart"/>
      <w:r w:rsidRPr="00BA6779">
        <w:rPr>
          <w:rFonts w:ascii="Arial" w:hAnsi="Arial" w:cs="Arial"/>
          <w:sz w:val="18"/>
          <w:szCs w:val="18"/>
        </w:rPr>
        <w:t>odl</w:t>
      </w:r>
      <w:proofErr w:type="spellEnd"/>
      <w:r w:rsidRPr="00BA6779">
        <w:rPr>
          <w:rFonts w:ascii="Arial" w:hAnsi="Arial" w:cs="Arial"/>
          <w:sz w:val="18"/>
          <w:szCs w:val="18"/>
        </w:rPr>
        <w:t xml:space="preserve">. US, 50/10 – </w:t>
      </w:r>
      <w:proofErr w:type="spellStart"/>
      <w:r w:rsidRPr="00BA6779">
        <w:rPr>
          <w:rFonts w:ascii="Arial" w:hAnsi="Arial" w:cs="Arial"/>
          <w:sz w:val="18"/>
          <w:szCs w:val="18"/>
        </w:rPr>
        <w:t>odl</w:t>
      </w:r>
      <w:proofErr w:type="spellEnd"/>
      <w:r w:rsidRPr="00BA6779">
        <w:rPr>
          <w:rFonts w:ascii="Arial" w:hAnsi="Arial" w:cs="Arial"/>
          <w:sz w:val="18"/>
          <w:szCs w:val="18"/>
        </w:rPr>
        <w:t xml:space="preserve">. US, 107/10 – </w:t>
      </w:r>
      <w:proofErr w:type="spellStart"/>
      <w:r w:rsidRPr="00BA6779">
        <w:rPr>
          <w:rFonts w:ascii="Arial" w:hAnsi="Arial" w:cs="Arial"/>
          <w:sz w:val="18"/>
          <w:szCs w:val="18"/>
        </w:rPr>
        <w:t>odl</w:t>
      </w:r>
      <w:proofErr w:type="spellEnd"/>
      <w:r w:rsidRPr="00BA6779">
        <w:rPr>
          <w:rFonts w:ascii="Arial" w:hAnsi="Arial" w:cs="Arial"/>
          <w:sz w:val="18"/>
          <w:szCs w:val="18"/>
        </w:rPr>
        <w:t xml:space="preserve">. US, 75/12 – </w:t>
      </w:r>
      <w:proofErr w:type="spellStart"/>
      <w:r w:rsidRPr="00BA6779">
        <w:rPr>
          <w:rFonts w:ascii="Arial" w:hAnsi="Arial" w:cs="Arial"/>
          <w:sz w:val="18"/>
          <w:szCs w:val="18"/>
        </w:rPr>
        <w:t>odl</w:t>
      </w:r>
      <w:proofErr w:type="spellEnd"/>
      <w:r w:rsidRPr="00BA6779">
        <w:rPr>
          <w:rFonts w:ascii="Arial" w:hAnsi="Arial" w:cs="Arial"/>
          <w:sz w:val="18"/>
          <w:szCs w:val="18"/>
        </w:rPr>
        <w:t xml:space="preserve">. US, 40/13 – </w:t>
      </w:r>
      <w:proofErr w:type="spellStart"/>
      <w:r w:rsidRPr="00BA6779">
        <w:rPr>
          <w:rFonts w:ascii="Arial" w:hAnsi="Arial" w:cs="Arial"/>
          <w:sz w:val="18"/>
          <w:szCs w:val="18"/>
        </w:rPr>
        <w:t>odl</w:t>
      </w:r>
      <w:proofErr w:type="spellEnd"/>
      <w:r w:rsidRPr="00BA6779">
        <w:rPr>
          <w:rFonts w:ascii="Arial" w:hAnsi="Arial" w:cs="Arial"/>
          <w:sz w:val="18"/>
          <w:szCs w:val="18"/>
        </w:rPr>
        <w:t xml:space="preserve">. US, 92/13 – </w:t>
      </w:r>
      <w:proofErr w:type="spellStart"/>
      <w:r w:rsidRPr="00BA6779">
        <w:rPr>
          <w:rFonts w:ascii="Arial" w:hAnsi="Arial" w:cs="Arial"/>
          <w:sz w:val="18"/>
          <w:szCs w:val="18"/>
        </w:rPr>
        <w:t>odl</w:t>
      </w:r>
      <w:proofErr w:type="spellEnd"/>
      <w:r w:rsidRPr="00BA6779">
        <w:rPr>
          <w:rFonts w:ascii="Arial" w:hAnsi="Arial" w:cs="Arial"/>
          <w:sz w:val="18"/>
          <w:szCs w:val="18"/>
        </w:rPr>
        <w:t xml:space="preserve">. US, 10/14 – </w:t>
      </w:r>
      <w:proofErr w:type="spellStart"/>
      <w:r w:rsidRPr="00BA6779">
        <w:rPr>
          <w:rFonts w:ascii="Arial" w:hAnsi="Arial" w:cs="Arial"/>
          <w:sz w:val="18"/>
          <w:szCs w:val="18"/>
        </w:rPr>
        <w:t>odl</w:t>
      </w:r>
      <w:proofErr w:type="spellEnd"/>
      <w:r w:rsidRPr="00BA6779">
        <w:rPr>
          <w:rFonts w:ascii="Arial" w:hAnsi="Arial" w:cs="Arial"/>
          <w:sz w:val="18"/>
          <w:szCs w:val="18"/>
        </w:rPr>
        <w:t xml:space="preserve">. US, 48/15 – </w:t>
      </w:r>
      <w:proofErr w:type="spellStart"/>
      <w:r w:rsidRPr="00BA6779">
        <w:rPr>
          <w:rFonts w:ascii="Arial" w:hAnsi="Arial" w:cs="Arial"/>
          <w:sz w:val="18"/>
          <w:szCs w:val="18"/>
        </w:rPr>
        <w:t>odl</w:t>
      </w:r>
      <w:proofErr w:type="spellEnd"/>
      <w:r w:rsidRPr="00BA6779">
        <w:rPr>
          <w:rFonts w:ascii="Arial" w:hAnsi="Arial" w:cs="Arial"/>
          <w:sz w:val="18"/>
          <w:szCs w:val="18"/>
        </w:rPr>
        <w:t xml:space="preserve">. US, 6/17 – </w:t>
      </w:r>
      <w:proofErr w:type="spellStart"/>
      <w:r w:rsidRPr="00BA6779">
        <w:rPr>
          <w:rFonts w:ascii="Arial" w:hAnsi="Arial" w:cs="Arial"/>
          <w:sz w:val="18"/>
          <w:szCs w:val="18"/>
        </w:rPr>
        <w:t>odl</w:t>
      </w:r>
      <w:proofErr w:type="spellEnd"/>
      <w:r w:rsidRPr="00BA6779">
        <w:rPr>
          <w:rFonts w:ascii="Arial" w:hAnsi="Arial" w:cs="Arial"/>
          <w:sz w:val="18"/>
          <w:szCs w:val="18"/>
        </w:rPr>
        <w:t xml:space="preserve">. US, 10/17, 16/19 – ZNP-1, 70/19 – </w:t>
      </w:r>
      <w:proofErr w:type="spellStart"/>
      <w:r w:rsidRPr="00BA6779">
        <w:rPr>
          <w:rFonts w:ascii="Arial" w:hAnsi="Arial" w:cs="Arial"/>
          <w:sz w:val="18"/>
          <w:szCs w:val="18"/>
        </w:rPr>
        <w:t>odl</w:t>
      </w:r>
      <w:proofErr w:type="spellEnd"/>
      <w:r w:rsidRPr="00BA6779">
        <w:rPr>
          <w:rFonts w:ascii="Arial" w:hAnsi="Arial" w:cs="Arial"/>
          <w:sz w:val="18"/>
          <w:szCs w:val="18"/>
        </w:rPr>
        <w:t xml:space="preserve">. US, 1/22 – </w:t>
      </w:r>
      <w:proofErr w:type="spellStart"/>
      <w:r w:rsidRPr="00BA6779">
        <w:rPr>
          <w:rFonts w:ascii="Arial" w:hAnsi="Arial" w:cs="Arial"/>
          <w:sz w:val="18"/>
          <w:szCs w:val="18"/>
        </w:rPr>
        <w:t>odl</w:t>
      </w:r>
      <w:proofErr w:type="spellEnd"/>
      <w:r w:rsidRPr="00BA6779">
        <w:rPr>
          <w:rFonts w:ascii="Arial" w:hAnsi="Arial" w:cs="Arial"/>
          <w:sz w:val="18"/>
          <w:szCs w:val="18"/>
        </w:rPr>
        <w:t xml:space="preserve">. US, 3/22 – </w:t>
      </w:r>
      <w:proofErr w:type="spellStart"/>
      <w:r w:rsidRPr="00BA6779">
        <w:rPr>
          <w:rFonts w:ascii="Arial" w:hAnsi="Arial" w:cs="Arial"/>
          <w:sz w:val="18"/>
          <w:szCs w:val="18"/>
        </w:rPr>
        <w:t>ZDeb</w:t>
      </w:r>
      <w:proofErr w:type="spellEnd"/>
      <w:r w:rsidRPr="00BA6779">
        <w:rPr>
          <w:rFonts w:ascii="Arial" w:hAnsi="Arial" w:cs="Arial"/>
          <w:sz w:val="18"/>
          <w:szCs w:val="18"/>
        </w:rPr>
        <w:t xml:space="preserve"> in 92/24 – </w:t>
      </w:r>
      <w:proofErr w:type="spellStart"/>
      <w:r w:rsidRPr="00BA6779">
        <w:rPr>
          <w:rFonts w:ascii="Arial" w:hAnsi="Arial" w:cs="Arial"/>
          <w:sz w:val="18"/>
          <w:szCs w:val="18"/>
        </w:rPr>
        <w:t>odl</w:t>
      </w:r>
      <w:proofErr w:type="spellEnd"/>
      <w:r w:rsidRPr="00BA6779">
        <w:rPr>
          <w:rFonts w:ascii="Arial" w:hAnsi="Arial" w:cs="Arial"/>
          <w:sz w:val="18"/>
          <w:szCs w:val="18"/>
        </w:rPr>
        <w:t>. US.</w:t>
      </w:r>
    </w:p>
  </w:footnote>
  <w:footnote w:id="15">
    <w:p w14:paraId="08E9AD27" w14:textId="77777777" w:rsidR="00847A71" w:rsidRPr="00BA6779" w:rsidRDefault="00847A71" w:rsidP="001F4606">
      <w:pPr>
        <w:pStyle w:val="Sprotnaopomba-besedilo"/>
        <w:jc w:val="both"/>
        <w:rPr>
          <w:rFonts w:ascii="Arial" w:hAnsi="Arial" w:cs="Arial"/>
          <w:sz w:val="18"/>
          <w:szCs w:val="18"/>
        </w:rPr>
      </w:pPr>
      <w:r w:rsidRPr="00BA6779">
        <w:rPr>
          <w:rStyle w:val="Sprotnaopomba-sklic"/>
          <w:rFonts w:ascii="Arial" w:hAnsi="Arial" w:cs="Arial"/>
          <w:sz w:val="18"/>
          <w:szCs w:val="18"/>
        </w:rPr>
        <w:footnoteRef/>
      </w:r>
      <w:r w:rsidRPr="00BA6779">
        <w:rPr>
          <w:rFonts w:ascii="Arial" w:hAnsi="Arial" w:cs="Arial"/>
          <w:sz w:val="18"/>
          <w:szCs w:val="18"/>
        </w:rPr>
        <w:t xml:space="preserve"> </w:t>
      </w:r>
      <w:r w:rsidRPr="00BA6779">
        <w:rPr>
          <w:rFonts w:ascii="Arial" w:hAnsi="Arial" w:cs="Arial"/>
          <w:sz w:val="18"/>
          <w:szCs w:val="18"/>
        </w:rPr>
        <w:t xml:space="preserve">Zakon o kazenskem postopku, Uradni list RS, št. 176/21 – uradno prečiščeno besedilo, 96/22 – </w:t>
      </w:r>
      <w:proofErr w:type="spellStart"/>
      <w:r w:rsidRPr="00BA6779">
        <w:rPr>
          <w:rFonts w:ascii="Arial" w:hAnsi="Arial" w:cs="Arial"/>
          <w:sz w:val="18"/>
          <w:szCs w:val="18"/>
        </w:rPr>
        <w:t>odl</w:t>
      </w:r>
      <w:proofErr w:type="spellEnd"/>
      <w:r w:rsidRPr="00BA6779">
        <w:rPr>
          <w:rFonts w:ascii="Arial" w:hAnsi="Arial" w:cs="Arial"/>
          <w:sz w:val="18"/>
          <w:szCs w:val="18"/>
        </w:rPr>
        <w:t xml:space="preserve">. US, 2/23 – </w:t>
      </w:r>
      <w:proofErr w:type="spellStart"/>
      <w:r w:rsidRPr="00BA6779">
        <w:rPr>
          <w:rFonts w:ascii="Arial" w:hAnsi="Arial" w:cs="Arial"/>
          <w:sz w:val="18"/>
          <w:szCs w:val="18"/>
        </w:rPr>
        <w:t>odl</w:t>
      </w:r>
      <w:proofErr w:type="spellEnd"/>
      <w:r w:rsidRPr="00BA6779">
        <w:rPr>
          <w:rFonts w:ascii="Arial" w:hAnsi="Arial" w:cs="Arial"/>
          <w:sz w:val="18"/>
          <w:szCs w:val="18"/>
        </w:rPr>
        <w:t xml:space="preserve">. US, 89/23 – </w:t>
      </w:r>
      <w:proofErr w:type="spellStart"/>
      <w:r w:rsidRPr="00BA6779">
        <w:rPr>
          <w:rFonts w:ascii="Arial" w:hAnsi="Arial" w:cs="Arial"/>
          <w:sz w:val="18"/>
          <w:szCs w:val="18"/>
        </w:rPr>
        <w:t>odl</w:t>
      </w:r>
      <w:proofErr w:type="spellEnd"/>
      <w:r w:rsidRPr="00BA6779">
        <w:rPr>
          <w:rFonts w:ascii="Arial" w:hAnsi="Arial" w:cs="Arial"/>
          <w:sz w:val="18"/>
          <w:szCs w:val="18"/>
        </w:rPr>
        <w:t>. US in 53/24.</w:t>
      </w:r>
    </w:p>
  </w:footnote>
  <w:footnote w:id="16">
    <w:p w14:paraId="66F2DF4F" w14:textId="77777777" w:rsidR="00DF5AC8" w:rsidRPr="00BA6779" w:rsidRDefault="00DF5AC8" w:rsidP="001F4606">
      <w:pPr>
        <w:pStyle w:val="Sprotnaopomba-besedilo"/>
        <w:jc w:val="both"/>
        <w:rPr>
          <w:rFonts w:ascii="Arial" w:hAnsi="Arial" w:cs="Arial"/>
          <w:sz w:val="18"/>
          <w:szCs w:val="18"/>
        </w:rPr>
      </w:pPr>
      <w:r w:rsidRPr="00BA6779">
        <w:rPr>
          <w:rStyle w:val="Sprotnaopomba-sklic"/>
          <w:rFonts w:ascii="Arial" w:hAnsi="Arial" w:cs="Arial"/>
          <w:sz w:val="18"/>
          <w:szCs w:val="18"/>
        </w:rPr>
        <w:footnoteRef/>
      </w:r>
      <w:r w:rsidRPr="00BA6779">
        <w:rPr>
          <w:rFonts w:ascii="Arial" w:hAnsi="Arial" w:cs="Arial"/>
          <w:sz w:val="18"/>
          <w:szCs w:val="18"/>
        </w:rPr>
        <w:t xml:space="preserve"> </w:t>
      </w:r>
      <w:r w:rsidRPr="00BA6779">
        <w:rPr>
          <w:rFonts w:ascii="Arial" w:hAnsi="Arial" w:cs="Arial"/>
          <w:sz w:val="18"/>
          <w:szCs w:val="18"/>
        </w:rPr>
        <w:t>Odločba Ustavnega sodišča Up-1267/23-21 z dne 18. 4. 2024.</w:t>
      </w:r>
    </w:p>
  </w:footnote>
  <w:footnote w:id="17">
    <w:p w14:paraId="24EEBFE1" w14:textId="77777777" w:rsidR="00DF5AC8" w:rsidRPr="00BA6779" w:rsidRDefault="00DF5AC8" w:rsidP="001F4606">
      <w:pPr>
        <w:pStyle w:val="Sprotnaopomba-besedilo"/>
        <w:jc w:val="both"/>
        <w:rPr>
          <w:rFonts w:ascii="Arial" w:hAnsi="Arial" w:cs="Arial"/>
          <w:sz w:val="18"/>
          <w:szCs w:val="18"/>
        </w:rPr>
      </w:pPr>
      <w:r w:rsidRPr="00BA6779">
        <w:rPr>
          <w:rStyle w:val="Sprotnaopomba-sklic"/>
          <w:rFonts w:ascii="Arial" w:hAnsi="Arial" w:cs="Arial"/>
          <w:sz w:val="18"/>
          <w:szCs w:val="18"/>
        </w:rPr>
        <w:footnoteRef/>
      </w:r>
      <w:r w:rsidRPr="00BA6779">
        <w:rPr>
          <w:rFonts w:ascii="Arial" w:hAnsi="Arial" w:cs="Arial"/>
          <w:sz w:val="18"/>
          <w:szCs w:val="18"/>
        </w:rPr>
        <w:t xml:space="preserve"> </w:t>
      </w:r>
      <w:proofErr w:type="spellStart"/>
      <w:r w:rsidRPr="00BA6779">
        <w:rPr>
          <w:rFonts w:ascii="Arial" w:hAnsi="Arial" w:cs="Arial"/>
          <w:sz w:val="18"/>
          <w:szCs w:val="18"/>
        </w:rPr>
        <w:t>ibid</w:t>
      </w:r>
      <w:proofErr w:type="spellEnd"/>
      <w:r w:rsidRPr="00BA6779">
        <w:rPr>
          <w:rFonts w:ascii="Arial" w:hAnsi="Arial" w:cs="Arial"/>
          <w:sz w:val="18"/>
          <w:szCs w:val="18"/>
        </w:rPr>
        <w:t>., stran 89.</w:t>
      </w:r>
    </w:p>
  </w:footnote>
  <w:footnote w:id="18">
    <w:p w14:paraId="260DDA54" w14:textId="77777777" w:rsidR="00DF5AC8" w:rsidRPr="00BA6779" w:rsidRDefault="00DF5AC8" w:rsidP="001F4606">
      <w:pPr>
        <w:pStyle w:val="Sprotnaopomba-besedilo"/>
        <w:jc w:val="both"/>
        <w:rPr>
          <w:rFonts w:ascii="Arial" w:hAnsi="Arial" w:cs="Arial"/>
          <w:sz w:val="18"/>
          <w:szCs w:val="18"/>
        </w:rPr>
      </w:pPr>
      <w:r w:rsidRPr="00BA6779">
        <w:rPr>
          <w:rStyle w:val="Sprotnaopomba-sklic"/>
          <w:rFonts w:ascii="Arial" w:hAnsi="Arial" w:cs="Arial"/>
          <w:sz w:val="18"/>
          <w:szCs w:val="18"/>
        </w:rPr>
        <w:footnoteRef/>
      </w:r>
      <w:r w:rsidRPr="00BA6779">
        <w:rPr>
          <w:rFonts w:ascii="Arial" w:hAnsi="Arial" w:cs="Arial"/>
          <w:sz w:val="18"/>
          <w:szCs w:val="18"/>
        </w:rPr>
        <w:t xml:space="preserve"> </w:t>
      </w:r>
      <w:r w:rsidRPr="00BA6779">
        <w:rPr>
          <w:rFonts w:ascii="Arial" w:hAnsi="Arial" w:cs="Arial"/>
          <w:sz w:val="18"/>
          <w:szCs w:val="18"/>
        </w:rPr>
        <w:t xml:space="preserve">Komentar Ustave Republike Slovenije, Načelo enakosti in </w:t>
      </w:r>
      <w:proofErr w:type="spellStart"/>
      <w:r w:rsidRPr="00BA6779">
        <w:rPr>
          <w:rFonts w:ascii="Arial" w:hAnsi="Arial" w:cs="Arial"/>
          <w:sz w:val="18"/>
          <w:szCs w:val="18"/>
        </w:rPr>
        <w:t>ustavnosodna</w:t>
      </w:r>
      <w:proofErr w:type="spellEnd"/>
      <w:r w:rsidRPr="00BA6779">
        <w:rPr>
          <w:rFonts w:ascii="Arial" w:hAnsi="Arial" w:cs="Arial"/>
          <w:sz w:val="18"/>
          <w:szCs w:val="18"/>
        </w:rPr>
        <w:t xml:space="preserve"> presoja zakonov, Lovro Šturm, 2011, 20. točka, </w:t>
      </w:r>
      <w:proofErr w:type="spellStart"/>
      <w:r w:rsidRPr="00BA6779">
        <w:rPr>
          <w:rFonts w:ascii="Arial" w:hAnsi="Arial" w:cs="Arial"/>
          <w:sz w:val="18"/>
          <w:szCs w:val="18"/>
        </w:rPr>
        <w:t>OdlUS</w:t>
      </w:r>
      <w:proofErr w:type="spellEnd"/>
      <w:r w:rsidRPr="00BA6779">
        <w:rPr>
          <w:rFonts w:ascii="Arial" w:hAnsi="Arial" w:cs="Arial"/>
          <w:sz w:val="18"/>
          <w:szCs w:val="18"/>
        </w:rPr>
        <w:t xml:space="preserve"> XVI, 2, U-I-46/05, Ur. l. 7/07: »7. US je v U-I-357/98 z dne 22. 3. 2001 (Ur. l. 28/01 in </w:t>
      </w:r>
      <w:proofErr w:type="spellStart"/>
      <w:r w:rsidRPr="00BA6779">
        <w:rPr>
          <w:rFonts w:ascii="Arial" w:hAnsi="Arial" w:cs="Arial"/>
          <w:sz w:val="18"/>
          <w:szCs w:val="18"/>
        </w:rPr>
        <w:t>OdlUS</w:t>
      </w:r>
      <w:proofErr w:type="spellEnd"/>
      <w:r w:rsidRPr="00BA6779">
        <w:rPr>
          <w:rFonts w:ascii="Arial" w:hAnsi="Arial" w:cs="Arial"/>
          <w:sz w:val="18"/>
          <w:szCs w:val="18"/>
        </w:rPr>
        <w:t xml:space="preserve"> X, 56, dostopno na spletni strani: Načelo enakosti in </w:t>
      </w:r>
      <w:proofErr w:type="spellStart"/>
      <w:r w:rsidRPr="00BA6779">
        <w:rPr>
          <w:rFonts w:ascii="Arial" w:hAnsi="Arial" w:cs="Arial"/>
          <w:sz w:val="18"/>
          <w:szCs w:val="18"/>
        </w:rPr>
        <w:t>ustavnosodna</w:t>
      </w:r>
      <w:proofErr w:type="spellEnd"/>
      <w:r w:rsidRPr="00BA6779">
        <w:rPr>
          <w:rFonts w:ascii="Arial" w:hAnsi="Arial" w:cs="Arial"/>
          <w:sz w:val="18"/>
          <w:szCs w:val="18"/>
        </w:rPr>
        <w:t xml:space="preserve"> presoja zakonov – e-KURS.</w:t>
      </w:r>
    </w:p>
  </w:footnote>
  <w:footnote w:id="19">
    <w:p w14:paraId="7C7DA280" w14:textId="77777777" w:rsidR="00DF5AC8" w:rsidRPr="00BA6779" w:rsidRDefault="00DF5AC8" w:rsidP="001F4606">
      <w:pPr>
        <w:pStyle w:val="Sprotnaopomba-besedilo"/>
        <w:jc w:val="both"/>
        <w:rPr>
          <w:rFonts w:ascii="Arial" w:hAnsi="Arial" w:cs="Arial"/>
          <w:sz w:val="18"/>
          <w:szCs w:val="18"/>
        </w:rPr>
      </w:pPr>
      <w:r w:rsidRPr="00BA6779">
        <w:rPr>
          <w:rStyle w:val="Sprotnaopomba-sklic"/>
          <w:rFonts w:ascii="Arial" w:hAnsi="Arial" w:cs="Arial"/>
          <w:sz w:val="18"/>
          <w:szCs w:val="18"/>
        </w:rPr>
        <w:footnoteRef/>
      </w:r>
      <w:r w:rsidRPr="00BA6779">
        <w:rPr>
          <w:rFonts w:ascii="Arial" w:hAnsi="Arial" w:cs="Arial"/>
          <w:sz w:val="18"/>
          <w:szCs w:val="18"/>
        </w:rPr>
        <w:t xml:space="preserve"> </w:t>
      </w:r>
      <w:proofErr w:type="spellStart"/>
      <w:r w:rsidRPr="00BA6779">
        <w:rPr>
          <w:rFonts w:ascii="Arial" w:hAnsi="Arial" w:cs="Arial"/>
          <w:sz w:val="18"/>
          <w:szCs w:val="18"/>
        </w:rPr>
        <w:t>Ibid</w:t>
      </w:r>
      <w:proofErr w:type="spellEnd"/>
      <w:r w:rsidRPr="00BA6779">
        <w:rPr>
          <w:rFonts w:ascii="Arial" w:hAnsi="Arial" w:cs="Arial"/>
          <w:sz w:val="18"/>
          <w:szCs w:val="18"/>
        </w:rPr>
        <w:t>, 32. točka.</w:t>
      </w:r>
    </w:p>
  </w:footnote>
  <w:footnote w:id="20">
    <w:p w14:paraId="7AD00E78" w14:textId="77777777" w:rsidR="00DF5AC8" w:rsidRPr="00BA6779" w:rsidRDefault="00DF5AC8" w:rsidP="001F4606">
      <w:pPr>
        <w:pStyle w:val="Sprotnaopomba-besedilo"/>
        <w:jc w:val="both"/>
        <w:rPr>
          <w:sz w:val="18"/>
          <w:szCs w:val="18"/>
        </w:rPr>
      </w:pPr>
      <w:r w:rsidRPr="00BA6779">
        <w:rPr>
          <w:rStyle w:val="Sprotnaopomba-sklic"/>
          <w:rFonts w:ascii="Arial" w:hAnsi="Arial" w:cs="Arial"/>
          <w:sz w:val="18"/>
          <w:szCs w:val="18"/>
        </w:rPr>
        <w:footnoteRef/>
      </w:r>
      <w:r w:rsidRPr="00BA6779">
        <w:rPr>
          <w:rFonts w:ascii="Arial" w:hAnsi="Arial" w:cs="Arial"/>
          <w:sz w:val="18"/>
          <w:szCs w:val="18"/>
        </w:rPr>
        <w:t xml:space="preserve"> </w:t>
      </w:r>
      <w:r w:rsidRPr="00BA6779">
        <w:rPr>
          <w:rFonts w:ascii="Arial" w:hAnsi="Arial" w:cs="Arial"/>
          <w:sz w:val="18"/>
          <w:szCs w:val="18"/>
        </w:rPr>
        <w:t>Uredba o varovanju tajnih podatkov, Uradni list RS, št. 50/22 in 103/24.</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DA0A9C"/>
    <w:multiLevelType w:val="hybridMultilevel"/>
    <w:tmpl w:val="49F812E2"/>
    <w:lvl w:ilvl="0" w:tplc="5684846C">
      <w:start w:val="1"/>
      <w:numFmt w:val="bullet"/>
      <w:lvlText w:val="–"/>
      <w:lvlJc w:val="left"/>
      <w:pPr>
        <w:ind w:left="1440" w:hanging="360"/>
      </w:pPr>
      <w:rPr>
        <w:rFonts w:ascii="Arial" w:hAnsi="Arial" w:cs="Times New Roman" w:hint="default"/>
      </w:rPr>
    </w:lvl>
    <w:lvl w:ilvl="1" w:tplc="04240003">
      <w:start w:val="1"/>
      <w:numFmt w:val="bullet"/>
      <w:lvlText w:val="o"/>
      <w:lvlJc w:val="left"/>
      <w:pPr>
        <w:ind w:left="2160" w:hanging="360"/>
      </w:pPr>
      <w:rPr>
        <w:rFonts w:ascii="Courier New" w:hAnsi="Courier New" w:cs="Courier New" w:hint="default"/>
      </w:rPr>
    </w:lvl>
    <w:lvl w:ilvl="2" w:tplc="04240005">
      <w:start w:val="1"/>
      <w:numFmt w:val="bullet"/>
      <w:lvlText w:val=""/>
      <w:lvlJc w:val="left"/>
      <w:pPr>
        <w:ind w:left="2880" w:hanging="360"/>
      </w:pPr>
      <w:rPr>
        <w:rFonts w:ascii="Wingdings" w:hAnsi="Wingdings" w:hint="default"/>
      </w:rPr>
    </w:lvl>
    <w:lvl w:ilvl="3" w:tplc="04240001">
      <w:start w:val="1"/>
      <w:numFmt w:val="bullet"/>
      <w:lvlText w:val=""/>
      <w:lvlJc w:val="left"/>
      <w:pPr>
        <w:ind w:left="3600" w:hanging="360"/>
      </w:pPr>
      <w:rPr>
        <w:rFonts w:ascii="Symbol" w:hAnsi="Symbol" w:hint="default"/>
      </w:rPr>
    </w:lvl>
    <w:lvl w:ilvl="4" w:tplc="04240003">
      <w:start w:val="1"/>
      <w:numFmt w:val="bullet"/>
      <w:lvlText w:val="o"/>
      <w:lvlJc w:val="left"/>
      <w:pPr>
        <w:ind w:left="4320" w:hanging="360"/>
      </w:pPr>
      <w:rPr>
        <w:rFonts w:ascii="Courier New" w:hAnsi="Courier New" w:cs="Courier New" w:hint="default"/>
      </w:rPr>
    </w:lvl>
    <w:lvl w:ilvl="5" w:tplc="04240005">
      <w:start w:val="1"/>
      <w:numFmt w:val="bullet"/>
      <w:lvlText w:val=""/>
      <w:lvlJc w:val="left"/>
      <w:pPr>
        <w:ind w:left="5040" w:hanging="360"/>
      </w:pPr>
      <w:rPr>
        <w:rFonts w:ascii="Wingdings" w:hAnsi="Wingdings" w:hint="default"/>
      </w:rPr>
    </w:lvl>
    <w:lvl w:ilvl="6" w:tplc="04240001">
      <w:start w:val="1"/>
      <w:numFmt w:val="bullet"/>
      <w:lvlText w:val=""/>
      <w:lvlJc w:val="left"/>
      <w:pPr>
        <w:ind w:left="5760" w:hanging="360"/>
      </w:pPr>
      <w:rPr>
        <w:rFonts w:ascii="Symbol" w:hAnsi="Symbol" w:hint="default"/>
      </w:rPr>
    </w:lvl>
    <w:lvl w:ilvl="7" w:tplc="04240003">
      <w:start w:val="1"/>
      <w:numFmt w:val="bullet"/>
      <w:lvlText w:val="o"/>
      <w:lvlJc w:val="left"/>
      <w:pPr>
        <w:ind w:left="6480" w:hanging="360"/>
      </w:pPr>
      <w:rPr>
        <w:rFonts w:ascii="Courier New" w:hAnsi="Courier New" w:cs="Courier New" w:hint="default"/>
      </w:rPr>
    </w:lvl>
    <w:lvl w:ilvl="8" w:tplc="04240005">
      <w:start w:val="1"/>
      <w:numFmt w:val="bullet"/>
      <w:lvlText w:val=""/>
      <w:lvlJc w:val="left"/>
      <w:pPr>
        <w:ind w:left="7200" w:hanging="360"/>
      </w:pPr>
      <w:rPr>
        <w:rFonts w:ascii="Wingdings" w:hAnsi="Wingdings" w:hint="default"/>
      </w:rPr>
    </w:lvl>
  </w:abstractNum>
  <w:abstractNum w:abstractNumId="1" w15:restartNumberingAfterBreak="0">
    <w:nsid w:val="02FD547E"/>
    <w:multiLevelType w:val="hybridMultilevel"/>
    <w:tmpl w:val="220A5862"/>
    <w:lvl w:ilvl="0" w:tplc="930808E2">
      <w:start w:val="2"/>
      <w:numFmt w:val="decimal"/>
      <w:lvlText w:val="(%1)"/>
      <w:lvlJc w:val="left"/>
      <w:pPr>
        <w:ind w:left="720" w:hanging="360"/>
      </w:pPr>
      <w:rPr>
        <w:rFonts w:eastAsia="Calibr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6F45C8C"/>
    <w:multiLevelType w:val="hybridMultilevel"/>
    <w:tmpl w:val="C898E21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80B47C2"/>
    <w:multiLevelType w:val="hybridMultilevel"/>
    <w:tmpl w:val="88849468"/>
    <w:lvl w:ilvl="0" w:tplc="D3A6FF52">
      <w:start w:val="1"/>
      <w:numFmt w:val="lowerLetter"/>
      <w:lvlText w:val="%1)"/>
      <w:lvlJc w:val="left"/>
      <w:pPr>
        <w:ind w:left="720" w:hanging="360"/>
      </w:pPr>
      <w:rPr>
        <w:rFonts w:eastAsia="Times New Roman"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8474707"/>
    <w:multiLevelType w:val="hybridMultilevel"/>
    <w:tmpl w:val="4B16F47C"/>
    <w:lvl w:ilvl="0" w:tplc="EBD00A68">
      <w:numFmt w:val="bullet"/>
      <w:lvlText w:val="-"/>
      <w:lvlJc w:val="left"/>
      <w:pPr>
        <w:tabs>
          <w:tab w:val="num" w:pos="360"/>
        </w:tabs>
        <w:ind w:left="360" w:hanging="360"/>
      </w:pPr>
      <w:rPr>
        <w:rFonts w:ascii="Arial" w:eastAsia="Times New Roman" w:hAnsi="Arial" w:cs="Arial" w:hint="default"/>
        <w:b w:val="0"/>
        <w:bCs w:val="0"/>
        <w:color w:val="auto"/>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15:restartNumberingAfterBreak="0">
    <w:nsid w:val="109434B5"/>
    <w:multiLevelType w:val="hybridMultilevel"/>
    <w:tmpl w:val="75A26720"/>
    <w:lvl w:ilvl="0" w:tplc="522E1958">
      <w:start w:val="1"/>
      <w:numFmt w:val="bullet"/>
      <w:lvlText w:val="-"/>
      <w:lvlJc w:val="left"/>
      <w:pPr>
        <w:tabs>
          <w:tab w:val="num" w:pos="720"/>
        </w:tabs>
        <w:ind w:left="720" w:hanging="360"/>
      </w:pPr>
      <w:rPr>
        <w:rFonts w:ascii="Arial" w:hAnsi="Aria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172D5F35"/>
    <w:multiLevelType w:val="hybridMultilevel"/>
    <w:tmpl w:val="5D0E4308"/>
    <w:lvl w:ilvl="0" w:tplc="D2DA8380">
      <w:start w:val="3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7815E90"/>
    <w:multiLevelType w:val="hybridMultilevel"/>
    <w:tmpl w:val="B3AC74BE"/>
    <w:lvl w:ilvl="0" w:tplc="D324A4E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A4A3C32"/>
    <w:multiLevelType w:val="hybridMultilevel"/>
    <w:tmpl w:val="832CA6E8"/>
    <w:lvl w:ilvl="0" w:tplc="04240013">
      <w:start w:val="1"/>
      <w:numFmt w:val="upperRoman"/>
      <w:lvlText w:val="%1."/>
      <w:lvlJc w:val="righ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1BAA0560"/>
    <w:multiLevelType w:val="hybridMultilevel"/>
    <w:tmpl w:val="20281F8E"/>
    <w:lvl w:ilvl="0" w:tplc="804EACA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D143F54"/>
    <w:multiLevelType w:val="hybridMultilevel"/>
    <w:tmpl w:val="B61E0C9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D531DBB"/>
    <w:multiLevelType w:val="hybridMultilevel"/>
    <w:tmpl w:val="265018F0"/>
    <w:lvl w:ilvl="0" w:tplc="5718ACD6">
      <w:numFmt w:val="bullet"/>
      <w:lvlText w:val="-"/>
      <w:lvlJc w:val="left"/>
      <w:pPr>
        <w:ind w:left="1080" w:hanging="72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07F66D3"/>
    <w:multiLevelType w:val="hybridMultilevel"/>
    <w:tmpl w:val="D28A6F3C"/>
    <w:lvl w:ilvl="0" w:tplc="522E1958">
      <w:start w:val="1"/>
      <w:numFmt w:val="bullet"/>
      <w:lvlText w:val="-"/>
      <w:lvlJc w:val="left"/>
      <w:pPr>
        <w:tabs>
          <w:tab w:val="num" w:pos="360"/>
        </w:tabs>
        <w:ind w:left="360" w:hanging="360"/>
      </w:pPr>
      <w:rPr>
        <w:rFonts w:ascii="Arial" w:hAnsi="Arial" w:hint="default"/>
      </w:rPr>
    </w:lvl>
    <w:lvl w:ilvl="1" w:tplc="04240003" w:tentative="1">
      <w:start w:val="1"/>
      <w:numFmt w:val="bullet"/>
      <w:lvlText w:val="o"/>
      <w:lvlJc w:val="left"/>
      <w:pPr>
        <w:tabs>
          <w:tab w:val="num" w:pos="720"/>
        </w:tabs>
        <w:ind w:left="720" w:hanging="360"/>
      </w:pPr>
      <w:rPr>
        <w:rFonts w:ascii="Courier New" w:hAnsi="Courier New" w:cs="Courier New" w:hint="default"/>
      </w:rPr>
    </w:lvl>
    <w:lvl w:ilvl="2" w:tplc="04240005" w:tentative="1">
      <w:start w:val="1"/>
      <w:numFmt w:val="bullet"/>
      <w:lvlText w:val=""/>
      <w:lvlJc w:val="left"/>
      <w:pPr>
        <w:tabs>
          <w:tab w:val="num" w:pos="1440"/>
        </w:tabs>
        <w:ind w:left="1440" w:hanging="360"/>
      </w:pPr>
      <w:rPr>
        <w:rFonts w:ascii="Wingdings" w:hAnsi="Wingdings" w:hint="default"/>
      </w:rPr>
    </w:lvl>
    <w:lvl w:ilvl="3" w:tplc="04240001" w:tentative="1">
      <w:start w:val="1"/>
      <w:numFmt w:val="bullet"/>
      <w:lvlText w:val=""/>
      <w:lvlJc w:val="left"/>
      <w:pPr>
        <w:tabs>
          <w:tab w:val="num" w:pos="2160"/>
        </w:tabs>
        <w:ind w:left="2160" w:hanging="360"/>
      </w:pPr>
      <w:rPr>
        <w:rFonts w:ascii="Symbol" w:hAnsi="Symbol" w:hint="default"/>
      </w:rPr>
    </w:lvl>
    <w:lvl w:ilvl="4" w:tplc="04240003" w:tentative="1">
      <w:start w:val="1"/>
      <w:numFmt w:val="bullet"/>
      <w:lvlText w:val="o"/>
      <w:lvlJc w:val="left"/>
      <w:pPr>
        <w:tabs>
          <w:tab w:val="num" w:pos="2880"/>
        </w:tabs>
        <w:ind w:left="2880" w:hanging="360"/>
      </w:pPr>
      <w:rPr>
        <w:rFonts w:ascii="Courier New" w:hAnsi="Courier New" w:cs="Courier New" w:hint="default"/>
      </w:rPr>
    </w:lvl>
    <w:lvl w:ilvl="5" w:tplc="04240005" w:tentative="1">
      <w:start w:val="1"/>
      <w:numFmt w:val="bullet"/>
      <w:lvlText w:val=""/>
      <w:lvlJc w:val="left"/>
      <w:pPr>
        <w:tabs>
          <w:tab w:val="num" w:pos="3600"/>
        </w:tabs>
        <w:ind w:left="3600" w:hanging="360"/>
      </w:pPr>
      <w:rPr>
        <w:rFonts w:ascii="Wingdings" w:hAnsi="Wingdings" w:hint="default"/>
      </w:rPr>
    </w:lvl>
    <w:lvl w:ilvl="6" w:tplc="04240001" w:tentative="1">
      <w:start w:val="1"/>
      <w:numFmt w:val="bullet"/>
      <w:lvlText w:val=""/>
      <w:lvlJc w:val="left"/>
      <w:pPr>
        <w:tabs>
          <w:tab w:val="num" w:pos="4320"/>
        </w:tabs>
        <w:ind w:left="4320" w:hanging="360"/>
      </w:pPr>
      <w:rPr>
        <w:rFonts w:ascii="Symbol" w:hAnsi="Symbol" w:hint="default"/>
      </w:rPr>
    </w:lvl>
    <w:lvl w:ilvl="7" w:tplc="04240003" w:tentative="1">
      <w:start w:val="1"/>
      <w:numFmt w:val="bullet"/>
      <w:lvlText w:val="o"/>
      <w:lvlJc w:val="left"/>
      <w:pPr>
        <w:tabs>
          <w:tab w:val="num" w:pos="5040"/>
        </w:tabs>
        <w:ind w:left="5040" w:hanging="360"/>
      </w:pPr>
      <w:rPr>
        <w:rFonts w:ascii="Courier New" w:hAnsi="Courier New" w:cs="Courier New" w:hint="default"/>
      </w:rPr>
    </w:lvl>
    <w:lvl w:ilvl="8" w:tplc="04240005" w:tentative="1">
      <w:start w:val="1"/>
      <w:numFmt w:val="bullet"/>
      <w:lvlText w:val=""/>
      <w:lvlJc w:val="left"/>
      <w:pPr>
        <w:tabs>
          <w:tab w:val="num" w:pos="5760"/>
        </w:tabs>
        <w:ind w:left="5760" w:hanging="360"/>
      </w:pPr>
      <w:rPr>
        <w:rFonts w:ascii="Wingdings" w:hAnsi="Wingdings" w:hint="default"/>
      </w:rPr>
    </w:lvl>
  </w:abstractNum>
  <w:abstractNum w:abstractNumId="15" w15:restartNumberingAfterBreak="0">
    <w:nsid w:val="2CB9795C"/>
    <w:multiLevelType w:val="hybridMultilevel"/>
    <w:tmpl w:val="3D44A5CC"/>
    <w:lvl w:ilvl="0" w:tplc="D0CE091E">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7" w15:restartNumberingAfterBreak="0">
    <w:nsid w:val="2DAB4095"/>
    <w:multiLevelType w:val="hybridMultilevel"/>
    <w:tmpl w:val="D0BA2808"/>
    <w:lvl w:ilvl="0" w:tplc="88661C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EFD5A35"/>
    <w:multiLevelType w:val="hybridMultilevel"/>
    <w:tmpl w:val="278EBAF4"/>
    <w:lvl w:ilvl="0" w:tplc="3CB421C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29E02BE"/>
    <w:multiLevelType w:val="hybridMultilevel"/>
    <w:tmpl w:val="EBA6F5C6"/>
    <w:lvl w:ilvl="0" w:tplc="3BDCDAA0">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20" w15:restartNumberingAfterBreak="0">
    <w:nsid w:val="331741D1"/>
    <w:multiLevelType w:val="hybridMultilevel"/>
    <w:tmpl w:val="66B6EE5E"/>
    <w:lvl w:ilvl="0" w:tplc="99B40CAC">
      <w:numFmt w:val="bullet"/>
      <w:lvlText w:val="-"/>
      <w:lvlJc w:val="left"/>
      <w:pPr>
        <w:ind w:left="720" w:hanging="360"/>
      </w:pPr>
      <w:rPr>
        <w:rFonts w:ascii="Arial" w:eastAsia="Times New Roman"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49F689D"/>
    <w:multiLevelType w:val="hybridMultilevel"/>
    <w:tmpl w:val="C4EC1E4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7130827"/>
    <w:multiLevelType w:val="hybridMultilevel"/>
    <w:tmpl w:val="053C0A3A"/>
    <w:lvl w:ilvl="0" w:tplc="88661C6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3B9911AD"/>
    <w:multiLevelType w:val="hybridMultilevel"/>
    <w:tmpl w:val="A5926C70"/>
    <w:lvl w:ilvl="0" w:tplc="88661C6E">
      <w:start w:val="1"/>
      <w:numFmt w:val="bullet"/>
      <w:lvlText w:val=""/>
      <w:lvlJc w:val="left"/>
      <w:pPr>
        <w:ind w:left="1440" w:hanging="360"/>
      </w:pPr>
      <w:rPr>
        <w:rFonts w:ascii="Symbol" w:hAnsi="Symbol" w:hint="default"/>
      </w:rPr>
    </w:lvl>
    <w:lvl w:ilvl="1" w:tplc="04240003">
      <w:start w:val="1"/>
      <w:numFmt w:val="bullet"/>
      <w:lvlText w:val="o"/>
      <w:lvlJc w:val="left"/>
      <w:pPr>
        <w:ind w:left="2160" w:hanging="360"/>
      </w:pPr>
      <w:rPr>
        <w:rFonts w:ascii="Courier New" w:hAnsi="Courier New" w:cs="Courier New" w:hint="default"/>
      </w:rPr>
    </w:lvl>
    <w:lvl w:ilvl="2" w:tplc="04240005">
      <w:start w:val="1"/>
      <w:numFmt w:val="bullet"/>
      <w:lvlText w:val=""/>
      <w:lvlJc w:val="left"/>
      <w:pPr>
        <w:ind w:left="2880" w:hanging="360"/>
      </w:pPr>
      <w:rPr>
        <w:rFonts w:ascii="Wingdings" w:hAnsi="Wingdings" w:hint="default"/>
      </w:rPr>
    </w:lvl>
    <w:lvl w:ilvl="3" w:tplc="04240001">
      <w:start w:val="1"/>
      <w:numFmt w:val="bullet"/>
      <w:lvlText w:val=""/>
      <w:lvlJc w:val="left"/>
      <w:pPr>
        <w:ind w:left="3600" w:hanging="360"/>
      </w:pPr>
      <w:rPr>
        <w:rFonts w:ascii="Symbol" w:hAnsi="Symbol" w:hint="default"/>
      </w:rPr>
    </w:lvl>
    <w:lvl w:ilvl="4" w:tplc="04240003">
      <w:start w:val="1"/>
      <w:numFmt w:val="bullet"/>
      <w:lvlText w:val="o"/>
      <w:lvlJc w:val="left"/>
      <w:pPr>
        <w:ind w:left="4320" w:hanging="360"/>
      </w:pPr>
      <w:rPr>
        <w:rFonts w:ascii="Courier New" w:hAnsi="Courier New" w:cs="Courier New" w:hint="default"/>
      </w:rPr>
    </w:lvl>
    <w:lvl w:ilvl="5" w:tplc="04240005">
      <w:start w:val="1"/>
      <w:numFmt w:val="bullet"/>
      <w:lvlText w:val=""/>
      <w:lvlJc w:val="left"/>
      <w:pPr>
        <w:ind w:left="5040" w:hanging="360"/>
      </w:pPr>
      <w:rPr>
        <w:rFonts w:ascii="Wingdings" w:hAnsi="Wingdings" w:hint="default"/>
      </w:rPr>
    </w:lvl>
    <w:lvl w:ilvl="6" w:tplc="04240001">
      <w:start w:val="1"/>
      <w:numFmt w:val="bullet"/>
      <w:lvlText w:val=""/>
      <w:lvlJc w:val="left"/>
      <w:pPr>
        <w:ind w:left="5760" w:hanging="360"/>
      </w:pPr>
      <w:rPr>
        <w:rFonts w:ascii="Symbol" w:hAnsi="Symbol" w:hint="default"/>
      </w:rPr>
    </w:lvl>
    <w:lvl w:ilvl="7" w:tplc="04240003">
      <w:start w:val="1"/>
      <w:numFmt w:val="bullet"/>
      <w:lvlText w:val="o"/>
      <w:lvlJc w:val="left"/>
      <w:pPr>
        <w:ind w:left="6480" w:hanging="360"/>
      </w:pPr>
      <w:rPr>
        <w:rFonts w:ascii="Courier New" w:hAnsi="Courier New" w:cs="Courier New" w:hint="default"/>
      </w:rPr>
    </w:lvl>
    <w:lvl w:ilvl="8" w:tplc="04240005">
      <w:start w:val="1"/>
      <w:numFmt w:val="bullet"/>
      <w:lvlText w:val=""/>
      <w:lvlJc w:val="left"/>
      <w:pPr>
        <w:ind w:left="7200" w:hanging="360"/>
      </w:pPr>
      <w:rPr>
        <w:rFonts w:ascii="Wingdings" w:hAnsi="Wingdings" w:hint="default"/>
      </w:rPr>
    </w:lvl>
  </w:abstractNum>
  <w:abstractNum w:abstractNumId="24"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15:restartNumberingAfterBreak="0">
    <w:nsid w:val="46F73DF1"/>
    <w:multiLevelType w:val="hybridMultilevel"/>
    <w:tmpl w:val="20281F8E"/>
    <w:lvl w:ilvl="0" w:tplc="FFFFFFFF">
      <w:start w:val="1"/>
      <w:numFmt w:val="upp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473D3FC0"/>
    <w:multiLevelType w:val="hybridMultilevel"/>
    <w:tmpl w:val="F0DA8E36"/>
    <w:lvl w:ilvl="0" w:tplc="522E1958">
      <w:start w:val="1"/>
      <w:numFmt w:val="bullet"/>
      <w:lvlText w:val="-"/>
      <w:lvlJc w:val="left"/>
      <w:pPr>
        <w:tabs>
          <w:tab w:val="num" w:pos="360"/>
        </w:tabs>
        <w:ind w:left="360" w:hanging="360"/>
      </w:pPr>
      <w:rPr>
        <w:rFonts w:ascii="Arial" w:hAnsi="Aria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7" w15:restartNumberingAfterBreak="0">
    <w:nsid w:val="48EB232D"/>
    <w:multiLevelType w:val="hybridMultilevel"/>
    <w:tmpl w:val="20281F8E"/>
    <w:lvl w:ilvl="0" w:tplc="FFFFFFFF">
      <w:start w:val="1"/>
      <w:numFmt w:val="upp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4C243470"/>
    <w:multiLevelType w:val="hybridMultilevel"/>
    <w:tmpl w:val="A11423D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533154E9"/>
    <w:multiLevelType w:val="hybridMultilevel"/>
    <w:tmpl w:val="800E0670"/>
    <w:lvl w:ilvl="0" w:tplc="522E1958">
      <w:start w:val="1"/>
      <w:numFmt w:val="bullet"/>
      <w:lvlText w:val="-"/>
      <w:lvlJc w:val="left"/>
      <w:pPr>
        <w:tabs>
          <w:tab w:val="num" w:pos="360"/>
        </w:tabs>
        <w:ind w:left="360" w:hanging="360"/>
      </w:pPr>
      <w:rPr>
        <w:rFonts w:ascii="Arial" w:hAnsi="Arial" w:hint="default"/>
      </w:rPr>
    </w:lvl>
    <w:lvl w:ilvl="1" w:tplc="04240003" w:tentative="1">
      <w:start w:val="1"/>
      <w:numFmt w:val="bullet"/>
      <w:lvlText w:val="o"/>
      <w:lvlJc w:val="left"/>
      <w:pPr>
        <w:tabs>
          <w:tab w:val="num" w:pos="720"/>
        </w:tabs>
        <w:ind w:left="720" w:hanging="360"/>
      </w:pPr>
      <w:rPr>
        <w:rFonts w:ascii="Courier New" w:hAnsi="Courier New" w:cs="Courier New" w:hint="default"/>
      </w:rPr>
    </w:lvl>
    <w:lvl w:ilvl="2" w:tplc="04240005" w:tentative="1">
      <w:start w:val="1"/>
      <w:numFmt w:val="bullet"/>
      <w:lvlText w:val=""/>
      <w:lvlJc w:val="left"/>
      <w:pPr>
        <w:tabs>
          <w:tab w:val="num" w:pos="1440"/>
        </w:tabs>
        <w:ind w:left="1440" w:hanging="360"/>
      </w:pPr>
      <w:rPr>
        <w:rFonts w:ascii="Wingdings" w:hAnsi="Wingdings" w:hint="default"/>
      </w:rPr>
    </w:lvl>
    <w:lvl w:ilvl="3" w:tplc="04240001" w:tentative="1">
      <w:start w:val="1"/>
      <w:numFmt w:val="bullet"/>
      <w:lvlText w:val=""/>
      <w:lvlJc w:val="left"/>
      <w:pPr>
        <w:tabs>
          <w:tab w:val="num" w:pos="2160"/>
        </w:tabs>
        <w:ind w:left="2160" w:hanging="360"/>
      </w:pPr>
      <w:rPr>
        <w:rFonts w:ascii="Symbol" w:hAnsi="Symbol" w:hint="default"/>
      </w:rPr>
    </w:lvl>
    <w:lvl w:ilvl="4" w:tplc="04240003" w:tentative="1">
      <w:start w:val="1"/>
      <w:numFmt w:val="bullet"/>
      <w:lvlText w:val="o"/>
      <w:lvlJc w:val="left"/>
      <w:pPr>
        <w:tabs>
          <w:tab w:val="num" w:pos="2880"/>
        </w:tabs>
        <w:ind w:left="2880" w:hanging="360"/>
      </w:pPr>
      <w:rPr>
        <w:rFonts w:ascii="Courier New" w:hAnsi="Courier New" w:cs="Courier New" w:hint="default"/>
      </w:rPr>
    </w:lvl>
    <w:lvl w:ilvl="5" w:tplc="04240005" w:tentative="1">
      <w:start w:val="1"/>
      <w:numFmt w:val="bullet"/>
      <w:lvlText w:val=""/>
      <w:lvlJc w:val="left"/>
      <w:pPr>
        <w:tabs>
          <w:tab w:val="num" w:pos="3600"/>
        </w:tabs>
        <w:ind w:left="3600" w:hanging="360"/>
      </w:pPr>
      <w:rPr>
        <w:rFonts w:ascii="Wingdings" w:hAnsi="Wingdings" w:hint="default"/>
      </w:rPr>
    </w:lvl>
    <w:lvl w:ilvl="6" w:tplc="04240001" w:tentative="1">
      <w:start w:val="1"/>
      <w:numFmt w:val="bullet"/>
      <w:lvlText w:val=""/>
      <w:lvlJc w:val="left"/>
      <w:pPr>
        <w:tabs>
          <w:tab w:val="num" w:pos="4320"/>
        </w:tabs>
        <w:ind w:left="4320" w:hanging="360"/>
      </w:pPr>
      <w:rPr>
        <w:rFonts w:ascii="Symbol" w:hAnsi="Symbol" w:hint="default"/>
      </w:rPr>
    </w:lvl>
    <w:lvl w:ilvl="7" w:tplc="04240003" w:tentative="1">
      <w:start w:val="1"/>
      <w:numFmt w:val="bullet"/>
      <w:lvlText w:val="o"/>
      <w:lvlJc w:val="left"/>
      <w:pPr>
        <w:tabs>
          <w:tab w:val="num" w:pos="5040"/>
        </w:tabs>
        <w:ind w:left="5040" w:hanging="360"/>
      </w:pPr>
      <w:rPr>
        <w:rFonts w:ascii="Courier New" w:hAnsi="Courier New" w:cs="Courier New" w:hint="default"/>
      </w:rPr>
    </w:lvl>
    <w:lvl w:ilvl="8" w:tplc="04240005" w:tentative="1">
      <w:start w:val="1"/>
      <w:numFmt w:val="bullet"/>
      <w:lvlText w:val=""/>
      <w:lvlJc w:val="left"/>
      <w:pPr>
        <w:tabs>
          <w:tab w:val="num" w:pos="5760"/>
        </w:tabs>
        <w:ind w:left="5760" w:hanging="360"/>
      </w:pPr>
      <w:rPr>
        <w:rFonts w:ascii="Wingdings" w:hAnsi="Wingdings" w:hint="default"/>
      </w:rPr>
    </w:lvl>
  </w:abstractNum>
  <w:abstractNum w:abstractNumId="30" w15:restartNumberingAfterBreak="0">
    <w:nsid w:val="56D57D69"/>
    <w:multiLevelType w:val="multilevel"/>
    <w:tmpl w:val="D77E7636"/>
    <w:lvl w:ilvl="0">
      <w:numFmt w:val="bullet"/>
      <w:lvlText w:val="-"/>
      <w:lvlJc w:val="left"/>
      <w:pPr>
        <w:ind w:left="927" w:hanging="360"/>
      </w:pPr>
      <w:rPr>
        <w:rFonts w:ascii="Calibri" w:eastAsia="Calibri" w:hAnsi="Calibri" w:cs="Calibri"/>
        <w:color w:val="auto"/>
      </w:rPr>
    </w:lvl>
    <w:lvl w:ilvl="1">
      <w:numFmt w:val="bullet"/>
      <w:lvlText w:val="o"/>
      <w:lvlJc w:val="left"/>
      <w:pPr>
        <w:ind w:left="1647" w:hanging="360"/>
      </w:pPr>
      <w:rPr>
        <w:rFonts w:ascii="Courier New" w:hAnsi="Courier New" w:cs="Courier New"/>
      </w:rPr>
    </w:lvl>
    <w:lvl w:ilvl="2">
      <w:numFmt w:val="bullet"/>
      <w:lvlText w:val=""/>
      <w:lvlJc w:val="left"/>
      <w:pPr>
        <w:ind w:left="2367" w:hanging="360"/>
      </w:pPr>
      <w:rPr>
        <w:rFonts w:ascii="Wingdings" w:hAnsi="Wingdings"/>
      </w:rPr>
    </w:lvl>
    <w:lvl w:ilvl="3">
      <w:numFmt w:val="bullet"/>
      <w:lvlText w:val=""/>
      <w:lvlJc w:val="left"/>
      <w:pPr>
        <w:ind w:left="3087" w:hanging="360"/>
      </w:pPr>
      <w:rPr>
        <w:rFonts w:ascii="Symbol" w:hAnsi="Symbol"/>
      </w:rPr>
    </w:lvl>
    <w:lvl w:ilvl="4">
      <w:numFmt w:val="bullet"/>
      <w:lvlText w:val="o"/>
      <w:lvlJc w:val="left"/>
      <w:pPr>
        <w:ind w:left="3807" w:hanging="360"/>
      </w:pPr>
      <w:rPr>
        <w:rFonts w:ascii="Courier New" w:hAnsi="Courier New" w:cs="Courier New"/>
      </w:rPr>
    </w:lvl>
    <w:lvl w:ilvl="5">
      <w:numFmt w:val="bullet"/>
      <w:lvlText w:val=""/>
      <w:lvlJc w:val="left"/>
      <w:pPr>
        <w:ind w:left="4527" w:hanging="360"/>
      </w:pPr>
      <w:rPr>
        <w:rFonts w:ascii="Wingdings" w:hAnsi="Wingdings"/>
      </w:rPr>
    </w:lvl>
    <w:lvl w:ilvl="6">
      <w:numFmt w:val="bullet"/>
      <w:lvlText w:val=""/>
      <w:lvlJc w:val="left"/>
      <w:pPr>
        <w:ind w:left="5247" w:hanging="360"/>
      </w:pPr>
      <w:rPr>
        <w:rFonts w:ascii="Symbol" w:hAnsi="Symbol"/>
      </w:rPr>
    </w:lvl>
    <w:lvl w:ilvl="7">
      <w:numFmt w:val="bullet"/>
      <w:lvlText w:val="o"/>
      <w:lvlJc w:val="left"/>
      <w:pPr>
        <w:ind w:left="5967" w:hanging="360"/>
      </w:pPr>
      <w:rPr>
        <w:rFonts w:ascii="Courier New" w:hAnsi="Courier New" w:cs="Courier New"/>
      </w:rPr>
    </w:lvl>
    <w:lvl w:ilvl="8">
      <w:numFmt w:val="bullet"/>
      <w:lvlText w:val=""/>
      <w:lvlJc w:val="left"/>
      <w:pPr>
        <w:ind w:left="6687" w:hanging="360"/>
      </w:pPr>
      <w:rPr>
        <w:rFonts w:ascii="Wingdings" w:hAnsi="Wingdings"/>
      </w:rPr>
    </w:lvl>
  </w:abstractNum>
  <w:abstractNum w:abstractNumId="31" w15:restartNumberingAfterBreak="0">
    <w:nsid w:val="5A2E528D"/>
    <w:multiLevelType w:val="hybridMultilevel"/>
    <w:tmpl w:val="6D0CF642"/>
    <w:lvl w:ilvl="0" w:tplc="88661C6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5AF24459"/>
    <w:multiLevelType w:val="hybridMultilevel"/>
    <w:tmpl w:val="56AC5AD4"/>
    <w:lvl w:ilvl="0" w:tplc="AB2E6E50">
      <w:start w:val="5"/>
      <w:numFmt w:val="upp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5E27358D"/>
    <w:multiLevelType w:val="hybridMultilevel"/>
    <w:tmpl w:val="A8D2F7AA"/>
    <w:lvl w:ilvl="0" w:tplc="FC4690AC">
      <w:start w:val="5"/>
      <w:numFmt w:val="bullet"/>
      <w:lvlText w:val="-"/>
      <w:lvlJc w:val="left"/>
      <w:pPr>
        <w:ind w:left="720" w:hanging="360"/>
      </w:pPr>
      <w:rPr>
        <w:rFonts w:ascii="Arial" w:eastAsia="Calibri"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0282DB3"/>
    <w:multiLevelType w:val="multilevel"/>
    <w:tmpl w:val="6DE41B26"/>
    <w:lvl w:ilvl="0">
      <w:start w:val="49"/>
      <w:numFmt w:val="bullet"/>
      <w:lvlText w:val=""/>
      <w:lvlJc w:val="left"/>
      <w:pPr>
        <w:ind w:left="284" w:hanging="284"/>
      </w:pPr>
      <w:rPr>
        <w:rFonts w:ascii="Symbol" w:eastAsia="Times New Roman" w:hAnsi="Symbol" w:cs="Times New Roman" w:hint="default"/>
        <w:color w:val="auto"/>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5"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6" w15:restartNumberingAfterBreak="0">
    <w:nsid w:val="65595782"/>
    <w:multiLevelType w:val="hybridMultilevel"/>
    <w:tmpl w:val="EFC4B4AE"/>
    <w:lvl w:ilvl="0" w:tplc="FEA23246">
      <w:numFmt w:val="bullet"/>
      <w:lvlText w:val="-"/>
      <w:lvlJc w:val="left"/>
      <w:pPr>
        <w:ind w:left="1080" w:hanging="72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6F42F4C"/>
    <w:multiLevelType w:val="hybridMultilevel"/>
    <w:tmpl w:val="E25C9882"/>
    <w:lvl w:ilvl="0" w:tplc="E5605408">
      <w:start w:val="2"/>
      <w:numFmt w:val="bullet"/>
      <w:lvlText w:val="‒"/>
      <w:lvlJc w:val="left"/>
      <w:pPr>
        <w:ind w:left="360" w:hanging="360"/>
      </w:pPr>
      <w:rPr>
        <w:rFonts w:ascii="Arial" w:eastAsia="Times New Roman" w:hAnsi="Arial" w:hint="default"/>
        <w:color w:val="auto"/>
      </w:rPr>
    </w:lvl>
    <w:lvl w:ilvl="1" w:tplc="99B40CAC">
      <w:numFmt w:val="bullet"/>
      <w:lvlText w:val="-"/>
      <w:lvlJc w:val="left"/>
      <w:pPr>
        <w:ind w:left="1080" w:hanging="360"/>
      </w:pPr>
      <w:rPr>
        <w:rFonts w:ascii="Arial" w:eastAsia="Times New Roman" w:hAnsi="Arial" w:cs="Arial" w:hint="default"/>
        <w:color w:val="auto"/>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7A0607E3"/>
    <w:multiLevelType w:val="hybridMultilevel"/>
    <w:tmpl w:val="EEE0D150"/>
    <w:lvl w:ilvl="0" w:tplc="522E1958">
      <w:start w:val="1"/>
      <w:numFmt w:val="bullet"/>
      <w:lvlText w:val="-"/>
      <w:lvlJc w:val="left"/>
      <w:pPr>
        <w:tabs>
          <w:tab w:val="num" w:pos="360"/>
        </w:tabs>
        <w:ind w:left="360" w:hanging="360"/>
      </w:pPr>
      <w:rPr>
        <w:rFonts w:ascii="Arial" w:hAnsi="Arial" w:hint="default"/>
      </w:rPr>
    </w:lvl>
    <w:lvl w:ilvl="1" w:tplc="04240003" w:tentative="1">
      <w:start w:val="1"/>
      <w:numFmt w:val="bullet"/>
      <w:lvlText w:val="o"/>
      <w:lvlJc w:val="left"/>
      <w:pPr>
        <w:tabs>
          <w:tab w:val="num" w:pos="720"/>
        </w:tabs>
        <w:ind w:left="720" w:hanging="360"/>
      </w:pPr>
      <w:rPr>
        <w:rFonts w:ascii="Courier New" w:hAnsi="Courier New" w:cs="Courier New" w:hint="default"/>
      </w:rPr>
    </w:lvl>
    <w:lvl w:ilvl="2" w:tplc="04240005" w:tentative="1">
      <w:start w:val="1"/>
      <w:numFmt w:val="bullet"/>
      <w:lvlText w:val=""/>
      <w:lvlJc w:val="left"/>
      <w:pPr>
        <w:tabs>
          <w:tab w:val="num" w:pos="1440"/>
        </w:tabs>
        <w:ind w:left="1440" w:hanging="360"/>
      </w:pPr>
      <w:rPr>
        <w:rFonts w:ascii="Wingdings" w:hAnsi="Wingdings" w:hint="default"/>
      </w:rPr>
    </w:lvl>
    <w:lvl w:ilvl="3" w:tplc="04240001" w:tentative="1">
      <w:start w:val="1"/>
      <w:numFmt w:val="bullet"/>
      <w:lvlText w:val=""/>
      <w:lvlJc w:val="left"/>
      <w:pPr>
        <w:tabs>
          <w:tab w:val="num" w:pos="2160"/>
        </w:tabs>
        <w:ind w:left="2160" w:hanging="360"/>
      </w:pPr>
      <w:rPr>
        <w:rFonts w:ascii="Symbol" w:hAnsi="Symbol" w:hint="default"/>
      </w:rPr>
    </w:lvl>
    <w:lvl w:ilvl="4" w:tplc="04240003" w:tentative="1">
      <w:start w:val="1"/>
      <w:numFmt w:val="bullet"/>
      <w:lvlText w:val="o"/>
      <w:lvlJc w:val="left"/>
      <w:pPr>
        <w:tabs>
          <w:tab w:val="num" w:pos="2880"/>
        </w:tabs>
        <w:ind w:left="2880" w:hanging="360"/>
      </w:pPr>
      <w:rPr>
        <w:rFonts w:ascii="Courier New" w:hAnsi="Courier New" w:cs="Courier New" w:hint="default"/>
      </w:rPr>
    </w:lvl>
    <w:lvl w:ilvl="5" w:tplc="04240005" w:tentative="1">
      <w:start w:val="1"/>
      <w:numFmt w:val="bullet"/>
      <w:lvlText w:val=""/>
      <w:lvlJc w:val="left"/>
      <w:pPr>
        <w:tabs>
          <w:tab w:val="num" w:pos="3600"/>
        </w:tabs>
        <w:ind w:left="3600" w:hanging="360"/>
      </w:pPr>
      <w:rPr>
        <w:rFonts w:ascii="Wingdings" w:hAnsi="Wingdings" w:hint="default"/>
      </w:rPr>
    </w:lvl>
    <w:lvl w:ilvl="6" w:tplc="04240001" w:tentative="1">
      <w:start w:val="1"/>
      <w:numFmt w:val="bullet"/>
      <w:lvlText w:val=""/>
      <w:lvlJc w:val="left"/>
      <w:pPr>
        <w:tabs>
          <w:tab w:val="num" w:pos="4320"/>
        </w:tabs>
        <w:ind w:left="4320" w:hanging="360"/>
      </w:pPr>
      <w:rPr>
        <w:rFonts w:ascii="Symbol" w:hAnsi="Symbol" w:hint="default"/>
      </w:rPr>
    </w:lvl>
    <w:lvl w:ilvl="7" w:tplc="04240003" w:tentative="1">
      <w:start w:val="1"/>
      <w:numFmt w:val="bullet"/>
      <w:lvlText w:val="o"/>
      <w:lvlJc w:val="left"/>
      <w:pPr>
        <w:tabs>
          <w:tab w:val="num" w:pos="5040"/>
        </w:tabs>
        <w:ind w:left="5040" w:hanging="360"/>
      </w:pPr>
      <w:rPr>
        <w:rFonts w:ascii="Courier New" w:hAnsi="Courier New" w:cs="Courier New" w:hint="default"/>
      </w:rPr>
    </w:lvl>
    <w:lvl w:ilvl="8" w:tplc="04240005" w:tentative="1">
      <w:start w:val="1"/>
      <w:numFmt w:val="bullet"/>
      <w:lvlText w:val=""/>
      <w:lvlJc w:val="left"/>
      <w:pPr>
        <w:tabs>
          <w:tab w:val="num" w:pos="5760"/>
        </w:tabs>
        <w:ind w:left="5760" w:hanging="360"/>
      </w:pPr>
      <w:rPr>
        <w:rFonts w:ascii="Wingdings" w:hAnsi="Wingdings" w:hint="default"/>
      </w:rPr>
    </w:lvl>
  </w:abstractNum>
  <w:abstractNum w:abstractNumId="39" w15:restartNumberingAfterBreak="0">
    <w:nsid w:val="7A6E3086"/>
    <w:multiLevelType w:val="hybridMultilevel"/>
    <w:tmpl w:val="10282B66"/>
    <w:lvl w:ilvl="0" w:tplc="FFFFFFFF">
      <w:start w:val="1"/>
      <w:numFmt w:val="upp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7F9F5B5F"/>
    <w:multiLevelType w:val="hybridMultilevel"/>
    <w:tmpl w:val="4E76736A"/>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35"/>
  </w:num>
  <w:num w:numId="2">
    <w:abstractNumId w:val="16"/>
  </w:num>
  <w:num w:numId="3">
    <w:abstractNumId w:val="24"/>
  </w:num>
  <w:num w:numId="4">
    <w:abstractNumId w:val="5"/>
  </w:num>
  <w:num w:numId="5">
    <w:abstractNumId w:val="7"/>
  </w:num>
  <w:num w:numId="6">
    <w:abstractNumId w:val="6"/>
  </w:num>
  <w:num w:numId="7">
    <w:abstractNumId w:val="26"/>
  </w:num>
  <w:num w:numId="8">
    <w:abstractNumId w:val="38"/>
  </w:num>
  <w:num w:numId="9">
    <w:abstractNumId w:val="29"/>
  </w:num>
  <w:num w:numId="10">
    <w:abstractNumId w:val="14"/>
  </w:num>
  <w:num w:numId="11">
    <w:abstractNumId w:val="23"/>
  </w:num>
  <w:num w:numId="12">
    <w:abstractNumId w:val="31"/>
  </w:num>
  <w:num w:numId="13">
    <w:abstractNumId w:val="21"/>
  </w:num>
  <w:num w:numId="14">
    <w:abstractNumId w:val="0"/>
  </w:num>
  <w:num w:numId="15">
    <w:abstractNumId w:val="0"/>
  </w:num>
  <w:num w:numId="16">
    <w:abstractNumId w:val="17"/>
  </w:num>
  <w:num w:numId="17">
    <w:abstractNumId w:val="13"/>
  </w:num>
  <w:num w:numId="18">
    <w:abstractNumId w:val="22"/>
  </w:num>
  <w:num w:numId="19">
    <w:abstractNumId w:val="36"/>
  </w:num>
  <w:num w:numId="20">
    <w:abstractNumId w:val="2"/>
  </w:num>
  <w:num w:numId="21">
    <w:abstractNumId w:val="40"/>
  </w:num>
  <w:num w:numId="22">
    <w:abstractNumId w:val="8"/>
  </w:num>
  <w:num w:numId="23">
    <w:abstractNumId w:val="4"/>
  </w:num>
  <w:num w:numId="24">
    <w:abstractNumId w:val="30"/>
  </w:num>
  <w:num w:numId="25">
    <w:abstractNumId w:val="20"/>
  </w:num>
  <w:num w:numId="26">
    <w:abstractNumId w:val="37"/>
  </w:num>
  <w:num w:numId="27">
    <w:abstractNumId w:val="18"/>
  </w:num>
  <w:num w:numId="28">
    <w:abstractNumId w:val="34"/>
  </w:num>
  <w:num w:numId="29">
    <w:abstractNumId w:val="19"/>
  </w:num>
  <w:num w:numId="30">
    <w:abstractNumId w:val="1"/>
  </w:num>
  <w:num w:numId="31">
    <w:abstractNumId w:val="9"/>
  </w:num>
  <w:num w:numId="32">
    <w:abstractNumId w:val="33"/>
  </w:num>
  <w:num w:numId="33">
    <w:abstractNumId w:val="11"/>
  </w:num>
  <w:num w:numId="34">
    <w:abstractNumId w:val="15"/>
  </w:num>
  <w:num w:numId="35">
    <w:abstractNumId w:val="12"/>
  </w:num>
  <w:num w:numId="36">
    <w:abstractNumId w:val="39"/>
  </w:num>
  <w:num w:numId="37">
    <w:abstractNumId w:val="28"/>
  </w:num>
  <w:num w:numId="38">
    <w:abstractNumId w:val="25"/>
  </w:num>
  <w:num w:numId="39">
    <w:abstractNumId w:val="27"/>
  </w:num>
  <w:num w:numId="40">
    <w:abstractNumId w:val="10"/>
  </w:num>
  <w:num w:numId="41">
    <w:abstractNumId w:val="32"/>
  </w:num>
  <w:num w:numId="4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1">
      <o:colormru v:ext="edit" colors="#428299,#529dba"/>
    </o:shapedefaults>
    <o:shapelayout v:ext="edit">
      <o:rules v:ext="edit">
        <o:r id="V:Rule2" type="connector" idref="#_x0000_s1050"/>
      </o:rules>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4DA3"/>
    <w:rsid w:val="00004957"/>
    <w:rsid w:val="00004CCB"/>
    <w:rsid w:val="00012170"/>
    <w:rsid w:val="0001285F"/>
    <w:rsid w:val="00015977"/>
    <w:rsid w:val="00015FEF"/>
    <w:rsid w:val="0001616F"/>
    <w:rsid w:val="00023A88"/>
    <w:rsid w:val="0002594C"/>
    <w:rsid w:val="000307AD"/>
    <w:rsid w:val="00031B0D"/>
    <w:rsid w:val="0003282E"/>
    <w:rsid w:val="000407AD"/>
    <w:rsid w:val="0004165F"/>
    <w:rsid w:val="00042359"/>
    <w:rsid w:val="000430E0"/>
    <w:rsid w:val="00053BB5"/>
    <w:rsid w:val="000570E8"/>
    <w:rsid w:val="00057875"/>
    <w:rsid w:val="0006711C"/>
    <w:rsid w:val="00072D3A"/>
    <w:rsid w:val="000836CD"/>
    <w:rsid w:val="00085029"/>
    <w:rsid w:val="00091AEA"/>
    <w:rsid w:val="0009609D"/>
    <w:rsid w:val="000964D4"/>
    <w:rsid w:val="000A3E17"/>
    <w:rsid w:val="000A4AD1"/>
    <w:rsid w:val="000A7238"/>
    <w:rsid w:val="000B04B5"/>
    <w:rsid w:val="000B11F9"/>
    <w:rsid w:val="000B167D"/>
    <w:rsid w:val="000B713B"/>
    <w:rsid w:val="000C1EBC"/>
    <w:rsid w:val="000C4DA3"/>
    <w:rsid w:val="000C740E"/>
    <w:rsid w:val="000D0B96"/>
    <w:rsid w:val="000D3579"/>
    <w:rsid w:val="000E10CA"/>
    <w:rsid w:val="000E25D5"/>
    <w:rsid w:val="000E79DB"/>
    <w:rsid w:val="001148F5"/>
    <w:rsid w:val="00116349"/>
    <w:rsid w:val="00116896"/>
    <w:rsid w:val="00117C3B"/>
    <w:rsid w:val="00121543"/>
    <w:rsid w:val="00122D7D"/>
    <w:rsid w:val="00123A64"/>
    <w:rsid w:val="00124303"/>
    <w:rsid w:val="00126848"/>
    <w:rsid w:val="00127B86"/>
    <w:rsid w:val="00131ADC"/>
    <w:rsid w:val="001357B2"/>
    <w:rsid w:val="0014069B"/>
    <w:rsid w:val="001416A1"/>
    <w:rsid w:val="0014600A"/>
    <w:rsid w:val="00150259"/>
    <w:rsid w:val="001511F1"/>
    <w:rsid w:val="00160DFF"/>
    <w:rsid w:val="00161AB8"/>
    <w:rsid w:val="00161B71"/>
    <w:rsid w:val="00162821"/>
    <w:rsid w:val="00163751"/>
    <w:rsid w:val="00164064"/>
    <w:rsid w:val="00166183"/>
    <w:rsid w:val="001669E1"/>
    <w:rsid w:val="00167FF8"/>
    <w:rsid w:val="00171A02"/>
    <w:rsid w:val="00171CD1"/>
    <w:rsid w:val="001733B5"/>
    <w:rsid w:val="0017478F"/>
    <w:rsid w:val="001762B8"/>
    <w:rsid w:val="00176F89"/>
    <w:rsid w:val="0018055F"/>
    <w:rsid w:val="00184F8B"/>
    <w:rsid w:val="00185562"/>
    <w:rsid w:val="00186012"/>
    <w:rsid w:val="00195717"/>
    <w:rsid w:val="001A01CC"/>
    <w:rsid w:val="001A1BE6"/>
    <w:rsid w:val="001A374B"/>
    <w:rsid w:val="001A7372"/>
    <w:rsid w:val="001A7465"/>
    <w:rsid w:val="001B2051"/>
    <w:rsid w:val="001B3F20"/>
    <w:rsid w:val="001C0D60"/>
    <w:rsid w:val="001C689B"/>
    <w:rsid w:val="001C6F78"/>
    <w:rsid w:val="001C7CDB"/>
    <w:rsid w:val="001D44CC"/>
    <w:rsid w:val="001D5022"/>
    <w:rsid w:val="001E3116"/>
    <w:rsid w:val="001E42CE"/>
    <w:rsid w:val="001E55A6"/>
    <w:rsid w:val="001E57AF"/>
    <w:rsid w:val="001F2088"/>
    <w:rsid w:val="001F4606"/>
    <w:rsid w:val="001F6AAB"/>
    <w:rsid w:val="00200E09"/>
    <w:rsid w:val="00202A77"/>
    <w:rsid w:val="00204033"/>
    <w:rsid w:val="00207C94"/>
    <w:rsid w:val="00211306"/>
    <w:rsid w:val="00212120"/>
    <w:rsid w:val="00220BC6"/>
    <w:rsid w:val="002212F9"/>
    <w:rsid w:val="00223DB2"/>
    <w:rsid w:val="00227ADC"/>
    <w:rsid w:val="00230BAF"/>
    <w:rsid w:val="00237FCF"/>
    <w:rsid w:val="00242381"/>
    <w:rsid w:val="0024313F"/>
    <w:rsid w:val="0024562C"/>
    <w:rsid w:val="00246583"/>
    <w:rsid w:val="0025039E"/>
    <w:rsid w:val="002521FF"/>
    <w:rsid w:val="00257E2C"/>
    <w:rsid w:val="0026135C"/>
    <w:rsid w:val="00262593"/>
    <w:rsid w:val="00265FA6"/>
    <w:rsid w:val="00267C99"/>
    <w:rsid w:val="00267E56"/>
    <w:rsid w:val="00271CE5"/>
    <w:rsid w:val="00273EC9"/>
    <w:rsid w:val="00274CD4"/>
    <w:rsid w:val="00277FDB"/>
    <w:rsid w:val="00280756"/>
    <w:rsid w:val="00281D7A"/>
    <w:rsid w:val="00282020"/>
    <w:rsid w:val="00282F76"/>
    <w:rsid w:val="00290BBE"/>
    <w:rsid w:val="00291927"/>
    <w:rsid w:val="002942F9"/>
    <w:rsid w:val="00294608"/>
    <w:rsid w:val="00295741"/>
    <w:rsid w:val="00296356"/>
    <w:rsid w:val="002973FB"/>
    <w:rsid w:val="00297E3A"/>
    <w:rsid w:val="002A0930"/>
    <w:rsid w:val="002A212E"/>
    <w:rsid w:val="002A2B69"/>
    <w:rsid w:val="002A5EFC"/>
    <w:rsid w:val="002A6D6C"/>
    <w:rsid w:val="002A6E72"/>
    <w:rsid w:val="002A74B5"/>
    <w:rsid w:val="002B09C1"/>
    <w:rsid w:val="002B1FDD"/>
    <w:rsid w:val="002B291B"/>
    <w:rsid w:val="002B3C3C"/>
    <w:rsid w:val="002C16AE"/>
    <w:rsid w:val="002C1CA5"/>
    <w:rsid w:val="002C632E"/>
    <w:rsid w:val="002D31C0"/>
    <w:rsid w:val="002D4E8A"/>
    <w:rsid w:val="002D5799"/>
    <w:rsid w:val="002E2EA4"/>
    <w:rsid w:val="002E318C"/>
    <w:rsid w:val="002E32A5"/>
    <w:rsid w:val="002E4397"/>
    <w:rsid w:val="002E76B3"/>
    <w:rsid w:val="002F27AE"/>
    <w:rsid w:val="002F3E92"/>
    <w:rsid w:val="00303093"/>
    <w:rsid w:val="00303C70"/>
    <w:rsid w:val="00305DE7"/>
    <w:rsid w:val="00305E5E"/>
    <w:rsid w:val="00307DC1"/>
    <w:rsid w:val="00310E7E"/>
    <w:rsid w:val="003113F2"/>
    <w:rsid w:val="0031378F"/>
    <w:rsid w:val="003151CF"/>
    <w:rsid w:val="00320731"/>
    <w:rsid w:val="00324B30"/>
    <w:rsid w:val="00324D3C"/>
    <w:rsid w:val="0033059E"/>
    <w:rsid w:val="003359C4"/>
    <w:rsid w:val="003373E6"/>
    <w:rsid w:val="00344092"/>
    <w:rsid w:val="00351631"/>
    <w:rsid w:val="003534E0"/>
    <w:rsid w:val="00355F9F"/>
    <w:rsid w:val="00361363"/>
    <w:rsid w:val="00361370"/>
    <w:rsid w:val="003636BF"/>
    <w:rsid w:val="003670F9"/>
    <w:rsid w:val="00371442"/>
    <w:rsid w:val="00372067"/>
    <w:rsid w:val="00372AA1"/>
    <w:rsid w:val="00373797"/>
    <w:rsid w:val="0037559E"/>
    <w:rsid w:val="00377097"/>
    <w:rsid w:val="00380CFF"/>
    <w:rsid w:val="003845B4"/>
    <w:rsid w:val="0038619A"/>
    <w:rsid w:val="00387187"/>
    <w:rsid w:val="00387B1A"/>
    <w:rsid w:val="003913E6"/>
    <w:rsid w:val="00392381"/>
    <w:rsid w:val="00392AD0"/>
    <w:rsid w:val="00393131"/>
    <w:rsid w:val="00394669"/>
    <w:rsid w:val="0039563E"/>
    <w:rsid w:val="003A2295"/>
    <w:rsid w:val="003A2B7A"/>
    <w:rsid w:val="003A2CF7"/>
    <w:rsid w:val="003A377B"/>
    <w:rsid w:val="003A3CDC"/>
    <w:rsid w:val="003A4000"/>
    <w:rsid w:val="003A5FE4"/>
    <w:rsid w:val="003B1A12"/>
    <w:rsid w:val="003C0B27"/>
    <w:rsid w:val="003C1F52"/>
    <w:rsid w:val="003C3A38"/>
    <w:rsid w:val="003C5EE5"/>
    <w:rsid w:val="003C7756"/>
    <w:rsid w:val="003D056B"/>
    <w:rsid w:val="003D3964"/>
    <w:rsid w:val="003D3EBC"/>
    <w:rsid w:val="003D447C"/>
    <w:rsid w:val="003D5BDA"/>
    <w:rsid w:val="003D6DE5"/>
    <w:rsid w:val="003E15CC"/>
    <w:rsid w:val="003E1C74"/>
    <w:rsid w:val="003E2C2C"/>
    <w:rsid w:val="003E3756"/>
    <w:rsid w:val="003E44DB"/>
    <w:rsid w:val="003F1443"/>
    <w:rsid w:val="003F1550"/>
    <w:rsid w:val="003F18A0"/>
    <w:rsid w:val="003F4C4E"/>
    <w:rsid w:val="003F4F78"/>
    <w:rsid w:val="0041252B"/>
    <w:rsid w:val="004125D6"/>
    <w:rsid w:val="00415190"/>
    <w:rsid w:val="004155EB"/>
    <w:rsid w:val="00420D5D"/>
    <w:rsid w:val="00423162"/>
    <w:rsid w:val="00424C8E"/>
    <w:rsid w:val="004258CF"/>
    <w:rsid w:val="004273D2"/>
    <w:rsid w:val="0043369B"/>
    <w:rsid w:val="00434405"/>
    <w:rsid w:val="00436454"/>
    <w:rsid w:val="0044072C"/>
    <w:rsid w:val="0044181A"/>
    <w:rsid w:val="00445BA1"/>
    <w:rsid w:val="00447A0F"/>
    <w:rsid w:val="00451141"/>
    <w:rsid w:val="004525D9"/>
    <w:rsid w:val="00454685"/>
    <w:rsid w:val="00455AB9"/>
    <w:rsid w:val="0046456C"/>
    <w:rsid w:val="004657EE"/>
    <w:rsid w:val="004722E0"/>
    <w:rsid w:val="00473F28"/>
    <w:rsid w:val="004740E3"/>
    <w:rsid w:val="004742E3"/>
    <w:rsid w:val="004769B3"/>
    <w:rsid w:val="00480109"/>
    <w:rsid w:val="00481BD3"/>
    <w:rsid w:val="00482FF5"/>
    <w:rsid w:val="0048715D"/>
    <w:rsid w:val="00487C59"/>
    <w:rsid w:val="00492112"/>
    <w:rsid w:val="004934E4"/>
    <w:rsid w:val="004A619C"/>
    <w:rsid w:val="004A7891"/>
    <w:rsid w:val="004A7C61"/>
    <w:rsid w:val="004B02F5"/>
    <w:rsid w:val="004B35CE"/>
    <w:rsid w:val="004B4319"/>
    <w:rsid w:val="004B5FD1"/>
    <w:rsid w:val="004B61BE"/>
    <w:rsid w:val="004B6C3A"/>
    <w:rsid w:val="004B6D7E"/>
    <w:rsid w:val="004C2D74"/>
    <w:rsid w:val="004C4250"/>
    <w:rsid w:val="004C4ADF"/>
    <w:rsid w:val="004C6896"/>
    <w:rsid w:val="004D2AAA"/>
    <w:rsid w:val="004D3941"/>
    <w:rsid w:val="004E150A"/>
    <w:rsid w:val="004E4804"/>
    <w:rsid w:val="004E7CBC"/>
    <w:rsid w:val="004F018D"/>
    <w:rsid w:val="004F064F"/>
    <w:rsid w:val="004F1E39"/>
    <w:rsid w:val="004F22D4"/>
    <w:rsid w:val="004F5789"/>
    <w:rsid w:val="00503D96"/>
    <w:rsid w:val="005070FA"/>
    <w:rsid w:val="0050763B"/>
    <w:rsid w:val="00510C4E"/>
    <w:rsid w:val="0051136D"/>
    <w:rsid w:val="00511755"/>
    <w:rsid w:val="00511DE1"/>
    <w:rsid w:val="00523490"/>
    <w:rsid w:val="00526246"/>
    <w:rsid w:val="00531DD4"/>
    <w:rsid w:val="005322EB"/>
    <w:rsid w:val="005325DF"/>
    <w:rsid w:val="00534D13"/>
    <w:rsid w:val="00545921"/>
    <w:rsid w:val="00545BCA"/>
    <w:rsid w:val="00545FC0"/>
    <w:rsid w:val="005463A6"/>
    <w:rsid w:val="00554BA2"/>
    <w:rsid w:val="00554BA8"/>
    <w:rsid w:val="00555EA4"/>
    <w:rsid w:val="00557011"/>
    <w:rsid w:val="00562706"/>
    <w:rsid w:val="00563C84"/>
    <w:rsid w:val="00564C60"/>
    <w:rsid w:val="00564FB9"/>
    <w:rsid w:val="00565DB6"/>
    <w:rsid w:val="00567106"/>
    <w:rsid w:val="00574A87"/>
    <w:rsid w:val="00575342"/>
    <w:rsid w:val="00575DA7"/>
    <w:rsid w:val="005761D1"/>
    <w:rsid w:val="005776E7"/>
    <w:rsid w:val="00581319"/>
    <w:rsid w:val="00583E70"/>
    <w:rsid w:val="005933A7"/>
    <w:rsid w:val="005A0C42"/>
    <w:rsid w:val="005A2242"/>
    <w:rsid w:val="005A33F5"/>
    <w:rsid w:val="005A6CF8"/>
    <w:rsid w:val="005A7881"/>
    <w:rsid w:val="005B2A40"/>
    <w:rsid w:val="005C0C2B"/>
    <w:rsid w:val="005C24E9"/>
    <w:rsid w:val="005D46E0"/>
    <w:rsid w:val="005D6674"/>
    <w:rsid w:val="005D6DC2"/>
    <w:rsid w:val="005E1D3C"/>
    <w:rsid w:val="005E2899"/>
    <w:rsid w:val="005E315B"/>
    <w:rsid w:val="005E3546"/>
    <w:rsid w:val="005E4BA2"/>
    <w:rsid w:val="005E4ECE"/>
    <w:rsid w:val="005E78A5"/>
    <w:rsid w:val="005F2933"/>
    <w:rsid w:val="005F3EC2"/>
    <w:rsid w:val="005F6C81"/>
    <w:rsid w:val="005F6FD1"/>
    <w:rsid w:val="006053DA"/>
    <w:rsid w:val="0061150E"/>
    <w:rsid w:val="00614583"/>
    <w:rsid w:val="006157B4"/>
    <w:rsid w:val="00617BA7"/>
    <w:rsid w:val="0062020D"/>
    <w:rsid w:val="006205B1"/>
    <w:rsid w:val="00624A39"/>
    <w:rsid w:val="0062518F"/>
    <w:rsid w:val="00625AE6"/>
    <w:rsid w:val="0063071A"/>
    <w:rsid w:val="00632253"/>
    <w:rsid w:val="00642714"/>
    <w:rsid w:val="006455CE"/>
    <w:rsid w:val="00646026"/>
    <w:rsid w:val="00652508"/>
    <w:rsid w:val="00652767"/>
    <w:rsid w:val="0065344B"/>
    <w:rsid w:val="00655841"/>
    <w:rsid w:val="00655E20"/>
    <w:rsid w:val="0065621D"/>
    <w:rsid w:val="006567D1"/>
    <w:rsid w:val="00656C26"/>
    <w:rsid w:val="0066732C"/>
    <w:rsid w:val="0067206F"/>
    <w:rsid w:val="0067678D"/>
    <w:rsid w:val="00676CFB"/>
    <w:rsid w:val="0068027C"/>
    <w:rsid w:val="00681509"/>
    <w:rsid w:val="006847C5"/>
    <w:rsid w:val="00685831"/>
    <w:rsid w:val="006865CC"/>
    <w:rsid w:val="0069086C"/>
    <w:rsid w:val="00692259"/>
    <w:rsid w:val="00692E8C"/>
    <w:rsid w:val="006A0C93"/>
    <w:rsid w:val="006A2EEE"/>
    <w:rsid w:val="006B5698"/>
    <w:rsid w:val="006C113D"/>
    <w:rsid w:val="006D5E6F"/>
    <w:rsid w:val="006E0A14"/>
    <w:rsid w:val="006E1ABA"/>
    <w:rsid w:val="006F0498"/>
    <w:rsid w:val="006F364E"/>
    <w:rsid w:val="006F416A"/>
    <w:rsid w:val="006F55B4"/>
    <w:rsid w:val="007004FF"/>
    <w:rsid w:val="00701E3A"/>
    <w:rsid w:val="00702542"/>
    <w:rsid w:val="00702882"/>
    <w:rsid w:val="007036A5"/>
    <w:rsid w:val="00705356"/>
    <w:rsid w:val="007056DC"/>
    <w:rsid w:val="007126FC"/>
    <w:rsid w:val="00721A1F"/>
    <w:rsid w:val="007230AE"/>
    <w:rsid w:val="007246E2"/>
    <w:rsid w:val="00733017"/>
    <w:rsid w:val="00745631"/>
    <w:rsid w:val="007461F1"/>
    <w:rsid w:val="007510C8"/>
    <w:rsid w:val="00752046"/>
    <w:rsid w:val="007539ED"/>
    <w:rsid w:val="007546B9"/>
    <w:rsid w:val="0075557F"/>
    <w:rsid w:val="00764633"/>
    <w:rsid w:val="00764F51"/>
    <w:rsid w:val="00765C17"/>
    <w:rsid w:val="007662F4"/>
    <w:rsid w:val="007679BA"/>
    <w:rsid w:val="0077133D"/>
    <w:rsid w:val="00771B7A"/>
    <w:rsid w:val="0077223C"/>
    <w:rsid w:val="00772F72"/>
    <w:rsid w:val="00773951"/>
    <w:rsid w:val="007754E0"/>
    <w:rsid w:val="00775F0A"/>
    <w:rsid w:val="0078051E"/>
    <w:rsid w:val="00782F79"/>
    <w:rsid w:val="00783310"/>
    <w:rsid w:val="00783CC6"/>
    <w:rsid w:val="00783E18"/>
    <w:rsid w:val="00791E8A"/>
    <w:rsid w:val="00795B49"/>
    <w:rsid w:val="00795BE2"/>
    <w:rsid w:val="007971DB"/>
    <w:rsid w:val="007A0344"/>
    <w:rsid w:val="007A0669"/>
    <w:rsid w:val="007A138E"/>
    <w:rsid w:val="007A4649"/>
    <w:rsid w:val="007A4A6D"/>
    <w:rsid w:val="007B0EC2"/>
    <w:rsid w:val="007B110C"/>
    <w:rsid w:val="007B2CC7"/>
    <w:rsid w:val="007B31BC"/>
    <w:rsid w:val="007B3B77"/>
    <w:rsid w:val="007B4AE2"/>
    <w:rsid w:val="007B5836"/>
    <w:rsid w:val="007C139E"/>
    <w:rsid w:val="007C4415"/>
    <w:rsid w:val="007C4440"/>
    <w:rsid w:val="007C56A8"/>
    <w:rsid w:val="007C59F8"/>
    <w:rsid w:val="007C5FB0"/>
    <w:rsid w:val="007D1BCF"/>
    <w:rsid w:val="007D4339"/>
    <w:rsid w:val="007D5B5F"/>
    <w:rsid w:val="007D61E2"/>
    <w:rsid w:val="007D6945"/>
    <w:rsid w:val="007D75CF"/>
    <w:rsid w:val="007D7F21"/>
    <w:rsid w:val="007E0440"/>
    <w:rsid w:val="007E3A3B"/>
    <w:rsid w:val="007E6DC5"/>
    <w:rsid w:val="007F3CAE"/>
    <w:rsid w:val="007F64B2"/>
    <w:rsid w:val="00803411"/>
    <w:rsid w:val="00803D14"/>
    <w:rsid w:val="00805C40"/>
    <w:rsid w:val="00823F9D"/>
    <w:rsid w:val="00826516"/>
    <w:rsid w:val="008372C3"/>
    <w:rsid w:val="0084415F"/>
    <w:rsid w:val="008471E9"/>
    <w:rsid w:val="00847A71"/>
    <w:rsid w:val="00853470"/>
    <w:rsid w:val="008536BB"/>
    <w:rsid w:val="00853B26"/>
    <w:rsid w:val="008550BF"/>
    <w:rsid w:val="008553ED"/>
    <w:rsid w:val="008573B8"/>
    <w:rsid w:val="008614B6"/>
    <w:rsid w:val="00866E80"/>
    <w:rsid w:val="0086729D"/>
    <w:rsid w:val="00871FBF"/>
    <w:rsid w:val="00872948"/>
    <w:rsid w:val="00874F6A"/>
    <w:rsid w:val="00876658"/>
    <w:rsid w:val="00877FFC"/>
    <w:rsid w:val="0088043C"/>
    <w:rsid w:val="008807EA"/>
    <w:rsid w:val="00881605"/>
    <w:rsid w:val="00882582"/>
    <w:rsid w:val="00884889"/>
    <w:rsid w:val="008863C3"/>
    <w:rsid w:val="00890396"/>
    <w:rsid w:val="008906C9"/>
    <w:rsid w:val="00892AE9"/>
    <w:rsid w:val="00892D89"/>
    <w:rsid w:val="00895809"/>
    <w:rsid w:val="0089750A"/>
    <w:rsid w:val="008B0003"/>
    <w:rsid w:val="008B0A9D"/>
    <w:rsid w:val="008B2524"/>
    <w:rsid w:val="008C5738"/>
    <w:rsid w:val="008C7418"/>
    <w:rsid w:val="008D04F0"/>
    <w:rsid w:val="008D125E"/>
    <w:rsid w:val="008D2452"/>
    <w:rsid w:val="008D6F01"/>
    <w:rsid w:val="008E10EA"/>
    <w:rsid w:val="008E1DC2"/>
    <w:rsid w:val="008E2070"/>
    <w:rsid w:val="008E2102"/>
    <w:rsid w:val="008E43CD"/>
    <w:rsid w:val="008E7C3F"/>
    <w:rsid w:val="008F047D"/>
    <w:rsid w:val="008F0EE7"/>
    <w:rsid w:val="008F1AB5"/>
    <w:rsid w:val="008F258E"/>
    <w:rsid w:val="008F2BC3"/>
    <w:rsid w:val="008F3500"/>
    <w:rsid w:val="00901872"/>
    <w:rsid w:val="0090199D"/>
    <w:rsid w:val="00902F54"/>
    <w:rsid w:val="009041D8"/>
    <w:rsid w:val="00904751"/>
    <w:rsid w:val="00904E82"/>
    <w:rsid w:val="00904F1C"/>
    <w:rsid w:val="0090569B"/>
    <w:rsid w:val="00910255"/>
    <w:rsid w:val="00910E68"/>
    <w:rsid w:val="00911F3D"/>
    <w:rsid w:val="00912B1D"/>
    <w:rsid w:val="00912CC3"/>
    <w:rsid w:val="00915C0D"/>
    <w:rsid w:val="009204B4"/>
    <w:rsid w:val="00921A06"/>
    <w:rsid w:val="00922DAC"/>
    <w:rsid w:val="00924E3C"/>
    <w:rsid w:val="009256F2"/>
    <w:rsid w:val="00930A9A"/>
    <w:rsid w:val="009312A7"/>
    <w:rsid w:val="0093423C"/>
    <w:rsid w:val="009376BA"/>
    <w:rsid w:val="00940AEE"/>
    <w:rsid w:val="00947FE8"/>
    <w:rsid w:val="00951A2E"/>
    <w:rsid w:val="00952023"/>
    <w:rsid w:val="0095596F"/>
    <w:rsid w:val="00957421"/>
    <w:rsid w:val="009612BB"/>
    <w:rsid w:val="00962656"/>
    <w:rsid w:val="009631E8"/>
    <w:rsid w:val="009659F8"/>
    <w:rsid w:val="00966900"/>
    <w:rsid w:val="00971B73"/>
    <w:rsid w:val="00973A6D"/>
    <w:rsid w:val="00981255"/>
    <w:rsid w:val="00986743"/>
    <w:rsid w:val="00992E67"/>
    <w:rsid w:val="0099437B"/>
    <w:rsid w:val="009A0A35"/>
    <w:rsid w:val="009A256C"/>
    <w:rsid w:val="009A2B72"/>
    <w:rsid w:val="009A2DA3"/>
    <w:rsid w:val="009A3525"/>
    <w:rsid w:val="009A6178"/>
    <w:rsid w:val="009B0C06"/>
    <w:rsid w:val="009B0CDB"/>
    <w:rsid w:val="009B31B0"/>
    <w:rsid w:val="009B5DC7"/>
    <w:rsid w:val="009C3CE3"/>
    <w:rsid w:val="009C5D21"/>
    <w:rsid w:val="009C619B"/>
    <w:rsid w:val="009C740A"/>
    <w:rsid w:val="009C7931"/>
    <w:rsid w:val="009D076F"/>
    <w:rsid w:val="009D2CEC"/>
    <w:rsid w:val="009D66CD"/>
    <w:rsid w:val="009E007E"/>
    <w:rsid w:val="009E0426"/>
    <w:rsid w:val="009E3355"/>
    <w:rsid w:val="009E415E"/>
    <w:rsid w:val="009E4DBC"/>
    <w:rsid w:val="009E4FBE"/>
    <w:rsid w:val="009F0CB7"/>
    <w:rsid w:val="009F130A"/>
    <w:rsid w:val="009F51BD"/>
    <w:rsid w:val="009F6375"/>
    <w:rsid w:val="009F64AB"/>
    <w:rsid w:val="009F6A47"/>
    <w:rsid w:val="00A052EC"/>
    <w:rsid w:val="00A0743D"/>
    <w:rsid w:val="00A125C5"/>
    <w:rsid w:val="00A20C43"/>
    <w:rsid w:val="00A21330"/>
    <w:rsid w:val="00A23114"/>
    <w:rsid w:val="00A2451C"/>
    <w:rsid w:val="00A260FF"/>
    <w:rsid w:val="00A3126E"/>
    <w:rsid w:val="00A33A3E"/>
    <w:rsid w:val="00A34D97"/>
    <w:rsid w:val="00A360AB"/>
    <w:rsid w:val="00A362E4"/>
    <w:rsid w:val="00A37830"/>
    <w:rsid w:val="00A45D43"/>
    <w:rsid w:val="00A51F9C"/>
    <w:rsid w:val="00A5221F"/>
    <w:rsid w:val="00A562DF"/>
    <w:rsid w:val="00A574A8"/>
    <w:rsid w:val="00A61CD5"/>
    <w:rsid w:val="00A63260"/>
    <w:rsid w:val="00A6371F"/>
    <w:rsid w:val="00A65EE7"/>
    <w:rsid w:val="00A67BC7"/>
    <w:rsid w:val="00A70133"/>
    <w:rsid w:val="00A7146F"/>
    <w:rsid w:val="00A71ED7"/>
    <w:rsid w:val="00A75D44"/>
    <w:rsid w:val="00A770A6"/>
    <w:rsid w:val="00A80B67"/>
    <w:rsid w:val="00A813B1"/>
    <w:rsid w:val="00A816C1"/>
    <w:rsid w:val="00A851C6"/>
    <w:rsid w:val="00A85685"/>
    <w:rsid w:val="00A85723"/>
    <w:rsid w:val="00A951B7"/>
    <w:rsid w:val="00A95848"/>
    <w:rsid w:val="00AA7381"/>
    <w:rsid w:val="00AA791A"/>
    <w:rsid w:val="00AB0690"/>
    <w:rsid w:val="00AB25C4"/>
    <w:rsid w:val="00AB36C4"/>
    <w:rsid w:val="00AB4690"/>
    <w:rsid w:val="00AB544B"/>
    <w:rsid w:val="00AB7088"/>
    <w:rsid w:val="00AC0A5A"/>
    <w:rsid w:val="00AC2DF9"/>
    <w:rsid w:val="00AC32B2"/>
    <w:rsid w:val="00AC5A7A"/>
    <w:rsid w:val="00AC71B5"/>
    <w:rsid w:val="00AD02ED"/>
    <w:rsid w:val="00AD217D"/>
    <w:rsid w:val="00AD3EAA"/>
    <w:rsid w:val="00AD4B76"/>
    <w:rsid w:val="00AE55F2"/>
    <w:rsid w:val="00AF371B"/>
    <w:rsid w:val="00AF409E"/>
    <w:rsid w:val="00AF51E1"/>
    <w:rsid w:val="00B00B7E"/>
    <w:rsid w:val="00B0100B"/>
    <w:rsid w:val="00B01B6B"/>
    <w:rsid w:val="00B059A8"/>
    <w:rsid w:val="00B10C72"/>
    <w:rsid w:val="00B157C5"/>
    <w:rsid w:val="00B17141"/>
    <w:rsid w:val="00B17D02"/>
    <w:rsid w:val="00B21B77"/>
    <w:rsid w:val="00B31575"/>
    <w:rsid w:val="00B34D23"/>
    <w:rsid w:val="00B378C5"/>
    <w:rsid w:val="00B41D81"/>
    <w:rsid w:val="00B42C11"/>
    <w:rsid w:val="00B44930"/>
    <w:rsid w:val="00B5309F"/>
    <w:rsid w:val="00B56A2D"/>
    <w:rsid w:val="00B64FC5"/>
    <w:rsid w:val="00B651CC"/>
    <w:rsid w:val="00B65596"/>
    <w:rsid w:val="00B70B2F"/>
    <w:rsid w:val="00B8547D"/>
    <w:rsid w:val="00B924EE"/>
    <w:rsid w:val="00B92F8E"/>
    <w:rsid w:val="00B95B84"/>
    <w:rsid w:val="00B962DF"/>
    <w:rsid w:val="00BA6779"/>
    <w:rsid w:val="00BA699D"/>
    <w:rsid w:val="00BA7BBC"/>
    <w:rsid w:val="00BA7BD3"/>
    <w:rsid w:val="00BB17C5"/>
    <w:rsid w:val="00BB1B20"/>
    <w:rsid w:val="00BB3F87"/>
    <w:rsid w:val="00BB4298"/>
    <w:rsid w:val="00BD02B5"/>
    <w:rsid w:val="00BD18B5"/>
    <w:rsid w:val="00BD2DE5"/>
    <w:rsid w:val="00BD585D"/>
    <w:rsid w:val="00BD5F1B"/>
    <w:rsid w:val="00BE17CA"/>
    <w:rsid w:val="00BE3FBC"/>
    <w:rsid w:val="00BF1F71"/>
    <w:rsid w:val="00BF304E"/>
    <w:rsid w:val="00C00E51"/>
    <w:rsid w:val="00C02BA3"/>
    <w:rsid w:val="00C02C55"/>
    <w:rsid w:val="00C02D7D"/>
    <w:rsid w:val="00C11FAD"/>
    <w:rsid w:val="00C13105"/>
    <w:rsid w:val="00C13EE7"/>
    <w:rsid w:val="00C164D2"/>
    <w:rsid w:val="00C16801"/>
    <w:rsid w:val="00C23BE1"/>
    <w:rsid w:val="00C24FF8"/>
    <w:rsid w:val="00C250D5"/>
    <w:rsid w:val="00C26D6D"/>
    <w:rsid w:val="00C32930"/>
    <w:rsid w:val="00C35666"/>
    <w:rsid w:val="00C37631"/>
    <w:rsid w:val="00C418DB"/>
    <w:rsid w:val="00C45055"/>
    <w:rsid w:val="00C46FDF"/>
    <w:rsid w:val="00C476D3"/>
    <w:rsid w:val="00C501F4"/>
    <w:rsid w:val="00C54DF9"/>
    <w:rsid w:val="00C54F6B"/>
    <w:rsid w:val="00C57AD5"/>
    <w:rsid w:val="00C63023"/>
    <w:rsid w:val="00C650D5"/>
    <w:rsid w:val="00C6556C"/>
    <w:rsid w:val="00C71699"/>
    <w:rsid w:val="00C75530"/>
    <w:rsid w:val="00C75614"/>
    <w:rsid w:val="00C76843"/>
    <w:rsid w:val="00C81201"/>
    <w:rsid w:val="00C82569"/>
    <w:rsid w:val="00C835D5"/>
    <w:rsid w:val="00C8522E"/>
    <w:rsid w:val="00C85435"/>
    <w:rsid w:val="00C85647"/>
    <w:rsid w:val="00C9015C"/>
    <w:rsid w:val="00C92898"/>
    <w:rsid w:val="00C93A81"/>
    <w:rsid w:val="00CA18DE"/>
    <w:rsid w:val="00CA26F8"/>
    <w:rsid w:val="00CA286B"/>
    <w:rsid w:val="00CA2BD5"/>
    <w:rsid w:val="00CA346B"/>
    <w:rsid w:val="00CA4340"/>
    <w:rsid w:val="00CA5ACD"/>
    <w:rsid w:val="00CA687A"/>
    <w:rsid w:val="00CA6F13"/>
    <w:rsid w:val="00CB5329"/>
    <w:rsid w:val="00CB6919"/>
    <w:rsid w:val="00CB71FE"/>
    <w:rsid w:val="00CC13AF"/>
    <w:rsid w:val="00CC2DAC"/>
    <w:rsid w:val="00CC4614"/>
    <w:rsid w:val="00CC635E"/>
    <w:rsid w:val="00CC6E16"/>
    <w:rsid w:val="00CD16A3"/>
    <w:rsid w:val="00CD263D"/>
    <w:rsid w:val="00CE5238"/>
    <w:rsid w:val="00CE7514"/>
    <w:rsid w:val="00CF1390"/>
    <w:rsid w:val="00CF1733"/>
    <w:rsid w:val="00CF4EBD"/>
    <w:rsid w:val="00D00D08"/>
    <w:rsid w:val="00D0335D"/>
    <w:rsid w:val="00D07204"/>
    <w:rsid w:val="00D07595"/>
    <w:rsid w:val="00D07E48"/>
    <w:rsid w:val="00D11A58"/>
    <w:rsid w:val="00D1641E"/>
    <w:rsid w:val="00D21ABC"/>
    <w:rsid w:val="00D2285D"/>
    <w:rsid w:val="00D24655"/>
    <w:rsid w:val="00D248DE"/>
    <w:rsid w:val="00D25D39"/>
    <w:rsid w:val="00D25FBE"/>
    <w:rsid w:val="00D26381"/>
    <w:rsid w:val="00D42759"/>
    <w:rsid w:val="00D45A89"/>
    <w:rsid w:val="00D4659B"/>
    <w:rsid w:val="00D4692D"/>
    <w:rsid w:val="00D46DA5"/>
    <w:rsid w:val="00D47C81"/>
    <w:rsid w:val="00D52A59"/>
    <w:rsid w:val="00D53855"/>
    <w:rsid w:val="00D53DD1"/>
    <w:rsid w:val="00D53F0A"/>
    <w:rsid w:val="00D54C08"/>
    <w:rsid w:val="00D55D7D"/>
    <w:rsid w:val="00D56485"/>
    <w:rsid w:val="00D60579"/>
    <w:rsid w:val="00D6317D"/>
    <w:rsid w:val="00D65734"/>
    <w:rsid w:val="00D67BCD"/>
    <w:rsid w:val="00D67F5C"/>
    <w:rsid w:val="00D71675"/>
    <w:rsid w:val="00D73E9A"/>
    <w:rsid w:val="00D75A66"/>
    <w:rsid w:val="00D805EA"/>
    <w:rsid w:val="00D8154F"/>
    <w:rsid w:val="00D84C02"/>
    <w:rsid w:val="00D8542D"/>
    <w:rsid w:val="00D85EF5"/>
    <w:rsid w:val="00D9273C"/>
    <w:rsid w:val="00D945F2"/>
    <w:rsid w:val="00D96AED"/>
    <w:rsid w:val="00DA0B1F"/>
    <w:rsid w:val="00DA4295"/>
    <w:rsid w:val="00DB124E"/>
    <w:rsid w:val="00DB4708"/>
    <w:rsid w:val="00DB51A5"/>
    <w:rsid w:val="00DB5A83"/>
    <w:rsid w:val="00DB62C2"/>
    <w:rsid w:val="00DB6F54"/>
    <w:rsid w:val="00DC1E6F"/>
    <w:rsid w:val="00DC1F71"/>
    <w:rsid w:val="00DC38C7"/>
    <w:rsid w:val="00DC6458"/>
    <w:rsid w:val="00DC6A71"/>
    <w:rsid w:val="00DD00B6"/>
    <w:rsid w:val="00DD396D"/>
    <w:rsid w:val="00DD760E"/>
    <w:rsid w:val="00DE0933"/>
    <w:rsid w:val="00DE11F7"/>
    <w:rsid w:val="00DE56FF"/>
    <w:rsid w:val="00DF1014"/>
    <w:rsid w:val="00DF56FD"/>
    <w:rsid w:val="00DF5AC8"/>
    <w:rsid w:val="00E0206E"/>
    <w:rsid w:val="00E0357D"/>
    <w:rsid w:val="00E03FB2"/>
    <w:rsid w:val="00E051B3"/>
    <w:rsid w:val="00E07B28"/>
    <w:rsid w:val="00E124C9"/>
    <w:rsid w:val="00E20F6E"/>
    <w:rsid w:val="00E235F9"/>
    <w:rsid w:val="00E25AC5"/>
    <w:rsid w:val="00E26BE1"/>
    <w:rsid w:val="00E26EF9"/>
    <w:rsid w:val="00E3087B"/>
    <w:rsid w:val="00E40E95"/>
    <w:rsid w:val="00E50CE1"/>
    <w:rsid w:val="00E51C65"/>
    <w:rsid w:val="00E51E45"/>
    <w:rsid w:val="00E53978"/>
    <w:rsid w:val="00E557B8"/>
    <w:rsid w:val="00E565C0"/>
    <w:rsid w:val="00E574D0"/>
    <w:rsid w:val="00E60399"/>
    <w:rsid w:val="00E62A31"/>
    <w:rsid w:val="00E70F4C"/>
    <w:rsid w:val="00E74A0B"/>
    <w:rsid w:val="00E74CF8"/>
    <w:rsid w:val="00E76791"/>
    <w:rsid w:val="00E76A2E"/>
    <w:rsid w:val="00E811CB"/>
    <w:rsid w:val="00E82101"/>
    <w:rsid w:val="00E83015"/>
    <w:rsid w:val="00E83ABC"/>
    <w:rsid w:val="00E92120"/>
    <w:rsid w:val="00E94B7A"/>
    <w:rsid w:val="00E9529D"/>
    <w:rsid w:val="00EA0413"/>
    <w:rsid w:val="00EA0D7C"/>
    <w:rsid w:val="00EA4445"/>
    <w:rsid w:val="00EA5E71"/>
    <w:rsid w:val="00EB0741"/>
    <w:rsid w:val="00EB1327"/>
    <w:rsid w:val="00EB4E96"/>
    <w:rsid w:val="00EB6584"/>
    <w:rsid w:val="00EB6B63"/>
    <w:rsid w:val="00EC5B2E"/>
    <w:rsid w:val="00EC7976"/>
    <w:rsid w:val="00EC7E59"/>
    <w:rsid w:val="00ED1C3E"/>
    <w:rsid w:val="00ED5FD2"/>
    <w:rsid w:val="00ED65F8"/>
    <w:rsid w:val="00ED6779"/>
    <w:rsid w:val="00ED7018"/>
    <w:rsid w:val="00EE09FF"/>
    <w:rsid w:val="00EE0BAE"/>
    <w:rsid w:val="00EE671F"/>
    <w:rsid w:val="00EE7BA6"/>
    <w:rsid w:val="00F02E21"/>
    <w:rsid w:val="00F04406"/>
    <w:rsid w:val="00F04AA1"/>
    <w:rsid w:val="00F05130"/>
    <w:rsid w:val="00F072BA"/>
    <w:rsid w:val="00F12F91"/>
    <w:rsid w:val="00F14C75"/>
    <w:rsid w:val="00F14C77"/>
    <w:rsid w:val="00F15BEE"/>
    <w:rsid w:val="00F21EF4"/>
    <w:rsid w:val="00F23324"/>
    <w:rsid w:val="00F240BB"/>
    <w:rsid w:val="00F253E7"/>
    <w:rsid w:val="00F366E5"/>
    <w:rsid w:val="00F372E3"/>
    <w:rsid w:val="00F43817"/>
    <w:rsid w:val="00F47D7B"/>
    <w:rsid w:val="00F52649"/>
    <w:rsid w:val="00F546DB"/>
    <w:rsid w:val="00F55049"/>
    <w:rsid w:val="00F5675B"/>
    <w:rsid w:val="00F57FED"/>
    <w:rsid w:val="00F61614"/>
    <w:rsid w:val="00F62DE7"/>
    <w:rsid w:val="00F64CCD"/>
    <w:rsid w:val="00F71396"/>
    <w:rsid w:val="00F80CBB"/>
    <w:rsid w:val="00F81EC1"/>
    <w:rsid w:val="00F83C75"/>
    <w:rsid w:val="00F85441"/>
    <w:rsid w:val="00F86872"/>
    <w:rsid w:val="00F87541"/>
    <w:rsid w:val="00F91BBC"/>
    <w:rsid w:val="00F926D0"/>
    <w:rsid w:val="00F92941"/>
    <w:rsid w:val="00F92A16"/>
    <w:rsid w:val="00F979F7"/>
    <w:rsid w:val="00FA1751"/>
    <w:rsid w:val="00FA6034"/>
    <w:rsid w:val="00FB4796"/>
    <w:rsid w:val="00FB5369"/>
    <w:rsid w:val="00FB58A5"/>
    <w:rsid w:val="00FC22B4"/>
    <w:rsid w:val="00FC6390"/>
    <w:rsid w:val="00FC6A7B"/>
    <w:rsid w:val="00FD657B"/>
    <w:rsid w:val="00FE3581"/>
    <w:rsid w:val="00FE50F9"/>
    <w:rsid w:val="00FE51D1"/>
    <w:rsid w:val="00FF348A"/>
    <w:rsid w:val="00FF4245"/>
    <w:rsid w:val="00FF68BC"/>
    <w:rsid w:val="00FF7624"/>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colormru v:ext="edit" colors="#428299,#529dba"/>
    </o:shapedefaults>
    <o:shapelayout v:ext="edit">
      <o:idmap v:ext="edit" data="2"/>
    </o:shapelayout>
  </w:shapeDefaults>
  <w:doNotEmbedSmartTags/>
  <w:decimalSymbol w:val=","/>
  <w:listSeparator w:val=";"/>
  <w14:docId w14:val="6F8C07B2"/>
  <w15:chartTrackingRefBased/>
  <w15:docId w15:val="{6CA994F2-855E-4C7B-9C24-7335DD90B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annotation text"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Strong" w:uiPriority="22"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exac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paragraph" w:styleId="Naslov2">
    <w:name w:val="heading 2"/>
    <w:basedOn w:val="Navaden"/>
    <w:next w:val="Navaden"/>
    <w:link w:val="Naslov2Znak"/>
    <w:semiHidden/>
    <w:unhideWhenUsed/>
    <w:qFormat/>
    <w:rsid w:val="00F80CBB"/>
    <w:pPr>
      <w:keepNext/>
      <w:spacing w:before="240" w:after="60"/>
      <w:outlineLvl w:val="1"/>
    </w:pPr>
    <w:rPr>
      <w:rFonts w:ascii="Calibri Light" w:hAnsi="Calibri Light"/>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rsid w:val="00A61CD5"/>
    <w:pPr>
      <w:spacing w:line="240" w:lineRule="auto"/>
    </w:pPr>
    <w:rPr>
      <w:rFonts w:ascii="Segoe UI" w:hAnsi="Segoe UI" w:cs="Segoe UI"/>
      <w:sz w:val="18"/>
      <w:szCs w:val="18"/>
    </w:rPr>
  </w:style>
  <w:style w:type="character" w:customStyle="1" w:styleId="BesedilooblakaZnak">
    <w:name w:val="Besedilo oblačka Znak"/>
    <w:link w:val="Besedilooblaka"/>
    <w:rsid w:val="00A61CD5"/>
    <w:rPr>
      <w:rFonts w:ascii="Segoe UI" w:hAnsi="Segoe UI" w:cs="Segoe UI"/>
      <w:sz w:val="18"/>
      <w:szCs w:val="18"/>
      <w:lang w:val="en-US" w:eastAsia="en-US"/>
    </w:rPr>
  </w:style>
  <w:style w:type="character" w:customStyle="1" w:styleId="UnresolvedMention">
    <w:name w:val="Unresolved Mention"/>
    <w:uiPriority w:val="99"/>
    <w:semiHidden/>
    <w:unhideWhenUsed/>
    <w:rsid w:val="008E43CD"/>
    <w:rPr>
      <w:color w:val="808080"/>
      <w:shd w:val="clear" w:color="auto" w:fill="E6E6E6"/>
    </w:rPr>
  </w:style>
  <w:style w:type="paragraph" w:customStyle="1" w:styleId="poglavje">
    <w:name w:val="poglavje"/>
    <w:basedOn w:val="Navaden"/>
    <w:rsid w:val="001A7372"/>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rsid w:val="001A7372"/>
    <w:pPr>
      <w:spacing w:before="100" w:beforeAutospacing="1" w:after="100" w:afterAutospacing="1" w:line="240" w:lineRule="auto"/>
    </w:pPr>
    <w:rPr>
      <w:rFonts w:ascii="Times New Roman" w:hAnsi="Times New Roman"/>
      <w:sz w:val="24"/>
      <w:lang w:val="sl-SI" w:eastAsia="sl-SI"/>
    </w:rPr>
  </w:style>
  <w:style w:type="character" w:styleId="Pripombasklic">
    <w:name w:val="annotation reference"/>
    <w:uiPriority w:val="99"/>
    <w:rsid w:val="00262593"/>
    <w:rPr>
      <w:sz w:val="16"/>
      <w:szCs w:val="16"/>
    </w:rPr>
  </w:style>
  <w:style w:type="paragraph" w:styleId="Pripombabesedilo">
    <w:name w:val="annotation text"/>
    <w:basedOn w:val="Navaden"/>
    <w:link w:val="PripombabesediloZnak"/>
    <w:uiPriority w:val="99"/>
    <w:rsid w:val="00262593"/>
    <w:rPr>
      <w:szCs w:val="20"/>
    </w:rPr>
  </w:style>
  <w:style w:type="character" w:customStyle="1" w:styleId="PripombabesediloZnak">
    <w:name w:val="Pripomba – besedilo Znak"/>
    <w:link w:val="Pripombabesedilo"/>
    <w:uiPriority w:val="99"/>
    <w:rsid w:val="00262593"/>
    <w:rPr>
      <w:rFonts w:ascii="Arial" w:hAnsi="Arial"/>
      <w:lang w:val="en-US" w:eastAsia="en-US"/>
    </w:rPr>
  </w:style>
  <w:style w:type="paragraph" w:styleId="Zadevapripombe">
    <w:name w:val="annotation subject"/>
    <w:basedOn w:val="Pripombabesedilo"/>
    <w:next w:val="Pripombabesedilo"/>
    <w:link w:val="ZadevapripombeZnak"/>
    <w:rsid w:val="00262593"/>
    <w:rPr>
      <w:b/>
      <w:bCs/>
    </w:rPr>
  </w:style>
  <w:style w:type="character" w:customStyle="1" w:styleId="ZadevapripombeZnak">
    <w:name w:val="Zadeva pripombe Znak"/>
    <w:link w:val="Zadevapripombe"/>
    <w:rsid w:val="00262593"/>
    <w:rPr>
      <w:rFonts w:ascii="Arial" w:hAnsi="Arial"/>
      <w:b/>
      <w:bCs/>
      <w:lang w:val="en-US" w:eastAsia="en-US"/>
    </w:rPr>
  </w:style>
  <w:style w:type="paragraph" w:styleId="Revizija">
    <w:name w:val="Revision"/>
    <w:hidden/>
    <w:uiPriority w:val="99"/>
    <w:semiHidden/>
    <w:rsid w:val="00A360AB"/>
    <w:rPr>
      <w:rFonts w:ascii="Arial" w:hAnsi="Arial"/>
      <w:szCs w:val="24"/>
      <w:lang w:val="en-US" w:eastAsia="en-US"/>
    </w:rPr>
  </w:style>
  <w:style w:type="table" w:customStyle="1" w:styleId="Tabelamrea1">
    <w:name w:val="Tabela – mreža1"/>
    <w:basedOn w:val="Navadnatabela"/>
    <w:next w:val="Tabelamrea"/>
    <w:uiPriority w:val="39"/>
    <w:rsid w:val="004E7C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basedOn w:val="Navaden"/>
    <w:link w:val="Sprotnaopomba-besediloZnak"/>
    <w:uiPriority w:val="99"/>
    <w:unhideWhenUsed/>
    <w:rsid w:val="00CD263D"/>
    <w:pPr>
      <w:spacing w:line="240" w:lineRule="auto"/>
    </w:pPr>
    <w:rPr>
      <w:rFonts w:ascii="Times New Roman" w:eastAsia="Calibri" w:hAnsi="Times New Roman"/>
      <w:szCs w:val="20"/>
      <w:lang w:val="sl-SI" w:eastAsia="sl-SI"/>
    </w:rPr>
  </w:style>
  <w:style w:type="character" w:customStyle="1" w:styleId="Sprotnaopomba-besediloZnak">
    <w:name w:val="Sprotna opomba - besedilo Znak"/>
    <w:link w:val="Sprotnaopomba-besedilo"/>
    <w:uiPriority w:val="99"/>
    <w:rsid w:val="00CD263D"/>
    <w:rPr>
      <w:rFonts w:eastAsia="Calibri"/>
    </w:rPr>
  </w:style>
  <w:style w:type="character" w:styleId="Sprotnaopomba-sklic">
    <w:name w:val="footnote reference"/>
    <w:uiPriority w:val="99"/>
    <w:unhideWhenUsed/>
    <w:rsid w:val="00CD263D"/>
    <w:rPr>
      <w:vertAlign w:val="superscript"/>
    </w:rPr>
  </w:style>
  <w:style w:type="character" w:customStyle="1" w:styleId="Naslov2Znak">
    <w:name w:val="Naslov 2 Znak"/>
    <w:link w:val="Naslov2"/>
    <w:semiHidden/>
    <w:rsid w:val="00F80CBB"/>
    <w:rPr>
      <w:rFonts w:ascii="Calibri Light" w:eastAsia="Times New Roman" w:hAnsi="Calibri Light" w:cs="Times New Roman"/>
      <w:b/>
      <w:bCs/>
      <w:i/>
      <w:iCs/>
      <w:sz w:val="28"/>
      <w:szCs w:val="28"/>
      <w:lang w:val="en-US" w:eastAsia="en-US"/>
    </w:rPr>
  </w:style>
  <w:style w:type="paragraph" w:customStyle="1" w:styleId="len0">
    <w:name w:val="Člen"/>
    <w:basedOn w:val="Navaden"/>
    <w:link w:val="lenZnak"/>
    <w:qFormat/>
    <w:rsid w:val="00F80CBB"/>
    <w:pPr>
      <w:suppressAutoHyphens/>
      <w:overflowPunct w:val="0"/>
      <w:autoSpaceDE w:val="0"/>
      <w:autoSpaceDN w:val="0"/>
      <w:adjustRightInd w:val="0"/>
      <w:spacing w:before="480" w:line="240" w:lineRule="auto"/>
      <w:jc w:val="center"/>
      <w:textAlignment w:val="baseline"/>
    </w:pPr>
    <w:rPr>
      <w:b/>
      <w:sz w:val="22"/>
      <w:szCs w:val="22"/>
      <w:lang w:val="sl-SI" w:eastAsia="sl-SI"/>
    </w:rPr>
  </w:style>
  <w:style w:type="character" w:customStyle="1" w:styleId="lenZnak">
    <w:name w:val="Člen Znak"/>
    <w:link w:val="len0"/>
    <w:rsid w:val="00F80CBB"/>
    <w:rPr>
      <w:rFonts w:ascii="Arial" w:hAnsi="Arial"/>
      <w:b/>
      <w:sz w:val="22"/>
      <w:szCs w:val="22"/>
    </w:rPr>
  </w:style>
  <w:style w:type="paragraph" w:customStyle="1" w:styleId="Odstavek">
    <w:name w:val="Odstavek"/>
    <w:basedOn w:val="Navaden"/>
    <w:link w:val="OdstavekZnak"/>
    <w:qFormat/>
    <w:rsid w:val="00F80CBB"/>
    <w:pPr>
      <w:overflowPunct w:val="0"/>
      <w:autoSpaceDE w:val="0"/>
      <w:autoSpaceDN w:val="0"/>
      <w:adjustRightInd w:val="0"/>
      <w:spacing w:before="240" w:line="240" w:lineRule="auto"/>
      <w:ind w:firstLine="1021"/>
      <w:jc w:val="both"/>
      <w:textAlignment w:val="baseline"/>
    </w:pPr>
    <w:rPr>
      <w:sz w:val="22"/>
      <w:szCs w:val="22"/>
      <w:lang w:val="sl-SI" w:eastAsia="sl-SI"/>
    </w:rPr>
  </w:style>
  <w:style w:type="character" w:customStyle="1" w:styleId="OdstavekZnak">
    <w:name w:val="Odstavek Znak"/>
    <w:link w:val="Odstavek"/>
    <w:rsid w:val="00F80CBB"/>
    <w:rPr>
      <w:rFonts w:ascii="Arial" w:hAnsi="Arial"/>
      <w:sz w:val="22"/>
      <w:szCs w:val="22"/>
    </w:rPr>
  </w:style>
  <w:style w:type="paragraph" w:styleId="Odstavekseznama">
    <w:name w:val="List Paragraph"/>
    <w:aliases w:val="numbered list,List Paragraph (numbered (a)),Dot pt,F5 List Paragraph,List Paragraph1,Colorful List - Accent 11,No Spacing1,List Paragraph Char Char Char,Indicator Text,Numbered Para 1,Bullet 1,Bullet Points,List Paragraph2,List par"/>
    <w:basedOn w:val="Navaden"/>
    <w:link w:val="OdstavekseznamaZnak"/>
    <w:uiPriority w:val="34"/>
    <w:qFormat/>
    <w:rsid w:val="00F80CBB"/>
    <w:pPr>
      <w:overflowPunct w:val="0"/>
      <w:autoSpaceDE w:val="0"/>
      <w:autoSpaceDN w:val="0"/>
      <w:adjustRightInd w:val="0"/>
      <w:spacing w:line="240" w:lineRule="auto"/>
      <w:ind w:left="708"/>
      <w:jc w:val="both"/>
      <w:textAlignment w:val="baseline"/>
    </w:pPr>
    <w:rPr>
      <w:sz w:val="22"/>
      <w:szCs w:val="16"/>
      <w:lang w:val="sl-SI" w:eastAsia="sl-SI"/>
    </w:rPr>
  </w:style>
  <w:style w:type="character" w:customStyle="1" w:styleId="OdstavekseznamaZnak">
    <w:name w:val="Odstavek seznama Znak"/>
    <w:aliases w:val="numbered list Znak,List Paragraph (numbered (a)) Znak,Dot pt Znak,F5 List Paragraph Znak,List Paragraph1 Znak,Colorful List - Accent 11 Znak,No Spacing1 Znak,List Paragraph Char Char Char Znak,Indicator Text Znak,Bullet 1 Znak"/>
    <w:link w:val="Odstavekseznama"/>
    <w:uiPriority w:val="34"/>
    <w:qFormat/>
    <w:locked/>
    <w:rsid w:val="00F80CBB"/>
    <w:rPr>
      <w:rFonts w:ascii="Arial" w:hAnsi="Arial"/>
      <w:sz w:val="22"/>
      <w:szCs w:val="16"/>
    </w:rPr>
  </w:style>
  <w:style w:type="paragraph" w:customStyle="1" w:styleId="Neotevilenodstavek">
    <w:name w:val="Neoštevilčen odstavek"/>
    <w:basedOn w:val="Navaden"/>
    <w:link w:val="NeotevilenodstavekZnak"/>
    <w:qFormat/>
    <w:rsid w:val="00F80CBB"/>
    <w:pPr>
      <w:overflowPunct w:val="0"/>
      <w:autoSpaceDE w:val="0"/>
      <w:autoSpaceDN w:val="0"/>
      <w:adjustRightInd w:val="0"/>
      <w:spacing w:before="60" w:after="60" w:line="200" w:lineRule="exact"/>
      <w:jc w:val="both"/>
      <w:textAlignment w:val="baseline"/>
    </w:pPr>
    <w:rPr>
      <w:rFonts w:eastAsia="Calibri"/>
      <w:szCs w:val="20"/>
      <w:lang w:val="sl-SI" w:eastAsia="sl-SI"/>
    </w:rPr>
  </w:style>
  <w:style w:type="character" w:customStyle="1" w:styleId="NeotevilenodstavekZnak">
    <w:name w:val="Neoštevilčen odstavek Znak"/>
    <w:link w:val="Neotevilenodstavek"/>
    <w:locked/>
    <w:rsid w:val="00F80CBB"/>
    <w:rPr>
      <w:rFonts w:ascii="Arial" w:eastAsia="Calibri" w:hAnsi="Arial"/>
    </w:rPr>
  </w:style>
  <w:style w:type="character" w:styleId="Krepko">
    <w:name w:val="Strong"/>
    <w:uiPriority w:val="22"/>
    <w:qFormat/>
    <w:rsid w:val="00F80CBB"/>
    <w:rPr>
      <w:rFonts w:cs="Times New Roman"/>
      <w:b/>
      <w:bCs/>
    </w:rPr>
  </w:style>
  <w:style w:type="character" w:customStyle="1" w:styleId="fontstyle01">
    <w:name w:val="fontstyle01"/>
    <w:rsid w:val="00F80CBB"/>
    <w:rPr>
      <w:rFonts w:ascii="Arial" w:hAnsi="Arial" w:cs="Arial" w:hint="default"/>
      <w:b/>
      <w:bCs/>
      <w:i w:val="0"/>
      <w:iCs w:val="0"/>
      <w:color w:val="000000"/>
      <w:sz w:val="22"/>
      <w:szCs w:val="22"/>
    </w:rPr>
  </w:style>
  <w:style w:type="paragraph" w:customStyle="1" w:styleId="odstavek0">
    <w:name w:val="odstavek"/>
    <w:basedOn w:val="Navaden"/>
    <w:rsid w:val="00F372E3"/>
    <w:pPr>
      <w:spacing w:before="100" w:beforeAutospacing="1" w:after="100" w:afterAutospacing="1" w:line="240" w:lineRule="auto"/>
    </w:pPr>
    <w:rPr>
      <w:rFonts w:ascii="Times New Roman" w:hAnsi="Times New Roman"/>
      <w:sz w:val="24"/>
      <w:lang w:val="sl-SI" w:eastAsia="sl-SI"/>
    </w:rPr>
  </w:style>
  <w:style w:type="character" w:customStyle="1" w:styleId="GlavaZnak">
    <w:name w:val="Glava Znak"/>
    <w:basedOn w:val="Privzetapisavaodstavka"/>
    <w:link w:val="Glava"/>
    <w:rsid w:val="0089750A"/>
    <w:rPr>
      <w:rFonts w:ascii="Arial" w:hAnsi="Arial"/>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3349577">
      <w:bodyDiv w:val="1"/>
      <w:marLeft w:val="0"/>
      <w:marRight w:val="0"/>
      <w:marTop w:val="0"/>
      <w:marBottom w:val="0"/>
      <w:divBdr>
        <w:top w:val="none" w:sz="0" w:space="0" w:color="auto"/>
        <w:left w:val="none" w:sz="0" w:space="0" w:color="auto"/>
        <w:bottom w:val="none" w:sz="0" w:space="0" w:color="auto"/>
        <w:right w:val="none" w:sz="0" w:space="0" w:color="auto"/>
      </w:divBdr>
    </w:div>
    <w:div w:id="352733786">
      <w:bodyDiv w:val="1"/>
      <w:marLeft w:val="0"/>
      <w:marRight w:val="0"/>
      <w:marTop w:val="0"/>
      <w:marBottom w:val="0"/>
      <w:divBdr>
        <w:top w:val="none" w:sz="0" w:space="0" w:color="auto"/>
        <w:left w:val="none" w:sz="0" w:space="0" w:color="auto"/>
        <w:bottom w:val="none" w:sz="0" w:space="0" w:color="auto"/>
        <w:right w:val="none" w:sz="0" w:space="0" w:color="auto"/>
      </w:divBdr>
    </w:div>
    <w:div w:id="1075011174">
      <w:bodyDiv w:val="1"/>
      <w:marLeft w:val="0"/>
      <w:marRight w:val="0"/>
      <w:marTop w:val="0"/>
      <w:marBottom w:val="0"/>
      <w:divBdr>
        <w:top w:val="none" w:sz="0" w:space="0" w:color="auto"/>
        <w:left w:val="none" w:sz="0" w:space="0" w:color="auto"/>
        <w:bottom w:val="none" w:sz="0" w:space="0" w:color="auto"/>
        <w:right w:val="none" w:sz="0" w:space="0" w:color="auto"/>
      </w:divBdr>
    </w:div>
    <w:div w:id="1302416612">
      <w:bodyDiv w:val="1"/>
      <w:marLeft w:val="0"/>
      <w:marRight w:val="0"/>
      <w:marTop w:val="0"/>
      <w:marBottom w:val="0"/>
      <w:divBdr>
        <w:top w:val="none" w:sz="0" w:space="0" w:color="auto"/>
        <w:left w:val="none" w:sz="0" w:space="0" w:color="auto"/>
        <w:bottom w:val="none" w:sz="0" w:space="0" w:color="auto"/>
        <w:right w:val="none" w:sz="0" w:space="0" w:color="auto"/>
      </w:divBdr>
    </w:div>
    <w:div w:id="1357847948">
      <w:bodyDiv w:val="1"/>
      <w:marLeft w:val="0"/>
      <w:marRight w:val="0"/>
      <w:marTop w:val="0"/>
      <w:marBottom w:val="0"/>
      <w:divBdr>
        <w:top w:val="none" w:sz="0" w:space="0" w:color="auto"/>
        <w:left w:val="none" w:sz="0" w:space="0" w:color="auto"/>
        <w:bottom w:val="none" w:sz="0" w:space="0" w:color="auto"/>
        <w:right w:val="none" w:sz="0" w:space="0" w:color="auto"/>
      </w:divBdr>
    </w:div>
    <w:div w:id="1615553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S:\CGP\Predloge\MJU%20-%20gp-%20mnz\MJU.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C3337CB-D8E8-4DC0-BE86-47D719318F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MJU</Template>
  <TotalTime>3</TotalTime>
  <Pages>24</Pages>
  <Words>15300</Words>
  <Characters>86079</Characters>
  <Application>Microsoft Office Word</Application>
  <DocSecurity>0</DocSecurity>
  <Lines>717</Lines>
  <Paragraphs>202</Paragraphs>
  <ScaleCrop>false</ScaleCrop>
  <HeadingPairs>
    <vt:vector size="2" baseType="variant">
      <vt:variant>
        <vt:lpstr>Naslov</vt:lpstr>
      </vt:variant>
      <vt:variant>
        <vt:i4>1</vt:i4>
      </vt:variant>
    </vt:vector>
  </HeadingPairs>
  <TitlesOfParts>
    <vt:vector size="1" baseType="lpstr">
      <vt:lpstr>Številka:</vt:lpstr>
    </vt:vector>
  </TitlesOfParts>
  <Company>MNZ RS</Company>
  <LinksUpToDate>false</LinksUpToDate>
  <CharactersWithSpaces>101177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Andrej Čokert</dc:creator>
  <cp:keywords/>
  <dc:description/>
  <cp:lastModifiedBy>Lidija Vidergar</cp:lastModifiedBy>
  <cp:revision>3</cp:revision>
  <cp:lastPrinted>2025-10-10T07:31:00Z</cp:lastPrinted>
  <dcterms:created xsi:type="dcterms:W3CDTF">2025-10-14T12:23:00Z</dcterms:created>
  <dcterms:modified xsi:type="dcterms:W3CDTF">2025-10-14T12:27:00Z</dcterms:modified>
</cp:coreProperties>
</file>