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8262A2">
        <w:rPr>
          <w:rFonts w:cs="Arial"/>
          <w:color w:val="000000"/>
        </w:rPr>
        <w:t>2025-3150-0003</w:t>
      </w:r>
    </w:p>
    <w:p w:rsidR="009C657E" w:rsidRPr="002760DC" w:rsidRDefault="009C657E" w:rsidP="009C657E">
      <w:pPr>
        <w:pStyle w:val="datumtevilka"/>
      </w:pPr>
      <w:r w:rsidRPr="002760DC">
        <w:t xml:space="preserve">Številka: </w:t>
      </w:r>
      <w:r w:rsidRPr="002760DC">
        <w:tab/>
      </w:r>
      <w:r w:rsidR="008262A2">
        <w:rPr>
          <w:rFonts w:cs="Arial"/>
          <w:color w:val="000000"/>
        </w:rPr>
        <w:t>00704-228/2025/10</w:t>
      </w:r>
    </w:p>
    <w:p w:rsidR="009C657E" w:rsidRPr="002760DC" w:rsidRDefault="009C657E" w:rsidP="009C657E">
      <w:pPr>
        <w:pStyle w:val="datumtevilka"/>
      </w:pPr>
      <w:r>
        <w:t>Datum:</w:t>
      </w:r>
      <w:r w:rsidRPr="002760DC">
        <w:tab/>
      </w:r>
      <w:r w:rsidR="008262A2">
        <w:rPr>
          <w:rFonts w:cs="Arial"/>
          <w:color w:val="000000"/>
        </w:rPr>
        <w:t>1. 10. 2025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8A4F90" w:rsidRPr="00A05FBB" w:rsidRDefault="008A4F90" w:rsidP="00A05FBB">
      <w:pPr>
        <w:tabs>
          <w:tab w:val="left" w:pos="7920"/>
        </w:tabs>
        <w:autoSpaceDE w:val="0"/>
        <w:autoSpaceDN w:val="0"/>
        <w:adjustRightInd w:val="0"/>
        <w:jc w:val="center"/>
        <w:rPr>
          <w:rFonts w:cs="Arial"/>
          <w:b/>
          <w:color w:val="000000"/>
          <w:szCs w:val="20"/>
        </w:rPr>
      </w:pPr>
      <w:r w:rsidRPr="00A05FBB">
        <w:rPr>
          <w:rFonts w:cs="Arial"/>
          <w:b/>
          <w:color w:val="000000"/>
          <w:szCs w:val="20"/>
        </w:rPr>
        <w:t xml:space="preserve">Predlog amandmajev k Predlogu zakona o izvajanju Uredbe (EU) o določitvi </w:t>
      </w:r>
      <w:proofErr w:type="spellStart"/>
      <w:r w:rsidRPr="00A05FBB">
        <w:rPr>
          <w:rFonts w:cs="Arial"/>
          <w:b/>
          <w:color w:val="000000"/>
          <w:szCs w:val="20"/>
        </w:rPr>
        <w:t>harmoniziranih</w:t>
      </w:r>
      <w:proofErr w:type="spellEnd"/>
      <w:r w:rsidRPr="00A05FBB">
        <w:rPr>
          <w:rFonts w:cs="Arial"/>
          <w:b/>
          <w:color w:val="000000"/>
          <w:szCs w:val="20"/>
        </w:rPr>
        <w:t xml:space="preserve"> pravil o umetni inteligenci</w:t>
      </w:r>
    </w:p>
    <w:p w:rsidR="008A4F90" w:rsidRPr="002760DC" w:rsidRDefault="008A4F90" w:rsidP="008A4F90">
      <w:pPr>
        <w:tabs>
          <w:tab w:val="left" w:pos="7920"/>
        </w:tabs>
        <w:autoSpaceDE w:val="0"/>
        <w:autoSpaceDN w:val="0"/>
        <w:adjustRightInd w:val="0"/>
        <w:jc w:val="both"/>
        <w:rPr>
          <w:rFonts w:cs="Arial"/>
          <w:color w:val="000000"/>
          <w:szCs w:val="20"/>
        </w:rPr>
      </w:pPr>
    </w:p>
    <w:p w:rsidR="009C657E" w:rsidRPr="002760DC" w:rsidRDefault="009C657E" w:rsidP="008A4F90">
      <w:pPr>
        <w:tabs>
          <w:tab w:val="left" w:pos="7920"/>
        </w:tabs>
        <w:autoSpaceDE w:val="0"/>
        <w:autoSpaceDN w:val="0"/>
        <w:adjustRightInd w:val="0"/>
        <w:jc w:val="both"/>
        <w:rPr>
          <w:rFonts w:cs="Arial"/>
          <w:color w:val="000000"/>
          <w:szCs w:val="20"/>
        </w:rPr>
      </w:pPr>
    </w:p>
    <w:p w:rsidR="009C657E" w:rsidRPr="002760DC" w:rsidRDefault="009C657E" w:rsidP="008A4F90">
      <w:pPr>
        <w:tabs>
          <w:tab w:val="left" w:pos="5570"/>
        </w:tabs>
        <w:autoSpaceDE w:val="0"/>
        <w:autoSpaceDN w:val="0"/>
        <w:adjustRightInd w:val="0"/>
        <w:jc w:val="both"/>
        <w:rPr>
          <w:rFonts w:cs="Arial"/>
          <w:color w:val="000000"/>
          <w:szCs w:val="20"/>
        </w:rPr>
      </w:pPr>
    </w:p>
    <w:p w:rsidR="00A05FBB" w:rsidRDefault="00A05FBB" w:rsidP="00A05FBB">
      <w:pPr>
        <w:spacing w:line="276" w:lineRule="auto"/>
        <w:rPr>
          <w:rFonts w:cs="Arial"/>
          <w:b/>
          <w:bCs/>
          <w:szCs w:val="20"/>
        </w:rPr>
      </w:pPr>
      <w:r>
        <w:rPr>
          <w:rFonts w:cs="Arial"/>
          <w:b/>
          <w:bCs/>
          <w:szCs w:val="20"/>
        </w:rPr>
        <w:t>K 1. členu:</w:t>
      </w:r>
    </w:p>
    <w:p w:rsidR="00A05FBB" w:rsidRDefault="00A05FBB" w:rsidP="00A05FBB">
      <w:pPr>
        <w:spacing w:line="276" w:lineRule="auto"/>
        <w:jc w:val="both"/>
        <w:rPr>
          <w:rFonts w:cs="Arial"/>
          <w:szCs w:val="20"/>
        </w:rPr>
      </w:pPr>
      <w:r>
        <w:rPr>
          <w:rFonts w:cs="Arial"/>
          <w:szCs w:val="20"/>
        </w:rPr>
        <w:t xml:space="preserve">V drugem odstavku 1. člena se besedilo »imenovanje komisarja za etiko umetne inteligence« nadomesti z besedilom »ustanovitev nacionalnega sveta za etiko v umetni inteligenci«. </w:t>
      </w:r>
    </w:p>
    <w:p w:rsidR="00A05FBB" w:rsidRDefault="00A05FBB" w:rsidP="00A05FBB">
      <w:pPr>
        <w:spacing w:line="276" w:lineRule="auto"/>
        <w:rPr>
          <w:rFonts w:cs="Arial"/>
          <w:b/>
          <w:bCs/>
          <w:szCs w:val="20"/>
        </w:rPr>
      </w:pPr>
    </w:p>
    <w:p w:rsidR="00A05FBB" w:rsidRDefault="00A05FBB" w:rsidP="00A05FBB">
      <w:pPr>
        <w:spacing w:line="276" w:lineRule="auto"/>
        <w:jc w:val="both"/>
        <w:rPr>
          <w:rFonts w:cs="Arial"/>
          <w:szCs w:val="20"/>
        </w:rPr>
      </w:pPr>
      <w:r>
        <w:rPr>
          <w:rFonts w:cs="Arial"/>
          <w:b/>
          <w:bCs/>
          <w:szCs w:val="20"/>
        </w:rPr>
        <w:t>Obrazložitev:</w:t>
      </w:r>
      <w:r>
        <w:rPr>
          <w:rFonts w:cs="Arial"/>
          <w:szCs w:val="20"/>
        </w:rPr>
        <w:t xml:space="preserve"> Amandma k drugemu odstavku je potreben zaradi nadomestitve instituta komisarja za etiko v umetni inteligenci z nacionalnim svetom za etiko v umetni inteligenci (glej amandma k 22. členu). Kot je podrobneje pojasnjeno v amandmaju k 22. členu, je amandma potreben zaradi zagotovitve interdisciplinarnosti, saj je v eni osebi težko združiti širši spekter znanj in veščin oziroma strokovnost na več različnih področjih (računalništvo/informatika, pravo, etika, družboslovje, civilna družba). Posledično je na novo urejena pravna podlaga za nacionalni svet, s čimer se omogoči pokritost širokih področij UI. </w:t>
      </w:r>
    </w:p>
    <w:p w:rsidR="00A05FBB" w:rsidRDefault="00A05FBB" w:rsidP="00A05FBB">
      <w:pPr>
        <w:spacing w:line="276" w:lineRule="auto"/>
        <w:jc w:val="both"/>
        <w:rPr>
          <w:rFonts w:cs="Arial"/>
          <w:szCs w:val="20"/>
        </w:rPr>
      </w:pPr>
    </w:p>
    <w:p w:rsidR="00A05FBB" w:rsidRDefault="00A05FBB" w:rsidP="00A05FBB">
      <w:pPr>
        <w:spacing w:line="276" w:lineRule="auto"/>
        <w:rPr>
          <w:rFonts w:cs="Arial"/>
          <w:b/>
          <w:bCs/>
          <w:szCs w:val="20"/>
        </w:rPr>
      </w:pPr>
      <w:r>
        <w:rPr>
          <w:rFonts w:cs="Arial"/>
          <w:b/>
          <w:bCs/>
          <w:szCs w:val="20"/>
        </w:rPr>
        <w:t>K 4. členu:</w:t>
      </w:r>
    </w:p>
    <w:p w:rsidR="00A05FBB" w:rsidRDefault="00A05FBB" w:rsidP="00A05FBB">
      <w:pPr>
        <w:spacing w:line="276" w:lineRule="auto"/>
        <w:jc w:val="both"/>
        <w:rPr>
          <w:rFonts w:cs="Arial"/>
          <w:szCs w:val="20"/>
        </w:rPr>
      </w:pPr>
      <w:r>
        <w:rPr>
          <w:rFonts w:cs="Arial"/>
          <w:szCs w:val="20"/>
        </w:rPr>
        <w:t xml:space="preserve">V 4. členu se za besedo »iz« </w:t>
      </w:r>
      <w:r>
        <w:rPr>
          <w:szCs w:val="20"/>
        </w:rPr>
        <w:t>doda besedilo »1. točke«.</w:t>
      </w:r>
    </w:p>
    <w:p w:rsidR="00A05FBB" w:rsidRDefault="00A05FBB" w:rsidP="00A05FBB">
      <w:pPr>
        <w:spacing w:line="276" w:lineRule="auto"/>
        <w:jc w:val="both"/>
        <w:rPr>
          <w:rFonts w:cs="Arial"/>
          <w:szCs w:val="20"/>
        </w:rPr>
      </w:pPr>
    </w:p>
    <w:p w:rsidR="00A05FBB" w:rsidRDefault="00A05FBB" w:rsidP="00A05FBB">
      <w:pPr>
        <w:spacing w:line="276" w:lineRule="auto"/>
        <w:jc w:val="both"/>
      </w:pPr>
      <w:r>
        <w:rPr>
          <w:rFonts w:cs="Arial"/>
          <w:b/>
          <w:bCs/>
          <w:szCs w:val="20"/>
        </w:rPr>
        <w:t>Obrazložitev:</w:t>
      </w:r>
      <w:r>
        <w:rPr>
          <w:rFonts w:cs="Arial"/>
          <w:szCs w:val="20"/>
        </w:rPr>
        <w:t xml:space="preserve"> Amandma je potreben zaradi zagotovitve večje jasnosti in določnosti. Namreč, iz drugega odstavka 43. člena </w:t>
      </w:r>
      <w:bookmarkStart w:id="1" w:name="_Hlk190433755"/>
      <w:r>
        <w:t xml:space="preserve">Uredbe (EU) 2024/1689 Evropskega parlamenta in Sveta z dne 13. junija 2024 o določitvi </w:t>
      </w:r>
      <w:proofErr w:type="spellStart"/>
      <w:r>
        <w:t>harmoniziranih</w:t>
      </w:r>
      <w:proofErr w:type="spellEnd"/>
      <w:r>
        <w:t xml:space="preserve"> pravil o umetni inteligenci in spremembi uredb (ES) št. 300/2008, (EU) št. 167/2013, (EU) št. 168/2013, (EU) 2018/858, (EU) 2018/1139 in (EU) 2019/2144 ter direktiv 2014/90/EU, (EU) 2016/797 in (EU) 2020/1828 (Akt o umetni inteligenci) </w:t>
      </w:r>
      <w:bookmarkStart w:id="2" w:name="_Hlk192677756"/>
      <w:r>
        <w:t xml:space="preserve">(UL L z dne 12. 7. 2024, str. 1; v nadaljevanju: </w:t>
      </w:r>
      <w:r>
        <w:rPr>
          <w:i/>
          <w:iCs/>
        </w:rPr>
        <w:t>Uredba 2024/1689/EU</w:t>
      </w:r>
      <w:r>
        <w:t>)</w:t>
      </w:r>
      <w:bookmarkEnd w:id="1"/>
      <w:bookmarkEnd w:id="2"/>
      <w:r>
        <w:t xml:space="preserve"> izhaja, da za </w:t>
      </w:r>
      <w:proofErr w:type="spellStart"/>
      <w:r>
        <w:t>visokotvegane</w:t>
      </w:r>
      <w:proofErr w:type="spellEnd"/>
      <w:r>
        <w:t xml:space="preserve"> sisteme iz 2. do 8. točke Priloge III ponudniki upoštevajo postopek ugotavljanja skladnosti na podlagi notranje kontrole iz Priloge VI, ki ne predvideva sodelovanja priglašenega organa. Zunanja kontrola ugotavljanja skladnosti, torej v sodelovanju s priglašenim organom, se tako predvideva le za </w:t>
      </w:r>
      <w:proofErr w:type="spellStart"/>
      <w:r>
        <w:t>visokotvegane</w:t>
      </w:r>
      <w:proofErr w:type="spellEnd"/>
      <w:r>
        <w:t xml:space="preserve"> sisteme UI iz 1. točke Priloge III (biometrika). Posledično bo ministrstvo, pristojno za informacijsko družbo, priglasitveni organ zgolj za področje biometrije. </w:t>
      </w:r>
    </w:p>
    <w:p w:rsidR="00A05FBB" w:rsidRDefault="00A05FBB" w:rsidP="00A05FBB">
      <w:pPr>
        <w:spacing w:line="276" w:lineRule="auto"/>
        <w:jc w:val="both"/>
      </w:pPr>
    </w:p>
    <w:p w:rsidR="00A05FBB" w:rsidRDefault="00A05FBB" w:rsidP="00A05FBB">
      <w:pPr>
        <w:spacing w:line="276" w:lineRule="auto"/>
        <w:jc w:val="both"/>
        <w:rPr>
          <w:b/>
          <w:bCs/>
        </w:rPr>
      </w:pPr>
    </w:p>
    <w:p w:rsidR="00A05FBB" w:rsidRDefault="00A05FBB" w:rsidP="00A05FBB">
      <w:pPr>
        <w:spacing w:line="276" w:lineRule="auto"/>
        <w:jc w:val="both"/>
        <w:rPr>
          <w:b/>
          <w:bCs/>
        </w:rPr>
      </w:pPr>
      <w:r>
        <w:rPr>
          <w:b/>
          <w:bCs/>
        </w:rPr>
        <w:t>K 11. členu:</w:t>
      </w:r>
    </w:p>
    <w:p w:rsidR="00A05FBB" w:rsidRDefault="00A05FBB" w:rsidP="00A05FBB">
      <w:pPr>
        <w:spacing w:line="276" w:lineRule="auto"/>
        <w:jc w:val="both"/>
      </w:pPr>
      <w:r>
        <w:t>11. člen se spremeni tako, da se glasi:</w:t>
      </w:r>
    </w:p>
    <w:p w:rsidR="00A05FBB" w:rsidRDefault="00A05FBB" w:rsidP="00A05FBB">
      <w:pPr>
        <w:spacing w:line="276" w:lineRule="auto"/>
        <w:jc w:val="both"/>
        <w:rPr>
          <w:b/>
          <w:bCs/>
        </w:rPr>
      </w:pPr>
    </w:p>
    <w:p w:rsidR="00A05FBB" w:rsidRDefault="00A05FBB" w:rsidP="00A05FBB">
      <w:pPr>
        <w:pStyle w:val="len"/>
        <w:numPr>
          <w:ilvl w:val="0"/>
          <w:numId w:val="0"/>
        </w:numPr>
        <w:spacing w:line="276" w:lineRule="auto"/>
        <w:ind w:left="360"/>
        <w:contextualSpacing/>
        <w:rPr>
          <w:b/>
          <w:bCs/>
          <w:sz w:val="20"/>
        </w:rPr>
      </w:pPr>
      <w:r>
        <w:rPr>
          <w:b/>
          <w:bCs/>
          <w:sz w:val="20"/>
        </w:rPr>
        <w:t>»11. člen</w:t>
      </w:r>
    </w:p>
    <w:p w:rsidR="00A05FBB" w:rsidRDefault="00A05FBB" w:rsidP="00A05FBB">
      <w:pPr>
        <w:pStyle w:val="len"/>
        <w:numPr>
          <w:ilvl w:val="0"/>
          <w:numId w:val="0"/>
        </w:numPr>
        <w:spacing w:line="276" w:lineRule="auto"/>
        <w:ind w:left="360"/>
        <w:contextualSpacing/>
        <w:rPr>
          <w:rFonts w:cs="Times New Roman"/>
          <w:b/>
          <w:bCs/>
          <w:sz w:val="20"/>
        </w:rPr>
      </w:pPr>
      <w:r>
        <w:rPr>
          <w:b/>
          <w:bCs/>
          <w:sz w:val="20"/>
        </w:rPr>
        <w:t>(nadzor nad priglašenimi organi, zagotavljanjem pismenosti in javno objavo podatkov o sistemih UI v javnem sektorju)</w:t>
      </w:r>
    </w:p>
    <w:p w:rsidR="00A05FBB" w:rsidRDefault="00A05FBB" w:rsidP="00A05FBB">
      <w:pPr>
        <w:pStyle w:val="Odstavek"/>
        <w:spacing w:before="0" w:line="276" w:lineRule="auto"/>
        <w:ind w:firstLine="0"/>
        <w:contextualSpacing/>
        <w:rPr>
          <w:sz w:val="20"/>
          <w:szCs w:val="20"/>
          <w:lang w:val="sl-SI"/>
        </w:rPr>
      </w:pPr>
    </w:p>
    <w:p w:rsidR="00A05FBB" w:rsidRDefault="00A05FBB" w:rsidP="00A05FBB">
      <w:pPr>
        <w:pStyle w:val="Odstavek"/>
        <w:spacing w:before="0" w:line="276" w:lineRule="auto"/>
        <w:ind w:firstLine="0"/>
        <w:contextualSpacing/>
        <w:rPr>
          <w:sz w:val="20"/>
          <w:szCs w:val="20"/>
          <w:lang w:val="sl-SI"/>
        </w:rPr>
      </w:pPr>
      <w:bookmarkStart w:id="3" w:name="_Hlk190002879"/>
      <w:r>
        <w:rPr>
          <w:sz w:val="20"/>
          <w:szCs w:val="20"/>
          <w:lang w:val="sl-SI"/>
        </w:rPr>
        <w:t xml:space="preserve">Nadzor nad zahtevami in obveznostmi priglašenih organov iz 31. člena, prvega, tretjega in četrtega odstavka 33. člena, 34. in 45. člena Uredbe 2024/1689/EU, nad določbo 4. člena Uredbe 2024/1689/EU in določbo 20.a člena tega zakona izvaja inšpekcija za informacijsko družbo. </w:t>
      </w:r>
      <w:bookmarkEnd w:id="3"/>
    </w:p>
    <w:p w:rsidR="00A05FBB" w:rsidRDefault="00A05FBB" w:rsidP="00A05FBB">
      <w:pPr>
        <w:spacing w:line="276" w:lineRule="auto"/>
        <w:jc w:val="both"/>
        <w:rPr>
          <w:b/>
          <w:bCs/>
        </w:rPr>
      </w:pPr>
    </w:p>
    <w:p w:rsidR="00A05FBB" w:rsidRDefault="00A05FBB" w:rsidP="00A05FBB">
      <w:pPr>
        <w:spacing w:line="276" w:lineRule="auto"/>
        <w:jc w:val="both"/>
      </w:pPr>
      <w:r>
        <w:rPr>
          <w:rFonts w:cs="Arial"/>
          <w:b/>
          <w:bCs/>
          <w:szCs w:val="20"/>
        </w:rPr>
        <w:t xml:space="preserve">Obrazložitev: </w:t>
      </w:r>
      <w:r>
        <w:rPr>
          <w:rFonts w:cs="Arial"/>
          <w:szCs w:val="20"/>
        </w:rPr>
        <w:t xml:space="preserve">Amandma se predlaga zaradi vključitve dodatnih </w:t>
      </w:r>
      <w:proofErr w:type="spellStart"/>
      <w:r>
        <w:rPr>
          <w:rFonts w:cs="Arial"/>
          <w:szCs w:val="20"/>
        </w:rPr>
        <w:t>prekrškovnih</w:t>
      </w:r>
      <w:proofErr w:type="spellEnd"/>
      <w:r>
        <w:rPr>
          <w:rFonts w:cs="Arial"/>
          <w:szCs w:val="20"/>
        </w:rPr>
        <w:t xml:space="preserve"> določb v 31. člen Predloga zakona (tj. zaradi kršitev 45. člena Uredbe 2024/1689/EU, kar je v svoji Interpretativni noti za podporo implementaciji 99. člena Akta o umetni inteligenci zahtevala Evropska komisija) ter zaradi predloga amandmaja (20.a člena), ki predvideva javno objavo podatkov o sistemih UI v javnem sektorju. Nadzor nad organi javnega sektorja, ki podatkov iz prvega odstavka 20.a člena najkasneje ob uvedbi sistema UI oziroma informacijske rešitve, ki vključujejo UI, ne bodo  objavili na enotni informacijski točki, bo izvajala inšpekcija za informacijsko družbo. </w:t>
      </w:r>
    </w:p>
    <w:p w:rsidR="00A05FBB" w:rsidRDefault="00A05FBB" w:rsidP="00A05FBB">
      <w:pPr>
        <w:spacing w:line="276" w:lineRule="auto"/>
        <w:jc w:val="both"/>
        <w:rPr>
          <w:b/>
          <w:bCs/>
        </w:rPr>
      </w:pPr>
    </w:p>
    <w:p w:rsidR="00A05FBB" w:rsidRDefault="00A05FBB" w:rsidP="00A05FBB">
      <w:pPr>
        <w:spacing w:line="276" w:lineRule="auto"/>
        <w:jc w:val="both"/>
        <w:rPr>
          <w:b/>
          <w:bCs/>
        </w:rPr>
      </w:pPr>
    </w:p>
    <w:p w:rsidR="00A05FBB" w:rsidRDefault="00A05FBB" w:rsidP="00A05FBB">
      <w:pPr>
        <w:spacing w:line="276" w:lineRule="auto"/>
        <w:jc w:val="both"/>
        <w:rPr>
          <w:b/>
          <w:bCs/>
        </w:rPr>
      </w:pPr>
      <w:r>
        <w:rPr>
          <w:b/>
          <w:bCs/>
        </w:rPr>
        <w:t>K 12. členu:</w:t>
      </w:r>
    </w:p>
    <w:p w:rsidR="00A05FBB" w:rsidRDefault="00A05FBB" w:rsidP="00A05FBB">
      <w:pPr>
        <w:spacing w:line="276" w:lineRule="auto"/>
        <w:jc w:val="both"/>
        <w:rPr>
          <w:rFonts w:cs="Arial"/>
          <w:szCs w:val="20"/>
        </w:rPr>
      </w:pPr>
      <w:r>
        <w:rPr>
          <w:rFonts w:cs="Arial"/>
          <w:szCs w:val="20"/>
        </w:rPr>
        <w:t>Naslov 12. člena se spremeni tako, da se glasi: »(ukrepi in postopek nadzora)«.</w:t>
      </w:r>
    </w:p>
    <w:p w:rsidR="00A05FBB" w:rsidRDefault="00A05FBB" w:rsidP="00A05FBB">
      <w:pPr>
        <w:spacing w:line="276" w:lineRule="auto"/>
        <w:jc w:val="both"/>
        <w:rPr>
          <w:b/>
          <w:bCs/>
        </w:rPr>
      </w:pPr>
    </w:p>
    <w:p w:rsidR="00A05FBB" w:rsidRDefault="00A05FBB" w:rsidP="00A05FBB">
      <w:pPr>
        <w:spacing w:line="276" w:lineRule="auto"/>
        <w:jc w:val="both"/>
        <w:rPr>
          <w:rFonts w:cs="Arial"/>
          <w:szCs w:val="20"/>
        </w:rPr>
      </w:pPr>
      <w:r>
        <w:rPr>
          <w:rFonts w:cs="Arial"/>
          <w:b/>
          <w:bCs/>
          <w:szCs w:val="20"/>
        </w:rPr>
        <w:t>Obrazložitev:</w:t>
      </w:r>
      <w:r>
        <w:rPr>
          <w:rFonts w:cs="Arial"/>
          <w:szCs w:val="20"/>
        </w:rPr>
        <w:t xml:space="preserve"> Amandma je potreben zaradi uskladitve z mnenjem Zakonodajno-pravne službe (v nadaljevanju: </w:t>
      </w:r>
      <w:r>
        <w:rPr>
          <w:rFonts w:cs="Arial"/>
          <w:i/>
          <w:iCs/>
          <w:szCs w:val="20"/>
        </w:rPr>
        <w:t>ZPS</w:t>
      </w:r>
      <w:r>
        <w:rPr>
          <w:rFonts w:cs="Arial"/>
          <w:szCs w:val="20"/>
        </w:rPr>
        <w:t xml:space="preserve">), da se prvi odstavek nanaša tudi na ukrepe, ki niso procesne narave. </w:t>
      </w:r>
    </w:p>
    <w:p w:rsidR="00A05FBB" w:rsidRDefault="00A05FBB" w:rsidP="00A05FBB">
      <w:pPr>
        <w:spacing w:line="276" w:lineRule="auto"/>
        <w:jc w:val="both"/>
        <w:rPr>
          <w:rFonts w:cs="Arial"/>
          <w:szCs w:val="20"/>
        </w:rPr>
      </w:pPr>
    </w:p>
    <w:p w:rsidR="00A05FBB" w:rsidRDefault="00A05FBB" w:rsidP="00A05FBB">
      <w:pPr>
        <w:spacing w:line="276" w:lineRule="auto"/>
        <w:jc w:val="both"/>
        <w:rPr>
          <w:b/>
          <w:bCs/>
        </w:rPr>
      </w:pPr>
      <w:r>
        <w:rPr>
          <w:rFonts w:cs="Arial"/>
          <w:szCs w:val="20"/>
        </w:rPr>
        <w:t xml:space="preserve">V zvezi s pripombo ZPS glede </w:t>
      </w:r>
      <w:r>
        <w:rPr>
          <w:rFonts w:cs="Arial"/>
          <w:szCs w:val="20"/>
          <w:u w:val="single"/>
        </w:rPr>
        <w:t>petega odstavka 12. člena</w:t>
      </w:r>
      <w:r>
        <w:rPr>
          <w:rFonts w:cs="Arial"/>
          <w:szCs w:val="20"/>
        </w:rPr>
        <w:t xml:space="preserve"> pojasnjujemo, da določba pokriva predvsem primere, ko je določen organ za nadzor trga sicer pristojen za izvajanje nadzora nad sistemom UI, vendar pa zazna kršitev npr. tudi na področju varstva osebnih podatkov (po Splošni uredbi o varstvu osebnih podatkov oziroma po ZVOP-2), o čemer mora nujno obvestiti Informacijskega pooblaščenca (navedeno velja tudi v obratni smeri). Zaradi večje jasnosti in pravne varnosti za organe za nadzor trga  je primerno, da se določba ohrani v zakonu, ne glede na to, da je materija na splošni ravni urejena že v 32. členu Zakona o inšpekcijskem nadzoru.</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b/>
          <w:bCs/>
          <w:szCs w:val="20"/>
        </w:rPr>
      </w:pPr>
      <w:r>
        <w:rPr>
          <w:rFonts w:cs="Arial"/>
          <w:b/>
          <w:bCs/>
          <w:szCs w:val="20"/>
        </w:rPr>
        <w:t>K 16. členu:</w:t>
      </w:r>
    </w:p>
    <w:p w:rsidR="00A05FBB" w:rsidRDefault="00A05FBB" w:rsidP="00A05FBB">
      <w:pPr>
        <w:spacing w:line="276" w:lineRule="auto"/>
        <w:jc w:val="both"/>
        <w:rPr>
          <w:rFonts w:cs="Arial"/>
          <w:szCs w:val="20"/>
        </w:rPr>
      </w:pPr>
      <w:r>
        <w:rPr>
          <w:rFonts w:cs="Arial"/>
          <w:szCs w:val="20"/>
        </w:rPr>
        <w:t>V tretjem odstavku 16. člena se besedilo »Ko postane odločba, s katero je ugotovljena kršitev ali odrejen ukrep, dokončna oziroma odločba, s katero je bil izrečen prekršek, pravnomočna« nadomesti z besedilom »Ko postaneta odločba, s katero je ugotovljena kršitev ali odrejen ukrep, oziroma odločba, s katero je bil izrečen prekršek, pravnomočni«.</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szCs w:val="20"/>
        </w:rPr>
      </w:pPr>
      <w:r>
        <w:rPr>
          <w:rFonts w:cs="Arial"/>
          <w:szCs w:val="20"/>
        </w:rPr>
        <w:t>Doda se nov četrti odstavek, ki se glasi:</w:t>
      </w:r>
    </w:p>
    <w:p w:rsidR="00A05FBB" w:rsidRDefault="00A05FBB" w:rsidP="00A05FBB">
      <w:pPr>
        <w:shd w:val="clear" w:color="auto" w:fill="FFFFFF" w:themeFill="background1"/>
        <w:spacing w:line="276" w:lineRule="auto"/>
        <w:jc w:val="both"/>
        <w:rPr>
          <w:rFonts w:eastAsia="Arial" w:cs="Arial"/>
          <w:szCs w:val="20"/>
        </w:rPr>
      </w:pPr>
      <w:r>
        <w:rPr>
          <w:rFonts w:eastAsia="Arial" w:cs="Arial"/>
          <w:szCs w:val="20"/>
        </w:rPr>
        <w:t>»(4) Ne glede na prvi in drugi odstavek tega člena organ za nadzor trga po uradni dolžnosti ali na predlog kršitelja odloči, da se informacije o identiteti kršitelja ne objavijo, če:</w:t>
      </w:r>
    </w:p>
    <w:p w:rsidR="00A05FBB" w:rsidRDefault="00A05FBB" w:rsidP="00A05FBB">
      <w:pPr>
        <w:pStyle w:val="tevilnatoka"/>
        <w:numPr>
          <w:ilvl w:val="0"/>
          <w:numId w:val="4"/>
        </w:numPr>
        <w:shd w:val="clear" w:color="auto" w:fill="FFFFFF" w:themeFill="background1"/>
        <w:tabs>
          <w:tab w:val="clear" w:pos="425"/>
          <w:tab w:val="left" w:pos="708"/>
        </w:tabs>
        <w:spacing w:line="276" w:lineRule="auto"/>
        <w:rPr>
          <w:rFonts w:eastAsia="Arial"/>
          <w:bCs/>
          <w:sz w:val="20"/>
          <w:szCs w:val="20"/>
        </w:rPr>
      </w:pPr>
      <w:bookmarkStart w:id="4" w:name="_Hlk202865688"/>
      <w:r>
        <w:rPr>
          <w:rFonts w:eastAsia="Arial"/>
          <w:sz w:val="20"/>
          <w:szCs w:val="20"/>
        </w:rPr>
        <w:t>se ukrep nadzora ali sankcija zaradi prekrška izreče fizični osebi in objava osebnih podatkov o kršitelju ni sorazmerna s težo kršitve ali</w:t>
      </w:r>
    </w:p>
    <w:p w:rsidR="00A05FBB" w:rsidRDefault="00A05FBB" w:rsidP="00A05FBB">
      <w:pPr>
        <w:pStyle w:val="tevilnatoka"/>
        <w:numPr>
          <w:ilvl w:val="0"/>
          <w:numId w:val="4"/>
        </w:numPr>
        <w:shd w:val="clear" w:color="auto" w:fill="FFFFFF" w:themeFill="background1"/>
        <w:tabs>
          <w:tab w:val="clear" w:pos="425"/>
          <w:tab w:val="left" w:pos="708"/>
        </w:tabs>
        <w:spacing w:line="276" w:lineRule="auto"/>
        <w:rPr>
          <w:rFonts w:eastAsia="Arial"/>
          <w:bCs/>
          <w:sz w:val="20"/>
          <w:szCs w:val="20"/>
        </w:rPr>
      </w:pPr>
      <w:r>
        <w:rPr>
          <w:rFonts w:eastAsia="Arial"/>
          <w:sz w:val="20"/>
          <w:szCs w:val="20"/>
        </w:rPr>
        <w:t>bi z objavo vpletenim osebam verjetno nastala nesorazmerna škoda.«.</w:t>
      </w:r>
    </w:p>
    <w:bookmarkEnd w:id="4"/>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szCs w:val="20"/>
        </w:rPr>
      </w:pPr>
      <w:r>
        <w:rPr>
          <w:rFonts w:cs="Arial"/>
          <w:b/>
          <w:bCs/>
          <w:szCs w:val="20"/>
        </w:rPr>
        <w:t>Obrazložitev:</w:t>
      </w:r>
      <w:r>
        <w:rPr>
          <w:rFonts w:cs="Arial"/>
          <w:szCs w:val="20"/>
        </w:rPr>
        <w:t xml:space="preserve"> Amandma k tretjemu odstavku se predlaga zaradi uskladitve z mnenjem ZPS. Nov četrti odstavek pa se predlaga zaradi upoštevanja sorazmernosti med cilji objave (tj. preglednost delovanja organov za nadzor trga in preprečevanja kršitev Uredbe 2024/1689/EU in obveščanje javnosti o delovanju zavezancev po uredbi) ter posegi v pravice do zasebnosti fizičnih in drugih pravic pravnih oseb, kršiteljev področne zakonodaje. V sled navedenega je urejena možnost, da se glede na okoliščine vsakega konkretnega primera in na podlagi vnaprej postavljenih meri, v vsakem konkretnem primeru odločijo o tem, ali je razkritje identitete kršitelja sorazmerno, potrebno in primerno, še posebej v primeru, ko je kršitelj fizična oseba. </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b/>
          <w:bCs/>
          <w:szCs w:val="20"/>
        </w:rPr>
      </w:pPr>
      <w:r>
        <w:rPr>
          <w:rFonts w:cs="Arial"/>
          <w:b/>
          <w:bCs/>
          <w:szCs w:val="20"/>
        </w:rPr>
        <w:t>K 17. členu:</w:t>
      </w:r>
    </w:p>
    <w:p w:rsidR="00A05FBB" w:rsidRDefault="00A05FBB" w:rsidP="00A05FBB">
      <w:pPr>
        <w:spacing w:line="276" w:lineRule="auto"/>
        <w:jc w:val="both"/>
        <w:rPr>
          <w:rFonts w:cs="Arial"/>
          <w:szCs w:val="20"/>
        </w:rPr>
      </w:pPr>
      <w:r>
        <w:rPr>
          <w:rFonts w:cs="Arial"/>
          <w:szCs w:val="20"/>
        </w:rPr>
        <w:t>Prvi odstavek 17. člena se spremeni tako, da se glasi:</w:t>
      </w:r>
    </w:p>
    <w:p w:rsidR="00A05FBB" w:rsidRDefault="00A05FBB" w:rsidP="00A05FBB">
      <w:pPr>
        <w:spacing w:line="276" w:lineRule="auto"/>
        <w:jc w:val="both"/>
        <w:rPr>
          <w:rFonts w:cs="Arial"/>
          <w:szCs w:val="20"/>
        </w:rPr>
      </w:pPr>
    </w:p>
    <w:p w:rsidR="00A05FBB" w:rsidRDefault="00A05FBB" w:rsidP="00A05FBB">
      <w:pPr>
        <w:spacing w:line="276" w:lineRule="auto"/>
        <w:jc w:val="both"/>
        <w:rPr>
          <w:szCs w:val="20"/>
        </w:rPr>
      </w:pPr>
      <w:r>
        <w:rPr>
          <w:szCs w:val="20"/>
        </w:rPr>
        <w:t>»(1) Za vzpostavitev regulativnih peskovnikov za UI v skladu s 57. členom Uredbe 2024/1689/EU je odgovorna agencija.«.</w:t>
      </w:r>
    </w:p>
    <w:p w:rsidR="00A05FBB" w:rsidRDefault="00A05FBB" w:rsidP="00A05FBB">
      <w:pPr>
        <w:spacing w:line="276" w:lineRule="auto"/>
        <w:jc w:val="both"/>
        <w:rPr>
          <w:szCs w:val="20"/>
        </w:rPr>
      </w:pPr>
    </w:p>
    <w:p w:rsidR="00A05FBB" w:rsidRDefault="00A05FBB" w:rsidP="00A05FBB">
      <w:pPr>
        <w:spacing w:line="276" w:lineRule="auto"/>
        <w:jc w:val="both"/>
        <w:rPr>
          <w:rFonts w:cs="Arial"/>
          <w:szCs w:val="20"/>
        </w:rPr>
      </w:pPr>
      <w:r>
        <w:rPr>
          <w:b/>
          <w:bCs/>
          <w:szCs w:val="20"/>
        </w:rPr>
        <w:t>Obrazložitev:</w:t>
      </w:r>
      <w:r>
        <w:rPr>
          <w:szCs w:val="20"/>
        </w:rPr>
        <w:t xml:space="preserve"> </w:t>
      </w:r>
      <w:r>
        <w:rPr>
          <w:rFonts w:cs="Arial"/>
          <w:szCs w:val="20"/>
        </w:rPr>
        <w:t xml:space="preserve">Amandma se predlaga zaradi uskladitve z mnenjem ZPS. </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szCs w:val="20"/>
        </w:rPr>
      </w:pPr>
      <w:r>
        <w:rPr>
          <w:rFonts w:cs="Arial"/>
          <w:szCs w:val="20"/>
        </w:rPr>
        <w:t>Na koncu šestega odstavka se pred piko doda vejica in besedilo »ki se objavi na spletni strani agencije«.</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szCs w:val="20"/>
        </w:rPr>
      </w:pPr>
      <w:r>
        <w:rPr>
          <w:b/>
          <w:bCs/>
          <w:szCs w:val="20"/>
        </w:rPr>
        <w:t>Obrazložitev:</w:t>
      </w:r>
      <w:r>
        <w:rPr>
          <w:szCs w:val="20"/>
        </w:rPr>
        <w:t xml:space="preserve"> </w:t>
      </w:r>
      <w:r>
        <w:rPr>
          <w:rFonts w:cs="Arial"/>
          <w:szCs w:val="20"/>
        </w:rPr>
        <w:t xml:space="preserve">Amandma se predlaga zaradi uskladitve z mnenjem ZPS. </w:t>
      </w:r>
    </w:p>
    <w:p w:rsidR="00A05FBB" w:rsidRDefault="00A05FBB" w:rsidP="00A05FBB">
      <w:pPr>
        <w:spacing w:line="276" w:lineRule="auto"/>
        <w:jc w:val="both"/>
        <w:rPr>
          <w:szCs w:val="20"/>
        </w:rPr>
      </w:pPr>
    </w:p>
    <w:p w:rsidR="00A05FBB" w:rsidRDefault="00A05FBB" w:rsidP="00A05FBB">
      <w:pPr>
        <w:spacing w:line="276" w:lineRule="auto"/>
        <w:jc w:val="both"/>
        <w:rPr>
          <w:rFonts w:cs="Arial"/>
          <w:szCs w:val="20"/>
        </w:rPr>
      </w:pPr>
      <w:r>
        <w:rPr>
          <w:rFonts w:cs="Arial"/>
          <w:szCs w:val="20"/>
        </w:rPr>
        <w:t xml:space="preserve">V zvezi s pripombo ZPS glede </w:t>
      </w:r>
      <w:r>
        <w:rPr>
          <w:rFonts w:cs="Arial"/>
          <w:szCs w:val="20"/>
          <w:u w:val="single"/>
        </w:rPr>
        <w:t>drugega odstavka</w:t>
      </w:r>
      <w:r>
        <w:rPr>
          <w:rFonts w:cs="Arial"/>
          <w:szCs w:val="20"/>
        </w:rPr>
        <w:t xml:space="preserve">, da »drugi inšpekcijski organi« niso navedeni na način, ki bi omogočal njihovo takojšnjo identifikacijo, pojasnjujemo, da so področja iz Priloge III Uredbe 2024/1689/EU jasno določena (področje izobraževanja, zaposlovanja), prav tako se za posamezne vrste proizvodov, kot ti izhajajo iz zakonodaje Unije iz oddelka A priloge I Uredbe 2024/1689/EU, da ugotoviti, v pristojnost katerega inšpekcijskega organa sodijo (npr. da je vsebinski inšpektorat, pristojen za nadzor nad zakonodajo, ki je v nacionalni pravni red prenesla Direktivo 2009/48/ES Evropskega parlamenta in Sveta z dne 18. junija 2009 o varnosti igrač (UL L 170, 30.6.2009, str. 1) inšpektorat pri ministrstvu, pristojnim za zdravje ter da je vsebinski inšpektorat, pristojen za zakonodajo, ki je v nacionalni pravni red prenesla Direktivo 2006/42/ES Evropskega parlamenta in Sveta z dne 17. maja 2006 o strojih in spremembah Direktive 95/16/ES (UL L 157, 9.6.2006, str. 24) inšpektorat pri ministrstvu, pristojnem za trg. </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szCs w:val="20"/>
        </w:rPr>
      </w:pPr>
      <w:r>
        <w:rPr>
          <w:rFonts w:cs="Arial"/>
          <w:szCs w:val="20"/>
        </w:rPr>
        <w:t xml:space="preserve">Glede pripombe ZPS, ki se nanaša na </w:t>
      </w:r>
      <w:r>
        <w:rPr>
          <w:rFonts w:cs="Arial"/>
          <w:szCs w:val="20"/>
          <w:u w:val="single"/>
        </w:rPr>
        <w:t xml:space="preserve">tretji odstavek </w:t>
      </w:r>
      <w:r>
        <w:rPr>
          <w:rFonts w:cs="Arial"/>
          <w:szCs w:val="20"/>
        </w:rPr>
        <w:t xml:space="preserve">pojasnjujemo, da šestnajsti odstavek 57. člena Uredbe 2024/1689/EU zavezuje »pristojne nacionalne organi, da Uradu za UI in Odboru predložijo letna poročila«, četrta alineja tretjega odstavka tako samo precizira, da mora na nacionalni ravni za to poskrbeti agencija. </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b/>
          <w:bCs/>
          <w:szCs w:val="20"/>
        </w:rPr>
      </w:pPr>
      <w:r>
        <w:rPr>
          <w:rFonts w:cs="Arial"/>
          <w:b/>
          <w:bCs/>
          <w:szCs w:val="20"/>
        </w:rPr>
        <w:t>K 18. členu:</w:t>
      </w:r>
    </w:p>
    <w:p w:rsidR="00A05FBB" w:rsidRDefault="00A05FBB" w:rsidP="00A05FBB">
      <w:pPr>
        <w:spacing w:line="276" w:lineRule="auto"/>
        <w:jc w:val="both"/>
        <w:rPr>
          <w:rFonts w:cs="Arial"/>
          <w:b/>
          <w:bCs/>
          <w:szCs w:val="20"/>
        </w:rPr>
      </w:pPr>
      <w:r>
        <w:rPr>
          <w:rFonts w:cs="Arial"/>
          <w:szCs w:val="20"/>
        </w:rPr>
        <w:t>V četrtem odstavku 18. člena se</w:t>
      </w:r>
      <w:r>
        <w:rPr>
          <w:rFonts w:cs="Arial"/>
          <w:b/>
          <w:bCs/>
          <w:szCs w:val="20"/>
        </w:rPr>
        <w:t xml:space="preserve"> </w:t>
      </w:r>
      <w:r>
        <w:rPr>
          <w:rFonts w:cs="Arial"/>
          <w:szCs w:val="20"/>
          <w:lang w:eastAsia="sl-SI"/>
        </w:rPr>
        <w:t xml:space="preserve">besedilo »s predpisi, ki urejajo področje tajnih podatkov in poslovno skrivnost« nadomesti z besedilom »z zakonom, ki ureja tajne podatke, oziroma zakonom, ki ureja poslovno skrivnost«. </w:t>
      </w:r>
    </w:p>
    <w:p w:rsidR="00A05FBB" w:rsidRDefault="00A05FBB" w:rsidP="00A05FBB">
      <w:pPr>
        <w:spacing w:line="276" w:lineRule="auto"/>
        <w:jc w:val="both"/>
        <w:rPr>
          <w:b/>
          <w:bCs/>
          <w:szCs w:val="20"/>
        </w:rPr>
      </w:pPr>
    </w:p>
    <w:p w:rsidR="00A05FBB" w:rsidRDefault="00A05FBB" w:rsidP="00A05FBB">
      <w:pPr>
        <w:spacing w:line="276" w:lineRule="auto"/>
        <w:jc w:val="both"/>
        <w:rPr>
          <w:rFonts w:cs="Arial"/>
          <w:szCs w:val="20"/>
        </w:rPr>
      </w:pPr>
      <w:r>
        <w:rPr>
          <w:b/>
          <w:bCs/>
          <w:szCs w:val="20"/>
        </w:rPr>
        <w:t>Obrazložitev:</w:t>
      </w:r>
      <w:r>
        <w:rPr>
          <w:szCs w:val="20"/>
        </w:rPr>
        <w:t xml:space="preserve"> </w:t>
      </w:r>
      <w:r>
        <w:rPr>
          <w:rFonts w:cs="Arial"/>
          <w:szCs w:val="20"/>
        </w:rPr>
        <w:t xml:space="preserve">Amandma se predlaga zaradi uskladitve z mnenjem ZPS. </w:t>
      </w:r>
    </w:p>
    <w:p w:rsidR="00A05FBB" w:rsidRDefault="00A05FBB" w:rsidP="00A05FBB">
      <w:pPr>
        <w:spacing w:line="276" w:lineRule="auto"/>
        <w:jc w:val="both"/>
        <w:rPr>
          <w:rFonts w:cs="Arial"/>
          <w:sz w:val="22"/>
          <w:szCs w:val="22"/>
        </w:rPr>
      </w:pPr>
    </w:p>
    <w:p w:rsidR="00A05FBB" w:rsidRDefault="00A05FBB" w:rsidP="00A05FBB">
      <w:pPr>
        <w:spacing w:line="276" w:lineRule="auto"/>
        <w:jc w:val="both"/>
        <w:rPr>
          <w:rFonts w:cs="Arial"/>
          <w:b/>
          <w:bCs/>
          <w:szCs w:val="20"/>
        </w:rPr>
      </w:pPr>
      <w:r>
        <w:rPr>
          <w:rFonts w:cs="Arial"/>
          <w:b/>
          <w:bCs/>
          <w:szCs w:val="20"/>
        </w:rPr>
        <w:t>K 19. členu:</w:t>
      </w:r>
    </w:p>
    <w:p w:rsidR="00A05FBB" w:rsidRDefault="00A05FBB" w:rsidP="00A05FBB">
      <w:pPr>
        <w:spacing w:line="276" w:lineRule="auto"/>
        <w:jc w:val="both"/>
        <w:rPr>
          <w:rFonts w:cs="Arial"/>
          <w:szCs w:val="20"/>
        </w:rPr>
      </w:pPr>
      <w:r>
        <w:rPr>
          <w:rFonts w:cs="Arial"/>
          <w:szCs w:val="20"/>
        </w:rPr>
        <w:t xml:space="preserve">V tretjem odstavku 19. člena se pred besedo »Organi«, ki se zapiše z malo začetnico, doda beseda »Drugi«. </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szCs w:val="20"/>
        </w:rPr>
      </w:pPr>
      <w:r>
        <w:rPr>
          <w:b/>
          <w:bCs/>
          <w:szCs w:val="20"/>
        </w:rPr>
        <w:t>Obrazložitev:</w:t>
      </w:r>
      <w:r>
        <w:rPr>
          <w:szCs w:val="20"/>
        </w:rPr>
        <w:t xml:space="preserve"> </w:t>
      </w:r>
      <w:r>
        <w:rPr>
          <w:rFonts w:cs="Arial"/>
          <w:szCs w:val="20"/>
        </w:rPr>
        <w:t xml:space="preserve">Amandma se predlaga zaradi uskladitve z mnenjem ZPS. </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b/>
          <w:bCs/>
          <w:szCs w:val="20"/>
        </w:rPr>
      </w:pPr>
      <w:r>
        <w:rPr>
          <w:rFonts w:cs="Arial"/>
          <w:b/>
          <w:bCs/>
          <w:szCs w:val="20"/>
        </w:rPr>
        <w:t>K 20. členu:</w:t>
      </w:r>
    </w:p>
    <w:p w:rsidR="00A05FBB" w:rsidRDefault="00A05FBB" w:rsidP="00A05FBB">
      <w:pPr>
        <w:spacing w:line="276" w:lineRule="auto"/>
        <w:jc w:val="both"/>
        <w:rPr>
          <w:rFonts w:cs="Arial"/>
          <w:szCs w:val="20"/>
        </w:rPr>
      </w:pPr>
      <w:r>
        <w:rPr>
          <w:rFonts w:cs="Arial"/>
          <w:szCs w:val="20"/>
        </w:rPr>
        <w:t>V tretjem odstavku 20. člena se besedilo »s predpisi, ki urejajo varstvo dokumentarnega in arhivskega gradiva« nadomesti z besedilom »z zakonom, ki ureja varstvo dokumentarnega in arhivskega gradiva«.</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szCs w:val="20"/>
        </w:rPr>
      </w:pPr>
      <w:r>
        <w:rPr>
          <w:b/>
          <w:bCs/>
          <w:szCs w:val="20"/>
        </w:rPr>
        <w:t>Obrazložitev:</w:t>
      </w:r>
      <w:r>
        <w:rPr>
          <w:szCs w:val="20"/>
        </w:rPr>
        <w:t xml:space="preserve"> </w:t>
      </w:r>
      <w:r>
        <w:rPr>
          <w:rFonts w:cs="Arial"/>
          <w:szCs w:val="20"/>
        </w:rPr>
        <w:t xml:space="preserve">Amandma se predlaga zaradi uskladitve z mnenjem ZPS. </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b/>
          <w:bCs/>
          <w:szCs w:val="20"/>
        </w:rPr>
      </w:pPr>
      <w:r>
        <w:rPr>
          <w:rFonts w:cs="Arial"/>
          <w:b/>
          <w:bCs/>
          <w:szCs w:val="20"/>
        </w:rPr>
        <w:t>Za novo poglavje in nov 20.a člen</w:t>
      </w:r>
    </w:p>
    <w:p w:rsidR="00A05FBB" w:rsidRDefault="00A05FBB" w:rsidP="00A05FBB">
      <w:pPr>
        <w:spacing w:line="276" w:lineRule="auto"/>
        <w:jc w:val="both"/>
        <w:rPr>
          <w:rFonts w:cs="Arial"/>
          <w:szCs w:val="20"/>
        </w:rPr>
      </w:pPr>
      <w:r>
        <w:rPr>
          <w:rFonts w:cs="Arial"/>
          <w:szCs w:val="20"/>
        </w:rPr>
        <w:t>Za 20. členom se doda novo poglavje in nov 20.a člen, ki se glasi:</w:t>
      </w:r>
    </w:p>
    <w:p w:rsidR="00A05FBB" w:rsidRDefault="00A05FBB" w:rsidP="00A05FBB">
      <w:pPr>
        <w:spacing w:line="276" w:lineRule="auto"/>
        <w:jc w:val="center"/>
        <w:rPr>
          <w:rFonts w:cs="Arial"/>
          <w:szCs w:val="20"/>
        </w:rPr>
      </w:pPr>
    </w:p>
    <w:p w:rsidR="00A05FBB" w:rsidRDefault="00A05FBB" w:rsidP="00A05FBB">
      <w:pPr>
        <w:spacing w:line="276" w:lineRule="auto"/>
        <w:jc w:val="center"/>
        <w:rPr>
          <w:rFonts w:cs="Arial"/>
          <w:szCs w:val="20"/>
        </w:rPr>
      </w:pPr>
      <w:r>
        <w:rPr>
          <w:rFonts w:cs="Arial"/>
          <w:szCs w:val="20"/>
        </w:rPr>
        <w:t>V.A JAVNA OBJAVA PODATKOV</w:t>
      </w:r>
    </w:p>
    <w:p w:rsidR="00A05FBB" w:rsidRDefault="00A05FBB" w:rsidP="00A05FBB">
      <w:pPr>
        <w:spacing w:line="276" w:lineRule="auto"/>
        <w:jc w:val="both"/>
        <w:rPr>
          <w:rFonts w:cs="Arial"/>
          <w:szCs w:val="20"/>
        </w:rPr>
      </w:pPr>
    </w:p>
    <w:p w:rsidR="00A05FBB" w:rsidRDefault="00A05FBB" w:rsidP="00A05FBB">
      <w:pPr>
        <w:spacing w:line="276" w:lineRule="auto"/>
        <w:jc w:val="center"/>
      </w:pPr>
      <w:bookmarkStart w:id="5" w:name="_Hlk209708379"/>
      <w:r>
        <w:t>»20.a člen</w:t>
      </w:r>
    </w:p>
    <w:p w:rsidR="00A05FBB" w:rsidRDefault="00A05FBB" w:rsidP="00A05FBB">
      <w:pPr>
        <w:spacing w:line="276" w:lineRule="auto"/>
        <w:jc w:val="center"/>
      </w:pPr>
      <w:r>
        <w:t>(objava podatkov o sistemih UI v javnem sektorju)</w:t>
      </w:r>
    </w:p>
    <w:p w:rsidR="00A05FBB" w:rsidRDefault="00A05FBB" w:rsidP="00A05FBB">
      <w:pPr>
        <w:spacing w:line="276" w:lineRule="auto"/>
        <w:jc w:val="both"/>
      </w:pPr>
      <w:r>
        <w:lastRenderedPageBreak/>
        <w:t>(1) Ministrstvo, pristojno za upravljanje informacijsko-komunikacijskih sistemov, zagotavlja enotno informacijsko točko, na kateri organi javnega sektorja objavljajo naslednje podatke o sistemih UI oziroma informacijskih rešitvah, ki vključujejo UI:</w:t>
      </w:r>
    </w:p>
    <w:p w:rsidR="00A05FBB" w:rsidRDefault="00A05FBB" w:rsidP="00A05FBB">
      <w:pPr>
        <w:spacing w:line="276" w:lineRule="auto"/>
        <w:jc w:val="both"/>
      </w:pPr>
    </w:p>
    <w:p w:rsidR="00A05FBB" w:rsidRDefault="00A05FBB" w:rsidP="00A05FBB">
      <w:pPr>
        <w:numPr>
          <w:ilvl w:val="0"/>
          <w:numId w:val="5"/>
        </w:numPr>
        <w:spacing w:after="160" w:line="276" w:lineRule="auto"/>
      </w:pPr>
      <w:r>
        <w:t>naziv organa, pri katerem je sistem UI v uporabi,</w:t>
      </w:r>
    </w:p>
    <w:p w:rsidR="00A05FBB" w:rsidRDefault="00A05FBB" w:rsidP="00A05FBB">
      <w:pPr>
        <w:numPr>
          <w:ilvl w:val="0"/>
          <w:numId w:val="5"/>
        </w:numPr>
        <w:spacing w:after="160" w:line="276" w:lineRule="auto"/>
      </w:pPr>
      <w:r>
        <w:t>predvidena raba ter njeni cilji in učinki,</w:t>
      </w:r>
    </w:p>
    <w:p w:rsidR="00A05FBB" w:rsidRDefault="00A05FBB" w:rsidP="00A05FBB">
      <w:pPr>
        <w:numPr>
          <w:ilvl w:val="0"/>
          <w:numId w:val="5"/>
        </w:numPr>
        <w:spacing w:after="160" w:line="276" w:lineRule="auto"/>
      </w:pPr>
      <w:r>
        <w:t>navedba osnovnih principov delovanja algoritmov pri odločanju sistema UI,</w:t>
      </w:r>
    </w:p>
    <w:p w:rsidR="00A05FBB" w:rsidRDefault="00A05FBB" w:rsidP="00A05FBB">
      <w:pPr>
        <w:numPr>
          <w:ilvl w:val="0"/>
          <w:numId w:val="5"/>
        </w:numPr>
        <w:spacing w:after="160" w:line="276" w:lineRule="auto"/>
      </w:pPr>
      <w:r>
        <w:t>številko dokumenta in datum ocene učinka v zvezi z varstvom osebnih podatkov,</w:t>
      </w:r>
    </w:p>
    <w:p w:rsidR="00A05FBB" w:rsidRDefault="00A05FBB" w:rsidP="00A05FBB">
      <w:pPr>
        <w:numPr>
          <w:ilvl w:val="0"/>
          <w:numId w:val="5"/>
        </w:numPr>
        <w:spacing w:after="160" w:line="276" w:lineRule="auto"/>
        <w:jc w:val="both"/>
      </w:pPr>
      <w:r>
        <w:t xml:space="preserve">številko dokumenta in datum ocene učinka na temeljne pravice, ko gre za </w:t>
      </w:r>
      <w:proofErr w:type="spellStart"/>
      <w:r>
        <w:t>visokotvegane</w:t>
      </w:r>
      <w:proofErr w:type="spellEnd"/>
      <w:r>
        <w:t xml:space="preserve"> sisteme UI, </w:t>
      </w:r>
    </w:p>
    <w:p w:rsidR="00A05FBB" w:rsidRDefault="00A05FBB" w:rsidP="00A05FBB">
      <w:pPr>
        <w:numPr>
          <w:ilvl w:val="0"/>
          <w:numId w:val="5"/>
        </w:numPr>
        <w:spacing w:after="160" w:line="276" w:lineRule="auto"/>
      </w:pPr>
      <w:r>
        <w:t xml:space="preserve">navedba možnosti glede pravnega varstva zoper odločanje sistema UI. </w:t>
      </w:r>
    </w:p>
    <w:p w:rsidR="00A05FBB" w:rsidRDefault="00A05FBB" w:rsidP="00A05FBB">
      <w:pPr>
        <w:spacing w:line="276" w:lineRule="auto"/>
        <w:jc w:val="both"/>
      </w:pPr>
      <w:r>
        <w:t xml:space="preserve">(2) Za namen tega člena so organi javnega sektorja državni organi in organi samoupravnih lokalnih skupnosti, javne agencije, javni skladi, javni zavodi in javni gospodarski zavodi ter druge osebe javnega prava, če so posredni uporabniki državnega proračuna ali proračuna lokalne skupnosti. </w:t>
      </w:r>
    </w:p>
    <w:p w:rsidR="00A05FBB" w:rsidRDefault="00A05FBB" w:rsidP="00A05FBB">
      <w:pPr>
        <w:spacing w:line="276" w:lineRule="auto"/>
        <w:jc w:val="both"/>
      </w:pPr>
    </w:p>
    <w:p w:rsidR="00A05FBB" w:rsidRDefault="00A05FBB" w:rsidP="00A05FBB">
      <w:pPr>
        <w:spacing w:line="276" w:lineRule="auto"/>
        <w:jc w:val="both"/>
      </w:pPr>
      <w:r>
        <w:t>(3) Organi iz prejšnjega odstavka podatke objavijo najkasneje ob uvedbi sistema UI oziroma informacijske rešitve, ki vključujejo UI.</w:t>
      </w:r>
    </w:p>
    <w:p w:rsidR="00A05FBB" w:rsidRDefault="00A05FBB" w:rsidP="00A05FBB">
      <w:pPr>
        <w:spacing w:line="276" w:lineRule="auto"/>
        <w:jc w:val="both"/>
      </w:pPr>
    </w:p>
    <w:p w:rsidR="00A05FBB" w:rsidRDefault="00A05FBB" w:rsidP="00A05FBB">
      <w:pPr>
        <w:spacing w:line="276" w:lineRule="auto"/>
        <w:jc w:val="both"/>
      </w:pPr>
      <w:r>
        <w:t>(4) Obveznost iz prejšnjega odstavka ne velja za sisteme UI oziroma informacijske rešitve, ki vključujejo UI, s področja preprečevanja, odkrivanja in preiskovanja kaznivih dejanj, obrambe, nacionalne varnosti, migracij, azila in upravljanja nadzora meja</w:t>
      </w:r>
      <w:r>
        <w:rPr>
          <w:i/>
          <w:iCs/>
        </w:rPr>
        <w:t xml:space="preserve"> </w:t>
      </w:r>
      <w:r>
        <w:t>ter sisteme UI, ki se uporabljajo izključno za vojaške, obrambne ali nacionalne varnostne namene.</w:t>
      </w:r>
    </w:p>
    <w:p w:rsidR="00A05FBB" w:rsidRDefault="00A05FBB" w:rsidP="00A05FBB">
      <w:pPr>
        <w:spacing w:line="276" w:lineRule="auto"/>
        <w:jc w:val="both"/>
      </w:pPr>
    </w:p>
    <w:p w:rsidR="00A05FBB" w:rsidRDefault="00A05FBB" w:rsidP="00A05FBB">
      <w:pPr>
        <w:spacing w:line="276" w:lineRule="auto"/>
        <w:jc w:val="both"/>
      </w:pPr>
      <w:r>
        <w:t xml:space="preserve">(5) Ministrstvo opravlja </w:t>
      </w:r>
      <w:bookmarkEnd w:id="5"/>
      <w:r>
        <w:t>spodbujevalne naloge v zvezi z zagotavljanjem javnosti podatkov o UI sistemih v javnem sektorju. Naloge zajemajo seznanjanje javnosti o načinu in pogojih dostopa do podatkov in svetovanje drugim organom v zvezi z objavo podatkov.«.</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szCs w:val="20"/>
        </w:rPr>
      </w:pPr>
      <w:r>
        <w:rPr>
          <w:rFonts w:cs="Arial"/>
          <w:b/>
          <w:bCs/>
          <w:szCs w:val="20"/>
        </w:rPr>
        <w:t xml:space="preserve">Obrazložitev: </w:t>
      </w:r>
      <w:r>
        <w:rPr>
          <w:rFonts w:cs="Arial"/>
          <w:szCs w:val="20"/>
        </w:rPr>
        <w:t xml:space="preserve">Amandma se predlaga zaradi zasledovanja načela transparentnosti v zvezi s sistemi UI (oziroma informacijskimi rešitvami, ki vključujejo UI), ki so v uporabi javnem sektorju. Predlog določbe organe javnega sektorja zavezuje, da najkasneje ob uvedbi sistema UI na enotni informacijski točki objavijo določene podatke o sistemu UI. Iz obveznosti so izključeni </w:t>
      </w:r>
      <w:r>
        <w:t>sistemi UI (oziroma za informacijske rešitve, ki vključujejo UI) s področja preprečevanja, odkrivanja in preiskovanja kaznivih dejanj, obrambe, nacionalne varnosti, migracij, azila in upravljanja nadzora meja</w:t>
      </w:r>
      <w:r>
        <w:rPr>
          <w:i/>
          <w:iCs/>
        </w:rPr>
        <w:t xml:space="preserve"> </w:t>
      </w:r>
      <w:r>
        <w:t xml:space="preserve">ter sistemi UI, ki se uporabljajo izključno za vojaške, obrambne ali nacionalne varnostne namene. </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b/>
          <w:bCs/>
          <w:szCs w:val="20"/>
        </w:rPr>
      </w:pPr>
      <w:r>
        <w:rPr>
          <w:rFonts w:cs="Arial"/>
          <w:b/>
          <w:bCs/>
          <w:szCs w:val="20"/>
        </w:rPr>
        <w:t xml:space="preserve">K 21. členu: </w:t>
      </w:r>
    </w:p>
    <w:p w:rsidR="00A05FBB" w:rsidRDefault="00A05FBB" w:rsidP="00A05FBB">
      <w:pPr>
        <w:spacing w:line="276" w:lineRule="auto"/>
        <w:jc w:val="both"/>
        <w:rPr>
          <w:rFonts w:cs="Arial"/>
          <w:szCs w:val="20"/>
        </w:rPr>
      </w:pPr>
      <w:r>
        <w:rPr>
          <w:rFonts w:cs="Arial"/>
          <w:szCs w:val="20"/>
        </w:rPr>
        <w:t>V 21. členu se besedilo »s predpisi o javnem naročanju« nadomesti z besedilom »z zakonom, ki ureja javno naročanje,«.</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szCs w:val="20"/>
        </w:rPr>
      </w:pPr>
      <w:r>
        <w:rPr>
          <w:b/>
          <w:bCs/>
          <w:szCs w:val="20"/>
        </w:rPr>
        <w:t>Obrazložitev:</w:t>
      </w:r>
      <w:r>
        <w:rPr>
          <w:szCs w:val="20"/>
        </w:rPr>
        <w:t xml:space="preserve"> </w:t>
      </w:r>
      <w:r>
        <w:rPr>
          <w:rFonts w:cs="Arial"/>
          <w:szCs w:val="20"/>
        </w:rPr>
        <w:t xml:space="preserve">Amandma se predlaga zaradi uskladitve z mnenjem ZPS. </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b/>
          <w:bCs/>
          <w:szCs w:val="20"/>
        </w:rPr>
      </w:pPr>
      <w:r>
        <w:rPr>
          <w:rFonts w:cs="Arial"/>
          <w:b/>
          <w:bCs/>
          <w:szCs w:val="20"/>
        </w:rPr>
        <w:t>K 22. členu:</w:t>
      </w:r>
    </w:p>
    <w:p w:rsidR="00A05FBB" w:rsidRDefault="00A05FBB" w:rsidP="00A05FBB">
      <w:pPr>
        <w:spacing w:line="276" w:lineRule="auto"/>
        <w:jc w:val="both"/>
        <w:rPr>
          <w:rFonts w:cs="Arial"/>
          <w:szCs w:val="20"/>
        </w:rPr>
      </w:pPr>
      <w:r>
        <w:rPr>
          <w:rFonts w:cs="Arial"/>
          <w:szCs w:val="20"/>
        </w:rPr>
        <w:t>22. člen se spremeni tako, da se glasi:</w:t>
      </w:r>
    </w:p>
    <w:p w:rsidR="00A05FBB" w:rsidRDefault="00A05FBB" w:rsidP="00A05FBB">
      <w:pPr>
        <w:spacing w:line="276" w:lineRule="auto"/>
        <w:jc w:val="center"/>
      </w:pPr>
      <w:r>
        <w:rPr>
          <w:rFonts w:cs="Arial"/>
          <w:szCs w:val="20"/>
        </w:rPr>
        <w:t>»</w:t>
      </w:r>
      <w:r>
        <w:t>22. člen</w:t>
      </w:r>
    </w:p>
    <w:p w:rsidR="00A05FBB" w:rsidRDefault="00A05FBB" w:rsidP="00A05FBB">
      <w:pPr>
        <w:spacing w:line="276" w:lineRule="auto"/>
        <w:jc w:val="center"/>
      </w:pPr>
      <w:r>
        <w:t>(Nacionalni svet za etiko v UI)</w:t>
      </w:r>
    </w:p>
    <w:p w:rsidR="00A05FBB" w:rsidRDefault="00A05FBB" w:rsidP="00A05FBB">
      <w:pPr>
        <w:spacing w:line="276" w:lineRule="auto"/>
        <w:jc w:val="both"/>
      </w:pPr>
    </w:p>
    <w:p w:rsidR="00A05FBB" w:rsidRDefault="00A05FBB" w:rsidP="00A05FBB">
      <w:pPr>
        <w:spacing w:line="276" w:lineRule="auto"/>
        <w:jc w:val="both"/>
      </w:pPr>
      <w:r>
        <w:lastRenderedPageBreak/>
        <w:t>(1) Za obravnavanje etičnih vprašanj in odgovorno rabo UI se vzpostavi Nacionalni svet za etiko v umetni inteligenci (v nadaljnjem besedilu: svet).</w:t>
      </w:r>
    </w:p>
    <w:p w:rsidR="00A05FBB" w:rsidRDefault="00A05FBB" w:rsidP="00A05FBB">
      <w:pPr>
        <w:spacing w:line="276" w:lineRule="auto"/>
        <w:jc w:val="both"/>
      </w:pPr>
    </w:p>
    <w:p w:rsidR="00A05FBB" w:rsidRDefault="00A05FBB" w:rsidP="00A05FBB">
      <w:pPr>
        <w:spacing w:line="276" w:lineRule="auto"/>
        <w:jc w:val="both"/>
      </w:pPr>
      <w:r>
        <w:t>(2) Svet ima pet članov, ki so strokovnjaki za UI s področja prava, etike, tehničnih ved in družboslovja, pri čemer se zagotavlja interdisciplinarnost in enakomerna zastopanost interesov gospodarstva, javne politike, akademske sfere in civilne družbe. Njegov mandat traja pet let. Člani sveta so lahko zaporedoma imenovani največ dvakrat.</w:t>
      </w:r>
    </w:p>
    <w:p w:rsidR="00A05FBB" w:rsidRDefault="00A05FBB" w:rsidP="00A05FBB">
      <w:pPr>
        <w:spacing w:line="276" w:lineRule="auto"/>
        <w:jc w:val="both"/>
      </w:pPr>
    </w:p>
    <w:p w:rsidR="00A05FBB" w:rsidRDefault="00A05FBB" w:rsidP="00A05FBB">
      <w:pPr>
        <w:spacing w:line="276" w:lineRule="auto"/>
        <w:jc w:val="both"/>
      </w:pPr>
      <w:r>
        <w:t>(3) Člane sveta imenuje vlada na podlagi javnega poziva, ki ga objavi ministrstvo. Pri imenovanju se upoštevajo uravnotežena zastopanost spolov članov in raznolikost področij iz prejšnjega odstavka.</w:t>
      </w:r>
    </w:p>
    <w:p w:rsidR="00A05FBB" w:rsidRDefault="00A05FBB" w:rsidP="00A05FBB">
      <w:pPr>
        <w:spacing w:line="276" w:lineRule="auto"/>
        <w:jc w:val="both"/>
      </w:pPr>
    </w:p>
    <w:p w:rsidR="00A05FBB" w:rsidRDefault="00A05FBB" w:rsidP="00A05FBB">
      <w:pPr>
        <w:spacing w:line="276" w:lineRule="auto"/>
        <w:jc w:val="both"/>
      </w:pPr>
      <w:r>
        <w:t xml:space="preserve">(4) Člani sveta delujejo strokovno, samostojno in neodvisno. </w:t>
      </w:r>
    </w:p>
    <w:p w:rsidR="00A05FBB" w:rsidRDefault="00A05FBB" w:rsidP="00A05FBB">
      <w:pPr>
        <w:spacing w:line="276" w:lineRule="auto"/>
        <w:jc w:val="both"/>
      </w:pPr>
    </w:p>
    <w:p w:rsidR="00A05FBB" w:rsidRDefault="00A05FBB" w:rsidP="00A05FBB">
      <w:pPr>
        <w:spacing w:line="276" w:lineRule="auto"/>
        <w:jc w:val="both"/>
      </w:pPr>
      <w:r>
        <w:t>(5) Naloge sveta so:</w:t>
      </w:r>
    </w:p>
    <w:p w:rsidR="00A05FBB" w:rsidRDefault="00A05FBB" w:rsidP="00A05FBB">
      <w:pPr>
        <w:spacing w:line="276" w:lineRule="auto"/>
        <w:jc w:val="both"/>
      </w:pPr>
      <w:r>
        <w:t>1.     priprava mnenj, priporočil in smernic o družbenih, demokratičnih in etičnih vprašanjih UI ter vprašanjih, povezanih s človekovimi pravicami na področju UI,</w:t>
      </w:r>
    </w:p>
    <w:p w:rsidR="00A05FBB" w:rsidRDefault="00A05FBB" w:rsidP="00A05FBB">
      <w:pPr>
        <w:spacing w:line="276" w:lineRule="auto"/>
        <w:jc w:val="both"/>
      </w:pPr>
      <w:r>
        <w:t>2.     svetovanje pri oblikovanju politik za odgovorno rabo UI v javnem sektorju,</w:t>
      </w:r>
    </w:p>
    <w:p w:rsidR="00A05FBB" w:rsidRDefault="00A05FBB" w:rsidP="00A05FBB">
      <w:pPr>
        <w:spacing w:line="276" w:lineRule="auto"/>
        <w:jc w:val="both"/>
      </w:pPr>
      <w:r>
        <w:t xml:space="preserve">3.     ocena družbenih, etičnih, pravnih in </w:t>
      </w:r>
      <w:proofErr w:type="spellStart"/>
      <w:r>
        <w:t>okoljskih</w:t>
      </w:r>
      <w:proofErr w:type="spellEnd"/>
      <w:r>
        <w:t xml:space="preserve"> vplivov uvajanja </w:t>
      </w:r>
      <w:proofErr w:type="spellStart"/>
      <w:r>
        <w:t>umetnointeligenčnih</w:t>
      </w:r>
      <w:proofErr w:type="spellEnd"/>
      <w:r>
        <w:t xml:space="preserve"> rešitev,</w:t>
      </w:r>
    </w:p>
    <w:p w:rsidR="00A05FBB" w:rsidRDefault="00A05FBB" w:rsidP="00A05FBB">
      <w:pPr>
        <w:spacing w:line="276" w:lineRule="auto"/>
        <w:jc w:val="both"/>
      </w:pPr>
      <w:r>
        <w:t>4.     sodelovanje v mednarodnih združenjih in pobudah,</w:t>
      </w:r>
    </w:p>
    <w:p w:rsidR="00A05FBB" w:rsidRDefault="00A05FBB" w:rsidP="00A05FBB">
      <w:pPr>
        <w:spacing w:line="276" w:lineRule="auto"/>
        <w:jc w:val="both"/>
      </w:pPr>
      <w:r>
        <w:t xml:space="preserve">5.     spodbujanje javnega dialoga, ki krepi zaupanje javnosti v odgovorno rabo umetne inteligence ter zagotavlja utemeljenost in vključenost </w:t>
      </w:r>
      <w:proofErr w:type="spellStart"/>
      <w:r>
        <w:t>umetnointeligečnih</w:t>
      </w:r>
      <w:proofErr w:type="spellEnd"/>
      <w:r>
        <w:t xml:space="preserve"> rešitev,</w:t>
      </w:r>
    </w:p>
    <w:p w:rsidR="00A05FBB" w:rsidRDefault="00A05FBB" w:rsidP="00A05FBB">
      <w:pPr>
        <w:spacing w:line="276" w:lineRule="auto"/>
        <w:jc w:val="both"/>
      </w:pPr>
      <w:r>
        <w:t xml:space="preserve">6.     priprava, sprejem in objava letnega poročila, ki ga v seznanitev predloži ministrstvu. </w:t>
      </w:r>
    </w:p>
    <w:p w:rsidR="00A05FBB" w:rsidRDefault="00A05FBB" w:rsidP="00A05FBB">
      <w:pPr>
        <w:spacing w:line="276" w:lineRule="auto"/>
        <w:jc w:val="both"/>
      </w:pPr>
    </w:p>
    <w:p w:rsidR="00A05FBB" w:rsidRDefault="00A05FBB" w:rsidP="00A05FBB">
      <w:pPr>
        <w:spacing w:line="276" w:lineRule="auto"/>
        <w:jc w:val="both"/>
      </w:pPr>
      <w:r>
        <w:t xml:space="preserve">(6) Predsednika sveta člani imenujejo izmed sebe. Predsednik sveta poleg nalog iz prejšnjega odstavka opravlja še nalogo predstavljanja sveta v javnosti in ozavešča javnost o etičnih vidikih uporabe umetne inteligence. </w:t>
      </w:r>
    </w:p>
    <w:p w:rsidR="00A05FBB" w:rsidRDefault="00A05FBB" w:rsidP="00A05FBB">
      <w:pPr>
        <w:spacing w:line="276" w:lineRule="auto"/>
        <w:jc w:val="both"/>
      </w:pPr>
    </w:p>
    <w:p w:rsidR="00A05FBB" w:rsidRDefault="00A05FBB" w:rsidP="00A05FBB">
      <w:pPr>
        <w:spacing w:line="276" w:lineRule="auto"/>
        <w:jc w:val="both"/>
      </w:pPr>
      <w:r>
        <w:t xml:space="preserve">(7) Svet za svoje delovanje sprejme poslovnik. </w:t>
      </w:r>
    </w:p>
    <w:p w:rsidR="00A05FBB" w:rsidRDefault="00A05FBB" w:rsidP="00A05FBB">
      <w:pPr>
        <w:spacing w:line="276" w:lineRule="auto"/>
        <w:jc w:val="both"/>
      </w:pPr>
    </w:p>
    <w:p w:rsidR="00A05FBB" w:rsidRDefault="00A05FBB" w:rsidP="00A05FBB">
      <w:pPr>
        <w:spacing w:line="276" w:lineRule="auto"/>
        <w:jc w:val="both"/>
      </w:pPr>
      <w:r>
        <w:t xml:space="preserve">(8) Svet deluje na podlagi poslovnika, ki ga sprejme z večino glasov vseh članov sveta. </w:t>
      </w:r>
    </w:p>
    <w:p w:rsidR="00A05FBB" w:rsidRDefault="00A05FBB" w:rsidP="00A05FBB">
      <w:pPr>
        <w:spacing w:line="276" w:lineRule="auto"/>
        <w:jc w:val="both"/>
      </w:pPr>
    </w:p>
    <w:p w:rsidR="00A05FBB" w:rsidRDefault="00A05FBB" w:rsidP="00A05FBB">
      <w:pPr>
        <w:spacing w:line="276" w:lineRule="auto"/>
        <w:jc w:val="both"/>
      </w:pPr>
      <w:r>
        <w:t xml:space="preserve">(9) Poslovnik iz prejšnjega odstavka določa: </w:t>
      </w:r>
    </w:p>
    <w:p w:rsidR="00A05FBB" w:rsidRDefault="00A05FBB" w:rsidP="00A05FBB">
      <w:pPr>
        <w:spacing w:line="276" w:lineRule="auto"/>
        <w:jc w:val="both"/>
      </w:pPr>
      <w:r>
        <w:t>-        pravice in obveznosti predsednika sveta,</w:t>
      </w:r>
    </w:p>
    <w:p w:rsidR="00A05FBB" w:rsidRDefault="00A05FBB" w:rsidP="00A05FBB">
      <w:pPr>
        <w:spacing w:line="276" w:lineRule="auto"/>
        <w:jc w:val="both"/>
      </w:pPr>
      <w:r>
        <w:t>-        način sklicevanja sej,</w:t>
      </w:r>
    </w:p>
    <w:p w:rsidR="00A05FBB" w:rsidRDefault="00A05FBB" w:rsidP="00A05FBB">
      <w:pPr>
        <w:spacing w:line="276" w:lineRule="auto"/>
        <w:jc w:val="both"/>
      </w:pPr>
      <w:r>
        <w:t>-        način vodenja sej,</w:t>
      </w:r>
    </w:p>
    <w:p w:rsidR="00A05FBB" w:rsidRDefault="00A05FBB" w:rsidP="00A05FBB">
      <w:pPr>
        <w:spacing w:line="276" w:lineRule="auto"/>
        <w:jc w:val="both"/>
      </w:pPr>
      <w:r>
        <w:t>-        način sodelovanja in glasovanja na sejah,</w:t>
      </w:r>
    </w:p>
    <w:p w:rsidR="00A05FBB" w:rsidRDefault="00A05FBB" w:rsidP="00A05FBB">
      <w:pPr>
        <w:spacing w:line="276" w:lineRule="auto"/>
        <w:jc w:val="both"/>
      </w:pPr>
      <w:r>
        <w:t>-        pravila potrjevanja zapisnikov sej,</w:t>
      </w:r>
    </w:p>
    <w:p w:rsidR="00A05FBB" w:rsidRDefault="00A05FBB" w:rsidP="00A05FBB">
      <w:pPr>
        <w:spacing w:line="276" w:lineRule="auto"/>
        <w:jc w:val="both"/>
      </w:pPr>
      <w:r>
        <w:t>-        postopek in način vabljenja udeležencev, ki niso člani sveta, na seje, in</w:t>
      </w:r>
    </w:p>
    <w:p w:rsidR="00A05FBB" w:rsidRDefault="00A05FBB" w:rsidP="00A05FBB">
      <w:pPr>
        <w:spacing w:line="276" w:lineRule="auto"/>
        <w:jc w:val="both"/>
      </w:pPr>
      <w:r>
        <w:t>-        druge rešitve, povezane z delom sveta.</w:t>
      </w:r>
    </w:p>
    <w:p w:rsidR="00A05FBB" w:rsidRDefault="00A05FBB" w:rsidP="00A05FBB">
      <w:pPr>
        <w:spacing w:line="276" w:lineRule="auto"/>
        <w:jc w:val="both"/>
      </w:pPr>
    </w:p>
    <w:p w:rsidR="00A05FBB" w:rsidRDefault="00A05FBB" w:rsidP="00A05FBB">
      <w:pPr>
        <w:spacing w:line="276" w:lineRule="auto"/>
        <w:jc w:val="both"/>
      </w:pPr>
      <w:r>
        <w:t>(10) Sredstva za delovanje sveta zagotavlja Republika Slovenija v okviru proračunskih sredstev ministrstva. Delo članov sveta je častno in brezplačno, pripada pa jim povračilo prevoznih stroškov v skladu z uredbo, ki ureja sejnine in povračila stroškov v javnih skladih, javnih agencijah, javnih zavodih in javnih gospodarskih zavodih.</w:t>
      </w:r>
      <w:r>
        <w:rPr>
          <w:szCs w:val="20"/>
        </w:rPr>
        <w:t>«.</w:t>
      </w:r>
    </w:p>
    <w:p w:rsidR="00A05FBB" w:rsidRDefault="00A05FBB" w:rsidP="00A05FBB">
      <w:pPr>
        <w:spacing w:line="276" w:lineRule="auto"/>
        <w:jc w:val="both"/>
        <w:rPr>
          <w:rFonts w:cs="Arial"/>
          <w:szCs w:val="20"/>
          <w:highlight w:val="yellow"/>
        </w:rPr>
      </w:pPr>
    </w:p>
    <w:p w:rsidR="00A05FBB" w:rsidRDefault="00A05FBB" w:rsidP="00A05FBB">
      <w:pPr>
        <w:spacing w:line="276" w:lineRule="auto"/>
        <w:jc w:val="both"/>
        <w:rPr>
          <w:szCs w:val="20"/>
        </w:rPr>
      </w:pPr>
      <w:r>
        <w:rPr>
          <w:b/>
          <w:bCs/>
          <w:szCs w:val="20"/>
        </w:rPr>
        <w:t xml:space="preserve">Obrazložitev: </w:t>
      </w:r>
      <w:r>
        <w:rPr>
          <w:szCs w:val="20"/>
        </w:rPr>
        <w:t>Amandma je</w:t>
      </w:r>
      <w:r>
        <w:rPr>
          <w:rFonts w:cs="Arial"/>
          <w:szCs w:val="20"/>
        </w:rPr>
        <w:t xml:space="preserve"> potreben zaradi zagotovitve interdisciplinarnosti, saj je v eni osebi težko družiti širši spekter znanj in veščin oziroma strokovnost na več različnih področjih (računalništvo/informatika, pravo, etika, družboslovje, civilna družba). Posledično je na novo urejena pravna podlaga za ustanovitev sveta za etiko v umetni inteligenci kot neodvisno posvetovalno telo Vlade, s čimer se omogoči pokritost širokih področij UI. Hkrati se posebej izpostavlja vlogo predsednika sveta, ki svet predstavlja v javnosti in skrbi za ozaveščenost o uporabi umetne inteligence.  </w:t>
      </w:r>
    </w:p>
    <w:p w:rsidR="00A05FBB" w:rsidRDefault="00A05FBB" w:rsidP="00A05FBB">
      <w:pPr>
        <w:spacing w:line="276" w:lineRule="auto"/>
        <w:jc w:val="both"/>
        <w:rPr>
          <w:b/>
          <w:bCs/>
          <w:szCs w:val="20"/>
        </w:rPr>
      </w:pPr>
    </w:p>
    <w:p w:rsidR="00A05FBB" w:rsidRDefault="00A05FBB" w:rsidP="00A05FBB">
      <w:pPr>
        <w:spacing w:line="276" w:lineRule="auto"/>
        <w:jc w:val="both"/>
        <w:rPr>
          <w:b/>
          <w:bCs/>
          <w:szCs w:val="20"/>
        </w:rPr>
      </w:pPr>
    </w:p>
    <w:p w:rsidR="00A05FBB" w:rsidRDefault="00A05FBB" w:rsidP="00A05FBB">
      <w:pPr>
        <w:spacing w:line="276" w:lineRule="auto"/>
        <w:jc w:val="both"/>
        <w:rPr>
          <w:rFonts w:cs="Arial"/>
          <w:b/>
          <w:bCs/>
          <w:szCs w:val="20"/>
        </w:rPr>
      </w:pPr>
      <w:r>
        <w:rPr>
          <w:rFonts w:cs="Arial"/>
          <w:b/>
          <w:bCs/>
          <w:szCs w:val="20"/>
        </w:rPr>
        <w:t>K 25. členu</w:t>
      </w:r>
    </w:p>
    <w:p w:rsidR="00A05FBB" w:rsidRDefault="00A05FBB" w:rsidP="00A05FBB">
      <w:pPr>
        <w:spacing w:line="276" w:lineRule="auto"/>
        <w:jc w:val="both"/>
        <w:rPr>
          <w:rFonts w:cs="Arial"/>
          <w:szCs w:val="20"/>
          <w:lang w:eastAsia="sl-SI"/>
        </w:rPr>
      </w:pPr>
      <w:r>
        <w:rPr>
          <w:rFonts w:cs="Arial"/>
          <w:szCs w:val="20"/>
          <w:lang w:eastAsia="sl-SI"/>
        </w:rPr>
        <w:t>V prvem odstavku 25. člena se:</w:t>
      </w:r>
    </w:p>
    <w:p w:rsidR="00A05FBB" w:rsidRDefault="00A05FBB" w:rsidP="00A05FBB">
      <w:pPr>
        <w:pStyle w:val="Odstavekseznama"/>
        <w:numPr>
          <w:ilvl w:val="0"/>
          <w:numId w:val="6"/>
        </w:numPr>
        <w:spacing w:line="276" w:lineRule="auto"/>
        <w:jc w:val="both"/>
        <w:rPr>
          <w:szCs w:val="20"/>
          <w:lang w:val="sl-SI" w:eastAsia="sl-SI"/>
        </w:rPr>
      </w:pPr>
      <w:r>
        <w:rPr>
          <w:szCs w:val="20"/>
          <w:lang w:val="sl-SI"/>
        </w:rPr>
        <w:t>v 5. točki za besedo »značilnosti« doda vejica in besedilo »razen če gre za uporabo sistemov UI za podporo človeški oceni vpletenosti osebe v kriminalno dejavnost, ki že temelji na objektivnih in preverljivih dejstvih, neposredno povezanih s kriminalno dejavnostjo«,</w:t>
      </w:r>
    </w:p>
    <w:p w:rsidR="00A05FBB" w:rsidRDefault="00A05FBB" w:rsidP="00A05FBB">
      <w:pPr>
        <w:pStyle w:val="Odstavekseznama"/>
        <w:numPr>
          <w:ilvl w:val="0"/>
          <w:numId w:val="6"/>
        </w:numPr>
        <w:spacing w:line="276" w:lineRule="auto"/>
        <w:jc w:val="both"/>
        <w:rPr>
          <w:szCs w:val="20"/>
          <w:lang w:val="sl-SI"/>
        </w:rPr>
      </w:pPr>
      <w:r>
        <w:rPr>
          <w:szCs w:val="20"/>
          <w:lang w:val="sl-SI"/>
        </w:rPr>
        <w:t xml:space="preserve"> v 7. točki veznik »in« nadomesti z veznikom »ali«,</w:t>
      </w:r>
    </w:p>
    <w:p w:rsidR="00A05FBB" w:rsidRDefault="00A05FBB" w:rsidP="00A05FBB">
      <w:pPr>
        <w:pStyle w:val="Odstavekseznama"/>
        <w:numPr>
          <w:ilvl w:val="0"/>
          <w:numId w:val="6"/>
        </w:numPr>
        <w:spacing w:line="276" w:lineRule="auto"/>
        <w:jc w:val="both"/>
        <w:rPr>
          <w:szCs w:val="20"/>
          <w:lang w:val="sl-SI"/>
        </w:rPr>
      </w:pPr>
      <w:r>
        <w:rPr>
          <w:szCs w:val="20"/>
          <w:lang w:val="sl-SI"/>
        </w:rPr>
        <w:t xml:space="preserve"> v 9. točki veznik »in« nadomesti z veznikom »ali«.</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šestem odstavku se v prvem stavku besedilo »Z globo, ki ne presega« nadomesti z besedilom »Z globo v višini do«, besedilo »majhno, srednjo«, pa se nadomesti z besedilom »majhno in srednjo«.</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osmem odstavku se znesek »1.000« nadomesti z zneskom »3.000«.</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b/>
          <w:bCs/>
          <w:szCs w:val="20"/>
        </w:rPr>
        <w:t>Obrazložitev:</w:t>
      </w:r>
      <w:r>
        <w:rPr>
          <w:szCs w:val="20"/>
        </w:rPr>
        <w:t xml:space="preserve"> </w:t>
      </w:r>
      <w:r>
        <w:rPr>
          <w:rFonts w:cs="Arial"/>
          <w:szCs w:val="20"/>
        </w:rPr>
        <w:t>Amandma se predlaga zaradi uskladitve z mnenjem ZPS.</w:t>
      </w:r>
    </w:p>
    <w:p w:rsidR="00A05FBB" w:rsidRDefault="00A05FBB" w:rsidP="00A05FBB">
      <w:pPr>
        <w:spacing w:line="276" w:lineRule="auto"/>
        <w:jc w:val="both"/>
        <w:rPr>
          <w:szCs w:val="20"/>
        </w:rPr>
      </w:pPr>
    </w:p>
    <w:p w:rsidR="00A05FBB" w:rsidRDefault="00A05FBB" w:rsidP="00A05FBB">
      <w:pPr>
        <w:spacing w:line="276" w:lineRule="auto"/>
        <w:jc w:val="both"/>
        <w:rPr>
          <w:rFonts w:cs="Arial"/>
          <w:b/>
          <w:bCs/>
          <w:szCs w:val="20"/>
        </w:rPr>
      </w:pPr>
      <w:r>
        <w:rPr>
          <w:rFonts w:cs="Arial"/>
          <w:b/>
          <w:bCs/>
          <w:szCs w:val="20"/>
        </w:rPr>
        <w:t>K 26. členu</w:t>
      </w:r>
    </w:p>
    <w:p w:rsidR="00A05FBB" w:rsidRDefault="00A05FBB" w:rsidP="00A05FBB">
      <w:pPr>
        <w:spacing w:line="276" w:lineRule="auto"/>
        <w:jc w:val="both"/>
        <w:rPr>
          <w:lang w:eastAsia="sl-SI"/>
        </w:rPr>
      </w:pPr>
      <w:r>
        <w:rPr>
          <w:lang w:eastAsia="sl-SI"/>
        </w:rPr>
        <w:t>V prvem odstavku 26. člena se na koncu 13. točke pika nadomesti s podpičjem in dodajo nove 14. do 19. točka, ki se glasijo:</w:t>
      </w:r>
    </w:p>
    <w:p w:rsidR="00A05FBB" w:rsidRDefault="00A05FBB" w:rsidP="00A05FBB">
      <w:pPr>
        <w:pStyle w:val="Odstavekseznama"/>
        <w:spacing w:line="276" w:lineRule="auto"/>
        <w:ind w:left="720"/>
        <w:jc w:val="both"/>
        <w:rPr>
          <w:lang w:val="sl-SI" w:eastAsia="sl-SI"/>
        </w:rPr>
      </w:pPr>
      <w:r>
        <w:rPr>
          <w:lang w:val="sl-SI"/>
        </w:rPr>
        <w:t xml:space="preserve">»14. na obrazloženo zahtevo pristojnih nacionalnih organov ne zagotovi vseh informacij ali dokumentacije, potrebne za dokazovanje skladnosti </w:t>
      </w:r>
      <w:proofErr w:type="spellStart"/>
      <w:r>
        <w:rPr>
          <w:lang w:val="sl-SI"/>
        </w:rPr>
        <w:t>visokotveganega</w:t>
      </w:r>
      <w:proofErr w:type="spellEnd"/>
      <w:r>
        <w:rPr>
          <w:lang w:val="sl-SI"/>
        </w:rPr>
        <w:t xml:space="preserve"> sistema UI z zahtevami iz oddelka 2, poglavja III Uredbe 2024/1689/EU, v enem od uradnih jezikov Unije, ki ga določi zadevna država članica in ga organ brez težav razume (prvi odstavek 21. člena Uredbe 2024/1689/EU);</w:t>
      </w:r>
    </w:p>
    <w:p w:rsidR="00A05FBB" w:rsidRDefault="00A05FBB" w:rsidP="00A05FBB">
      <w:pPr>
        <w:pStyle w:val="Odstavekseznama"/>
        <w:spacing w:line="276" w:lineRule="auto"/>
        <w:ind w:left="720"/>
        <w:jc w:val="both"/>
        <w:rPr>
          <w:lang w:val="sl-SI"/>
        </w:rPr>
      </w:pPr>
      <w:r>
        <w:rPr>
          <w:lang w:val="sl-SI"/>
        </w:rPr>
        <w:t xml:space="preserve">15. na obrazloženo zahtevo pristojnega nacionalnega organa pristojnemu organu prosilcu ne omogoči dostopa do samodejno ustvarjenih dnevnikov </w:t>
      </w:r>
      <w:proofErr w:type="spellStart"/>
      <w:r>
        <w:rPr>
          <w:lang w:val="sl-SI"/>
        </w:rPr>
        <w:t>visokotveganih</w:t>
      </w:r>
      <w:proofErr w:type="spellEnd"/>
      <w:r>
        <w:rPr>
          <w:lang w:val="sl-SI"/>
        </w:rPr>
        <w:t xml:space="preserve"> sistemov UI iz prvega odstavka 12. člena Uredbe 2024/1689/EU, če so ti dnevniki pod njegovim nadzorom (drugi odstavek 21. člena Uredbe 2024/1689/EU);</w:t>
      </w:r>
    </w:p>
    <w:p w:rsidR="00A05FBB" w:rsidRDefault="00A05FBB" w:rsidP="00A05FBB">
      <w:pPr>
        <w:pStyle w:val="Odstavekseznama"/>
        <w:spacing w:line="276" w:lineRule="auto"/>
        <w:ind w:left="720"/>
        <w:jc w:val="both"/>
        <w:rPr>
          <w:lang w:val="sl-SI"/>
        </w:rPr>
      </w:pPr>
      <w:r>
        <w:rPr>
          <w:lang w:val="sl-SI"/>
        </w:rPr>
        <w:t xml:space="preserve">16. ne vzpostavi ali dokumentira sistema spremljanja po dajanju na trg na način, ki je sorazmeren z naravo tehnologij UI in tveganji </w:t>
      </w:r>
      <w:proofErr w:type="spellStart"/>
      <w:r>
        <w:rPr>
          <w:lang w:val="sl-SI"/>
        </w:rPr>
        <w:t>visokotveganega</w:t>
      </w:r>
      <w:proofErr w:type="spellEnd"/>
      <w:r>
        <w:rPr>
          <w:lang w:val="sl-SI"/>
        </w:rPr>
        <w:t xml:space="preserve"> sistema UI (prvi odstavek 72. člena Uredbe 2024/1689/EU);</w:t>
      </w:r>
    </w:p>
    <w:p w:rsidR="00A05FBB" w:rsidRDefault="00A05FBB" w:rsidP="00A05FBB">
      <w:pPr>
        <w:spacing w:line="276" w:lineRule="auto"/>
        <w:ind w:left="720"/>
        <w:jc w:val="both"/>
      </w:pPr>
      <w:r>
        <w:t xml:space="preserve">17.  ne poroča organom za nadzor trga držav članic, v katerih je prišlo do incidenta v zvezi z </w:t>
      </w:r>
      <w:proofErr w:type="spellStart"/>
      <w:r>
        <w:t>visokotveganimi</w:t>
      </w:r>
      <w:proofErr w:type="spellEnd"/>
      <w:r>
        <w:t xml:space="preserve"> sistemi UI, ki so dani na trg Unije, takoj, ko ugotovi obstoj vzročne zveze med sistemom UI in resnim incidentom ali razumno verjetnost take zveze oziroma najpozneje v 15 dneh po tem, ko izve za resen incident (prvi in drugi odstavek 73. člena Uredbe 2024/1689/EU);</w:t>
      </w:r>
    </w:p>
    <w:p w:rsidR="00A05FBB" w:rsidRDefault="00A05FBB" w:rsidP="00A05FBB">
      <w:pPr>
        <w:pStyle w:val="Odstavekseznama"/>
        <w:spacing w:line="276" w:lineRule="auto"/>
        <w:ind w:left="709"/>
        <w:jc w:val="both"/>
        <w:rPr>
          <w:lang w:val="sl-SI"/>
        </w:rPr>
      </w:pPr>
      <w:r>
        <w:rPr>
          <w:lang w:val="sl-SI"/>
        </w:rPr>
        <w:t>18. ne poroča organom za nadzor trga o močno razširjeni kršitvi ali resnem incidentu nemudoma oziroma najpozneje v dveh dneh, ko je izvedel za ta incident (tretji odstavek 73. člena Uredbe 2024/1689/EU);</w:t>
      </w:r>
    </w:p>
    <w:p w:rsidR="00A05FBB" w:rsidRDefault="00A05FBB" w:rsidP="00A05FBB">
      <w:pPr>
        <w:pStyle w:val="Odstavekseznama"/>
        <w:spacing w:line="276" w:lineRule="auto"/>
        <w:ind w:left="709"/>
        <w:jc w:val="both"/>
        <w:rPr>
          <w:lang w:val="sl-SI"/>
        </w:rPr>
      </w:pPr>
      <w:r>
        <w:rPr>
          <w:lang w:val="sl-SI"/>
        </w:rPr>
        <w:t xml:space="preserve">19. ne poroča organom za nadzor trga o smrti osebe takoj, ko ugotovi ali posumi, da obstaja vzročna zveza med </w:t>
      </w:r>
      <w:proofErr w:type="spellStart"/>
      <w:r>
        <w:rPr>
          <w:lang w:val="sl-SI"/>
        </w:rPr>
        <w:t>visokotveganim</w:t>
      </w:r>
      <w:proofErr w:type="spellEnd"/>
      <w:r>
        <w:rPr>
          <w:lang w:val="sl-SI"/>
        </w:rPr>
        <w:t xml:space="preserve"> sistemom UI in resnim incidentom, vendar najpozneje 10 dni po datumu, ko je izvedel za resen incident (četrti odstavek 73. člena Uredbe 2024/1689/EU).«.</w:t>
      </w:r>
    </w:p>
    <w:p w:rsidR="00A05FBB" w:rsidRDefault="00A05FBB" w:rsidP="00A05FBB">
      <w:pPr>
        <w:spacing w:line="276" w:lineRule="auto"/>
        <w:jc w:val="both"/>
        <w:rPr>
          <w:lang w:eastAsia="sl-SI"/>
        </w:rPr>
      </w:pPr>
    </w:p>
    <w:p w:rsidR="00A05FBB" w:rsidRDefault="00A05FBB" w:rsidP="00A05FBB">
      <w:pPr>
        <w:spacing w:line="276" w:lineRule="auto"/>
        <w:jc w:val="both"/>
        <w:rPr>
          <w:szCs w:val="20"/>
        </w:rPr>
      </w:pPr>
      <w:r>
        <w:rPr>
          <w:szCs w:val="20"/>
        </w:rPr>
        <w:lastRenderedPageBreak/>
        <w:t>V šestem odstavku se v prvem stavku besedilo »Z globo, ki ne presega« nadomesti z besedilom »Z globo v višini do«, besedilo »majhno, srednjo«, pa se nadomesti z besedilom »majhno in srednjo«.</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osmem odstavku se znesek »1.000« nadomesti z zneskom »3.000«.</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b/>
          <w:bCs/>
          <w:szCs w:val="20"/>
        </w:rPr>
        <w:t>Obrazložitev:</w:t>
      </w:r>
      <w:r>
        <w:rPr>
          <w:szCs w:val="20"/>
        </w:rPr>
        <w:t xml:space="preserve"> </w:t>
      </w:r>
      <w:r>
        <w:rPr>
          <w:rFonts w:cs="Arial"/>
          <w:szCs w:val="20"/>
        </w:rPr>
        <w:t xml:space="preserve">Amandma se predlaga zaradi uskladitve z mnenjem ZPS. Dodatne </w:t>
      </w:r>
      <w:proofErr w:type="spellStart"/>
      <w:r>
        <w:rPr>
          <w:rFonts w:cs="Arial"/>
          <w:szCs w:val="20"/>
        </w:rPr>
        <w:t>prekrškovne</w:t>
      </w:r>
      <w:proofErr w:type="spellEnd"/>
      <w:r>
        <w:rPr>
          <w:rFonts w:cs="Arial"/>
          <w:szCs w:val="20"/>
        </w:rPr>
        <w:t xml:space="preserve"> določbe, ki se predlagajo z amandmajem, so posledica dopisa Evropske komisije – Interpretativne note za podporo pri implementaciji 99. člena Akta o umetni inteligenci, ki opredeljuje kazni. Komisija je v navedenem dopisu dodala, za katere določbe Uredbe 2024/1689/EU, poleg tistih, ki so izrecno navedene v četrtem odstavku 99. člena uredbe, je še potrebno predvideti sankcije. </w:t>
      </w:r>
    </w:p>
    <w:p w:rsidR="00A05FBB" w:rsidRDefault="00A05FBB" w:rsidP="00A05FBB">
      <w:pPr>
        <w:spacing w:line="276" w:lineRule="auto"/>
        <w:jc w:val="both"/>
        <w:rPr>
          <w:szCs w:val="20"/>
        </w:rPr>
      </w:pPr>
    </w:p>
    <w:p w:rsidR="00A05FBB" w:rsidRDefault="00A05FBB" w:rsidP="00A05FBB">
      <w:pPr>
        <w:spacing w:line="276" w:lineRule="auto"/>
        <w:jc w:val="both"/>
        <w:rPr>
          <w:szCs w:val="20"/>
        </w:rPr>
      </w:pPr>
    </w:p>
    <w:p w:rsidR="00A05FBB" w:rsidRDefault="00A05FBB" w:rsidP="00A05FBB">
      <w:pPr>
        <w:spacing w:line="276" w:lineRule="auto"/>
        <w:jc w:val="both"/>
        <w:rPr>
          <w:rFonts w:cs="Arial"/>
          <w:b/>
          <w:bCs/>
          <w:szCs w:val="20"/>
        </w:rPr>
      </w:pPr>
      <w:r>
        <w:rPr>
          <w:rFonts w:cs="Arial"/>
          <w:b/>
          <w:bCs/>
          <w:szCs w:val="20"/>
        </w:rPr>
        <w:t>K 27. členu</w:t>
      </w:r>
    </w:p>
    <w:p w:rsidR="00A05FBB" w:rsidRDefault="00A05FBB" w:rsidP="00A05FBB">
      <w:pPr>
        <w:spacing w:line="276" w:lineRule="auto"/>
        <w:jc w:val="both"/>
        <w:rPr>
          <w:b/>
          <w:bCs/>
          <w:lang w:eastAsia="sl-SI"/>
        </w:rPr>
      </w:pPr>
      <w:r>
        <w:rPr>
          <w:rFonts w:cs="Arial"/>
          <w:szCs w:val="20"/>
          <w:lang w:eastAsia="sl-SI"/>
        </w:rPr>
        <w:t>V 3. točki prvega odstavka 27. člena se za besedo »dokumentacije« veznik</w:t>
      </w:r>
      <w:r>
        <w:rPr>
          <w:szCs w:val="20"/>
        </w:rPr>
        <w:t xml:space="preserve"> »in« nadomesti z veznikom »ali«.</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šestem odstavku se v prvem stavku besedilo »Z globo, ki ne presega« nadomesti z besedilom »Z globo v višini do«, besedilo »majhno, srednjo«, pa se nadomesti z besedilom »majhno in srednjo«.</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osmem odstavku se znesek »1.000« nadomesti z zneskom »3.000«.</w:t>
      </w:r>
    </w:p>
    <w:p w:rsidR="00A05FBB" w:rsidRDefault="00A05FBB" w:rsidP="00A05FBB">
      <w:pPr>
        <w:spacing w:line="276" w:lineRule="auto"/>
        <w:jc w:val="both"/>
        <w:rPr>
          <w:szCs w:val="20"/>
        </w:rPr>
      </w:pPr>
    </w:p>
    <w:p w:rsidR="00A05FBB" w:rsidRDefault="00A05FBB" w:rsidP="00A05FBB">
      <w:pPr>
        <w:spacing w:line="276" w:lineRule="auto"/>
        <w:jc w:val="both"/>
        <w:rPr>
          <w:szCs w:val="20"/>
        </w:rPr>
      </w:pPr>
    </w:p>
    <w:p w:rsidR="00A05FBB" w:rsidRDefault="00A05FBB" w:rsidP="00A05FBB">
      <w:pPr>
        <w:spacing w:line="276" w:lineRule="auto"/>
        <w:jc w:val="both"/>
        <w:rPr>
          <w:rFonts w:cs="Arial"/>
          <w:b/>
          <w:bCs/>
          <w:szCs w:val="20"/>
        </w:rPr>
      </w:pPr>
      <w:r>
        <w:rPr>
          <w:rFonts w:cs="Arial"/>
          <w:b/>
          <w:bCs/>
          <w:szCs w:val="20"/>
        </w:rPr>
        <w:t>K 28. členu</w:t>
      </w:r>
    </w:p>
    <w:p w:rsidR="00A05FBB" w:rsidRDefault="00A05FBB" w:rsidP="00A05FBB">
      <w:pPr>
        <w:spacing w:line="276" w:lineRule="auto"/>
        <w:jc w:val="both"/>
        <w:rPr>
          <w:b/>
          <w:bCs/>
          <w:lang w:eastAsia="sl-SI"/>
        </w:rPr>
      </w:pPr>
      <w:r>
        <w:rPr>
          <w:rFonts w:cs="Arial"/>
          <w:szCs w:val="20"/>
          <w:lang w:eastAsia="sl-SI"/>
        </w:rPr>
        <w:t xml:space="preserve">V prvem odstavku 28. člena se v 11. točki  </w:t>
      </w:r>
      <w:r>
        <w:rPr>
          <w:szCs w:val="20"/>
        </w:rPr>
        <w:t>beseda »prinaša« nadomesti z besedo »predstavlja«.</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šestem odstavku se v prvem stavku besedilo »Z globo, ki ne presega« nadomesti z besedilom »Z globo v višini do«, besedilo »majhno, srednjo«, pa se nadomesti z besedilom »majhno in srednjo«.</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osmem odstavku se znesek »1.000« nadomesti z zneskom »3.000«.</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b/>
          <w:bCs/>
          <w:szCs w:val="20"/>
        </w:rPr>
        <w:t>Obrazložitev:</w:t>
      </w:r>
      <w:r>
        <w:rPr>
          <w:szCs w:val="20"/>
        </w:rPr>
        <w:t xml:space="preserve"> </w:t>
      </w:r>
      <w:r>
        <w:rPr>
          <w:rFonts w:cs="Arial"/>
          <w:szCs w:val="20"/>
        </w:rPr>
        <w:t>Amandma se predlaga zaradi uskladitve z mnenjem ZPS.</w:t>
      </w:r>
    </w:p>
    <w:p w:rsidR="00A05FBB" w:rsidRDefault="00A05FBB" w:rsidP="00A05FBB">
      <w:pPr>
        <w:spacing w:line="276" w:lineRule="auto"/>
        <w:jc w:val="both"/>
        <w:rPr>
          <w:szCs w:val="20"/>
        </w:rPr>
      </w:pPr>
    </w:p>
    <w:p w:rsidR="00A05FBB" w:rsidRDefault="00A05FBB" w:rsidP="00A05FBB">
      <w:pPr>
        <w:spacing w:line="276" w:lineRule="auto"/>
        <w:jc w:val="both"/>
        <w:rPr>
          <w:szCs w:val="20"/>
        </w:rPr>
      </w:pPr>
    </w:p>
    <w:p w:rsidR="00A05FBB" w:rsidRDefault="00A05FBB" w:rsidP="00A05FBB">
      <w:pPr>
        <w:spacing w:line="276" w:lineRule="auto"/>
        <w:jc w:val="both"/>
        <w:rPr>
          <w:rFonts w:cs="Arial"/>
          <w:b/>
          <w:bCs/>
          <w:szCs w:val="20"/>
        </w:rPr>
      </w:pPr>
      <w:r>
        <w:rPr>
          <w:rFonts w:cs="Arial"/>
          <w:b/>
          <w:bCs/>
          <w:szCs w:val="20"/>
        </w:rPr>
        <w:t>K 29. členu</w:t>
      </w:r>
    </w:p>
    <w:p w:rsidR="00A05FBB" w:rsidRDefault="00A05FBB" w:rsidP="00A05FBB">
      <w:pPr>
        <w:spacing w:line="276" w:lineRule="auto"/>
        <w:jc w:val="both"/>
        <w:rPr>
          <w:rFonts w:cs="Arial"/>
          <w:szCs w:val="20"/>
          <w:lang w:eastAsia="sl-SI"/>
        </w:rPr>
      </w:pPr>
      <w:r>
        <w:rPr>
          <w:rFonts w:cs="Arial"/>
          <w:szCs w:val="20"/>
          <w:lang w:eastAsia="sl-SI"/>
        </w:rPr>
        <w:t>V prvem odstavku 29. člena se:</w:t>
      </w:r>
    </w:p>
    <w:p w:rsidR="00A05FBB" w:rsidRDefault="00A05FBB" w:rsidP="00A05FBB">
      <w:pPr>
        <w:pStyle w:val="Odstavekseznama"/>
        <w:numPr>
          <w:ilvl w:val="0"/>
          <w:numId w:val="7"/>
        </w:numPr>
        <w:spacing w:line="276" w:lineRule="auto"/>
        <w:jc w:val="both"/>
        <w:rPr>
          <w:b/>
          <w:bCs/>
          <w:lang w:val="sl-SI" w:eastAsia="sl-SI"/>
        </w:rPr>
      </w:pPr>
      <w:r>
        <w:rPr>
          <w:szCs w:val="20"/>
          <w:lang w:val="sl-SI"/>
        </w:rPr>
        <w:t>6. točka spremeni tako, da se glasi:</w:t>
      </w:r>
    </w:p>
    <w:p w:rsidR="00A05FBB" w:rsidRDefault="00A05FBB" w:rsidP="00A05FBB">
      <w:pPr>
        <w:pStyle w:val="Odstavekseznama"/>
        <w:spacing w:line="276" w:lineRule="auto"/>
        <w:ind w:left="720"/>
        <w:jc w:val="both"/>
        <w:rPr>
          <w:b/>
          <w:bCs/>
          <w:lang w:val="sl-SI"/>
        </w:rPr>
      </w:pPr>
      <w:r>
        <w:rPr>
          <w:szCs w:val="20"/>
          <w:lang w:val="sl-SI"/>
        </w:rPr>
        <w:t xml:space="preserve"> »6. ne obvesti nemudoma ponudnika ali uvoznika sistema UI in organov, pristojnih za zadevni </w:t>
      </w:r>
      <w:proofErr w:type="spellStart"/>
      <w:r>
        <w:rPr>
          <w:szCs w:val="20"/>
          <w:lang w:val="sl-SI"/>
        </w:rPr>
        <w:t>visokotvegani</w:t>
      </w:r>
      <w:proofErr w:type="spellEnd"/>
      <w:r>
        <w:rPr>
          <w:szCs w:val="20"/>
          <w:lang w:val="sl-SI"/>
        </w:rPr>
        <w:t xml:space="preserve"> sistem UI, ali ne navede podrobnosti, zlasti o neskladnosti oziroma vseh sprejetih popravnih ukrepih, kadar </w:t>
      </w:r>
      <w:proofErr w:type="spellStart"/>
      <w:r>
        <w:rPr>
          <w:szCs w:val="20"/>
          <w:lang w:val="sl-SI"/>
        </w:rPr>
        <w:t>visokotvegani</w:t>
      </w:r>
      <w:proofErr w:type="spellEnd"/>
      <w:r>
        <w:rPr>
          <w:szCs w:val="20"/>
          <w:lang w:val="sl-SI"/>
        </w:rPr>
        <w:t xml:space="preserve"> sistem UI predstavlja tveganje v smislu prvega odstavka 79. člena Uredbe 2024/1689/EU (drugi stavek četrtega odstavka 24. člena Uredbe 2024/1689/EU)«,</w:t>
      </w:r>
    </w:p>
    <w:p w:rsidR="00A05FBB" w:rsidRDefault="00A05FBB" w:rsidP="00A05FBB">
      <w:pPr>
        <w:pStyle w:val="Odstavekseznama"/>
        <w:numPr>
          <w:ilvl w:val="0"/>
          <w:numId w:val="7"/>
        </w:numPr>
        <w:spacing w:line="276" w:lineRule="auto"/>
        <w:jc w:val="both"/>
        <w:rPr>
          <w:szCs w:val="20"/>
          <w:lang w:val="sl-SI"/>
        </w:rPr>
      </w:pPr>
      <w:r>
        <w:rPr>
          <w:szCs w:val="20"/>
          <w:lang w:val="sl-SI"/>
        </w:rPr>
        <w:t>v 7. točki za besedo »informacij« veznik »in« nadomesti z veznikom »ali«.</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šestem odstavku se v prvem stavku besedilo »Z globo, ki ne presega« nadomesti z besedilom »Z globo v višini do«, besedilo »majhno, srednjo«, pa se nadomesti z besedilom »majhno in srednjo«.</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lastRenderedPageBreak/>
        <w:t>V osmem odstavku se znesek »1.000« nadomesti z zneskom »3.000«.</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b/>
          <w:bCs/>
          <w:szCs w:val="20"/>
        </w:rPr>
        <w:t>Obrazložitev:</w:t>
      </w:r>
      <w:r>
        <w:rPr>
          <w:szCs w:val="20"/>
        </w:rPr>
        <w:t xml:space="preserve"> </w:t>
      </w:r>
      <w:r>
        <w:rPr>
          <w:rFonts w:cs="Arial"/>
          <w:szCs w:val="20"/>
        </w:rPr>
        <w:t>Amandma se predlaga zaradi uskladitve z mnenjem ZPS.</w:t>
      </w:r>
    </w:p>
    <w:p w:rsidR="00A05FBB" w:rsidRDefault="00A05FBB" w:rsidP="00A05FBB">
      <w:pPr>
        <w:spacing w:line="276" w:lineRule="auto"/>
        <w:jc w:val="both"/>
        <w:rPr>
          <w:szCs w:val="20"/>
        </w:rPr>
      </w:pPr>
    </w:p>
    <w:p w:rsidR="00A05FBB" w:rsidRDefault="00A05FBB" w:rsidP="00A05FBB">
      <w:pPr>
        <w:spacing w:line="276" w:lineRule="auto"/>
        <w:jc w:val="both"/>
        <w:rPr>
          <w:rFonts w:cs="Arial"/>
          <w:b/>
          <w:bCs/>
          <w:szCs w:val="20"/>
        </w:rPr>
      </w:pPr>
      <w:r>
        <w:rPr>
          <w:rFonts w:cs="Arial"/>
          <w:b/>
          <w:bCs/>
          <w:szCs w:val="20"/>
        </w:rPr>
        <w:t>K 30. členu</w:t>
      </w:r>
    </w:p>
    <w:p w:rsidR="00A05FBB" w:rsidRDefault="00A05FBB" w:rsidP="00A05FBB">
      <w:pPr>
        <w:spacing w:line="276" w:lineRule="auto"/>
        <w:jc w:val="both"/>
        <w:rPr>
          <w:rFonts w:cs="Arial"/>
          <w:szCs w:val="20"/>
          <w:lang w:eastAsia="sl-SI"/>
        </w:rPr>
      </w:pPr>
      <w:r>
        <w:rPr>
          <w:rFonts w:cs="Arial"/>
          <w:szCs w:val="20"/>
          <w:lang w:eastAsia="sl-SI"/>
        </w:rPr>
        <w:t>V prvem odstavku 30. člena se:</w:t>
      </w:r>
    </w:p>
    <w:p w:rsidR="00A05FBB" w:rsidRDefault="00A05FBB" w:rsidP="00A05FBB">
      <w:pPr>
        <w:pStyle w:val="Odstavekseznama"/>
        <w:numPr>
          <w:ilvl w:val="0"/>
          <w:numId w:val="7"/>
        </w:numPr>
        <w:spacing w:line="276" w:lineRule="auto"/>
        <w:jc w:val="both"/>
        <w:rPr>
          <w:b/>
          <w:bCs/>
          <w:lang w:val="sl-SI" w:eastAsia="sl-SI"/>
        </w:rPr>
      </w:pPr>
      <w:r>
        <w:rPr>
          <w:szCs w:val="20"/>
          <w:lang w:val="sl-SI"/>
        </w:rPr>
        <w:t>6. točka spremeni tako, da se glasi:</w:t>
      </w:r>
    </w:p>
    <w:p w:rsidR="00A05FBB" w:rsidRDefault="00A05FBB" w:rsidP="00A05FBB">
      <w:pPr>
        <w:pStyle w:val="Odstavekseznama"/>
        <w:spacing w:line="276" w:lineRule="auto"/>
        <w:ind w:left="720"/>
        <w:jc w:val="both"/>
        <w:rPr>
          <w:b/>
          <w:bCs/>
          <w:lang w:val="sl-SI"/>
        </w:rPr>
      </w:pPr>
      <w:r>
        <w:rPr>
          <w:szCs w:val="20"/>
          <w:lang w:val="sl-SI"/>
        </w:rPr>
        <w:t xml:space="preserve"> »6. kadar odkrije resen incident, pa o tem takoj ne obvesti ponudnika, uvoznika ali distributerja in ustreznih organov za nadzor trga ali, če ne more priti v stik s ponudnikom, ne poroča o resnem incidentu v skladu s 73. členom Uredbe 2024/1689/EU (tretji in četrti stavek petega odstavka 26. člena Uredbe </w:t>
      </w:r>
      <w:bookmarkStart w:id="6" w:name="_Hlk209777782"/>
      <w:r>
        <w:rPr>
          <w:szCs w:val="20"/>
          <w:lang w:val="sl-SI"/>
        </w:rPr>
        <w:t>2024/1689/EU</w:t>
      </w:r>
      <w:bookmarkEnd w:id="6"/>
      <w:r>
        <w:rPr>
          <w:szCs w:val="20"/>
          <w:lang w:val="sl-SI"/>
        </w:rPr>
        <w:t>)«,</w:t>
      </w:r>
    </w:p>
    <w:p w:rsidR="00A05FBB" w:rsidRDefault="00A05FBB" w:rsidP="00A05FBB">
      <w:pPr>
        <w:pStyle w:val="Odstavekseznama"/>
        <w:numPr>
          <w:ilvl w:val="0"/>
          <w:numId w:val="7"/>
        </w:numPr>
        <w:spacing w:line="276" w:lineRule="auto"/>
        <w:jc w:val="both"/>
        <w:rPr>
          <w:szCs w:val="20"/>
          <w:lang w:val="sl-SI"/>
        </w:rPr>
      </w:pPr>
      <w:r>
        <w:rPr>
          <w:szCs w:val="20"/>
          <w:lang w:val="sl-SI"/>
        </w:rPr>
        <w:t>v 11. točki veznik »in« nadomesti z veznikom »ali«.</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šestem odstavku se v prvem stavku besedilo »Z globo, ki ne presega« nadomesti z besedilom »Z globo v višini do«, besedilo »majhno, srednjo«, pa se nadomesti z besedilom »majhno in srednjo«.</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osmem odstavku se znesek »1.000« nadomesti z zneskom »3.000«.</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b/>
          <w:bCs/>
          <w:szCs w:val="20"/>
        </w:rPr>
        <w:t>Obrazložitev:</w:t>
      </w:r>
      <w:r>
        <w:rPr>
          <w:szCs w:val="20"/>
        </w:rPr>
        <w:t xml:space="preserve"> </w:t>
      </w:r>
      <w:r>
        <w:rPr>
          <w:rFonts w:cs="Arial"/>
          <w:szCs w:val="20"/>
        </w:rPr>
        <w:t>Amandma se predlaga zaradi uskladitve z mnenjem ZPS.</w:t>
      </w:r>
    </w:p>
    <w:p w:rsidR="00A05FBB" w:rsidRDefault="00A05FBB" w:rsidP="00A05FBB">
      <w:pPr>
        <w:spacing w:line="276" w:lineRule="auto"/>
        <w:jc w:val="both"/>
        <w:rPr>
          <w:szCs w:val="20"/>
        </w:rPr>
      </w:pPr>
    </w:p>
    <w:p w:rsidR="00A05FBB" w:rsidRDefault="00A05FBB" w:rsidP="00A05FBB">
      <w:pPr>
        <w:spacing w:line="276" w:lineRule="auto"/>
        <w:jc w:val="both"/>
        <w:rPr>
          <w:szCs w:val="20"/>
        </w:rPr>
      </w:pPr>
    </w:p>
    <w:p w:rsidR="00A05FBB" w:rsidRDefault="00A05FBB" w:rsidP="00A05FBB">
      <w:pPr>
        <w:spacing w:line="276" w:lineRule="auto"/>
        <w:jc w:val="both"/>
        <w:rPr>
          <w:rFonts w:cs="Arial"/>
          <w:b/>
          <w:bCs/>
          <w:szCs w:val="20"/>
        </w:rPr>
      </w:pPr>
      <w:r>
        <w:rPr>
          <w:rFonts w:cs="Arial"/>
          <w:b/>
          <w:bCs/>
          <w:szCs w:val="20"/>
        </w:rPr>
        <w:t>K 31. členu</w:t>
      </w:r>
    </w:p>
    <w:p w:rsidR="00A05FBB" w:rsidRDefault="00A05FBB" w:rsidP="00A05FBB">
      <w:pPr>
        <w:spacing w:line="276" w:lineRule="auto"/>
        <w:jc w:val="both"/>
        <w:rPr>
          <w:rFonts w:cs="Arial"/>
          <w:szCs w:val="20"/>
          <w:lang w:eastAsia="sl-SI"/>
        </w:rPr>
      </w:pPr>
      <w:r>
        <w:rPr>
          <w:rFonts w:cs="Arial"/>
          <w:szCs w:val="20"/>
          <w:lang w:eastAsia="sl-SI"/>
        </w:rPr>
        <w:t>V prvem odstavku 31. člena se:</w:t>
      </w:r>
    </w:p>
    <w:p w:rsidR="00A05FBB" w:rsidRDefault="00A05FBB" w:rsidP="00A05FBB">
      <w:pPr>
        <w:pStyle w:val="Odstavekseznama"/>
        <w:numPr>
          <w:ilvl w:val="0"/>
          <w:numId w:val="7"/>
        </w:numPr>
        <w:spacing w:line="276" w:lineRule="auto"/>
        <w:jc w:val="both"/>
        <w:rPr>
          <w:b/>
          <w:bCs/>
          <w:lang w:val="sl-SI" w:eastAsia="sl-SI"/>
        </w:rPr>
      </w:pPr>
      <w:r>
        <w:rPr>
          <w:szCs w:val="20"/>
          <w:lang w:val="sl-SI"/>
        </w:rPr>
        <w:t>v 1. točki črta besedilo »in nima pravne osebnosti«,</w:t>
      </w:r>
    </w:p>
    <w:p w:rsidR="00A05FBB" w:rsidRDefault="00A05FBB" w:rsidP="00A05FBB">
      <w:pPr>
        <w:pStyle w:val="Odstavekseznama"/>
        <w:numPr>
          <w:ilvl w:val="0"/>
          <w:numId w:val="7"/>
        </w:numPr>
        <w:spacing w:line="276" w:lineRule="auto"/>
        <w:jc w:val="both"/>
        <w:rPr>
          <w:szCs w:val="20"/>
          <w:lang w:val="sl-SI"/>
        </w:rPr>
      </w:pPr>
      <w:r>
        <w:rPr>
          <w:szCs w:val="20"/>
          <w:lang w:val="sl-SI"/>
        </w:rPr>
        <w:t>v 2. točki veznik »in« nadomesti z veznikom »ali«,</w:t>
      </w:r>
    </w:p>
    <w:p w:rsidR="00A05FBB" w:rsidRDefault="00A05FBB" w:rsidP="00A05FBB">
      <w:pPr>
        <w:pStyle w:val="Odstavekseznama"/>
        <w:numPr>
          <w:ilvl w:val="0"/>
          <w:numId w:val="7"/>
        </w:numPr>
        <w:spacing w:line="276" w:lineRule="auto"/>
        <w:jc w:val="both"/>
        <w:rPr>
          <w:szCs w:val="20"/>
          <w:lang w:val="sl-SI"/>
        </w:rPr>
      </w:pPr>
      <w:r>
        <w:rPr>
          <w:szCs w:val="20"/>
          <w:lang w:val="sl-SI"/>
        </w:rPr>
        <w:t>v 3. točki besedilo »organizacijska struktura« spremeni tako, da se glasi »glede na organizacijsko strukturo,«,</w:t>
      </w:r>
    </w:p>
    <w:p w:rsidR="00A05FBB" w:rsidRDefault="00A05FBB" w:rsidP="00A05FBB">
      <w:pPr>
        <w:pStyle w:val="Odstavekseznama"/>
        <w:numPr>
          <w:ilvl w:val="0"/>
          <w:numId w:val="7"/>
        </w:numPr>
        <w:spacing w:line="276" w:lineRule="auto"/>
        <w:jc w:val="both"/>
        <w:rPr>
          <w:szCs w:val="20"/>
          <w:lang w:val="sl-SI"/>
        </w:rPr>
      </w:pPr>
      <w:r>
        <w:rPr>
          <w:szCs w:val="20"/>
          <w:lang w:val="sl-SI"/>
        </w:rPr>
        <w:t>v 4. točki veznik »in« nadomesti z veznikom »ali«,</w:t>
      </w:r>
    </w:p>
    <w:p w:rsidR="00A05FBB" w:rsidRDefault="00A05FBB" w:rsidP="00A05FBB">
      <w:pPr>
        <w:pStyle w:val="Odstavekseznama"/>
        <w:numPr>
          <w:ilvl w:val="0"/>
          <w:numId w:val="7"/>
        </w:numPr>
        <w:spacing w:line="276" w:lineRule="auto"/>
        <w:jc w:val="both"/>
        <w:rPr>
          <w:szCs w:val="20"/>
          <w:lang w:val="sl-SI"/>
        </w:rPr>
      </w:pPr>
      <w:r>
        <w:rPr>
          <w:szCs w:val="20"/>
          <w:lang w:val="sl-SI"/>
        </w:rPr>
        <w:t>v 9. točki za besedo »skladnosti« doda vejica in besedilo »razen če odgovornost prevzame država članica, v kateri ima sedež, v skladu z nacionalnim pravom, ali če je ta država članica sama neposredno pristojna za ugotavljanje skladnosti«,</w:t>
      </w:r>
    </w:p>
    <w:p w:rsidR="00A05FBB" w:rsidRDefault="00A05FBB" w:rsidP="00A05FBB">
      <w:pPr>
        <w:pStyle w:val="Odstavekseznama"/>
        <w:numPr>
          <w:ilvl w:val="0"/>
          <w:numId w:val="7"/>
        </w:numPr>
        <w:spacing w:line="276" w:lineRule="auto"/>
        <w:jc w:val="both"/>
        <w:rPr>
          <w:szCs w:val="20"/>
          <w:lang w:val="sl-SI"/>
        </w:rPr>
      </w:pPr>
      <w:r>
        <w:rPr>
          <w:szCs w:val="20"/>
          <w:lang w:val="sl-SI"/>
        </w:rPr>
        <w:t xml:space="preserve"> 11. točka  spremeni tako, da se glasi: </w:t>
      </w:r>
    </w:p>
    <w:p w:rsidR="00A05FBB" w:rsidRDefault="00A05FBB" w:rsidP="00A05FBB">
      <w:pPr>
        <w:pStyle w:val="Odstavekseznama"/>
        <w:spacing w:line="276" w:lineRule="auto"/>
        <w:ind w:left="720"/>
        <w:jc w:val="both"/>
        <w:rPr>
          <w:szCs w:val="20"/>
          <w:lang w:val="sl-SI"/>
        </w:rPr>
      </w:pPr>
      <w:r>
        <w:rPr>
          <w:szCs w:val="20"/>
          <w:lang w:val="sl-SI"/>
        </w:rPr>
        <w:t xml:space="preserve">»11. nima zadostnih notranjih kompetenc, da lahko učinkovito oceni naloge, ki jih opravljajo zunanje stranke v njegovem imenu ali nima stalno na voljo dovolj upravnega, tehničnega, pravnega in znanstvenega osebja, ki ima izkušnje in znanje v zvezi z ustreznimi vrstami sistemov UI, podatki in računalniško obdelavo podatkov ali v zvezi z zahtevami iz oddelka 2, </w:t>
      </w:r>
      <w:r>
        <w:rPr>
          <w:lang w:val="sl-SI"/>
        </w:rPr>
        <w:t>poglavja III Uredbe 2024/1689/EU (enajsti odstavek 31. člena uredbe 2024/1689/EU);«</w:t>
      </w:r>
      <w:r>
        <w:rPr>
          <w:szCs w:val="20"/>
          <w:lang w:val="sl-SI"/>
        </w:rPr>
        <w:t>,</w:t>
      </w:r>
    </w:p>
    <w:p w:rsidR="00A05FBB" w:rsidRDefault="00A05FBB" w:rsidP="00A05FBB">
      <w:pPr>
        <w:pStyle w:val="Odstavekseznama"/>
        <w:numPr>
          <w:ilvl w:val="0"/>
          <w:numId w:val="7"/>
        </w:numPr>
        <w:spacing w:line="276" w:lineRule="auto"/>
        <w:jc w:val="both"/>
        <w:rPr>
          <w:szCs w:val="20"/>
          <w:lang w:val="sl-SI"/>
        </w:rPr>
      </w:pPr>
      <w:r>
        <w:rPr>
          <w:szCs w:val="20"/>
          <w:lang w:val="sl-SI"/>
        </w:rPr>
        <w:t>v 12. točki veznik »niti« nadomesti z veznikom »ali«,</w:t>
      </w:r>
    </w:p>
    <w:p w:rsidR="00A05FBB" w:rsidRDefault="00A05FBB" w:rsidP="00A05FBB">
      <w:pPr>
        <w:pStyle w:val="Odstavekseznama"/>
        <w:numPr>
          <w:ilvl w:val="0"/>
          <w:numId w:val="7"/>
        </w:numPr>
        <w:spacing w:line="276" w:lineRule="auto"/>
        <w:jc w:val="both"/>
        <w:rPr>
          <w:szCs w:val="20"/>
          <w:lang w:val="sl-SI"/>
        </w:rPr>
      </w:pPr>
      <w:r>
        <w:rPr>
          <w:szCs w:val="20"/>
          <w:lang w:val="sl-SI"/>
        </w:rPr>
        <w:t xml:space="preserve">v 17. točki črta besedilo »zlasti zato, da bi čim bolj zmanjšal upravna bremena in stroške izpolnjevanja obveznosti za </w:t>
      </w:r>
      <w:proofErr w:type="spellStart"/>
      <w:r>
        <w:rPr>
          <w:szCs w:val="20"/>
          <w:lang w:val="sl-SI"/>
        </w:rPr>
        <w:t>mikro</w:t>
      </w:r>
      <w:proofErr w:type="spellEnd"/>
      <w:r>
        <w:rPr>
          <w:szCs w:val="20"/>
          <w:lang w:val="sl-SI"/>
        </w:rPr>
        <w:t xml:space="preserve"> in mala podjetja v smislu Priporočila 2003/361/ES«,</w:t>
      </w:r>
    </w:p>
    <w:p w:rsidR="00A05FBB" w:rsidRDefault="00A05FBB" w:rsidP="00A05FBB">
      <w:pPr>
        <w:pStyle w:val="Odstavekseznama"/>
        <w:numPr>
          <w:ilvl w:val="0"/>
          <w:numId w:val="7"/>
        </w:numPr>
        <w:spacing w:line="276" w:lineRule="auto"/>
        <w:jc w:val="both"/>
        <w:rPr>
          <w:szCs w:val="20"/>
          <w:lang w:val="sl-SI"/>
        </w:rPr>
      </w:pPr>
      <w:r>
        <w:rPr>
          <w:szCs w:val="20"/>
          <w:lang w:val="sl-SI"/>
        </w:rPr>
        <w:t xml:space="preserve">v 18. točki veznik »in« nadomesti z veznikom »ali«, pred besedo »zahtevo« pa se doda beseda »na«, </w:t>
      </w:r>
    </w:p>
    <w:p w:rsidR="00A05FBB" w:rsidRDefault="00A05FBB" w:rsidP="00A05FBB">
      <w:pPr>
        <w:pStyle w:val="Odstavekseznama"/>
        <w:numPr>
          <w:ilvl w:val="0"/>
          <w:numId w:val="7"/>
        </w:numPr>
        <w:spacing w:line="276" w:lineRule="auto"/>
        <w:jc w:val="both"/>
        <w:rPr>
          <w:szCs w:val="20"/>
          <w:lang w:val="sl-SI"/>
        </w:rPr>
      </w:pPr>
      <w:r>
        <w:rPr>
          <w:szCs w:val="20"/>
          <w:lang w:val="sl-SI"/>
        </w:rPr>
        <w:t>na koncu 18. točke pika nadomesti s podpičjem in dodajo nove 19. do 26. točka, ki se glasijo:</w:t>
      </w:r>
    </w:p>
    <w:p w:rsidR="00A05FBB" w:rsidRDefault="00A05FBB" w:rsidP="00A05FBB">
      <w:pPr>
        <w:spacing w:line="276" w:lineRule="auto"/>
        <w:ind w:left="720"/>
        <w:jc w:val="both"/>
        <w:rPr>
          <w:szCs w:val="20"/>
        </w:rPr>
      </w:pPr>
      <w:r>
        <w:rPr>
          <w:szCs w:val="20"/>
        </w:rPr>
        <w:t xml:space="preserve">»19. ne obvesti priglasitvenega organa o vsakem certifikatu Unije o oceni tehnične dokumentacije, vsakem dodatku k tem certifikatom ali vsaki odobritvi sistema upravljanja </w:t>
      </w:r>
      <w:r>
        <w:rPr>
          <w:szCs w:val="20"/>
        </w:rPr>
        <w:lastRenderedPageBreak/>
        <w:t>kakovosti, ki se izdajo v skladu z zahtevami iz Priloge VII (točka (a) prvega odstavka 45. člena Uredbe 2024/1689/EU);</w:t>
      </w:r>
    </w:p>
    <w:p w:rsidR="00A05FBB" w:rsidRDefault="00A05FBB" w:rsidP="00A05FBB">
      <w:pPr>
        <w:pStyle w:val="Odstavekseznama"/>
        <w:spacing w:line="276" w:lineRule="auto"/>
        <w:ind w:left="720"/>
        <w:jc w:val="both"/>
        <w:rPr>
          <w:szCs w:val="20"/>
          <w:lang w:val="sl-SI"/>
        </w:rPr>
      </w:pPr>
      <w:r>
        <w:rPr>
          <w:szCs w:val="20"/>
          <w:lang w:val="sl-SI"/>
        </w:rPr>
        <w:t>20. ne obvesti priglasitvenega organa o vsaki zavrnitvi, omejitvi, začasnem preklicu ali umiku certifikata Unije o oceni tehnične dokumentacije ali odobritve sistema upravljanja kakovosti, ki se izda v skladu z zahtevami iz Priloge VII (točka (b) prvega odstavka 45. člena Uredbe 2024/1689/EU);</w:t>
      </w:r>
    </w:p>
    <w:p w:rsidR="00A05FBB" w:rsidRDefault="00A05FBB" w:rsidP="00A05FBB">
      <w:pPr>
        <w:pStyle w:val="Odstavekseznama"/>
        <w:spacing w:line="276" w:lineRule="auto"/>
        <w:ind w:left="720"/>
        <w:jc w:val="both"/>
        <w:rPr>
          <w:szCs w:val="20"/>
          <w:lang w:val="sl-SI"/>
        </w:rPr>
      </w:pPr>
      <w:r>
        <w:rPr>
          <w:szCs w:val="20"/>
          <w:lang w:val="sl-SI"/>
        </w:rPr>
        <w:t>21. ne obvesti priglasitvenega organa o vsaki okoliščini, ki vpliva na obseg ali pogoje za priglasitev (točka (c) prvega odstavka 45. člena Uredbe 2024/1689/EU);</w:t>
      </w:r>
    </w:p>
    <w:p w:rsidR="00A05FBB" w:rsidRDefault="00A05FBB" w:rsidP="00A05FBB">
      <w:pPr>
        <w:pStyle w:val="Odstavekseznama"/>
        <w:spacing w:line="276" w:lineRule="auto"/>
        <w:ind w:left="720"/>
        <w:jc w:val="both"/>
        <w:rPr>
          <w:szCs w:val="20"/>
          <w:lang w:val="sl-SI"/>
        </w:rPr>
      </w:pPr>
      <w:r>
        <w:rPr>
          <w:szCs w:val="20"/>
          <w:lang w:val="sl-SI"/>
        </w:rPr>
        <w:t>22. ne obvesti priglasitvenega organa o vsaki zahtevi za informacije, ki jo je prejel od organov za nadzor trga, v zvezi z dejavnostmi ugotavljanja skladnosti (točka (d) prvega odstavka 45. člena Uredbe 2024/1689/EU);</w:t>
      </w:r>
    </w:p>
    <w:p w:rsidR="00A05FBB" w:rsidRDefault="00A05FBB" w:rsidP="00A05FBB">
      <w:pPr>
        <w:pStyle w:val="Odstavekseznama"/>
        <w:spacing w:line="276" w:lineRule="auto"/>
        <w:ind w:left="720"/>
        <w:jc w:val="both"/>
        <w:rPr>
          <w:szCs w:val="20"/>
          <w:lang w:val="sl-SI"/>
        </w:rPr>
      </w:pPr>
      <w:r>
        <w:rPr>
          <w:szCs w:val="20"/>
          <w:lang w:val="sl-SI"/>
        </w:rPr>
        <w:t>23. na zahtevo ne obvesti priglasitvenega organa o dejavnostih ugotavljanja skladnosti, izvedenih v okviru njegove priglasitve, ali vsaki drugi izvedeni dejavnosti, vključno s čezmejnimi dejavnostmi in sklepanjem pogodb s podizvajalci (točka (e) prvega odstavka 45. člena Uredbe 2024/1689/EU);</w:t>
      </w:r>
    </w:p>
    <w:p w:rsidR="00A05FBB" w:rsidRDefault="00A05FBB" w:rsidP="00A05FBB">
      <w:pPr>
        <w:pStyle w:val="Odstavekseznama"/>
        <w:spacing w:line="276" w:lineRule="auto"/>
        <w:ind w:left="720"/>
        <w:jc w:val="both"/>
        <w:rPr>
          <w:szCs w:val="20"/>
          <w:lang w:val="sl-SI"/>
        </w:rPr>
      </w:pPr>
      <w:r>
        <w:rPr>
          <w:szCs w:val="20"/>
          <w:lang w:val="sl-SI"/>
        </w:rPr>
        <w:t>24. ne obvesti drugih priglašenih organov o odobritvah sistema upravljanja kakovosti, ki jih je zavrnil, začasno preklical ali umaknil, ali o odobritvah sistema upravljanja kakovosti, ki jih je izdal, če se to od njega zahteva (točka (a) drugega odstavka 45. člena Uredbe 2024/1689/EU);</w:t>
      </w:r>
    </w:p>
    <w:p w:rsidR="00A05FBB" w:rsidRDefault="00A05FBB" w:rsidP="00A05FBB">
      <w:pPr>
        <w:pStyle w:val="Odstavekseznama"/>
        <w:spacing w:line="276" w:lineRule="auto"/>
        <w:ind w:left="720"/>
        <w:jc w:val="both"/>
        <w:rPr>
          <w:szCs w:val="20"/>
          <w:lang w:val="sl-SI"/>
        </w:rPr>
      </w:pPr>
      <w:r>
        <w:rPr>
          <w:szCs w:val="20"/>
          <w:lang w:val="sl-SI"/>
        </w:rPr>
        <w:t>25. ne obvesti drugih priglašenih organov o certifikatih Unije o oceni tehnične dokumentacije ali njihovih dodatkih, ki jih je zavrnil, začasno preklical, umaknil ali drugače omejil, ali o certifikatih oziroma njihovih dodatkih, ki jih je izdal, če se to od njega zahteva (točka (b) drugega odstavka 45. člena Uredbe 2024/1689/EU);</w:t>
      </w:r>
    </w:p>
    <w:p w:rsidR="00A05FBB" w:rsidRDefault="00A05FBB" w:rsidP="00A05FBB">
      <w:pPr>
        <w:pStyle w:val="Odstavekseznama"/>
        <w:spacing w:line="276" w:lineRule="auto"/>
        <w:ind w:left="720"/>
        <w:jc w:val="both"/>
        <w:rPr>
          <w:szCs w:val="20"/>
          <w:lang w:val="sl-SI"/>
        </w:rPr>
      </w:pPr>
      <w:r>
        <w:rPr>
          <w:szCs w:val="20"/>
          <w:lang w:val="sl-SI"/>
        </w:rPr>
        <w:t>26. ne predloži drugim priglašenim organom, ki izvajajo podobne dejavnosti ugotavljanja skladnosti za iste vrste sistemov UI, ustreznih informacij o vprašanjih v zvezi z negativnimi rezultati ugotavljanja skladnosti, ali v zvezi s pozitivnimi rezultati ugotavljanja skladnosti, če se to od njega zahteva (tretji odstavek 45. člena Uredbe 2024/1689/EU).«.</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šestem odstavku se v prvem stavku besedilo »Z globo, ki ne presega« nadomesti z besedilom »Z globo v višini do«, besedilo »majhno, srednjo«, pa se nadomesti z besedilom »majhno in srednjo«.</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osmem odstavku se znesek »1.000« nadomesti z zneskom »3.000«.</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b/>
          <w:bCs/>
          <w:szCs w:val="20"/>
        </w:rPr>
        <w:t>Obrazložitev:</w:t>
      </w:r>
      <w:r>
        <w:rPr>
          <w:szCs w:val="20"/>
        </w:rPr>
        <w:t xml:space="preserve"> </w:t>
      </w:r>
      <w:r>
        <w:rPr>
          <w:rFonts w:cs="Arial"/>
          <w:szCs w:val="20"/>
        </w:rPr>
        <w:t xml:space="preserve">Amandma se predlaga zaradi uskladitve z mnenjem ZPS. Dodatne </w:t>
      </w:r>
      <w:proofErr w:type="spellStart"/>
      <w:r>
        <w:rPr>
          <w:rFonts w:cs="Arial"/>
          <w:szCs w:val="20"/>
        </w:rPr>
        <w:t>prekrškovne</w:t>
      </w:r>
      <w:proofErr w:type="spellEnd"/>
      <w:r>
        <w:rPr>
          <w:rFonts w:cs="Arial"/>
          <w:szCs w:val="20"/>
        </w:rPr>
        <w:t xml:space="preserve"> določbe, ki se predlagajo z amandmajem, so posledica dopisa Evropske komisije – Interpretativne note za podporo pri implementaciji 99. člena Akta o umetni inteligenci, ki opredeljuje kazni. Komisija je v navedenem dopisu dodala, za katere določbe Uredbe 2024/1689/EU, poleg tistih, ki so izrecno navedene v četrtem odstavku 99. člena uredbe, je še potrebno predvideti sankcije. </w:t>
      </w:r>
    </w:p>
    <w:p w:rsidR="00A05FBB" w:rsidRDefault="00A05FBB" w:rsidP="00A05FBB">
      <w:pPr>
        <w:spacing w:line="276" w:lineRule="auto"/>
        <w:jc w:val="both"/>
        <w:rPr>
          <w:szCs w:val="20"/>
        </w:rPr>
      </w:pPr>
    </w:p>
    <w:p w:rsidR="00A05FBB" w:rsidRDefault="00A05FBB" w:rsidP="00A05FBB">
      <w:pPr>
        <w:spacing w:line="276" w:lineRule="auto"/>
        <w:jc w:val="both"/>
        <w:rPr>
          <w:rFonts w:cs="Arial"/>
          <w:b/>
          <w:bCs/>
          <w:szCs w:val="20"/>
        </w:rPr>
      </w:pPr>
      <w:r>
        <w:rPr>
          <w:rFonts w:cs="Arial"/>
          <w:b/>
          <w:bCs/>
          <w:szCs w:val="20"/>
        </w:rPr>
        <w:t>K 32. členu</w:t>
      </w:r>
    </w:p>
    <w:p w:rsidR="00A05FBB" w:rsidRDefault="00A05FBB" w:rsidP="00A05FBB">
      <w:pPr>
        <w:spacing w:line="276" w:lineRule="auto"/>
        <w:jc w:val="both"/>
        <w:rPr>
          <w:rFonts w:cs="Arial"/>
          <w:szCs w:val="20"/>
          <w:lang w:eastAsia="sl-SI"/>
        </w:rPr>
      </w:pPr>
      <w:r>
        <w:rPr>
          <w:rFonts w:cs="Arial"/>
          <w:szCs w:val="20"/>
          <w:lang w:eastAsia="sl-SI"/>
        </w:rPr>
        <w:t>V prvem odstavku 32. člena se:</w:t>
      </w:r>
    </w:p>
    <w:p w:rsidR="00A05FBB" w:rsidRDefault="00A05FBB" w:rsidP="00A05FBB">
      <w:pPr>
        <w:pStyle w:val="Odstavekseznama"/>
        <w:numPr>
          <w:ilvl w:val="0"/>
          <w:numId w:val="7"/>
        </w:numPr>
        <w:spacing w:line="276" w:lineRule="auto"/>
        <w:jc w:val="both"/>
        <w:rPr>
          <w:szCs w:val="20"/>
          <w:lang w:val="sl-SI" w:eastAsia="sl-SI"/>
        </w:rPr>
      </w:pPr>
      <w:r>
        <w:rPr>
          <w:szCs w:val="20"/>
          <w:lang w:val="sl-SI"/>
        </w:rPr>
        <w:t>v 1. točki za besedo »uporabe« doda besedilo »oziroma gre za sisteme UI, ki so z zakonom odobreni za odkrivanje, preprečevanje, preiskovanje ali  pregon kaznivih dejanj, razen če so ti sistemi na voljo javnosti za prijavo kaznivega dejanja«,</w:t>
      </w:r>
    </w:p>
    <w:p w:rsidR="00A05FBB" w:rsidRDefault="00A05FBB" w:rsidP="00A05FBB">
      <w:pPr>
        <w:pStyle w:val="Odstavekseznama"/>
        <w:numPr>
          <w:ilvl w:val="0"/>
          <w:numId w:val="7"/>
        </w:numPr>
        <w:spacing w:line="276" w:lineRule="auto"/>
        <w:jc w:val="both"/>
        <w:rPr>
          <w:szCs w:val="20"/>
          <w:lang w:val="sl-SI"/>
        </w:rPr>
      </w:pPr>
      <w:r>
        <w:rPr>
          <w:szCs w:val="20"/>
          <w:lang w:val="sl-SI"/>
        </w:rPr>
        <w:lastRenderedPageBreak/>
        <w:t>v 2. točki beseda »ni« nadomesti z besedo »je«,</w:t>
      </w:r>
    </w:p>
    <w:p w:rsidR="00A05FBB" w:rsidRDefault="00A05FBB" w:rsidP="00A05FBB">
      <w:pPr>
        <w:pStyle w:val="Odstavekseznama"/>
        <w:numPr>
          <w:ilvl w:val="0"/>
          <w:numId w:val="7"/>
        </w:numPr>
        <w:spacing w:line="276" w:lineRule="auto"/>
        <w:jc w:val="both"/>
        <w:rPr>
          <w:szCs w:val="20"/>
          <w:lang w:val="sl-SI"/>
        </w:rPr>
      </w:pPr>
      <w:r>
        <w:rPr>
          <w:szCs w:val="20"/>
          <w:lang w:val="sl-SI"/>
        </w:rPr>
        <w:t>v 6. točki v besedilu »in kadar ima uredniško odgovornost« veznik »in« nadomesti z veznikom »ali«.</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šestem odstavku se v prvem stavku besedilo »Z globo, ki ne presega« nadomesti z besedilom »Z globo v višini do«, besedilo »majhno, srednjo«, pa se nadomesti z besedilom »majhno in srednjo«.</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osmem odstavku se znesek »1.000« nadomesti z zneskom »3.000«.</w:t>
      </w:r>
    </w:p>
    <w:p w:rsidR="00A05FBB" w:rsidRDefault="00A05FBB" w:rsidP="00A05FBB">
      <w:pPr>
        <w:spacing w:line="276" w:lineRule="auto"/>
        <w:jc w:val="both"/>
        <w:rPr>
          <w:rFonts w:cs="Arial"/>
          <w:szCs w:val="20"/>
          <w:lang w:eastAsia="sl-SI"/>
        </w:rPr>
      </w:pPr>
    </w:p>
    <w:p w:rsidR="00A05FBB" w:rsidRDefault="00A05FBB" w:rsidP="00A05FBB">
      <w:pPr>
        <w:spacing w:line="276" w:lineRule="auto"/>
        <w:jc w:val="both"/>
        <w:rPr>
          <w:szCs w:val="20"/>
        </w:rPr>
      </w:pPr>
      <w:r>
        <w:rPr>
          <w:b/>
          <w:bCs/>
          <w:szCs w:val="20"/>
        </w:rPr>
        <w:t>Obrazložitev:</w:t>
      </w:r>
      <w:r>
        <w:rPr>
          <w:szCs w:val="20"/>
        </w:rPr>
        <w:t xml:space="preserve"> </w:t>
      </w:r>
      <w:r>
        <w:rPr>
          <w:rFonts w:cs="Arial"/>
          <w:szCs w:val="20"/>
        </w:rPr>
        <w:t>Amandma se predlaga zaradi uskladitve z mnenjem ZPS.</w:t>
      </w:r>
    </w:p>
    <w:p w:rsidR="00A05FBB" w:rsidRDefault="00A05FBB" w:rsidP="00A05FBB">
      <w:pPr>
        <w:spacing w:line="276" w:lineRule="auto"/>
        <w:jc w:val="both"/>
        <w:rPr>
          <w:rFonts w:cs="Arial"/>
          <w:szCs w:val="20"/>
          <w:lang w:eastAsia="sl-SI"/>
        </w:rPr>
      </w:pPr>
    </w:p>
    <w:p w:rsidR="00A05FBB" w:rsidRDefault="00A05FBB" w:rsidP="00A05FBB">
      <w:pPr>
        <w:spacing w:line="276" w:lineRule="auto"/>
        <w:jc w:val="both"/>
        <w:rPr>
          <w:rFonts w:cs="Arial"/>
          <w:b/>
          <w:bCs/>
          <w:szCs w:val="20"/>
        </w:rPr>
      </w:pPr>
      <w:r>
        <w:rPr>
          <w:rFonts w:cs="Arial"/>
          <w:b/>
          <w:bCs/>
          <w:szCs w:val="20"/>
        </w:rPr>
        <w:t>K 33. členu</w:t>
      </w:r>
    </w:p>
    <w:p w:rsidR="00A05FBB" w:rsidRDefault="00A05FBB" w:rsidP="00A05FBB">
      <w:pPr>
        <w:spacing w:line="276" w:lineRule="auto"/>
        <w:jc w:val="both"/>
        <w:rPr>
          <w:szCs w:val="20"/>
        </w:rPr>
      </w:pPr>
      <w:r>
        <w:rPr>
          <w:szCs w:val="20"/>
        </w:rPr>
        <w:t>V šestem odstavku se v prvem stavku besedilo »Z globo, ki ne presega« nadomesti z besedilom »Z globo v višini do«, besedilo »majhno, srednjo«, pa se nadomesti z besedilom »majhno in srednjo«.</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szCs w:val="20"/>
        </w:rPr>
        <w:t>V osmem odstavku se znesek »1.000« nadomesti z zneskom »3.000«.</w:t>
      </w:r>
    </w:p>
    <w:p w:rsidR="00A05FBB" w:rsidRDefault="00A05FBB" w:rsidP="00A05FBB">
      <w:pPr>
        <w:spacing w:line="276" w:lineRule="auto"/>
        <w:jc w:val="both"/>
        <w:rPr>
          <w:b/>
          <w:bCs/>
          <w:szCs w:val="20"/>
        </w:rPr>
      </w:pPr>
    </w:p>
    <w:p w:rsidR="00A05FBB" w:rsidRDefault="00A05FBB" w:rsidP="00A05FBB">
      <w:pPr>
        <w:spacing w:line="276" w:lineRule="auto"/>
        <w:jc w:val="both"/>
        <w:rPr>
          <w:szCs w:val="20"/>
        </w:rPr>
      </w:pPr>
      <w:r>
        <w:rPr>
          <w:b/>
          <w:bCs/>
          <w:szCs w:val="20"/>
        </w:rPr>
        <w:t>Obrazložitev:</w:t>
      </w:r>
      <w:r>
        <w:rPr>
          <w:szCs w:val="20"/>
        </w:rPr>
        <w:t xml:space="preserve"> </w:t>
      </w:r>
      <w:r>
        <w:rPr>
          <w:rFonts w:cs="Arial"/>
          <w:szCs w:val="20"/>
        </w:rPr>
        <w:t>Amandma se predlaga zaradi uskladitve z mnenjem ZPS.</w:t>
      </w:r>
    </w:p>
    <w:p w:rsidR="00A05FBB" w:rsidRDefault="00A05FBB" w:rsidP="00A05FBB">
      <w:pPr>
        <w:spacing w:line="276" w:lineRule="auto"/>
        <w:jc w:val="both"/>
        <w:rPr>
          <w:rFonts w:cs="Arial"/>
          <w:szCs w:val="20"/>
          <w:lang w:eastAsia="sl-SI"/>
        </w:rPr>
      </w:pPr>
    </w:p>
    <w:p w:rsidR="00A05FBB" w:rsidRDefault="00A05FBB" w:rsidP="00A05FBB">
      <w:pPr>
        <w:spacing w:line="276" w:lineRule="auto"/>
        <w:jc w:val="both"/>
        <w:rPr>
          <w:rFonts w:cs="Arial"/>
          <w:szCs w:val="20"/>
          <w:lang w:eastAsia="sl-SI"/>
        </w:rPr>
      </w:pPr>
      <w:r>
        <w:rPr>
          <w:rFonts w:cs="Arial"/>
          <w:b/>
          <w:bCs/>
          <w:szCs w:val="20"/>
          <w:lang w:eastAsia="sl-SI"/>
        </w:rPr>
        <w:t>Za nov 33.a člen</w:t>
      </w:r>
    </w:p>
    <w:p w:rsidR="00A05FBB" w:rsidRDefault="00A05FBB" w:rsidP="00A05FBB">
      <w:pPr>
        <w:spacing w:line="276" w:lineRule="auto"/>
        <w:jc w:val="center"/>
        <w:rPr>
          <w:rFonts w:cs="Arial"/>
          <w:szCs w:val="20"/>
          <w:lang w:eastAsia="sl-SI"/>
        </w:rPr>
      </w:pPr>
      <w:r>
        <w:rPr>
          <w:rFonts w:cs="Arial"/>
          <w:szCs w:val="20"/>
          <w:lang w:eastAsia="sl-SI"/>
        </w:rPr>
        <w:t>»33.a člen</w:t>
      </w:r>
    </w:p>
    <w:p w:rsidR="00A05FBB" w:rsidRDefault="00A05FBB" w:rsidP="00A05FBB">
      <w:pPr>
        <w:spacing w:line="276" w:lineRule="auto"/>
        <w:jc w:val="center"/>
        <w:rPr>
          <w:rFonts w:cs="Arial"/>
          <w:szCs w:val="20"/>
          <w:lang w:eastAsia="sl-SI"/>
        </w:rPr>
      </w:pPr>
      <w:r>
        <w:rPr>
          <w:rFonts w:cs="Arial"/>
          <w:szCs w:val="20"/>
          <w:lang w:eastAsia="sl-SI"/>
        </w:rPr>
        <w:t>(prekrški organov javnega sektorja v zvezi z objavo podatkov o sistemih UI)</w:t>
      </w:r>
    </w:p>
    <w:p w:rsidR="00A05FBB" w:rsidRDefault="00A05FBB" w:rsidP="00A05FBB">
      <w:pPr>
        <w:spacing w:line="276" w:lineRule="auto"/>
        <w:jc w:val="both"/>
        <w:rPr>
          <w:rFonts w:cs="Arial"/>
          <w:szCs w:val="20"/>
          <w:lang w:eastAsia="sl-SI"/>
        </w:rPr>
      </w:pPr>
    </w:p>
    <w:p w:rsidR="00A05FBB" w:rsidRDefault="00A05FBB" w:rsidP="00A05FBB">
      <w:pPr>
        <w:spacing w:line="276" w:lineRule="auto"/>
        <w:jc w:val="both"/>
        <w:rPr>
          <w:rFonts w:cs="Arial"/>
          <w:szCs w:val="20"/>
          <w:lang w:eastAsia="sl-SI"/>
        </w:rPr>
      </w:pPr>
      <w:r>
        <w:rPr>
          <w:rFonts w:cs="Arial"/>
          <w:szCs w:val="20"/>
          <w:lang w:eastAsia="sl-SI"/>
        </w:rPr>
        <w:t>(1) Z globo od 500 do 5.000 eurov se za prekršek kaznuje pravna oseba, če najkasneje ob uvedbi sistema UI oziroma informacijske rešitve, ki vključujejo UI, ne objavi podatkov iz prvega odstavka 20.a člena tega zakona (tretji odstavek 20.a člena tega zakona).</w:t>
      </w:r>
    </w:p>
    <w:p w:rsidR="00A05FBB" w:rsidRDefault="00A05FBB" w:rsidP="00A05FBB">
      <w:pPr>
        <w:spacing w:line="276" w:lineRule="auto"/>
        <w:jc w:val="both"/>
        <w:rPr>
          <w:rFonts w:cs="Arial"/>
          <w:szCs w:val="20"/>
          <w:lang w:eastAsia="sl-SI"/>
        </w:rPr>
      </w:pPr>
    </w:p>
    <w:p w:rsidR="00A05FBB" w:rsidRDefault="00A05FBB" w:rsidP="00A05FBB">
      <w:pPr>
        <w:spacing w:line="276" w:lineRule="auto"/>
        <w:jc w:val="both"/>
        <w:rPr>
          <w:rFonts w:cs="Arial"/>
          <w:szCs w:val="20"/>
          <w:lang w:eastAsia="x-none"/>
        </w:rPr>
      </w:pPr>
      <w:r>
        <w:rPr>
          <w:rFonts w:cs="Arial"/>
          <w:szCs w:val="20"/>
          <w:lang w:eastAsia="sl-SI"/>
        </w:rPr>
        <w:t xml:space="preserve">(2) Z globo od 100 do 500 eurov se kaznuje </w:t>
      </w:r>
      <w:r>
        <w:rPr>
          <w:rFonts w:cs="Arial"/>
          <w:szCs w:val="20"/>
          <w:lang w:eastAsia="x-none"/>
        </w:rPr>
        <w:t>odgovorna oseba pravne osebe in odgovorna oseba v državnem organu ali samoupravni lokalni skupnosti.«</w:t>
      </w:r>
    </w:p>
    <w:p w:rsidR="00A05FBB" w:rsidRDefault="00A05FBB" w:rsidP="00A05FBB">
      <w:pPr>
        <w:spacing w:line="276" w:lineRule="auto"/>
        <w:jc w:val="both"/>
        <w:rPr>
          <w:rFonts w:cs="Arial"/>
          <w:szCs w:val="20"/>
          <w:lang w:eastAsia="sl-SI"/>
        </w:rPr>
      </w:pPr>
    </w:p>
    <w:p w:rsidR="00A05FBB" w:rsidRDefault="00A05FBB" w:rsidP="00A05FBB">
      <w:pPr>
        <w:spacing w:line="276" w:lineRule="auto"/>
        <w:jc w:val="both"/>
        <w:rPr>
          <w:szCs w:val="20"/>
        </w:rPr>
      </w:pPr>
      <w:r>
        <w:rPr>
          <w:b/>
          <w:bCs/>
          <w:szCs w:val="20"/>
        </w:rPr>
        <w:t>Obrazložitev:</w:t>
      </w:r>
      <w:r>
        <w:rPr>
          <w:szCs w:val="20"/>
        </w:rPr>
        <w:t xml:space="preserve"> </w:t>
      </w:r>
      <w:r>
        <w:rPr>
          <w:rFonts w:cs="Arial"/>
          <w:szCs w:val="20"/>
        </w:rPr>
        <w:t>Amandma se predlaga zaradi opredelitve kršitve novega predloga določbe (20.a člena), ki od organov javnega sektorja, kot so ti opredeljeni v drugem odstavku navedenega člena, zahteva objavo podatkov o sistemih UI oziroma informacijskih rešitvah, ki vključujejo UI.</w:t>
      </w:r>
    </w:p>
    <w:p w:rsidR="00A05FBB" w:rsidRDefault="00A05FBB" w:rsidP="00A05FBB">
      <w:pPr>
        <w:spacing w:line="276" w:lineRule="auto"/>
        <w:jc w:val="both"/>
        <w:rPr>
          <w:rFonts w:cs="Arial"/>
          <w:szCs w:val="20"/>
          <w:lang w:eastAsia="sl-SI"/>
        </w:rPr>
      </w:pPr>
    </w:p>
    <w:p w:rsidR="00A05FBB" w:rsidRDefault="00A05FBB" w:rsidP="00A05FBB">
      <w:pPr>
        <w:spacing w:line="276" w:lineRule="auto"/>
        <w:jc w:val="both"/>
        <w:rPr>
          <w:rFonts w:cs="Arial"/>
          <w:szCs w:val="20"/>
          <w:lang w:eastAsia="sl-SI"/>
        </w:rPr>
      </w:pPr>
    </w:p>
    <w:p w:rsidR="00A05FBB" w:rsidRDefault="00A05FBB" w:rsidP="00A05FBB">
      <w:pPr>
        <w:spacing w:line="276" w:lineRule="auto"/>
        <w:jc w:val="both"/>
        <w:rPr>
          <w:rFonts w:cs="Arial"/>
          <w:b/>
          <w:bCs/>
          <w:szCs w:val="20"/>
        </w:rPr>
      </w:pPr>
      <w:r>
        <w:rPr>
          <w:rFonts w:cs="Arial"/>
          <w:b/>
          <w:bCs/>
          <w:szCs w:val="20"/>
        </w:rPr>
        <w:t>K 34. členu</w:t>
      </w:r>
    </w:p>
    <w:p w:rsidR="00A05FBB" w:rsidRDefault="00A05FBB" w:rsidP="00A05FBB">
      <w:pPr>
        <w:spacing w:line="276" w:lineRule="auto"/>
        <w:jc w:val="both"/>
        <w:rPr>
          <w:szCs w:val="20"/>
        </w:rPr>
      </w:pPr>
      <w:r>
        <w:rPr>
          <w:szCs w:val="20"/>
        </w:rPr>
        <w:t xml:space="preserve">V 34. členu se za besedo »petega« na vseh mestih doda besedilo »in šestega«.  </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b/>
          <w:bCs/>
          <w:szCs w:val="20"/>
        </w:rPr>
        <w:t>Obrazložitev:</w:t>
      </w:r>
      <w:r>
        <w:rPr>
          <w:szCs w:val="20"/>
        </w:rPr>
        <w:t xml:space="preserve"> </w:t>
      </w:r>
      <w:r>
        <w:rPr>
          <w:rFonts w:cs="Arial"/>
          <w:szCs w:val="20"/>
        </w:rPr>
        <w:t>Amandma se predlaga zaradi uskladitve z mnenjem ZPS.</w:t>
      </w:r>
    </w:p>
    <w:p w:rsidR="00A05FBB" w:rsidRDefault="00A05FBB" w:rsidP="00A05FBB">
      <w:pPr>
        <w:spacing w:line="276" w:lineRule="auto"/>
        <w:jc w:val="both"/>
        <w:rPr>
          <w:szCs w:val="20"/>
        </w:rPr>
      </w:pPr>
    </w:p>
    <w:p w:rsidR="00A05FBB" w:rsidRDefault="00A05FBB" w:rsidP="00A05FBB">
      <w:pPr>
        <w:spacing w:line="276" w:lineRule="auto"/>
        <w:jc w:val="both"/>
        <w:rPr>
          <w:rFonts w:cs="Arial"/>
          <w:b/>
          <w:bCs/>
          <w:szCs w:val="20"/>
        </w:rPr>
      </w:pPr>
      <w:r>
        <w:rPr>
          <w:rFonts w:cs="Arial"/>
          <w:b/>
          <w:bCs/>
          <w:szCs w:val="20"/>
        </w:rPr>
        <w:t>K 37. členu</w:t>
      </w:r>
    </w:p>
    <w:p w:rsidR="00A05FBB" w:rsidRDefault="00A05FBB" w:rsidP="00A05FBB">
      <w:pPr>
        <w:spacing w:line="276" w:lineRule="auto"/>
        <w:jc w:val="both"/>
        <w:rPr>
          <w:szCs w:val="20"/>
        </w:rPr>
      </w:pPr>
      <w:r>
        <w:rPr>
          <w:szCs w:val="20"/>
        </w:rPr>
        <w:t xml:space="preserve">V 37. členu se besedilo »Informacijski pooblaščenec, agencija, Banka Slovenije, Agencija za zavarovalni nadzor in Tržni inšpektorat Republike Slovenije« nadomesti z besedilom »Organi za nadzor trga iz 6. člena tega zakona«.  </w:t>
      </w:r>
    </w:p>
    <w:p w:rsidR="00A05FBB" w:rsidRDefault="00A05FBB" w:rsidP="00A05FBB">
      <w:pPr>
        <w:spacing w:line="276" w:lineRule="auto"/>
        <w:jc w:val="both"/>
        <w:rPr>
          <w:szCs w:val="20"/>
        </w:rPr>
      </w:pPr>
    </w:p>
    <w:p w:rsidR="00A05FBB" w:rsidRDefault="00A05FBB" w:rsidP="00A05FBB">
      <w:pPr>
        <w:spacing w:line="276" w:lineRule="auto"/>
        <w:jc w:val="both"/>
        <w:rPr>
          <w:szCs w:val="20"/>
        </w:rPr>
      </w:pPr>
      <w:r>
        <w:rPr>
          <w:b/>
          <w:bCs/>
          <w:szCs w:val="20"/>
        </w:rPr>
        <w:t>Obrazložitev:</w:t>
      </w:r>
      <w:r>
        <w:rPr>
          <w:szCs w:val="20"/>
        </w:rPr>
        <w:t xml:space="preserve"> </w:t>
      </w:r>
      <w:r>
        <w:rPr>
          <w:rFonts w:cs="Arial"/>
          <w:szCs w:val="20"/>
        </w:rPr>
        <w:t>Amandma sledi mnenju ZPS.</w:t>
      </w:r>
    </w:p>
    <w:p w:rsidR="00A05FBB" w:rsidRDefault="00A05FBB" w:rsidP="00A05FBB">
      <w:pPr>
        <w:spacing w:line="276" w:lineRule="auto"/>
        <w:jc w:val="both"/>
        <w:rPr>
          <w:rFonts w:cs="Arial"/>
          <w:szCs w:val="20"/>
          <w:lang w:eastAsia="sl-SI"/>
        </w:rPr>
      </w:pPr>
    </w:p>
    <w:p w:rsidR="00A05FBB" w:rsidRDefault="00A05FBB" w:rsidP="00A05FBB">
      <w:pPr>
        <w:spacing w:line="276" w:lineRule="auto"/>
        <w:jc w:val="both"/>
        <w:rPr>
          <w:rFonts w:cs="Arial"/>
          <w:b/>
          <w:bCs/>
          <w:szCs w:val="20"/>
          <w:lang w:eastAsia="sl-SI"/>
        </w:rPr>
      </w:pPr>
      <w:r>
        <w:rPr>
          <w:rFonts w:cs="Arial"/>
          <w:b/>
          <w:bCs/>
          <w:szCs w:val="20"/>
          <w:lang w:eastAsia="sl-SI"/>
        </w:rPr>
        <w:t>Za nov 38.a člen</w:t>
      </w:r>
    </w:p>
    <w:p w:rsidR="00A05FBB" w:rsidRDefault="00A05FBB" w:rsidP="00A05FBB">
      <w:pPr>
        <w:spacing w:line="276" w:lineRule="auto"/>
        <w:jc w:val="both"/>
        <w:rPr>
          <w:rFonts w:cs="Arial"/>
          <w:szCs w:val="20"/>
          <w:lang w:eastAsia="sl-SI"/>
        </w:rPr>
      </w:pPr>
      <w:r>
        <w:rPr>
          <w:rFonts w:cs="Arial"/>
          <w:szCs w:val="20"/>
          <w:lang w:eastAsia="sl-SI"/>
        </w:rPr>
        <w:t>Za 38. členom se doda nov 38. a člen, ki se glasi:</w:t>
      </w:r>
    </w:p>
    <w:p w:rsidR="00A05FBB" w:rsidRDefault="00A05FBB" w:rsidP="00A05FBB">
      <w:pPr>
        <w:spacing w:line="276" w:lineRule="auto"/>
        <w:jc w:val="both"/>
        <w:rPr>
          <w:rFonts w:cs="Arial"/>
          <w:szCs w:val="20"/>
          <w:lang w:eastAsia="sl-SI"/>
        </w:rPr>
      </w:pPr>
    </w:p>
    <w:p w:rsidR="00A05FBB" w:rsidRDefault="00A05FBB" w:rsidP="00A05FBB">
      <w:pPr>
        <w:spacing w:line="276" w:lineRule="auto"/>
        <w:jc w:val="center"/>
        <w:rPr>
          <w:rFonts w:cs="Arial"/>
          <w:szCs w:val="20"/>
          <w:lang w:eastAsia="sl-SI"/>
        </w:rPr>
      </w:pPr>
      <w:r>
        <w:rPr>
          <w:rFonts w:cs="Arial"/>
          <w:szCs w:val="20"/>
          <w:lang w:eastAsia="sl-SI"/>
        </w:rPr>
        <w:lastRenderedPageBreak/>
        <w:t>»38.a člen</w:t>
      </w:r>
    </w:p>
    <w:p w:rsidR="00A05FBB" w:rsidRDefault="00A05FBB" w:rsidP="00A05FBB">
      <w:pPr>
        <w:spacing w:line="276" w:lineRule="auto"/>
        <w:jc w:val="center"/>
        <w:rPr>
          <w:rFonts w:cs="Arial"/>
          <w:szCs w:val="20"/>
          <w:lang w:eastAsia="sl-SI"/>
        </w:rPr>
      </w:pPr>
      <w:r>
        <w:rPr>
          <w:rFonts w:cs="Arial"/>
          <w:szCs w:val="20"/>
          <w:lang w:eastAsia="sl-SI"/>
        </w:rPr>
        <w:t>(vzpostavitev enotne informacijske točke)</w:t>
      </w:r>
    </w:p>
    <w:p w:rsidR="00A05FBB" w:rsidRDefault="00A05FBB" w:rsidP="00A05FBB">
      <w:pPr>
        <w:spacing w:line="276" w:lineRule="auto"/>
        <w:jc w:val="center"/>
        <w:rPr>
          <w:rFonts w:cs="Arial"/>
          <w:szCs w:val="20"/>
          <w:lang w:eastAsia="sl-SI"/>
        </w:rPr>
      </w:pPr>
    </w:p>
    <w:p w:rsidR="00A05FBB" w:rsidRDefault="00A05FBB" w:rsidP="00A05FBB">
      <w:pPr>
        <w:spacing w:line="276" w:lineRule="auto"/>
        <w:jc w:val="both"/>
      </w:pPr>
      <w:r>
        <w:t>(1) Ministrstvo, pristojno za upravljanje informacijsko-komunikacijskih sistemov, zagotovi enotno informacijsko točko iz prvega odstavka 20.a člena tega zakona najkasneje v dveh mesecih od uveljavitve tega zakona.</w:t>
      </w:r>
    </w:p>
    <w:p w:rsidR="00A05FBB" w:rsidRDefault="00A05FBB" w:rsidP="00A05FBB">
      <w:pPr>
        <w:spacing w:line="276" w:lineRule="auto"/>
        <w:jc w:val="both"/>
      </w:pPr>
    </w:p>
    <w:p w:rsidR="00A05FBB" w:rsidRDefault="00A05FBB" w:rsidP="00A05FBB">
      <w:pPr>
        <w:spacing w:line="276" w:lineRule="auto"/>
        <w:jc w:val="both"/>
        <w:rPr>
          <w:rFonts w:cs="Arial"/>
          <w:szCs w:val="20"/>
          <w:lang w:eastAsia="sl-SI"/>
        </w:rPr>
      </w:pPr>
      <w:r>
        <w:t>(2) Organi javnega sektorja pričnejo z javno objavo podatkov iz prvega odstavka 20.a člena tega zakona najkasneje v 30 dneh po zagotovitvi enotne informacijske točke, pri čemer so dolžni javno objaviti podatke tudi glede informacijskih rešitev, ki vključujejo UI, oziroma glede sistemov UI, ki jih imajo v uporabi v času uveljavitve tega zakona.«.</w:t>
      </w:r>
    </w:p>
    <w:p w:rsidR="00A05FBB" w:rsidRDefault="00A05FBB" w:rsidP="00A05FBB">
      <w:pPr>
        <w:spacing w:line="276" w:lineRule="auto"/>
        <w:jc w:val="both"/>
        <w:rPr>
          <w:rFonts w:cs="Arial"/>
          <w:b/>
          <w:bCs/>
          <w:szCs w:val="20"/>
          <w:lang w:eastAsia="sl-SI"/>
        </w:rPr>
      </w:pPr>
    </w:p>
    <w:p w:rsidR="00A05FBB" w:rsidRDefault="00A05FBB" w:rsidP="00A05FBB">
      <w:pPr>
        <w:spacing w:line="276" w:lineRule="auto"/>
        <w:jc w:val="both"/>
        <w:rPr>
          <w:rFonts w:cs="Arial"/>
          <w:szCs w:val="20"/>
        </w:rPr>
      </w:pPr>
      <w:r>
        <w:rPr>
          <w:rFonts w:cs="Arial"/>
          <w:b/>
          <w:bCs/>
          <w:szCs w:val="20"/>
          <w:lang w:eastAsia="sl-SI"/>
        </w:rPr>
        <w:t>Obrazložitev:</w:t>
      </w:r>
      <w:r>
        <w:rPr>
          <w:rFonts w:cs="Arial"/>
          <w:b/>
          <w:bCs/>
          <w:szCs w:val="20"/>
        </w:rPr>
        <w:t xml:space="preserve"> </w:t>
      </w:r>
      <w:r>
        <w:rPr>
          <w:rFonts w:cs="Arial"/>
          <w:szCs w:val="20"/>
        </w:rPr>
        <w:t xml:space="preserve">Amandma se predlaga za določitev roka, do katerega mora ministrstvo enotno informacijsko točko za ta namen vzpostaviti ter za določitev roka, od kdaj naprej so organi javnega sektorja podatke o sistemih UI oziroma informacijskih rešitvah, ki vključujejo UI, dolžni objavljati. </w:t>
      </w:r>
    </w:p>
    <w:p w:rsidR="00A05FBB" w:rsidRDefault="00A05FBB" w:rsidP="00A05FBB">
      <w:pPr>
        <w:spacing w:line="276" w:lineRule="auto"/>
        <w:jc w:val="both"/>
        <w:rPr>
          <w:rFonts w:cs="Arial"/>
          <w:szCs w:val="20"/>
        </w:rPr>
      </w:pPr>
    </w:p>
    <w:p w:rsidR="00A05FBB" w:rsidRDefault="00A05FBB" w:rsidP="00A05FBB">
      <w:pPr>
        <w:spacing w:line="276" w:lineRule="auto"/>
        <w:jc w:val="both"/>
        <w:rPr>
          <w:rFonts w:cs="Arial"/>
          <w:b/>
          <w:bCs/>
          <w:szCs w:val="20"/>
          <w:lang w:eastAsia="sl-SI"/>
        </w:rPr>
      </w:pPr>
    </w:p>
    <w:p w:rsidR="00A05FBB" w:rsidRDefault="00A05FBB" w:rsidP="00A05FBB">
      <w:pPr>
        <w:spacing w:line="276" w:lineRule="auto"/>
        <w:jc w:val="both"/>
        <w:rPr>
          <w:rFonts w:cs="Arial"/>
          <w:b/>
          <w:bCs/>
          <w:szCs w:val="20"/>
          <w:lang w:eastAsia="sl-SI"/>
        </w:rPr>
      </w:pPr>
      <w:r>
        <w:rPr>
          <w:rFonts w:cs="Arial"/>
          <w:b/>
          <w:bCs/>
          <w:szCs w:val="20"/>
          <w:lang w:eastAsia="sl-SI"/>
        </w:rPr>
        <w:t>Za nov 38.b člen</w:t>
      </w:r>
    </w:p>
    <w:p w:rsidR="00A05FBB" w:rsidRDefault="00A05FBB" w:rsidP="00A05FBB">
      <w:pPr>
        <w:spacing w:line="276" w:lineRule="auto"/>
        <w:jc w:val="both"/>
        <w:rPr>
          <w:rFonts w:cs="Arial"/>
          <w:szCs w:val="20"/>
          <w:lang w:eastAsia="sl-SI"/>
        </w:rPr>
      </w:pPr>
      <w:r>
        <w:rPr>
          <w:rFonts w:cs="Arial"/>
          <w:szCs w:val="20"/>
          <w:lang w:eastAsia="sl-SI"/>
        </w:rPr>
        <w:t>Za 38.a členom se doda nov 38.b člen, ki se glasi:</w:t>
      </w:r>
    </w:p>
    <w:p w:rsidR="00A05FBB" w:rsidRDefault="00A05FBB" w:rsidP="00A05FBB">
      <w:pPr>
        <w:spacing w:line="276" w:lineRule="auto"/>
        <w:jc w:val="center"/>
        <w:rPr>
          <w:rFonts w:cs="Arial"/>
          <w:szCs w:val="20"/>
          <w:lang w:eastAsia="sl-SI"/>
        </w:rPr>
      </w:pPr>
    </w:p>
    <w:p w:rsidR="00A05FBB" w:rsidRDefault="00A05FBB" w:rsidP="00A05FBB">
      <w:pPr>
        <w:spacing w:line="276" w:lineRule="auto"/>
        <w:jc w:val="center"/>
        <w:rPr>
          <w:rFonts w:cs="Arial"/>
          <w:szCs w:val="20"/>
          <w:lang w:eastAsia="sl-SI"/>
        </w:rPr>
      </w:pPr>
    </w:p>
    <w:p w:rsidR="00A05FBB" w:rsidRDefault="00A05FBB" w:rsidP="00A05FBB">
      <w:pPr>
        <w:spacing w:line="276" w:lineRule="auto"/>
        <w:jc w:val="center"/>
        <w:rPr>
          <w:rFonts w:cs="Arial"/>
          <w:szCs w:val="20"/>
          <w:lang w:eastAsia="sl-SI"/>
        </w:rPr>
      </w:pPr>
      <w:r>
        <w:rPr>
          <w:rFonts w:cs="Arial"/>
          <w:szCs w:val="20"/>
          <w:lang w:eastAsia="sl-SI"/>
        </w:rPr>
        <w:t>38.b člen</w:t>
      </w:r>
    </w:p>
    <w:p w:rsidR="00A05FBB" w:rsidRDefault="00A05FBB" w:rsidP="00A05FBB">
      <w:pPr>
        <w:spacing w:line="276" w:lineRule="auto"/>
        <w:jc w:val="center"/>
        <w:rPr>
          <w:rFonts w:cs="Arial"/>
          <w:szCs w:val="20"/>
          <w:lang w:eastAsia="sl-SI"/>
        </w:rPr>
      </w:pPr>
      <w:r>
        <w:rPr>
          <w:rFonts w:cs="Arial"/>
          <w:szCs w:val="20"/>
          <w:lang w:eastAsia="sl-SI"/>
        </w:rPr>
        <w:t>(javni poziv)</w:t>
      </w:r>
    </w:p>
    <w:p w:rsidR="00A05FBB" w:rsidRDefault="00A05FBB" w:rsidP="00A05FBB">
      <w:pPr>
        <w:spacing w:line="276" w:lineRule="auto"/>
        <w:jc w:val="both"/>
        <w:rPr>
          <w:rFonts w:cs="Arial"/>
          <w:szCs w:val="20"/>
          <w:lang w:eastAsia="sl-SI"/>
        </w:rPr>
      </w:pPr>
    </w:p>
    <w:p w:rsidR="00A05FBB" w:rsidRDefault="00A05FBB" w:rsidP="00A05FBB">
      <w:pPr>
        <w:spacing w:line="276" w:lineRule="auto"/>
        <w:jc w:val="both"/>
        <w:rPr>
          <w:rFonts w:cs="Arial"/>
          <w:szCs w:val="20"/>
          <w:lang w:eastAsia="sl-SI"/>
        </w:rPr>
      </w:pPr>
      <w:r>
        <w:rPr>
          <w:rFonts w:cs="Arial"/>
          <w:szCs w:val="20"/>
          <w:lang w:eastAsia="sl-SI"/>
        </w:rPr>
        <w:t>Ministrstvo prvi javni poziv iz tretjega odstavka 22. člena tega zakona objavi najkasneje v 60 dneh po uveljavitvi tega zakona.«.</w:t>
      </w:r>
    </w:p>
    <w:p w:rsidR="00A05FBB" w:rsidRDefault="00A05FBB" w:rsidP="00A05FBB">
      <w:pPr>
        <w:spacing w:line="276" w:lineRule="auto"/>
        <w:jc w:val="both"/>
        <w:rPr>
          <w:rFonts w:cs="Arial"/>
          <w:b/>
          <w:bCs/>
          <w:szCs w:val="20"/>
          <w:lang w:eastAsia="sl-SI"/>
        </w:rPr>
      </w:pPr>
    </w:p>
    <w:p w:rsidR="00A05FBB" w:rsidRDefault="00A05FBB" w:rsidP="00A05FBB">
      <w:pPr>
        <w:spacing w:line="276" w:lineRule="auto"/>
        <w:jc w:val="both"/>
        <w:rPr>
          <w:rFonts w:cs="Arial"/>
          <w:szCs w:val="20"/>
        </w:rPr>
      </w:pPr>
      <w:r>
        <w:rPr>
          <w:rFonts w:cs="Arial"/>
          <w:b/>
          <w:bCs/>
          <w:szCs w:val="20"/>
          <w:lang w:eastAsia="sl-SI"/>
        </w:rPr>
        <w:t>Obrazložitev:</w:t>
      </w:r>
      <w:r>
        <w:rPr>
          <w:rFonts w:cs="Arial"/>
          <w:b/>
          <w:bCs/>
          <w:szCs w:val="20"/>
        </w:rPr>
        <w:t xml:space="preserve"> </w:t>
      </w:r>
      <w:r>
        <w:rPr>
          <w:rFonts w:cs="Arial"/>
          <w:szCs w:val="20"/>
        </w:rPr>
        <w:t xml:space="preserve">Amandma je potreben zaradi določitve roka glede prvih aktivnosti za vzpostavitev Nacionalnega sveta za etiko v umetni inteligenci. </w:t>
      </w:r>
    </w:p>
    <w:p w:rsidR="00A05FBB" w:rsidRDefault="00A05FBB" w:rsidP="00A05FBB">
      <w:pPr>
        <w:spacing w:line="276" w:lineRule="auto"/>
        <w:jc w:val="both"/>
        <w:rPr>
          <w:rFonts w:cs="Arial"/>
          <w:b/>
          <w:bCs/>
          <w:szCs w:val="20"/>
        </w:rPr>
      </w:pPr>
    </w:p>
    <w:p w:rsidR="00A05FBB" w:rsidRDefault="00A05FBB" w:rsidP="00A05FBB">
      <w:pPr>
        <w:spacing w:line="276" w:lineRule="auto"/>
        <w:jc w:val="both"/>
        <w:rPr>
          <w:rFonts w:cs="Arial"/>
          <w:b/>
          <w:bCs/>
          <w:szCs w:val="20"/>
        </w:rPr>
      </w:pPr>
      <w:r>
        <w:rPr>
          <w:rFonts w:cs="Arial"/>
          <w:b/>
          <w:bCs/>
          <w:szCs w:val="20"/>
        </w:rPr>
        <w:t>K 40. členu</w:t>
      </w:r>
    </w:p>
    <w:p w:rsidR="00A05FBB" w:rsidRDefault="00A05FBB" w:rsidP="00A05FBB">
      <w:pPr>
        <w:spacing w:line="276" w:lineRule="auto"/>
        <w:jc w:val="both"/>
        <w:rPr>
          <w:szCs w:val="20"/>
        </w:rPr>
      </w:pPr>
      <w:r>
        <w:rPr>
          <w:szCs w:val="20"/>
        </w:rPr>
        <w:t xml:space="preserve">V drugem odstavku 40. člena se besedilo v oklepaju »44/24« nadomesti z besedilom »22/25«. </w:t>
      </w:r>
    </w:p>
    <w:p w:rsidR="00A05FBB" w:rsidRDefault="00A05FBB" w:rsidP="00A05FBB">
      <w:pPr>
        <w:spacing w:line="276" w:lineRule="auto"/>
        <w:jc w:val="both"/>
        <w:rPr>
          <w:szCs w:val="20"/>
        </w:rPr>
      </w:pPr>
    </w:p>
    <w:p w:rsidR="00A05FBB" w:rsidRDefault="00A05FBB" w:rsidP="00A05FBB">
      <w:pPr>
        <w:spacing w:line="276" w:lineRule="auto"/>
        <w:jc w:val="both"/>
        <w:rPr>
          <w:szCs w:val="20"/>
        </w:rPr>
      </w:pPr>
    </w:p>
    <w:p w:rsidR="00A05FBB" w:rsidRDefault="00A05FBB" w:rsidP="00A05FBB">
      <w:pPr>
        <w:spacing w:line="276" w:lineRule="auto"/>
        <w:jc w:val="both"/>
        <w:rPr>
          <w:rFonts w:cs="Arial"/>
          <w:szCs w:val="20"/>
        </w:rPr>
      </w:pPr>
      <w:r>
        <w:rPr>
          <w:b/>
          <w:bCs/>
          <w:szCs w:val="20"/>
        </w:rPr>
        <w:t>Obrazložitev:</w:t>
      </w:r>
      <w:r>
        <w:rPr>
          <w:szCs w:val="20"/>
        </w:rPr>
        <w:t xml:space="preserve"> </w:t>
      </w:r>
      <w:r>
        <w:rPr>
          <w:rFonts w:cs="Arial"/>
          <w:szCs w:val="20"/>
        </w:rPr>
        <w:t xml:space="preserve">Amandma sledi mnenju ZPS. V letu 2025 je bil namreč objavljen nov Statut Agencije za komunikacijska omrežja in storitve. </w:t>
      </w:r>
    </w:p>
    <w:p w:rsidR="00A05FBB" w:rsidRDefault="00A05FBB" w:rsidP="00A05FBB">
      <w:pPr>
        <w:spacing w:line="276" w:lineRule="auto"/>
        <w:jc w:val="both"/>
        <w:rPr>
          <w:szCs w:val="20"/>
        </w:rPr>
      </w:pPr>
    </w:p>
    <w:p w:rsidR="00A05FBB" w:rsidRDefault="00A05FBB" w:rsidP="00A05FBB">
      <w:pPr>
        <w:spacing w:line="276" w:lineRule="auto"/>
        <w:jc w:val="both"/>
        <w:rPr>
          <w:szCs w:val="20"/>
        </w:rPr>
      </w:pPr>
    </w:p>
    <w:p w:rsidR="00A05FBB" w:rsidRDefault="00A05FBB" w:rsidP="00A05FBB">
      <w:pPr>
        <w:spacing w:line="276" w:lineRule="auto"/>
        <w:jc w:val="both"/>
        <w:rPr>
          <w:szCs w:val="20"/>
        </w:rPr>
      </w:pPr>
    </w:p>
    <w:p w:rsidR="00A05FBB" w:rsidRDefault="00A05FBB" w:rsidP="00A05FBB">
      <w:pPr>
        <w:spacing w:line="276" w:lineRule="auto"/>
        <w:jc w:val="both"/>
        <w:rPr>
          <w:rFonts w:cs="Arial"/>
          <w:szCs w:val="20"/>
          <w:lang w:eastAsia="sl-SI"/>
        </w:rPr>
      </w:pPr>
    </w:p>
    <w:p w:rsidR="00A05FBB" w:rsidRDefault="00A05FBB" w:rsidP="00A05FBB">
      <w:pPr>
        <w:spacing w:line="276" w:lineRule="auto"/>
        <w:rPr>
          <w:rFonts w:cs="Arial"/>
          <w:szCs w:val="20"/>
          <w:lang w:eastAsia="sl-SI"/>
        </w:rPr>
      </w:pPr>
    </w:p>
    <w:p w:rsidR="007E1230" w:rsidRDefault="007E1230" w:rsidP="00A05FBB">
      <w:pPr>
        <w:autoSpaceDE w:val="0"/>
        <w:autoSpaceDN w:val="0"/>
        <w:adjustRightInd w:val="0"/>
        <w:jc w:val="both"/>
        <w:rPr>
          <w:rFonts w:cs="Arial"/>
          <w:color w:val="000000"/>
          <w:szCs w:val="20"/>
        </w:rPr>
      </w:pPr>
      <w:bookmarkStart w:id="7" w:name="_GoBack"/>
      <w:bookmarkEnd w:id="7"/>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2D71" w:rsidRDefault="00EF2D71" w:rsidP="00767987">
      <w:pPr>
        <w:spacing w:line="240" w:lineRule="auto"/>
      </w:pPr>
      <w:r>
        <w:separator/>
      </w:r>
    </w:p>
  </w:endnote>
  <w:endnote w:type="continuationSeparator" w:id="0">
    <w:p w:rsidR="00EF2D71" w:rsidRDefault="00EF2D71"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593F" w:rsidRDefault="008E593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593F" w:rsidRDefault="008E593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593F" w:rsidRDefault="008E593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2D71" w:rsidRDefault="00EF2D71" w:rsidP="00767987">
      <w:pPr>
        <w:spacing w:line="240" w:lineRule="auto"/>
      </w:pPr>
      <w:r>
        <w:separator/>
      </w:r>
    </w:p>
  </w:footnote>
  <w:footnote w:type="continuationSeparator" w:id="0">
    <w:p w:rsidR="00EF2D71" w:rsidRDefault="00EF2D71"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593F" w:rsidRDefault="008E593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593F" w:rsidRDefault="008E593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1" w15:restartNumberingAfterBreak="0">
    <w:nsid w:val="3E8B0B9E"/>
    <w:multiLevelType w:val="hybridMultilevel"/>
    <w:tmpl w:val="BDF4C0BA"/>
    <w:lvl w:ilvl="0" w:tplc="40C63C7C">
      <w:start w:val="5"/>
      <w:numFmt w:val="bullet"/>
      <w:lvlText w:val="–"/>
      <w:lvlJc w:val="left"/>
      <w:pPr>
        <w:ind w:left="780" w:hanging="360"/>
      </w:pPr>
      <w:rPr>
        <w:rFonts w:ascii="Calibri" w:eastAsia="Calibri" w:hAnsi="Calibri" w:cs="Calibri" w:hint="default"/>
      </w:rPr>
    </w:lvl>
    <w:lvl w:ilvl="1" w:tplc="04240003">
      <w:start w:val="1"/>
      <w:numFmt w:val="bullet"/>
      <w:lvlText w:val="o"/>
      <w:lvlJc w:val="left"/>
      <w:pPr>
        <w:ind w:left="1500" w:hanging="360"/>
      </w:pPr>
      <w:rPr>
        <w:rFonts w:ascii="Courier New" w:hAnsi="Courier New" w:cs="Courier New" w:hint="default"/>
      </w:rPr>
    </w:lvl>
    <w:lvl w:ilvl="2" w:tplc="04240005">
      <w:start w:val="1"/>
      <w:numFmt w:val="bullet"/>
      <w:lvlText w:val=""/>
      <w:lvlJc w:val="left"/>
      <w:pPr>
        <w:ind w:left="2220" w:hanging="360"/>
      </w:pPr>
      <w:rPr>
        <w:rFonts w:ascii="Wingdings" w:hAnsi="Wingdings" w:hint="default"/>
      </w:rPr>
    </w:lvl>
    <w:lvl w:ilvl="3" w:tplc="04240001">
      <w:start w:val="1"/>
      <w:numFmt w:val="bullet"/>
      <w:lvlText w:val=""/>
      <w:lvlJc w:val="left"/>
      <w:pPr>
        <w:ind w:left="2940" w:hanging="360"/>
      </w:pPr>
      <w:rPr>
        <w:rFonts w:ascii="Symbol" w:hAnsi="Symbol" w:hint="default"/>
      </w:rPr>
    </w:lvl>
    <w:lvl w:ilvl="4" w:tplc="04240003">
      <w:start w:val="1"/>
      <w:numFmt w:val="bullet"/>
      <w:lvlText w:val="o"/>
      <w:lvlJc w:val="left"/>
      <w:pPr>
        <w:ind w:left="3660" w:hanging="360"/>
      </w:pPr>
      <w:rPr>
        <w:rFonts w:ascii="Courier New" w:hAnsi="Courier New" w:cs="Courier New" w:hint="default"/>
      </w:rPr>
    </w:lvl>
    <w:lvl w:ilvl="5" w:tplc="04240005">
      <w:start w:val="1"/>
      <w:numFmt w:val="bullet"/>
      <w:lvlText w:val=""/>
      <w:lvlJc w:val="left"/>
      <w:pPr>
        <w:ind w:left="4380" w:hanging="360"/>
      </w:pPr>
      <w:rPr>
        <w:rFonts w:ascii="Wingdings" w:hAnsi="Wingdings" w:hint="default"/>
      </w:rPr>
    </w:lvl>
    <w:lvl w:ilvl="6" w:tplc="04240001">
      <w:start w:val="1"/>
      <w:numFmt w:val="bullet"/>
      <w:lvlText w:val=""/>
      <w:lvlJc w:val="left"/>
      <w:pPr>
        <w:ind w:left="5100" w:hanging="360"/>
      </w:pPr>
      <w:rPr>
        <w:rFonts w:ascii="Symbol" w:hAnsi="Symbol" w:hint="default"/>
      </w:rPr>
    </w:lvl>
    <w:lvl w:ilvl="7" w:tplc="04240003">
      <w:start w:val="1"/>
      <w:numFmt w:val="bullet"/>
      <w:lvlText w:val="o"/>
      <w:lvlJc w:val="left"/>
      <w:pPr>
        <w:ind w:left="5820" w:hanging="360"/>
      </w:pPr>
      <w:rPr>
        <w:rFonts w:ascii="Courier New" w:hAnsi="Courier New" w:cs="Courier New" w:hint="default"/>
      </w:rPr>
    </w:lvl>
    <w:lvl w:ilvl="8" w:tplc="04240005">
      <w:start w:val="1"/>
      <w:numFmt w:val="bullet"/>
      <w:lvlText w:val=""/>
      <w:lvlJc w:val="left"/>
      <w:pPr>
        <w:ind w:left="6540" w:hanging="360"/>
      </w:pPr>
      <w:rPr>
        <w:rFonts w:ascii="Wingdings" w:hAnsi="Wingdings" w:hint="default"/>
      </w:rPr>
    </w:lvl>
  </w:abstractNum>
  <w:abstractNum w:abstractNumId="2" w15:restartNumberingAfterBreak="0">
    <w:nsid w:val="3F0319C0"/>
    <w:multiLevelType w:val="hybridMultilevel"/>
    <w:tmpl w:val="C45461C0"/>
    <w:lvl w:ilvl="0" w:tplc="91366FE2">
      <w:start w:val="7"/>
      <w:numFmt w:val="bullet"/>
      <w:lvlText w:val="-"/>
      <w:lvlJc w:val="left"/>
      <w:pPr>
        <w:ind w:left="720" w:hanging="360"/>
      </w:pPr>
      <w:rPr>
        <w:rFonts w:ascii="Arial" w:eastAsia="Times New Roman" w:hAnsi="Arial" w:cs="Arial" w:hint="default"/>
        <w:b w:val="0"/>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4EAE2167"/>
    <w:multiLevelType w:val="multilevel"/>
    <w:tmpl w:val="A42CDCDC"/>
    <w:lvl w:ilvl="0">
      <w:start w:val="1"/>
      <w:numFmt w:val="decimal"/>
      <w:pStyle w:val="tevilnatoka"/>
      <w:lvlText w:val="%1."/>
      <w:lvlJc w:val="left"/>
      <w:pPr>
        <w:tabs>
          <w:tab w:val="num" w:pos="425"/>
        </w:tabs>
        <w:ind w:left="357" w:hanging="357"/>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5" w15:restartNumberingAfterBreak="0">
    <w:nsid w:val="7CB324DA"/>
    <w:multiLevelType w:val="hybridMultilevel"/>
    <w:tmpl w:val="E2EC2884"/>
    <w:lvl w:ilvl="0" w:tplc="40C63C7C">
      <w:start w:val="5"/>
      <w:numFmt w:val="bullet"/>
      <w:lvlText w:val="–"/>
      <w:lvlJc w:val="left"/>
      <w:pPr>
        <w:ind w:left="928" w:hanging="360"/>
      </w:pPr>
      <w:rPr>
        <w:rFonts w:ascii="Calibri" w:eastAsia="Calibri" w:hAnsi="Calibri" w:cs="Calibri" w:hint="default"/>
      </w:rPr>
    </w:lvl>
    <w:lvl w:ilvl="1" w:tplc="FFFFFFFF">
      <w:start w:val="1"/>
      <w:numFmt w:val="bullet"/>
      <w:lvlText w:val="o"/>
      <w:lvlJc w:val="left"/>
      <w:pPr>
        <w:ind w:left="1648" w:hanging="360"/>
      </w:pPr>
      <w:rPr>
        <w:rFonts w:ascii="Courier New" w:hAnsi="Courier New" w:cs="Courier New" w:hint="default"/>
      </w:rPr>
    </w:lvl>
    <w:lvl w:ilvl="2" w:tplc="FFFFFFFF">
      <w:start w:val="1"/>
      <w:numFmt w:val="bullet"/>
      <w:lvlText w:val=""/>
      <w:lvlJc w:val="left"/>
      <w:pPr>
        <w:ind w:left="2368" w:hanging="360"/>
      </w:pPr>
      <w:rPr>
        <w:rFonts w:ascii="Wingdings" w:hAnsi="Wingdings" w:hint="default"/>
      </w:rPr>
    </w:lvl>
    <w:lvl w:ilvl="3" w:tplc="FFFFFFFF">
      <w:start w:val="1"/>
      <w:numFmt w:val="bullet"/>
      <w:lvlText w:val=""/>
      <w:lvlJc w:val="left"/>
      <w:pPr>
        <w:ind w:left="3088" w:hanging="360"/>
      </w:pPr>
      <w:rPr>
        <w:rFonts w:ascii="Symbol" w:hAnsi="Symbol" w:hint="default"/>
      </w:rPr>
    </w:lvl>
    <w:lvl w:ilvl="4" w:tplc="FFFFFFFF">
      <w:start w:val="1"/>
      <w:numFmt w:val="bullet"/>
      <w:lvlText w:val="o"/>
      <w:lvlJc w:val="left"/>
      <w:pPr>
        <w:ind w:left="3808" w:hanging="360"/>
      </w:pPr>
      <w:rPr>
        <w:rFonts w:ascii="Courier New" w:hAnsi="Courier New" w:cs="Courier New" w:hint="default"/>
      </w:rPr>
    </w:lvl>
    <w:lvl w:ilvl="5" w:tplc="FFFFFFFF">
      <w:start w:val="1"/>
      <w:numFmt w:val="bullet"/>
      <w:lvlText w:val=""/>
      <w:lvlJc w:val="left"/>
      <w:pPr>
        <w:ind w:left="4528" w:hanging="360"/>
      </w:pPr>
      <w:rPr>
        <w:rFonts w:ascii="Wingdings" w:hAnsi="Wingdings" w:hint="default"/>
      </w:rPr>
    </w:lvl>
    <w:lvl w:ilvl="6" w:tplc="FFFFFFFF">
      <w:start w:val="1"/>
      <w:numFmt w:val="bullet"/>
      <w:lvlText w:val=""/>
      <w:lvlJc w:val="left"/>
      <w:pPr>
        <w:ind w:left="5248" w:hanging="360"/>
      </w:pPr>
      <w:rPr>
        <w:rFonts w:ascii="Symbol" w:hAnsi="Symbol" w:hint="default"/>
      </w:rPr>
    </w:lvl>
    <w:lvl w:ilvl="7" w:tplc="FFFFFFFF">
      <w:start w:val="1"/>
      <w:numFmt w:val="bullet"/>
      <w:lvlText w:val="o"/>
      <w:lvlJc w:val="left"/>
      <w:pPr>
        <w:ind w:left="5968" w:hanging="360"/>
      </w:pPr>
      <w:rPr>
        <w:rFonts w:ascii="Courier New" w:hAnsi="Courier New" w:cs="Courier New" w:hint="default"/>
      </w:rPr>
    </w:lvl>
    <w:lvl w:ilvl="8" w:tplc="FFFFFFFF">
      <w:start w:val="1"/>
      <w:numFmt w:val="bullet"/>
      <w:lvlText w:val=""/>
      <w:lvlJc w:val="left"/>
      <w:pPr>
        <w:ind w:left="6688" w:hanging="360"/>
      </w:pPr>
      <w:rPr>
        <w:rFonts w:ascii="Wingdings" w:hAnsi="Wingdings" w:hint="default"/>
      </w:rPr>
    </w:lvl>
  </w:abstractNum>
  <w:num w:numId="1">
    <w:abstractNumId w:val="4"/>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lvlOverride w:ilvl="1"/>
    <w:lvlOverride w:ilvl="2"/>
    <w:lvlOverride w:ilvl="3"/>
    <w:lvlOverride w:ilvl="4"/>
    <w:lvlOverride w:ilvl="5"/>
    <w:lvlOverride w:ilvl="6"/>
    <w:lvlOverride w:ilvl="7"/>
    <w:lvlOverride w:ilvl="8"/>
  </w:num>
  <w:num w:numId="6">
    <w:abstractNumId w:val="1"/>
    <w:lvlOverride w:ilvl="0"/>
    <w:lvlOverride w:ilvl="1"/>
    <w:lvlOverride w:ilvl="2"/>
    <w:lvlOverride w:ilvl="3"/>
    <w:lvlOverride w:ilvl="4"/>
    <w:lvlOverride w:ilvl="5"/>
    <w:lvlOverride w:ilvl="6"/>
    <w:lvlOverride w:ilvl="7"/>
    <w:lvlOverride w:ilvl="8"/>
  </w:num>
  <w:num w:numId="7">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86CB6"/>
    <w:rsid w:val="00366636"/>
    <w:rsid w:val="00367DE6"/>
    <w:rsid w:val="003B3E19"/>
    <w:rsid w:val="004076C6"/>
    <w:rsid w:val="00457A58"/>
    <w:rsid w:val="004964D7"/>
    <w:rsid w:val="004B7F76"/>
    <w:rsid w:val="004E1BCE"/>
    <w:rsid w:val="0057353E"/>
    <w:rsid w:val="00592079"/>
    <w:rsid w:val="00594080"/>
    <w:rsid w:val="00674FD5"/>
    <w:rsid w:val="00682FFE"/>
    <w:rsid w:val="00684751"/>
    <w:rsid w:val="006C69EC"/>
    <w:rsid w:val="007039D0"/>
    <w:rsid w:val="00767987"/>
    <w:rsid w:val="00782FD4"/>
    <w:rsid w:val="007E1230"/>
    <w:rsid w:val="00811140"/>
    <w:rsid w:val="008262A2"/>
    <w:rsid w:val="008A4F90"/>
    <w:rsid w:val="008E593F"/>
    <w:rsid w:val="00904A48"/>
    <w:rsid w:val="00980294"/>
    <w:rsid w:val="009C5392"/>
    <w:rsid w:val="009C657E"/>
    <w:rsid w:val="00A05FBB"/>
    <w:rsid w:val="00A16E6F"/>
    <w:rsid w:val="00A50E4B"/>
    <w:rsid w:val="00A56EFB"/>
    <w:rsid w:val="00A9231D"/>
    <w:rsid w:val="00AD3BB3"/>
    <w:rsid w:val="00B31063"/>
    <w:rsid w:val="00BC534D"/>
    <w:rsid w:val="00C0216A"/>
    <w:rsid w:val="00CD6077"/>
    <w:rsid w:val="00CE234E"/>
    <w:rsid w:val="00D00B65"/>
    <w:rsid w:val="00D02973"/>
    <w:rsid w:val="00DA09BE"/>
    <w:rsid w:val="00E83A83"/>
    <w:rsid w:val="00EF2D71"/>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A05FBB"/>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3,K1"/>
    <w:basedOn w:val="Navaden"/>
    <w:link w:val="OdstavekseznamaZnak"/>
    <w:uiPriority w:val="34"/>
    <w:qFormat/>
    <w:rsid w:val="00A05FBB"/>
    <w:pPr>
      <w:ind w:left="708"/>
    </w:pPr>
    <w:rPr>
      <w:rFonts w:eastAsiaTheme="minorHAnsi" w:cs="Arial"/>
      <w:sz w:val="22"/>
      <w:lang w:val="en-US"/>
    </w:rPr>
  </w:style>
  <w:style w:type="paragraph" w:customStyle="1" w:styleId="tevilnatoka111">
    <w:name w:val="Številčna točka 1.1.1"/>
    <w:basedOn w:val="Navaden"/>
    <w:qFormat/>
    <w:rsid w:val="00A05FBB"/>
    <w:pPr>
      <w:widowControl w:val="0"/>
      <w:numPr>
        <w:ilvl w:val="2"/>
        <w:numId w:val="2"/>
      </w:numPr>
      <w:overflowPunct w:val="0"/>
      <w:autoSpaceDE w:val="0"/>
      <w:autoSpaceDN w:val="0"/>
      <w:adjustRightInd w:val="0"/>
      <w:spacing w:line="240" w:lineRule="auto"/>
      <w:jc w:val="both"/>
    </w:pPr>
    <w:rPr>
      <w:sz w:val="22"/>
      <w:szCs w:val="16"/>
      <w:lang w:eastAsia="sl-SI"/>
    </w:rPr>
  </w:style>
  <w:style w:type="character" w:customStyle="1" w:styleId="tevilnatokaZnak">
    <w:name w:val="Številčna točka Znak"/>
    <w:link w:val="tevilnatoka"/>
    <w:locked/>
    <w:rsid w:val="00A05FBB"/>
    <w:rPr>
      <w:rFonts w:ascii="Arial" w:hAnsi="Arial" w:cs="Arial"/>
    </w:rPr>
  </w:style>
  <w:style w:type="paragraph" w:customStyle="1" w:styleId="tevilnatoka">
    <w:name w:val="Številčna točka"/>
    <w:basedOn w:val="Navaden"/>
    <w:link w:val="tevilnatokaZnak"/>
    <w:qFormat/>
    <w:rsid w:val="00A05FBB"/>
    <w:pPr>
      <w:numPr>
        <w:numId w:val="2"/>
      </w:numPr>
      <w:spacing w:line="240" w:lineRule="auto"/>
      <w:jc w:val="both"/>
    </w:pPr>
    <w:rPr>
      <w:rFonts w:eastAsiaTheme="minorHAnsi" w:cs="Arial"/>
      <w:sz w:val="22"/>
      <w:szCs w:val="22"/>
    </w:rPr>
  </w:style>
  <w:style w:type="paragraph" w:customStyle="1" w:styleId="tevilnatoka11Nova">
    <w:name w:val="Številčna točka 1.1 Nova"/>
    <w:basedOn w:val="tevilnatoka"/>
    <w:qFormat/>
    <w:rsid w:val="00A05FBB"/>
    <w:pPr>
      <w:numPr>
        <w:ilvl w:val="1"/>
      </w:numPr>
      <w:tabs>
        <w:tab w:val="clear" w:pos="425"/>
        <w:tab w:val="num" w:pos="360"/>
      </w:tabs>
      <w:ind w:left="1440" w:hanging="360"/>
    </w:pPr>
  </w:style>
  <w:style w:type="character" w:customStyle="1" w:styleId="lenZnak">
    <w:name w:val="Člen Znak"/>
    <w:link w:val="len"/>
    <w:locked/>
    <w:rsid w:val="00A05FBB"/>
    <w:rPr>
      <w:rFonts w:ascii="Arial" w:hAnsi="Arial" w:cs="Arial"/>
      <w:sz w:val="24"/>
    </w:rPr>
  </w:style>
  <w:style w:type="paragraph" w:customStyle="1" w:styleId="len">
    <w:name w:val="Člen"/>
    <w:basedOn w:val="Navaden"/>
    <w:next w:val="Navaden"/>
    <w:link w:val="lenZnak"/>
    <w:qFormat/>
    <w:rsid w:val="00A05FBB"/>
    <w:pPr>
      <w:numPr>
        <w:numId w:val="3"/>
      </w:numPr>
      <w:spacing w:line="240" w:lineRule="auto"/>
      <w:ind w:left="0" w:firstLine="0"/>
      <w:jc w:val="center"/>
    </w:pPr>
    <w:rPr>
      <w:rFonts w:eastAsiaTheme="minorHAnsi" w:cs="Arial"/>
      <w:sz w:val="24"/>
      <w:szCs w:val="22"/>
    </w:rPr>
  </w:style>
  <w:style w:type="character" w:customStyle="1" w:styleId="OdstavekZnak">
    <w:name w:val="Odstavek Znak"/>
    <w:link w:val="Odstavek"/>
    <w:locked/>
    <w:rsid w:val="00A05FBB"/>
    <w:rPr>
      <w:rFonts w:ascii="Arial" w:hAnsi="Arial" w:cs="Arial"/>
      <w:lang w:val="x-none" w:eastAsia="x-none"/>
    </w:rPr>
  </w:style>
  <w:style w:type="paragraph" w:customStyle="1" w:styleId="Odstavek">
    <w:name w:val="Odstavek"/>
    <w:basedOn w:val="Navaden"/>
    <w:link w:val="OdstavekZnak"/>
    <w:qFormat/>
    <w:rsid w:val="00A05FBB"/>
    <w:pPr>
      <w:overflowPunct w:val="0"/>
      <w:autoSpaceDE w:val="0"/>
      <w:autoSpaceDN w:val="0"/>
      <w:adjustRightInd w:val="0"/>
      <w:spacing w:before="240" w:line="240" w:lineRule="auto"/>
      <w:ind w:firstLine="1021"/>
      <w:jc w:val="both"/>
    </w:pPr>
    <w:rPr>
      <w:rFonts w:eastAsiaTheme="minorHAnsi" w:cs="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1307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4233</Words>
  <Characters>24134</Characters>
  <Application>Microsoft Office Word</Application>
  <DocSecurity>0</DocSecurity>
  <Lines>201</Lines>
  <Paragraphs>56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28311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2025-10-01T09:26:00Z</dcterms:created>
  <dcterms:modified xsi:type="dcterms:W3CDTF">2025-10-01T09:26:00Z</dcterms:modified>
</cp:coreProperties>
</file>