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196696">
      <w:pPr>
        <w:pStyle w:val="datumtevilka"/>
      </w:pPr>
      <w:bookmarkStart w:id="0" w:name="_Hlk61014710"/>
      <w:bookmarkEnd w:id="0"/>
      <w:r w:rsidRPr="002760DC">
        <w:rPr>
          <w:rFonts w:cs="Arial"/>
          <w:color w:val="000000"/>
        </w:rPr>
        <w:t>EVA:</w:t>
      </w:r>
      <w:r w:rsidRPr="002760DC">
        <w:rPr>
          <w:rFonts w:cs="Arial"/>
          <w:color w:val="000000"/>
        </w:rPr>
        <w:tab/>
      </w:r>
      <w:r w:rsidR="00120243">
        <w:rPr>
          <w:rFonts w:cs="Arial"/>
          <w:color w:val="000000"/>
        </w:rPr>
        <w:t>2025-2030-0010</w:t>
      </w:r>
    </w:p>
    <w:p w:rsidR="009C657E" w:rsidRPr="002760DC" w:rsidRDefault="009C657E" w:rsidP="00196696">
      <w:pPr>
        <w:pStyle w:val="datumtevilka"/>
      </w:pPr>
      <w:r w:rsidRPr="002760DC">
        <w:t xml:space="preserve">Številka: </w:t>
      </w:r>
      <w:r w:rsidRPr="002760DC">
        <w:tab/>
      </w:r>
      <w:r w:rsidR="00120243">
        <w:rPr>
          <w:rFonts w:cs="Arial"/>
          <w:color w:val="000000"/>
        </w:rPr>
        <w:t>00704-87/2025/13</w:t>
      </w:r>
    </w:p>
    <w:p w:rsidR="009C657E" w:rsidRPr="002760DC" w:rsidRDefault="009C657E" w:rsidP="00196696">
      <w:pPr>
        <w:pStyle w:val="datumtevilka"/>
      </w:pPr>
      <w:r>
        <w:t>Datum:</w:t>
      </w:r>
      <w:r w:rsidRPr="002760DC">
        <w:tab/>
      </w:r>
      <w:r w:rsidR="00120243">
        <w:rPr>
          <w:rFonts w:cs="Arial"/>
          <w:color w:val="000000"/>
        </w:rPr>
        <w:t>1. 10. 2025</w:t>
      </w:r>
      <w:r w:rsidRPr="002760DC">
        <w:t xml:space="preserve"> </w:t>
      </w:r>
    </w:p>
    <w:p w:rsidR="009C657E" w:rsidRPr="002760DC" w:rsidRDefault="009C657E" w:rsidP="00196696"/>
    <w:p w:rsidR="009C657E" w:rsidRPr="00533232" w:rsidRDefault="009C657E" w:rsidP="00533232">
      <w:pPr>
        <w:autoSpaceDE w:val="0"/>
        <w:autoSpaceDN w:val="0"/>
        <w:adjustRightInd w:val="0"/>
        <w:jc w:val="center"/>
        <w:rPr>
          <w:rFonts w:cs="Arial"/>
          <w:b/>
          <w:color w:val="000000"/>
          <w:szCs w:val="20"/>
        </w:rPr>
      </w:pPr>
    </w:p>
    <w:p w:rsidR="00843487" w:rsidRPr="00533232" w:rsidRDefault="00843487" w:rsidP="00533232">
      <w:pPr>
        <w:tabs>
          <w:tab w:val="left" w:pos="7920"/>
        </w:tabs>
        <w:autoSpaceDE w:val="0"/>
        <w:autoSpaceDN w:val="0"/>
        <w:adjustRightInd w:val="0"/>
        <w:jc w:val="center"/>
        <w:rPr>
          <w:rFonts w:cs="Arial"/>
          <w:b/>
          <w:color w:val="000000"/>
          <w:szCs w:val="20"/>
        </w:rPr>
      </w:pPr>
      <w:r w:rsidRPr="00533232">
        <w:rPr>
          <w:rFonts w:cs="Arial"/>
          <w:b/>
          <w:color w:val="000000"/>
          <w:szCs w:val="20"/>
        </w:rPr>
        <w:t xml:space="preserve">Predlog amandmajev k Predlogu zakona o spremembah in dopolnitvah Zakona o državnem tožilstvu </w:t>
      </w:r>
      <w:r w:rsidRPr="00533232">
        <w:rPr>
          <w:rFonts w:cs="Arial"/>
          <w:b/>
          <w:szCs w:val="20"/>
          <w:lang w:eastAsia="sl-SI"/>
        </w:rPr>
        <w:t>(ZDT-1F)</w:t>
      </w:r>
    </w:p>
    <w:p w:rsidR="009C657E" w:rsidRDefault="009C657E" w:rsidP="00196696">
      <w:pPr>
        <w:tabs>
          <w:tab w:val="left" w:pos="5570"/>
        </w:tabs>
        <w:autoSpaceDE w:val="0"/>
        <w:autoSpaceDN w:val="0"/>
        <w:adjustRightInd w:val="0"/>
        <w:rPr>
          <w:rFonts w:cs="Arial"/>
          <w:color w:val="000000"/>
          <w:szCs w:val="20"/>
        </w:rPr>
      </w:pPr>
    </w:p>
    <w:p w:rsidR="00843487" w:rsidRDefault="00843487" w:rsidP="00196696">
      <w:pPr>
        <w:tabs>
          <w:tab w:val="left" w:pos="5570"/>
        </w:tabs>
        <w:autoSpaceDE w:val="0"/>
        <w:autoSpaceDN w:val="0"/>
        <w:adjustRightInd w:val="0"/>
        <w:rPr>
          <w:rFonts w:cs="Arial"/>
          <w:color w:val="000000"/>
          <w:szCs w:val="20"/>
        </w:rPr>
      </w:pPr>
    </w:p>
    <w:p w:rsidR="00843487" w:rsidRPr="002760DC" w:rsidRDefault="00843487" w:rsidP="00196696">
      <w:pPr>
        <w:tabs>
          <w:tab w:val="left" w:pos="5570"/>
        </w:tabs>
        <w:autoSpaceDE w:val="0"/>
        <w:autoSpaceDN w:val="0"/>
        <w:adjustRightInd w:val="0"/>
        <w:rPr>
          <w:rFonts w:cs="Arial"/>
          <w:color w:val="000000"/>
          <w:szCs w:val="20"/>
        </w:rPr>
      </w:pPr>
    </w:p>
    <w:p w:rsidR="00533232" w:rsidRDefault="00533232" w:rsidP="00533232">
      <w:pPr>
        <w:jc w:val="both"/>
        <w:rPr>
          <w:rFonts w:cs="Arial"/>
          <w:b/>
          <w:bCs/>
          <w:szCs w:val="20"/>
        </w:rPr>
      </w:pPr>
      <w:r>
        <w:rPr>
          <w:rFonts w:cs="Arial"/>
          <w:b/>
          <w:bCs/>
          <w:szCs w:val="20"/>
        </w:rPr>
        <w:t>K 16. členu:</w:t>
      </w:r>
    </w:p>
    <w:p w:rsidR="00533232" w:rsidRDefault="00533232" w:rsidP="00533232">
      <w:pPr>
        <w:rPr>
          <w:rFonts w:cs="Arial"/>
          <w:szCs w:val="22"/>
        </w:rPr>
      </w:pPr>
    </w:p>
    <w:p w:rsidR="00533232" w:rsidRDefault="00533232" w:rsidP="00533232">
      <w:pPr>
        <w:rPr>
          <w:rFonts w:cs="Arial"/>
          <w:szCs w:val="20"/>
        </w:rPr>
      </w:pPr>
      <w:r>
        <w:rPr>
          <w:rFonts w:cs="Arial"/>
          <w:szCs w:val="20"/>
        </w:rPr>
        <w:t>V 16. členu se prva alineja drugega odstavka 97. člena spremeni tako, da se glasi:</w:t>
      </w:r>
    </w:p>
    <w:p w:rsidR="00533232" w:rsidRDefault="00533232" w:rsidP="00533232">
      <w:pPr>
        <w:pStyle w:val="zamik"/>
        <w:spacing w:line="260" w:lineRule="exact"/>
        <w:ind w:firstLine="0"/>
        <w:jc w:val="both"/>
        <w:rPr>
          <w:rFonts w:ascii="Arial" w:eastAsia="Arial" w:hAnsi="Arial" w:cs="Arial"/>
          <w:sz w:val="20"/>
          <w:szCs w:val="20"/>
          <w:lang w:val="sl-SI"/>
        </w:rPr>
      </w:pPr>
      <w:r>
        <w:rPr>
          <w:rFonts w:ascii="Arial" w:eastAsia="Arial" w:hAnsi="Arial" w:cs="Arial"/>
          <w:sz w:val="20"/>
          <w:szCs w:val="20"/>
          <w:lang w:val="sl-SI"/>
        </w:rPr>
        <w:t>»− štirje člani, ki jih izvolijo državni tožilci izmed državnih tožilcev, ki niso na vodstvenih položajih, in sicer po enega izmed tistih, ki imajo naziv vrhovnega državnega tožilca in višjega državnega tožilca, ter dva izmed tistih, ki imajo naziv okrožnega državnega tožilca;«.</w:t>
      </w:r>
    </w:p>
    <w:p w:rsidR="00533232" w:rsidRDefault="00533232" w:rsidP="00533232">
      <w:pPr>
        <w:rPr>
          <w:rFonts w:cs="Arial"/>
          <w:szCs w:val="20"/>
        </w:rPr>
      </w:pPr>
    </w:p>
    <w:p w:rsidR="00533232" w:rsidRDefault="00533232" w:rsidP="00533232">
      <w:pPr>
        <w:jc w:val="both"/>
        <w:rPr>
          <w:rFonts w:cs="Arial"/>
          <w:szCs w:val="20"/>
          <w:u w:val="single"/>
        </w:rPr>
      </w:pPr>
      <w:r>
        <w:rPr>
          <w:rFonts w:cs="Arial"/>
          <w:szCs w:val="20"/>
          <w:u w:val="single"/>
        </w:rPr>
        <w:t>Obrazložitev amandmaja k 16. členu:</w:t>
      </w:r>
    </w:p>
    <w:p w:rsidR="00533232" w:rsidRDefault="00533232" w:rsidP="00533232">
      <w:pPr>
        <w:rPr>
          <w:rFonts w:cs="Arial"/>
          <w:szCs w:val="20"/>
        </w:rPr>
      </w:pPr>
    </w:p>
    <w:p w:rsidR="00533232" w:rsidRDefault="00533232" w:rsidP="00533232">
      <w:pPr>
        <w:jc w:val="both"/>
        <w:rPr>
          <w:rFonts w:cs="Arial"/>
          <w:szCs w:val="20"/>
        </w:rPr>
      </w:pPr>
      <w:r>
        <w:rPr>
          <w:rFonts w:cs="Arial"/>
          <w:szCs w:val="20"/>
        </w:rPr>
        <w:t xml:space="preserve">Z amandmajem se v prvi alineji drugega odstavka 97. člena zakona med besednima zvezama »vrhovnega državnega tožilca« ter »višjega državnega tožilca« beseda »ali« nadomesti z besedo »in«. S predlagano spremembo je besedilo določbe ustreznejše in bolj jasno. </w:t>
      </w:r>
    </w:p>
    <w:p w:rsidR="00533232" w:rsidRDefault="00533232" w:rsidP="00533232">
      <w:pPr>
        <w:jc w:val="both"/>
        <w:rPr>
          <w:rFonts w:cs="Arial"/>
          <w:szCs w:val="20"/>
        </w:rPr>
      </w:pPr>
    </w:p>
    <w:p w:rsidR="00533232" w:rsidRDefault="00533232" w:rsidP="00533232">
      <w:pPr>
        <w:jc w:val="both"/>
        <w:rPr>
          <w:rFonts w:cs="Arial"/>
          <w:szCs w:val="20"/>
        </w:rPr>
      </w:pPr>
    </w:p>
    <w:p w:rsidR="00533232" w:rsidRDefault="00533232" w:rsidP="00533232">
      <w:pPr>
        <w:rPr>
          <w:rFonts w:cs="Arial"/>
          <w:b/>
          <w:bCs/>
          <w:szCs w:val="20"/>
        </w:rPr>
      </w:pPr>
      <w:r>
        <w:rPr>
          <w:rFonts w:cs="Arial"/>
          <w:b/>
          <w:bCs/>
          <w:szCs w:val="20"/>
        </w:rPr>
        <w:t>K 22. členu:</w:t>
      </w:r>
    </w:p>
    <w:p w:rsidR="00533232" w:rsidRDefault="00533232" w:rsidP="00533232">
      <w:pPr>
        <w:rPr>
          <w:rFonts w:cs="Arial"/>
          <w:b/>
          <w:bCs/>
          <w:szCs w:val="20"/>
        </w:rPr>
      </w:pPr>
    </w:p>
    <w:p w:rsidR="00533232" w:rsidRDefault="00533232" w:rsidP="00533232">
      <w:pPr>
        <w:jc w:val="both"/>
        <w:rPr>
          <w:rFonts w:cs="Arial"/>
          <w:szCs w:val="20"/>
        </w:rPr>
      </w:pPr>
      <w:r>
        <w:rPr>
          <w:rFonts w:cs="Arial"/>
          <w:szCs w:val="20"/>
        </w:rPr>
        <w:t xml:space="preserve">V 22. členu se prvi odstavek spremeni tako, da se glasi: </w:t>
      </w:r>
    </w:p>
    <w:p w:rsidR="00533232" w:rsidRDefault="00533232" w:rsidP="00533232">
      <w:pPr>
        <w:jc w:val="both"/>
        <w:rPr>
          <w:rFonts w:cs="Arial"/>
          <w:szCs w:val="20"/>
        </w:rPr>
      </w:pPr>
    </w:p>
    <w:p w:rsidR="00533232" w:rsidRDefault="00533232" w:rsidP="00533232">
      <w:pPr>
        <w:jc w:val="both"/>
        <w:rPr>
          <w:rFonts w:cs="Arial"/>
          <w:szCs w:val="20"/>
        </w:rPr>
      </w:pPr>
      <w:r>
        <w:rPr>
          <w:rFonts w:cs="Arial"/>
          <w:szCs w:val="20"/>
        </w:rPr>
        <w:t xml:space="preserve">»V 196. členu se prvi in drugi odstavek spremenita tako, da se glasita: </w:t>
      </w:r>
    </w:p>
    <w:p w:rsidR="00533232" w:rsidRDefault="00533232" w:rsidP="00533232">
      <w:pPr>
        <w:jc w:val="both"/>
        <w:rPr>
          <w:rFonts w:cs="Arial"/>
          <w:szCs w:val="20"/>
        </w:rPr>
      </w:pPr>
    </w:p>
    <w:p w:rsidR="00533232" w:rsidRDefault="00533232" w:rsidP="00533232">
      <w:pPr>
        <w:jc w:val="both"/>
        <w:rPr>
          <w:rFonts w:cs="Arial"/>
          <w:szCs w:val="20"/>
        </w:rPr>
      </w:pPr>
      <w:r>
        <w:rPr>
          <w:rFonts w:cs="Arial"/>
          <w:szCs w:val="20"/>
        </w:rPr>
        <w:t>"(1) Državnemu tožilcu, ki je imenovan na SDT, pripada:</w:t>
      </w:r>
    </w:p>
    <w:p w:rsidR="00533232" w:rsidRDefault="00533232" w:rsidP="00533232">
      <w:pPr>
        <w:jc w:val="both"/>
        <w:rPr>
          <w:rFonts w:cs="Arial"/>
          <w:szCs w:val="20"/>
        </w:rPr>
      </w:pPr>
      <w:r>
        <w:rPr>
          <w:rFonts w:cs="Arial"/>
          <w:szCs w:val="20"/>
        </w:rPr>
        <w:t>− okrožnemu državnemu tožilcu plača vrhovnega državnega tožilca in</w:t>
      </w:r>
    </w:p>
    <w:p w:rsidR="00533232" w:rsidRDefault="00533232" w:rsidP="00533232">
      <w:pPr>
        <w:jc w:val="both"/>
        <w:rPr>
          <w:rFonts w:cs="Arial"/>
          <w:szCs w:val="20"/>
        </w:rPr>
      </w:pPr>
      <w:r>
        <w:rPr>
          <w:rFonts w:cs="Arial"/>
          <w:szCs w:val="20"/>
        </w:rPr>
        <w:t>− okrožnemu državnemu tožilcu svetniku, višjemu državnemu tožilcu, višjemu državnemu tožilcu svetniku ter vrhovnemu državnemu tožilcu plača vrhovnega državnega tožilca svetnika.</w:t>
      </w:r>
    </w:p>
    <w:p w:rsidR="00533232" w:rsidRDefault="00533232" w:rsidP="00533232">
      <w:pPr>
        <w:jc w:val="both"/>
        <w:rPr>
          <w:rFonts w:cs="Arial"/>
          <w:szCs w:val="20"/>
        </w:rPr>
      </w:pPr>
    </w:p>
    <w:p w:rsidR="00533232" w:rsidRDefault="00533232" w:rsidP="00533232">
      <w:pPr>
        <w:jc w:val="both"/>
        <w:rPr>
          <w:rFonts w:cs="Arial"/>
          <w:szCs w:val="20"/>
        </w:rPr>
      </w:pPr>
      <w:r>
        <w:rPr>
          <w:rFonts w:cs="Arial"/>
          <w:szCs w:val="20"/>
        </w:rPr>
        <w:t>(2) Dodeljenemu državnemu tožilcu pripada za čas, v katerem rešuje zadeve iz pristojnosti SDT:</w:t>
      </w:r>
    </w:p>
    <w:p w:rsidR="00533232" w:rsidRDefault="00533232" w:rsidP="00533232">
      <w:pPr>
        <w:jc w:val="both"/>
        <w:rPr>
          <w:rFonts w:cs="Arial"/>
          <w:szCs w:val="20"/>
        </w:rPr>
      </w:pPr>
      <w:r>
        <w:rPr>
          <w:rFonts w:cs="Arial"/>
          <w:szCs w:val="20"/>
        </w:rPr>
        <w:t>− okrožnemu državnemu tožilcu plača vrhovnega državnega tožilca in</w:t>
      </w:r>
    </w:p>
    <w:p w:rsidR="00533232" w:rsidRDefault="00533232" w:rsidP="00533232">
      <w:pPr>
        <w:jc w:val="both"/>
        <w:rPr>
          <w:rFonts w:cs="Arial"/>
          <w:szCs w:val="20"/>
        </w:rPr>
      </w:pPr>
      <w:r>
        <w:rPr>
          <w:rFonts w:cs="Arial"/>
          <w:szCs w:val="20"/>
        </w:rPr>
        <w:t>− okrožnemu državnemu tožilcu svetniku, višjemu državnemu tožilcu, višjemu državnemu tožilcu svetniku ter vrhovnemu državnemu tožilcu plača vrhovnega državnega tožilca svetnika.".«.</w:t>
      </w:r>
    </w:p>
    <w:p w:rsidR="00533232" w:rsidRDefault="00533232" w:rsidP="00533232">
      <w:pPr>
        <w:jc w:val="both"/>
        <w:rPr>
          <w:rFonts w:cs="Arial"/>
          <w:szCs w:val="20"/>
        </w:rPr>
      </w:pPr>
    </w:p>
    <w:p w:rsidR="00533232" w:rsidRDefault="00533232" w:rsidP="00533232">
      <w:pPr>
        <w:jc w:val="both"/>
        <w:rPr>
          <w:rFonts w:cs="Arial"/>
          <w:szCs w:val="20"/>
        </w:rPr>
      </w:pPr>
      <w:r>
        <w:rPr>
          <w:rFonts w:cs="Arial"/>
          <w:szCs w:val="20"/>
        </w:rPr>
        <w:t>Drugi odstavek se črta.</w:t>
      </w:r>
    </w:p>
    <w:p w:rsidR="00533232" w:rsidRDefault="00533232" w:rsidP="00533232">
      <w:pPr>
        <w:jc w:val="both"/>
        <w:rPr>
          <w:rFonts w:cs="Arial"/>
          <w:szCs w:val="20"/>
        </w:rPr>
      </w:pPr>
    </w:p>
    <w:p w:rsidR="00533232" w:rsidRDefault="00533232" w:rsidP="00533232">
      <w:pPr>
        <w:jc w:val="both"/>
        <w:rPr>
          <w:rFonts w:cs="Arial"/>
          <w:szCs w:val="20"/>
          <w:u w:val="single"/>
        </w:rPr>
      </w:pPr>
      <w:r>
        <w:rPr>
          <w:rFonts w:cs="Arial"/>
          <w:szCs w:val="20"/>
          <w:u w:val="single"/>
        </w:rPr>
        <w:t>Obrazložitev amandmaja k 22. členu:</w:t>
      </w:r>
    </w:p>
    <w:p w:rsidR="00533232" w:rsidRDefault="00533232" w:rsidP="00533232">
      <w:pPr>
        <w:jc w:val="both"/>
        <w:rPr>
          <w:rFonts w:cs="Arial"/>
          <w:szCs w:val="20"/>
        </w:rPr>
      </w:pPr>
    </w:p>
    <w:p w:rsidR="00533232" w:rsidRDefault="00533232" w:rsidP="00533232">
      <w:pPr>
        <w:jc w:val="both"/>
        <w:rPr>
          <w:rFonts w:cs="Arial"/>
          <w:szCs w:val="20"/>
        </w:rPr>
      </w:pPr>
      <w:r>
        <w:rPr>
          <w:rFonts w:cs="Arial"/>
          <w:szCs w:val="20"/>
        </w:rPr>
        <w:t xml:space="preserve">V veljavni ureditvi ni določeno, kakšna plača pripada višjemu državnemu tožilcu svetniku, imenovanemu ali dodeljenemu na Specializirano državno tožilstvo Republike Slovenije (SDT). S predlaganim amandmajem se določa, da mu pripada plača vrhovnega državnega tožilca svetnika, kar pomeni enako plačo, kot po veljavni ureditvi pripada okrožnemu državnemu tožilcu svetniku, višjemu državnemu tožilcu in vrhovnemu državnemu tožilcu, imenovanemu oziroma dodeljenemu </w:t>
      </w:r>
      <w:r>
        <w:rPr>
          <w:rFonts w:cs="Arial"/>
          <w:szCs w:val="20"/>
        </w:rPr>
        <w:lastRenderedPageBreak/>
        <w:t>na SDT (dodeljenemu državnemu tožilcu ta plača pripada le za čas, v katerem rešuje zadeve iz pristojnosti SDT). S tem se odpravlja pravna praznina.</w:t>
      </w:r>
    </w:p>
    <w:p w:rsidR="00533232" w:rsidRDefault="00533232" w:rsidP="00533232">
      <w:pPr>
        <w:jc w:val="both"/>
        <w:rPr>
          <w:rFonts w:cs="Arial"/>
          <w:szCs w:val="20"/>
        </w:rPr>
      </w:pPr>
    </w:p>
    <w:p w:rsidR="00533232" w:rsidRDefault="00533232" w:rsidP="00533232">
      <w:pPr>
        <w:jc w:val="both"/>
        <w:rPr>
          <w:rFonts w:cs="Arial"/>
          <w:szCs w:val="20"/>
        </w:rPr>
      </w:pPr>
      <w:r>
        <w:rPr>
          <w:rFonts w:cs="Arial"/>
          <w:szCs w:val="20"/>
        </w:rPr>
        <w:t xml:space="preserve">Na enak način se s </w:t>
      </w:r>
      <w:r>
        <w:rPr>
          <w:rFonts w:cs="Arial"/>
          <w:szCs w:val="20"/>
          <w:lang w:eastAsia="sl-SI"/>
        </w:rPr>
        <w:t>Predlogom Zakona o sodnikih (</w:t>
      </w:r>
      <w:proofErr w:type="spellStart"/>
      <w:r>
        <w:rPr>
          <w:rFonts w:cs="Arial"/>
          <w:szCs w:val="20"/>
          <w:lang w:eastAsia="sl-SI"/>
        </w:rPr>
        <w:t>ZSod</w:t>
      </w:r>
      <w:proofErr w:type="spellEnd"/>
      <w:r>
        <w:rPr>
          <w:rFonts w:cs="Arial"/>
          <w:szCs w:val="20"/>
          <w:lang w:eastAsia="sl-SI"/>
        </w:rPr>
        <w:t>), EPA 2134-IX,</w:t>
      </w:r>
      <w:r>
        <w:rPr>
          <w:rFonts w:cs="Arial"/>
          <w:szCs w:val="20"/>
        </w:rPr>
        <w:t xml:space="preserve"> določa plača višjega sodnika svetnika, razporejenega ali dodeljenega za sojenje v specializirani kazenski oddelek, ki ga ureja zakon, ki ureja sodišča, za čas, v katerem rešuje zadeve iz pristojnosti tega oddelka. Tudi navedeni sodnik bo za ta čas upravičen do osnovne plače vrhovnega sodnika svetnika.</w:t>
      </w:r>
    </w:p>
    <w:p w:rsidR="00533232" w:rsidRDefault="00533232" w:rsidP="00533232">
      <w:pPr>
        <w:jc w:val="both"/>
        <w:rPr>
          <w:rFonts w:cs="Arial"/>
          <w:szCs w:val="20"/>
        </w:rPr>
      </w:pPr>
    </w:p>
    <w:p w:rsidR="00533232" w:rsidRDefault="00533232" w:rsidP="00533232">
      <w:pPr>
        <w:jc w:val="both"/>
        <w:rPr>
          <w:rFonts w:cs="Arial"/>
          <w:szCs w:val="20"/>
        </w:rPr>
      </w:pPr>
    </w:p>
    <w:p w:rsidR="00533232" w:rsidRDefault="00533232" w:rsidP="00533232">
      <w:pPr>
        <w:rPr>
          <w:rFonts w:cs="Arial"/>
          <w:b/>
          <w:bCs/>
          <w:szCs w:val="20"/>
        </w:rPr>
      </w:pPr>
      <w:r>
        <w:rPr>
          <w:rFonts w:cs="Arial"/>
          <w:b/>
          <w:bCs/>
          <w:szCs w:val="20"/>
        </w:rPr>
        <w:t>K 24. členu:</w:t>
      </w:r>
    </w:p>
    <w:p w:rsidR="00533232" w:rsidRDefault="00533232" w:rsidP="00533232">
      <w:pPr>
        <w:rPr>
          <w:rFonts w:cs="Arial"/>
          <w:b/>
          <w:bCs/>
          <w:szCs w:val="20"/>
        </w:rPr>
      </w:pPr>
    </w:p>
    <w:p w:rsidR="00533232" w:rsidRDefault="00533232" w:rsidP="00533232">
      <w:pPr>
        <w:jc w:val="both"/>
        <w:rPr>
          <w:rFonts w:cs="Arial"/>
          <w:szCs w:val="20"/>
        </w:rPr>
      </w:pPr>
      <w:r>
        <w:rPr>
          <w:rFonts w:cs="Arial"/>
          <w:szCs w:val="20"/>
        </w:rPr>
        <w:t>V 24. členu se v prvem odstavku besedilo »1. januarju 2027« nadomesti z besedilom »začetku uporabe tega zakona«.</w:t>
      </w:r>
    </w:p>
    <w:p w:rsidR="00533232" w:rsidRDefault="00533232" w:rsidP="00533232">
      <w:pPr>
        <w:jc w:val="both"/>
        <w:rPr>
          <w:rFonts w:cs="Arial"/>
          <w:szCs w:val="20"/>
        </w:rPr>
      </w:pPr>
    </w:p>
    <w:p w:rsidR="00533232" w:rsidRDefault="00533232" w:rsidP="00533232">
      <w:pPr>
        <w:jc w:val="both"/>
        <w:rPr>
          <w:rFonts w:cs="Arial"/>
          <w:szCs w:val="20"/>
        </w:rPr>
      </w:pPr>
      <w:r>
        <w:rPr>
          <w:rFonts w:cs="Arial"/>
          <w:szCs w:val="20"/>
        </w:rPr>
        <w:t>V drugem in tretjem odstavku se besedilo »1. januarja 2027« nadomesti z besedilom »začetka uporabe tega zakona«.</w:t>
      </w:r>
    </w:p>
    <w:p w:rsidR="00533232" w:rsidRDefault="00533232" w:rsidP="00533232">
      <w:pPr>
        <w:rPr>
          <w:rFonts w:cs="Arial"/>
          <w:szCs w:val="20"/>
        </w:rPr>
      </w:pPr>
    </w:p>
    <w:p w:rsidR="00533232" w:rsidRDefault="00533232" w:rsidP="00533232">
      <w:pPr>
        <w:rPr>
          <w:rFonts w:cs="Arial"/>
          <w:szCs w:val="20"/>
          <w:u w:val="single"/>
        </w:rPr>
      </w:pPr>
      <w:r>
        <w:rPr>
          <w:rFonts w:cs="Arial"/>
          <w:szCs w:val="20"/>
          <w:u w:val="single"/>
        </w:rPr>
        <w:t>Obrazložitev amandmaja k 24. členu:</w:t>
      </w:r>
    </w:p>
    <w:p w:rsidR="00533232" w:rsidRDefault="00533232" w:rsidP="00533232">
      <w:pPr>
        <w:rPr>
          <w:rFonts w:cs="Arial"/>
          <w:b/>
          <w:bCs/>
          <w:i/>
          <w:iCs/>
          <w:szCs w:val="20"/>
        </w:rPr>
      </w:pPr>
    </w:p>
    <w:p w:rsidR="00533232" w:rsidRDefault="00533232" w:rsidP="00533232">
      <w:pPr>
        <w:jc w:val="both"/>
        <w:rPr>
          <w:rFonts w:cs="Arial"/>
          <w:szCs w:val="20"/>
        </w:rPr>
      </w:pPr>
      <w:r>
        <w:rPr>
          <w:rFonts w:cs="Arial"/>
          <w:szCs w:val="20"/>
        </w:rPr>
        <w:t>Zakonodajno-pravna služba je v mnenju o Predlogu zakona o sodnikih (</w:t>
      </w:r>
      <w:proofErr w:type="spellStart"/>
      <w:r>
        <w:rPr>
          <w:rFonts w:cs="Arial"/>
          <w:szCs w:val="20"/>
        </w:rPr>
        <w:t>ZSod</w:t>
      </w:r>
      <w:proofErr w:type="spellEnd"/>
      <w:r>
        <w:rPr>
          <w:rFonts w:cs="Arial"/>
          <w:szCs w:val="20"/>
        </w:rPr>
        <w:t>), EPA 2134-IX, ki je vsebinsko povezan z obravnavanim Predlogom zakona o spremembah in dopolnitvah Zakona o državnem tožilstvu (ZDT-1F), EPA 2135-IX, predlagala, da se presečni datum glede začetka uporabe predloga zakona v poglavju prehodnih določb poenoti in zapiše opisno. Amandma sledi navedenemu predlogu.</w:t>
      </w:r>
    </w:p>
    <w:p w:rsidR="00533232" w:rsidRDefault="00533232" w:rsidP="00533232">
      <w:pPr>
        <w:jc w:val="both"/>
        <w:rPr>
          <w:rFonts w:cs="Arial"/>
          <w:szCs w:val="20"/>
        </w:rPr>
      </w:pPr>
    </w:p>
    <w:p w:rsidR="00533232" w:rsidRDefault="00533232" w:rsidP="00533232">
      <w:pPr>
        <w:jc w:val="both"/>
        <w:rPr>
          <w:rFonts w:cs="Arial"/>
          <w:szCs w:val="20"/>
        </w:rPr>
      </w:pPr>
    </w:p>
    <w:p w:rsidR="00533232" w:rsidRDefault="00533232" w:rsidP="00533232">
      <w:pPr>
        <w:jc w:val="both"/>
        <w:rPr>
          <w:rFonts w:cs="Arial"/>
          <w:b/>
          <w:bCs/>
          <w:szCs w:val="20"/>
        </w:rPr>
      </w:pPr>
      <w:r>
        <w:rPr>
          <w:rFonts w:cs="Arial"/>
          <w:b/>
          <w:bCs/>
          <w:szCs w:val="20"/>
        </w:rPr>
        <w:t>K 28. členu:</w:t>
      </w:r>
    </w:p>
    <w:p w:rsidR="00533232" w:rsidRDefault="00533232" w:rsidP="00533232">
      <w:pPr>
        <w:jc w:val="both"/>
        <w:rPr>
          <w:rFonts w:cs="Arial"/>
          <w:szCs w:val="20"/>
        </w:rPr>
      </w:pPr>
    </w:p>
    <w:p w:rsidR="00533232" w:rsidRDefault="00533232" w:rsidP="00533232">
      <w:pPr>
        <w:jc w:val="both"/>
        <w:rPr>
          <w:rFonts w:cs="Arial"/>
          <w:szCs w:val="20"/>
        </w:rPr>
      </w:pPr>
      <w:r>
        <w:rPr>
          <w:rFonts w:cs="Arial"/>
          <w:szCs w:val="20"/>
        </w:rPr>
        <w:t>V 28. členu se v prvem odstavku besedilo »1. januarja 2027« nadomesti z besedilom »začetka uporabe tega zakona«.</w:t>
      </w:r>
    </w:p>
    <w:p w:rsidR="00533232" w:rsidRDefault="00533232" w:rsidP="00533232">
      <w:pPr>
        <w:jc w:val="both"/>
        <w:rPr>
          <w:rFonts w:cs="Arial"/>
          <w:szCs w:val="20"/>
        </w:rPr>
      </w:pPr>
    </w:p>
    <w:p w:rsidR="00533232" w:rsidRDefault="00533232" w:rsidP="00533232">
      <w:pPr>
        <w:jc w:val="both"/>
        <w:rPr>
          <w:rFonts w:cs="Arial"/>
          <w:szCs w:val="20"/>
        </w:rPr>
      </w:pPr>
      <w:r>
        <w:rPr>
          <w:rFonts w:cs="Arial"/>
          <w:szCs w:val="20"/>
        </w:rPr>
        <w:t>V drugem odstavku se besedilo »do 1. januarja 2027« nadomesti z besedilom »na dan začetka uporabe tega zakona«.</w:t>
      </w:r>
    </w:p>
    <w:p w:rsidR="00533232" w:rsidRDefault="00533232" w:rsidP="00533232">
      <w:pPr>
        <w:jc w:val="both"/>
        <w:rPr>
          <w:rFonts w:cs="Arial"/>
          <w:szCs w:val="20"/>
        </w:rPr>
      </w:pPr>
    </w:p>
    <w:p w:rsidR="00533232" w:rsidRDefault="00533232" w:rsidP="00533232">
      <w:pPr>
        <w:jc w:val="both"/>
        <w:rPr>
          <w:rFonts w:cs="Arial"/>
          <w:szCs w:val="20"/>
        </w:rPr>
      </w:pPr>
      <w:r>
        <w:rPr>
          <w:rFonts w:cs="Arial"/>
          <w:szCs w:val="20"/>
        </w:rPr>
        <w:t>V tretjem odstavku se besedilo »1. januarja 2027« nadomesti z besedilom »dneva začetka uporabe tega zakona«.</w:t>
      </w:r>
    </w:p>
    <w:p w:rsidR="00533232" w:rsidRDefault="00533232" w:rsidP="00533232">
      <w:pPr>
        <w:jc w:val="both"/>
        <w:rPr>
          <w:rFonts w:cs="Arial"/>
          <w:szCs w:val="20"/>
        </w:rPr>
      </w:pPr>
    </w:p>
    <w:p w:rsidR="00533232" w:rsidRDefault="00533232" w:rsidP="00533232">
      <w:pPr>
        <w:rPr>
          <w:rFonts w:cs="Arial"/>
          <w:szCs w:val="20"/>
          <w:u w:val="single"/>
        </w:rPr>
      </w:pPr>
      <w:r>
        <w:rPr>
          <w:rFonts w:cs="Arial"/>
          <w:szCs w:val="20"/>
          <w:u w:val="single"/>
        </w:rPr>
        <w:t>Obrazložitev amandmaja k 28. členu:</w:t>
      </w:r>
    </w:p>
    <w:p w:rsidR="00533232" w:rsidRDefault="00533232" w:rsidP="00533232">
      <w:pPr>
        <w:rPr>
          <w:rFonts w:cs="Arial"/>
          <w:b/>
          <w:bCs/>
          <w:i/>
          <w:iCs/>
          <w:szCs w:val="20"/>
        </w:rPr>
      </w:pPr>
    </w:p>
    <w:p w:rsidR="00533232" w:rsidRDefault="00533232" w:rsidP="00533232">
      <w:pPr>
        <w:jc w:val="both"/>
        <w:rPr>
          <w:rFonts w:cs="Arial"/>
          <w:szCs w:val="20"/>
        </w:rPr>
      </w:pPr>
      <w:r>
        <w:rPr>
          <w:rFonts w:cs="Arial"/>
          <w:szCs w:val="20"/>
        </w:rPr>
        <w:t>Zakonodajno-pravna služba je v mnenju o Predlogu zakona o sodnikih (</w:t>
      </w:r>
      <w:proofErr w:type="spellStart"/>
      <w:r>
        <w:rPr>
          <w:rFonts w:cs="Arial"/>
          <w:szCs w:val="20"/>
        </w:rPr>
        <w:t>ZSod</w:t>
      </w:r>
      <w:proofErr w:type="spellEnd"/>
      <w:r>
        <w:rPr>
          <w:rFonts w:cs="Arial"/>
          <w:szCs w:val="20"/>
        </w:rPr>
        <w:t>), EPA 2134-IX, ki je vsebinsko povezan z obravnavanim Predlogom zakona o spremembah in dopolnitvah Zakona o državnem tožilstvu (ZDT-1F), EPA 2135-IX, predlagala, da se presečni datum glede začetka uporabe predloga zakona v poglavju prehodnih določb poenoti in zapiše opisno. Amandma sledi navedenemu predlogu.</w:t>
      </w:r>
    </w:p>
    <w:p w:rsidR="00533232" w:rsidRDefault="00533232" w:rsidP="00533232">
      <w:pPr>
        <w:jc w:val="both"/>
        <w:rPr>
          <w:rFonts w:cs="Arial"/>
          <w:szCs w:val="20"/>
        </w:rPr>
      </w:pPr>
    </w:p>
    <w:p w:rsidR="00533232" w:rsidRDefault="00533232" w:rsidP="00533232">
      <w:pPr>
        <w:jc w:val="both"/>
        <w:rPr>
          <w:rFonts w:cs="Arial"/>
          <w:szCs w:val="20"/>
        </w:rPr>
      </w:pPr>
    </w:p>
    <w:p w:rsidR="00533232" w:rsidRDefault="00533232" w:rsidP="00533232">
      <w:pPr>
        <w:rPr>
          <w:rFonts w:cs="Arial"/>
          <w:b/>
          <w:bCs/>
          <w:szCs w:val="20"/>
        </w:rPr>
      </w:pPr>
      <w:r>
        <w:rPr>
          <w:rFonts w:cs="Arial"/>
          <w:b/>
          <w:bCs/>
          <w:szCs w:val="20"/>
        </w:rPr>
        <w:t>K 30. členu:</w:t>
      </w:r>
    </w:p>
    <w:p w:rsidR="00533232" w:rsidRDefault="00533232" w:rsidP="00533232">
      <w:pPr>
        <w:rPr>
          <w:rFonts w:cs="Arial"/>
          <w:b/>
          <w:bCs/>
          <w:szCs w:val="20"/>
        </w:rPr>
      </w:pPr>
    </w:p>
    <w:p w:rsidR="00533232" w:rsidRDefault="00533232" w:rsidP="00533232">
      <w:pPr>
        <w:jc w:val="both"/>
        <w:rPr>
          <w:rFonts w:cs="Arial"/>
          <w:szCs w:val="20"/>
        </w:rPr>
      </w:pPr>
      <w:r>
        <w:rPr>
          <w:rFonts w:cs="Arial"/>
          <w:szCs w:val="20"/>
        </w:rPr>
        <w:t>V 30. členu se v prvem odstavku besedilo »1. januarja 2027« nadomesti z besedilom »začetka uporabe tega zakona«.</w:t>
      </w:r>
    </w:p>
    <w:p w:rsidR="00533232" w:rsidRDefault="00533232" w:rsidP="00533232">
      <w:pPr>
        <w:rPr>
          <w:rFonts w:cs="Arial"/>
          <w:b/>
          <w:bCs/>
          <w:szCs w:val="20"/>
        </w:rPr>
      </w:pPr>
    </w:p>
    <w:p w:rsidR="00533232" w:rsidRDefault="00533232" w:rsidP="00533232">
      <w:pPr>
        <w:rPr>
          <w:rFonts w:cs="Arial"/>
          <w:szCs w:val="20"/>
          <w:u w:val="single"/>
        </w:rPr>
      </w:pPr>
      <w:r>
        <w:rPr>
          <w:rFonts w:cs="Arial"/>
          <w:szCs w:val="20"/>
          <w:u w:val="single"/>
        </w:rPr>
        <w:t>Obrazložitev amandmaja k 30. členu:</w:t>
      </w:r>
    </w:p>
    <w:p w:rsidR="00533232" w:rsidRDefault="00533232" w:rsidP="00533232">
      <w:pPr>
        <w:rPr>
          <w:rFonts w:cs="Arial"/>
          <w:b/>
          <w:bCs/>
          <w:i/>
          <w:iCs/>
          <w:szCs w:val="20"/>
        </w:rPr>
      </w:pPr>
    </w:p>
    <w:p w:rsidR="00533232" w:rsidRDefault="00533232" w:rsidP="00533232">
      <w:pPr>
        <w:jc w:val="both"/>
        <w:rPr>
          <w:rFonts w:cs="Arial"/>
          <w:szCs w:val="20"/>
        </w:rPr>
      </w:pPr>
      <w:r>
        <w:rPr>
          <w:rFonts w:cs="Arial"/>
          <w:szCs w:val="20"/>
        </w:rPr>
        <w:lastRenderedPageBreak/>
        <w:t>Zakonodajno-pravna služba je v mnenju o Predlogu zakona o sodnikih (</w:t>
      </w:r>
      <w:proofErr w:type="spellStart"/>
      <w:r>
        <w:rPr>
          <w:rFonts w:cs="Arial"/>
          <w:szCs w:val="20"/>
        </w:rPr>
        <w:t>ZSod</w:t>
      </w:r>
      <w:proofErr w:type="spellEnd"/>
      <w:r>
        <w:rPr>
          <w:rFonts w:cs="Arial"/>
          <w:szCs w:val="20"/>
        </w:rPr>
        <w:t>), EPA 2134-IX, ki je vsebinsko povezan z obravnavanim Predlogom zakona o spremembah in dopolnitvah Zakona o državnem tožilstvu (ZDT-1F), EPA 2135-IX, predlagala, da se presečni datum glede začetka uporabe predloga zakona v poglavju prehodnih določb poenoti in zapiše opisno. Amandma sledi navedenemu predlogu.</w:t>
      </w:r>
    </w:p>
    <w:p w:rsidR="00533232" w:rsidRDefault="00533232" w:rsidP="00533232">
      <w:pPr>
        <w:jc w:val="both"/>
        <w:rPr>
          <w:rFonts w:cs="Arial"/>
          <w:szCs w:val="20"/>
        </w:rPr>
      </w:pPr>
    </w:p>
    <w:p w:rsidR="00533232" w:rsidRDefault="00533232" w:rsidP="00533232">
      <w:pPr>
        <w:jc w:val="both"/>
      </w:pPr>
    </w:p>
    <w:p w:rsidR="007E1230" w:rsidRDefault="007E1230" w:rsidP="00533232">
      <w:pPr>
        <w:autoSpaceDE w:val="0"/>
        <w:autoSpaceDN w:val="0"/>
        <w:adjustRightInd w:val="0"/>
        <w:rPr>
          <w:rFonts w:cs="Arial"/>
          <w:color w:val="000000"/>
          <w:szCs w:val="20"/>
        </w:rPr>
      </w:pPr>
      <w:bookmarkStart w:id="1" w:name="_GoBack"/>
      <w:bookmarkEnd w:id="1"/>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F16C4" w:rsidRDefault="001F16C4" w:rsidP="00767987">
      <w:pPr>
        <w:spacing w:line="240" w:lineRule="auto"/>
      </w:pPr>
      <w:r>
        <w:separator/>
      </w:r>
    </w:p>
  </w:endnote>
  <w:endnote w:type="continuationSeparator" w:id="0">
    <w:p w:rsidR="001F16C4" w:rsidRDefault="001F16C4"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3F9A" w:rsidRDefault="00B83F9A">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3F9A" w:rsidRDefault="00B83F9A">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3F9A" w:rsidRDefault="00B83F9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F16C4" w:rsidRDefault="001F16C4" w:rsidP="00767987">
      <w:pPr>
        <w:spacing w:line="240" w:lineRule="auto"/>
      </w:pPr>
      <w:r>
        <w:separator/>
      </w:r>
    </w:p>
  </w:footnote>
  <w:footnote w:type="continuationSeparator" w:id="0">
    <w:p w:rsidR="001F16C4" w:rsidRDefault="001F16C4"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3F9A" w:rsidRDefault="00B83F9A">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83F9A" w:rsidRDefault="00B83F9A">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B37A4"/>
    <w:rsid w:val="000B3FE6"/>
    <w:rsid w:val="000E4B03"/>
    <w:rsid w:val="00120243"/>
    <w:rsid w:val="00196696"/>
    <w:rsid w:val="001F16C4"/>
    <w:rsid w:val="00286CB6"/>
    <w:rsid w:val="00366636"/>
    <w:rsid w:val="00367DE6"/>
    <w:rsid w:val="003B3E19"/>
    <w:rsid w:val="004076C6"/>
    <w:rsid w:val="00457A58"/>
    <w:rsid w:val="004964D7"/>
    <w:rsid w:val="004B7F76"/>
    <w:rsid w:val="004E1BCE"/>
    <w:rsid w:val="00533232"/>
    <w:rsid w:val="0057353E"/>
    <w:rsid w:val="00592079"/>
    <w:rsid w:val="00594080"/>
    <w:rsid w:val="00674FD5"/>
    <w:rsid w:val="00682FFE"/>
    <w:rsid w:val="00684751"/>
    <w:rsid w:val="006C69EC"/>
    <w:rsid w:val="007039D0"/>
    <w:rsid w:val="00767987"/>
    <w:rsid w:val="00782FD4"/>
    <w:rsid w:val="007E1230"/>
    <w:rsid w:val="00811140"/>
    <w:rsid w:val="00843487"/>
    <w:rsid w:val="00904A48"/>
    <w:rsid w:val="00980294"/>
    <w:rsid w:val="009C5392"/>
    <w:rsid w:val="009C657E"/>
    <w:rsid w:val="00A16E6F"/>
    <w:rsid w:val="00A50E4B"/>
    <w:rsid w:val="00A56EFB"/>
    <w:rsid w:val="00A9231D"/>
    <w:rsid w:val="00AD3BB3"/>
    <w:rsid w:val="00B31063"/>
    <w:rsid w:val="00B83F9A"/>
    <w:rsid w:val="00BC534D"/>
    <w:rsid w:val="00C0216A"/>
    <w:rsid w:val="00CD6077"/>
    <w:rsid w:val="00CE234E"/>
    <w:rsid w:val="00D00B65"/>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customStyle="1" w:styleId="zamik">
    <w:name w:val="zamik"/>
    <w:basedOn w:val="Navaden"/>
    <w:rsid w:val="00533232"/>
    <w:pPr>
      <w:spacing w:line="240" w:lineRule="auto"/>
      <w:ind w:firstLine="1021"/>
    </w:pPr>
    <w:rPr>
      <w:rFonts w:ascii="Times New Roman" w:hAnsi="Times New Roman"/>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91870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697</Words>
  <Characters>3979</Characters>
  <Application>Microsoft Office Word</Application>
  <DocSecurity>0</DocSecurity>
  <Lines>33</Lines>
  <Paragraphs>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4667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2025-10-01T09:14:00Z</dcterms:created>
  <dcterms:modified xsi:type="dcterms:W3CDTF">2025-10-01T09:14:00Z</dcterms:modified>
</cp:coreProperties>
</file>