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180F17">
      <w:pPr>
        <w:pStyle w:val="datumtevilka"/>
      </w:pPr>
      <w:bookmarkStart w:id="0" w:name="_Hlk61014710"/>
      <w:bookmarkEnd w:id="0"/>
      <w:r w:rsidRPr="002760DC">
        <w:rPr>
          <w:rFonts w:cs="Arial"/>
          <w:color w:val="000000"/>
        </w:rPr>
        <w:t>EVA:</w:t>
      </w:r>
      <w:r w:rsidRPr="002760DC">
        <w:rPr>
          <w:rFonts w:cs="Arial"/>
          <w:color w:val="000000"/>
        </w:rPr>
        <w:tab/>
      </w:r>
      <w:r w:rsidR="00782002">
        <w:rPr>
          <w:rFonts w:cs="Arial"/>
          <w:color w:val="000000"/>
        </w:rPr>
        <w:t>2024-3130-0043</w:t>
      </w:r>
    </w:p>
    <w:p w:rsidR="009C657E" w:rsidRPr="002760DC" w:rsidRDefault="009C657E" w:rsidP="00180F17">
      <w:pPr>
        <w:pStyle w:val="datumtevilka"/>
      </w:pPr>
      <w:r w:rsidRPr="002760DC">
        <w:t xml:space="preserve">Številka: </w:t>
      </w:r>
      <w:r w:rsidRPr="002760DC">
        <w:tab/>
      </w:r>
      <w:r w:rsidR="00782002">
        <w:rPr>
          <w:rFonts w:cs="Arial"/>
          <w:color w:val="000000"/>
        </w:rPr>
        <w:t>00704-115/2025/18</w:t>
      </w:r>
    </w:p>
    <w:p w:rsidR="009C657E" w:rsidRPr="002760DC" w:rsidRDefault="009C657E" w:rsidP="00180F17">
      <w:pPr>
        <w:pStyle w:val="datumtevilka"/>
      </w:pPr>
      <w:r>
        <w:t>Datum:</w:t>
      </w:r>
      <w:r w:rsidRPr="002760DC">
        <w:tab/>
      </w:r>
      <w:r w:rsidR="00782002">
        <w:rPr>
          <w:rFonts w:cs="Arial"/>
          <w:color w:val="000000"/>
        </w:rPr>
        <w:t>4. 9. 2025</w:t>
      </w:r>
      <w:r w:rsidRPr="002760DC">
        <w:t xml:space="preserve"> </w:t>
      </w:r>
    </w:p>
    <w:p w:rsidR="009C657E" w:rsidRPr="002760DC" w:rsidRDefault="009C657E" w:rsidP="00180F17"/>
    <w:p w:rsidR="009C657E" w:rsidRDefault="009C657E" w:rsidP="00180F17">
      <w:pPr>
        <w:autoSpaceDE w:val="0"/>
        <w:autoSpaceDN w:val="0"/>
        <w:adjustRightInd w:val="0"/>
        <w:rPr>
          <w:rFonts w:cs="Arial"/>
          <w:color w:val="000000"/>
          <w:szCs w:val="20"/>
        </w:rPr>
      </w:pPr>
    </w:p>
    <w:p w:rsidR="00180F17" w:rsidRPr="00A82869" w:rsidRDefault="00674FD5" w:rsidP="00A82869">
      <w:pPr>
        <w:jc w:val="center"/>
        <w:rPr>
          <w:b/>
          <w:color w:val="000000"/>
          <w:szCs w:val="20"/>
        </w:rPr>
      </w:pPr>
      <w:r w:rsidRPr="00A82869">
        <w:rPr>
          <w:rFonts w:cs="Arial"/>
          <w:b/>
          <w:szCs w:val="20"/>
        </w:rPr>
        <w:t>P</w:t>
      </w:r>
      <w:r w:rsidR="00435F62">
        <w:rPr>
          <w:rFonts w:cs="Arial"/>
          <w:b/>
          <w:szCs w:val="20"/>
        </w:rPr>
        <w:t>redlog</w:t>
      </w:r>
      <w:bookmarkStart w:id="1" w:name="_GoBack"/>
      <w:bookmarkEnd w:id="1"/>
      <w:r w:rsidR="00180F17" w:rsidRPr="00A82869">
        <w:rPr>
          <w:rFonts w:cs="Arial"/>
          <w:b/>
          <w:szCs w:val="20"/>
        </w:rPr>
        <w:t xml:space="preserve"> amandmajev </w:t>
      </w:r>
      <w:r w:rsidR="00782002" w:rsidRPr="00A82869">
        <w:rPr>
          <w:rFonts w:cs="Arial"/>
          <w:b/>
          <w:color w:val="000000"/>
          <w:szCs w:val="20"/>
        </w:rPr>
        <w:t>k Predlogu zakona o spremembah in dopolnitvah Zakona o splošnem upravnem postopku</w:t>
      </w:r>
    </w:p>
    <w:p w:rsidR="00180F17" w:rsidRDefault="00180F17" w:rsidP="00180F17">
      <w:pPr>
        <w:jc w:val="both"/>
        <w:rPr>
          <w:color w:val="000000"/>
          <w:szCs w:val="20"/>
        </w:rPr>
      </w:pP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K 2. členu</w:t>
      </w:r>
    </w:p>
    <w:p w:rsidR="00A82869" w:rsidRDefault="00A82869" w:rsidP="00A82869">
      <w:pPr>
        <w:jc w:val="both"/>
        <w:rPr>
          <w:rFonts w:eastAsia="Calibri" w:cs="Arial"/>
          <w:color w:val="000000"/>
          <w:kern w:val="2"/>
          <w:szCs w:val="20"/>
        </w:rPr>
      </w:pPr>
      <w:r>
        <w:rPr>
          <w:rFonts w:eastAsia="Calibri" w:cs="Arial"/>
          <w:color w:val="000000"/>
          <w:kern w:val="2"/>
          <w:szCs w:val="20"/>
        </w:rPr>
        <w:t>V 2. členu se drugi odstavek spremeni tako, da se glasi:</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r>
        <w:rPr>
          <w:rFonts w:eastAsia="Calibri" w:cs="Arial"/>
          <w:color w:val="000000"/>
          <w:kern w:val="2"/>
          <w:szCs w:val="20"/>
        </w:rPr>
        <w:t>»V petem odstavku se v drugem stavku črta besedilo »vrsto in stopnjo izobrazbe,«.«.</w:t>
      </w: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Obrazložitev:</w:t>
      </w:r>
    </w:p>
    <w:p w:rsidR="00A82869" w:rsidRDefault="00A82869" w:rsidP="00A82869">
      <w:pPr>
        <w:jc w:val="both"/>
        <w:rPr>
          <w:rFonts w:eastAsia="Calibri" w:cs="Arial"/>
          <w:color w:val="000000"/>
          <w:kern w:val="2"/>
          <w:szCs w:val="20"/>
        </w:rPr>
      </w:pPr>
      <w:r>
        <w:rPr>
          <w:rFonts w:eastAsia="Calibri" w:cs="Arial"/>
          <w:color w:val="000000"/>
          <w:kern w:val="2"/>
          <w:szCs w:val="20"/>
        </w:rPr>
        <w:t xml:space="preserve">Amandma se navezuje na opozorilo Zakonodajno-pravne službe, da je v ukazovalni normi drugega odstavka treba določiti, da se sprememba opravi v drugem stavku. </w:t>
      </w: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K 3. členu</w:t>
      </w:r>
    </w:p>
    <w:p w:rsidR="00A82869" w:rsidRDefault="00A82869" w:rsidP="00A82869">
      <w:pPr>
        <w:jc w:val="both"/>
        <w:rPr>
          <w:rFonts w:eastAsia="Calibri" w:cs="Arial"/>
          <w:color w:val="000000"/>
          <w:kern w:val="2"/>
          <w:szCs w:val="20"/>
        </w:rPr>
      </w:pPr>
      <w:r>
        <w:rPr>
          <w:rFonts w:eastAsia="Calibri" w:cs="Arial"/>
          <w:color w:val="000000"/>
          <w:kern w:val="2"/>
          <w:szCs w:val="20"/>
        </w:rPr>
        <w:t>V 3. členu se prvi odstavek spremeni tako, da se glasi:</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r>
        <w:rPr>
          <w:rFonts w:eastAsia="Calibri" w:cs="Arial"/>
          <w:color w:val="000000"/>
          <w:kern w:val="2"/>
          <w:szCs w:val="20"/>
        </w:rPr>
        <w:t>»V 38. členu se v prvem odstavku v drugem stavku črta besedilo »in organizacij«.«.</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Obrazložitev:</w:t>
      </w:r>
    </w:p>
    <w:p w:rsidR="00A82869" w:rsidRDefault="00A82869" w:rsidP="00A82869">
      <w:pPr>
        <w:jc w:val="both"/>
        <w:rPr>
          <w:rFonts w:eastAsia="Calibri" w:cs="Arial"/>
          <w:color w:val="000000"/>
          <w:kern w:val="2"/>
          <w:szCs w:val="20"/>
        </w:rPr>
      </w:pPr>
      <w:r>
        <w:rPr>
          <w:rFonts w:eastAsia="Calibri" w:cs="Arial"/>
          <w:color w:val="000000"/>
          <w:kern w:val="2"/>
          <w:szCs w:val="20"/>
        </w:rPr>
        <w:t xml:space="preserve">Amandma se navezuje na opozorilo Zakonodajno-pravne službe, da je v ukazovalni normi drugega odstavka treba določiti, da se sprememba opravi v drugem stavku. </w:t>
      </w: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K 4. členu</w:t>
      </w:r>
    </w:p>
    <w:p w:rsidR="00A82869" w:rsidRDefault="00A82869" w:rsidP="00A82869">
      <w:pPr>
        <w:jc w:val="both"/>
        <w:rPr>
          <w:rFonts w:eastAsia="Calibri" w:cs="Arial"/>
          <w:color w:val="000000"/>
          <w:kern w:val="2"/>
          <w:szCs w:val="20"/>
        </w:rPr>
      </w:pPr>
      <w:r>
        <w:rPr>
          <w:rFonts w:eastAsia="Calibri" w:cs="Arial"/>
          <w:color w:val="000000"/>
          <w:kern w:val="2"/>
          <w:szCs w:val="20"/>
        </w:rPr>
        <w:t>4. člen se spremeni tako, da se glasi:</w:t>
      </w:r>
    </w:p>
    <w:p w:rsidR="00A82869" w:rsidRDefault="00A82869" w:rsidP="00A82869">
      <w:pPr>
        <w:jc w:val="both"/>
        <w:rPr>
          <w:rFonts w:eastAsia="Calibri" w:cs="Arial"/>
          <w:color w:val="000000"/>
          <w:kern w:val="2"/>
          <w:szCs w:val="20"/>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»V prvem odstavku 45. člena, v prvem odstavku 275. člena ter v prvem in četrtem odstavku 280. člena se besedilo »državni tožilec« v vseh sklonih nadomesti z besedilom »državno tožilstvo« v ustreznem sklonu, besedilo »državni pravobranilec« v vseh sklonih pa se nadomesti z besedilom »državno odvetništvo«.«.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se navezuje na opozorilo Zakonodajno-pravne službe o ustreznosti opredelitve državnega odvetnika oziroma državnega odvetništva. Amandma upošteva opozorilo o spreminjanju 261. člena, zaradi česar je prej omenjeno redakcijsko spremembo treba urediti v tem namesto v zbirnem 4. členu predloga.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Z amandmajem se na enak način, kot pri opredelitvi državnega pravobranilca oziroma državnega odvetništva, ureja tudi opredelitev državnega tožilca oziroma državnega tožilstva.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5.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5. člen se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»V 51. členu se v prvem odstavku v prvem in tretjem stavku besedilo »je neznano« nadomesti z besedilom »ali sedež je neznan«.«. </w:t>
      </w: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jc w:val="both"/>
        <w:rPr>
          <w:rFonts w:eastAsia="Calibri" w:cs="Arial"/>
          <w:color w:val="000000"/>
          <w:kern w:val="2"/>
          <w:szCs w:val="20"/>
        </w:rPr>
      </w:pPr>
      <w:r>
        <w:rPr>
          <w:rFonts w:eastAsia="Calibri" w:cs="Arial"/>
          <w:color w:val="000000"/>
          <w:kern w:val="2"/>
          <w:szCs w:val="20"/>
        </w:rPr>
        <w:t xml:space="preserve">Amandma se navezuje na opozorilo Zakonodajno-pravne službe, da je v ukazovalni normi treba natančno določiti, v katerem stavku se opravi predlagana sprememba. </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K 8. členu</w:t>
      </w:r>
    </w:p>
    <w:p w:rsidR="00A82869" w:rsidRDefault="00A82869" w:rsidP="00A82869">
      <w:pPr>
        <w:jc w:val="both"/>
        <w:rPr>
          <w:rFonts w:eastAsia="Calibri" w:cs="Arial"/>
          <w:color w:val="000000"/>
          <w:kern w:val="2"/>
          <w:szCs w:val="20"/>
        </w:rPr>
      </w:pPr>
      <w:r>
        <w:rPr>
          <w:rFonts w:eastAsia="Calibri" w:cs="Arial"/>
          <w:color w:val="000000"/>
          <w:kern w:val="2"/>
          <w:szCs w:val="20"/>
        </w:rPr>
        <w:t xml:space="preserve">V 8. členu se za prvim odstavkom doda nov drugi odstavek, ki se glasi:  </w:t>
      </w:r>
    </w:p>
    <w:p w:rsidR="00A82869" w:rsidRDefault="00A82869" w:rsidP="00A82869">
      <w:pPr>
        <w:jc w:val="both"/>
        <w:rPr>
          <w:rFonts w:eastAsia="Calibri" w:cs="Arial"/>
          <w:color w:val="000000"/>
          <w:kern w:val="2"/>
          <w:szCs w:val="20"/>
        </w:rPr>
      </w:pPr>
    </w:p>
    <w:p w:rsidR="00A82869" w:rsidRDefault="00A82869" w:rsidP="00A82869">
      <w:pPr>
        <w:jc w:val="both"/>
        <w:rPr>
          <w:rFonts w:cs="Arial"/>
          <w:color w:val="000000"/>
          <w:szCs w:val="20"/>
        </w:rPr>
      </w:pPr>
      <w:r>
        <w:rPr>
          <w:rFonts w:cs="Arial"/>
          <w:color w:val="000000"/>
          <w:szCs w:val="20"/>
        </w:rPr>
        <w:t>»V četrtem odstavku se v prvem stavku črta beseda »enotni«.«.</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t xml:space="preserve">Drugi in tretji odstavek postaneta tretji in četrti odstavek. </w:t>
      </w:r>
    </w:p>
    <w:p w:rsidR="00A82869" w:rsidRDefault="00A82869" w:rsidP="00A82869">
      <w:pPr>
        <w:jc w:val="both"/>
        <w:rPr>
          <w:rFonts w:cs="Arial"/>
          <w:color w:val="000000"/>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Obrazložitev:</w:t>
      </w:r>
    </w:p>
    <w:p w:rsidR="00A82869" w:rsidRDefault="00A82869" w:rsidP="00A82869">
      <w:pPr>
        <w:jc w:val="both"/>
        <w:rPr>
          <w:rFonts w:eastAsia="Calibri" w:cs="Arial"/>
          <w:color w:val="000000"/>
          <w:kern w:val="2"/>
          <w:szCs w:val="20"/>
        </w:rPr>
      </w:pPr>
      <w:r>
        <w:rPr>
          <w:rFonts w:eastAsia="Calibri" w:cs="Arial"/>
          <w:color w:val="000000"/>
          <w:kern w:val="2"/>
          <w:szCs w:val="20"/>
        </w:rPr>
        <w:t xml:space="preserve">Z amandmajem se sledi opozorilu Zakonodajno-pravne službe, da je zaradi spremembe drugega odstavka treba spremeniti oziroma uskladiti tudi vsebino četrtega odstavka v delu, v katerem se nanaša na informacijski sistem za sprejem vlog, vročanje in obveščanje. Uskladitev je dosežena s črtanjem besede »enotni« v prvem stavku četrtega odstavka. </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K 12. členu</w:t>
      </w:r>
    </w:p>
    <w:p w:rsidR="00A82869" w:rsidRDefault="00A82869" w:rsidP="00A82869">
      <w:pPr>
        <w:jc w:val="both"/>
        <w:rPr>
          <w:rFonts w:eastAsia="Calibri" w:cs="Arial"/>
          <w:color w:val="000000"/>
          <w:kern w:val="2"/>
          <w:szCs w:val="20"/>
        </w:rPr>
      </w:pPr>
      <w:r>
        <w:rPr>
          <w:rFonts w:eastAsia="Calibri" w:cs="Arial"/>
          <w:color w:val="000000"/>
          <w:kern w:val="2"/>
          <w:szCs w:val="20"/>
        </w:rPr>
        <w:t>V 12. členu se prvi odstavek spremeni tako, da se glasi:</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r>
        <w:rPr>
          <w:rFonts w:eastAsia="Calibri" w:cs="Arial"/>
          <w:color w:val="000000"/>
          <w:kern w:val="2"/>
          <w:szCs w:val="20"/>
        </w:rPr>
        <w:t>»V 67. členu se v prvem odstavku v drugem stavku črta besedilo »v roku petih delovnih dni«.«.</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b/>
          <w:bCs/>
          <w:color w:val="000000"/>
          <w:kern w:val="2"/>
          <w:szCs w:val="20"/>
        </w:rPr>
      </w:pPr>
      <w:r>
        <w:rPr>
          <w:rFonts w:eastAsia="Calibri" w:cs="Arial"/>
          <w:b/>
          <w:bCs/>
          <w:color w:val="000000"/>
          <w:kern w:val="2"/>
          <w:szCs w:val="20"/>
        </w:rPr>
        <w:t>Obrazložitev:</w:t>
      </w:r>
    </w:p>
    <w:p w:rsidR="00A82869" w:rsidRDefault="00A82869" w:rsidP="00A82869">
      <w:pPr>
        <w:jc w:val="both"/>
        <w:rPr>
          <w:rFonts w:eastAsia="Calibri" w:cs="Arial"/>
          <w:color w:val="000000"/>
          <w:kern w:val="2"/>
          <w:szCs w:val="20"/>
        </w:rPr>
      </w:pPr>
      <w:r>
        <w:rPr>
          <w:rFonts w:eastAsia="Calibri" w:cs="Arial"/>
          <w:color w:val="000000"/>
          <w:kern w:val="2"/>
          <w:szCs w:val="20"/>
        </w:rPr>
        <w:t>Amandma se navezuje na opozorilo Zakonodajno-pravne službe, da je v ukazovalni normi prvega odstavka treba določiti, da se sprememba opravi v drugem stavku.</w:t>
      </w:r>
    </w:p>
    <w:p w:rsidR="00A82869" w:rsidRDefault="00A82869" w:rsidP="00A82869">
      <w:pPr>
        <w:jc w:val="both"/>
        <w:rPr>
          <w:rFonts w:eastAsia="Calibri" w:cs="Arial"/>
          <w:color w:val="000000"/>
          <w:kern w:val="2"/>
          <w:szCs w:val="20"/>
        </w:rPr>
      </w:pPr>
    </w:p>
    <w:p w:rsidR="00A82869" w:rsidRDefault="00A82869" w:rsidP="00A82869">
      <w:pPr>
        <w:jc w:val="both"/>
        <w:rPr>
          <w:rFonts w:eastAsia="Calibri" w:cs="Arial"/>
          <w:color w:val="000000"/>
          <w:kern w:val="2"/>
          <w:szCs w:val="20"/>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16.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16. člen se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76. členu se na koncu drugega odstavka doda nov stavek, ki se glasi:  »V zapisnik se vpišejo tudi sklepi, ki se izdajo med dejanjem.«.«</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jc w:val="both"/>
        <w:rPr>
          <w:rFonts w:cs="Arial"/>
          <w:color w:val="000000"/>
          <w:szCs w:val="20"/>
        </w:rPr>
      </w:pPr>
      <w:r>
        <w:rPr>
          <w:rFonts w:cs="Arial"/>
          <w:color w:val="000000"/>
          <w:szCs w:val="20"/>
        </w:rPr>
        <w:t>Tretji odstavek se črta.</w:t>
      </w:r>
    </w:p>
    <w:p w:rsidR="00A82869" w:rsidRDefault="00A82869" w:rsidP="00A82869">
      <w:pPr>
        <w:rPr>
          <w:rFonts w:cs="Arial"/>
          <w:color w:val="000000"/>
          <w:szCs w:val="20"/>
        </w:rPr>
      </w:pPr>
    </w:p>
    <w:p w:rsidR="00A82869" w:rsidRDefault="00A82869" w:rsidP="00A82869">
      <w:pPr>
        <w:jc w:val="both"/>
        <w:rPr>
          <w:rFonts w:cs="Arial"/>
          <w:color w:val="000000"/>
          <w:szCs w:val="20"/>
        </w:rPr>
      </w:pPr>
      <w:r>
        <w:rPr>
          <w:rFonts w:cs="Arial"/>
          <w:color w:val="000000"/>
          <w:szCs w:val="20"/>
        </w:rPr>
        <w:t>Dosedanji četrti odstavek, ki postane tretji odstavek, se spremeni tako, da se glasi:</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t>»(3) Če se stranki ali drugemu udeležencu v postopku v skladu z 62. členom tega zakona pri uradnem dejanju zagotovi spremljanje uradnega dejanja v njegovem jeziku, se v zapisnik  navede, v katerem jeziku je oseba govorila oziroma spremljala postopek in kdo je prevajal ali pomagal pri komunikaciji.«.</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t xml:space="preserve">Dosedanji peti do osmi odstavek postanejo četrti do sedmi odstavek. </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bookmarkStart w:id="2" w:name="_Hlk190438904"/>
      <w:r>
        <w:rPr>
          <w:rFonts w:cs="Arial"/>
          <w:color w:val="000000"/>
          <w:szCs w:val="20"/>
        </w:rPr>
        <w:t>Dosedanji deveti odstavek, ki postane osmi odstavek, se spremeni tako, da se glasi:</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lastRenderedPageBreak/>
        <w:t>»(8) Zapisnik se lahko narekuje v elektronski nosilec zvoka. Uradna oseba, ki vodi postopek, seznani udeležence z načinom evidentiranja procesnega dejanja ter o tem, da pisni odpravek zapisnika ne bo izdan. Na koncu dejanja pozove udeležence, da v elektronski nosilec zvoka izjavijo, da so z vsebino zapisnika seznanjeni in ali se z njo strinjajo oziroma ali imajo kakšne pripombe. Zapisnik sklene uradna oseba, ki vodi postopek, z izjavo o času zaključka uradnega dejanja. Zvočni posnetek je del dokumentacije zadeve, ki se hrani v informacijskem sistemu organa. Zapisnik se hrani, dokler se hranijo dokumenti zadeve.«.</w:t>
      </w:r>
    </w:p>
    <w:bookmarkEnd w:id="2"/>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t xml:space="preserve">Deseti odstavek se črta.«.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 xml:space="preserve">Obrazložitev: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Amandma upošteva opozorilo Zakonodajno-pravne službe o prenosu drugega stavka tretjega odstavka v drugi odstavek in s tem črtanje tretjega odstavka ter preštevilčenje ostalih odstavkov, ki sledijo.</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upošteva tudi pripombo k devetemu odstavku, da se zvočni zapis zapisnika hrani le v informacijskem sistemu organa in ne več tudi na nosilcu, na katerem je posnet.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25.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25. členu se v spremenjenem 86.a členu v četrtem odstavku v prvem stavku besedilo »z dnem poteka tega roka.« nadomesti z besedilom »sedmi dan od dneva odpreme sporočila.«.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petem odstavku se spremeni drugi stavek tako, da se glasi: »</w:t>
      </w:r>
      <w:r>
        <w:rPr>
          <w:rFonts w:cs="Arial"/>
          <w:color w:val="000000"/>
          <w:szCs w:val="20"/>
        </w:rPr>
        <w:t>Šteje se, da je vročitev opravljena sedmi dan od dneva odpreme dokumenta.«.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Zakonodajno-pravna služba je opozorila na zapis fikcije vročitve v členih, ki urejajo vročanje, zato se s predlagano spremembo poenoti zapis nastanka fikcije vročitve na način, ki je za uporabnika jasnejši in določnejši. Namesto zapisa »z dnem poteka roka« se enoznačno določi dan nastanka fikcije. Čas nastanka fikcije se zaradi spremembe zapisa sicer ne spreminja, glede na predlog v obravnavi, saj način štetja roka ostaja nespremenjen in sledi veljavnemu pravilu o začetku teka roka, po katerem se dan dogodka, od katerega je treba šteti rok, ne všteje v rok (drugi odstavek 100. člena ZUP),</w:t>
      </w:r>
      <w:r>
        <w:rPr>
          <w:color w:val="000000"/>
        </w:rPr>
        <w:t xml:space="preserve"> </w:t>
      </w:r>
      <w:r>
        <w:rPr>
          <w:rFonts w:cs="Arial"/>
          <w:color w:val="000000"/>
          <w:szCs w:val="20"/>
          <w:lang w:eastAsia="sl-SI"/>
        </w:rPr>
        <w:t>rok pa se izteče s pretekom zadnjega dne, torej fikcija vročitve nastane s pretekom sedmega dne oziroma sedmi dan od odpreme sporočila oziroma dokumenta.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S spremembo petega odstavka se redakcijsko poenoti zapis nastanka fikcije na način, da zakon določa, da je s potekom fikcije opravljena vročitev.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28.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28. členu se v spremenjenem 87. členu prvi odstavek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hd w:val="clear" w:color="auto" w:fill="FFFFFF"/>
        <w:jc w:val="both"/>
        <w:rPr>
          <w:rFonts w:cs="Arial"/>
          <w:color w:val="000000"/>
          <w:szCs w:val="20"/>
          <w:lang w:eastAsia="sl-SI"/>
        </w:rPr>
      </w:pPr>
      <w:r>
        <w:rPr>
          <w:rFonts w:cs="Arial"/>
          <w:color w:val="000000"/>
          <w:szCs w:val="20"/>
          <w:lang w:eastAsia="sl-SI"/>
        </w:rPr>
        <w:t>»(1) Ne glede na 86.b člen tega zakona se odločbe, sklepi in drugi dokumenti, od vročitve katerih začne teči rok, ki se vročajo v fizični obliki, vročijo osebno tistemu, ki so mu namenjeni, če je to potrebno zaradi učinkovite vročitve ali kakšnega drugega razloga.«.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sedmem odstavku se drugi stavek spremeni tako, da se glasi: »Če dokumenta ne prevzame v sedmih dneh, velja vročitev za opravljeno sedmi dan od dneva, ko je bilo puščeno sporočilo iz prejšnjega odstavka.«.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lastRenderedPageBreak/>
        <w:t xml:space="preserve">Zakonodajno pravna služba je opozorila na potencialno nejasnost razmerja med pravili novega 86.b člena in spremenjenega 87. člena zakona. V ta namen se s spremembo prvega odstavka 87. člena jasneje izrazi namen zakonodajalca, da pravila 86.b člena predstavljajo splošno normo, od katere se lahko odstopi, če so za to izpolnjeni pogoji po spremenjenem 87. členu.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Zakonodajno-pravna služba je opozorila tudi na zapis fikcije vročitve v členih, ki urejajo vročanje, zato se s predlagano spremembo sedmega odstavka poenoti zapis nastanka fikcije vročitve na način, ki je za uporabnika jasnejši in določnejši. Namesto zapisa »z dnem poteka roka« se enoznačno določi dan nastanka fikcije sedmi dan od dneva, ko je bilo puščeno sporočilo naslovniku. Čas nastanka fikcije se zaradi spremembe zapisa sicer ne spreminja, glede na predlog v obravnavi, saj način štetja roka ostaja nespremenjen in sledi veljavnemu pravilu o začetku teka roka, po katerem se dan dogodka, od katerega je treba šteti rok, ne všteje v rok (drugi odstavek 100. člena ZUP), rok pa se izteče s pretekom zadnjega dne, torej fikcija vročitve nastane s pretekom sedmega dne oziroma sedmi dan od dneva, ko je bilo puščeno sporočilo.</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37.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37. členu se v spremenjenem 102. členu v tretjem odstavku beseda »poslopju« nadomesti z besedilom »uradnih prostorih«.</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autoSpaceDE w:val="0"/>
        <w:autoSpaceDN w:val="0"/>
        <w:adjustRightInd w:val="0"/>
        <w:jc w:val="both"/>
        <w:rPr>
          <w:rFonts w:cs="Arial"/>
          <w:color w:val="000000"/>
          <w:szCs w:val="20"/>
        </w:rPr>
      </w:pPr>
      <w:r>
        <w:rPr>
          <w:rFonts w:cs="Arial"/>
          <w:color w:val="000000"/>
          <w:szCs w:val="20"/>
        </w:rPr>
        <w:t>Amandma sledi pripombi Zakonodajno-pravne službe o nadomestitvi besedila »poslopju organa« z besedilom »uradnih prostorih organa«.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51.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51. členu se v novem 186.a členu v prvem odstavku drugi stavek spremeni tako, da se glasi: »</w:t>
      </w:r>
      <w:r>
        <w:rPr>
          <w:rFonts w:cs="Arial"/>
          <w:color w:val="000000"/>
          <w:szCs w:val="20"/>
        </w:rPr>
        <w:t>Pričo se opozori, da v pisni izjavi navede osebno ime, prebivališče, datum rojstva, svoje razmerje do stranke ter jo podpiše in da mora podati resnično izjavo, da ne sme ničesar zamolčati, na posledice krive izjave in na katera vprašanja lahko odreče pričanje.«.</w:t>
      </w: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Z amandmajem se na po opozorilu Zakonodajno-pravne službe poenoti vsebina novega 186.a člena z vsebino drugega in tretjega odstavka 185. člena ZUP.</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57.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57. členu se v novem 214.a členu prvi odstavek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jc w:val="both"/>
        <w:rPr>
          <w:rFonts w:cs="Arial"/>
          <w:color w:val="000000"/>
          <w:szCs w:val="20"/>
        </w:rPr>
      </w:pPr>
      <w:r>
        <w:rPr>
          <w:rFonts w:cs="Arial"/>
          <w:color w:val="000000"/>
          <w:szCs w:val="20"/>
          <w:lang w:eastAsia="sl-SI"/>
        </w:rPr>
        <w:t>»</w:t>
      </w:r>
      <w:r>
        <w:rPr>
          <w:rFonts w:cs="Arial"/>
          <w:color w:val="000000"/>
          <w:szCs w:val="20"/>
        </w:rPr>
        <w:t xml:space="preserve">(1) Ne glede na 214. člen tega zakona se v postopkih, začetih na zahtevo stranke, lahko izda odločba brez obrazložitve, če se zahtevku ugodi in nihče ne ugovarja postavljenem zahtevku, kadar je v postopku udeleženih več strank.«.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Zakonodajno pravna služba je opozorila na potencialno nejasnost razmerja med 214. členom zakona, ki ureja odločbo s </w:t>
      </w:r>
      <w:proofErr w:type="spellStart"/>
      <w:r>
        <w:rPr>
          <w:rFonts w:cs="Arial"/>
          <w:color w:val="000000"/>
          <w:szCs w:val="20"/>
          <w:lang w:eastAsia="sl-SI"/>
        </w:rPr>
        <w:t>t.i</w:t>
      </w:r>
      <w:proofErr w:type="spellEnd"/>
      <w:r>
        <w:rPr>
          <w:rFonts w:cs="Arial"/>
          <w:color w:val="000000"/>
          <w:szCs w:val="20"/>
          <w:lang w:eastAsia="sl-SI"/>
        </w:rPr>
        <w:t xml:space="preserve">. polno obrazložitvijo, in novim 214.a členom, ki dopušča izdajo odločbe brez obrazložitve, če se v postopkih začetih na zahtevo stranke zahtevku ugodi in nihče ne ugovarja postavljenemu zahtevku. Z amandmajem se nedvomno določi, da pravilo 214.a člena predstavlja izjemo od splošnega pravila v 214. členu.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bookmarkStart w:id="3" w:name="_Hlk207799061"/>
      <w:r>
        <w:rPr>
          <w:rFonts w:cs="Arial"/>
          <w:b/>
          <w:bCs/>
          <w:color w:val="000000"/>
          <w:szCs w:val="20"/>
          <w:lang w:eastAsia="sl-SI"/>
        </w:rPr>
        <w:t>K 59.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59. členu se v spremenjenem 222. členu peti odstavek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jc w:val="both"/>
        <w:rPr>
          <w:rFonts w:cs="Arial"/>
          <w:color w:val="000000"/>
          <w:szCs w:val="20"/>
        </w:rPr>
      </w:pPr>
      <w:r>
        <w:rPr>
          <w:rFonts w:cs="Arial"/>
          <w:color w:val="000000"/>
          <w:szCs w:val="20"/>
        </w:rPr>
        <w:t xml:space="preserve">»(5) Če organ, zoper odločbo katerega je dovoljena pritožba, ne izda odločbe v roku iz prvega ali drugega odstavka, ima stranka pravico do pritožbe, kakor da bi bila izdana neugodna odločba zanjo. Če je organ v skladu s tretjim odstavkom tega člena podaljšal rok za izdajo odločbe, pa v tem roku ni izdal odločbe, ima stranka pravico do pritožbe po izteku podaljšanega roka.«.  </w:t>
      </w:r>
    </w:p>
    <w:bookmarkEnd w:id="3"/>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se navezuje na opozorilo Zakonodajno-pravne službe o opredelitvi »zakonitega roka«. V izogib dvomu, ali se pravica do pritožbe zaradi molka nanaša na iztek roka, ki ga določi zakon, ali tudi na iztek roka, ki ga v skladu s predlaganim tretjim odstavkom lahko podaljša organ, se spremeni pravilo petega odstavka tako, da je pravica do pritožbe nedvoumno vezana na iztek roka za izdajo odločbe po zakonu in na iztek roka, ki ga je lahko podaljša organ.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62.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62. členu se četrti odstavek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jc w:val="both"/>
        <w:rPr>
          <w:rFonts w:cs="Arial"/>
          <w:color w:val="000000"/>
          <w:szCs w:val="20"/>
        </w:rPr>
      </w:pPr>
      <w:r>
        <w:rPr>
          <w:rFonts w:cs="Arial"/>
          <w:color w:val="000000"/>
          <w:szCs w:val="20"/>
        </w:rPr>
        <w:t xml:space="preserve">»V dosedanjem tretjem in četrtem odstavku, ki postaneta četrti in peti odstavek, se besedilo »državni tožilec in državni pravobranilec« nadomesti z besedilom »državno tožilstvo in državno odvetništvo«.«.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 xml:space="preserve">Obrazložitev: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se navezuje na opozorilo Zakonodajno-pravne službe o ustreznosti opredelitve državnega odvetnika oziroma državnega odvetništva v 4. členu. Z amandmajem se na enak način kot pri opredelitvi državnega pravobranilca oziroma državnega odvetništva ureja tudi pristojnost državnega tožilca oziroma državnega tožilstva.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65. členu</w:t>
      </w:r>
    </w:p>
    <w:p w:rsidR="00A82869" w:rsidRDefault="00A82869" w:rsidP="00A82869">
      <w:pPr>
        <w:rPr>
          <w:rFonts w:cs="Arial"/>
          <w:color w:val="000000"/>
          <w:szCs w:val="20"/>
        </w:rPr>
      </w:pPr>
      <w:r>
        <w:rPr>
          <w:rFonts w:cs="Arial"/>
          <w:color w:val="000000"/>
          <w:szCs w:val="20"/>
        </w:rPr>
        <w:t xml:space="preserve">65. člen se spremeni tako, da se glasi: </w:t>
      </w:r>
    </w:p>
    <w:p w:rsidR="00A82869" w:rsidRDefault="00A82869" w:rsidP="00A82869">
      <w:pPr>
        <w:rPr>
          <w:rFonts w:cs="Arial"/>
          <w:color w:val="000000"/>
          <w:szCs w:val="20"/>
        </w:rPr>
      </w:pPr>
    </w:p>
    <w:p w:rsidR="00A82869" w:rsidRDefault="00A82869" w:rsidP="00A82869">
      <w:pPr>
        <w:rPr>
          <w:rFonts w:cs="Arial"/>
          <w:color w:val="000000"/>
          <w:szCs w:val="20"/>
        </w:rPr>
      </w:pPr>
      <w:r>
        <w:rPr>
          <w:rFonts w:cs="Arial"/>
          <w:color w:val="000000"/>
          <w:szCs w:val="20"/>
        </w:rPr>
        <w:t>»V 239. členu se četrti odstavek spremeni tako, da se glasi:</w:t>
      </w:r>
    </w:p>
    <w:p w:rsidR="00A82869" w:rsidRDefault="00A82869" w:rsidP="00A82869">
      <w:pPr>
        <w:rPr>
          <w:rFonts w:cs="Arial"/>
          <w:color w:val="000000"/>
          <w:szCs w:val="20"/>
        </w:rPr>
      </w:pPr>
    </w:p>
    <w:p w:rsidR="00A82869" w:rsidRDefault="00A82869" w:rsidP="00A82869">
      <w:pPr>
        <w:jc w:val="both"/>
        <w:rPr>
          <w:rFonts w:cs="Arial"/>
          <w:color w:val="000000"/>
          <w:szCs w:val="20"/>
        </w:rPr>
      </w:pPr>
      <w:r>
        <w:rPr>
          <w:rFonts w:cs="Arial"/>
          <w:color w:val="000000"/>
          <w:szCs w:val="20"/>
        </w:rPr>
        <w:t>»(4) Kadar stranka vloži pritožbo zato, ker organ prve stopnje ni izdal odločbe v roku iz petega odstavka 222. člena tega zakona, jo organ prve stopnje takoj pošlje organu druge stopnje, ki ravna v skladu z 255. členom tega zakona.«.«.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Amandma se navezuje na opozorilo Zakonodajno-pravne službe o ustreznosti opredelitve »zakonitega« roka. S spremembo petega odstavka 222. člena in sklicem spremenjenega četrtega odstavka 239. člena na omenjeni peti odstavek 222. člena se odpravlja dvom o dolžnem postopanju organa prve stopnje pri obravnavi pritožbe zaradi molka.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68.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68. člen se spremeni tako, da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jc w:val="both"/>
        <w:rPr>
          <w:rFonts w:cs="Arial"/>
          <w:color w:val="000000"/>
          <w:szCs w:val="20"/>
        </w:rPr>
      </w:pPr>
      <w:r>
        <w:rPr>
          <w:rFonts w:cs="Arial"/>
          <w:color w:val="000000"/>
          <w:szCs w:val="20"/>
        </w:rPr>
        <w:t xml:space="preserve">»V 255. členu se v prvem odstavku prvi stavek spremeni tako, da se glasi: </w:t>
      </w:r>
    </w:p>
    <w:p w:rsidR="00A82869" w:rsidRDefault="00A82869" w:rsidP="00A82869">
      <w:pPr>
        <w:jc w:val="both"/>
        <w:rPr>
          <w:rFonts w:cs="Arial"/>
          <w:color w:val="000000"/>
          <w:szCs w:val="20"/>
        </w:rPr>
      </w:pPr>
    </w:p>
    <w:p w:rsidR="00A82869" w:rsidRDefault="00A82869" w:rsidP="00A82869">
      <w:pPr>
        <w:jc w:val="both"/>
        <w:rPr>
          <w:rFonts w:cs="Arial"/>
          <w:color w:val="000000"/>
          <w:szCs w:val="20"/>
        </w:rPr>
      </w:pPr>
      <w:r>
        <w:rPr>
          <w:rFonts w:cs="Arial"/>
          <w:color w:val="000000"/>
          <w:szCs w:val="20"/>
        </w:rPr>
        <w:t>»Če se je stranka pritožila zato, ker organ prve stopnje ni izdal odločbe v roku iz petega odstavka 222. člena tega zakona, organ druge stopnje od organa prve stopnje zahteva, da mu sporoči, zakaj odločbe ni izdal pravočasno.«.«.</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Amandma se navezuje na opozorilo Zakonodajno-pravne službe o ustreznosti opredelitve »zakonitega« roka. S spremembo petega odstavka 222. člena in sklicem spremenjenega prvega stavka prvega odstavka 255. člena na omenjeni peti odstavek 222. člena se odpravlja morebitni dvom o dolžnem postopanju organa druge stopnje, ko prejme pritožbo zaradi molka.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69.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69. členu se v besedilu novega drugega odstavka za besedo »stranke« doda besedilo »ali organa«.</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sledi opozorilu Zakonodajno-pravne službe, da se vsebina spremenjenega 256. člena poenoti z vsebino spremenjenega 222. člena v delu, ki se nanaša na razloge za podaljšanje roka na strani organa.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 xml:space="preserve">K 72. členu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V 72. členu se za prvim odstavkom doda nov drugi odstavek, ki se glasi:</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pStyle w:val="Odstavekseznama"/>
        <w:spacing w:line="260" w:lineRule="exact"/>
        <w:ind w:left="0"/>
        <w:rPr>
          <w:color w:val="000000"/>
          <w:sz w:val="20"/>
          <w:szCs w:val="20"/>
          <w:lang w:eastAsia="sl-SI"/>
        </w:rPr>
      </w:pPr>
      <w:r>
        <w:rPr>
          <w:color w:val="000000"/>
          <w:sz w:val="20"/>
          <w:szCs w:val="20"/>
        </w:rPr>
        <w:t xml:space="preserve">»V petem odstavku se besedilo »Državni tožilec in državni pravobranilec« nadomesti z besedilom »Državno tožilstvo in državno odvetništvo«.«.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Obrazložitev:</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Amandma sledi pripombi Zakonodajno-pravne službe na 4. člen, da v zbirnem členu ni dopustno urejati vsebine, ki se nanaša na člen, ki je predmet noveliranja. Zato se v petem odstavku 261. člena spremeni besedilo »državni pravobranilec« v »državno odvetništvo« in »državni tožilec« v »državno tožilstvo«.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b/>
          <w:bCs/>
          <w:color w:val="000000"/>
          <w:szCs w:val="20"/>
          <w:lang w:eastAsia="sl-SI"/>
        </w:rPr>
      </w:pPr>
      <w:r>
        <w:rPr>
          <w:rFonts w:cs="Arial"/>
          <w:b/>
          <w:bCs/>
          <w:color w:val="000000"/>
          <w:szCs w:val="20"/>
          <w:lang w:eastAsia="sl-SI"/>
        </w:rPr>
        <w:t>K 85. členu</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r>
        <w:rPr>
          <w:rFonts w:cs="Arial"/>
          <w:color w:val="000000"/>
          <w:szCs w:val="20"/>
          <w:lang w:eastAsia="sl-SI"/>
        </w:rPr>
        <w:t xml:space="preserve">V 85. členu se v prvem odstavku prvi stavek spremeni tako, da se glasi: </w:t>
      </w:r>
    </w:p>
    <w:p w:rsidR="00A82869" w:rsidRDefault="00A82869" w:rsidP="00A82869">
      <w:pPr>
        <w:suppressAutoHyphens/>
        <w:overflowPunct w:val="0"/>
        <w:autoSpaceDE w:val="0"/>
        <w:autoSpaceDN w:val="0"/>
        <w:adjustRightInd w:val="0"/>
        <w:jc w:val="both"/>
        <w:textAlignment w:val="baseline"/>
        <w:rPr>
          <w:rFonts w:cs="Arial"/>
          <w:color w:val="000000"/>
          <w:szCs w:val="20"/>
          <w:lang w:eastAsia="sl-SI"/>
        </w:rPr>
      </w:pPr>
    </w:p>
    <w:p w:rsidR="00A82869" w:rsidRDefault="00A82869" w:rsidP="00A82869">
      <w:pPr>
        <w:suppressAutoHyphens/>
        <w:overflowPunct w:val="0"/>
        <w:autoSpaceDE w:val="0"/>
        <w:autoSpaceDN w:val="0"/>
        <w:adjustRightInd w:val="0"/>
        <w:jc w:val="both"/>
        <w:textAlignment w:val="baseline"/>
        <w:rPr>
          <w:rFonts w:cs="Arial"/>
          <w:color w:val="000000"/>
          <w:szCs w:val="20"/>
        </w:rPr>
      </w:pPr>
      <w:r>
        <w:rPr>
          <w:rFonts w:cs="Arial"/>
          <w:color w:val="000000"/>
          <w:szCs w:val="20"/>
        </w:rPr>
        <w:t>»Spremenjeni 87. člen zakona se začne uporabljati eno leto od uveljavitve tega zakona.«.</w:t>
      </w:r>
    </w:p>
    <w:p w:rsidR="00A82869" w:rsidRDefault="00A82869" w:rsidP="00A82869">
      <w:pPr>
        <w:suppressAutoHyphens/>
        <w:overflowPunct w:val="0"/>
        <w:autoSpaceDE w:val="0"/>
        <w:autoSpaceDN w:val="0"/>
        <w:adjustRightInd w:val="0"/>
        <w:jc w:val="both"/>
        <w:textAlignment w:val="baseline"/>
        <w:rPr>
          <w:rFonts w:cs="Arial"/>
          <w:color w:val="000000"/>
          <w:szCs w:val="20"/>
        </w:rPr>
      </w:pPr>
    </w:p>
    <w:p w:rsidR="00A82869" w:rsidRDefault="00A82869" w:rsidP="00A82869">
      <w:pPr>
        <w:jc w:val="both"/>
        <w:rPr>
          <w:rFonts w:cs="Arial"/>
          <w:b/>
          <w:bCs/>
          <w:color w:val="000000"/>
          <w:szCs w:val="20"/>
        </w:rPr>
      </w:pPr>
      <w:r>
        <w:rPr>
          <w:rFonts w:cs="Arial"/>
          <w:b/>
          <w:bCs/>
          <w:color w:val="000000"/>
          <w:szCs w:val="20"/>
        </w:rPr>
        <w:t>Obrazložitev:</w:t>
      </w:r>
    </w:p>
    <w:p w:rsidR="00A82869" w:rsidRDefault="00A82869" w:rsidP="00A82869">
      <w:pPr>
        <w:jc w:val="both"/>
        <w:rPr>
          <w:rFonts w:cs="Arial"/>
          <w:color w:val="000000"/>
          <w:szCs w:val="20"/>
        </w:rPr>
      </w:pPr>
      <w:r>
        <w:rPr>
          <w:rFonts w:cs="Arial"/>
          <w:color w:val="000000"/>
          <w:szCs w:val="20"/>
        </w:rPr>
        <w:t>Z amandmajem se spreminja prvi stavek prvega odstavka prehodne določbe 85. člena na način, da začetek uporabe spremenjenega 87. člena veže na iztek enega leta od uveljavitve zakona. V tem času bodo izpolnjeni tehnični pogoji za uporabo spremenjenega 87. člena (pripravljen podzakonski akt, ki bo omogoči tiskanje novih ovojnic, omogočena bo izvedba javnih naročil in dostava novih ovojnic, prilagojeni informacijski sistemi za tiskanje ovojnic ipd.).</w:t>
      </w:r>
    </w:p>
    <w:p w:rsidR="00A82869" w:rsidRDefault="00A82869" w:rsidP="00A82869">
      <w:pPr>
        <w:jc w:val="both"/>
        <w:rPr>
          <w:rFonts w:cs="Arial"/>
          <w:color w:val="000000"/>
          <w:szCs w:val="20"/>
        </w:rPr>
      </w:pPr>
    </w:p>
    <w:p w:rsidR="007E1230" w:rsidRDefault="007E1230" w:rsidP="00A82869">
      <w:pPr>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A3904" w:rsidRDefault="009A3904" w:rsidP="00767987">
      <w:pPr>
        <w:spacing w:line="240" w:lineRule="auto"/>
      </w:pPr>
      <w:r>
        <w:separator/>
      </w:r>
    </w:p>
  </w:endnote>
  <w:endnote w:type="continuationSeparator" w:id="0">
    <w:p w:rsidR="009A3904" w:rsidRDefault="009A390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097" w:rsidRDefault="0077409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097" w:rsidRDefault="0077409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097" w:rsidRDefault="0077409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A3904" w:rsidRDefault="009A3904" w:rsidP="00767987">
      <w:pPr>
        <w:spacing w:line="240" w:lineRule="auto"/>
      </w:pPr>
      <w:r>
        <w:separator/>
      </w:r>
    </w:p>
  </w:footnote>
  <w:footnote w:type="continuationSeparator" w:id="0">
    <w:p w:rsidR="009A3904" w:rsidRDefault="009A3904"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097" w:rsidRDefault="0077409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4097" w:rsidRDefault="0077409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A7740"/>
    <w:rsid w:val="000B37A4"/>
    <w:rsid w:val="000B3FE6"/>
    <w:rsid w:val="000E4B03"/>
    <w:rsid w:val="00180F17"/>
    <w:rsid w:val="00286CB6"/>
    <w:rsid w:val="00366636"/>
    <w:rsid w:val="00367DE6"/>
    <w:rsid w:val="003B3E19"/>
    <w:rsid w:val="004076C6"/>
    <w:rsid w:val="00435F62"/>
    <w:rsid w:val="00457A58"/>
    <w:rsid w:val="004964D7"/>
    <w:rsid w:val="004B7F76"/>
    <w:rsid w:val="004E1BCE"/>
    <w:rsid w:val="0057353E"/>
    <w:rsid w:val="00592079"/>
    <w:rsid w:val="00594080"/>
    <w:rsid w:val="00674FD5"/>
    <w:rsid w:val="00682FFE"/>
    <w:rsid w:val="00684751"/>
    <w:rsid w:val="006C69EC"/>
    <w:rsid w:val="007039D0"/>
    <w:rsid w:val="00767987"/>
    <w:rsid w:val="00774097"/>
    <w:rsid w:val="00782002"/>
    <w:rsid w:val="00782FD4"/>
    <w:rsid w:val="007E1230"/>
    <w:rsid w:val="00811140"/>
    <w:rsid w:val="00904A48"/>
    <w:rsid w:val="00980294"/>
    <w:rsid w:val="009A3904"/>
    <w:rsid w:val="009C5392"/>
    <w:rsid w:val="009C657E"/>
    <w:rsid w:val="00A16E6F"/>
    <w:rsid w:val="00A50E4B"/>
    <w:rsid w:val="00A56EFB"/>
    <w:rsid w:val="00A82869"/>
    <w:rsid w:val="00A9231D"/>
    <w:rsid w:val="00AD3BB3"/>
    <w:rsid w:val="00B31063"/>
    <w:rsid w:val="00BC534D"/>
    <w:rsid w:val="00C0216A"/>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A82869"/>
    <w:rPr>
      <w:rFonts w:ascii="Arial" w:hAnsi="Arial" w:cs="Arial"/>
      <w:szCs w:val="16"/>
    </w:r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
    <w:basedOn w:val="Navaden"/>
    <w:link w:val="OdstavekseznamaZnak"/>
    <w:uiPriority w:val="34"/>
    <w:qFormat/>
    <w:rsid w:val="00A82869"/>
    <w:pPr>
      <w:overflowPunct w:val="0"/>
      <w:autoSpaceDE w:val="0"/>
      <w:autoSpaceDN w:val="0"/>
      <w:adjustRightInd w:val="0"/>
      <w:spacing w:line="240" w:lineRule="auto"/>
      <w:ind w:left="708"/>
      <w:jc w:val="both"/>
    </w:pPr>
    <w:rPr>
      <w:rFonts w:eastAsiaTheme="minorHAnsi" w:cs="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9304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2070</Words>
  <Characters>11805</Characters>
  <Application>Microsoft Office Word</Application>
  <DocSecurity>0</DocSecurity>
  <Lines>98</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2025-09-04T07:41:00Z</dcterms:created>
  <dcterms:modified xsi:type="dcterms:W3CDTF">2025-09-04T08:15:00Z</dcterms:modified>
</cp:coreProperties>
</file>