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51646C" w14:textId="77777777" w:rsidR="00882C37" w:rsidRPr="00A53D91" w:rsidRDefault="00882C37" w:rsidP="00882C37">
      <w:pPr>
        <w:pStyle w:val="zamik"/>
        <w:spacing w:before="210" w:after="210" w:line="276" w:lineRule="auto"/>
        <w:ind w:firstLine="0"/>
        <w:rPr>
          <w:rFonts w:ascii="Arial" w:eastAsia="Arial" w:hAnsi="Arial" w:cs="Arial"/>
          <w:b/>
          <w:bCs/>
          <w:sz w:val="20"/>
          <w:szCs w:val="20"/>
        </w:rPr>
      </w:pPr>
      <w:r w:rsidRPr="00A53D91">
        <w:rPr>
          <w:rFonts w:ascii="Arial" w:eastAsia="Arial" w:hAnsi="Arial" w:cs="Arial"/>
          <w:b/>
          <w:bCs/>
          <w:sz w:val="20"/>
          <w:szCs w:val="20"/>
        </w:rPr>
        <w:t>O</w:t>
      </w:r>
      <w:r>
        <w:rPr>
          <w:rFonts w:ascii="Arial" w:eastAsia="Arial" w:hAnsi="Arial" w:cs="Arial"/>
          <w:b/>
          <w:bCs/>
          <w:sz w:val="20"/>
          <w:szCs w:val="20"/>
        </w:rPr>
        <w:t xml:space="preserve">BRAZLOŽITEV </w:t>
      </w:r>
    </w:p>
    <w:p w14:paraId="01865835" w14:textId="77777777" w:rsidR="00882C37" w:rsidRDefault="00882C37" w:rsidP="00882C37">
      <w:pPr>
        <w:pStyle w:val="zamik"/>
        <w:spacing w:before="210" w:after="210" w:line="276" w:lineRule="auto"/>
        <w:ind w:firstLine="0"/>
        <w:rPr>
          <w:rFonts w:ascii="Arial" w:eastAsia="Arial" w:hAnsi="Arial" w:cs="Arial"/>
          <w:b/>
          <w:bCs/>
          <w:sz w:val="20"/>
          <w:szCs w:val="20"/>
        </w:rPr>
      </w:pPr>
      <w:r w:rsidRPr="00A53D91">
        <w:rPr>
          <w:rFonts w:ascii="Arial" w:eastAsia="Arial" w:hAnsi="Arial" w:cs="Arial"/>
          <w:b/>
          <w:bCs/>
          <w:sz w:val="20"/>
          <w:szCs w:val="20"/>
        </w:rPr>
        <w:t>K 1. členu</w:t>
      </w:r>
    </w:p>
    <w:p w14:paraId="19F29BFC" w14:textId="77777777" w:rsidR="00882C37" w:rsidRDefault="00882C37" w:rsidP="00882C37">
      <w:pPr>
        <w:pStyle w:val="zamik"/>
        <w:spacing w:before="210" w:after="210" w:line="276" w:lineRule="auto"/>
        <w:ind w:firstLine="0"/>
        <w:jc w:val="both"/>
        <w:rPr>
          <w:rFonts w:ascii="Arial" w:eastAsia="Calibri" w:hAnsi="Arial" w:cs="Arial"/>
          <w:sz w:val="20"/>
          <w:szCs w:val="20"/>
        </w:rPr>
      </w:pPr>
      <w:r>
        <w:rPr>
          <w:rFonts w:ascii="Arial" w:eastAsia="Calibri" w:hAnsi="Arial" w:cs="Arial"/>
          <w:sz w:val="20"/>
          <w:szCs w:val="20"/>
        </w:rPr>
        <w:t xml:space="preserve">Določa se vsebina tega pravilnika, tj. </w:t>
      </w:r>
      <w:r w:rsidRPr="00131E62">
        <w:rPr>
          <w:rFonts w:ascii="Arial" w:eastAsia="Calibri" w:hAnsi="Arial" w:cs="Arial"/>
          <w:sz w:val="20"/>
          <w:szCs w:val="20"/>
        </w:rPr>
        <w:t xml:space="preserve">določa </w:t>
      </w:r>
      <w:r>
        <w:rPr>
          <w:rFonts w:ascii="Arial" w:eastAsia="Calibri" w:hAnsi="Arial" w:cs="Arial"/>
          <w:sz w:val="20"/>
          <w:szCs w:val="20"/>
        </w:rPr>
        <w:t xml:space="preserve">se </w:t>
      </w:r>
      <w:r w:rsidRPr="00131E62">
        <w:rPr>
          <w:rFonts w:ascii="Arial" w:eastAsia="Calibri" w:hAnsi="Arial" w:cs="Arial"/>
          <w:sz w:val="20"/>
          <w:szCs w:val="20"/>
        </w:rPr>
        <w:t>predpise</w:t>
      </w:r>
      <w:r>
        <w:rPr>
          <w:rFonts w:ascii="Arial" w:eastAsia="Calibri" w:hAnsi="Arial" w:cs="Arial"/>
          <w:sz w:val="20"/>
          <w:szCs w:val="20"/>
        </w:rPr>
        <w:t xml:space="preserve"> s področja letalstva</w:t>
      </w:r>
      <w:r w:rsidRPr="00131E62">
        <w:rPr>
          <w:rFonts w:ascii="Arial" w:eastAsia="Calibri" w:hAnsi="Arial" w:cs="Arial"/>
          <w:sz w:val="20"/>
          <w:szCs w:val="20"/>
        </w:rPr>
        <w:t>, ki prenehajo veljati oziroma se prenehajo uporabljati</w:t>
      </w:r>
      <w:r>
        <w:rPr>
          <w:rFonts w:ascii="Arial" w:eastAsia="Calibri" w:hAnsi="Arial" w:cs="Arial"/>
          <w:sz w:val="20"/>
          <w:szCs w:val="20"/>
        </w:rPr>
        <w:t>.</w:t>
      </w:r>
    </w:p>
    <w:p w14:paraId="0B56C4E7" w14:textId="77777777" w:rsidR="00882C37" w:rsidRDefault="00882C37" w:rsidP="00882C37">
      <w:pPr>
        <w:pStyle w:val="zamik"/>
        <w:spacing w:before="210" w:after="210" w:line="276" w:lineRule="auto"/>
        <w:ind w:firstLine="0"/>
        <w:rPr>
          <w:rFonts w:ascii="Arial" w:eastAsia="Arial" w:hAnsi="Arial" w:cs="Arial"/>
          <w:b/>
          <w:bCs/>
          <w:sz w:val="20"/>
          <w:szCs w:val="20"/>
        </w:rPr>
      </w:pPr>
      <w:r w:rsidRPr="00A53D91">
        <w:rPr>
          <w:rFonts w:ascii="Arial" w:eastAsia="Arial" w:hAnsi="Arial" w:cs="Arial"/>
          <w:b/>
          <w:bCs/>
          <w:sz w:val="20"/>
          <w:szCs w:val="20"/>
        </w:rPr>
        <w:t xml:space="preserve">K </w:t>
      </w:r>
      <w:r>
        <w:rPr>
          <w:rFonts w:ascii="Arial" w:eastAsia="Arial" w:hAnsi="Arial" w:cs="Arial"/>
          <w:b/>
          <w:bCs/>
          <w:sz w:val="20"/>
          <w:szCs w:val="20"/>
        </w:rPr>
        <w:t>2</w:t>
      </w:r>
      <w:r w:rsidRPr="00A53D91">
        <w:rPr>
          <w:rFonts w:ascii="Arial" w:eastAsia="Arial" w:hAnsi="Arial" w:cs="Arial"/>
          <w:b/>
          <w:bCs/>
          <w:sz w:val="20"/>
          <w:szCs w:val="20"/>
        </w:rPr>
        <w:t>. členu</w:t>
      </w:r>
    </w:p>
    <w:p w14:paraId="1ACC934C" w14:textId="77777777" w:rsidR="00882C37" w:rsidRDefault="00882C37" w:rsidP="00882C37">
      <w:pPr>
        <w:pStyle w:val="zamik"/>
        <w:spacing w:before="210" w:after="210" w:line="276" w:lineRule="auto"/>
        <w:ind w:firstLine="0"/>
        <w:jc w:val="both"/>
        <w:rPr>
          <w:rFonts w:ascii="Arial" w:eastAsia="Calibri" w:hAnsi="Arial" w:cs="Arial"/>
          <w:sz w:val="20"/>
          <w:szCs w:val="20"/>
        </w:rPr>
      </w:pPr>
      <w:r>
        <w:rPr>
          <w:rFonts w:ascii="Arial" w:eastAsia="Calibri" w:hAnsi="Arial" w:cs="Arial"/>
          <w:sz w:val="20"/>
          <w:szCs w:val="20"/>
        </w:rPr>
        <w:t>D</w:t>
      </w:r>
      <w:r w:rsidRPr="0057696A">
        <w:rPr>
          <w:rFonts w:ascii="Arial" w:eastAsia="Calibri" w:hAnsi="Arial" w:cs="Arial"/>
          <w:sz w:val="20"/>
          <w:szCs w:val="20"/>
        </w:rPr>
        <w:t xml:space="preserve">oloča </w:t>
      </w:r>
      <w:r>
        <w:rPr>
          <w:rFonts w:ascii="Arial" w:eastAsia="Calibri" w:hAnsi="Arial" w:cs="Arial"/>
          <w:sz w:val="20"/>
          <w:szCs w:val="20"/>
        </w:rPr>
        <w:t xml:space="preserve">se </w:t>
      </w:r>
      <w:r w:rsidRPr="0057696A">
        <w:rPr>
          <w:rFonts w:ascii="Arial" w:eastAsia="Calibri" w:hAnsi="Arial" w:cs="Arial"/>
          <w:sz w:val="20"/>
          <w:szCs w:val="20"/>
        </w:rPr>
        <w:t xml:space="preserve">prenehanje </w:t>
      </w:r>
      <w:r>
        <w:rPr>
          <w:rFonts w:ascii="Arial" w:eastAsia="Calibri" w:hAnsi="Arial" w:cs="Arial"/>
          <w:sz w:val="20"/>
          <w:szCs w:val="20"/>
        </w:rPr>
        <w:t>veljavnosti</w:t>
      </w:r>
      <w:r w:rsidRPr="0057696A">
        <w:rPr>
          <w:rFonts w:ascii="Arial" w:eastAsia="Calibri" w:hAnsi="Arial" w:cs="Arial"/>
          <w:sz w:val="20"/>
          <w:szCs w:val="20"/>
        </w:rPr>
        <w:t xml:space="preserve"> Pravilnika o času dela in času počitka kontrolorjev zračnega prometa (Uradni list RS, št. 12/12) in Pravilnika o načinu in pogojih izrabe rekreacijskega dopusta kontrolorjev letenja in pomočnikov kontrolorjev letenja uprave Republike Slovenije za zračno plovbo (Uradni list RS, št. 79/97 in 18/01 – Z</w:t>
      </w:r>
      <w:r>
        <w:rPr>
          <w:rFonts w:ascii="Arial" w:eastAsia="Calibri" w:hAnsi="Arial" w:cs="Arial"/>
          <w:sz w:val="20"/>
          <w:szCs w:val="20"/>
        </w:rPr>
        <w:t>L</w:t>
      </w:r>
      <w:r w:rsidRPr="0057696A">
        <w:rPr>
          <w:rFonts w:ascii="Arial" w:eastAsia="Calibri" w:hAnsi="Arial" w:cs="Arial"/>
          <w:sz w:val="20"/>
          <w:szCs w:val="20"/>
        </w:rPr>
        <w:t>et)</w:t>
      </w:r>
      <w:r>
        <w:rPr>
          <w:rFonts w:ascii="Arial" w:eastAsia="Calibri" w:hAnsi="Arial" w:cs="Arial"/>
          <w:sz w:val="20"/>
          <w:szCs w:val="20"/>
        </w:rPr>
        <w:t>.</w:t>
      </w:r>
    </w:p>
    <w:p w14:paraId="353B7D60" w14:textId="77777777" w:rsidR="00882C37" w:rsidRPr="006052AD" w:rsidRDefault="00882C37" w:rsidP="00882C37">
      <w:pPr>
        <w:pStyle w:val="zamik"/>
        <w:spacing w:before="210" w:after="210" w:line="276" w:lineRule="auto"/>
        <w:ind w:firstLine="0"/>
        <w:jc w:val="both"/>
        <w:rPr>
          <w:rFonts w:ascii="Arial" w:eastAsia="Calibri" w:hAnsi="Arial" w:cs="Arial"/>
          <w:sz w:val="20"/>
          <w:szCs w:val="20"/>
        </w:rPr>
      </w:pPr>
      <w:r w:rsidRPr="006052AD">
        <w:rPr>
          <w:rFonts w:ascii="Arial" w:eastAsia="Calibri" w:hAnsi="Arial" w:cs="Arial"/>
          <w:sz w:val="20"/>
          <w:szCs w:val="20"/>
        </w:rPr>
        <w:t>Pravilnik o času dela in času počitka kontrolorjev zračnega prometa (Uradni list RS, št. 12/12)</w:t>
      </w:r>
      <w:r>
        <w:rPr>
          <w:rFonts w:ascii="Arial" w:eastAsia="Calibri" w:hAnsi="Arial" w:cs="Arial"/>
          <w:sz w:val="20"/>
          <w:szCs w:val="20"/>
        </w:rPr>
        <w:t xml:space="preserve"> je</w:t>
      </w:r>
      <w:r w:rsidRPr="006052AD">
        <w:rPr>
          <w:rFonts w:ascii="Arial" w:eastAsia="Calibri" w:hAnsi="Arial" w:cs="Arial"/>
          <w:sz w:val="20"/>
          <w:szCs w:val="20"/>
        </w:rPr>
        <w:t xml:space="preserve"> veljaven od 3. 3. 2012 in nikoli ni bil razveljavljen, </w:t>
      </w:r>
      <w:r w:rsidRPr="0057696A">
        <w:rPr>
          <w:rFonts w:ascii="Arial" w:eastAsia="Calibri" w:hAnsi="Arial" w:cs="Arial"/>
          <w:sz w:val="20"/>
          <w:szCs w:val="20"/>
        </w:rPr>
        <w:t>področje</w:t>
      </w:r>
      <w:r>
        <w:rPr>
          <w:rFonts w:ascii="Arial" w:eastAsia="Calibri" w:hAnsi="Arial" w:cs="Arial"/>
          <w:sz w:val="20"/>
          <w:szCs w:val="20"/>
        </w:rPr>
        <w:t xml:space="preserve"> pa je</w:t>
      </w:r>
      <w:r w:rsidRPr="0057696A">
        <w:rPr>
          <w:rFonts w:ascii="Arial" w:eastAsia="Calibri" w:hAnsi="Arial" w:cs="Arial"/>
          <w:sz w:val="20"/>
          <w:szCs w:val="20"/>
        </w:rPr>
        <w:t xml:space="preserve"> ustrezno urejeno s pravom Evropske unije</w:t>
      </w:r>
      <w:r>
        <w:rPr>
          <w:rFonts w:ascii="Arial" w:eastAsia="Calibri" w:hAnsi="Arial" w:cs="Arial"/>
          <w:sz w:val="20"/>
          <w:szCs w:val="20"/>
        </w:rPr>
        <w:t>,</w:t>
      </w:r>
      <w:r w:rsidRPr="006052AD">
        <w:rPr>
          <w:rFonts w:ascii="Arial" w:eastAsia="Calibri" w:hAnsi="Arial" w:cs="Arial"/>
          <w:sz w:val="20"/>
          <w:szCs w:val="20"/>
        </w:rPr>
        <w:t xml:space="preserve"> zato </w:t>
      </w:r>
      <w:r>
        <w:rPr>
          <w:rFonts w:ascii="Arial" w:eastAsia="Calibri" w:hAnsi="Arial" w:cs="Arial"/>
          <w:sz w:val="20"/>
          <w:szCs w:val="20"/>
        </w:rPr>
        <w:t>se predlaga</w:t>
      </w:r>
      <w:r w:rsidRPr="006052AD">
        <w:rPr>
          <w:rFonts w:ascii="Arial" w:eastAsia="Calibri" w:hAnsi="Arial" w:cs="Arial"/>
          <w:sz w:val="20"/>
          <w:szCs w:val="20"/>
        </w:rPr>
        <w:t xml:space="preserve"> preneha</w:t>
      </w:r>
      <w:r>
        <w:rPr>
          <w:rFonts w:ascii="Arial" w:eastAsia="Calibri" w:hAnsi="Arial" w:cs="Arial"/>
          <w:sz w:val="20"/>
          <w:szCs w:val="20"/>
        </w:rPr>
        <w:t>nje njegove</w:t>
      </w:r>
      <w:r w:rsidRPr="006052AD">
        <w:rPr>
          <w:rFonts w:ascii="Arial" w:eastAsia="Calibri" w:hAnsi="Arial" w:cs="Arial"/>
          <w:sz w:val="20"/>
          <w:szCs w:val="20"/>
        </w:rPr>
        <w:t xml:space="preserve"> velja</w:t>
      </w:r>
      <w:r>
        <w:rPr>
          <w:rFonts w:ascii="Arial" w:eastAsia="Calibri" w:hAnsi="Arial" w:cs="Arial"/>
          <w:sz w:val="20"/>
          <w:szCs w:val="20"/>
        </w:rPr>
        <w:t>vnosti</w:t>
      </w:r>
      <w:r w:rsidRPr="006052AD">
        <w:rPr>
          <w:rFonts w:ascii="Arial" w:eastAsia="Calibri" w:hAnsi="Arial" w:cs="Arial"/>
          <w:sz w:val="20"/>
          <w:szCs w:val="20"/>
        </w:rPr>
        <w:t xml:space="preserve">. </w:t>
      </w:r>
    </w:p>
    <w:p w14:paraId="464594E4" w14:textId="77777777" w:rsidR="00882C37" w:rsidRPr="0057696A" w:rsidRDefault="00882C37" w:rsidP="00882C37">
      <w:pPr>
        <w:pStyle w:val="zamik"/>
        <w:spacing w:before="210" w:after="210" w:line="276" w:lineRule="auto"/>
        <w:ind w:firstLine="0"/>
        <w:jc w:val="both"/>
        <w:rPr>
          <w:rFonts w:ascii="Arial" w:eastAsia="Calibri" w:hAnsi="Arial" w:cs="Arial"/>
          <w:sz w:val="20"/>
          <w:szCs w:val="20"/>
        </w:rPr>
      </w:pPr>
      <w:r>
        <w:rPr>
          <w:rFonts w:ascii="Arial" w:eastAsia="Calibri" w:hAnsi="Arial" w:cs="Arial"/>
          <w:sz w:val="20"/>
          <w:szCs w:val="20"/>
        </w:rPr>
        <w:t xml:space="preserve">Zakon o letalstvu (Uradni list RS, št. 18/01; v nadaljevanju: ZLet) je v 16. točki drugega odstavka 201. člena določil, da se </w:t>
      </w:r>
      <w:r w:rsidRPr="0057696A">
        <w:rPr>
          <w:rFonts w:ascii="Arial" w:eastAsia="Calibri" w:hAnsi="Arial" w:cs="Arial"/>
          <w:sz w:val="20"/>
          <w:szCs w:val="20"/>
        </w:rPr>
        <w:t>Pravilnik o načinu in pogojih izrabe rekreacijskega dopusta kontrolorjev letenja in pomočnikov kontrolorjev letenja uprave Republike Slovenije za zračno plovbo (Uradni list RS, št. 79/97 in 18/01 – Z</w:t>
      </w:r>
      <w:r>
        <w:rPr>
          <w:rFonts w:ascii="Arial" w:eastAsia="Calibri" w:hAnsi="Arial" w:cs="Arial"/>
          <w:sz w:val="20"/>
          <w:szCs w:val="20"/>
        </w:rPr>
        <w:t>L</w:t>
      </w:r>
      <w:r w:rsidRPr="0057696A">
        <w:rPr>
          <w:rFonts w:ascii="Arial" w:eastAsia="Calibri" w:hAnsi="Arial" w:cs="Arial"/>
          <w:sz w:val="20"/>
          <w:szCs w:val="20"/>
        </w:rPr>
        <w:t>et)</w:t>
      </w:r>
      <w:r>
        <w:rPr>
          <w:rFonts w:ascii="Arial" w:eastAsia="Calibri" w:hAnsi="Arial" w:cs="Arial"/>
          <w:sz w:val="20"/>
          <w:szCs w:val="20"/>
        </w:rPr>
        <w:t xml:space="preserve"> </w:t>
      </w:r>
      <w:r w:rsidRPr="006052AD">
        <w:rPr>
          <w:rFonts w:ascii="Arial" w:eastAsia="Calibri" w:hAnsi="Arial" w:cs="Arial"/>
          <w:sz w:val="20"/>
          <w:szCs w:val="20"/>
        </w:rPr>
        <w:t>uporablja v R</w:t>
      </w:r>
      <w:r>
        <w:rPr>
          <w:rFonts w:ascii="Arial" w:eastAsia="Calibri" w:hAnsi="Arial" w:cs="Arial"/>
          <w:sz w:val="20"/>
          <w:szCs w:val="20"/>
        </w:rPr>
        <w:t xml:space="preserve">epubliki </w:t>
      </w:r>
      <w:r w:rsidRPr="006052AD">
        <w:rPr>
          <w:rFonts w:ascii="Arial" w:eastAsia="Calibri" w:hAnsi="Arial" w:cs="Arial"/>
          <w:sz w:val="20"/>
          <w:szCs w:val="20"/>
        </w:rPr>
        <w:t>S</w:t>
      </w:r>
      <w:r>
        <w:rPr>
          <w:rFonts w:ascii="Arial" w:eastAsia="Calibri" w:hAnsi="Arial" w:cs="Arial"/>
          <w:sz w:val="20"/>
          <w:szCs w:val="20"/>
        </w:rPr>
        <w:t>loveniji</w:t>
      </w:r>
      <w:r w:rsidRPr="006052AD">
        <w:rPr>
          <w:rFonts w:ascii="Arial" w:eastAsia="Calibri" w:hAnsi="Arial" w:cs="Arial"/>
          <w:sz w:val="20"/>
          <w:szCs w:val="20"/>
        </w:rPr>
        <w:t xml:space="preserve"> do uveljavitve predpisa po določbah ZLet, kolikor ni z njim v nasprotju. Predpis na podlagi ZLet ni bil nikoli sprejet, zato se še naprej uporablja. Glede na to, da </w:t>
      </w:r>
      <w:r>
        <w:rPr>
          <w:rFonts w:ascii="Arial" w:eastAsia="Calibri" w:hAnsi="Arial" w:cs="Arial"/>
          <w:sz w:val="20"/>
          <w:szCs w:val="20"/>
        </w:rPr>
        <w:t>t</w:t>
      </w:r>
      <w:r w:rsidRPr="006052AD">
        <w:rPr>
          <w:rFonts w:ascii="Arial" w:eastAsia="Calibri" w:hAnsi="Arial" w:cs="Arial"/>
          <w:sz w:val="20"/>
          <w:szCs w:val="20"/>
        </w:rPr>
        <w:t>a pravilnik ni bil nikoli izrecno razveljavljen</w:t>
      </w:r>
      <w:r>
        <w:rPr>
          <w:rFonts w:ascii="Arial" w:eastAsia="Calibri" w:hAnsi="Arial" w:cs="Arial"/>
          <w:sz w:val="20"/>
          <w:szCs w:val="20"/>
        </w:rPr>
        <w:t xml:space="preserve">, </w:t>
      </w:r>
      <w:r w:rsidRPr="0057696A">
        <w:rPr>
          <w:rFonts w:ascii="Arial" w:eastAsia="Calibri" w:hAnsi="Arial" w:cs="Arial"/>
          <w:sz w:val="20"/>
          <w:szCs w:val="20"/>
        </w:rPr>
        <w:t>področje</w:t>
      </w:r>
      <w:r>
        <w:rPr>
          <w:rFonts w:ascii="Arial" w:eastAsia="Calibri" w:hAnsi="Arial" w:cs="Arial"/>
          <w:sz w:val="20"/>
          <w:szCs w:val="20"/>
        </w:rPr>
        <w:t xml:space="preserve"> pa je</w:t>
      </w:r>
      <w:r w:rsidRPr="0057696A">
        <w:rPr>
          <w:rFonts w:ascii="Arial" w:eastAsia="Calibri" w:hAnsi="Arial" w:cs="Arial"/>
          <w:sz w:val="20"/>
          <w:szCs w:val="20"/>
        </w:rPr>
        <w:t xml:space="preserve"> ustrezno urejeno s pravom Evropske unije, se predlaga prenehanje njegove </w:t>
      </w:r>
      <w:r>
        <w:rPr>
          <w:rFonts w:ascii="Arial" w:eastAsia="Calibri" w:hAnsi="Arial" w:cs="Arial"/>
          <w:sz w:val="20"/>
          <w:szCs w:val="20"/>
        </w:rPr>
        <w:t>veljavnosti</w:t>
      </w:r>
      <w:r w:rsidRPr="002A2865">
        <w:rPr>
          <w:rFonts w:ascii="Arial" w:eastAsia="Calibri" w:hAnsi="Arial" w:cs="Arial"/>
          <w:sz w:val="20"/>
          <w:szCs w:val="20"/>
        </w:rPr>
        <w:t>.</w:t>
      </w:r>
    </w:p>
    <w:p w14:paraId="766DDC2F" w14:textId="77777777" w:rsidR="00882C37" w:rsidRPr="002A2865" w:rsidRDefault="00882C37" w:rsidP="00882C37">
      <w:pPr>
        <w:pStyle w:val="zamik"/>
        <w:spacing w:before="210" w:after="210" w:line="276" w:lineRule="auto"/>
        <w:ind w:firstLine="0"/>
        <w:jc w:val="both"/>
        <w:rPr>
          <w:rFonts w:ascii="Arial" w:eastAsia="Calibri" w:hAnsi="Arial" w:cs="Arial"/>
          <w:sz w:val="20"/>
          <w:szCs w:val="20"/>
        </w:rPr>
      </w:pPr>
      <w:r w:rsidRPr="002A2865">
        <w:rPr>
          <w:rFonts w:ascii="Arial" w:eastAsia="Calibri" w:hAnsi="Arial" w:cs="Arial"/>
          <w:sz w:val="20"/>
          <w:szCs w:val="20"/>
        </w:rPr>
        <w:t xml:space="preserve">Izvedbena uredba Komisije EU št. 2017/373 z dne 1. marca 2017 o skupnih zahtevah za izvajalce storitev upravljanja zračnega prometa/izvajanja navigacijskih služb zračnega prometa in drugih funkcij omrežja za upravljanje zračnega prometa ter njihov nadzor, razveljavitvi Uredbe (ES) št. 482/2008, izvedbenih uredb (EU) št. 1034/2011, (EU) št. 1035/2011 in (EU) 2016/1377 ter spremembi Uredbe (EU) št. 677/2011 </w:t>
      </w:r>
      <w:r w:rsidRPr="0057696A">
        <w:rPr>
          <w:rFonts w:ascii="Arial" w:eastAsia="Calibri" w:hAnsi="Arial" w:cs="Arial"/>
          <w:sz w:val="20"/>
          <w:szCs w:val="20"/>
        </w:rPr>
        <w:t>(UL L 62 z dne 8. 3. 2017, str. 1), zadnjič spremenjena z Izvedbeno uredbo Komisije</w:t>
      </w:r>
      <w:r w:rsidRPr="009044CA">
        <w:rPr>
          <w:rFonts w:ascii="Arial" w:eastAsia="Calibri" w:hAnsi="Arial" w:cs="Arial"/>
          <w:sz w:val="20"/>
          <w:szCs w:val="20"/>
        </w:rPr>
        <w:t xml:space="preserve"> (EU) 2025/343</w:t>
      </w:r>
      <w:r w:rsidRPr="0057696A">
        <w:rPr>
          <w:rFonts w:ascii="Arial" w:eastAsia="Calibri" w:hAnsi="Arial" w:cs="Arial"/>
          <w:sz w:val="20"/>
          <w:szCs w:val="20"/>
        </w:rPr>
        <w:t xml:space="preserve"> </w:t>
      </w:r>
      <w:r w:rsidRPr="009044CA">
        <w:rPr>
          <w:rFonts w:ascii="Arial" w:eastAsia="Calibri" w:hAnsi="Arial" w:cs="Arial"/>
          <w:sz w:val="20"/>
          <w:szCs w:val="20"/>
        </w:rPr>
        <w:t>z dne 17. februarja 2025</w:t>
      </w:r>
      <w:r w:rsidRPr="0057696A">
        <w:rPr>
          <w:rFonts w:ascii="Arial" w:eastAsia="Calibri" w:hAnsi="Arial" w:cs="Arial"/>
          <w:sz w:val="20"/>
          <w:szCs w:val="20"/>
        </w:rPr>
        <w:t xml:space="preserve"> </w:t>
      </w:r>
      <w:r w:rsidRPr="009044CA">
        <w:rPr>
          <w:rFonts w:ascii="Arial" w:eastAsia="Calibri" w:hAnsi="Arial" w:cs="Arial"/>
          <w:sz w:val="20"/>
          <w:szCs w:val="20"/>
        </w:rPr>
        <w:t>o spremembi Uredbe (EU) št. 1332/2011 in Izvedbene uredbe (EU) 2017/373 v zvezi s sistemi za izogibanje trčenjem v zraku</w:t>
      </w:r>
      <w:r w:rsidRPr="0057696A">
        <w:rPr>
          <w:rFonts w:ascii="Arial" w:eastAsia="Calibri" w:hAnsi="Arial" w:cs="Arial"/>
          <w:sz w:val="20"/>
          <w:szCs w:val="20"/>
        </w:rPr>
        <w:t xml:space="preserve"> (UL L </w:t>
      </w:r>
      <w:r w:rsidRPr="0057696A">
        <w:rPr>
          <w:rFonts w:ascii="Arial" w:eastAsia="Calibri" w:hAnsi="Arial" w:cs="Arial"/>
          <w:i/>
          <w:iCs/>
          <w:sz w:val="20"/>
          <w:szCs w:val="20"/>
        </w:rPr>
        <w:t xml:space="preserve">2025/343 </w:t>
      </w:r>
      <w:r w:rsidRPr="0057696A">
        <w:rPr>
          <w:rFonts w:ascii="Arial" w:eastAsia="Calibri" w:hAnsi="Arial" w:cs="Arial"/>
          <w:sz w:val="20"/>
          <w:szCs w:val="20"/>
        </w:rPr>
        <w:t xml:space="preserve">z dne 18. 2. 2025, str. 1) </w:t>
      </w:r>
      <w:r>
        <w:rPr>
          <w:rFonts w:ascii="Arial" w:eastAsia="Calibri" w:hAnsi="Arial" w:cs="Arial"/>
          <w:sz w:val="20"/>
          <w:szCs w:val="20"/>
        </w:rPr>
        <w:t xml:space="preserve">med drugim </w:t>
      </w:r>
      <w:r w:rsidRPr="002A2865">
        <w:rPr>
          <w:rFonts w:ascii="Arial" w:eastAsia="Calibri" w:hAnsi="Arial" w:cs="Arial"/>
          <w:sz w:val="20"/>
          <w:szCs w:val="20"/>
        </w:rPr>
        <w:t xml:space="preserve">določa skupne zahteve za upravljanje zračnega prometa in izvajanje navigacijskih služb zračnega prometa ter izvajanja drugih funkcij omrežja za upravljanje zračnega prometa za splošni zračni promet, zlasti za pravne ali fizične osebe, ki izvajajo navedene storitve in funkcije. </w:t>
      </w:r>
    </w:p>
    <w:p w14:paraId="6FA4E810" w14:textId="77777777" w:rsidR="00882C37" w:rsidRDefault="00882C37" w:rsidP="00882C37">
      <w:pPr>
        <w:pStyle w:val="zamik"/>
        <w:spacing w:before="210" w:after="210" w:line="276" w:lineRule="auto"/>
        <w:ind w:firstLine="0"/>
        <w:jc w:val="both"/>
        <w:rPr>
          <w:rFonts w:ascii="Arial" w:eastAsia="Calibri" w:hAnsi="Arial" w:cs="Arial"/>
          <w:sz w:val="20"/>
          <w:szCs w:val="20"/>
        </w:rPr>
      </w:pPr>
      <w:r w:rsidRPr="002A2865">
        <w:rPr>
          <w:rFonts w:ascii="Arial" w:eastAsia="Calibri" w:hAnsi="Arial" w:cs="Arial"/>
          <w:sz w:val="20"/>
          <w:szCs w:val="20"/>
        </w:rPr>
        <w:t>Izvajalci služb kontrole zračnega prometa v državah članicah E</w:t>
      </w:r>
      <w:r w:rsidRPr="0057696A">
        <w:rPr>
          <w:rFonts w:ascii="Arial" w:eastAsia="Calibri" w:hAnsi="Arial" w:cs="Arial"/>
          <w:sz w:val="20"/>
          <w:szCs w:val="20"/>
        </w:rPr>
        <w:t>vropske unije</w:t>
      </w:r>
      <w:r w:rsidRPr="002A2865">
        <w:rPr>
          <w:rFonts w:ascii="Arial" w:eastAsia="Calibri" w:hAnsi="Arial" w:cs="Arial"/>
          <w:sz w:val="20"/>
          <w:szCs w:val="20"/>
        </w:rPr>
        <w:t xml:space="preserve"> morajo v skladu s členom ATS.OR.320 Oddelka III, Poddela A, Priloge IV k uredbi skrbeti za razvoj, izvajanje in spremljanje t. i. »sistema razporeda dela« (ki pomeni izmenjavo dveh obdobij, tj. »delovno obdobje« (</w:t>
      </w:r>
      <w:r w:rsidRPr="002A2865">
        <w:rPr>
          <w:rFonts w:ascii="Arial" w:eastAsia="Calibri" w:hAnsi="Arial" w:cs="Arial"/>
          <w:i/>
          <w:iCs/>
          <w:sz w:val="20"/>
          <w:szCs w:val="20"/>
        </w:rPr>
        <w:t>angl</w:t>
      </w:r>
      <w:r w:rsidRPr="002A2865">
        <w:rPr>
          <w:rFonts w:ascii="Arial" w:eastAsia="Calibri" w:hAnsi="Arial" w:cs="Arial"/>
          <w:sz w:val="20"/>
          <w:szCs w:val="20"/>
        </w:rPr>
        <w:t>. »</w:t>
      </w:r>
      <w:proofErr w:type="spellStart"/>
      <w:r w:rsidRPr="002A2865">
        <w:rPr>
          <w:rFonts w:ascii="Arial" w:eastAsia="Calibri" w:hAnsi="Arial" w:cs="Arial"/>
          <w:i/>
          <w:iCs/>
          <w:sz w:val="20"/>
          <w:szCs w:val="20"/>
        </w:rPr>
        <w:t>Duty</w:t>
      </w:r>
      <w:proofErr w:type="spellEnd"/>
      <w:r w:rsidRPr="002A2865">
        <w:rPr>
          <w:rFonts w:ascii="Arial" w:eastAsia="Calibri" w:hAnsi="Arial" w:cs="Arial"/>
          <w:i/>
          <w:iCs/>
          <w:sz w:val="20"/>
          <w:szCs w:val="20"/>
        </w:rPr>
        <w:t xml:space="preserve"> period</w:t>
      </w:r>
      <w:r w:rsidRPr="002A2865">
        <w:rPr>
          <w:rFonts w:ascii="Arial" w:eastAsia="Calibri" w:hAnsi="Arial" w:cs="Arial"/>
          <w:sz w:val="20"/>
          <w:szCs w:val="20"/>
        </w:rPr>
        <w:t>«) in »obdobje počitka« (</w:t>
      </w:r>
      <w:r w:rsidRPr="002A2865">
        <w:rPr>
          <w:rFonts w:ascii="Arial" w:eastAsia="Calibri" w:hAnsi="Arial" w:cs="Arial"/>
          <w:i/>
          <w:iCs/>
          <w:sz w:val="20"/>
          <w:szCs w:val="20"/>
        </w:rPr>
        <w:t>angl. »</w:t>
      </w:r>
      <w:proofErr w:type="spellStart"/>
      <w:r w:rsidRPr="002A2865">
        <w:rPr>
          <w:rFonts w:ascii="Arial" w:eastAsia="Calibri" w:hAnsi="Arial" w:cs="Arial"/>
          <w:i/>
          <w:iCs/>
          <w:sz w:val="20"/>
          <w:szCs w:val="20"/>
        </w:rPr>
        <w:t>Rest</w:t>
      </w:r>
      <w:proofErr w:type="spellEnd"/>
      <w:r w:rsidRPr="002A2865">
        <w:rPr>
          <w:rFonts w:ascii="Arial" w:eastAsia="Calibri" w:hAnsi="Arial" w:cs="Arial"/>
          <w:i/>
          <w:iCs/>
          <w:sz w:val="20"/>
          <w:szCs w:val="20"/>
        </w:rPr>
        <w:t xml:space="preserve"> period«</w:t>
      </w:r>
      <w:r w:rsidRPr="002A2865">
        <w:rPr>
          <w:rFonts w:ascii="Arial" w:eastAsia="Calibri" w:hAnsi="Arial" w:cs="Arial"/>
          <w:sz w:val="20"/>
          <w:szCs w:val="20"/>
        </w:rPr>
        <w:t>)), s katerim se na podlagi varne izmenjave obeh obdobij obvladujejo tveganja za utrujenost kontrolorjev pri delu. V skladu s členom ATS.OR.320 Oddelka III, Poddela A, Priloge IV k uredbi morajo izvajalci izpolnjevati zahteve za preprečitev in ublažitev negativnih posledic stresa in utrujenosti kontrolorjev zračnega prometa, da se zagotovi varnost zračnega prometa (</w:t>
      </w:r>
      <w:r w:rsidRPr="0057696A">
        <w:rPr>
          <w:rFonts w:ascii="Arial" w:eastAsia="Calibri" w:hAnsi="Arial" w:cs="Arial"/>
          <w:i/>
          <w:iCs/>
          <w:sz w:val="20"/>
          <w:szCs w:val="20"/>
        </w:rPr>
        <w:t>angl</w:t>
      </w:r>
      <w:r w:rsidRPr="0057696A">
        <w:rPr>
          <w:rFonts w:ascii="Arial" w:eastAsia="Calibri" w:hAnsi="Arial" w:cs="Arial"/>
          <w:sz w:val="20"/>
          <w:szCs w:val="20"/>
        </w:rPr>
        <w:t>.</w:t>
      </w:r>
      <w:r w:rsidRPr="002A2865">
        <w:rPr>
          <w:rFonts w:ascii="Arial" w:eastAsia="Calibri" w:hAnsi="Arial" w:cs="Arial"/>
          <w:sz w:val="20"/>
          <w:szCs w:val="20"/>
        </w:rPr>
        <w:t xml:space="preserve"> </w:t>
      </w:r>
      <w:proofErr w:type="spellStart"/>
      <w:r w:rsidRPr="002A2865">
        <w:rPr>
          <w:rFonts w:ascii="Arial" w:eastAsia="Calibri" w:hAnsi="Arial" w:cs="Arial"/>
          <w:i/>
          <w:iCs/>
          <w:sz w:val="20"/>
          <w:szCs w:val="20"/>
        </w:rPr>
        <w:t>fatigue</w:t>
      </w:r>
      <w:proofErr w:type="spellEnd"/>
      <w:r w:rsidRPr="002A2865">
        <w:rPr>
          <w:rFonts w:ascii="Arial" w:eastAsia="Calibri" w:hAnsi="Arial" w:cs="Arial"/>
          <w:i/>
          <w:iCs/>
          <w:sz w:val="20"/>
          <w:szCs w:val="20"/>
        </w:rPr>
        <w:t xml:space="preserve"> management</w:t>
      </w:r>
      <w:r w:rsidRPr="002A2865">
        <w:rPr>
          <w:rFonts w:ascii="Arial" w:eastAsia="Calibri" w:hAnsi="Arial" w:cs="Arial"/>
          <w:sz w:val="20"/>
          <w:szCs w:val="20"/>
        </w:rPr>
        <w:t>), med katere glede na prakse držav članic E</w:t>
      </w:r>
      <w:r w:rsidRPr="0057696A">
        <w:rPr>
          <w:rFonts w:ascii="Arial" w:eastAsia="Calibri" w:hAnsi="Arial" w:cs="Arial"/>
          <w:sz w:val="20"/>
          <w:szCs w:val="20"/>
        </w:rPr>
        <w:t>vropske unije</w:t>
      </w:r>
      <w:r w:rsidRPr="002A2865">
        <w:rPr>
          <w:rFonts w:ascii="Arial" w:eastAsia="Calibri" w:hAnsi="Arial" w:cs="Arial"/>
          <w:sz w:val="20"/>
          <w:szCs w:val="20"/>
        </w:rPr>
        <w:t xml:space="preserve"> spada tudi omogočanje (izrabe) rekreacijskega dopusta.</w:t>
      </w:r>
      <w:r w:rsidRPr="0057696A">
        <w:rPr>
          <w:rFonts w:ascii="Arial" w:eastAsia="Calibri" w:hAnsi="Arial" w:cs="Arial"/>
          <w:sz w:val="20"/>
          <w:szCs w:val="20"/>
        </w:rPr>
        <w:t xml:space="preserve"> </w:t>
      </w:r>
      <w:r w:rsidRPr="002A2865">
        <w:rPr>
          <w:rFonts w:ascii="Arial" w:eastAsia="Calibri" w:hAnsi="Arial" w:cs="Arial"/>
          <w:sz w:val="20"/>
          <w:szCs w:val="20"/>
        </w:rPr>
        <w:t>Izvedbena uredba učinkuje neposredno v vseh državah članicah E</w:t>
      </w:r>
      <w:r w:rsidRPr="0057696A">
        <w:rPr>
          <w:rFonts w:ascii="Arial" w:eastAsia="Calibri" w:hAnsi="Arial" w:cs="Arial"/>
          <w:sz w:val="20"/>
          <w:szCs w:val="20"/>
        </w:rPr>
        <w:t>vropske unije, u</w:t>
      </w:r>
      <w:r w:rsidRPr="002A2865">
        <w:rPr>
          <w:rFonts w:ascii="Arial" w:eastAsia="Calibri" w:hAnsi="Arial" w:cs="Arial"/>
          <w:sz w:val="20"/>
          <w:szCs w:val="20"/>
        </w:rPr>
        <w:t xml:space="preserve">porablja </w:t>
      </w:r>
      <w:r w:rsidRPr="0057696A">
        <w:rPr>
          <w:rFonts w:ascii="Arial" w:eastAsia="Calibri" w:hAnsi="Arial" w:cs="Arial"/>
          <w:sz w:val="20"/>
          <w:szCs w:val="20"/>
        </w:rPr>
        <w:t xml:space="preserve">pa </w:t>
      </w:r>
      <w:r w:rsidRPr="002A2865">
        <w:rPr>
          <w:rFonts w:ascii="Arial" w:eastAsia="Calibri" w:hAnsi="Arial" w:cs="Arial"/>
          <w:sz w:val="20"/>
          <w:szCs w:val="20"/>
        </w:rPr>
        <w:t>se od 2. 1. 2020.  </w:t>
      </w:r>
    </w:p>
    <w:p w14:paraId="2467AAB8" w14:textId="77777777" w:rsidR="00882C37" w:rsidRDefault="00882C37" w:rsidP="00882C37">
      <w:pPr>
        <w:pStyle w:val="zamik"/>
        <w:spacing w:before="210" w:after="210" w:line="276" w:lineRule="auto"/>
        <w:ind w:firstLine="0"/>
        <w:jc w:val="both"/>
        <w:rPr>
          <w:rFonts w:ascii="Arial" w:eastAsia="Calibri" w:hAnsi="Arial" w:cs="Arial"/>
          <w:sz w:val="20"/>
          <w:szCs w:val="20"/>
        </w:rPr>
      </w:pPr>
    </w:p>
    <w:p w14:paraId="380D26E4" w14:textId="77777777" w:rsidR="00882C37" w:rsidRPr="002A2865" w:rsidRDefault="00882C37" w:rsidP="00882C37">
      <w:pPr>
        <w:pStyle w:val="zamik"/>
        <w:spacing w:before="210" w:after="210" w:line="276" w:lineRule="auto"/>
        <w:ind w:firstLine="0"/>
        <w:jc w:val="both"/>
        <w:rPr>
          <w:rFonts w:ascii="Arial" w:eastAsia="Calibri" w:hAnsi="Arial" w:cs="Arial"/>
          <w:sz w:val="20"/>
          <w:szCs w:val="20"/>
        </w:rPr>
      </w:pPr>
    </w:p>
    <w:p w14:paraId="6B99CEB2" w14:textId="77777777" w:rsidR="00882C37" w:rsidRDefault="00882C37" w:rsidP="00882C37">
      <w:pPr>
        <w:pStyle w:val="zamik"/>
        <w:spacing w:before="210" w:after="210" w:line="276" w:lineRule="auto"/>
        <w:ind w:firstLine="0"/>
        <w:rPr>
          <w:rFonts w:ascii="Arial" w:eastAsia="Arial" w:hAnsi="Arial" w:cs="Arial"/>
          <w:b/>
          <w:bCs/>
          <w:sz w:val="20"/>
          <w:szCs w:val="20"/>
        </w:rPr>
      </w:pPr>
      <w:r w:rsidRPr="00A53D91">
        <w:rPr>
          <w:rFonts w:ascii="Arial" w:eastAsia="Arial" w:hAnsi="Arial" w:cs="Arial"/>
          <w:b/>
          <w:bCs/>
          <w:sz w:val="20"/>
          <w:szCs w:val="20"/>
        </w:rPr>
        <w:t xml:space="preserve">K </w:t>
      </w:r>
      <w:r>
        <w:rPr>
          <w:rFonts w:ascii="Arial" w:eastAsia="Arial" w:hAnsi="Arial" w:cs="Arial"/>
          <w:b/>
          <w:bCs/>
          <w:sz w:val="20"/>
          <w:szCs w:val="20"/>
        </w:rPr>
        <w:t>3</w:t>
      </w:r>
      <w:r w:rsidRPr="00A53D91">
        <w:rPr>
          <w:rFonts w:ascii="Arial" w:eastAsia="Arial" w:hAnsi="Arial" w:cs="Arial"/>
          <w:b/>
          <w:bCs/>
          <w:sz w:val="20"/>
          <w:szCs w:val="20"/>
        </w:rPr>
        <w:t>. členu</w:t>
      </w:r>
    </w:p>
    <w:p w14:paraId="069B62A7" w14:textId="77777777" w:rsidR="00882C37" w:rsidRDefault="00882C37" w:rsidP="00882C37">
      <w:pPr>
        <w:pStyle w:val="zamik"/>
        <w:spacing w:before="210" w:after="210" w:line="276" w:lineRule="auto"/>
        <w:ind w:firstLine="0"/>
        <w:jc w:val="both"/>
        <w:rPr>
          <w:rFonts w:ascii="Arial" w:eastAsia="Calibri" w:hAnsi="Arial" w:cs="Arial"/>
          <w:sz w:val="20"/>
          <w:szCs w:val="20"/>
        </w:rPr>
      </w:pPr>
      <w:r>
        <w:rPr>
          <w:rFonts w:ascii="Arial" w:hAnsi="Arial" w:cs="Arial"/>
          <w:sz w:val="20"/>
          <w:szCs w:val="20"/>
        </w:rPr>
        <w:t>D</w:t>
      </w:r>
      <w:r w:rsidRPr="00A53D91">
        <w:rPr>
          <w:rFonts w:ascii="Arial" w:hAnsi="Arial" w:cs="Arial"/>
          <w:sz w:val="20"/>
          <w:szCs w:val="20"/>
        </w:rPr>
        <w:t xml:space="preserve">oloča </w:t>
      </w:r>
      <w:r>
        <w:rPr>
          <w:rFonts w:ascii="Arial" w:hAnsi="Arial" w:cs="Arial"/>
          <w:sz w:val="20"/>
          <w:szCs w:val="20"/>
        </w:rPr>
        <w:t xml:space="preserve">se </w:t>
      </w:r>
      <w:r w:rsidRPr="00A53D91">
        <w:rPr>
          <w:rFonts w:ascii="Arial" w:hAnsi="Arial" w:cs="Arial"/>
          <w:sz w:val="20"/>
          <w:szCs w:val="20"/>
        </w:rPr>
        <w:t xml:space="preserve">prenehanje uporabe pravilnikov, ki so bili sprejeti v času Socialistične federativne republike Jugoslavije. Pravilniki niso več v veljavi, se pa še vedno uporabljajo. Pravilnik o </w:t>
      </w:r>
      <w:r w:rsidRPr="00A53D91">
        <w:rPr>
          <w:rFonts w:ascii="Arial" w:eastAsia="Calibri" w:hAnsi="Arial" w:cs="Arial"/>
          <w:sz w:val="20"/>
          <w:szCs w:val="20"/>
        </w:rPr>
        <w:t xml:space="preserve">prostorih, tehnični opremi in načinu pregledovanja letal, potnikov in stvari na javnem letališču (Uradni list SFRJ, št. 8/89, 24/89, 61/90 in Uradni list RS, št. 18/01 – ZLet) in Pravilnik o službi za sprejem in odpremo letal, potnikov in stvari na javnem letališču (Uradni list SFRJ, št. 66/87, 57/90 in Uradni list RS, št. 18/01 – ZLet) je nadomestila </w:t>
      </w:r>
      <w:r w:rsidRPr="00A53D91">
        <w:rPr>
          <w:rFonts w:ascii="Arial" w:hAnsi="Arial" w:cs="Arial"/>
          <w:sz w:val="20"/>
          <w:szCs w:val="20"/>
        </w:rPr>
        <w:t>Uredba (ES) št. 300/2008 Evropskega parlamenta in Sveta z dne 11. marca 2008 o skupnih pravilih na področju varovanja civilnega letalstva in o razveljavitvi Uredbe (ES) št. 2320/2002 (UL L 097, 09.04.2008, str. 72-84). P</w:t>
      </w:r>
      <w:r w:rsidRPr="00A53D91">
        <w:rPr>
          <w:rFonts w:ascii="Arial" w:eastAsia="Calibri" w:hAnsi="Arial" w:cs="Arial"/>
          <w:sz w:val="20"/>
          <w:szCs w:val="20"/>
        </w:rPr>
        <w:t xml:space="preserve">ravilnik o obrazcu stalne in začasne prepustnice za gibanje na javnem letališču (Uradni list SFRJ, št. 32/75), </w:t>
      </w:r>
      <w:hyperlink r:id="rId7" w:history="1">
        <w:r w:rsidRPr="00A53D91">
          <w:rPr>
            <w:rFonts w:ascii="Arial" w:eastAsia="Calibri" w:hAnsi="Arial" w:cs="Arial"/>
            <w:sz w:val="20"/>
            <w:szCs w:val="20"/>
          </w:rPr>
          <w:t>Pravilnik o službi za prvo pomoč na letališču</w:t>
        </w:r>
      </w:hyperlink>
      <w:r w:rsidRPr="00A53D91">
        <w:rPr>
          <w:rFonts w:ascii="Arial" w:eastAsia="Calibri" w:hAnsi="Arial" w:cs="Arial"/>
          <w:sz w:val="20"/>
          <w:szCs w:val="20"/>
        </w:rPr>
        <w:t xml:space="preserve"> (Uradni list SFRJ, št. 57/78)</w:t>
      </w:r>
      <w:r>
        <w:rPr>
          <w:rFonts w:ascii="Arial" w:eastAsia="Calibri" w:hAnsi="Arial" w:cs="Arial"/>
          <w:sz w:val="20"/>
          <w:szCs w:val="20"/>
        </w:rPr>
        <w:t xml:space="preserve"> in</w:t>
      </w:r>
      <w:r w:rsidRPr="00A53D91">
        <w:rPr>
          <w:rFonts w:ascii="Arial" w:eastAsia="Calibri" w:hAnsi="Arial" w:cs="Arial"/>
          <w:sz w:val="20"/>
          <w:szCs w:val="20"/>
        </w:rPr>
        <w:t xml:space="preserve"> </w:t>
      </w:r>
      <w:hyperlink r:id="rId8" w:history="1">
        <w:r w:rsidRPr="00A53D91">
          <w:rPr>
            <w:rFonts w:ascii="Arial" w:eastAsia="Calibri" w:hAnsi="Arial" w:cs="Arial"/>
            <w:sz w:val="20"/>
            <w:szCs w:val="20"/>
          </w:rPr>
          <w:t>Pravilnik o načinu vpisovanja letališč v vpisnik civilnih letališč in vzletišč v vpisnik vzletišč</w:t>
        </w:r>
      </w:hyperlink>
      <w:r w:rsidRPr="00A53D91">
        <w:rPr>
          <w:rFonts w:ascii="Arial" w:eastAsia="Calibri" w:hAnsi="Arial" w:cs="Arial"/>
          <w:sz w:val="20"/>
          <w:szCs w:val="20"/>
        </w:rPr>
        <w:t xml:space="preserve"> (Uradni list SFRJ, št. 11/79) niso več potrebni, saj je vsebina ustrezno urejena z Zakonom o letalstvu (Uradni list RS, št. 85/24) ter podzakonskimi predpisi.</w:t>
      </w:r>
    </w:p>
    <w:p w14:paraId="12244802" w14:textId="77777777" w:rsidR="00882C37" w:rsidRPr="00A53D91" w:rsidRDefault="00882C37" w:rsidP="00882C37">
      <w:pPr>
        <w:pStyle w:val="zamik"/>
        <w:spacing w:before="210" w:after="210" w:line="276" w:lineRule="auto"/>
        <w:ind w:firstLine="0"/>
        <w:rPr>
          <w:rFonts w:ascii="Arial" w:eastAsia="Arial" w:hAnsi="Arial" w:cs="Arial"/>
          <w:b/>
          <w:bCs/>
          <w:sz w:val="20"/>
          <w:szCs w:val="20"/>
        </w:rPr>
      </w:pPr>
      <w:r w:rsidRPr="00A53D91">
        <w:rPr>
          <w:rFonts w:ascii="Arial" w:eastAsia="Arial" w:hAnsi="Arial" w:cs="Arial"/>
          <w:b/>
          <w:bCs/>
          <w:sz w:val="20"/>
          <w:szCs w:val="20"/>
        </w:rPr>
        <w:t xml:space="preserve">K </w:t>
      </w:r>
      <w:r>
        <w:rPr>
          <w:rFonts w:ascii="Arial" w:eastAsia="Arial" w:hAnsi="Arial" w:cs="Arial"/>
          <w:b/>
          <w:bCs/>
          <w:sz w:val="20"/>
          <w:szCs w:val="20"/>
        </w:rPr>
        <w:t>4</w:t>
      </w:r>
      <w:r w:rsidRPr="00A53D91">
        <w:rPr>
          <w:rFonts w:ascii="Arial" w:eastAsia="Arial" w:hAnsi="Arial" w:cs="Arial"/>
          <w:b/>
          <w:bCs/>
          <w:sz w:val="20"/>
          <w:szCs w:val="20"/>
        </w:rPr>
        <w:t>. členu</w:t>
      </w:r>
    </w:p>
    <w:p w14:paraId="14EB3611" w14:textId="77777777" w:rsidR="00882C37" w:rsidRPr="00A53D91" w:rsidRDefault="00882C37" w:rsidP="00882C37">
      <w:pPr>
        <w:pStyle w:val="zamik"/>
        <w:spacing w:before="210" w:after="210" w:line="276" w:lineRule="auto"/>
        <w:ind w:firstLine="0"/>
        <w:jc w:val="both"/>
        <w:rPr>
          <w:rFonts w:ascii="Arial" w:eastAsia="Arial" w:hAnsi="Arial" w:cs="Arial"/>
          <w:sz w:val="20"/>
          <w:szCs w:val="20"/>
        </w:rPr>
      </w:pPr>
      <w:r w:rsidRPr="00A53D91">
        <w:rPr>
          <w:rFonts w:ascii="Arial" w:eastAsia="Arial" w:hAnsi="Arial" w:cs="Arial"/>
          <w:sz w:val="20"/>
          <w:szCs w:val="20"/>
        </w:rPr>
        <w:t xml:space="preserve">Pravilnik določa </w:t>
      </w:r>
      <w:proofErr w:type="spellStart"/>
      <w:r w:rsidRPr="00A53D91">
        <w:rPr>
          <w:rFonts w:ascii="Arial" w:eastAsia="Arial" w:hAnsi="Arial" w:cs="Arial"/>
          <w:i/>
          <w:iCs/>
          <w:sz w:val="20"/>
          <w:szCs w:val="20"/>
        </w:rPr>
        <w:t>vacatio</w:t>
      </w:r>
      <w:proofErr w:type="spellEnd"/>
      <w:r w:rsidRPr="00A53D91">
        <w:rPr>
          <w:rFonts w:ascii="Arial" w:eastAsia="Arial" w:hAnsi="Arial" w:cs="Arial"/>
          <w:i/>
          <w:iCs/>
          <w:sz w:val="20"/>
          <w:szCs w:val="20"/>
        </w:rPr>
        <w:t xml:space="preserve"> </w:t>
      </w:r>
      <w:proofErr w:type="spellStart"/>
      <w:r w:rsidRPr="00A53D91">
        <w:rPr>
          <w:rFonts w:ascii="Arial" w:eastAsia="Arial" w:hAnsi="Arial" w:cs="Arial"/>
          <w:i/>
          <w:iCs/>
          <w:sz w:val="20"/>
          <w:szCs w:val="20"/>
        </w:rPr>
        <w:t>legis</w:t>
      </w:r>
      <w:proofErr w:type="spellEnd"/>
      <w:r w:rsidRPr="00A53D91">
        <w:rPr>
          <w:rFonts w:ascii="Arial" w:eastAsia="Arial" w:hAnsi="Arial" w:cs="Arial"/>
          <w:sz w:val="20"/>
          <w:szCs w:val="20"/>
        </w:rPr>
        <w:t xml:space="preserve"> in začetek uporabe, ki je določen na dan začetka uporabe Zakona o letalstvu (Uradni list RS, št. 85/24).</w:t>
      </w:r>
    </w:p>
    <w:p w14:paraId="0EF6B8DB" w14:textId="5165AAAC" w:rsidR="003F1F28" w:rsidRPr="00882C37" w:rsidRDefault="003F1F28" w:rsidP="00882C37">
      <w:pPr>
        <w:rPr>
          <w:rFonts w:eastAsia="Arial"/>
        </w:rPr>
      </w:pPr>
    </w:p>
    <w:sectPr w:rsidR="003F1F28" w:rsidRPr="00882C37">
      <w:headerReference w:type="default" r:id="rId9"/>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D25BA9" w14:textId="77777777" w:rsidR="002B1EBF" w:rsidRDefault="002B1EBF" w:rsidP="00627C19">
      <w:r>
        <w:separator/>
      </w:r>
    </w:p>
  </w:endnote>
  <w:endnote w:type="continuationSeparator" w:id="0">
    <w:p w14:paraId="275FB979" w14:textId="77777777" w:rsidR="002B1EBF" w:rsidRDefault="002B1EBF" w:rsidP="00627C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848322" w14:textId="77777777" w:rsidR="002B1EBF" w:rsidRDefault="002B1EBF" w:rsidP="00627C19">
      <w:r>
        <w:separator/>
      </w:r>
    </w:p>
  </w:footnote>
  <w:footnote w:type="continuationSeparator" w:id="0">
    <w:p w14:paraId="66107C70" w14:textId="77777777" w:rsidR="002B1EBF" w:rsidRDefault="002B1EBF" w:rsidP="00627C1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69660A" w14:textId="101C0B49" w:rsidR="00627C19" w:rsidRPr="00627C19" w:rsidRDefault="00287A61" w:rsidP="00D31DA5">
    <w:pPr>
      <w:pStyle w:val="Glava"/>
      <w:rPr>
        <w:rFonts w:ascii="Arial" w:hAnsi="Arial" w:cs="Arial"/>
        <w:b/>
        <w:bCs/>
        <w:sz w:val="20"/>
        <w:szCs w:val="20"/>
      </w:rPr>
    </w:pPr>
    <w:r>
      <w:rPr>
        <w:rFonts w:ascii="Arial" w:hAnsi="Arial" w:cs="Arial"/>
        <w:b/>
        <w:bCs/>
        <w:sz w:val="20"/>
        <w:szCs w:val="20"/>
      </w:rPr>
      <w:tab/>
    </w:r>
    <w:r>
      <w:rPr>
        <w:rFonts w:ascii="Arial" w:hAnsi="Arial" w:cs="Arial"/>
        <w:b/>
        <w:bCs/>
        <w:sz w:val="20"/>
        <w:szCs w:val="20"/>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8138B1"/>
    <w:multiLevelType w:val="hybridMultilevel"/>
    <w:tmpl w:val="1E68DC98"/>
    <w:lvl w:ilvl="0" w:tplc="442A7C8A">
      <w:start w:val="1"/>
      <w:numFmt w:val="decimal"/>
      <w:lvlText w:val="%1."/>
      <w:lvlJc w:val="left"/>
      <w:pPr>
        <w:ind w:left="1000" w:hanging="360"/>
      </w:pPr>
    </w:lvl>
    <w:lvl w:ilvl="1" w:tplc="2134483E">
      <w:start w:val="1"/>
      <w:numFmt w:val="decimal"/>
      <w:lvlText w:val="%2."/>
      <w:lvlJc w:val="left"/>
      <w:pPr>
        <w:ind w:left="1000" w:hanging="360"/>
      </w:pPr>
    </w:lvl>
    <w:lvl w:ilvl="2" w:tplc="F78C7084">
      <w:start w:val="1"/>
      <w:numFmt w:val="decimal"/>
      <w:lvlText w:val="%3."/>
      <w:lvlJc w:val="left"/>
      <w:pPr>
        <w:ind w:left="1000" w:hanging="360"/>
      </w:pPr>
    </w:lvl>
    <w:lvl w:ilvl="3" w:tplc="FADC6D2C">
      <w:start w:val="1"/>
      <w:numFmt w:val="decimal"/>
      <w:lvlText w:val="%4."/>
      <w:lvlJc w:val="left"/>
      <w:pPr>
        <w:ind w:left="1000" w:hanging="360"/>
      </w:pPr>
    </w:lvl>
    <w:lvl w:ilvl="4" w:tplc="ABF08A58">
      <w:start w:val="1"/>
      <w:numFmt w:val="decimal"/>
      <w:lvlText w:val="%5."/>
      <w:lvlJc w:val="left"/>
      <w:pPr>
        <w:ind w:left="1000" w:hanging="360"/>
      </w:pPr>
    </w:lvl>
    <w:lvl w:ilvl="5" w:tplc="FCAE4AFA">
      <w:start w:val="1"/>
      <w:numFmt w:val="decimal"/>
      <w:lvlText w:val="%6."/>
      <w:lvlJc w:val="left"/>
      <w:pPr>
        <w:ind w:left="1000" w:hanging="360"/>
      </w:pPr>
    </w:lvl>
    <w:lvl w:ilvl="6" w:tplc="DC624710">
      <w:start w:val="1"/>
      <w:numFmt w:val="decimal"/>
      <w:lvlText w:val="%7."/>
      <w:lvlJc w:val="left"/>
      <w:pPr>
        <w:ind w:left="1000" w:hanging="360"/>
      </w:pPr>
    </w:lvl>
    <w:lvl w:ilvl="7" w:tplc="9EDA9A06">
      <w:start w:val="1"/>
      <w:numFmt w:val="decimal"/>
      <w:lvlText w:val="%8."/>
      <w:lvlJc w:val="left"/>
      <w:pPr>
        <w:ind w:left="1000" w:hanging="360"/>
      </w:pPr>
    </w:lvl>
    <w:lvl w:ilvl="8" w:tplc="649C493E">
      <w:start w:val="1"/>
      <w:numFmt w:val="decimal"/>
      <w:lvlText w:val="%9."/>
      <w:lvlJc w:val="left"/>
      <w:pPr>
        <w:ind w:left="1000" w:hanging="360"/>
      </w:pPr>
    </w:lvl>
  </w:abstractNum>
  <w:abstractNum w:abstractNumId="1" w15:restartNumberingAfterBreak="0">
    <w:nsid w:val="1C9E7D7A"/>
    <w:multiLevelType w:val="hybridMultilevel"/>
    <w:tmpl w:val="F8A2EF8A"/>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228047D3"/>
    <w:multiLevelType w:val="hybridMultilevel"/>
    <w:tmpl w:val="2006D5B2"/>
    <w:lvl w:ilvl="0" w:tplc="184ED6C6">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 w15:restartNumberingAfterBreak="0">
    <w:nsid w:val="26C475A3"/>
    <w:multiLevelType w:val="hybridMultilevel"/>
    <w:tmpl w:val="F8A2EF8A"/>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292C31ED"/>
    <w:multiLevelType w:val="hybridMultilevel"/>
    <w:tmpl w:val="F8A2EF8A"/>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378C23D3"/>
    <w:multiLevelType w:val="hybridMultilevel"/>
    <w:tmpl w:val="F8A2EF8A"/>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4AFB48E2"/>
    <w:multiLevelType w:val="hybridMultilevel"/>
    <w:tmpl w:val="F8A2EF8A"/>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4D730138"/>
    <w:multiLevelType w:val="hybridMultilevel"/>
    <w:tmpl w:val="B4B86DA0"/>
    <w:lvl w:ilvl="0" w:tplc="FADA381C">
      <w:start w:val="1"/>
      <w:numFmt w:val="decimal"/>
      <w:lvlText w:val="%1."/>
      <w:lvlJc w:val="left"/>
      <w:pPr>
        <w:ind w:left="720" w:hanging="360"/>
      </w:pPr>
      <w:rPr>
        <w:color w:val="000000" w:themeColor="text1"/>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4F873A84"/>
    <w:multiLevelType w:val="hybridMultilevel"/>
    <w:tmpl w:val="4F32933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5A8A39A7"/>
    <w:multiLevelType w:val="hybridMultilevel"/>
    <w:tmpl w:val="F8A2EF8A"/>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5AF5389F"/>
    <w:multiLevelType w:val="hybridMultilevel"/>
    <w:tmpl w:val="D42C232A"/>
    <w:lvl w:ilvl="0" w:tplc="590EF0BC">
      <w:start w:val="1"/>
      <w:numFmt w:val="decimal"/>
      <w:lvlText w:val="%1."/>
      <w:lvlJc w:val="left"/>
      <w:pPr>
        <w:ind w:left="720" w:hanging="360"/>
      </w:pPr>
    </w:lvl>
    <w:lvl w:ilvl="1" w:tplc="16C4C008">
      <w:start w:val="1"/>
      <w:numFmt w:val="decimal"/>
      <w:lvlText w:val="%2."/>
      <w:lvlJc w:val="left"/>
      <w:pPr>
        <w:ind w:left="720" w:hanging="360"/>
      </w:pPr>
    </w:lvl>
    <w:lvl w:ilvl="2" w:tplc="715AF298">
      <w:start w:val="1"/>
      <w:numFmt w:val="decimal"/>
      <w:lvlText w:val="%3."/>
      <w:lvlJc w:val="left"/>
      <w:pPr>
        <w:ind w:left="720" w:hanging="360"/>
      </w:pPr>
    </w:lvl>
    <w:lvl w:ilvl="3" w:tplc="511280C8">
      <w:start w:val="1"/>
      <w:numFmt w:val="decimal"/>
      <w:lvlText w:val="%4."/>
      <w:lvlJc w:val="left"/>
      <w:pPr>
        <w:ind w:left="720" w:hanging="360"/>
      </w:pPr>
    </w:lvl>
    <w:lvl w:ilvl="4" w:tplc="F73A180A">
      <w:start w:val="1"/>
      <w:numFmt w:val="decimal"/>
      <w:lvlText w:val="%5."/>
      <w:lvlJc w:val="left"/>
      <w:pPr>
        <w:ind w:left="720" w:hanging="360"/>
      </w:pPr>
    </w:lvl>
    <w:lvl w:ilvl="5" w:tplc="A78E998A">
      <w:start w:val="1"/>
      <w:numFmt w:val="decimal"/>
      <w:lvlText w:val="%6."/>
      <w:lvlJc w:val="left"/>
      <w:pPr>
        <w:ind w:left="720" w:hanging="360"/>
      </w:pPr>
    </w:lvl>
    <w:lvl w:ilvl="6" w:tplc="B1741C8A">
      <w:start w:val="1"/>
      <w:numFmt w:val="decimal"/>
      <w:lvlText w:val="%7."/>
      <w:lvlJc w:val="left"/>
      <w:pPr>
        <w:ind w:left="720" w:hanging="360"/>
      </w:pPr>
    </w:lvl>
    <w:lvl w:ilvl="7" w:tplc="3EC46F66">
      <w:start w:val="1"/>
      <w:numFmt w:val="decimal"/>
      <w:lvlText w:val="%8."/>
      <w:lvlJc w:val="left"/>
      <w:pPr>
        <w:ind w:left="720" w:hanging="360"/>
      </w:pPr>
    </w:lvl>
    <w:lvl w:ilvl="8" w:tplc="1A80E988">
      <w:start w:val="1"/>
      <w:numFmt w:val="decimal"/>
      <w:lvlText w:val="%9."/>
      <w:lvlJc w:val="left"/>
      <w:pPr>
        <w:ind w:left="720" w:hanging="360"/>
      </w:pPr>
    </w:lvl>
  </w:abstractNum>
  <w:abstractNum w:abstractNumId="11" w15:restartNumberingAfterBreak="0">
    <w:nsid w:val="63CC598A"/>
    <w:multiLevelType w:val="hybridMultilevel"/>
    <w:tmpl w:val="9332893E"/>
    <w:lvl w:ilvl="0" w:tplc="6FF6B8E2">
      <w:start w:val="1"/>
      <w:numFmt w:val="decimal"/>
      <w:lvlText w:val="%1."/>
      <w:lvlJc w:val="left"/>
      <w:pPr>
        <w:ind w:left="1000" w:hanging="360"/>
      </w:pPr>
    </w:lvl>
    <w:lvl w:ilvl="1" w:tplc="5C9C2DB4">
      <w:start w:val="1"/>
      <w:numFmt w:val="decimal"/>
      <w:lvlText w:val="%2."/>
      <w:lvlJc w:val="left"/>
      <w:pPr>
        <w:ind w:left="1000" w:hanging="360"/>
      </w:pPr>
    </w:lvl>
    <w:lvl w:ilvl="2" w:tplc="BA78084E">
      <w:start w:val="1"/>
      <w:numFmt w:val="decimal"/>
      <w:lvlText w:val="%3."/>
      <w:lvlJc w:val="left"/>
      <w:pPr>
        <w:ind w:left="1000" w:hanging="360"/>
      </w:pPr>
    </w:lvl>
    <w:lvl w:ilvl="3" w:tplc="E1CCD0E2">
      <w:start w:val="1"/>
      <w:numFmt w:val="decimal"/>
      <w:lvlText w:val="%4."/>
      <w:lvlJc w:val="left"/>
      <w:pPr>
        <w:ind w:left="1000" w:hanging="360"/>
      </w:pPr>
    </w:lvl>
    <w:lvl w:ilvl="4" w:tplc="F2622526">
      <w:start w:val="1"/>
      <w:numFmt w:val="decimal"/>
      <w:lvlText w:val="%5."/>
      <w:lvlJc w:val="left"/>
      <w:pPr>
        <w:ind w:left="1000" w:hanging="360"/>
      </w:pPr>
    </w:lvl>
    <w:lvl w:ilvl="5" w:tplc="7804BA30">
      <w:start w:val="1"/>
      <w:numFmt w:val="decimal"/>
      <w:lvlText w:val="%6."/>
      <w:lvlJc w:val="left"/>
      <w:pPr>
        <w:ind w:left="1000" w:hanging="360"/>
      </w:pPr>
    </w:lvl>
    <w:lvl w:ilvl="6" w:tplc="6062F190">
      <w:start w:val="1"/>
      <w:numFmt w:val="decimal"/>
      <w:lvlText w:val="%7."/>
      <w:lvlJc w:val="left"/>
      <w:pPr>
        <w:ind w:left="1000" w:hanging="360"/>
      </w:pPr>
    </w:lvl>
    <w:lvl w:ilvl="7" w:tplc="E72893F8">
      <w:start w:val="1"/>
      <w:numFmt w:val="decimal"/>
      <w:lvlText w:val="%8."/>
      <w:lvlJc w:val="left"/>
      <w:pPr>
        <w:ind w:left="1000" w:hanging="360"/>
      </w:pPr>
    </w:lvl>
    <w:lvl w:ilvl="8" w:tplc="333AB230">
      <w:start w:val="1"/>
      <w:numFmt w:val="decimal"/>
      <w:lvlText w:val="%9."/>
      <w:lvlJc w:val="left"/>
      <w:pPr>
        <w:ind w:left="1000" w:hanging="360"/>
      </w:pPr>
    </w:lvl>
  </w:abstractNum>
  <w:abstractNum w:abstractNumId="12" w15:restartNumberingAfterBreak="0">
    <w:nsid w:val="64A6751D"/>
    <w:multiLevelType w:val="hybridMultilevel"/>
    <w:tmpl w:val="F8A2EF8A"/>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65CB7A10"/>
    <w:multiLevelType w:val="hybridMultilevel"/>
    <w:tmpl w:val="2DC675EE"/>
    <w:lvl w:ilvl="0" w:tplc="CF56B508">
      <w:start w:val="1"/>
      <w:numFmt w:val="decimal"/>
      <w:lvlText w:val="%1."/>
      <w:lvlJc w:val="left"/>
      <w:pPr>
        <w:ind w:left="1000" w:hanging="360"/>
      </w:pPr>
    </w:lvl>
    <w:lvl w:ilvl="1" w:tplc="9724C84E">
      <w:start w:val="1"/>
      <w:numFmt w:val="decimal"/>
      <w:lvlText w:val="%2."/>
      <w:lvlJc w:val="left"/>
      <w:pPr>
        <w:ind w:left="1000" w:hanging="360"/>
      </w:pPr>
    </w:lvl>
    <w:lvl w:ilvl="2" w:tplc="EB64200C">
      <w:start w:val="1"/>
      <w:numFmt w:val="decimal"/>
      <w:lvlText w:val="%3."/>
      <w:lvlJc w:val="left"/>
      <w:pPr>
        <w:ind w:left="1000" w:hanging="360"/>
      </w:pPr>
    </w:lvl>
    <w:lvl w:ilvl="3" w:tplc="ACFE155C">
      <w:start w:val="1"/>
      <w:numFmt w:val="decimal"/>
      <w:lvlText w:val="%4."/>
      <w:lvlJc w:val="left"/>
      <w:pPr>
        <w:ind w:left="1000" w:hanging="360"/>
      </w:pPr>
    </w:lvl>
    <w:lvl w:ilvl="4" w:tplc="BBB48660">
      <w:start w:val="1"/>
      <w:numFmt w:val="decimal"/>
      <w:lvlText w:val="%5."/>
      <w:lvlJc w:val="left"/>
      <w:pPr>
        <w:ind w:left="1000" w:hanging="360"/>
      </w:pPr>
    </w:lvl>
    <w:lvl w:ilvl="5" w:tplc="70445048">
      <w:start w:val="1"/>
      <w:numFmt w:val="decimal"/>
      <w:lvlText w:val="%6."/>
      <w:lvlJc w:val="left"/>
      <w:pPr>
        <w:ind w:left="1000" w:hanging="360"/>
      </w:pPr>
    </w:lvl>
    <w:lvl w:ilvl="6" w:tplc="6B226A84">
      <w:start w:val="1"/>
      <w:numFmt w:val="decimal"/>
      <w:lvlText w:val="%7."/>
      <w:lvlJc w:val="left"/>
      <w:pPr>
        <w:ind w:left="1000" w:hanging="360"/>
      </w:pPr>
    </w:lvl>
    <w:lvl w:ilvl="7" w:tplc="C9D235BA">
      <w:start w:val="1"/>
      <w:numFmt w:val="decimal"/>
      <w:lvlText w:val="%8."/>
      <w:lvlJc w:val="left"/>
      <w:pPr>
        <w:ind w:left="1000" w:hanging="360"/>
      </w:pPr>
    </w:lvl>
    <w:lvl w:ilvl="8" w:tplc="A9C2EDEE">
      <w:start w:val="1"/>
      <w:numFmt w:val="decimal"/>
      <w:lvlText w:val="%9."/>
      <w:lvlJc w:val="left"/>
      <w:pPr>
        <w:ind w:left="1000" w:hanging="360"/>
      </w:pPr>
    </w:lvl>
  </w:abstractNum>
  <w:abstractNum w:abstractNumId="14" w15:restartNumberingAfterBreak="0">
    <w:nsid w:val="6CEF4ED4"/>
    <w:multiLevelType w:val="hybridMultilevel"/>
    <w:tmpl w:val="A1362DF8"/>
    <w:lvl w:ilvl="0" w:tplc="0374D75A">
      <w:start w:val="1"/>
      <w:numFmt w:val="decimal"/>
      <w:lvlText w:val="%1."/>
      <w:lvlJc w:val="left"/>
      <w:pPr>
        <w:ind w:left="1000" w:hanging="360"/>
      </w:pPr>
    </w:lvl>
    <w:lvl w:ilvl="1" w:tplc="10EEC142">
      <w:start w:val="1"/>
      <w:numFmt w:val="decimal"/>
      <w:lvlText w:val="%2."/>
      <w:lvlJc w:val="left"/>
      <w:pPr>
        <w:ind w:left="1000" w:hanging="360"/>
      </w:pPr>
    </w:lvl>
    <w:lvl w:ilvl="2" w:tplc="9E968FFA">
      <w:start w:val="1"/>
      <w:numFmt w:val="decimal"/>
      <w:lvlText w:val="%3."/>
      <w:lvlJc w:val="left"/>
      <w:pPr>
        <w:ind w:left="1000" w:hanging="360"/>
      </w:pPr>
    </w:lvl>
    <w:lvl w:ilvl="3" w:tplc="16786214">
      <w:start w:val="1"/>
      <w:numFmt w:val="decimal"/>
      <w:lvlText w:val="%4."/>
      <w:lvlJc w:val="left"/>
      <w:pPr>
        <w:ind w:left="1000" w:hanging="360"/>
      </w:pPr>
    </w:lvl>
    <w:lvl w:ilvl="4" w:tplc="370C2A78">
      <w:start w:val="1"/>
      <w:numFmt w:val="decimal"/>
      <w:lvlText w:val="%5."/>
      <w:lvlJc w:val="left"/>
      <w:pPr>
        <w:ind w:left="1000" w:hanging="360"/>
      </w:pPr>
    </w:lvl>
    <w:lvl w:ilvl="5" w:tplc="B06A450E">
      <w:start w:val="1"/>
      <w:numFmt w:val="decimal"/>
      <w:lvlText w:val="%6."/>
      <w:lvlJc w:val="left"/>
      <w:pPr>
        <w:ind w:left="1000" w:hanging="360"/>
      </w:pPr>
    </w:lvl>
    <w:lvl w:ilvl="6" w:tplc="8222B470">
      <w:start w:val="1"/>
      <w:numFmt w:val="decimal"/>
      <w:lvlText w:val="%7."/>
      <w:lvlJc w:val="left"/>
      <w:pPr>
        <w:ind w:left="1000" w:hanging="360"/>
      </w:pPr>
    </w:lvl>
    <w:lvl w:ilvl="7" w:tplc="D99825AE">
      <w:start w:val="1"/>
      <w:numFmt w:val="decimal"/>
      <w:lvlText w:val="%8."/>
      <w:lvlJc w:val="left"/>
      <w:pPr>
        <w:ind w:left="1000" w:hanging="360"/>
      </w:pPr>
    </w:lvl>
    <w:lvl w:ilvl="8" w:tplc="EC505822">
      <w:start w:val="1"/>
      <w:numFmt w:val="decimal"/>
      <w:lvlText w:val="%9."/>
      <w:lvlJc w:val="left"/>
      <w:pPr>
        <w:ind w:left="1000" w:hanging="360"/>
      </w:pPr>
    </w:lvl>
  </w:abstractNum>
  <w:abstractNum w:abstractNumId="15" w15:restartNumberingAfterBreak="0">
    <w:nsid w:val="6ED12069"/>
    <w:multiLevelType w:val="hybridMultilevel"/>
    <w:tmpl w:val="B4B86DA0"/>
    <w:lvl w:ilvl="0" w:tplc="FFFFFFFF">
      <w:start w:val="1"/>
      <w:numFmt w:val="decimal"/>
      <w:lvlText w:val="%1."/>
      <w:lvlJc w:val="left"/>
      <w:pPr>
        <w:ind w:left="720" w:hanging="360"/>
      </w:pPr>
      <w:rPr>
        <w:color w:val="000000" w:themeColor="text1"/>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79EF0D82"/>
    <w:multiLevelType w:val="hybridMultilevel"/>
    <w:tmpl w:val="C738304E"/>
    <w:lvl w:ilvl="0" w:tplc="AC9A045E">
      <w:start w:val="1"/>
      <w:numFmt w:val="decimal"/>
      <w:lvlText w:val="%1."/>
      <w:lvlJc w:val="left"/>
      <w:pPr>
        <w:ind w:left="720" w:hanging="360"/>
      </w:pPr>
    </w:lvl>
    <w:lvl w:ilvl="1" w:tplc="09CAC5C4">
      <w:start w:val="1"/>
      <w:numFmt w:val="decimal"/>
      <w:lvlText w:val="%2."/>
      <w:lvlJc w:val="left"/>
      <w:pPr>
        <w:ind w:left="720" w:hanging="360"/>
      </w:pPr>
    </w:lvl>
    <w:lvl w:ilvl="2" w:tplc="825ED1B8">
      <w:start w:val="1"/>
      <w:numFmt w:val="decimal"/>
      <w:lvlText w:val="%3."/>
      <w:lvlJc w:val="left"/>
      <w:pPr>
        <w:ind w:left="720" w:hanging="360"/>
      </w:pPr>
    </w:lvl>
    <w:lvl w:ilvl="3" w:tplc="19D0B050">
      <w:start w:val="1"/>
      <w:numFmt w:val="decimal"/>
      <w:lvlText w:val="%4."/>
      <w:lvlJc w:val="left"/>
      <w:pPr>
        <w:ind w:left="720" w:hanging="360"/>
      </w:pPr>
    </w:lvl>
    <w:lvl w:ilvl="4" w:tplc="732A90C2">
      <w:start w:val="1"/>
      <w:numFmt w:val="decimal"/>
      <w:lvlText w:val="%5."/>
      <w:lvlJc w:val="left"/>
      <w:pPr>
        <w:ind w:left="720" w:hanging="360"/>
      </w:pPr>
    </w:lvl>
    <w:lvl w:ilvl="5" w:tplc="CBC03A6E">
      <w:start w:val="1"/>
      <w:numFmt w:val="decimal"/>
      <w:lvlText w:val="%6."/>
      <w:lvlJc w:val="left"/>
      <w:pPr>
        <w:ind w:left="720" w:hanging="360"/>
      </w:pPr>
    </w:lvl>
    <w:lvl w:ilvl="6" w:tplc="18561B42">
      <w:start w:val="1"/>
      <w:numFmt w:val="decimal"/>
      <w:lvlText w:val="%7."/>
      <w:lvlJc w:val="left"/>
      <w:pPr>
        <w:ind w:left="720" w:hanging="360"/>
      </w:pPr>
    </w:lvl>
    <w:lvl w:ilvl="7" w:tplc="36D61D3A">
      <w:start w:val="1"/>
      <w:numFmt w:val="decimal"/>
      <w:lvlText w:val="%8."/>
      <w:lvlJc w:val="left"/>
      <w:pPr>
        <w:ind w:left="720" w:hanging="360"/>
      </w:pPr>
    </w:lvl>
    <w:lvl w:ilvl="8" w:tplc="A2D8C62E">
      <w:start w:val="1"/>
      <w:numFmt w:val="decimal"/>
      <w:lvlText w:val="%9."/>
      <w:lvlJc w:val="left"/>
      <w:pPr>
        <w:ind w:left="720" w:hanging="360"/>
      </w:pPr>
    </w:lvl>
  </w:abstractNum>
  <w:abstractNum w:abstractNumId="17" w15:restartNumberingAfterBreak="0">
    <w:nsid w:val="7BD61FFD"/>
    <w:multiLevelType w:val="hybridMultilevel"/>
    <w:tmpl w:val="378204D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595527959">
    <w:abstractNumId w:val="8"/>
  </w:num>
  <w:num w:numId="2" w16cid:durableId="1233001762">
    <w:abstractNumId w:val="7"/>
  </w:num>
  <w:num w:numId="3" w16cid:durableId="32702485">
    <w:abstractNumId w:val="15"/>
  </w:num>
  <w:num w:numId="4" w16cid:durableId="2052879747">
    <w:abstractNumId w:val="1"/>
  </w:num>
  <w:num w:numId="5" w16cid:durableId="974680445">
    <w:abstractNumId w:val="12"/>
  </w:num>
  <w:num w:numId="6" w16cid:durableId="1811435729">
    <w:abstractNumId w:val="9"/>
  </w:num>
  <w:num w:numId="7" w16cid:durableId="803234910">
    <w:abstractNumId w:val="11"/>
  </w:num>
  <w:num w:numId="8" w16cid:durableId="1175193887">
    <w:abstractNumId w:val="16"/>
  </w:num>
  <w:num w:numId="9" w16cid:durableId="997348896">
    <w:abstractNumId w:val="14"/>
  </w:num>
  <w:num w:numId="10" w16cid:durableId="362174813">
    <w:abstractNumId w:val="0"/>
  </w:num>
  <w:num w:numId="11" w16cid:durableId="1453750082">
    <w:abstractNumId w:val="10"/>
  </w:num>
  <w:num w:numId="12" w16cid:durableId="721446293">
    <w:abstractNumId w:val="13"/>
  </w:num>
  <w:num w:numId="13" w16cid:durableId="1515455329">
    <w:abstractNumId w:val="6"/>
  </w:num>
  <w:num w:numId="14" w16cid:durableId="1088842351">
    <w:abstractNumId w:val="3"/>
  </w:num>
  <w:num w:numId="15" w16cid:durableId="383795825">
    <w:abstractNumId w:val="5"/>
  </w:num>
  <w:num w:numId="16" w16cid:durableId="529803678">
    <w:abstractNumId w:val="4"/>
  </w:num>
  <w:num w:numId="17" w16cid:durableId="32580199">
    <w:abstractNumId w:val="2"/>
  </w:num>
  <w:num w:numId="18" w16cid:durableId="502937697">
    <w:abstractNumId w:val="17"/>
  </w:num>
  <w:num w:numId="19" w16cid:durableId="72156062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424B0"/>
    <w:rsid w:val="00076462"/>
    <w:rsid w:val="000A103C"/>
    <w:rsid w:val="000A31BE"/>
    <w:rsid w:val="000A6DC7"/>
    <w:rsid w:val="00102E41"/>
    <w:rsid w:val="00131E62"/>
    <w:rsid w:val="00135AFF"/>
    <w:rsid w:val="001410EC"/>
    <w:rsid w:val="00143342"/>
    <w:rsid w:val="001767EA"/>
    <w:rsid w:val="001913ED"/>
    <w:rsid w:val="001C275B"/>
    <w:rsid w:val="001D01A8"/>
    <w:rsid w:val="001D7702"/>
    <w:rsid w:val="001F168A"/>
    <w:rsid w:val="00210A9B"/>
    <w:rsid w:val="0025127A"/>
    <w:rsid w:val="00265BE8"/>
    <w:rsid w:val="00272242"/>
    <w:rsid w:val="00287A61"/>
    <w:rsid w:val="002A2865"/>
    <w:rsid w:val="002B1EBF"/>
    <w:rsid w:val="002D640C"/>
    <w:rsid w:val="003051C3"/>
    <w:rsid w:val="003116BB"/>
    <w:rsid w:val="00332C02"/>
    <w:rsid w:val="00391CDD"/>
    <w:rsid w:val="003A167A"/>
    <w:rsid w:val="003A44A0"/>
    <w:rsid w:val="003B316A"/>
    <w:rsid w:val="003C392B"/>
    <w:rsid w:val="003F1F28"/>
    <w:rsid w:val="00430300"/>
    <w:rsid w:val="00464CCC"/>
    <w:rsid w:val="00467CAF"/>
    <w:rsid w:val="00476F83"/>
    <w:rsid w:val="0048488C"/>
    <w:rsid w:val="00491E51"/>
    <w:rsid w:val="004C5490"/>
    <w:rsid w:val="004C5567"/>
    <w:rsid w:val="004E656A"/>
    <w:rsid w:val="004F184F"/>
    <w:rsid w:val="005132F1"/>
    <w:rsid w:val="00516D3D"/>
    <w:rsid w:val="0057696A"/>
    <w:rsid w:val="005A47B9"/>
    <w:rsid w:val="005C333D"/>
    <w:rsid w:val="005E612E"/>
    <w:rsid w:val="006052AD"/>
    <w:rsid w:val="0060643B"/>
    <w:rsid w:val="00627C19"/>
    <w:rsid w:val="00682F19"/>
    <w:rsid w:val="0069799F"/>
    <w:rsid w:val="006B41B3"/>
    <w:rsid w:val="006B7BFF"/>
    <w:rsid w:val="006F73F2"/>
    <w:rsid w:val="00722388"/>
    <w:rsid w:val="007473B1"/>
    <w:rsid w:val="00751FA1"/>
    <w:rsid w:val="00753D06"/>
    <w:rsid w:val="00775CF5"/>
    <w:rsid w:val="00794DBB"/>
    <w:rsid w:val="007A2E2D"/>
    <w:rsid w:val="007C2885"/>
    <w:rsid w:val="007F7589"/>
    <w:rsid w:val="00805CF8"/>
    <w:rsid w:val="008212ED"/>
    <w:rsid w:val="008219FF"/>
    <w:rsid w:val="008538F7"/>
    <w:rsid w:val="00877EB4"/>
    <w:rsid w:val="00882C37"/>
    <w:rsid w:val="008E595D"/>
    <w:rsid w:val="009033CF"/>
    <w:rsid w:val="009044CA"/>
    <w:rsid w:val="00945DD8"/>
    <w:rsid w:val="009B1A02"/>
    <w:rsid w:val="009F245A"/>
    <w:rsid w:val="00A1375F"/>
    <w:rsid w:val="00A31DC9"/>
    <w:rsid w:val="00A53D91"/>
    <w:rsid w:val="00A77B3E"/>
    <w:rsid w:val="00A9258F"/>
    <w:rsid w:val="00A94105"/>
    <w:rsid w:val="00AE3A60"/>
    <w:rsid w:val="00AF39AD"/>
    <w:rsid w:val="00B10548"/>
    <w:rsid w:val="00B2653A"/>
    <w:rsid w:val="00B50281"/>
    <w:rsid w:val="00B67F04"/>
    <w:rsid w:val="00B76A97"/>
    <w:rsid w:val="00BB27AA"/>
    <w:rsid w:val="00BB7805"/>
    <w:rsid w:val="00C009C3"/>
    <w:rsid w:val="00C02E75"/>
    <w:rsid w:val="00C10C93"/>
    <w:rsid w:val="00C207AC"/>
    <w:rsid w:val="00C80EF8"/>
    <w:rsid w:val="00C83FF3"/>
    <w:rsid w:val="00CA2A55"/>
    <w:rsid w:val="00CD5B8A"/>
    <w:rsid w:val="00CE20DB"/>
    <w:rsid w:val="00CE7FDC"/>
    <w:rsid w:val="00D000D8"/>
    <w:rsid w:val="00D31DA5"/>
    <w:rsid w:val="00D87DAC"/>
    <w:rsid w:val="00DD4F6C"/>
    <w:rsid w:val="00DE1BBC"/>
    <w:rsid w:val="00DF0E4B"/>
    <w:rsid w:val="00DF7E8C"/>
    <w:rsid w:val="00E07EE9"/>
    <w:rsid w:val="00E22A03"/>
    <w:rsid w:val="00E373CA"/>
    <w:rsid w:val="00E527C4"/>
    <w:rsid w:val="00EA4412"/>
    <w:rsid w:val="00EB7208"/>
    <w:rsid w:val="00EE06F3"/>
    <w:rsid w:val="00F47447"/>
    <w:rsid w:val="00F55C96"/>
    <w:rsid w:val="00F73D4B"/>
    <w:rsid w:val="00F809A6"/>
    <w:rsid w:val="00F96AA5"/>
    <w:rsid w:val="00FA4A29"/>
    <w:rsid w:val="00FC12A9"/>
    <w:rsid w:val="00FC389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54D5784"/>
  <w15:docId w15:val="{1E1029D7-EF73-4DD6-A5CB-C7707DCE18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lang w:val="sl-SI"/>
    </w:rPr>
  </w:style>
  <w:style w:type="paragraph" w:styleId="Naslov1">
    <w:name w:val="heading 1"/>
    <w:basedOn w:val="Navaden"/>
    <w:next w:val="Navaden"/>
    <w:link w:val="Naslov1Znak"/>
    <w:qFormat/>
    <w:rsid w:val="00751FA1"/>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Naslov2">
    <w:name w:val="heading 2"/>
    <w:basedOn w:val="Navaden"/>
    <w:next w:val="Navaden"/>
    <w:link w:val="Naslov2Znak"/>
    <w:uiPriority w:val="9"/>
    <w:unhideWhenUsed/>
    <w:qFormat/>
    <w:rsid w:val="007A2E2D"/>
    <w:pPr>
      <w:keepNext/>
      <w:keepLines/>
      <w:spacing w:before="160" w:after="80"/>
      <w:outlineLvl w:val="1"/>
    </w:pPr>
    <w:rPr>
      <w:rFonts w:asciiTheme="majorHAnsi" w:eastAsiaTheme="majorEastAsia" w:hAnsiTheme="majorHAnsi" w:cstheme="majorBidi"/>
      <w:color w:val="365F91" w:themeColor="accent1" w:themeShade="BF"/>
      <w:kern w:val="2"/>
      <w:sz w:val="32"/>
      <w:szCs w:val="32"/>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zamik">
    <w:name w:val="zamik"/>
    <w:basedOn w:val="Navaden"/>
    <w:pPr>
      <w:ind w:firstLine="1021"/>
    </w:pPr>
  </w:style>
  <w:style w:type="paragraph" w:customStyle="1" w:styleId="center">
    <w:name w:val="center"/>
    <w:basedOn w:val="Navaden"/>
    <w:pPr>
      <w:jc w:val="center"/>
    </w:pPr>
  </w:style>
  <w:style w:type="paragraph" w:customStyle="1" w:styleId="alineazaodstavkom">
    <w:name w:val="alinea_za_odstavkom"/>
    <w:basedOn w:val="Navaden"/>
    <w:pPr>
      <w:ind w:hanging="425"/>
      <w:jc w:val="both"/>
    </w:pPr>
  </w:style>
  <w:style w:type="paragraph" w:customStyle="1" w:styleId="evidencnastevilka">
    <w:name w:val="evidencna_stevilka"/>
    <w:basedOn w:val="Navaden"/>
    <w:pPr>
      <w:jc w:val="both"/>
    </w:pPr>
  </w:style>
  <w:style w:type="paragraph" w:customStyle="1" w:styleId="krajdatumsprejetja">
    <w:name w:val="kraj_datum_sprejetja"/>
    <w:basedOn w:val="Navaden"/>
  </w:style>
  <w:style w:type="paragraph" w:customStyle="1" w:styleId="p">
    <w:name w:val="p"/>
    <w:basedOn w:val="Navaden"/>
    <w:rPr>
      <w:sz w:val="21"/>
      <w:szCs w:val="21"/>
    </w:rPr>
  </w:style>
  <w:style w:type="paragraph" w:customStyle="1" w:styleId="podpisnik">
    <w:name w:val="podpisnik"/>
    <w:basedOn w:val="Navaden"/>
    <w:pPr>
      <w:jc w:val="center"/>
    </w:pPr>
  </w:style>
  <w:style w:type="character" w:styleId="Hiperpovezava">
    <w:name w:val="Hyperlink"/>
    <w:basedOn w:val="Privzetapisavaodstavka"/>
    <w:rsid w:val="001D7702"/>
    <w:rPr>
      <w:color w:val="0000FF" w:themeColor="hyperlink"/>
      <w:u w:val="single"/>
    </w:rPr>
  </w:style>
  <w:style w:type="character" w:styleId="Nerazreenaomemba">
    <w:name w:val="Unresolved Mention"/>
    <w:basedOn w:val="Privzetapisavaodstavka"/>
    <w:uiPriority w:val="99"/>
    <w:semiHidden/>
    <w:unhideWhenUsed/>
    <w:rsid w:val="001D7702"/>
    <w:rPr>
      <w:color w:val="605E5C"/>
      <w:shd w:val="clear" w:color="auto" w:fill="E1DFDD"/>
    </w:rPr>
  </w:style>
  <w:style w:type="character" w:styleId="Pripombasklic">
    <w:name w:val="annotation reference"/>
    <w:basedOn w:val="Privzetapisavaodstavka"/>
    <w:uiPriority w:val="99"/>
    <w:rsid w:val="001D7702"/>
    <w:rPr>
      <w:sz w:val="16"/>
      <w:szCs w:val="16"/>
    </w:rPr>
  </w:style>
  <w:style w:type="paragraph" w:styleId="Pripombabesedilo">
    <w:name w:val="annotation text"/>
    <w:basedOn w:val="Navaden"/>
    <w:link w:val="PripombabesediloZnak"/>
    <w:uiPriority w:val="99"/>
    <w:rsid w:val="001D7702"/>
    <w:rPr>
      <w:sz w:val="20"/>
      <w:szCs w:val="20"/>
    </w:rPr>
  </w:style>
  <w:style w:type="character" w:customStyle="1" w:styleId="PripombabesediloZnak">
    <w:name w:val="Pripomba – besedilo Znak"/>
    <w:basedOn w:val="Privzetapisavaodstavka"/>
    <w:link w:val="Pripombabesedilo"/>
    <w:uiPriority w:val="99"/>
    <w:rsid w:val="001D7702"/>
    <w:rPr>
      <w:lang w:val="sl-SI"/>
    </w:rPr>
  </w:style>
  <w:style w:type="paragraph" w:styleId="Zadevapripombe">
    <w:name w:val="annotation subject"/>
    <w:basedOn w:val="Pripombabesedilo"/>
    <w:next w:val="Pripombabesedilo"/>
    <w:link w:val="ZadevapripombeZnak"/>
    <w:rsid w:val="001D7702"/>
    <w:rPr>
      <w:b/>
      <w:bCs/>
    </w:rPr>
  </w:style>
  <w:style w:type="character" w:customStyle="1" w:styleId="ZadevapripombeZnak">
    <w:name w:val="Zadeva pripombe Znak"/>
    <w:basedOn w:val="PripombabesediloZnak"/>
    <w:link w:val="Zadevapripombe"/>
    <w:rsid w:val="001D7702"/>
    <w:rPr>
      <w:b/>
      <w:bCs/>
      <w:lang w:val="sl-SI"/>
    </w:rPr>
  </w:style>
  <w:style w:type="character" w:customStyle="1" w:styleId="Naslov1Znak">
    <w:name w:val="Naslov 1 Znak"/>
    <w:basedOn w:val="Privzetapisavaodstavka"/>
    <w:link w:val="Naslov1"/>
    <w:rsid w:val="00751FA1"/>
    <w:rPr>
      <w:rFonts w:asciiTheme="majorHAnsi" w:eastAsiaTheme="majorEastAsia" w:hAnsiTheme="majorHAnsi" w:cstheme="majorBidi"/>
      <w:color w:val="365F91" w:themeColor="accent1" w:themeShade="BF"/>
      <w:sz w:val="32"/>
      <w:szCs w:val="32"/>
      <w:lang w:val="sl-SI"/>
    </w:rPr>
  </w:style>
  <w:style w:type="paragraph" w:styleId="Odstavekseznama">
    <w:name w:val="List Paragraph"/>
    <w:basedOn w:val="Navaden"/>
    <w:uiPriority w:val="34"/>
    <w:qFormat/>
    <w:rsid w:val="00DF0E4B"/>
    <w:pPr>
      <w:spacing w:after="160" w:line="259" w:lineRule="auto"/>
      <w:ind w:left="720"/>
      <w:contextualSpacing/>
    </w:pPr>
    <w:rPr>
      <w:rFonts w:asciiTheme="minorHAnsi" w:eastAsiaTheme="minorHAnsi" w:hAnsiTheme="minorHAnsi" w:cstheme="minorBidi"/>
      <w:sz w:val="22"/>
      <w:szCs w:val="22"/>
    </w:rPr>
  </w:style>
  <w:style w:type="character" w:customStyle="1" w:styleId="Naslov2Znak">
    <w:name w:val="Naslov 2 Znak"/>
    <w:basedOn w:val="Privzetapisavaodstavka"/>
    <w:link w:val="Naslov2"/>
    <w:uiPriority w:val="9"/>
    <w:rsid w:val="007A2E2D"/>
    <w:rPr>
      <w:rFonts w:asciiTheme="majorHAnsi" w:eastAsiaTheme="majorEastAsia" w:hAnsiTheme="majorHAnsi" w:cstheme="majorBidi"/>
      <w:color w:val="365F91" w:themeColor="accent1" w:themeShade="BF"/>
      <w:kern w:val="2"/>
      <w:sz w:val="32"/>
      <w:szCs w:val="32"/>
      <w:lang w:val="sl-SI"/>
      <w14:ligatures w14:val="standardContextual"/>
    </w:rPr>
  </w:style>
  <w:style w:type="paragraph" w:styleId="Glava">
    <w:name w:val="header"/>
    <w:basedOn w:val="Navaden"/>
    <w:link w:val="GlavaZnak"/>
    <w:rsid w:val="00627C19"/>
    <w:pPr>
      <w:tabs>
        <w:tab w:val="center" w:pos="4536"/>
        <w:tab w:val="right" w:pos="9072"/>
      </w:tabs>
    </w:pPr>
  </w:style>
  <w:style w:type="character" w:customStyle="1" w:styleId="GlavaZnak">
    <w:name w:val="Glava Znak"/>
    <w:basedOn w:val="Privzetapisavaodstavka"/>
    <w:link w:val="Glava"/>
    <w:rsid w:val="00627C19"/>
    <w:rPr>
      <w:sz w:val="24"/>
      <w:szCs w:val="24"/>
      <w:lang w:val="sl-SI"/>
    </w:rPr>
  </w:style>
  <w:style w:type="paragraph" w:styleId="Noga">
    <w:name w:val="footer"/>
    <w:basedOn w:val="Navaden"/>
    <w:link w:val="NogaZnak"/>
    <w:rsid w:val="00627C19"/>
    <w:pPr>
      <w:tabs>
        <w:tab w:val="center" w:pos="4536"/>
        <w:tab w:val="right" w:pos="9072"/>
      </w:tabs>
    </w:pPr>
  </w:style>
  <w:style w:type="character" w:customStyle="1" w:styleId="NogaZnak">
    <w:name w:val="Noga Znak"/>
    <w:basedOn w:val="Privzetapisavaodstavka"/>
    <w:link w:val="Noga"/>
    <w:rsid w:val="00627C19"/>
    <w:rPr>
      <w:sz w:val="24"/>
      <w:szCs w:val="24"/>
      <w:lang w:val="sl-SI"/>
    </w:rPr>
  </w:style>
  <w:style w:type="paragraph" w:styleId="Revizija">
    <w:name w:val="Revision"/>
    <w:hidden/>
    <w:uiPriority w:val="99"/>
    <w:semiHidden/>
    <w:rsid w:val="00877EB4"/>
    <w:rPr>
      <w:sz w:val="24"/>
      <w:szCs w:val="24"/>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458577">
      <w:bodyDiv w:val="1"/>
      <w:marLeft w:val="0"/>
      <w:marRight w:val="0"/>
      <w:marTop w:val="0"/>
      <w:marBottom w:val="0"/>
      <w:divBdr>
        <w:top w:val="none" w:sz="0" w:space="0" w:color="auto"/>
        <w:left w:val="none" w:sz="0" w:space="0" w:color="auto"/>
        <w:bottom w:val="none" w:sz="0" w:space="0" w:color="auto"/>
        <w:right w:val="none" w:sz="0" w:space="0" w:color="auto"/>
      </w:divBdr>
    </w:div>
    <w:div w:id="169609604">
      <w:bodyDiv w:val="1"/>
      <w:marLeft w:val="0"/>
      <w:marRight w:val="0"/>
      <w:marTop w:val="0"/>
      <w:marBottom w:val="0"/>
      <w:divBdr>
        <w:top w:val="none" w:sz="0" w:space="0" w:color="auto"/>
        <w:left w:val="none" w:sz="0" w:space="0" w:color="auto"/>
        <w:bottom w:val="none" w:sz="0" w:space="0" w:color="auto"/>
        <w:right w:val="none" w:sz="0" w:space="0" w:color="auto"/>
      </w:divBdr>
    </w:div>
    <w:div w:id="193035536">
      <w:bodyDiv w:val="1"/>
      <w:marLeft w:val="0"/>
      <w:marRight w:val="0"/>
      <w:marTop w:val="0"/>
      <w:marBottom w:val="0"/>
      <w:divBdr>
        <w:top w:val="none" w:sz="0" w:space="0" w:color="auto"/>
        <w:left w:val="none" w:sz="0" w:space="0" w:color="auto"/>
        <w:bottom w:val="none" w:sz="0" w:space="0" w:color="auto"/>
        <w:right w:val="none" w:sz="0" w:space="0" w:color="auto"/>
      </w:divBdr>
    </w:div>
    <w:div w:id="288320367">
      <w:bodyDiv w:val="1"/>
      <w:marLeft w:val="0"/>
      <w:marRight w:val="0"/>
      <w:marTop w:val="0"/>
      <w:marBottom w:val="0"/>
      <w:divBdr>
        <w:top w:val="none" w:sz="0" w:space="0" w:color="auto"/>
        <w:left w:val="none" w:sz="0" w:space="0" w:color="auto"/>
        <w:bottom w:val="none" w:sz="0" w:space="0" w:color="auto"/>
        <w:right w:val="none" w:sz="0" w:space="0" w:color="auto"/>
      </w:divBdr>
    </w:div>
    <w:div w:id="325398025">
      <w:bodyDiv w:val="1"/>
      <w:marLeft w:val="0"/>
      <w:marRight w:val="0"/>
      <w:marTop w:val="0"/>
      <w:marBottom w:val="0"/>
      <w:divBdr>
        <w:top w:val="none" w:sz="0" w:space="0" w:color="auto"/>
        <w:left w:val="none" w:sz="0" w:space="0" w:color="auto"/>
        <w:bottom w:val="none" w:sz="0" w:space="0" w:color="auto"/>
        <w:right w:val="none" w:sz="0" w:space="0" w:color="auto"/>
      </w:divBdr>
    </w:div>
    <w:div w:id="405805274">
      <w:bodyDiv w:val="1"/>
      <w:marLeft w:val="0"/>
      <w:marRight w:val="0"/>
      <w:marTop w:val="0"/>
      <w:marBottom w:val="0"/>
      <w:divBdr>
        <w:top w:val="none" w:sz="0" w:space="0" w:color="auto"/>
        <w:left w:val="none" w:sz="0" w:space="0" w:color="auto"/>
        <w:bottom w:val="none" w:sz="0" w:space="0" w:color="auto"/>
        <w:right w:val="none" w:sz="0" w:space="0" w:color="auto"/>
      </w:divBdr>
    </w:div>
    <w:div w:id="557940608">
      <w:bodyDiv w:val="1"/>
      <w:marLeft w:val="0"/>
      <w:marRight w:val="0"/>
      <w:marTop w:val="0"/>
      <w:marBottom w:val="0"/>
      <w:divBdr>
        <w:top w:val="none" w:sz="0" w:space="0" w:color="auto"/>
        <w:left w:val="none" w:sz="0" w:space="0" w:color="auto"/>
        <w:bottom w:val="none" w:sz="0" w:space="0" w:color="auto"/>
        <w:right w:val="none" w:sz="0" w:space="0" w:color="auto"/>
      </w:divBdr>
    </w:div>
    <w:div w:id="584151782">
      <w:bodyDiv w:val="1"/>
      <w:marLeft w:val="0"/>
      <w:marRight w:val="0"/>
      <w:marTop w:val="0"/>
      <w:marBottom w:val="0"/>
      <w:divBdr>
        <w:top w:val="none" w:sz="0" w:space="0" w:color="auto"/>
        <w:left w:val="none" w:sz="0" w:space="0" w:color="auto"/>
        <w:bottom w:val="none" w:sz="0" w:space="0" w:color="auto"/>
        <w:right w:val="none" w:sz="0" w:space="0" w:color="auto"/>
      </w:divBdr>
    </w:div>
    <w:div w:id="614093695">
      <w:bodyDiv w:val="1"/>
      <w:marLeft w:val="0"/>
      <w:marRight w:val="0"/>
      <w:marTop w:val="0"/>
      <w:marBottom w:val="0"/>
      <w:divBdr>
        <w:top w:val="none" w:sz="0" w:space="0" w:color="auto"/>
        <w:left w:val="none" w:sz="0" w:space="0" w:color="auto"/>
        <w:bottom w:val="none" w:sz="0" w:space="0" w:color="auto"/>
        <w:right w:val="none" w:sz="0" w:space="0" w:color="auto"/>
      </w:divBdr>
    </w:div>
    <w:div w:id="646784151">
      <w:bodyDiv w:val="1"/>
      <w:marLeft w:val="0"/>
      <w:marRight w:val="0"/>
      <w:marTop w:val="0"/>
      <w:marBottom w:val="0"/>
      <w:divBdr>
        <w:top w:val="none" w:sz="0" w:space="0" w:color="auto"/>
        <w:left w:val="none" w:sz="0" w:space="0" w:color="auto"/>
        <w:bottom w:val="none" w:sz="0" w:space="0" w:color="auto"/>
        <w:right w:val="none" w:sz="0" w:space="0" w:color="auto"/>
      </w:divBdr>
    </w:div>
    <w:div w:id="660813578">
      <w:bodyDiv w:val="1"/>
      <w:marLeft w:val="0"/>
      <w:marRight w:val="0"/>
      <w:marTop w:val="0"/>
      <w:marBottom w:val="0"/>
      <w:divBdr>
        <w:top w:val="none" w:sz="0" w:space="0" w:color="auto"/>
        <w:left w:val="none" w:sz="0" w:space="0" w:color="auto"/>
        <w:bottom w:val="none" w:sz="0" w:space="0" w:color="auto"/>
        <w:right w:val="none" w:sz="0" w:space="0" w:color="auto"/>
      </w:divBdr>
    </w:div>
    <w:div w:id="674501314">
      <w:bodyDiv w:val="1"/>
      <w:marLeft w:val="0"/>
      <w:marRight w:val="0"/>
      <w:marTop w:val="0"/>
      <w:marBottom w:val="0"/>
      <w:divBdr>
        <w:top w:val="none" w:sz="0" w:space="0" w:color="auto"/>
        <w:left w:val="none" w:sz="0" w:space="0" w:color="auto"/>
        <w:bottom w:val="none" w:sz="0" w:space="0" w:color="auto"/>
        <w:right w:val="none" w:sz="0" w:space="0" w:color="auto"/>
      </w:divBdr>
    </w:div>
    <w:div w:id="724960147">
      <w:bodyDiv w:val="1"/>
      <w:marLeft w:val="0"/>
      <w:marRight w:val="0"/>
      <w:marTop w:val="0"/>
      <w:marBottom w:val="0"/>
      <w:divBdr>
        <w:top w:val="none" w:sz="0" w:space="0" w:color="auto"/>
        <w:left w:val="none" w:sz="0" w:space="0" w:color="auto"/>
        <w:bottom w:val="none" w:sz="0" w:space="0" w:color="auto"/>
        <w:right w:val="none" w:sz="0" w:space="0" w:color="auto"/>
      </w:divBdr>
    </w:div>
    <w:div w:id="730202303">
      <w:bodyDiv w:val="1"/>
      <w:marLeft w:val="0"/>
      <w:marRight w:val="0"/>
      <w:marTop w:val="0"/>
      <w:marBottom w:val="0"/>
      <w:divBdr>
        <w:top w:val="none" w:sz="0" w:space="0" w:color="auto"/>
        <w:left w:val="none" w:sz="0" w:space="0" w:color="auto"/>
        <w:bottom w:val="none" w:sz="0" w:space="0" w:color="auto"/>
        <w:right w:val="none" w:sz="0" w:space="0" w:color="auto"/>
      </w:divBdr>
    </w:div>
    <w:div w:id="751006843">
      <w:bodyDiv w:val="1"/>
      <w:marLeft w:val="0"/>
      <w:marRight w:val="0"/>
      <w:marTop w:val="0"/>
      <w:marBottom w:val="0"/>
      <w:divBdr>
        <w:top w:val="none" w:sz="0" w:space="0" w:color="auto"/>
        <w:left w:val="none" w:sz="0" w:space="0" w:color="auto"/>
        <w:bottom w:val="none" w:sz="0" w:space="0" w:color="auto"/>
        <w:right w:val="none" w:sz="0" w:space="0" w:color="auto"/>
      </w:divBdr>
    </w:div>
    <w:div w:id="896085922">
      <w:bodyDiv w:val="1"/>
      <w:marLeft w:val="0"/>
      <w:marRight w:val="0"/>
      <w:marTop w:val="0"/>
      <w:marBottom w:val="0"/>
      <w:divBdr>
        <w:top w:val="none" w:sz="0" w:space="0" w:color="auto"/>
        <w:left w:val="none" w:sz="0" w:space="0" w:color="auto"/>
        <w:bottom w:val="none" w:sz="0" w:space="0" w:color="auto"/>
        <w:right w:val="none" w:sz="0" w:space="0" w:color="auto"/>
      </w:divBdr>
    </w:div>
    <w:div w:id="938488203">
      <w:bodyDiv w:val="1"/>
      <w:marLeft w:val="0"/>
      <w:marRight w:val="0"/>
      <w:marTop w:val="0"/>
      <w:marBottom w:val="0"/>
      <w:divBdr>
        <w:top w:val="none" w:sz="0" w:space="0" w:color="auto"/>
        <w:left w:val="none" w:sz="0" w:space="0" w:color="auto"/>
        <w:bottom w:val="none" w:sz="0" w:space="0" w:color="auto"/>
        <w:right w:val="none" w:sz="0" w:space="0" w:color="auto"/>
      </w:divBdr>
    </w:div>
    <w:div w:id="954558941">
      <w:bodyDiv w:val="1"/>
      <w:marLeft w:val="0"/>
      <w:marRight w:val="0"/>
      <w:marTop w:val="0"/>
      <w:marBottom w:val="0"/>
      <w:divBdr>
        <w:top w:val="none" w:sz="0" w:space="0" w:color="auto"/>
        <w:left w:val="none" w:sz="0" w:space="0" w:color="auto"/>
        <w:bottom w:val="none" w:sz="0" w:space="0" w:color="auto"/>
        <w:right w:val="none" w:sz="0" w:space="0" w:color="auto"/>
      </w:divBdr>
    </w:div>
    <w:div w:id="976572487">
      <w:bodyDiv w:val="1"/>
      <w:marLeft w:val="0"/>
      <w:marRight w:val="0"/>
      <w:marTop w:val="0"/>
      <w:marBottom w:val="0"/>
      <w:divBdr>
        <w:top w:val="none" w:sz="0" w:space="0" w:color="auto"/>
        <w:left w:val="none" w:sz="0" w:space="0" w:color="auto"/>
        <w:bottom w:val="none" w:sz="0" w:space="0" w:color="auto"/>
        <w:right w:val="none" w:sz="0" w:space="0" w:color="auto"/>
      </w:divBdr>
    </w:div>
    <w:div w:id="990256940">
      <w:bodyDiv w:val="1"/>
      <w:marLeft w:val="0"/>
      <w:marRight w:val="0"/>
      <w:marTop w:val="0"/>
      <w:marBottom w:val="0"/>
      <w:divBdr>
        <w:top w:val="none" w:sz="0" w:space="0" w:color="auto"/>
        <w:left w:val="none" w:sz="0" w:space="0" w:color="auto"/>
        <w:bottom w:val="none" w:sz="0" w:space="0" w:color="auto"/>
        <w:right w:val="none" w:sz="0" w:space="0" w:color="auto"/>
      </w:divBdr>
    </w:div>
    <w:div w:id="1006445110">
      <w:bodyDiv w:val="1"/>
      <w:marLeft w:val="0"/>
      <w:marRight w:val="0"/>
      <w:marTop w:val="0"/>
      <w:marBottom w:val="0"/>
      <w:divBdr>
        <w:top w:val="none" w:sz="0" w:space="0" w:color="auto"/>
        <w:left w:val="none" w:sz="0" w:space="0" w:color="auto"/>
        <w:bottom w:val="none" w:sz="0" w:space="0" w:color="auto"/>
        <w:right w:val="none" w:sz="0" w:space="0" w:color="auto"/>
      </w:divBdr>
    </w:div>
    <w:div w:id="1028212837">
      <w:bodyDiv w:val="1"/>
      <w:marLeft w:val="0"/>
      <w:marRight w:val="0"/>
      <w:marTop w:val="0"/>
      <w:marBottom w:val="0"/>
      <w:divBdr>
        <w:top w:val="none" w:sz="0" w:space="0" w:color="auto"/>
        <w:left w:val="none" w:sz="0" w:space="0" w:color="auto"/>
        <w:bottom w:val="none" w:sz="0" w:space="0" w:color="auto"/>
        <w:right w:val="none" w:sz="0" w:space="0" w:color="auto"/>
      </w:divBdr>
    </w:div>
    <w:div w:id="1051154284">
      <w:bodyDiv w:val="1"/>
      <w:marLeft w:val="0"/>
      <w:marRight w:val="0"/>
      <w:marTop w:val="0"/>
      <w:marBottom w:val="0"/>
      <w:divBdr>
        <w:top w:val="none" w:sz="0" w:space="0" w:color="auto"/>
        <w:left w:val="none" w:sz="0" w:space="0" w:color="auto"/>
        <w:bottom w:val="none" w:sz="0" w:space="0" w:color="auto"/>
        <w:right w:val="none" w:sz="0" w:space="0" w:color="auto"/>
      </w:divBdr>
    </w:div>
    <w:div w:id="1091925831">
      <w:bodyDiv w:val="1"/>
      <w:marLeft w:val="0"/>
      <w:marRight w:val="0"/>
      <w:marTop w:val="0"/>
      <w:marBottom w:val="0"/>
      <w:divBdr>
        <w:top w:val="none" w:sz="0" w:space="0" w:color="auto"/>
        <w:left w:val="none" w:sz="0" w:space="0" w:color="auto"/>
        <w:bottom w:val="none" w:sz="0" w:space="0" w:color="auto"/>
        <w:right w:val="none" w:sz="0" w:space="0" w:color="auto"/>
      </w:divBdr>
    </w:div>
    <w:div w:id="1105079518">
      <w:bodyDiv w:val="1"/>
      <w:marLeft w:val="0"/>
      <w:marRight w:val="0"/>
      <w:marTop w:val="0"/>
      <w:marBottom w:val="0"/>
      <w:divBdr>
        <w:top w:val="none" w:sz="0" w:space="0" w:color="auto"/>
        <w:left w:val="none" w:sz="0" w:space="0" w:color="auto"/>
        <w:bottom w:val="none" w:sz="0" w:space="0" w:color="auto"/>
        <w:right w:val="none" w:sz="0" w:space="0" w:color="auto"/>
      </w:divBdr>
    </w:div>
    <w:div w:id="1107429562">
      <w:bodyDiv w:val="1"/>
      <w:marLeft w:val="0"/>
      <w:marRight w:val="0"/>
      <w:marTop w:val="0"/>
      <w:marBottom w:val="0"/>
      <w:divBdr>
        <w:top w:val="none" w:sz="0" w:space="0" w:color="auto"/>
        <w:left w:val="none" w:sz="0" w:space="0" w:color="auto"/>
        <w:bottom w:val="none" w:sz="0" w:space="0" w:color="auto"/>
        <w:right w:val="none" w:sz="0" w:space="0" w:color="auto"/>
      </w:divBdr>
    </w:div>
    <w:div w:id="1119911434">
      <w:bodyDiv w:val="1"/>
      <w:marLeft w:val="0"/>
      <w:marRight w:val="0"/>
      <w:marTop w:val="0"/>
      <w:marBottom w:val="0"/>
      <w:divBdr>
        <w:top w:val="none" w:sz="0" w:space="0" w:color="auto"/>
        <w:left w:val="none" w:sz="0" w:space="0" w:color="auto"/>
        <w:bottom w:val="none" w:sz="0" w:space="0" w:color="auto"/>
        <w:right w:val="none" w:sz="0" w:space="0" w:color="auto"/>
      </w:divBdr>
    </w:div>
    <w:div w:id="1263805877">
      <w:bodyDiv w:val="1"/>
      <w:marLeft w:val="0"/>
      <w:marRight w:val="0"/>
      <w:marTop w:val="0"/>
      <w:marBottom w:val="0"/>
      <w:divBdr>
        <w:top w:val="none" w:sz="0" w:space="0" w:color="auto"/>
        <w:left w:val="none" w:sz="0" w:space="0" w:color="auto"/>
        <w:bottom w:val="none" w:sz="0" w:space="0" w:color="auto"/>
        <w:right w:val="none" w:sz="0" w:space="0" w:color="auto"/>
      </w:divBdr>
    </w:div>
    <w:div w:id="1325082487">
      <w:bodyDiv w:val="1"/>
      <w:marLeft w:val="0"/>
      <w:marRight w:val="0"/>
      <w:marTop w:val="0"/>
      <w:marBottom w:val="0"/>
      <w:divBdr>
        <w:top w:val="none" w:sz="0" w:space="0" w:color="auto"/>
        <w:left w:val="none" w:sz="0" w:space="0" w:color="auto"/>
        <w:bottom w:val="none" w:sz="0" w:space="0" w:color="auto"/>
        <w:right w:val="none" w:sz="0" w:space="0" w:color="auto"/>
      </w:divBdr>
    </w:div>
    <w:div w:id="1349287106">
      <w:bodyDiv w:val="1"/>
      <w:marLeft w:val="0"/>
      <w:marRight w:val="0"/>
      <w:marTop w:val="0"/>
      <w:marBottom w:val="0"/>
      <w:divBdr>
        <w:top w:val="none" w:sz="0" w:space="0" w:color="auto"/>
        <w:left w:val="none" w:sz="0" w:space="0" w:color="auto"/>
        <w:bottom w:val="none" w:sz="0" w:space="0" w:color="auto"/>
        <w:right w:val="none" w:sz="0" w:space="0" w:color="auto"/>
      </w:divBdr>
    </w:div>
    <w:div w:id="1351954745">
      <w:bodyDiv w:val="1"/>
      <w:marLeft w:val="0"/>
      <w:marRight w:val="0"/>
      <w:marTop w:val="0"/>
      <w:marBottom w:val="0"/>
      <w:divBdr>
        <w:top w:val="none" w:sz="0" w:space="0" w:color="auto"/>
        <w:left w:val="none" w:sz="0" w:space="0" w:color="auto"/>
        <w:bottom w:val="none" w:sz="0" w:space="0" w:color="auto"/>
        <w:right w:val="none" w:sz="0" w:space="0" w:color="auto"/>
      </w:divBdr>
    </w:div>
    <w:div w:id="1419903080">
      <w:bodyDiv w:val="1"/>
      <w:marLeft w:val="0"/>
      <w:marRight w:val="0"/>
      <w:marTop w:val="0"/>
      <w:marBottom w:val="0"/>
      <w:divBdr>
        <w:top w:val="none" w:sz="0" w:space="0" w:color="auto"/>
        <w:left w:val="none" w:sz="0" w:space="0" w:color="auto"/>
        <w:bottom w:val="none" w:sz="0" w:space="0" w:color="auto"/>
        <w:right w:val="none" w:sz="0" w:space="0" w:color="auto"/>
      </w:divBdr>
    </w:div>
    <w:div w:id="1503354939">
      <w:bodyDiv w:val="1"/>
      <w:marLeft w:val="0"/>
      <w:marRight w:val="0"/>
      <w:marTop w:val="0"/>
      <w:marBottom w:val="0"/>
      <w:divBdr>
        <w:top w:val="none" w:sz="0" w:space="0" w:color="auto"/>
        <w:left w:val="none" w:sz="0" w:space="0" w:color="auto"/>
        <w:bottom w:val="none" w:sz="0" w:space="0" w:color="auto"/>
        <w:right w:val="none" w:sz="0" w:space="0" w:color="auto"/>
      </w:divBdr>
    </w:div>
    <w:div w:id="1519613776">
      <w:bodyDiv w:val="1"/>
      <w:marLeft w:val="0"/>
      <w:marRight w:val="0"/>
      <w:marTop w:val="0"/>
      <w:marBottom w:val="0"/>
      <w:divBdr>
        <w:top w:val="none" w:sz="0" w:space="0" w:color="auto"/>
        <w:left w:val="none" w:sz="0" w:space="0" w:color="auto"/>
        <w:bottom w:val="none" w:sz="0" w:space="0" w:color="auto"/>
        <w:right w:val="none" w:sz="0" w:space="0" w:color="auto"/>
      </w:divBdr>
    </w:div>
    <w:div w:id="1623413877">
      <w:bodyDiv w:val="1"/>
      <w:marLeft w:val="0"/>
      <w:marRight w:val="0"/>
      <w:marTop w:val="0"/>
      <w:marBottom w:val="0"/>
      <w:divBdr>
        <w:top w:val="none" w:sz="0" w:space="0" w:color="auto"/>
        <w:left w:val="none" w:sz="0" w:space="0" w:color="auto"/>
        <w:bottom w:val="none" w:sz="0" w:space="0" w:color="auto"/>
        <w:right w:val="none" w:sz="0" w:space="0" w:color="auto"/>
      </w:divBdr>
    </w:div>
    <w:div w:id="1744260797">
      <w:bodyDiv w:val="1"/>
      <w:marLeft w:val="0"/>
      <w:marRight w:val="0"/>
      <w:marTop w:val="0"/>
      <w:marBottom w:val="0"/>
      <w:divBdr>
        <w:top w:val="none" w:sz="0" w:space="0" w:color="auto"/>
        <w:left w:val="none" w:sz="0" w:space="0" w:color="auto"/>
        <w:bottom w:val="none" w:sz="0" w:space="0" w:color="auto"/>
        <w:right w:val="none" w:sz="0" w:space="0" w:color="auto"/>
      </w:divBdr>
    </w:div>
    <w:div w:id="1824346097">
      <w:bodyDiv w:val="1"/>
      <w:marLeft w:val="0"/>
      <w:marRight w:val="0"/>
      <w:marTop w:val="0"/>
      <w:marBottom w:val="0"/>
      <w:divBdr>
        <w:top w:val="none" w:sz="0" w:space="0" w:color="auto"/>
        <w:left w:val="none" w:sz="0" w:space="0" w:color="auto"/>
        <w:bottom w:val="none" w:sz="0" w:space="0" w:color="auto"/>
        <w:right w:val="none" w:sz="0" w:space="0" w:color="auto"/>
      </w:divBdr>
    </w:div>
    <w:div w:id="1903832149">
      <w:bodyDiv w:val="1"/>
      <w:marLeft w:val="0"/>
      <w:marRight w:val="0"/>
      <w:marTop w:val="0"/>
      <w:marBottom w:val="0"/>
      <w:divBdr>
        <w:top w:val="none" w:sz="0" w:space="0" w:color="auto"/>
        <w:left w:val="none" w:sz="0" w:space="0" w:color="auto"/>
        <w:bottom w:val="none" w:sz="0" w:space="0" w:color="auto"/>
        <w:right w:val="none" w:sz="0" w:space="0" w:color="auto"/>
      </w:divBdr>
    </w:div>
    <w:div w:id="1920795101">
      <w:bodyDiv w:val="1"/>
      <w:marLeft w:val="0"/>
      <w:marRight w:val="0"/>
      <w:marTop w:val="0"/>
      <w:marBottom w:val="0"/>
      <w:divBdr>
        <w:top w:val="none" w:sz="0" w:space="0" w:color="auto"/>
        <w:left w:val="none" w:sz="0" w:space="0" w:color="auto"/>
        <w:bottom w:val="none" w:sz="0" w:space="0" w:color="auto"/>
        <w:right w:val="none" w:sz="0" w:space="0" w:color="auto"/>
      </w:divBdr>
    </w:div>
    <w:div w:id="1941908601">
      <w:bodyDiv w:val="1"/>
      <w:marLeft w:val="0"/>
      <w:marRight w:val="0"/>
      <w:marTop w:val="0"/>
      <w:marBottom w:val="0"/>
      <w:divBdr>
        <w:top w:val="none" w:sz="0" w:space="0" w:color="auto"/>
        <w:left w:val="none" w:sz="0" w:space="0" w:color="auto"/>
        <w:bottom w:val="none" w:sz="0" w:space="0" w:color="auto"/>
        <w:right w:val="none" w:sz="0" w:space="0" w:color="auto"/>
      </w:divBdr>
    </w:div>
    <w:div w:id="1982466310">
      <w:bodyDiv w:val="1"/>
      <w:marLeft w:val="0"/>
      <w:marRight w:val="0"/>
      <w:marTop w:val="0"/>
      <w:marBottom w:val="0"/>
      <w:divBdr>
        <w:top w:val="none" w:sz="0" w:space="0" w:color="auto"/>
        <w:left w:val="none" w:sz="0" w:space="0" w:color="auto"/>
        <w:bottom w:val="none" w:sz="0" w:space="0" w:color="auto"/>
        <w:right w:val="none" w:sz="0" w:space="0" w:color="auto"/>
      </w:divBdr>
    </w:div>
    <w:div w:id="1995452899">
      <w:bodyDiv w:val="1"/>
      <w:marLeft w:val="0"/>
      <w:marRight w:val="0"/>
      <w:marTop w:val="0"/>
      <w:marBottom w:val="0"/>
      <w:divBdr>
        <w:top w:val="none" w:sz="0" w:space="0" w:color="auto"/>
        <w:left w:val="none" w:sz="0" w:space="0" w:color="auto"/>
        <w:bottom w:val="none" w:sz="0" w:space="0" w:color="auto"/>
        <w:right w:val="none" w:sz="0" w:space="0" w:color="auto"/>
      </w:divBdr>
    </w:div>
    <w:div w:id="2041781973">
      <w:bodyDiv w:val="1"/>
      <w:marLeft w:val="0"/>
      <w:marRight w:val="0"/>
      <w:marTop w:val="0"/>
      <w:marBottom w:val="0"/>
      <w:divBdr>
        <w:top w:val="none" w:sz="0" w:space="0" w:color="auto"/>
        <w:left w:val="none" w:sz="0" w:space="0" w:color="auto"/>
        <w:bottom w:val="none" w:sz="0" w:space="0" w:color="auto"/>
        <w:right w:val="none" w:sz="0" w:space="0" w:color="auto"/>
      </w:divBdr>
    </w:div>
    <w:div w:id="2043480590">
      <w:bodyDiv w:val="1"/>
      <w:marLeft w:val="0"/>
      <w:marRight w:val="0"/>
      <w:marTop w:val="0"/>
      <w:marBottom w:val="0"/>
      <w:divBdr>
        <w:top w:val="none" w:sz="0" w:space="0" w:color="auto"/>
        <w:left w:val="none" w:sz="0" w:space="0" w:color="auto"/>
        <w:bottom w:val="none" w:sz="0" w:space="0" w:color="auto"/>
        <w:right w:val="none" w:sz="0" w:space="0" w:color="auto"/>
      </w:divBdr>
    </w:div>
    <w:div w:id="2051566606">
      <w:bodyDiv w:val="1"/>
      <w:marLeft w:val="0"/>
      <w:marRight w:val="0"/>
      <w:marTop w:val="0"/>
      <w:marBottom w:val="0"/>
      <w:divBdr>
        <w:top w:val="none" w:sz="0" w:space="0" w:color="auto"/>
        <w:left w:val="none" w:sz="0" w:space="0" w:color="auto"/>
        <w:bottom w:val="none" w:sz="0" w:space="0" w:color="auto"/>
        <w:right w:val="none" w:sz="0" w:space="0" w:color="auto"/>
      </w:divBdr>
    </w:div>
    <w:div w:id="2071953154">
      <w:bodyDiv w:val="1"/>
      <w:marLeft w:val="0"/>
      <w:marRight w:val="0"/>
      <w:marTop w:val="0"/>
      <w:marBottom w:val="0"/>
      <w:divBdr>
        <w:top w:val="none" w:sz="0" w:space="0" w:color="auto"/>
        <w:left w:val="none" w:sz="0" w:space="0" w:color="auto"/>
        <w:bottom w:val="none" w:sz="0" w:space="0" w:color="auto"/>
        <w:right w:val="none" w:sz="0" w:space="0" w:color="auto"/>
      </w:divBdr>
    </w:div>
    <w:div w:id="2079132733">
      <w:bodyDiv w:val="1"/>
      <w:marLeft w:val="0"/>
      <w:marRight w:val="0"/>
      <w:marTop w:val="0"/>
      <w:marBottom w:val="0"/>
      <w:divBdr>
        <w:top w:val="none" w:sz="0" w:space="0" w:color="auto"/>
        <w:left w:val="none" w:sz="0" w:space="0" w:color="auto"/>
        <w:bottom w:val="none" w:sz="0" w:space="0" w:color="auto"/>
        <w:right w:val="none" w:sz="0" w:space="0" w:color="auto"/>
      </w:divBdr>
    </w:div>
    <w:div w:id="212488065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isrs.si/pregledPredpisa?id=PRAV948" TargetMode="External"/><Relationship Id="rId3" Type="http://schemas.openxmlformats.org/officeDocument/2006/relationships/settings" Target="settings.xml"/><Relationship Id="rId7" Type="http://schemas.openxmlformats.org/officeDocument/2006/relationships/hyperlink" Target="https://pisrs.si/pregledPredpisa?id=PRAV95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729</Words>
  <Characters>4160</Characters>
  <Application>Microsoft Office Word</Application>
  <DocSecurity>0</DocSecurity>
  <Lines>34</Lines>
  <Paragraphs>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PRAV13760 NPB0</vt:lpstr>
      <vt:lpstr/>
    </vt:vector>
  </TitlesOfParts>
  <Company/>
  <LinksUpToDate>false</LinksUpToDate>
  <CharactersWithSpaces>4880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PRAV13760 NPB0</dc:title>
  <dc:creator>Nataša Kokol Car</dc:creator>
  <cp:lastModifiedBy>Avtor</cp:lastModifiedBy>
  <cp:revision>4</cp:revision>
  <cp:lastPrinted>2025-07-02T07:32:00Z</cp:lastPrinted>
  <dcterms:created xsi:type="dcterms:W3CDTF">2025-07-21T10:40:00Z</dcterms:created>
  <dcterms:modified xsi:type="dcterms:W3CDTF">2025-07-21T11:23:00Z</dcterms:modified>
</cp:coreProperties>
</file>