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9E7" w:rsidRDefault="001C79E7" w:rsidP="009C657E">
      <w:pPr>
        <w:pStyle w:val="datumtevilka"/>
        <w:rPr>
          <w:rFonts w:cs="Arial"/>
          <w:color w:val="000000"/>
        </w:rPr>
      </w:pPr>
      <w:bookmarkStart w:id="0" w:name="_Hlk61014710"/>
      <w:bookmarkEnd w:id="0"/>
    </w:p>
    <w:p w:rsidR="009C657E" w:rsidRPr="002760DC" w:rsidRDefault="009C657E" w:rsidP="009C657E">
      <w:pPr>
        <w:pStyle w:val="datumtevilka"/>
      </w:pPr>
      <w:r w:rsidRPr="002760DC">
        <w:rPr>
          <w:rFonts w:cs="Arial"/>
          <w:color w:val="000000"/>
        </w:rPr>
        <w:t>EVA:</w:t>
      </w:r>
      <w:r w:rsidRPr="002760DC">
        <w:rPr>
          <w:rFonts w:cs="Arial"/>
          <w:color w:val="000000"/>
        </w:rPr>
        <w:tab/>
      </w:r>
      <w:r w:rsidR="00FE26D5">
        <w:rPr>
          <w:rFonts w:cs="Arial"/>
          <w:color w:val="000000"/>
        </w:rPr>
        <w:t>2023-2570-0081</w:t>
      </w:r>
    </w:p>
    <w:p w:rsidR="009C657E" w:rsidRPr="002760DC" w:rsidRDefault="009C657E" w:rsidP="009C657E">
      <w:pPr>
        <w:pStyle w:val="datumtevilka"/>
      </w:pPr>
      <w:r w:rsidRPr="002760DC">
        <w:t xml:space="preserve">Številka: </w:t>
      </w:r>
      <w:r w:rsidRPr="002760DC">
        <w:tab/>
      </w:r>
      <w:r w:rsidR="00FE26D5">
        <w:rPr>
          <w:rFonts w:cs="Arial"/>
          <w:color w:val="000000"/>
        </w:rPr>
        <w:t>00704-372/2024/26</w:t>
      </w:r>
    </w:p>
    <w:p w:rsidR="009C657E" w:rsidRPr="002760DC" w:rsidRDefault="009C657E" w:rsidP="009C657E">
      <w:pPr>
        <w:pStyle w:val="datumtevilka"/>
      </w:pPr>
      <w:r>
        <w:t>Datum:</w:t>
      </w:r>
      <w:r w:rsidRPr="002760DC">
        <w:tab/>
      </w:r>
      <w:r w:rsidR="00FE26D5">
        <w:rPr>
          <w:rFonts w:cs="Arial"/>
          <w:color w:val="000000"/>
        </w:rPr>
        <w:t>14. 7. 2025</w:t>
      </w:r>
      <w:r w:rsidRPr="002760DC">
        <w:t xml:space="preserve"> </w:t>
      </w:r>
    </w:p>
    <w:p w:rsidR="009C657E" w:rsidRDefault="009C657E" w:rsidP="009C657E"/>
    <w:p w:rsidR="001C79E7" w:rsidRPr="002760DC" w:rsidRDefault="001C79E7" w:rsidP="009C657E"/>
    <w:p w:rsidR="009C657E" w:rsidRDefault="009C657E" w:rsidP="009C657E">
      <w:pPr>
        <w:autoSpaceDE w:val="0"/>
        <w:autoSpaceDN w:val="0"/>
        <w:adjustRightInd w:val="0"/>
        <w:rPr>
          <w:rFonts w:cs="Arial"/>
          <w:color w:val="000000"/>
          <w:szCs w:val="20"/>
        </w:rPr>
      </w:pPr>
    </w:p>
    <w:p w:rsidR="001C79E7" w:rsidRPr="00077835" w:rsidRDefault="00097DA5" w:rsidP="00077835">
      <w:pPr>
        <w:tabs>
          <w:tab w:val="left" w:pos="7920"/>
        </w:tabs>
        <w:autoSpaceDE w:val="0"/>
        <w:autoSpaceDN w:val="0"/>
        <w:adjustRightInd w:val="0"/>
        <w:jc w:val="center"/>
        <w:rPr>
          <w:rFonts w:cs="Arial"/>
          <w:b/>
          <w:color w:val="000000"/>
          <w:szCs w:val="20"/>
        </w:rPr>
      </w:pPr>
      <w:r>
        <w:rPr>
          <w:rFonts w:cs="Arial"/>
          <w:b/>
          <w:szCs w:val="20"/>
        </w:rPr>
        <w:t>Predlog</w:t>
      </w:r>
      <w:bookmarkStart w:id="1" w:name="_GoBack"/>
      <w:bookmarkEnd w:id="1"/>
      <w:r w:rsidR="001C79E7" w:rsidRPr="00077835">
        <w:rPr>
          <w:rFonts w:cs="Arial"/>
          <w:b/>
          <w:szCs w:val="20"/>
        </w:rPr>
        <w:t xml:space="preserve"> amandmajev </w:t>
      </w:r>
      <w:r w:rsidR="001C79E7" w:rsidRPr="00077835">
        <w:rPr>
          <w:rFonts w:cs="Arial"/>
          <w:b/>
          <w:color w:val="000000"/>
          <w:szCs w:val="20"/>
        </w:rPr>
        <w:t>k Predlogu podnebnega zakona, nujni postopek</w:t>
      </w:r>
    </w:p>
    <w:p w:rsidR="001C79E7" w:rsidRDefault="001C79E7" w:rsidP="009C657E">
      <w:pPr>
        <w:tabs>
          <w:tab w:val="left" w:pos="5570"/>
        </w:tabs>
        <w:autoSpaceDE w:val="0"/>
        <w:autoSpaceDN w:val="0"/>
        <w:adjustRightInd w:val="0"/>
        <w:rPr>
          <w:rFonts w:cs="Arial"/>
          <w:color w:val="000000"/>
          <w:szCs w:val="20"/>
        </w:rPr>
      </w:pPr>
    </w:p>
    <w:p w:rsidR="00077835" w:rsidRDefault="00077835" w:rsidP="00077835">
      <w:pPr>
        <w:autoSpaceDE w:val="0"/>
        <w:autoSpaceDN w:val="0"/>
        <w:adjustRightInd w:val="0"/>
        <w:jc w:val="both"/>
        <w:rPr>
          <w:rFonts w:eastAsia="Calibri" w:cs="Arial"/>
          <w:b/>
          <w:bCs/>
          <w:szCs w:val="20"/>
          <w:u w:val="single"/>
        </w:rPr>
      </w:pPr>
    </w:p>
    <w:p w:rsidR="00077835" w:rsidRDefault="00077835" w:rsidP="00077835">
      <w:pPr>
        <w:spacing w:line="240" w:lineRule="auto"/>
        <w:jc w:val="both"/>
        <w:rPr>
          <w:rFonts w:cs="Arial"/>
          <w:b/>
          <w:bCs/>
          <w:szCs w:val="20"/>
          <w:u w:val="single"/>
        </w:rPr>
      </w:pPr>
      <w:r>
        <w:rPr>
          <w:rFonts w:cs="Arial"/>
          <w:b/>
          <w:bCs/>
          <w:szCs w:val="20"/>
          <w:u w:val="single"/>
        </w:rPr>
        <w:t>K 1. členu:</w:t>
      </w:r>
    </w:p>
    <w:p w:rsidR="00077835" w:rsidRDefault="00077835" w:rsidP="00077835">
      <w:pPr>
        <w:spacing w:line="240" w:lineRule="auto"/>
        <w:jc w:val="both"/>
        <w:rPr>
          <w:rFonts w:cs="Arial"/>
          <w:szCs w:val="20"/>
        </w:rPr>
      </w:pPr>
    </w:p>
    <w:p w:rsidR="00077835" w:rsidRDefault="00077835" w:rsidP="00077835">
      <w:pPr>
        <w:spacing w:line="240" w:lineRule="auto"/>
        <w:contextualSpacing/>
        <w:jc w:val="both"/>
        <w:rPr>
          <w:rFonts w:cs="Arial"/>
          <w:szCs w:val="20"/>
        </w:rPr>
      </w:pPr>
      <w:r>
        <w:rPr>
          <w:rFonts w:cs="Arial"/>
          <w:szCs w:val="20"/>
        </w:rPr>
        <w:t xml:space="preserve">1. člen se spremeni tako, da se glasi: </w:t>
      </w:r>
    </w:p>
    <w:p w:rsidR="00077835" w:rsidRDefault="00077835" w:rsidP="00077835">
      <w:pPr>
        <w:spacing w:before="240" w:after="120" w:line="252" w:lineRule="auto"/>
        <w:jc w:val="both"/>
        <w:rPr>
          <w:rFonts w:eastAsia="MS Mincho" w:cs="Arial"/>
          <w:szCs w:val="20"/>
        </w:rPr>
      </w:pPr>
      <w:r>
        <w:rPr>
          <w:rFonts w:cs="Arial"/>
          <w:szCs w:val="20"/>
        </w:rPr>
        <w:t>»</w:t>
      </w:r>
      <w:r>
        <w:rPr>
          <w:rFonts w:eastAsia="Arial" w:cs="Arial"/>
          <w:szCs w:val="20"/>
        </w:rPr>
        <w:t xml:space="preserve">Ta zakon določa strategije, načrte in organizacije na področju podnebnih sprememb, ukrepe za zmanjševanje emisij toplogrednih plinov v sektorjih, ki niso vključeni v sistem trgovanja, izvajanje sistema trgovanja s pravicami do emisije toplogrednih plinov za upravljavce naprav, operatorje zrakoplovov, ladjarske družbe in regulirane subjekte (v nadaljnjem besedilu: sistem trgovanja), izvajanje  sistema za spremljanje in poročanje o emisijah toplogrednih plinov, ekonomske in finančne instrumente, pravila ravnanja s </w:t>
      </w:r>
      <w:proofErr w:type="spellStart"/>
      <w:r>
        <w:rPr>
          <w:rFonts w:eastAsia="Arial" w:cs="Arial"/>
          <w:szCs w:val="20"/>
        </w:rPr>
        <w:t>fluoriranimi</w:t>
      </w:r>
      <w:proofErr w:type="spellEnd"/>
      <w:r>
        <w:rPr>
          <w:rFonts w:eastAsia="Arial" w:cs="Arial"/>
          <w:szCs w:val="20"/>
        </w:rPr>
        <w:t xml:space="preserve"> plini in z ozonu škodljivimi snovmi, evidence in poročanje ter izvajanje mehanizma za </w:t>
      </w:r>
      <w:proofErr w:type="spellStart"/>
      <w:r>
        <w:rPr>
          <w:rFonts w:eastAsia="Arial" w:cs="Arial"/>
          <w:szCs w:val="20"/>
        </w:rPr>
        <w:t>ogljično</w:t>
      </w:r>
      <w:proofErr w:type="spellEnd"/>
      <w:r>
        <w:rPr>
          <w:rFonts w:eastAsia="Arial" w:cs="Arial"/>
          <w:szCs w:val="20"/>
        </w:rPr>
        <w:t xml:space="preserve"> prilagoditev na mejah.</w:t>
      </w:r>
      <w:r>
        <w:rPr>
          <w:rFonts w:eastAsia="MS Mincho" w:cs="Arial"/>
          <w:szCs w:val="20"/>
        </w:rPr>
        <w:t>«.</w:t>
      </w:r>
    </w:p>
    <w:p w:rsidR="00077835" w:rsidRDefault="00077835" w:rsidP="00077835">
      <w:pPr>
        <w:spacing w:before="240" w:after="120" w:line="252" w:lineRule="auto"/>
        <w:jc w:val="both"/>
        <w:rPr>
          <w:rFonts w:eastAsia="MS Mincho" w:cs="Arial"/>
          <w:b/>
          <w:bCs/>
          <w:szCs w:val="20"/>
        </w:rPr>
      </w:pPr>
      <w:r>
        <w:rPr>
          <w:rFonts w:eastAsia="MS Mincho" w:cs="Arial"/>
          <w:b/>
          <w:bCs/>
          <w:szCs w:val="20"/>
        </w:rPr>
        <w:t xml:space="preserve">Obrazložitev amandmaja: </w:t>
      </w:r>
      <w:r>
        <w:rPr>
          <w:rFonts w:eastAsia="MS Mincho" w:cs="Arial"/>
          <w:szCs w:val="20"/>
        </w:rPr>
        <w:t xml:space="preserve">Amandma je pripravljen kot odziv na mnenje Zakonodajno-pravne službe. Določneje se opredeli vsebina zakona. </w:t>
      </w:r>
    </w:p>
    <w:p w:rsidR="00077835" w:rsidRDefault="00077835" w:rsidP="00077835">
      <w:pPr>
        <w:spacing w:line="240" w:lineRule="auto"/>
        <w:jc w:val="both"/>
        <w:rPr>
          <w:rFonts w:cs="Arial"/>
          <w:b/>
          <w:szCs w:val="20"/>
          <w:u w:val="single"/>
        </w:rPr>
      </w:pPr>
    </w:p>
    <w:p w:rsidR="00077835" w:rsidRDefault="00077835" w:rsidP="00077835">
      <w:pPr>
        <w:spacing w:line="240" w:lineRule="auto"/>
        <w:jc w:val="both"/>
        <w:rPr>
          <w:rFonts w:eastAsia="Aptos" w:cs="Arial"/>
          <w:b/>
          <w:bCs/>
          <w:szCs w:val="20"/>
          <w:u w:val="single"/>
        </w:rPr>
      </w:pPr>
      <w:r>
        <w:rPr>
          <w:rFonts w:eastAsia="Aptos" w:cs="Arial"/>
          <w:b/>
          <w:bCs/>
          <w:szCs w:val="20"/>
          <w:u w:val="single"/>
        </w:rPr>
        <w:t>K 3. členu:</w:t>
      </w:r>
    </w:p>
    <w:p w:rsidR="00077835" w:rsidRDefault="00077835" w:rsidP="00077835">
      <w:pPr>
        <w:spacing w:line="240" w:lineRule="auto"/>
        <w:jc w:val="both"/>
        <w:rPr>
          <w:rFonts w:eastAsia="Aptos" w:cs="Arial"/>
          <w:b/>
          <w:bCs/>
          <w:szCs w:val="20"/>
        </w:rPr>
      </w:pPr>
    </w:p>
    <w:p w:rsidR="00077835" w:rsidRDefault="00077835" w:rsidP="00077835">
      <w:pPr>
        <w:spacing w:line="240" w:lineRule="auto"/>
        <w:jc w:val="both"/>
        <w:rPr>
          <w:rFonts w:eastAsia="Aptos" w:cs="Arial"/>
          <w:szCs w:val="20"/>
        </w:rPr>
      </w:pPr>
      <w:r>
        <w:rPr>
          <w:rFonts w:eastAsia="Aptos" w:cs="Arial"/>
          <w:szCs w:val="20"/>
        </w:rPr>
        <w:t>V 3. členu se napovedni stavek drugega odstavka spremeni tako, da se glasi:</w:t>
      </w:r>
    </w:p>
    <w:p w:rsidR="00077835" w:rsidRDefault="00077835" w:rsidP="00077835">
      <w:pPr>
        <w:spacing w:line="264" w:lineRule="atLeast"/>
        <w:ind w:left="360" w:hanging="360"/>
        <w:jc w:val="both"/>
        <w:rPr>
          <w:rFonts w:eastAsia="Aptos" w:cs="Arial"/>
          <w:szCs w:val="20"/>
        </w:rPr>
      </w:pPr>
      <w:r>
        <w:rPr>
          <w:rFonts w:eastAsia="Aptos" w:cs="Arial"/>
          <w:szCs w:val="20"/>
        </w:rPr>
        <w:t>»(2) Cilj tega zakona je doseči učinkovito obvladovanje podnebnih sprememb za pravočasen in pravičen prispevek Republike Slovenije k doseganju ciljev iz Pariškega sporazuma in predpisov EU na področju podnebnih sprememb. Republika Slovenija zagotovi: «.</w:t>
      </w:r>
    </w:p>
    <w:p w:rsidR="00077835" w:rsidRDefault="00077835" w:rsidP="00077835">
      <w:pPr>
        <w:spacing w:line="240" w:lineRule="auto"/>
        <w:jc w:val="both"/>
        <w:rPr>
          <w:rFonts w:eastAsia="Aptos" w:cs="Arial"/>
          <w:szCs w:val="20"/>
        </w:rPr>
      </w:pPr>
    </w:p>
    <w:p w:rsidR="00077835" w:rsidRDefault="00077835" w:rsidP="00077835">
      <w:pPr>
        <w:spacing w:line="240" w:lineRule="auto"/>
        <w:jc w:val="both"/>
        <w:rPr>
          <w:rFonts w:eastAsia="Aptos" w:cs="Arial"/>
          <w:szCs w:val="20"/>
        </w:rPr>
      </w:pPr>
      <w:r>
        <w:rPr>
          <w:rFonts w:eastAsia="Aptos" w:cs="Arial"/>
          <w:b/>
          <w:bCs/>
          <w:szCs w:val="20"/>
        </w:rPr>
        <w:t xml:space="preserve">Obrazložitev amandmaja: </w:t>
      </w:r>
      <w:r>
        <w:rPr>
          <w:rFonts w:eastAsia="Aptos" w:cs="Arial"/>
          <w:szCs w:val="20"/>
        </w:rPr>
        <w:t xml:space="preserve">Upošteva se predlog nevladnih organizacij. Veljavni ZVO-2 določa, da država zagotavlja uresničevanje cilja podnebne nevtralnosti in učinkovit, pravočasen in pravičen prispevek k ciljem Pariškega sporazuma. Temu sledi tudi amandma k drugemu odstavku 3. člena predloga. </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b/>
          <w:szCs w:val="20"/>
        </w:rPr>
      </w:pPr>
      <w:r>
        <w:rPr>
          <w:rFonts w:cs="Arial"/>
          <w:b/>
          <w:szCs w:val="20"/>
          <w:u w:val="single"/>
        </w:rPr>
        <w:t>K 4. členu: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Besedilo 4. člena se spremeni tako, da se glasi:</w:t>
      </w:r>
    </w:p>
    <w:p w:rsidR="00077835" w:rsidRDefault="00077835" w:rsidP="00077835">
      <w:pPr>
        <w:spacing w:line="240" w:lineRule="auto"/>
        <w:jc w:val="both"/>
        <w:rPr>
          <w:rFonts w:cs="Arial"/>
          <w:szCs w:val="20"/>
        </w:rPr>
      </w:pPr>
    </w:p>
    <w:p w:rsidR="00077835" w:rsidRDefault="00077835" w:rsidP="00077835">
      <w:pPr>
        <w:jc w:val="both"/>
        <w:rPr>
          <w:rFonts w:cs="Arial"/>
          <w:szCs w:val="20"/>
          <w:lang w:val="x-none" w:eastAsia="sl-SI"/>
        </w:rPr>
      </w:pPr>
      <w:r>
        <w:rPr>
          <w:rFonts w:cs="Arial"/>
          <w:szCs w:val="20"/>
        </w:rPr>
        <w:t xml:space="preserve">»(1) </w:t>
      </w:r>
      <w:r>
        <w:rPr>
          <w:rFonts w:cs="Arial"/>
          <w:szCs w:val="20"/>
          <w:lang w:val="x-none" w:eastAsia="sl-SI"/>
        </w:rPr>
        <w:t>Izrazi, uporabljeni v tem zakonu, pomenijo:</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»biomasa« je biomasa, kot je določeno v predpisu EU, ki ureja spremljanje emisij toplogrednih plinov in poročanje o njih;</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»blaženje podnebnih sprememb« je izvajanje ukrepov, ki zmanjšujejo emisije toplogrednih plinov v ozračje ali povečujejo ponore;</w:t>
      </w:r>
    </w:p>
    <w:p w:rsidR="00077835" w:rsidRDefault="00077835" w:rsidP="00077835">
      <w:pPr>
        <w:numPr>
          <w:ilvl w:val="0"/>
          <w:numId w:val="5"/>
        </w:numPr>
        <w:spacing w:line="240" w:lineRule="auto"/>
        <w:contextualSpacing/>
        <w:jc w:val="both"/>
        <w:rPr>
          <w:rFonts w:eastAsia="MS Mincho" w:cs="Arial"/>
          <w:szCs w:val="20"/>
        </w:rPr>
      </w:pPr>
      <w:r>
        <w:rPr>
          <w:rFonts w:cs="Arial"/>
          <w:szCs w:val="20"/>
          <w:lang w:eastAsia="sl-SI"/>
        </w:rPr>
        <w:t>»Čikaška konvencija« je Konvencija o mednarodnem civilnem letalstvu (Uradni list FLRJ – MP, št. 3/54 in akt o ratifikaciji nasledstva Uradni list RS št. 24/92);</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 xml:space="preserve">»dobavitelj« je proizvajalec osebnih avtomobilov ali njegov zakoniti zastopnik s sedežem v Republiki Sloveniji, če proizvajalec ali njegov zakoniti zastopnik nima </w:t>
      </w:r>
      <w:r>
        <w:rPr>
          <w:rFonts w:cs="Arial"/>
          <w:szCs w:val="20"/>
          <w:lang w:val="x-none" w:eastAsia="sl-SI"/>
        </w:rPr>
        <w:lastRenderedPageBreak/>
        <w:t>sedeža v EU, je to uvoznik ali pravna ali fizična oseba, ki v Republiki Sloveniji odplačno ali neodplačno prvič daje na trg nov osebni avtomobil;</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»enota AEA« je enota dodeljenih letnih emisij in pomeni del dodeljenih letnih emisij države članice, določenih v predpisu EU, ki ureja zavezujoče letno zmanjšanje emisij toplogrednih plinov za države članice v obdobju od 2021 do 2030, pri čemer je ta enota enakovredna eni toni ekvivalenta ogljikovega dioksida;</w:t>
      </w:r>
    </w:p>
    <w:p w:rsidR="00077835" w:rsidRDefault="00077835" w:rsidP="00077835">
      <w:pPr>
        <w:numPr>
          <w:ilvl w:val="0"/>
          <w:numId w:val="5"/>
        </w:numPr>
        <w:spacing w:line="240" w:lineRule="auto"/>
        <w:contextualSpacing/>
        <w:jc w:val="both"/>
        <w:rPr>
          <w:rFonts w:eastAsia="MS Mincho" w:cs="Arial"/>
          <w:szCs w:val="20"/>
        </w:rPr>
      </w:pPr>
      <w:r>
        <w:rPr>
          <w:rFonts w:eastAsia="MS Mincho" w:cs="Arial"/>
          <w:szCs w:val="20"/>
        </w:rPr>
        <w:t>»država članica upravljavka« je: a) država članica EU, ki je operatorju zrakoplova odobrila operativno licenco v skladu z uredbo EU, ki določa skupna pravila za opravljanje zračnih prevozov, in b) v vseh drugih primerih država članica EU z največjimi ocenjenimi pripisanimi emisijami iz letalstva iz letov, ki jih je operator zrakoplova opravil v izhodiščnem letu, in jo je kot tako določila Evropska komisija (v nadaljnjem besedilu: Komisija);</w:t>
      </w:r>
    </w:p>
    <w:p w:rsidR="00077835" w:rsidRDefault="00077835" w:rsidP="00077835">
      <w:pPr>
        <w:numPr>
          <w:ilvl w:val="0"/>
          <w:numId w:val="5"/>
        </w:numPr>
        <w:spacing w:line="240" w:lineRule="auto"/>
        <w:contextualSpacing/>
        <w:jc w:val="both"/>
        <w:rPr>
          <w:rFonts w:eastAsia="MS Mincho" w:cs="Arial"/>
          <w:szCs w:val="20"/>
        </w:rPr>
      </w:pPr>
      <w:r>
        <w:rPr>
          <w:rFonts w:eastAsia="MS Mincho" w:cs="Arial"/>
          <w:szCs w:val="20"/>
        </w:rPr>
        <w:t>»Državno poročilo Republike Slovenije« je državno poročilo, ki ga je Republika Slovenija dolžna predložiti na podlagi Okvirne konvencije Združenih narodov o spremembi podnebja (Uradni list RS – MP, št. 13/95) vsaka štiri leta;</w:t>
      </w:r>
    </w:p>
    <w:p w:rsidR="00077835" w:rsidRDefault="00077835" w:rsidP="00077835">
      <w:pPr>
        <w:numPr>
          <w:ilvl w:val="0"/>
          <w:numId w:val="5"/>
        </w:numPr>
        <w:spacing w:line="240" w:lineRule="auto"/>
        <w:contextualSpacing/>
        <w:jc w:val="both"/>
        <w:rPr>
          <w:rFonts w:eastAsia="MS Mincho" w:cs="Arial"/>
          <w:szCs w:val="20"/>
        </w:rPr>
      </w:pPr>
      <w:r>
        <w:rPr>
          <w:rFonts w:eastAsia="MS Mincho" w:cs="Arial"/>
          <w:szCs w:val="20"/>
        </w:rPr>
        <w:t>»emisija« je za namene V. poglavja tega zakona izpuščanje toplogrednih plinov iz virov v napravi, iz zrakoplova, ki izvaja določeno letalsko dejavnost, z ladje, ki opravlja določeno dejavnost pomorskega prometa, ali izpuščanje toplogrednih plinov iz drugih dejavnosti, določenih v Prilogah I in III k Direktivi 2003/87/ES;</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»emisijski kupon« je pravica, ki jo za sodelovanje v sistemu trgovanja Republika Slovenija izdaja v skladu s predpisi EU, ki urejajo sistem trgovanja;</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»finančni instrumenti« so finančni instrumenti, kakor so opredeljeni v zakonu, ki ureja sestavo, pripravo in izvrševanje proračuna Republike Slovenije, in emisijski kuponi;</w:t>
      </w:r>
    </w:p>
    <w:p w:rsidR="00077835" w:rsidRDefault="00077835" w:rsidP="00077835">
      <w:pPr>
        <w:numPr>
          <w:ilvl w:val="0"/>
          <w:numId w:val="5"/>
        </w:numPr>
        <w:spacing w:line="240" w:lineRule="auto"/>
        <w:contextualSpacing/>
        <w:jc w:val="both"/>
        <w:rPr>
          <w:rFonts w:eastAsia="Arial" w:cs="Arial"/>
          <w:szCs w:val="20"/>
        </w:rPr>
      </w:pPr>
      <w:r>
        <w:rPr>
          <w:rFonts w:eastAsia="MS Mincho" w:cs="Arial"/>
          <w:szCs w:val="20"/>
        </w:rPr>
        <w:t>»</w:t>
      </w:r>
      <w:proofErr w:type="spellStart"/>
      <w:r>
        <w:rPr>
          <w:rFonts w:eastAsia="MS Mincho" w:cs="Arial"/>
          <w:szCs w:val="20"/>
        </w:rPr>
        <w:t>fluorirani</w:t>
      </w:r>
      <w:proofErr w:type="spellEnd"/>
      <w:r>
        <w:rPr>
          <w:rFonts w:eastAsia="MS Mincho" w:cs="Arial"/>
          <w:szCs w:val="20"/>
        </w:rPr>
        <w:t xml:space="preserve"> toplogredni plini« so plini iz predpisa EU o </w:t>
      </w:r>
      <w:proofErr w:type="spellStart"/>
      <w:r>
        <w:rPr>
          <w:rFonts w:eastAsia="MS Mincho" w:cs="Arial"/>
          <w:szCs w:val="20"/>
        </w:rPr>
        <w:t>fluoriranih</w:t>
      </w:r>
      <w:proofErr w:type="spellEnd"/>
      <w:r>
        <w:rPr>
          <w:rFonts w:eastAsia="MS Mincho" w:cs="Arial"/>
          <w:szCs w:val="20"/>
        </w:rPr>
        <w:t xml:space="preserve"> toplogrednih plinih;</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»gorivo« je za namene 6. oddelka V. poglavja tega zakona</w:t>
      </w:r>
      <w:r>
        <w:rPr>
          <w:rFonts w:eastAsia="MS Mincho" w:cs="Arial"/>
          <w:szCs w:val="20"/>
          <w:lang w:bidi="sl-SI"/>
        </w:rPr>
        <w:t xml:space="preserve"> vsak energent, ki se uporablja kot pogonsko gorivo ali gorivo za ogrevanje, in vsak izdelek, ki je na prodaj oziroma se uporablja oziroma je glede na namen uporabe pogonsko gorivo ali je aditiv oziroma </w:t>
      </w:r>
      <w:proofErr w:type="spellStart"/>
      <w:r>
        <w:rPr>
          <w:rFonts w:eastAsia="MS Mincho" w:cs="Arial"/>
          <w:szCs w:val="20"/>
          <w:lang w:bidi="sl-SI"/>
        </w:rPr>
        <w:t>ekstender</w:t>
      </w:r>
      <w:proofErr w:type="spellEnd"/>
      <w:r>
        <w:rPr>
          <w:rFonts w:eastAsia="MS Mincho" w:cs="Arial"/>
          <w:szCs w:val="20"/>
          <w:lang w:bidi="sl-SI"/>
        </w:rPr>
        <w:t xml:space="preserve"> za pogonska goriva, ali vsak drug ogljikovodik, ki je na prodaj oziroma se uporablja oziroma je glede na namen uporabe gorivo za ogrevanje, razen šote in biomase, vključno za proizvodnjo električne energije, v skladu s predpisi, ki urejajo trošarine;</w:t>
      </w:r>
      <w:r>
        <w:rPr>
          <w:rFonts w:eastAsia="MS Mincho" w:cs="Arial"/>
          <w:szCs w:val="20"/>
        </w:rPr>
        <w:t xml:space="preserve"> </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»izvajalec ali izvajalka dejavnosti (v nadaljnjem besedilu: izvajalec dejavnosti)« je pravna ali fizična oseba, ki izvaja poslovno dejavnost;</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»kazalec« pomeni kvantitativni ali kvalitativni dejavnik ali spremenljivko, ki prispeva k boljšemu razumevanju napredka pri doseganju zastavljenih ciljev;</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»Konvencija« je Okvirna konvencija Združenih narodov o spremembi podnebja (Uradni list RS ‒ Mednarodne pogodbe, št. 13/95);</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»ladjarska družba« je lastnik ladje ali katera koli druga organizacija ali oseba, kot je upravljavec ali zakupnik gole ladje, ki je od lastnika ladje prevzela odgovornost za upravljanje ladje ter je s prevzemom take odgovornosti soglašala, da bo prevzela vse dolžnosti in odgovornosti, ki jih nalaga Mednarodni kodeks za varno upravljanje ladij in preprečevanje onesnaževanja iz Priloge I k Uredbi Evropskega parlamenta in Sveta (ES) št. 336/2006 (UL L št. 64 z dne 4. 3. 2006, str. 1), in izvaja dejavnost, določeno v Prilogi I k Direktivi 2003/87/ES;</w:t>
      </w:r>
    </w:p>
    <w:p w:rsidR="00077835" w:rsidRDefault="00077835" w:rsidP="00077835">
      <w:pPr>
        <w:numPr>
          <w:ilvl w:val="0"/>
          <w:numId w:val="5"/>
        </w:numPr>
        <w:spacing w:line="240" w:lineRule="auto"/>
        <w:contextualSpacing/>
        <w:jc w:val="both"/>
        <w:textAlignment w:val="baseline"/>
        <w:rPr>
          <w:rFonts w:eastAsia="MS Mincho" w:cs="Arial"/>
          <w:szCs w:val="20"/>
        </w:rPr>
      </w:pPr>
      <w:bookmarkStart w:id="2" w:name="_Hlk176704831"/>
      <w:r>
        <w:rPr>
          <w:rFonts w:eastAsia="MS Mincho" w:cs="Arial"/>
          <w:szCs w:val="20"/>
        </w:rPr>
        <w:t xml:space="preserve">»na naravi temelječe rešitve« so ukrepi za zaščito, obnovo in trajnostno upravljanje naravnih ali spremenjenih kopenskih, sladkovodnih, obalnih in morskih ekosistemov, ki uporabljajo ali posnemajo naravne procese, s katerimi učinkovito in prilagodljivo specifičnim ekološkim, socialnim in kulturnim razmeram posameznega območja obravnavamo socialne, gospodarske in </w:t>
      </w:r>
      <w:proofErr w:type="spellStart"/>
      <w:r>
        <w:rPr>
          <w:rFonts w:eastAsia="MS Mincho" w:cs="Arial"/>
          <w:szCs w:val="20"/>
        </w:rPr>
        <w:t>okoljske</w:t>
      </w:r>
      <w:proofErr w:type="spellEnd"/>
      <w:r>
        <w:rPr>
          <w:rFonts w:eastAsia="MS Mincho" w:cs="Arial"/>
          <w:szCs w:val="20"/>
        </w:rPr>
        <w:t xml:space="preserve"> izzive trajnostnega razvoja, ob hkratnem zagotavljanju družbene blaginje, ekosistemskih storitev, odpornosti ekosistemov ter ohranjanja in obnove biotske raznovrstnosti;</w:t>
      </w:r>
    </w:p>
    <w:bookmarkEnd w:id="2"/>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»naprava« je nepremična tehnična enota, v kateri potekajo ena ali več dejavnosti, kot so določene v Prilogi I k Direktivi 2003/87/ES, in katere koli z njimi neposredno povezane dejavnosti, ki so tehnično povezane z dejavnostmi, ki se izvajajo na tem mestu in bi lahko vplivale na emisije in onesnaževanje okolja;</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 xml:space="preserve">»nova naprava« je vsaka naprava, za katero je njen upravljavec dovoljenje za izpuščanje toplogrednih plinov prvič pridobil v obdobju, ki se začne tri mesece pred rokom za predložitev seznama naprav Komisiji iz prvega odstavka 37. člena tega </w:t>
      </w:r>
      <w:r>
        <w:rPr>
          <w:rFonts w:eastAsia="MS Mincho" w:cs="Arial"/>
          <w:szCs w:val="20"/>
        </w:rPr>
        <w:lastRenderedPageBreak/>
        <w:t>zakona in se konča tri mesece pred rokom za predložitev seznama naprav Komisiji iz prvega odstavka 37. člena tega zakona za naslednje petletno obdobje;</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»nov osebni avtomobil« je kateri koli osebni avtomobil, predhodno neprodan osebi, ki ga je kupila za drugačen namen kakor za prodajo ali dobavo tega osebnega avtomobila;</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»ocena podnebne ranljivosti in tveganja« je kvalitativna ali kvantitativna znanstvena ocena, ki se pripravi v skladu z usmeritvami Medvladnega panela za podnebne spremembe (IPCC) ter je izhodišče za pripravo ciljev in ukrepov prilagajanja;</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»odpornost« pomeni sposobnost ekosistemov ali družbe, da absorbira motnje, nastale zaradi podnebnih sprememb, tako, da ohranja enako osnovno strukturo sistema, načine delovanja, zmogljivost samoorganiziranja ter sposobnost prilagajanja na stres in spremembe;</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»odvzem toplogrednih plinov« je odvzem teh plinov iz zemeljske atmosfere z uporabo naravnih ali tehnoloških rešitev;</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w:t>
      </w:r>
      <w:proofErr w:type="spellStart"/>
      <w:r>
        <w:rPr>
          <w:rFonts w:eastAsia="MS Mincho" w:cs="Arial"/>
          <w:szCs w:val="20"/>
        </w:rPr>
        <w:t>ogljična</w:t>
      </w:r>
      <w:proofErr w:type="spellEnd"/>
      <w:r>
        <w:rPr>
          <w:rFonts w:eastAsia="MS Mincho" w:cs="Arial"/>
          <w:szCs w:val="20"/>
        </w:rPr>
        <w:t xml:space="preserve"> nevtralnost« je doseganje neto ničelnih emisij ogljikovega dioksida, kar se doseže z uravnoteženjem antropogenih emisij ogljikovega dioksida v ozračje z odvzemi emisij ogljikovega dioksida iz ozračja;</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»operator zrakoplova« je pravna ali fizična oseba, ki upravlja zrakoplov med izvajanjem letalske dejavnosti, določene v Prilogi I k Direktivi 2003/87/ES, ali lastnik zrakoplova, kadar ta ne pozna identitete osebe, ki upravlja zrakoplov, ali je ne navede;</w:t>
      </w:r>
    </w:p>
    <w:p w:rsidR="00077835" w:rsidRDefault="00077835" w:rsidP="00077835">
      <w:pPr>
        <w:widowControl w:val="0"/>
        <w:numPr>
          <w:ilvl w:val="0"/>
          <w:numId w:val="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»operator komercialnega zračnega prometa« je operator zrakoplova, ki javnosti za plačilo zagotavlja redne ali izredne storitve zračnega prometa za prevoz potnikov, tovora ali poštnih pošiljk (v nadaljnjem besedilu: komercialni operator zrakoplova);</w:t>
      </w:r>
    </w:p>
    <w:p w:rsidR="00077835" w:rsidRDefault="00077835" w:rsidP="00077835">
      <w:pPr>
        <w:widowControl w:val="0"/>
        <w:numPr>
          <w:ilvl w:val="0"/>
          <w:numId w:val="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»oprema« je premična ali nepremična oprema ali proizvod, ki vsebuje </w:t>
      </w:r>
      <w:proofErr w:type="spellStart"/>
      <w:r>
        <w:rPr>
          <w:rFonts w:cs="Arial"/>
          <w:szCs w:val="20"/>
          <w:lang w:eastAsia="sl-SI"/>
        </w:rPr>
        <w:t>fluorirane</w:t>
      </w:r>
      <w:proofErr w:type="spellEnd"/>
      <w:r>
        <w:rPr>
          <w:rFonts w:cs="Arial"/>
          <w:szCs w:val="20"/>
          <w:lang w:eastAsia="sl-SI"/>
        </w:rPr>
        <w:t xml:space="preserve"> toplogredne pline ali ozonu škodljive snovi;</w:t>
      </w:r>
    </w:p>
    <w:p w:rsidR="00077835" w:rsidRDefault="00077835" w:rsidP="00077835">
      <w:pPr>
        <w:widowControl w:val="0"/>
        <w:numPr>
          <w:ilvl w:val="0"/>
          <w:numId w:val="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»osebni avtomobil« je motorno vozilo kategorije M1 v skladu z Uredbo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(UL L št. 151 z dne 14. 6. 2018, str. 1), zadnjič spremenjeno z Uredbo (EU) 2024/1610 Evropskega parlamenta in Sveta z dne 14. maja 2024 o spremembi Uredbe (EU) 2019/1242 glede krepitve standardov emisijskih vrednosti CO</w:t>
      </w:r>
      <w:r>
        <w:rPr>
          <w:rFonts w:cs="Arial"/>
          <w:szCs w:val="20"/>
          <w:vertAlign w:val="subscript"/>
          <w:lang w:eastAsia="sl-SI"/>
        </w:rPr>
        <w:t>2</w:t>
      </w:r>
      <w:r>
        <w:rPr>
          <w:rFonts w:cs="Arial"/>
          <w:szCs w:val="20"/>
          <w:lang w:eastAsia="sl-SI"/>
        </w:rPr>
        <w:t xml:space="preserve"> za nova težka vozila in vključitve obveznosti poročanja ter o spremembi Uredbe (EU) 2018/858 in razveljavitvi Uredbe (EU) 2018/956 (UL L št. 2024/1610 z dne 6. 6. 2024);</w:t>
      </w:r>
    </w:p>
    <w:p w:rsidR="00077835" w:rsidRDefault="00077835" w:rsidP="00077835">
      <w:pPr>
        <w:widowControl w:val="0"/>
        <w:numPr>
          <w:ilvl w:val="0"/>
          <w:numId w:val="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»ozonu škodljive snovi« so nadzorovane in nove snovi iz predpisa EU, ki ureja ozonu škodljive snovi;</w:t>
      </w:r>
    </w:p>
    <w:p w:rsidR="00077835" w:rsidRDefault="00077835" w:rsidP="00077835">
      <w:pPr>
        <w:widowControl w:val="0"/>
        <w:numPr>
          <w:ilvl w:val="0"/>
          <w:numId w:val="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»Pariški sporazum« je Zakon o ratifikaciji Pariškega sporazuma (MPS) (Uradni list RS ‒ Mednarodne pogodbe, št. 77/16 in 6/17 ‒ </w:t>
      </w:r>
      <w:proofErr w:type="spellStart"/>
      <w:r>
        <w:rPr>
          <w:rFonts w:cs="Arial"/>
          <w:szCs w:val="20"/>
          <w:lang w:eastAsia="sl-SI"/>
        </w:rPr>
        <w:t>popr</w:t>
      </w:r>
      <w:proofErr w:type="spellEnd"/>
      <w:r>
        <w:rPr>
          <w:rFonts w:cs="Arial"/>
          <w:szCs w:val="20"/>
          <w:lang w:eastAsia="sl-SI"/>
        </w:rPr>
        <w:t>.);</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»plovba« je vsako gibanje ladje, ki se začne ali konča v pristanišču postanka;</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w:t>
      </w:r>
      <w:proofErr w:type="spellStart"/>
      <w:r>
        <w:rPr>
          <w:rFonts w:eastAsia="MS Mincho" w:cs="Arial"/>
          <w:szCs w:val="20"/>
        </w:rPr>
        <w:t>podnaprava</w:t>
      </w:r>
      <w:proofErr w:type="spellEnd"/>
      <w:r>
        <w:rPr>
          <w:rFonts w:eastAsia="MS Mincho" w:cs="Arial"/>
          <w:szCs w:val="20"/>
        </w:rPr>
        <w:t xml:space="preserve">« je </w:t>
      </w:r>
      <w:proofErr w:type="spellStart"/>
      <w:r>
        <w:rPr>
          <w:rFonts w:eastAsia="MS Mincho" w:cs="Arial"/>
          <w:szCs w:val="20"/>
        </w:rPr>
        <w:t>podnaprava</w:t>
      </w:r>
      <w:proofErr w:type="spellEnd"/>
      <w:r>
        <w:rPr>
          <w:rFonts w:eastAsia="MS Mincho" w:cs="Arial"/>
          <w:szCs w:val="20"/>
        </w:rPr>
        <w:t>, kot je določeno v predpisu EU, ki določa prehodna pravila za usklajeno brezplačno dodelitev pravic do emisije na ravni Unije;</w:t>
      </w:r>
    </w:p>
    <w:p w:rsidR="00077835" w:rsidRDefault="00077835" w:rsidP="00077835">
      <w:pPr>
        <w:widowControl w:val="0"/>
        <w:numPr>
          <w:ilvl w:val="0"/>
          <w:numId w:val="5"/>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»podnebje« je značilnost vremena nad nekim območjem v daljšem časovnem obdobju;</w:t>
      </w:r>
    </w:p>
    <w:p w:rsidR="00077835" w:rsidRDefault="00077835" w:rsidP="00077835">
      <w:pPr>
        <w:numPr>
          <w:ilvl w:val="0"/>
          <w:numId w:val="5"/>
        </w:numPr>
        <w:spacing w:line="240" w:lineRule="auto"/>
        <w:jc w:val="both"/>
        <w:rPr>
          <w:rFonts w:cs="Arial"/>
          <w:szCs w:val="20"/>
          <w:lang w:eastAsia="sl-SI"/>
        </w:rPr>
      </w:pPr>
      <w:r>
        <w:rPr>
          <w:rFonts w:cs="Arial"/>
          <w:szCs w:val="20"/>
          <w:lang w:eastAsia="sl-SI"/>
        </w:rPr>
        <w:t xml:space="preserve">»podnebna nevtralnost« je doseganje neto ničelnih emisij toplogrednih plinov, kar se doseže z uravnoteženjem antropogenih emisij toplogrednih plinov v ozračje z odvzemi emisij toplogrednih plinov iz ozračja ter upoštevanjem regionalnih ali lokalnih </w:t>
      </w:r>
      <w:proofErr w:type="spellStart"/>
      <w:r>
        <w:rPr>
          <w:rFonts w:cs="Arial"/>
          <w:szCs w:val="20"/>
          <w:lang w:eastAsia="sl-SI"/>
        </w:rPr>
        <w:t>biogeofizikalnih</w:t>
      </w:r>
      <w:proofErr w:type="spellEnd"/>
      <w:r>
        <w:rPr>
          <w:rFonts w:cs="Arial"/>
          <w:szCs w:val="20"/>
          <w:lang w:eastAsia="sl-SI"/>
        </w:rPr>
        <w:t xml:space="preserve"> učinkov človekovih dejavnosti, ki na primer vplivajo na površinski albedo ali lokalno podnebje;</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»podnebne projekcije« so ocena verjetnega razvoja Zemljinega podnebja v prihodnosti in temeljijo na simulacijah podnebnih modelov na podlagi scenarijev vsebnosti toplogrednih plinov, aerosolov in drugih dejavnikov, ki vplivajo na sevalno ravnovesje planeta;</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 xml:space="preserve">»podnebne spremembe« so spremembe dolgoročno značilnega podnebja na posameznih območjih in so posledica naravnih procesov ali človekovih dejavnosti, ki se nanašajo na spreminjanje sestave ozračja in lastnosti tal. Izražajo se predvsem s segrevanjem ozračja, kopenskih in morskih voda ter tal, s spremembami razporeditve </w:t>
      </w:r>
      <w:r>
        <w:rPr>
          <w:rFonts w:cs="Arial"/>
          <w:szCs w:val="20"/>
          <w:lang w:val="x-none" w:eastAsia="sl-SI"/>
        </w:rPr>
        <w:lastRenderedPageBreak/>
        <w:t>in količine padavin, dvigom morske gladine, taljenjem kopenskega in morskega ledu ter trajanjem in pogostostjo ekstremnih vremenskih pojavov;</w:t>
      </w:r>
    </w:p>
    <w:p w:rsidR="00077835" w:rsidRDefault="00077835" w:rsidP="00077835">
      <w:pPr>
        <w:numPr>
          <w:ilvl w:val="0"/>
          <w:numId w:val="5"/>
        </w:numPr>
        <w:spacing w:line="240" w:lineRule="auto"/>
        <w:jc w:val="both"/>
        <w:rPr>
          <w:rFonts w:cs="Arial"/>
          <w:szCs w:val="20"/>
          <w:lang w:val="x-none" w:eastAsia="sl-SI"/>
        </w:rPr>
      </w:pPr>
      <w:bookmarkStart w:id="3" w:name="_Hlk156310808"/>
      <w:r>
        <w:rPr>
          <w:rFonts w:cs="Arial"/>
          <w:szCs w:val="20"/>
          <w:shd w:val="clear" w:color="auto" w:fill="FFFFFF"/>
          <w:lang w:val="x-none" w:eastAsia="sl-SI"/>
        </w:rPr>
        <w:t>»podnebni dialog« je oblika sodelovanja interesnih skupin (posebej tudi ranljivih skupin in mladih), lokalnih skupnosti in javnosti (splošne, zainteresirane in strokovne) pri razpravi o načrtovanju in odločanju o ukrepih blaženja podnebnih sprememb in prilagajanja nanje, vključno z vprašanjem pravičnega prehoda v podnebno nevtralno družbo;</w:t>
      </w:r>
    </w:p>
    <w:bookmarkEnd w:id="3"/>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»ponor« je kateri koli proces, dejavnost ali mehanizem, s katerim se iz ozračja odvzamejo toplogredni plini, aerosoli ali predhodniki toplogrednih plinov;</w:t>
      </w:r>
    </w:p>
    <w:p w:rsidR="00077835" w:rsidRDefault="00077835" w:rsidP="00077835">
      <w:pPr>
        <w:numPr>
          <w:ilvl w:val="0"/>
          <w:numId w:val="5"/>
        </w:numPr>
        <w:spacing w:line="240" w:lineRule="auto"/>
        <w:contextualSpacing/>
        <w:jc w:val="both"/>
        <w:rPr>
          <w:rFonts w:eastAsia="MS Mincho" w:cs="Arial"/>
          <w:szCs w:val="20"/>
        </w:rPr>
      </w:pPr>
      <w:r>
        <w:rPr>
          <w:rFonts w:cs="Arial"/>
          <w:szCs w:val="20"/>
          <w:lang w:eastAsia="sl-SI"/>
        </w:rPr>
        <w:t>»Poročilo o preglednosti Republike Slovenije za Pariški sporazum« je dvoletno poročilo o preglednosti, ki ga je Republika Slovenija dolžna predložiti na podlagi Pariškega sporazuma;</w:t>
      </w:r>
    </w:p>
    <w:p w:rsidR="00077835" w:rsidRDefault="00077835" w:rsidP="00077835">
      <w:pPr>
        <w:numPr>
          <w:ilvl w:val="0"/>
          <w:numId w:val="5"/>
        </w:numPr>
        <w:spacing w:line="240" w:lineRule="auto"/>
        <w:contextualSpacing/>
        <w:jc w:val="both"/>
        <w:rPr>
          <w:rFonts w:cs="Arial"/>
          <w:szCs w:val="20"/>
          <w:lang w:eastAsia="sl-SI"/>
        </w:rPr>
      </w:pPr>
      <w:r>
        <w:rPr>
          <w:rFonts w:cs="Arial"/>
          <w:szCs w:val="20"/>
          <w:lang w:eastAsia="sl-SI"/>
        </w:rPr>
        <w:t>»potniška ladja za križarjenje« pomeni potniško ladjo, ki nima krova za tovor in je namenjena izključno za komercialni prevoz potnikov s prenočiščem med plovbo po morju;</w:t>
      </w:r>
    </w:p>
    <w:p w:rsidR="00077835" w:rsidRDefault="00077835" w:rsidP="00077835">
      <w:pPr>
        <w:numPr>
          <w:ilvl w:val="0"/>
          <w:numId w:val="5"/>
        </w:numPr>
        <w:spacing w:line="240" w:lineRule="auto"/>
        <w:contextualSpacing/>
        <w:jc w:val="both"/>
        <w:textAlignment w:val="baseline"/>
        <w:rPr>
          <w:rFonts w:eastAsia="MS Mincho" w:cs="Arial"/>
          <w:szCs w:val="20"/>
        </w:rPr>
      </w:pPr>
      <w:r>
        <w:rPr>
          <w:rFonts w:eastAsia="MS Mincho" w:cs="Arial"/>
          <w:szCs w:val="20"/>
        </w:rPr>
        <w:t>»pravica« je pravica do emisije ene tone ekvivalenta ogljikovega dioksida v določenem obdobju ter velja le za izpolnjevanje zahtev iz tega zakona in predpisov EU, ki urejajo sistem trgovanja, in je prenosljiva v skladu s tem zakonom in predpisi EU, ki urejajo sistem trgovanja;</w:t>
      </w:r>
    </w:p>
    <w:p w:rsidR="00077835" w:rsidRDefault="00077835" w:rsidP="00077835">
      <w:pPr>
        <w:numPr>
          <w:ilvl w:val="0"/>
          <w:numId w:val="5"/>
        </w:numPr>
        <w:spacing w:line="240" w:lineRule="auto"/>
        <w:contextualSpacing/>
        <w:jc w:val="both"/>
        <w:rPr>
          <w:rFonts w:cs="Arial"/>
          <w:szCs w:val="20"/>
          <w:lang w:eastAsia="sl-SI"/>
        </w:rPr>
      </w:pPr>
      <w:r>
        <w:rPr>
          <w:rFonts w:eastAsia="MS Mincho" w:cs="Arial"/>
          <w:szCs w:val="20"/>
        </w:rPr>
        <w:t xml:space="preserve">»pridobitelj goriva« je pravna oseba s sedežem v Republiki Sloveniji, samostojni podjetnik posameznik s sedežem v Republiki Sloveniji ali posameznik s sedežem v Republiki Sloveniji, ki samostojno opravlja dejavnost, ki pridobi gorivo v drugi državi članici EU in ga </w:t>
      </w:r>
      <w:r>
        <w:rPr>
          <w:rFonts w:cs="Arial"/>
          <w:szCs w:val="20"/>
          <w:lang w:eastAsia="sl-SI"/>
        </w:rPr>
        <w:t>vnese v Republiko Slovenijo;</w:t>
      </w:r>
    </w:p>
    <w:p w:rsidR="00077835" w:rsidRDefault="00077835" w:rsidP="00077835">
      <w:pPr>
        <w:numPr>
          <w:ilvl w:val="0"/>
          <w:numId w:val="5"/>
        </w:numPr>
        <w:spacing w:line="240" w:lineRule="auto"/>
        <w:contextualSpacing/>
        <w:jc w:val="both"/>
        <w:rPr>
          <w:rFonts w:cs="Arial"/>
          <w:szCs w:val="20"/>
          <w:lang w:eastAsia="sl-SI"/>
        </w:rPr>
      </w:pPr>
      <w:r>
        <w:rPr>
          <w:rFonts w:cs="Arial"/>
          <w:szCs w:val="20"/>
          <w:lang w:eastAsia="sl-SI"/>
        </w:rPr>
        <w:t>»prilagajanje</w:t>
      </w:r>
      <w:r>
        <w:rPr>
          <w:rFonts w:eastAsia="MS Mincho" w:cs="Arial"/>
          <w:szCs w:val="20"/>
        </w:rPr>
        <w:t xml:space="preserve"> podnebnim spremembam</w:t>
      </w:r>
      <w:bookmarkStart w:id="4" w:name="_Hlk171082070"/>
      <w:r>
        <w:rPr>
          <w:rFonts w:eastAsia="MS Mincho" w:cs="Arial"/>
          <w:szCs w:val="20"/>
        </w:rPr>
        <w:t>«</w:t>
      </w:r>
      <w:bookmarkEnd w:id="4"/>
      <w:r>
        <w:rPr>
          <w:rFonts w:eastAsia="MS Mincho" w:cs="Arial"/>
          <w:szCs w:val="20"/>
        </w:rPr>
        <w:t xml:space="preserve"> je izvajanje ukrepov za zmanjševanje ranljivosti in krepitev odpornosti naravnih in družbenih sistemov proti trenutnim in pričakovanim vplivom podnebnih sprememb;</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»priporočilo HELCOM 25/7« je priporočilo, izdano na podlagi točke b) prvega odstavka 20. člena Konvencije o varstvu morskega okolja na območju Baltskega morja (v veljavi od 17. 1. 2000), ki vsebuje navodila pogodbenicam glede ugotavljanja enakovrednosti pravil razvrščanja ladij za varno plovbo v ledenih razmerah na območju Baltskega morja;</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»prenehanje delovanja naprave« je prenehanje v skladu s predpisom EU, ki določa prehodna pravila za usklajeno brezplačno dodelitev pravic do emisije na ravni Unije;</w:t>
      </w:r>
    </w:p>
    <w:p w:rsidR="00077835" w:rsidRDefault="00077835" w:rsidP="00077835">
      <w:pPr>
        <w:numPr>
          <w:ilvl w:val="0"/>
          <w:numId w:val="5"/>
        </w:numPr>
        <w:spacing w:before="100" w:beforeAutospacing="1" w:after="100" w:afterAutospacing="1" w:line="240" w:lineRule="auto"/>
        <w:jc w:val="both"/>
        <w:rPr>
          <w:rFonts w:cs="Arial"/>
          <w:szCs w:val="20"/>
          <w:lang w:eastAsia="sl-SI"/>
        </w:rPr>
      </w:pPr>
      <w:r>
        <w:rPr>
          <w:rFonts w:cs="Arial"/>
          <w:szCs w:val="20"/>
          <w:lang w:eastAsia="sl-SI"/>
        </w:rPr>
        <w:t>»pripisane emisije iz letalstva« so emisije iz vseh letov v okviru določenih letalskih dejavnosti, tj. odhodov z letališč na ozemlju države članice EU in prihodov na ta letališča iz tretje države;</w:t>
      </w:r>
    </w:p>
    <w:p w:rsidR="00077835" w:rsidRDefault="00077835" w:rsidP="00077835">
      <w:pPr>
        <w:numPr>
          <w:ilvl w:val="0"/>
          <w:numId w:val="5"/>
        </w:numPr>
        <w:spacing w:before="100" w:beforeAutospacing="1" w:after="100" w:afterAutospacing="1" w:line="240" w:lineRule="auto"/>
        <w:jc w:val="both"/>
        <w:rPr>
          <w:rFonts w:cs="Arial"/>
          <w:szCs w:val="20"/>
          <w:lang w:eastAsia="sl-SI"/>
        </w:rPr>
      </w:pPr>
      <w:r>
        <w:rPr>
          <w:rFonts w:cs="Arial"/>
          <w:szCs w:val="20"/>
          <w:lang w:eastAsia="sl-SI"/>
        </w:rPr>
        <w:t>»pristanišče postanka« je pristanišče, v katerem se ladja ustavi, da natovori ali raztovori tovor ali da vkrca ali izkrca potnike, ali pristanišče, v katerem se ladja za delo na morju ustavi zaradi menjave posadke, izvzeti so postanki, namenjeni izključno oskrbi z gorivom ali zalogami, menjavi posadke ladij, ki niso ladje za delo na morju, postankom v suhem doku ali popravilom ladje, njene opreme ali obojega, postanki v pristanišču, ker ladja potrebuje pomoč ali je v stiski, prevozi z ene ladje na drugo izven pristanišč, postanki, ki so namenjeni izključno iskanju zavetja pred slabim vremenom ali so potrebni zaradi dejavnosti iskanja in reševanja, in postanki kontejnerskih ladij v sosednjih pristaniščih za pretovarjanje zabojnikov, kot jih določi Komisija;</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»prodajalec ali prodajalka (v nadaljnjem besedilu: prodajalec)« je pravna oseba, samostojni podjetnik posameznik ali posameznik, ki samostojno opravlja dejavnost, ki novi osebni avtomobil prodaja ali daje v najem končnemu uporabniku;</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»projekcije« so projekcije v skladu s predpisi EU, ki urejajo upravljanje energetske unije in podnebnih ukrepov;</w:t>
      </w:r>
    </w:p>
    <w:p w:rsidR="00077835" w:rsidRDefault="00077835" w:rsidP="00077835">
      <w:pPr>
        <w:numPr>
          <w:ilvl w:val="0"/>
          <w:numId w:val="5"/>
        </w:numPr>
        <w:spacing w:line="240" w:lineRule="auto"/>
        <w:jc w:val="both"/>
        <w:rPr>
          <w:rFonts w:cs="Arial"/>
          <w:szCs w:val="20"/>
          <w:lang w:val="x-none" w:eastAsia="sl-SI"/>
        </w:rPr>
      </w:pPr>
      <w:r>
        <w:rPr>
          <w:rFonts w:cs="Arial"/>
          <w:szCs w:val="20"/>
          <w:lang w:val="x-none" w:eastAsia="sl-SI"/>
        </w:rPr>
        <w:t>»ranljivost« je stopnja podvrženosti in neodpornosti sistema na negativne vplive podnebnih sprememb, vključno z vremenskimi ekstremi;</w:t>
      </w:r>
    </w:p>
    <w:p w:rsidR="00077835" w:rsidRDefault="00077835" w:rsidP="00077835">
      <w:pPr>
        <w:numPr>
          <w:ilvl w:val="0"/>
          <w:numId w:val="5"/>
        </w:numPr>
        <w:spacing w:before="100" w:beforeAutospacing="1" w:after="100" w:afterAutospacing="1" w:line="240" w:lineRule="auto"/>
        <w:jc w:val="both"/>
        <w:rPr>
          <w:rFonts w:cs="Arial"/>
          <w:szCs w:val="20"/>
          <w:lang w:eastAsia="sl-SI"/>
        </w:rPr>
      </w:pPr>
      <w:r>
        <w:rPr>
          <w:rFonts w:cs="Arial"/>
          <w:szCs w:val="20"/>
          <w:lang w:eastAsia="sl-SI"/>
        </w:rPr>
        <w:t>»raven dejavnosti« je raven dejavnosti, kot je določena v predpisu EU, ki določa prehodna pravila za usklajeno brezplačno dodelitev pravic do emisije na ravni Unije;</w:t>
      </w:r>
    </w:p>
    <w:p w:rsidR="00077835" w:rsidRDefault="00077835" w:rsidP="00077835">
      <w:pPr>
        <w:numPr>
          <w:ilvl w:val="0"/>
          <w:numId w:val="5"/>
        </w:numPr>
        <w:spacing w:line="240" w:lineRule="auto"/>
        <w:contextualSpacing/>
        <w:jc w:val="both"/>
        <w:rPr>
          <w:rFonts w:eastAsia="MS Mincho" w:cs="Arial"/>
          <w:szCs w:val="20"/>
        </w:rPr>
      </w:pPr>
      <w:r>
        <w:rPr>
          <w:rFonts w:eastAsia="MS Mincho" w:cs="Arial"/>
          <w:szCs w:val="20"/>
        </w:rPr>
        <w:t>»razogljičenje« je prizadevanje družbe za dosego podnebne nevtralnosti;</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»razvojna regija« je razvojna regija po zakonu, ki ureja spodbujanje skladnega regionalnega razvoja;</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lastRenderedPageBreak/>
        <w:t>»</w:t>
      </w:r>
      <w:r>
        <w:rPr>
          <w:rFonts w:eastAsia="MS Mincho" w:cs="Arial"/>
          <w:szCs w:val="20"/>
        </w:rPr>
        <w:t>register Unije« je standardizirana in informatizirana osrednja zbirka, v kateri se vodijo emisijski kuponi in druge z njimi enakovredne pravice do emisije toplogrednih plinov v skladu s predpisom EU, ki ureja delovanje registra Unije;</w:t>
      </w:r>
    </w:p>
    <w:p w:rsidR="00077835" w:rsidRDefault="00077835" w:rsidP="00077835">
      <w:pPr>
        <w:numPr>
          <w:ilvl w:val="0"/>
          <w:numId w:val="5"/>
        </w:numPr>
        <w:spacing w:line="256" w:lineRule="auto"/>
        <w:contextualSpacing/>
        <w:jc w:val="both"/>
        <w:rPr>
          <w:rFonts w:eastAsia="Arial" w:cs="Arial"/>
          <w:szCs w:val="20"/>
        </w:rPr>
      </w:pPr>
      <w:r>
        <w:rPr>
          <w:rFonts w:eastAsia="MS Mincho" w:cs="Arial"/>
          <w:szCs w:val="20"/>
        </w:rPr>
        <w:t xml:space="preserve">»regulirani subjekt« je fizična ali pravna oseba, razen končnega porabnika goriv, ki izvaja dejavnost, določeno v Prilogi III k Direktivi 2003/87/ES, in spada v eno od naslednjih kategorij: </w:t>
      </w:r>
    </w:p>
    <w:p w:rsidR="00077835" w:rsidRDefault="00077835" w:rsidP="00077835">
      <w:pPr>
        <w:ind w:left="1065"/>
        <w:contextualSpacing/>
        <w:jc w:val="both"/>
        <w:rPr>
          <w:rFonts w:eastAsia="Arial" w:cs="Arial"/>
          <w:szCs w:val="20"/>
        </w:rPr>
      </w:pPr>
      <w:r>
        <w:rPr>
          <w:rFonts w:eastAsia="MS Mincho" w:cs="Arial"/>
          <w:szCs w:val="20"/>
        </w:rPr>
        <w:t xml:space="preserve">a) v primeru prenosa goriva skozi trošarinsko skladišče: imetnik dovoljenja za trošarinsko skladišče, izdanega v skladu s predpisi, ki urejajo trošarine, in zavezanec za plačilo trošarine, </w:t>
      </w:r>
      <w:r>
        <w:rPr>
          <w:rFonts w:eastAsia="Arial" w:cs="Arial"/>
          <w:szCs w:val="20"/>
        </w:rPr>
        <w:t>ko za gorivo nastane obveznost za plačilo trošarine</w:t>
      </w:r>
      <w:r>
        <w:rPr>
          <w:rFonts w:eastAsia="MS Mincho" w:cs="Arial"/>
          <w:szCs w:val="20"/>
        </w:rPr>
        <w:t xml:space="preserve"> v skladu s predpisi, ki urejajo trošarine, </w:t>
      </w:r>
    </w:p>
    <w:p w:rsidR="00077835" w:rsidRDefault="00077835" w:rsidP="00077835">
      <w:pPr>
        <w:ind w:left="1065"/>
        <w:contextualSpacing/>
        <w:jc w:val="both"/>
        <w:rPr>
          <w:rFonts w:eastAsia="Arial" w:cs="Arial"/>
          <w:szCs w:val="20"/>
        </w:rPr>
      </w:pPr>
      <w:r>
        <w:rPr>
          <w:rFonts w:eastAsia="MS Mincho" w:cs="Arial"/>
          <w:szCs w:val="20"/>
        </w:rPr>
        <w:t xml:space="preserve">b) če se točka a) ne uporablja: vsaka druga oseba, ki je za goriva zavezana za plačilo trošarine, ko za gorivo nastane obveznost za plačilo trošarine v skladu s predpisi, ki urejajo trošarine, </w:t>
      </w:r>
    </w:p>
    <w:p w:rsidR="00077835" w:rsidRDefault="00077835" w:rsidP="00077835">
      <w:pPr>
        <w:ind w:left="1065"/>
        <w:contextualSpacing/>
        <w:jc w:val="both"/>
        <w:rPr>
          <w:rFonts w:eastAsia="Arial" w:cs="Arial"/>
          <w:szCs w:val="20"/>
        </w:rPr>
      </w:pPr>
      <w:r>
        <w:rPr>
          <w:rFonts w:eastAsia="MS Mincho" w:cs="Arial"/>
          <w:szCs w:val="20"/>
        </w:rPr>
        <w:t xml:space="preserve">c) če se točki a) in b) ne uporabljata: vsaka druga oseba, ki je registrirana, da je za gorivo zavezana za plačilo trošarine, v skladu s predpisi, ki urejajo trošarine, </w:t>
      </w:r>
    </w:p>
    <w:p w:rsidR="00077835" w:rsidRDefault="00077835" w:rsidP="00077835">
      <w:pPr>
        <w:ind w:left="1065"/>
        <w:contextualSpacing/>
        <w:jc w:val="both"/>
        <w:rPr>
          <w:rFonts w:eastAsia="Arial" w:cs="Arial"/>
          <w:szCs w:val="20"/>
        </w:rPr>
      </w:pPr>
      <w:r>
        <w:rPr>
          <w:rFonts w:eastAsia="MS Mincho" w:cs="Arial"/>
          <w:szCs w:val="20"/>
        </w:rPr>
        <w:t xml:space="preserve">č) če se točke a), b) in c) </w:t>
      </w:r>
      <w:r>
        <w:rPr>
          <w:rFonts w:eastAsia="Arial" w:cs="Arial"/>
          <w:szCs w:val="20"/>
        </w:rPr>
        <w:t xml:space="preserve">ne uporabljajo ali če je v skladu s predpisi, ki urejajo trošarine, za plačilo trošarine za gorivo solidarno zavezanih več oseb: katera koli oseba v skladu s tem zakonom; </w:t>
      </w:r>
    </w:p>
    <w:p w:rsidR="00077835" w:rsidRDefault="00077835" w:rsidP="00077835">
      <w:pPr>
        <w:numPr>
          <w:ilvl w:val="0"/>
          <w:numId w:val="5"/>
        </w:numPr>
        <w:spacing w:line="240" w:lineRule="auto"/>
        <w:contextualSpacing/>
        <w:jc w:val="both"/>
        <w:rPr>
          <w:rFonts w:eastAsia="Arial" w:cs="Arial"/>
          <w:szCs w:val="20"/>
        </w:rPr>
      </w:pPr>
      <w:r>
        <w:rPr>
          <w:rFonts w:eastAsia="Arial" w:cs="Arial"/>
          <w:szCs w:val="20"/>
        </w:rPr>
        <w:t>»</w:t>
      </w:r>
      <w:proofErr w:type="spellStart"/>
      <w:r>
        <w:rPr>
          <w:rFonts w:eastAsia="Arial" w:cs="Arial"/>
          <w:szCs w:val="20"/>
        </w:rPr>
        <w:t>ro-ro</w:t>
      </w:r>
      <w:proofErr w:type="spellEnd"/>
      <w:r>
        <w:rPr>
          <w:rFonts w:eastAsia="Arial" w:cs="Arial"/>
          <w:szCs w:val="20"/>
        </w:rPr>
        <w:t xml:space="preserve"> ladja« je plovilo v skladu z zakonom, ki ureja pomorstvo;</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»serviser ali serviserka (v nadaljnjem besedilu: serviser)« je fizična oseba, ki je pridobila spričevalo o usposobljenosti po tem zakonu;</w:t>
      </w:r>
    </w:p>
    <w:p w:rsidR="00077835" w:rsidRDefault="00077835" w:rsidP="00077835">
      <w:pPr>
        <w:numPr>
          <w:ilvl w:val="0"/>
          <w:numId w:val="5"/>
        </w:numPr>
        <w:spacing w:line="240" w:lineRule="auto"/>
        <w:contextualSpacing/>
        <w:jc w:val="both"/>
        <w:rPr>
          <w:rFonts w:eastAsia="Arial" w:cs="Arial"/>
          <w:szCs w:val="20"/>
        </w:rPr>
      </w:pPr>
      <w:r>
        <w:rPr>
          <w:rFonts w:cs="Arial"/>
          <w:szCs w:val="20"/>
          <w:lang w:eastAsia="sl-SI"/>
        </w:rPr>
        <w:t>»shema CORSIA« je shema za izravnavo in zmanjševanje emisij ogljika za mednarodni letalski promet, določena v Prilogi 16, zvezek IV, k Čikaški konvenciji;</w:t>
      </w:r>
    </w:p>
    <w:p w:rsidR="00077835" w:rsidRDefault="00077835" w:rsidP="00077835">
      <w:pPr>
        <w:numPr>
          <w:ilvl w:val="0"/>
          <w:numId w:val="5"/>
        </w:numPr>
        <w:spacing w:line="240" w:lineRule="auto"/>
        <w:contextualSpacing/>
        <w:jc w:val="both"/>
        <w:rPr>
          <w:rFonts w:eastAsia="Arial" w:cs="Arial"/>
          <w:szCs w:val="20"/>
        </w:rPr>
      </w:pPr>
      <w:r>
        <w:rPr>
          <w:rFonts w:eastAsia="Arial" w:cs="Arial"/>
          <w:szCs w:val="20"/>
        </w:rPr>
        <w:t xml:space="preserve">»sprememba upravljavca« je sprememba v posesti naprave ali dela naprave z zamenjavo pravne ali fizične osebe, ki ima </w:t>
      </w:r>
      <w:r>
        <w:rPr>
          <w:rFonts w:eastAsia="Arial" w:cs="Arial"/>
          <w:szCs w:val="20"/>
          <w:lang w:eastAsia="sl-SI"/>
        </w:rPr>
        <w:t xml:space="preserve">dovoljenje za izpuščanje toplogrednih plinov v skladu s tem zakonom, z drugo pravno ali fizično osebo, ali njeno pripojitvijo k novemu upravljavcu, ali spremembo imena ali organizacijske oblike ali sedeža upravljavca; </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»sprememba v obratovanju naprave« je sprememba, kot je določena v predpisu EU, ki določa prehodna pravila za usklajeno brezplačno dodelitev pravic do emisije na ravni Unije;</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»sprostitev v porabo« je sprostitev goriva v porabo v skladu s predpisi, ki urejajo trošarine;</w:t>
      </w:r>
    </w:p>
    <w:p w:rsidR="00077835" w:rsidRDefault="00077835" w:rsidP="00077835">
      <w:pPr>
        <w:numPr>
          <w:ilvl w:val="0"/>
          <w:numId w:val="5"/>
        </w:numPr>
        <w:spacing w:line="256" w:lineRule="auto"/>
        <w:contextualSpacing/>
        <w:jc w:val="both"/>
        <w:rPr>
          <w:rFonts w:eastAsia="Arial" w:cs="Arial"/>
          <w:szCs w:val="20"/>
        </w:rPr>
      </w:pPr>
      <w:r>
        <w:rPr>
          <w:rFonts w:cs="Arial"/>
          <w:szCs w:val="20"/>
          <w:lang w:eastAsia="sl-SI"/>
        </w:rPr>
        <w:t xml:space="preserve">»tok ogljikovega dioksida« je tok snovi, ki izvira iz postopkov zajemanja </w:t>
      </w:r>
      <w:r>
        <w:rPr>
          <w:rFonts w:eastAsia="Arial" w:cs="Arial"/>
          <w:szCs w:val="20"/>
        </w:rPr>
        <w:t>ogljikovega dioksida;</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»tona ekvivalenta ogljikovega dioksida« je ena metrična tona ogljikovega dioksida ali količina drugega toplogrednega plina, ki ima ekvivalentni potencial globalnega</w:t>
      </w:r>
      <w:r>
        <w:rPr>
          <w:rFonts w:eastAsia="MS Mincho" w:cs="Arial"/>
          <w:szCs w:val="20"/>
        </w:rPr>
        <w:t xml:space="preserve"> </w:t>
      </w:r>
      <w:r>
        <w:rPr>
          <w:rFonts w:eastAsia="Arial" w:cs="Arial"/>
          <w:szCs w:val="20"/>
        </w:rPr>
        <w:t>segrevanja ozračja;</w:t>
      </w:r>
    </w:p>
    <w:p w:rsidR="00077835" w:rsidRDefault="00077835" w:rsidP="00077835">
      <w:pPr>
        <w:numPr>
          <w:ilvl w:val="0"/>
          <w:numId w:val="5"/>
        </w:numPr>
        <w:spacing w:line="256" w:lineRule="auto"/>
        <w:contextualSpacing/>
        <w:jc w:val="both"/>
        <w:rPr>
          <w:rFonts w:eastAsia="Arial" w:cs="Arial"/>
          <w:szCs w:val="20"/>
        </w:rPr>
      </w:pPr>
      <w:bookmarkStart w:id="5" w:name="_Hlk184286727"/>
      <w:r>
        <w:rPr>
          <w:rFonts w:eastAsia="Arial" w:cs="Arial"/>
          <w:szCs w:val="20"/>
        </w:rPr>
        <w:t>»toplogredni plini« so ogljikov dioksid (CO</w:t>
      </w:r>
      <w:r>
        <w:rPr>
          <w:rFonts w:eastAsia="Arial" w:cs="Arial"/>
          <w:szCs w:val="20"/>
          <w:vertAlign w:val="subscript"/>
        </w:rPr>
        <w:t>2</w:t>
      </w:r>
      <w:r>
        <w:rPr>
          <w:rFonts w:eastAsia="Arial" w:cs="Arial"/>
          <w:szCs w:val="20"/>
        </w:rPr>
        <w:t>), metan (CH</w:t>
      </w:r>
      <w:r>
        <w:rPr>
          <w:rFonts w:eastAsia="Arial" w:cs="Arial"/>
          <w:szCs w:val="20"/>
          <w:vertAlign w:val="subscript"/>
        </w:rPr>
        <w:t>4</w:t>
      </w:r>
      <w:r>
        <w:rPr>
          <w:rFonts w:eastAsia="Arial" w:cs="Arial"/>
          <w:szCs w:val="20"/>
        </w:rPr>
        <w:t xml:space="preserve">), </w:t>
      </w:r>
      <w:proofErr w:type="spellStart"/>
      <w:r>
        <w:rPr>
          <w:rFonts w:eastAsia="Arial" w:cs="Arial"/>
          <w:szCs w:val="20"/>
        </w:rPr>
        <w:t>didušikov</w:t>
      </w:r>
      <w:proofErr w:type="spellEnd"/>
      <w:r>
        <w:rPr>
          <w:rFonts w:eastAsia="Arial" w:cs="Arial"/>
          <w:szCs w:val="20"/>
        </w:rPr>
        <w:t xml:space="preserve"> oksid (N</w:t>
      </w:r>
      <w:r>
        <w:rPr>
          <w:rFonts w:eastAsia="Arial" w:cs="Arial"/>
          <w:szCs w:val="20"/>
          <w:vertAlign w:val="subscript"/>
        </w:rPr>
        <w:t>2</w:t>
      </w:r>
      <w:r>
        <w:rPr>
          <w:rFonts w:eastAsia="Arial" w:cs="Arial"/>
          <w:szCs w:val="20"/>
        </w:rPr>
        <w:t xml:space="preserve">O), </w:t>
      </w:r>
      <w:proofErr w:type="spellStart"/>
      <w:r>
        <w:rPr>
          <w:rFonts w:eastAsia="Arial" w:cs="Arial"/>
          <w:szCs w:val="20"/>
        </w:rPr>
        <w:t>fluorirani</w:t>
      </w:r>
      <w:proofErr w:type="spellEnd"/>
      <w:r>
        <w:rPr>
          <w:rFonts w:eastAsia="Arial" w:cs="Arial"/>
          <w:szCs w:val="20"/>
        </w:rPr>
        <w:t xml:space="preserve"> ogljikovodiki (HFC), </w:t>
      </w:r>
      <w:proofErr w:type="spellStart"/>
      <w:r>
        <w:rPr>
          <w:rFonts w:eastAsia="Arial" w:cs="Arial"/>
          <w:szCs w:val="20"/>
        </w:rPr>
        <w:t>perfluorirani</w:t>
      </w:r>
      <w:proofErr w:type="spellEnd"/>
      <w:r>
        <w:rPr>
          <w:rFonts w:eastAsia="Arial" w:cs="Arial"/>
          <w:szCs w:val="20"/>
        </w:rPr>
        <w:t xml:space="preserve"> ogljikovodiki (PFC) in žveplov</w:t>
      </w:r>
      <w:r>
        <w:rPr>
          <w:rFonts w:eastAsia="MS Mincho" w:cs="Arial"/>
          <w:szCs w:val="20"/>
        </w:rPr>
        <w:t xml:space="preserve"> </w:t>
      </w:r>
      <w:proofErr w:type="spellStart"/>
      <w:r>
        <w:rPr>
          <w:rFonts w:eastAsia="Arial" w:cs="Arial"/>
          <w:szCs w:val="20"/>
        </w:rPr>
        <w:t>heksafluorid</w:t>
      </w:r>
      <w:proofErr w:type="spellEnd"/>
      <w:r>
        <w:rPr>
          <w:rFonts w:eastAsia="Arial" w:cs="Arial"/>
          <w:szCs w:val="20"/>
        </w:rPr>
        <w:t xml:space="preserve"> (SF</w:t>
      </w:r>
      <w:r>
        <w:rPr>
          <w:rFonts w:eastAsia="Arial" w:cs="Arial"/>
          <w:szCs w:val="20"/>
          <w:vertAlign w:val="subscript"/>
        </w:rPr>
        <w:t>6</w:t>
      </w:r>
      <w:r>
        <w:rPr>
          <w:rFonts w:eastAsia="Arial" w:cs="Arial"/>
          <w:szCs w:val="20"/>
        </w:rPr>
        <w:t>) ter druge naravne in antropogene plinske sestavine ozračja, ki absorbirajo in ponovno oddajajo infrardeče sevanje;</w:t>
      </w:r>
    </w:p>
    <w:bookmarkEnd w:id="5"/>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»tveganje« je možnost škodljivih posledic podnebnih sprememb za družbo ali ekosisteme in je v kontekstu podnebnih sprememb odvisno od spremembe ranljivosti sistema;</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»upravljanje ladje« je določanje prepeljanega tovora ali poti in hitrosti ladje;</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»upravljavec naprave« je fizična ali pravna oseba, ki ima napravo v lasti ali posesti ter na podlagi prenesenih stvarnih ali obligacijskih upravičenj lahko odloča o delovanju in spremembah naprave ali izvaja določeno dejavnost;</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»upravljavec obstoječe naprave v sistemu trgovanja« je oseba, ki ima na dan 30. junija dve leti pred začetkom vsakega petletnega obdobja iz prvega odstavka 37. člena tega zakona pravnomočno dovoljenje za izpuščanje toplogrednih plinov ali pravnomočno dovoljenje za izpuščanje toplogrednih plinov za malo napravo;</w:t>
      </w:r>
    </w:p>
    <w:p w:rsidR="00077835" w:rsidRDefault="00077835" w:rsidP="00077835">
      <w:pPr>
        <w:numPr>
          <w:ilvl w:val="0"/>
          <w:numId w:val="5"/>
        </w:numPr>
        <w:spacing w:line="256" w:lineRule="auto"/>
        <w:contextualSpacing/>
        <w:jc w:val="both"/>
        <w:rPr>
          <w:rFonts w:eastAsia="Arial" w:cs="Arial"/>
          <w:szCs w:val="20"/>
        </w:rPr>
      </w:pPr>
      <w:r>
        <w:rPr>
          <w:rFonts w:eastAsia="Arial" w:cs="Arial"/>
          <w:szCs w:val="20"/>
        </w:rPr>
        <w:t>»upravljavec opreme« je fizična ali pravna oseba, ki ima dejanski nadzor nad tehničnim delovanjem opreme;</w:t>
      </w:r>
    </w:p>
    <w:p w:rsidR="00077835" w:rsidRDefault="00077835" w:rsidP="00077835">
      <w:pPr>
        <w:numPr>
          <w:ilvl w:val="0"/>
          <w:numId w:val="5"/>
        </w:numPr>
        <w:spacing w:line="256" w:lineRule="auto"/>
        <w:contextualSpacing/>
        <w:jc w:val="both"/>
        <w:rPr>
          <w:rFonts w:eastAsia="MS Mincho" w:cs="Arial"/>
          <w:szCs w:val="20"/>
        </w:rPr>
      </w:pPr>
      <w:r>
        <w:rPr>
          <w:rFonts w:eastAsia="MS Mincho" w:cs="Arial"/>
          <w:szCs w:val="20"/>
        </w:rPr>
        <w:lastRenderedPageBreak/>
        <w:t>»vpliv letalstva, ki ni povezan z ogljikovim dioksidom« je vpliv na podnebje, povzročen z izpusti dušikovih oksidov (</w:t>
      </w:r>
      <w:proofErr w:type="spellStart"/>
      <w:r>
        <w:rPr>
          <w:rFonts w:eastAsia="MS Mincho" w:cs="Arial"/>
          <w:szCs w:val="20"/>
        </w:rPr>
        <w:t>NO</w:t>
      </w:r>
      <w:r>
        <w:rPr>
          <w:rFonts w:eastAsia="MS Mincho" w:cs="Arial"/>
          <w:szCs w:val="20"/>
          <w:vertAlign w:val="subscript"/>
        </w:rPr>
        <w:t>x</w:t>
      </w:r>
      <w:proofErr w:type="spellEnd"/>
      <w:r>
        <w:rPr>
          <w:rFonts w:eastAsia="MS Mincho" w:cs="Arial"/>
          <w:szCs w:val="20"/>
        </w:rPr>
        <w:t>), sajastih delcev in oksidiranih žveplovih spojin, in vpliv vodnih hlapov, vključno s kondenzacijskimi sledmi, ki nastajajo med zgorevanjem goriva v zrakoplovu, ki opravlja letalsko dejavnost iz Priloge I k Direktivi 2003/87/ES;</w:t>
      </w:r>
    </w:p>
    <w:p w:rsidR="00077835" w:rsidRDefault="00077835" w:rsidP="00077835">
      <w:pPr>
        <w:numPr>
          <w:ilvl w:val="0"/>
          <w:numId w:val="5"/>
        </w:numPr>
        <w:spacing w:line="256" w:lineRule="auto"/>
        <w:contextualSpacing/>
        <w:jc w:val="both"/>
        <w:rPr>
          <w:rFonts w:eastAsia="MS Mincho" w:cs="Arial"/>
          <w:szCs w:val="20"/>
        </w:rPr>
      </w:pPr>
      <w:r>
        <w:rPr>
          <w:rFonts w:eastAsia="MS Mincho" w:cs="Arial"/>
          <w:szCs w:val="20"/>
        </w:rPr>
        <w:t>»zgorevanje« je oksidacija goriva, ne glede na to, kako se toplota, električna ali mehanska energija, proizvedena s tem postopkom, uporablja, in vse druge neposredno povezane dejavnosti, vključno s čiščenjem odpadnih plinov.</w:t>
      </w:r>
    </w:p>
    <w:p w:rsidR="00077835" w:rsidRDefault="00077835" w:rsidP="00077835">
      <w:pPr>
        <w:spacing w:line="240" w:lineRule="auto"/>
        <w:contextualSpacing/>
        <w:jc w:val="both"/>
        <w:rPr>
          <w:rFonts w:eastAsia="MS Mincho" w:cs="Arial"/>
          <w:szCs w:val="20"/>
          <w:shd w:val="clear" w:color="auto" w:fill="FFFFFF"/>
        </w:rPr>
      </w:pPr>
    </w:p>
    <w:p w:rsidR="00077835" w:rsidRDefault="00077835" w:rsidP="00077835">
      <w:pPr>
        <w:numPr>
          <w:ilvl w:val="0"/>
          <w:numId w:val="6"/>
        </w:numPr>
        <w:spacing w:line="240" w:lineRule="auto"/>
        <w:contextualSpacing/>
        <w:jc w:val="both"/>
        <w:rPr>
          <w:rFonts w:eastAsia="MS Mincho" w:cs="Arial"/>
          <w:szCs w:val="20"/>
          <w:shd w:val="clear" w:color="auto" w:fill="FFFFFF"/>
        </w:rPr>
      </w:pPr>
      <w:r>
        <w:rPr>
          <w:rFonts w:eastAsia="MS Mincho" w:cs="Arial"/>
          <w:szCs w:val="20"/>
          <w:shd w:val="clear" w:color="auto" w:fill="FFFFFF"/>
        </w:rPr>
        <w:t xml:space="preserve">Drugi izrazi s področja mehanizma za </w:t>
      </w:r>
      <w:proofErr w:type="spellStart"/>
      <w:r>
        <w:rPr>
          <w:rFonts w:eastAsia="MS Mincho" w:cs="Arial"/>
          <w:szCs w:val="20"/>
          <w:shd w:val="clear" w:color="auto" w:fill="FFFFFF"/>
        </w:rPr>
        <w:t>ogljično</w:t>
      </w:r>
      <w:proofErr w:type="spellEnd"/>
      <w:r>
        <w:rPr>
          <w:rFonts w:eastAsia="MS Mincho" w:cs="Arial"/>
          <w:szCs w:val="20"/>
          <w:shd w:val="clear" w:color="auto" w:fill="FFFFFF"/>
        </w:rPr>
        <w:t xml:space="preserve"> prilagoditev na mejah (v nadaljnjem besedilu: CBAM) imajo enak pomen, kot ga določata Uredba 2023/956/EU in Izvedbena uredba 2023/1773/EU.«.</w:t>
      </w:r>
    </w:p>
    <w:p w:rsidR="00077835" w:rsidRDefault="00077835" w:rsidP="00077835">
      <w:pPr>
        <w:spacing w:line="264" w:lineRule="atLeast"/>
        <w:jc w:val="both"/>
        <w:rPr>
          <w:rFonts w:cs="Arial"/>
          <w:szCs w:val="20"/>
        </w:rPr>
      </w:pPr>
    </w:p>
    <w:p w:rsidR="00077835" w:rsidRDefault="00077835" w:rsidP="00077835">
      <w:pPr>
        <w:spacing w:line="264" w:lineRule="atLeast"/>
        <w:jc w:val="both"/>
        <w:rPr>
          <w:rFonts w:cs="Arial"/>
          <w:szCs w:val="20"/>
        </w:rPr>
      </w:pPr>
    </w:p>
    <w:p w:rsidR="00077835" w:rsidRDefault="00077835" w:rsidP="00077835">
      <w:pPr>
        <w:spacing w:line="240" w:lineRule="auto"/>
        <w:jc w:val="both"/>
        <w:rPr>
          <w:rFonts w:eastAsia="Arial" w:cs="Arial"/>
          <w:szCs w:val="20"/>
        </w:rPr>
      </w:pPr>
      <w:r>
        <w:rPr>
          <w:rFonts w:cs="Arial"/>
          <w:b/>
          <w:bCs/>
          <w:szCs w:val="20"/>
        </w:rPr>
        <w:t xml:space="preserve">Obrazložitev amandmaja: </w:t>
      </w:r>
      <w:r>
        <w:rPr>
          <w:rFonts w:cs="Arial"/>
          <w:szCs w:val="20"/>
        </w:rPr>
        <w:t xml:space="preserve">Amandma je pripravljen kot odziv na mnenje Zakonodajno-pravne službe, pri čemer je s spremembo v 7. točki </w:t>
      </w:r>
      <w:r>
        <w:rPr>
          <w:rFonts w:eastAsia="Arial" w:cs="Arial"/>
          <w:szCs w:val="20"/>
        </w:rPr>
        <w:t>prvega odstavka tega člena odpravljena slovnična napaka ter dodana številka uradnega lista, besedilo 55. točke je zaradi boljše razumljivosti nadomeščeno z novim besedilom, v katerem so opredelitve izraza reguliranega subjekta ločene s podtočkami od a) do č), obenem se je v obstoječem besedilu 55. točke besedilo », ki jo po uradni dolžnosti določi ministrstvo« nadomestilo z besedilom »skladu s tem zakonom«, v 56. točki je popravljen sklic na zakon, ki ureja pomorstvo, drugi in tretji odstavek se črtata, kar prav tako sledi mnenju Zakonodajno-pravne službe.</w:t>
      </w:r>
    </w:p>
    <w:p w:rsidR="00077835" w:rsidRDefault="00077835" w:rsidP="00077835">
      <w:pPr>
        <w:spacing w:line="240" w:lineRule="auto"/>
        <w:jc w:val="both"/>
        <w:rPr>
          <w:rFonts w:eastAsia="Arial" w:cs="Arial"/>
          <w:szCs w:val="20"/>
        </w:rPr>
      </w:pPr>
      <w:r>
        <w:rPr>
          <w:rFonts w:eastAsia="Arial" w:cs="Arial"/>
          <w:szCs w:val="20"/>
        </w:rPr>
        <w:t>Zaradi spremembe v delu besedila 55. točke je bil popravljen tudi materialni del Predloga zakona tako, da je dodan nov deveti odstavek 51. člena, ki se glasi:</w:t>
      </w:r>
    </w:p>
    <w:p w:rsidR="00077835" w:rsidRDefault="00077835" w:rsidP="00077835">
      <w:pPr>
        <w:spacing w:line="240" w:lineRule="auto"/>
        <w:jc w:val="both"/>
        <w:rPr>
          <w:rFonts w:cs="Arial"/>
          <w:b/>
          <w:bCs/>
          <w:szCs w:val="20"/>
        </w:rPr>
      </w:pPr>
      <w:r>
        <w:rPr>
          <w:rFonts w:eastAsia="Arial" w:cs="Arial"/>
          <w:szCs w:val="20"/>
        </w:rPr>
        <w:t xml:space="preserve">»Ministrstvo v primeru iz podtočke č) 55. točke prvega odstavka 4. člena tega zakona po uradni dolžnosti določi osebo za regulirani subjekt.«. Zaradi pripombe Zakonodajno-pravne službe k 37. členu Predloga zakona je spremenjena tudi opredelitev 60. točke prvega odstavka 4. člena, ki je neposredno povezana s 37. členom. </w:t>
      </w:r>
    </w:p>
    <w:p w:rsidR="00077835" w:rsidRDefault="00077835" w:rsidP="00077835">
      <w:pPr>
        <w:spacing w:line="240" w:lineRule="auto"/>
        <w:jc w:val="both"/>
        <w:rPr>
          <w:rFonts w:cs="Arial"/>
          <w:b/>
          <w:szCs w:val="20"/>
          <w:u w:val="single"/>
        </w:rPr>
      </w:pPr>
    </w:p>
    <w:p w:rsidR="00077835" w:rsidRDefault="00077835" w:rsidP="00077835">
      <w:pPr>
        <w:spacing w:line="240" w:lineRule="auto"/>
        <w:jc w:val="both"/>
        <w:rPr>
          <w:rFonts w:cs="Arial"/>
          <w:szCs w:val="20"/>
        </w:rPr>
      </w:pPr>
    </w:p>
    <w:p w:rsidR="00077835" w:rsidRDefault="00077835" w:rsidP="00077835">
      <w:pPr>
        <w:spacing w:line="240" w:lineRule="auto"/>
        <w:jc w:val="both"/>
        <w:rPr>
          <w:rFonts w:eastAsia="Arial" w:cs="Arial"/>
          <w:color w:val="000000" w:themeColor="text1"/>
          <w:szCs w:val="20"/>
          <w:u w:val="single"/>
        </w:rPr>
      </w:pPr>
      <w:r>
        <w:rPr>
          <w:rFonts w:eastAsia="Arial" w:cs="Arial"/>
          <w:b/>
          <w:bCs/>
          <w:color w:val="000000" w:themeColor="text1"/>
          <w:szCs w:val="20"/>
          <w:u w:val="single"/>
        </w:rPr>
        <w:t xml:space="preserve">K 6. členu: </w:t>
      </w:r>
    </w:p>
    <w:p w:rsidR="00077835" w:rsidRDefault="00077835" w:rsidP="00077835">
      <w:pPr>
        <w:spacing w:line="240" w:lineRule="auto"/>
        <w:jc w:val="both"/>
        <w:rPr>
          <w:rFonts w:eastAsia="Arial" w:cs="Arial"/>
          <w:color w:val="000000" w:themeColor="text1"/>
          <w:szCs w:val="20"/>
        </w:rPr>
      </w:pPr>
    </w:p>
    <w:p w:rsidR="00077835" w:rsidRDefault="00077835" w:rsidP="00077835">
      <w:pPr>
        <w:spacing w:line="240" w:lineRule="auto"/>
        <w:jc w:val="both"/>
        <w:rPr>
          <w:rFonts w:eastAsia="Arial" w:cs="Arial"/>
          <w:color w:val="000000" w:themeColor="text1"/>
          <w:szCs w:val="20"/>
        </w:rPr>
      </w:pPr>
      <w:r>
        <w:rPr>
          <w:rFonts w:eastAsia="Arial" w:cs="Arial"/>
          <w:color w:val="000000" w:themeColor="text1"/>
          <w:szCs w:val="20"/>
        </w:rPr>
        <w:t xml:space="preserve">Tretji odstavek 6. člena se spremeni tako, da se glasi: »(3) Javnost ima pri sprejemanju predpisov, izdanih na podlagi tega zakona, pravico do sodelovanja v skladu z zakonom, ki ureja varstvo okolja.«. </w:t>
      </w:r>
    </w:p>
    <w:p w:rsidR="00077835" w:rsidRDefault="00077835" w:rsidP="00077835">
      <w:pPr>
        <w:spacing w:line="240" w:lineRule="auto"/>
        <w:jc w:val="both"/>
        <w:rPr>
          <w:rFonts w:eastAsia="Arial" w:cs="Arial"/>
          <w:color w:val="000000" w:themeColor="text1"/>
          <w:szCs w:val="20"/>
        </w:rPr>
      </w:pPr>
    </w:p>
    <w:p w:rsidR="00077835" w:rsidRDefault="00077835" w:rsidP="00077835">
      <w:pPr>
        <w:spacing w:line="240" w:lineRule="auto"/>
        <w:jc w:val="both"/>
        <w:rPr>
          <w:rFonts w:eastAsia="Arial" w:cs="Arial"/>
          <w:color w:val="000000" w:themeColor="text1"/>
          <w:szCs w:val="20"/>
        </w:rPr>
      </w:pPr>
      <w:r>
        <w:rPr>
          <w:rFonts w:eastAsia="Arial" w:cs="Arial"/>
          <w:b/>
          <w:bCs/>
          <w:color w:val="000000" w:themeColor="text1"/>
          <w:szCs w:val="20"/>
        </w:rPr>
        <w:t xml:space="preserve">Obrazložitev amandmaja: </w:t>
      </w:r>
      <w:r>
        <w:rPr>
          <w:rFonts w:eastAsia="Arial" w:cs="Arial"/>
          <w:color w:val="000000" w:themeColor="text1"/>
          <w:szCs w:val="20"/>
        </w:rPr>
        <w:t>Amanda je pripravljen kot odziv na uvodni del mnenja Zakonodajno-pravne službe in pripombo k 6. členu predloga zakona. Vključeno je sodelovanje javnosti in črtana nedoločna določba dosedanjega tretjega odstavka.</w:t>
      </w:r>
    </w:p>
    <w:p w:rsidR="00077835" w:rsidRDefault="00077835" w:rsidP="00077835">
      <w:pPr>
        <w:spacing w:line="240" w:lineRule="auto"/>
        <w:jc w:val="both"/>
        <w:rPr>
          <w:rFonts w:eastAsiaTheme="minorHAnsi" w:cs="Arial"/>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K 9. členu</w:t>
      </w:r>
    </w:p>
    <w:p w:rsidR="00077835" w:rsidRDefault="00077835" w:rsidP="00077835">
      <w:pPr>
        <w:shd w:val="clear" w:color="auto" w:fill="FFFFFF"/>
        <w:spacing w:before="240" w:after="120" w:line="252" w:lineRule="auto"/>
        <w:jc w:val="both"/>
        <w:rPr>
          <w:rFonts w:eastAsia="Arial" w:cs="Arial"/>
          <w:color w:val="000000"/>
          <w:szCs w:val="20"/>
        </w:rPr>
      </w:pPr>
      <w:r>
        <w:rPr>
          <w:rFonts w:cs="Arial"/>
          <w:szCs w:val="20"/>
        </w:rPr>
        <w:t>Besedilo 9. člena se spremeni, tako da se glasi: »</w:t>
      </w:r>
      <w:r>
        <w:rPr>
          <w:rFonts w:eastAsia="Arial" w:cs="Arial"/>
          <w:color w:val="000000"/>
          <w:szCs w:val="20"/>
        </w:rPr>
        <w:t>Povzročitelji emisij toplogrednih plinov v skladu z načelom plačila za obremenjevanje okolja iz zakona, ki ureja varstvo okolja, krijejo vse stroške predpisanih ukrepov za preprečevanje in zmanjševanje emisij toplogrednih plinov, ki so jim določeni s tem zakonom.«.</w:t>
      </w:r>
    </w:p>
    <w:p w:rsidR="00077835" w:rsidRDefault="00077835" w:rsidP="00077835">
      <w:pPr>
        <w:shd w:val="clear" w:color="auto" w:fill="FFFFFF"/>
        <w:spacing w:before="240" w:after="120" w:line="252" w:lineRule="auto"/>
        <w:jc w:val="both"/>
        <w:rPr>
          <w:rFonts w:eastAsia="Arial" w:cs="Arial"/>
          <w:color w:val="000000"/>
          <w:szCs w:val="20"/>
        </w:rPr>
      </w:pPr>
      <w:r>
        <w:rPr>
          <w:rFonts w:eastAsia="Arial" w:cs="Arial"/>
          <w:b/>
          <w:color w:val="000000"/>
          <w:szCs w:val="20"/>
        </w:rPr>
        <w:t>Obrazložitev amandmaja:</w:t>
      </w:r>
      <w:r>
        <w:rPr>
          <w:rFonts w:eastAsia="Arial" w:cs="Arial"/>
          <w:color w:val="000000"/>
          <w:szCs w:val="20"/>
        </w:rPr>
        <w:t xml:space="preserve"> Amandma je pripravljen kot odziv na mnenje Zakonodajno-pravne službe. Podrobneje se opredeljuje načelo onesnaževalec plača. </w:t>
      </w:r>
    </w:p>
    <w:p w:rsidR="00077835" w:rsidRDefault="00077835" w:rsidP="00077835">
      <w:pPr>
        <w:shd w:val="clear" w:color="auto" w:fill="FFFFFF"/>
        <w:spacing w:line="240" w:lineRule="auto"/>
        <w:jc w:val="both"/>
        <w:rPr>
          <w:rFonts w:eastAsiaTheme="minorHAnsi" w:cs="Arial"/>
          <w:szCs w:val="20"/>
        </w:rPr>
      </w:pPr>
    </w:p>
    <w:p w:rsidR="00077835" w:rsidRDefault="00077835" w:rsidP="00077835">
      <w:pPr>
        <w:shd w:val="clear" w:color="auto" w:fill="FFFFFF"/>
        <w:spacing w:line="240" w:lineRule="auto"/>
        <w:jc w:val="both"/>
        <w:rPr>
          <w:rFonts w:cs="Arial"/>
          <w:b/>
          <w:szCs w:val="20"/>
          <w:u w:val="single"/>
        </w:rPr>
      </w:pPr>
      <w:r>
        <w:rPr>
          <w:rFonts w:cs="Arial"/>
          <w:b/>
          <w:szCs w:val="20"/>
          <w:u w:val="single"/>
        </w:rPr>
        <w:t>K 15. členu</w:t>
      </w:r>
    </w:p>
    <w:p w:rsidR="00077835" w:rsidRDefault="00077835" w:rsidP="00077835">
      <w:pPr>
        <w:shd w:val="clear" w:color="auto" w:fill="FFFFFF"/>
        <w:spacing w:line="240" w:lineRule="auto"/>
        <w:jc w:val="both"/>
        <w:rPr>
          <w:rFonts w:cs="Arial"/>
          <w:szCs w:val="20"/>
        </w:rPr>
      </w:pPr>
      <w:r>
        <w:rPr>
          <w:rFonts w:cs="Arial"/>
          <w:szCs w:val="20"/>
        </w:rPr>
        <w:t>Besedilo 15. člena se spremeni tako, da se glasi:</w:t>
      </w:r>
    </w:p>
    <w:p w:rsidR="00077835" w:rsidRDefault="00077835" w:rsidP="00077835">
      <w:pPr>
        <w:shd w:val="clear" w:color="auto" w:fill="FFFFFF"/>
        <w:spacing w:line="240" w:lineRule="auto"/>
        <w:ind w:left="709" w:hanging="425"/>
        <w:jc w:val="both"/>
        <w:rPr>
          <w:rFonts w:cs="Arial"/>
          <w:szCs w:val="20"/>
        </w:rPr>
      </w:pPr>
    </w:p>
    <w:p w:rsidR="00077835" w:rsidRDefault="00077835" w:rsidP="00077835">
      <w:pPr>
        <w:shd w:val="clear" w:color="auto" w:fill="FFFFFF"/>
        <w:spacing w:line="240" w:lineRule="auto"/>
        <w:ind w:left="709" w:hanging="425"/>
        <w:jc w:val="both"/>
        <w:rPr>
          <w:rFonts w:cs="Arial"/>
          <w:szCs w:val="20"/>
        </w:rPr>
      </w:pPr>
      <w:r>
        <w:rPr>
          <w:rFonts w:cs="Arial"/>
          <w:szCs w:val="20"/>
        </w:rPr>
        <w:t xml:space="preserve">»(1) </w:t>
      </w:r>
      <w:bookmarkStart w:id="6" w:name="_Hlk203031629"/>
      <w:r>
        <w:rPr>
          <w:rFonts w:cs="Arial"/>
          <w:szCs w:val="20"/>
        </w:rPr>
        <w:t xml:space="preserve">Na podlagi Strategije prilagajanja razvojni svet regije, določen v skladu s predpisi, ki urejajo spodbujanje skladnega regionalnega razvoja (v nadaljnjem besedilu: razvojni svet regije), za razvojno regijo v Republiki Sloveniji pripravi regionalni akcijski načrt prilagajanja podnebnim spremembam (v nadaljnjem besedilu: akcijski načrt prilagajanja), ki vsebuje ukrepe za prilagajanje podnebnim spremembam na regionalni ravni. </w:t>
      </w:r>
    </w:p>
    <w:bookmarkEnd w:id="6"/>
    <w:p w:rsidR="00077835" w:rsidRDefault="00077835" w:rsidP="00077835">
      <w:pPr>
        <w:pStyle w:val="Odstavek"/>
        <w:numPr>
          <w:ilvl w:val="0"/>
          <w:numId w:val="7"/>
        </w:numPr>
        <w:adjustRightInd/>
        <w:spacing w:after="0"/>
        <w:rPr>
          <w:sz w:val="20"/>
          <w:szCs w:val="20"/>
          <w:shd w:val="clear" w:color="auto" w:fill="FFFFFF"/>
        </w:rPr>
      </w:pPr>
      <w:r>
        <w:rPr>
          <w:szCs w:val="20"/>
          <w:shd w:val="clear" w:color="auto" w:fill="FFFFFF"/>
        </w:rPr>
        <w:lastRenderedPageBreak/>
        <w:t xml:space="preserve">Akcijski načrt prilagajanja vsebuje oceno podnebne ranljivosti in tveganj regije, konkretne ukrepe za zmanjševanje in odpravo tveganj, pričakovane učinke ukrepov, roke za izvedbo ukrepov, nosilce izvajanja ukrepov in oceno finančnih sredstev za izvedbo ukrepov, ki bodo prispevali k ciljem prilagajanja podnebnim spremembam v tej regiji. </w:t>
      </w:r>
    </w:p>
    <w:p w:rsidR="00077835" w:rsidRDefault="00077835" w:rsidP="00077835">
      <w:pPr>
        <w:pStyle w:val="Odstavek"/>
        <w:numPr>
          <w:ilvl w:val="0"/>
          <w:numId w:val="7"/>
        </w:numPr>
        <w:spacing w:after="0"/>
        <w:rPr>
          <w:szCs w:val="20"/>
        </w:rPr>
      </w:pPr>
      <w:r>
        <w:rPr>
          <w:szCs w:val="20"/>
        </w:rPr>
        <w:t xml:space="preserve">Akcijski načrti prilagajanja za regije z mestnimi občinami morajo v ločenem poglavju zajemati še ukrepe prilagajanja ločeno za vsako mestno občino. </w:t>
      </w:r>
    </w:p>
    <w:p w:rsidR="00077835" w:rsidRDefault="00077835" w:rsidP="00077835">
      <w:pPr>
        <w:pStyle w:val="Odstavek"/>
        <w:numPr>
          <w:ilvl w:val="0"/>
          <w:numId w:val="7"/>
        </w:numPr>
        <w:adjustRightInd/>
        <w:spacing w:after="0"/>
        <w:rPr>
          <w:szCs w:val="20"/>
        </w:rPr>
      </w:pPr>
      <w:r>
        <w:rPr>
          <w:szCs w:val="20"/>
          <w:shd w:val="clear" w:color="auto" w:fill="FFFFFF"/>
        </w:rPr>
        <w:t xml:space="preserve">Pripravljavec akcijskega načrta prilagajanja je regionalna razvojna agencija ali druga razvojna institucija v regiji, vključno z lokalno energetsko organizacijo, </w:t>
      </w:r>
      <w:r>
        <w:rPr>
          <w:szCs w:val="20"/>
        </w:rPr>
        <w:t>ki ima sedež v razvojni regiji. Pripravljavec vodi postopek priprave akcijskega načrta prilagajanja ter skrbi za usklajevanje interesov med državo in občinami v razvojni regiji. V pripravo vključi vse relevantne udeležence ter poskrbi za zgodnje in učinkovito obveščanje in sodelovanje javnosti. Na predlog akcijskega načrta prilagajanja pridobi soglasja vseh ministrstev, katerih vsebine so vključene v akcijski načrt prilagajanja.</w:t>
      </w:r>
    </w:p>
    <w:p w:rsidR="00077835" w:rsidRDefault="00077835" w:rsidP="00077835">
      <w:pPr>
        <w:pStyle w:val="Odstavek"/>
        <w:numPr>
          <w:ilvl w:val="0"/>
          <w:numId w:val="7"/>
        </w:numPr>
        <w:adjustRightInd/>
        <w:spacing w:after="0"/>
        <w:rPr>
          <w:szCs w:val="20"/>
        </w:rPr>
      </w:pPr>
      <w:r>
        <w:rPr>
          <w:szCs w:val="20"/>
        </w:rPr>
        <w:t>Pripravljavca akcijskega načrta prilagajanja za posamezno razvojno regijo določi razvojni svet regije, na podlagi javnega razpisa, v katerem se kot merili za izbiro upoštevajo izkušnje in usposobljenost za izvajanje nalog iz drugega odstavka tega člena.</w:t>
      </w:r>
    </w:p>
    <w:p w:rsidR="00077835" w:rsidRDefault="00077835" w:rsidP="00077835">
      <w:pPr>
        <w:pStyle w:val="Odstavek"/>
        <w:numPr>
          <w:ilvl w:val="0"/>
          <w:numId w:val="7"/>
        </w:numPr>
        <w:spacing w:after="0"/>
        <w:rPr>
          <w:szCs w:val="20"/>
        </w:rPr>
      </w:pPr>
      <w:r>
        <w:rPr>
          <w:szCs w:val="20"/>
        </w:rPr>
        <w:t>Sredstva za pripravo akcijskih načrtov prilagajanja se zagotovijo v državnem proračunu v višini največ 80 odstotkov potrebnih sredstev.</w:t>
      </w:r>
    </w:p>
    <w:p w:rsidR="00077835" w:rsidRDefault="00077835" w:rsidP="00077835">
      <w:pPr>
        <w:pStyle w:val="Odstavek"/>
        <w:numPr>
          <w:ilvl w:val="0"/>
          <w:numId w:val="7"/>
        </w:numPr>
        <w:spacing w:after="0"/>
        <w:rPr>
          <w:szCs w:val="20"/>
        </w:rPr>
      </w:pPr>
      <w:r>
        <w:rPr>
          <w:szCs w:val="20"/>
        </w:rPr>
        <w:t xml:space="preserve">Pripravljavec pri pripravi akcijskega načrta prilagajanja upošteva usmeritve in cilje iz Strategije prilagajanja iz 13. člena tega zakona, usmeritve iz strategije prostorskega razvoja, regionalne prostorske plane iz zakona, ki ureja prostor, ter geografske, gospodarske, </w:t>
      </w:r>
      <w:proofErr w:type="spellStart"/>
      <w:r>
        <w:rPr>
          <w:szCs w:val="20"/>
        </w:rPr>
        <w:t>okoljske</w:t>
      </w:r>
      <w:proofErr w:type="spellEnd"/>
      <w:r>
        <w:rPr>
          <w:szCs w:val="20"/>
        </w:rPr>
        <w:t>, razvojne in druge posebnosti zadevne regije.</w:t>
      </w:r>
    </w:p>
    <w:p w:rsidR="00077835" w:rsidRDefault="00077835" w:rsidP="00077835">
      <w:pPr>
        <w:pStyle w:val="Odstavek"/>
        <w:numPr>
          <w:ilvl w:val="0"/>
          <w:numId w:val="7"/>
        </w:numPr>
        <w:spacing w:after="0"/>
        <w:rPr>
          <w:szCs w:val="20"/>
        </w:rPr>
      </w:pPr>
      <w:r>
        <w:rPr>
          <w:szCs w:val="20"/>
        </w:rPr>
        <w:t xml:space="preserve">Razvojni svet regije, ob predhodnem soglasju ministrstva, sprejme akcijski načrt prilagajanja v skladu s predpisi, ki urejajo spodbujanje skladnega regionalnega razvoja. Občine v razvojni regiji akcijski načrt prilagajanja javno objavijo na svojem spletnem mestu. </w:t>
      </w:r>
    </w:p>
    <w:p w:rsidR="00077835" w:rsidRDefault="00077835" w:rsidP="00077835">
      <w:pPr>
        <w:pStyle w:val="Odstavek"/>
        <w:numPr>
          <w:ilvl w:val="0"/>
          <w:numId w:val="7"/>
        </w:numPr>
        <w:spacing w:after="0"/>
        <w:rPr>
          <w:szCs w:val="20"/>
        </w:rPr>
      </w:pPr>
      <w:r>
        <w:rPr>
          <w:szCs w:val="20"/>
        </w:rPr>
        <w:t>Razvojni svet regije, spremlja izvajanje in sprejme posodobljen akcijski načrt prilagajanja najpozneje vsakih deset let na podlagi posodobitve ocene podnebne ranljivosti in tveganj regije, ki se pripravi na pet let.</w:t>
      </w:r>
    </w:p>
    <w:p w:rsidR="00077835" w:rsidRDefault="00077835" w:rsidP="00077835">
      <w:pPr>
        <w:pStyle w:val="Odstavek"/>
        <w:numPr>
          <w:ilvl w:val="0"/>
          <w:numId w:val="7"/>
        </w:numPr>
        <w:spacing w:after="0"/>
        <w:rPr>
          <w:szCs w:val="20"/>
        </w:rPr>
      </w:pPr>
      <w:r>
        <w:rPr>
          <w:szCs w:val="20"/>
        </w:rPr>
        <w:t xml:space="preserve"> Minister, pristojen za podnebje (v nadaljnjem besedilu: minister) podrobneje predpiše obliko in vsebino akcijskih načrtov prilagajanja iz tega člena.«.</w:t>
      </w:r>
    </w:p>
    <w:p w:rsidR="00077835" w:rsidRDefault="00077835" w:rsidP="00077835">
      <w:pPr>
        <w:pStyle w:val="Odstavek"/>
        <w:spacing w:after="0"/>
        <w:ind w:firstLine="0"/>
        <w:rPr>
          <w:szCs w:val="20"/>
        </w:rPr>
      </w:pPr>
    </w:p>
    <w:p w:rsidR="00077835" w:rsidRDefault="00077835" w:rsidP="00077835">
      <w:pPr>
        <w:shd w:val="clear" w:color="auto" w:fill="FFFFFF"/>
        <w:spacing w:line="240" w:lineRule="auto"/>
        <w:jc w:val="both"/>
        <w:rPr>
          <w:rFonts w:cs="Arial"/>
          <w:szCs w:val="20"/>
        </w:rPr>
      </w:pPr>
      <w:r>
        <w:rPr>
          <w:rFonts w:cs="Arial"/>
          <w:b/>
          <w:bCs/>
          <w:szCs w:val="20"/>
        </w:rPr>
        <w:t>Obrazložitev amandmaja:</w:t>
      </w:r>
      <w:r>
        <w:rPr>
          <w:rFonts w:cs="Arial"/>
          <w:szCs w:val="20"/>
        </w:rPr>
        <w:t xml:space="preserve"> Amandma je pripravljen kot odziv na mnenje Zakonodajno-pravne službe. S spremembo devetega in desetega odstavka 15. člena je odpravljena neskladnost z načelom pravne države iz 2. člena Ustave, časovna neusklajenost med pripravo ocene podnebne ranljivosti in tveganja regije in akcijskim načrtom prilagajanja podnebnim spremembam regije ter nejasnost glede tega kaj so spremembe v regijskih okoliščinah. Prav tako se odpravlja nejasnost kateri minister predpiše predviden podzakonski predpis in izvaja tehnični popravek povezan s tem.  </w:t>
      </w:r>
    </w:p>
    <w:p w:rsidR="00077835" w:rsidRDefault="00077835" w:rsidP="00077835">
      <w:pPr>
        <w:shd w:val="clear" w:color="auto" w:fill="FFFFFF"/>
        <w:spacing w:line="240" w:lineRule="auto"/>
        <w:jc w:val="both"/>
        <w:rPr>
          <w:rFonts w:cs="Arial"/>
          <w:szCs w:val="20"/>
        </w:rPr>
      </w:pPr>
      <w:r>
        <w:rPr>
          <w:rFonts w:cs="Arial"/>
          <w:szCs w:val="20"/>
        </w:rPr>
        <w:t xml:space="preserve">Z amandmajem se spreminja tudi besedilo, povezano s pristojnimi organi regije, ki ga usklajujemo z veljavnim Zakonom o spodbujanju skladnega regionalnega razvoja (ZSRR-2). V predlogu zakona je namreč upoštevana predvidena sprememba ZSRR-2 na to temo, katere sprejetje na </w:t>
      </w:r>
      <w:r>
        <w:rPr>
          <w:rFonts w:cs="Arial"/>
          <w:szCs w:val="20"/>
        </w:rPr>
        <w:lastRenderedPageBreak/>
        <w:t xml:space="preserve">Vladi RS pa se zamika. Sprememba ZSRR-2 v DZ tako ne bo sprejeta kot je bilo načrtovano in zato je treba besedilo predloga podnebnega zakona uskladiti s trenutno veljavnim predpisom.  </w:t>
      </w:r>
    </w:p>
    <w:p w:rsidR="00077835" w:rsidRDefault="00077835" w:rsidP="00077835">
      <w:pPr>
        <w:spacing w:line="240" w:lineRule="auto"/>
        <w:jc w:val="both"/>
        <w:rPr>
          <w:rFonts w:eastAsia="Arial" w:cs="Arial"/>
          <w:color w:val="000000" w:themeColor="text1"/>
          <w:szCs w:val="20"/>
        </w:rPr>
      </w:pPr>
    </w:p>
    <w:p w:rsidR="00077835" w:rsidRDefault="00077835" w:rsidP="00077835">
      <w:pPr>
        <w:spacing w:line="240" w:lineRule="auto"/>
        <w:jc w:val="both"/>
        <w:rPr>
          <w:rFonts w:eastAsia="Arial" w:cs="Arial"/>
          <w:color w:val="000000" w:themeColor="text1"/>
          <w:szCs w:val="20"/>
        </w:rPr>
      </w:pPr>
      <w:r>
        <w:rPr>
          <w:rFonts w:eastAsia="Arial" w:cs="Arial"/>
          <w:b/>
          <w:bCs/>
          <w:color w:val="000000" w:themeColor="text1"/>
          <w:szCs w:val="20"/>
          <w:u w:val="single"/>
        </w:rPr>
        <w:t>K 17. členu:</w:t>
      </w:r>
    </w:p>
    <w:p w:rsidR="00077835" w:rsidRDefault="00077835" w:rsidP="00077835">
      <w:pPr>
        <w:spacing w:line="240" w:lineRule="auto"/>
        <w:jc w:val="both"/>
        <w:rPr>
          <w:rFonts w:eastAsia="Arial" w:cs="Arial"/>
          <w:color w:val="000000" w:themeColor="text1"/>
          <w:szCs w:val="20"/>
        </w:rPr>
      </w:pPr>
    </w:p>
    <w:p w:rsidR="00077835" w:rsidRDefault="00077835" w:rsidP="00077835">
      <w:pPr>
        <w:spacing w:line="240" w:lineRule="auto"/>
        <w:jc w:val="both"/>
        <w:rPr>
          <w:rFonts w:eastAsia="Arial" w:cs="Arial"/>
          <w:color w:val="000000" w:themeColor="text1"/>
          <w:szCs w:val="20"/>
        </w:rPr>
      </w:pPr>
      <w:r>
        <w:rPr>
          <w:rFonts w:eastAsia="Arial" w:cs="Arial"/>
          <w:color w:val="000000" w:themeColor="text1"/>
          <w:szCs w:val="20"/>
        </w:rPr>
        <w:t xml:space="preserve">Prvi odstavek 17. člena se spremeni tako, da se glasi: </w:t>
      </w:r>
    </w:p>
    <w:p w:rsidR="00077835" w:rsidRDefault="00077835" w:rsidP="00077835">
      <w:pPr>
        <w:spacing w:line="240" w:lineRule="auto"/>
        <w:jc w:val="both"/>
        <w:rPr>
          <w:rFonts w:eastAsia="Arial" w:cs="Arial"/>
          <w:color w:val="000000" w:themeColor="text1"/>
          <w:szCs w:val="20"/>
        </w:rPr>
      </w:pPr>
      <w:r>
        <w:rPr>
          <w:rFonts w:eastAsia="Arial" w:cs="Arial"/>
          <w:color w:val="000000" w:themeColor="text1"/>
          <w:szCs w:val="20"/>
        </w:rPr>
        <w:t>»(1) Predlagatelj politike, strategije, programa, načrta in splošnega pravnega akta državnih organov in organov lokalnih skupnosti mora upoštevati cilje in usmeritve, določene v Dolgoročni podnebni strategiji in v Strategiji prilagajanja, v NEPN in v akcijskih načrtih prilagajanja (v nadaljnjem besedilu: dokumenti), ob upoštevanju ciljev, določenih v 3. členu tega zakona.«.</w:t>
      </w:r>
    </w:p>
    <w:p w:rsidR="00077835" w:rsidRDefault="00077835" w:rsidP="00077835">
      <w:pPr>
        <w:spacing w:line="240" w:lineRule="auto"/>
        <w:jc w:val="both"/>
        <w:rPr>
          <w:rFonts w:eastAsia="Arial" w:cs="Arial"/>
          <w:color w:val="000000" w:themeColor="text1"/>
          <w:szCs w:val="20"/>
        </w:rPr>
      </w:pPr>
    </w:p>
    <w:p w:rsidR="00077835" w:rsidRDefault="00077835" w:rsidP="00077835">
      <w:pPr>
        <w:spacing w:line="240" w:lineRule="auto"/>
        <w:jc w:val="both"/>
        <w:rPr>
          <w:rFonts w:eastAsia="Arial" w:cs="Arial"/>
          <w:color w:val="000000" w:themeColor="text1"/>
          <w:szCs w:val="20"/>
        </w:rPr>
      </w:pPr>
      <w:r>
        <w:rPr>
          <w:rFonts w:eastAsia="Arial" w:cs="Arial"/>
          <w:b/>
          <w:bCs/>
          <w:color w:val="000000" w:themeColor="text1"/>
          <w:szCs w:val="20"/>
        </w:rPr>
        <w:t xml:space="preserve">Obrazložitev amandmaja: </w:t>
      </w:r>
      <w:r>
        <w:rPr>
          <w:rFonts w:eastAsia="Arial" w:cs="Arial"/>
          <w:color w:val="000000" w:themeColor="text1"/>
          <w:szCs w:val="20"/>
        </w:rPr>
        <w:t>Amandma je pripravljen kot odziv na mnenje Zakonodajno-pravne službe. Določa se, da morajo predlagatelji politike, strategije, programa, načrta in splošnega pravnega akta državnih organov in organov lokalnih skupnosti upoštevati cilje in usmeritve navedenih dokumentov. Z amandmajem so iz besedila odstavka črtani upravni akti.</w:t>
      </w:r>
    </w:p>
    <w:p w:rsidR="00077835" w:rsidRDefault="00077835" w:rsidP="00077835">
      <w:pPr>
        <w:shd w:val="clear" w:color="auto" w:fill="FFFFFF"/>
        <w:spacing w:line="240" w:lineRule="auto"/>
        <w:jc w:val="both"/>
        <w:rPr>
          <w:rFonts w:eastAsiaTheme="minorHAnsi" w:cs="Arial"/>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K 18. členu</w:t>
      </w:r>
    </w:p>
    <w:p w:rsidR="00077835" w:rsidRDefault="00077835" w:rsidP="00077835">
      <w:pPr>
        <w:spacing w:line="240" w:lineRule="auto"/>
        <w:jc w:val="both"/>
        <w:rPr>
          <w:rFonts w:cs="Arial"/>
          <w:szCs w:val="20"/>
        </w:rPr>
      </w:pPr>
      <w:r>
        <w:rPr>
          <w:rFonts w:cs="Arial"/>
          <w:szCs w:val="20"/>
        </w:rPr>
        <w:t>V 18. členu se drugi odstavek spremeni tako, da se glasi:</w:t>
      </w:r>
    </w:p>
    <w:p w:rsidR="00077835" w:rsidRDefault="00077835" w:rsidP="00077835">
      <w:pPr>
        <w:pStyle w:val="Odstavek"/>
        <w:spacing w:after="0"/>
        <w:ind w:firstLine="0"/>
        <w:rPr>
          <w:sz w:val="20"/>
          <w:szCs w:val="20"/>
        </w:rPr>
      </w:pPr>
      <w:r>
        <w:rPr>
          <w:szCs w:val="20"/>
        </w:rPr>
        <w:t>»(2) Štiri člane Podnebnega sveta in njihove namestnike predlaga rektorska konferenca, opredeljena v zakonu, ki ureja visoko šolstvo, tri člane in njihove namestnike Slovenska akademija znanosti in umetnosti, dva člana in njuna namestnika pa nevladne organizacije iz 19. člena tega zakona.</w:t>
      </w:r>
      <w:r>
        <w:rPr>
          <w:rFonts w:eastAsia="Calibri"/>
          <w:szCs w:val="20"/>
        </w:rPr>
        <w:t xml:space="preserve"> </w:t>
      </w:r>
      <w:r>
        <w:rPr>
          <w:szCs w:val="20"/>
        </w:rPr>
        <w:t>Podnebni svet ima predsednika, ki ga člani Podnebnega sveta izvolijo med seboj.«</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rPr>
      </w:pPr>
      <w:r>
        <w:rPr>
          <w:rFonts w:cs="Arial"/>
          <w:b/>
          <w:szCs w:val="20"/>
        </w:rPr>
        <w:t>Obrazložitev:</w:t>
      </w:r>
    </w:p>
    <w:p w:rsidR="00077835" w:rsidRDefault="00077835" w:rsidP="00077835">
      <w:pPr>
        <w:spacing w:line="276" w:lineRule="auto"/>
        <w:jc w:val="both"/>
        <w:rPr>
          <w:rFonts w:eastAsia="Arial" w:cs="Arial"/>
          <w:szCs w:val="20"/>
        </w:rPr>
      </w:pPr>
      <w:r>
        <w:rPr>
          <w:rFonts w:eastAsia="Arial" w:cs="Arial"/>
          <w:szCs w:val="20"/>
        </w:rPr>
        <w:t>Amandma je pripravljen kot odziv na mnenje Zakonodajno-pravne službe, in sicer se  črta beseda »po« (pred besedo »štiri«, pred besedo »tri« in pred besedo »dva«), da je jasno, da omenjene organizacije skupaj predlagajo navedeno število članov oziroma njihovih namestnikov.</w:t>
      </w:r>
    </w:p>
    <w:p w:rsidR="00077835" w:rsidRDefault="00077835" w:rsidP="00077835">
      <w:pPr>
        <w:spacing w:line="276" w:lineRule="auto"/>
        <w:jc w:val="both"/>
        <w:rPr>
          <w:rFonts w:eastAsia="Arial" w:cs="Arial"/>
          <w:szCs w:val="20"/>
        </w:rPr>
      </w:pPr>
      <w:r>
        <w:rPr>
          <w:rFonts w:eastAsia="Arial" w:cs="Arial"/>
          <w:szCs w:val="20"/>
        </w:rPr>
        <w:t xml:space="preserve">Zaradi pripombe Zakonodajno-pravne službe smo namesto “javnih univerz” zapisali, da štiri člane in njihove namestnike predlaga rektorska konferenca, saj Zakon o visokem šolstvu določa, </w:t>
      </w:r>
      <w:r>
        <w:rPr>
          <w:rFonts w:eastAsia="Arial Nova" w:cs="Arial"/>
          <w:szCs w:val="20"/>
        </w:rPr>
        <w:t>da univerze za obravnavanje in usklajevanje vprašanj skupnega pomena oblikujejo rektorsko konferenco.</w:t>
      </w:r>
    </w:p>
    <w:p w:rsidR="00077835" w:rsidRDefault="00077835" w:rsidP="00077835">
      <w:pPr>
        <w:spacing w:line="240" w:lineRule="auto"/>
        <w:jc w:val="both"/>
        <w:rPr>
          <w:rFonts w:eastAsiaTheme="minorHAnsi" w:cs="Arial"/>
          <w:b/>
          <w:szCs w:val="20"/>
          <w:u w:val="single"/>
        </w:rPr>
      </w:pPr>
      <w:r>
        <w:rPr>
          <w:rFonts w:cs="Arial"/>
          <w:b/>
          <w:szCs w:val="20"/>
          <w:u w:val="single"/>
        </w:rPr>
        <w:t xml:space="preserve">K 26. členu: </w:t>
      </w:r>
    </w:p>
    <w:p w:rsidR="00077835" w:rsidRDefault="00077835" w:rsidP="00077835">
      <w:pPr>
        <w:spacing w:line="240" w:lineRule="auto"/>
        <w:jc w:val="both"/>
        <w:rPr>
          <w:rFonts w:cs="Arial"/>
          <w:szCs w:val="20"/>
        </w:rPr>
      </w:pPr>
      <w:r>
        <w:rPr>
          <w:rFonts w:cs="Arial"/>
          <w:szCs w:val="20"/>
        </w:rPr>
        <w:t xml:space="preserve">Prvi odstavek se spremeni tako, da se glasi: </w:t>
      </w:r>
    </w:p>
    <w:p w:rsidR="00077835" w:rsidRDefault="00077835" w:rsidP="00077835">
      <w:pPr>
        <w:spacing w:line="240" w:lineRule="auto"/>
        <w:jc w:val="both"/>
        <w:rPr>
          <w:rFonts w:cs="Arial"/>
          <w:szCs w:val="20"/>
        </w:rPr>
      </w:pPr>
      <w:r>
        <w:rPr>
          <w:rFonts w:cs="Arial"/>
          <w:color w:val="000000"/>
          <w:szCs w:val="20"/>
        </w:rPr>
        <w:t>»(1) Z namenom</w:t>
      </w:r>
      <w:r>
        <w:rPr>
          <w:rFonts w:cs="Arial"/>
          <w:szCs w:val="20"/>
        </w:rPr>
        <w:t xml:space="preserve"> zmanjševanja emisij toplogrednih plinov na stroškovno in ekonomsko učinkovit način, preprečevanja nevarnih posledic podnebnih sprememb in prispevka k doseganju cilja podnebne nevtralnosti je v sistem trgovanja vključen vsak upravljavec naprave, operator zrakoplova, ladjarska družba in regulirani subjekt.«.</w:t>
      </w:r>
    </w:p>
    <w:p w:rsidR="00077835" w:rsidRDefault="00077835" w:rsidP="00077835">
      <w:pPr>
        <w:spacing w:line="240" w:lineRule="auto"/>
        <w:jc w:val="both"/>
        <w:rPr>
          <w:rFonts w:cs="Arial"/>
          <w:szCs w:val="20"/>
        </w:rPr>
      </w:pPr>
      <w:r>
        <w:rPr>
          <w:rFonts w:cs="Arial"/>
          <w:szCs w:val="20"/>
        </w:rPr>
        <w:t xml:space="preserve">Drugi odstavek se spremeni tako, da se glasi: </w:t>
      </w:r>
    </w:p>
    <w:p w:rsidR="00077835" w:rsidRDefault="00077835" w:rsidP="00077835">
      <w:pPr>
        <w:spacing w:line="240" w:lineRule="auto"/>
        <w:jc w:val="both"/>
        <w:rPr>
          <w:rFonts w:cs="Arial"/>
          <w:szCs w:val="20"/>
        </w:rPr>
      </w:pPr>
      <w:r>
        <w:rPr>
          <w:rFonts w:cs="Arial"/>
          <w:szCs w:val="20"/>
        </w:rPr>
        <w:t xml:space="preserve">»(2) Pravice, ki jih izda pristojni organ druge države članice EU, se prav tako priznavajo za namene izpolnjevanja obveznosti upravljavca naprave, operatorja zrakoplova, ladjarske družbe in reguliranega subjekta v Republiki Sloveniji, določenih v 57. členu tega zakona.«.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 amandmaja:</w:t>
      </w:r>
      <w:r>
        <w:rPr>
          <w:rFonts w:cs="Arial"/>
          <w:szCs w:val="20"/>
        </w:rPr>
        <w:t xml:space="preserve"> </w:t>
      </w:r>
    </w:p>
    <w:p w:rsidR="00077835" w:rsidRDefault="00077835" w:rsidP="00077835">
      <w:pPr>
        <w:spacing w:line="240" w:lineRule="auto"/>
        <w:jc w:val="both"/>
        <w:rPr>
          <w:rFonts w:cs="Arial"/>
          <w:szCs w:val="20"/>
        </w:rPr>
      </w:pPr>
      <w:r>
        <w:rPr>
          <w:rFonts w:cs="Arial"/>
          <w:szCs w:val="20"/>
        </w:rPr>
        <w:t xml:space="preserve">Amandma je pripravljen kot odziv na pripombe Zakonodajno-pravne službe. Prvi odstavek se preoblikuje tako, da ni več zgolj normativne narave. Drugi odstavek pa se spremeni tako, da je jasno, da lahko subjekti, ki imajo obveznost predaje emisijskih kuponov v skladu s 57. členom Predloga zakona, poleg emisijskih kuponov, ki jih izda Republika Slovenija, za izpolnjevanje te obveznosti uporabijo tudi pravice, ki jih izdajo druge države članice EU.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u w:val="single"/>
        </w:rPr>
      </w:pPr>
      <w:r>
        <w:rPr>
          <w:rFonts w:cs="Arial"/>
          <w:b/>
          <w:szCs w:val="20"/>
          <w:u w:val="single"/>
        </w:rPr>
        <w:t>K 27. členu</w:t>
      </w:r>
      <w:r>
        <w:rPr>
          <w:rFonts w:cs="Arial"/>
          <w:szCs w:val="20"/>
          <w:u w:val="single"/>
        </w:rPr>
        <w:t xml:space="preserve">  </w:t>
      </w:r>
    </w:p>
    <w:p w:rsidR="00077835" w:rsidRDefault="00077835" w:rsidP="00077835">
      <w:pPr>
        <w:spacing w:line="240" w:lineRule="auto"/>
        <w:jc w:val="both"/>
        <w:rPr>
          <w:rFonts w:cs="Arial"/>
          <w:szCs w:val="20"/>
        </w:rPr>
      </w:pPr>
      <w:r>
        <w:rPr>
          <w:rFonts w:cs="Arial"/>
          <w:szCs w:val="20"/>
        </w:rPr>
        <w:t>V 27. členu se drugi odstavek spremeni tako, da se glasi:</w:t>
      </w:r>
    </w:p>
    <w:p w:rsidR="00077835" w:rsidRDefault="00077835" w:rsidP="00077835">
      <w:pPr>
        <w:spacing w:line="240" w:lineRule="auto"/>
        <w:jc w:val="both"/>
        <w:rPr>
          <w:rFonts w:cs="Arial"/>
          <w:szCs w:val="20"/>
        </w:rPr>
      </w:pPr>
      <w:r>
        <w:rPr>
          <w:rFonts w:cs="Arial"/>
          <w:szCs w:val="20"/>
        </w:rPr>
        <w:t xml:space="preserve">»(2) </w:t>
      </w:r>
      <w:r>
        <w:rPr>
          <w:rFonts w:eastAsia="Arial" w:cs="Arial"/>
          <w:szCs w:val="20"/>
        </w:rPr>
        <w:t>Nacionalni administrator, določen na podlagi predpisa EU, ki ureja delovanje registra Unije (v nadaljnjem besedilu: nacionalni administrator), v registru Unije izvršuje naloge in pooblastila v skladu s tem predpisom.</w:t>
      </w:r>
      <w:r>
        <w:rPr>
          <w:rFonts w:cs="Arial"/>
          <w:szCs w:val="20"/>
        </w:rPr>
        <w:t xml:space="preserve">«. </w:t>
      </w:r>
    </w:p>
    <w:p w:rsidR="00077835" w:rsidRDefault="00077835" w:rsidP="00077835">
      <w:pPr>
        <w:spacing w:line="240" w:lineRule="auto"/>
        <w:jc w:val="both"/>
        <w:rPr>
          <w:rFonts w:cs="Arial"/>
          <w:szCs w:val="20"/>
        </w:rPr>
      </w:pPr>
      <w:r>
        <w:rPr>
          <w:rFonts w:cs="Arial"/>
          <w:szCs w:val="20"/>
        </w:rPr>
        <w:t>V desetem odstavku se črta besedilo »in vsebino«.</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lastRenderedPageBreak/>
        <w:t>Obrazložitev amandmaja</w:t>
      </w:r>
      <w:r>
        <w:rPr>
          <w:rFonts w:cs="Arial"/>
          <w:szCs w:val="20"/>
        </w:rPr>
        <w:t xml:space="preserve">: </w:t>
      </w:r>
    </w:p>
    <w:p w:rsidR="00077835" w:rsidRDefault="00077835" w:rsidP="00077835">
      <w:pPr>
        <w:spacing w:line="240" w:lineRule="auto"/>
        <w:jc w:val="both"/>
        <w:rPr>
          <w:rFonts w:cs="Arial"/>
          <w:szCs w:val="20"/>
        </w:rPr>
      </w:pPr>
      <w:r>
        <w:rPr>
          <w:rFonts w:cs="Arial"/>
          <w:szCs w:val="20"/>
        </w:rPr>
        <w:t xml:space="preserve">Amandma je pripravljen kot odziv na mnenje Zakonodajno-pravne službe Državnega zbora, saj uredba EU, ki ureja delovanje registra, nacionalnega administratorja ne določa, temveč ga morajo države članice določiti same, zato je ustrezneje navajati, da gre za nacionalnega administratorja, določenega na podlagi prej navedenega predpisa. Navedeni predpis prav tako že določa vsebino vloge.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u w:val="single"/>
        </w:rPr>
      </w:pPr>
      <w:r>
        <w:rPr>
          <w:rFonts w:cs="Arial"/>
          <w:b/>
          <w:bCs/>
          <w:szCs w:val="20"/>
          <w:u w:val="single"/>
        </w:rPr>
        <w:t>K 29. členu</w:t>
      </w:r>
    </w:p>
    <w:p w:rsidR="00077835" w:rsidRDefault="00077835" w:rsidP="00077835">
      <w:pPr>
        <w:spacing w:line="240" w:lineRule="auto"/>
        <w:jc w:val="both"/>
        <w:rPr>
          <w:rFonts w:cs="Arial"/>
          <w:szCs w:val="20"/>
        </w:rPr>
      </w:pPr>
      <w:r>
        <w:rPr>
          <w:rFonts w:cs="Arial"/>
          <w:szCs w:val="20"/>
        </w:rPr>
        <w:t>V 29. členu se v četrtem odstavku 1. točka spremeni tako, da se glasi:</w:t>
      </w:r>
    </w:p>
    <w:p w:rsidR="00077835" w:rsidRDefault="00077835" w:rsidP="00077835">
      <w:pPr>
        <w:spacing w:line="240" w:lineRule="auto"/>
        <w:jc w:val="both"/>
        <w:rPr>
          <w:rFonts w:cs="Arial"/>
          <w:szCs w:val="20"/>
        </w:rPr>
      </w:pPr>
      <w:r>
        <w:rPr>
          <w:rFonts w:cs="Arial"/>
          <w:szCs w:val="20"/>
        </w:rPr>
        <w:t xml:space="preserve"> »1. prihodki, pridobljeni z dražbo emisijskih kuponov iz prvega in drugega odstavka prejšnjega člena, razen prihodkov, ki se v skladu s Pogodbo o delovanju Evropske unije (Prečiščena različica Pogodbe o delovanju Evropske unije, UL C št. 202 z dne 7. 6. 2016, str. 47), zadnjič spremenjena z Uredbo (EU, </w:t>
      </w:r>
      <w:proofErr w:type="spellStart"/>
      <w:r>
        <w:rPr>
          <w:rFonts w:cs="Arial"/>
          <w:szCs w:val="20"/>
        </w:rPr>
        <w:t>Euratom</w:t>
      </w:r>
      <w:proofErr w:type="spellEnd"/>
      <w:r>
        <w:rPr>
          <w:rFonts w:cs="Arial"/>
          <w:szCs w:val="20"/>
        </w:rPr>
        <w:t>) 2024/2019 Evropskega parlamenta in Sveta z dne 11. aprila 2024 o spremembi Protokola št. 3 o Statutu Sodišča Evropske unije (UL L št. 2024/2019 z dne  12. 8. 2024), (v nadaljnjem besedilu: PDEU), vključijo v proračun Unije.«.</w:t>
      </w: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Zaradi amandmaja, ki je odziv na mnenje Zakonodajno-pravne službe k četrtemu odstavku 109. člena Predloga zakona, je bilo potrebno uskladiti tudi 29. člen Predloga zakona - okrajšati ime pogodbe. Dodan je tudi redakcijski popravek. </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b/>
          <w:color w:val="000000"/>
          <w:szCs w:val="20"/>
        </w:rPr>
      </w:pPr>
      <w:r>
        <w:rPr>
          <w:rFonts w:cs="Arial"/>
          <w:b/>
          <w:color w:val="000000"/>
          <w:szCs w:val="20"/>
          <w:u w:val="single"/>
        </w:rPr>
        <w:t>K 30. členu</w:t>
      </w:r>
    </w:p>
    <w:p w:rsidR="00077835" w:rsidRDefault="00077835" w:rsidP="00077835">
      <w:pPr>
        <w:spacing w:line="240" w:lineRule="auto"/>
        <w:jc w:val="both"/>
        <w:rPr>
          <w:rFonts w:cs="Arial"/>
          <w:color w:val="000000"/>
          <w:szCs w:val="20"/>
        </w:rPr>
      </w:pPr>
      <w:r>
        <w:rPr>
          <w:rFonts w:cs="Arial"/>
          <w:color w:val="000000"/>
          <w:szCs w:val="20"/>
        </w:rPr>
        <w:t>V 30. členu se v devetem odstavku v napovednem stavku besedilo »iz četrtega odstavka tega člena« nadomesti z besedilom »Podnebnega sklada«.</w:t>
      </w:r>
    </w:p>
    <w:p w:rsidR="00077835" w:rsidRDefault="00077835" w:rsidP="00077835">
      <w:pPr>
        <w:spacing w:line="240" w:lineRule="auto"/>
        <w:jc w:val="both"/>
        <w:rPr>
          <w:rFonts w:cs="Arial"/>
          <w:color w:val="000000"/>
          <w:szCs w:val="20"/>
        </w:rPr>
      </w:pPr>
      <w:r>
        <w:rPr>
          <w:rFonts w:cs="Arial"/>
          <w:color w:val="000000"/>
          <w:szCs w:val="20"/>
        </w:rPr>
        <w:t>V enajstem odstavku se v prvem stavku besedilo »iz četrtega odstavka tega člena« nadomesti z besedilom »Podnebnega sklada«.</w:t>
      </w:r>
    </w:p>
    <w:p w:rsidR="00077835" w:rsidRDefault="00077835" w:rsidP="00077835">
      <w:pPr>
        <w:spacing w:line="240" w:lineRule="auto"/>
        <w:jc w:val="both"/>
        <w:rPr>
          <w:rFonts w:eastAsia="Arial" w:cs="Arial"/>
          <w:color w:val="000000"/>
          <w:szCs w:val="20"/>
        </w:rPr>
      </w:pPr>
    </w:p>
    <w:p w:rsidR="00077835" w:rsidRDefault="00077835" w:rsidP="00077835">
      <w:pPr>
        <w:spacing w:line="240" w:lineRule="auto"/>
        <w:jc w:val="both"/>
        <w:rPr>
          <w:rFonts w:eastAsia="Arial" w:cs="Arial"/>
          <w:color w:val="000000"/>
          <w:szCs w:val="20"/>
        </w:rPr>
      </w:pPr>
      <w:r>
        <w:rPr>
          <w:rFonts w:eastAsia="Arial" w:cs="Arial"/>
          <w:b/>
          <w:color w:val="000000"/>
          <w:szCs w:val="20"/>
        </w:rPr>
        <w:t>Obrazložitev amandmaja:</w:t>
      </w:r>
    </w:p>
    <w:p w:rsidR="00077835" w:rsidRDefault="00077835" w:rsidP="00077835">
      <w:pPr>
        <w:spacing w:line="240" w:lineRule="auto"/>
        <w:jc w:val="both"/>
        <w:rPr>
          <w:rFonts w:eastAsia="Arial" w:cs="Arial"/>
          <w:color w:val="000000"/>
          <w:szCs w:val="20"/>
        </w:rPr>
      </w:pPr>
      <w:r>
        <w:rPr>
          <w:rFonts w:eastAsia="Arial" w:cs="Arial"/>
          <w:color w:val="000000"/>
          <w:szCs w:val="20"/>
        </w:rPr>
        <w:t xml:space="preserve">Amandma je pripravljen kot odziv na mnenje Zakonodajno-pravne službe Državnega zbora, saj je mišljeno, da gre za določanje primerov, ko oseba ni upravičena do sredstev Podnebnega sklada, čeprav bi bila s programom Podnebnega sklada določena kot upravičenec do porabe sredstev.   </w:t>
      </w:r>
    </w:p>
    <w:p w:rsidR="00077835" w:rsidRDefault="00077835" w:rsidP="00077835">
      <w:pPr>
        <w:spacing w:line="240" w:lineRule="auto"/>
        <w:jc w:val="both"/>
        <w:rPr>
          <w:rFonts w:eastAsiaTheme="minorHAnsi" w:cs="Arial"/>
          <w:b/>
          <w:bCs/>
          <w:szCs w:val="20"/>
          <w:u w:val="single"/>
        </w:rPr>
      </w:pPr>
      <w:r>
        <w:rPr>
          <w:rFonts w:cs="Arial"/>
          <w:b/>
          <w:szCs w:val="20"/>
          <w:u w:val="single"/>
        </w:rPr>
        <w:t>K 32. členu</w:t>
      </w:r>
    </w:p>
    <w:p w:rsidR="00077835" w:rsidRDefault="00077835" w:rsidP="00077835">
      <w:pPr>
        <w:spacing w:line="240" w:lineRule="auto"/>
        <w:jc w:val="both"/>
        <w:rPr>
          <w:rFonts w:cs="Arial"/>
          <w:szCs w:val="20"/>
        </w:rPr>
      </w:pPr>
      <w:r>
        <w:rPr>
          <w:rFonts w:cs="Arial"/>
          <w:bCs/>
          <w:szCs w:val="20"/>
        </w:rPr>
        <w:t xml:space="preserve">Besedilo 32. člena se spremeni tako, da se glasi: </w:t>
      </w:r>
    </w:p>
    <w:p w:rsidR="00077835" w:rsidRDefault="00077835" w:rsidP="00077835">
      <w:pPr>
        <w:spacing w:line="240" w:lineRule="auto"/>
        <w:jc w:val="both"/>
        <w:rPr>
          <w:rFonts w:cs="Arial"/>
          <w:szCs w:val="20"/>
        </w:rPr>
      </w:pPr>
      <w:r>
        <w:rPr>
          <w:rFonts w:cs="Arial"/>
          <w:szCs w:val="20"/>
        </w:rPr>
        <w:t>»(1)</w:t>
      </w:r>
      <w:r>
        <w:rPr>
          <w:rFonts w:cs="Arial"/>
          <w:szCs w:val="20"/>
        </w:rPr>
        <w:tab/>
        <w:t>Upravljavec naprave mora pred začetkom obratovanja naprave ali njenega dela od ministrstva pridobiti dovoljenje za izpuščanje toplogrednih plinov.</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(2)</w:t>
      </w:r>
      <w:r>
        <w:rPr>
          <w:rFonts w:cs="Arial"/>
          <w:szCs w:val="20"/>
        </w:rPr>
        <w:tab/>
        <w:t>Upravljavec naprave mora za pridobitev dovoljenja za izpuščanje toplogrednih plinov pri ministrstvu vložiti vlogo, ki vsebuje:</w:t>
      </w:r>
    </w:p>
    <w:p w:rsidR="00077835" w:rsidRDefault="00077835" w:rsidP="00077835">
      <w:pPr>
        <w:spacing w:line="240" w:lineRule="auto"/>
        <w:jc w:val="both"/>
        <w:rPr>
          <w:rFonts w:cs="Arial"/>
          <w:szCs w:val="20"/>
        </w:rPr>
      </w:pPr>
      <w:r>
        <w:rPr>
          <w:rFonts w:cs="Arial"/>
          <w:szCs w:val="20"/>
        </w:rPr>
        <w:t>1.</w:t>
      </w:r>
      <w:r>
        <w:rPr>
          <w:rFonts w:cs="Arial"/>
          <w:szCs w:val="20"/>
        </w:rPr>
        <w:tab/>
        <w:t>opis naprave in dejavnosti, ki v njej poteka, vključno z uporabljeno tehnologijo, ter podatek o nazivni vhodni toplotni moči oziroma proizvodni zmogljivosti naprave;</w:t>
      </w:r>
    </w:p>
    <w:p w:rsidR="00077835" w:rsidRDefault="00077835" w:rsidP="00077835">
      <w:pPr>
        <w:spacing w:line="240" w:lineRule="auto"/>
        <w:jc w:val="both"/>
        <w:rPr>
          <w:rFonts w:cs="Arial"/>
          <w:szCs w:val="20"/>
        </w:rPr>
      </w:pPr>
      <w:r>
        <w:rPr>
          <w:rFonts w:cs="Arial"/>
          <w:szCs w:val="20"/>
        </w:rPr>
        <w:t>2.</w:t>
      </w:r>
      <w:r>
        <w:rPr>
          <w:rFonts w:cs="Arial"/>
          <w:szCs w:val="20"/>
        </w:rPr>
        <w:tab/>
        <w:t>opis surovin in drugih snovi, katerih uporaba lahko povzroči emisije toplogrednih plinov;</w:t>
      </w:r>
    </w:p>
    <w:p w:rsidR="00077835" w:rsidRDefault="00077835" w:rsidP="00077835">
      <w:pPr>
        <w:spacing w:line="240" w:lineRule="auto"/>
        <w:jc w:val="both"/>
        <w:rPr>
          <w:rFonts w:cs="Arial"/>
          <w:szCs w:val="20"/>
        </w:rPr>
      </w:pPr>
      <w:r>
        <w:rPr>
          <w:rFonts w:cs="Arial"/>
          <w:szCs w:val="20"/>
        </w:rPr>
        <w:t>3.</w:t>
      </w:r>
      <w:r>
        <w:rPr>
          <w:rFonts w:cs="Arial"/>
          <w:szCs w:val="20"/>
        </w:rPr>
        <w:tab/>
        <w:t>opis virov emisij toplogrednih plinov iz naprave;</w:t>
      </w:r>
    </w:p>
    <w:p w:rsidR="00077835" w:rsidRDefault="00077835" w:rsidP="00077835">
      <w:pPr>
        <w:spacing w:line="240" w:lineRule="auto"/>
        <w:jc w:val="both"/>
        <w:rPr>
          <w:rFonts w:cs="Arial"/>
          <w:szCs w:val="20"/>
        </w:rPr>
      </w:pPr>
      <w:r>
        <w:rPr>
          <w:rFonts w:cs="Arial"/>
          <w:szCs w:val="20"/>
        </w:rPr>
        <w:t>4.</w:t>
      </w:r>
      <w:r>
        <w:rPr>
          <w:rFonts w:cs="Arial"/>
          <w:szCs w:val="20"/>
        </w:rPr>
        <w:tab/>
        <w:t>načrt za spremljanje emisij toplogrednih plinov, pripravljen v skladu s predpisom EU, ki ureja spremljanje emisij toplogrednih plinov in poročanje o njih (v nadaljnjem besedilu: načrt za spremljanje);</w:t>
      </w:r>
    </w:p>
    <w:p w:rsidR="00077835" w:rsidRDefault="00077835" w:rsidP="00077835">
      <w:pPr>
        <w:spacing w:line="240" w:lineRule="auto"/>
        <w:jc w:val="both"/>
        <w:rPr>
          <w:rFonts w:cs="Arial"/>
          <w:szCs w:val="20"/>
        </w:rPr>
      </w:pPr>
      <w:r>
        <w:rPr>
          <w:rFonts w:cs="Arial"/>
          <w:szCs w:val="20"/>
        </w:rPr>
        <w:t>5.</w:t>
      </w:r>
      <w:r>
        <w:rPr>
          <w:rFonts w:cs="Arial"/>
          <w:szCs w:val="20"/>
        </w:rPr>
        <w:tab/>
        <w:t>opis ukrepov iz predpisa EU iz prejšnje točke, načrtovanih za izvajanje načrta za spremljanje in poročanje o emisijah toplogrednih plinov v skladu s 55. členom tega zakona, in</w:t>
      </w:r>
    </w:p>
    <w:p w:rsidR="00077835" w:rsidRDefault="00077835" w:rsidP="00077835">
      <w:pPr>
        <w:spacing w:line="240" w:lineRule="auto"/>
        <w:jc w:val="both"/>
        <w:rPr>
          <w:rFonts w:cs="Arial"/>
          <w:szCs w:val="20"/>
        </w:rPr>
      </w:pPr>
      <w:r>
        <w:rPr>
          <w:rFonts w:cs="Arial"/>
          <w:szCs w:val="20"/>
        </w:rPr>
        <w:t>6.</w:t>
      </w:r>
      <w:r>
        <w:rPr>
          <w:rFonts w:cs="Arial"/>
          <w:szCs w:val="20"/>
        </w:rPr>
        <w:tab/>
        <w:t>poljudni povzetek vsebin iz prejšnjih točk tega odstavka.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(3)</w:t>
      </w:r>
      <w:r>
        <w:rPr>
          <w:rFonts w:cs="Arial"/>
          <w:szCs w:val="20"/>
        </w:rPr>
        <w:tab/>
        <w:t xml:space="preserve"> Ministrstvo izda dovoljenje za izpuščanje toplogrednih plinov za napravo, s katerim se dovoli izpuščanje toplogrednih plinov iz celotne naprave ali njenega dela, če na podlagi načrta za spremljanje ugotovi, da je upravljavec naprave sposoben spremljati emisije toplogrednih plinov in poročati o njih v skladu s tem zakonom.</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(4)</w:t>
      </w:r>
      <w:r>
        <w:rPr>
          <w:rFonts w:cs="Arial"/>
          <w:szCs w:val="20"/>
        </w:rPr>
        <w:tab/>
        <w:t>Dovoljenje iz prejšnjega odstavka se lahko izda za eno ali več naprav ali njihovih delov, če so te na isti lokaciji in jih upravlja isti upravljavec naprave.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(5)</w:t>
      </w:r>
      <w:r>
        <w:rPr>
          <w:rFonts w:cs="Arial"/>
          <w:szCs w:val="20"/>
        </w:rPr>
        <w:tab/>
        <w:t>Dovoljenje za izpuščanje toplogrednih plinov vsebuje:</w:t>
      </w:r>
    </w:p>
    <w:p w:rsidR="00077835" w:rsidRDefault="00077835" w:rsidP="00077835">
      <w:pPr>
        <w:spacing w:line="240" w:lineRule="auto"/>
        <w:jc w:val="both"/>
        <w:rPr>
          <w:rFonts w:cs="Arial"/>
          <w:szCs w:val="20"/>
        </w:rPr>
      </w:pPr>
      <w:r>
        <w:rPr>
          <w:rFonts w:cs="Arial"/>
          <w:szCs w:val="20"/>
        </w:rPr>
        <w:t>1.</w:t>
      </w:r>
      <w:r>
        <w:rPr>
          <w:rFonts w:cs="Arial"/>
          <w:szCs w:val="20"/>
        </w:rPr>
        <w:tab/>
        <w:t>firmo in sedež upravljavca naprave ter lokacijo naprave,</w:t>
      </w:r>
    </w:p>
    <w:p w:rsidR="00077835" w:rsidRDefault="00077835" w:rsidP="00077835">
      <w:pPr>
        <w:spacing w:line="240" w:lineRule="auto"/>
        <w:jc w:val="both"/>
        <w:rPr>
          <w:rFonts w:cs="Arial"/>
          <w:szCs w:val="20"/>
        </w:rPr>
      </w:pPr>
      <w:r>
        <w:rPr>
          <w:rFonts w:cs="Arial"/>
          <w:szCs w:val="20"/>
        </w:rPr>
        <w:t>2.</w:t>
      </w:r>
      <w:r>
        <w:rPr>
          <w:rFonts w:cs="Arial"/>
          <w:szCs w:val="20"/>
        </w:rPr>
        <w:tab/>
        <w:t>nazivno vhodno toplotno moč oziroma zmogljivost naprave,</w:t>
      </w:r>
    </w:p>
    <w:p w:rsidR="00077835" w:rsidRDefault="00077835" w:rsidP="00077835">
      <w:pPr>
        <w:spacing w:line="240" w:lineRule="auto"/>
        <w:jc w:val="both"/>
        <w:rPr>
          <w:rFonts w:cs="Arial"/>
          <w:szCs w:val="20"/>
        </w:rPr>
      </w:pPr>
      <w:r>
        <w:rPr>
          <w:rFonts w:cs="Arial"/>
          <w:szCs w:val="20"/>
        </w:rPr>
        <w:t>3.</w:t>
      </w:r>
      <w:r>
        <w:rPr>
          <w:rFonts w:cs="Arial"/>
          <w:szCs w:val="20"/>
        </w:rPr>
        <w:tab/>
        <w:t>opis dejavnosti in emisij toplogrednih plinov iz naprave,</w:t>
      </w:r>
    </w:p>
    <w:p w:rsidR="00077835" w:rsidRDefault="00077835" w:rsidP="00077835">
      <w:pPr>
        <w:spacing w:line="240" w:lineRule="auto"/>
        <w:jc w:val="both"/>
        <w:rPr>
          <w:rFonts w:cs="Arial"/>
          <w:szCs w:val="20"/>
        </w:rPr>
      </w:pPr>
      <w:r>
        <w:rPr>
          <w:rFonts w:cs="Arial"/>
          <w:szCs w:val="20"/>
        </w:rPr>
        <w:lastRenderedPageBreak/>
        <w:t>4.</w:t>
      </w:r>
      <w:r>
        <w:rPr>
          <w:rFonts w:cs="Arial"/>
          <w:szCs w:val="20"/>
        </w:rPr>
        <w:tab/>
        <w:t>načrt za spremljanje,</w:t>
      </w:r>
    </w:p>
    <w:p w:rsidR="00077835" w:rsidRDefault="00077835" w:rsidP="00077835">
      <w:pPr>
        <w:spacing w:line="240" w:lineRule="auto"/>
        <w:jc w:val="both"/>
        <w:rPr>
          <w:rFonts w:cs="Arial"/>
          <w:szCs w:val="20"/>
        </w:rPr>
      </w:pPr>
      <w:r>
        <w:rPr>
          <w:rFonts w:cs="Arial"/>
          <w:szCs w:val="20"/>
        </w:rPr>
        <w:t>5.</w:t>
      </w:r>
      <w:r>
        <w:rPr>
          <w:rFonts w:cs="Arial"/>
          <w:szCs w:val="20"/>
        </w:rPr>
        <w:tab/>
        <w:t>zahteve, povezane s poročanjem o emisijah toplogrednih plinov v skladu s 55. členom tega zakona, in</w:t>
      </w:r>
    </w:p>
    <w:p w:rsidR="00077835" w:rsidRDefault="00077835" w:rsidP="00077835">
      <w:pPr>
        <w:spacing w:line="240" w:lineRule="auto"/>
        <w:jc w:val="both"/>
        <w:rPr>
          <w:rFonts w:cs="Arial"/>
          <w:szCs w:val="20"/>
        </w:rPr>
      </w:pPr>
      <w:r>
        <w:rPr>
          <w:rFonts w:cs="Arial"/>
          <w:szCs w:val="20"/>
        </w:rPr>
        <w:t>6.</w:t>
      </w:r>
      <w:r>
        <w:rPr>
          <w:rFonts w:cs="Arial"/>
          <w:szCs w:val="20"/>
        </w:rPr>
        <w:tab/>
        <w:t xml:space="preserve">obveznost predaje emisijskih kuponov, ki ustrezajo skupnim emisijam toplogrednih plinov v vsakem koledarskem letu, preverjenim v skladu s predpisom EU, ki ureja preverjanje podatkov in akreditacijo </w:t>
      </w:r>
      <w:proofErr w:type="spellStart"/>
      <w:r>
        <w:rPr>
          <w:rFonts w:cs="Arial"/>
          <w:szCs w:val="20"/>
        </w:rPr>
        <w:t>preveriteljev</w:t>
      </w:r>
      <w:proofErr w:type="spellEnd"/>
      <w:r>
        <w:rPr>
          <w:rFonts w:cs="Arial"/>
          <w:szCs w:val="20"/>
        </w:rPr>
        <w:t xml:space="preserve">, v roku iz prvega odstavka 57. člena tega zakona.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(6)</w:t>
      </w:r>
      <w:r>
        <w:rPr>
          <w:rFonts w:cs="Arial"/>
          <w:szCs w:val="20"/>
        </w:rPr>
        <w:tab/>
        <w:t>Minister določi obliko in način oddaje vloge iz drugega odstavka tega člena.«.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Obrazložitev amandmaja:</w:t>
      </w:r>
      <w:r>
        <w:rPr>
          <w:rFonts w:cs="Arial"/>
          <w:szCs w:val="20"/>
        </w:rPr>
        <w:t xml:space="preserve"> Amandma je pripravljen kot odziv na mnenje Zakonodajno-pravne službe. Drugi odstavek 32. člena  se dopolni z vsebino vloge, ki mora biti urejena na ravni zakona. Tretji odstavek se preoblikuje tako, da je jasno, da ministrstvo o sposobnosti upravljavca, da  spremlja emisije toplogrednih plinov in o njih poroča, presodi na osnovi predloženega načrta za spremljanje, ki vsebuje zahteve, ki so povezane s sposobnostjo spremljanja in poročanja. Iz tega izhaja, da odločitev o tem, kaj pomeni ‘sposobnost,’ ni arbitrarne narave. Spremembi v petem odstavku sta </w:t>
      </w:r>
      <w:proofErr w:type="spellStart"/>
      <w:r>
        <w:rPr>
          <w:rFonts w:cs="Arial"/>
          <w:szCs w:val="20"/>
        </w:rPr>
        <w:t>nomotehnične</w:t>
      </w:r>
      <w:proofErr w:type="spellEnd"/>
      <w:r>
        <w:rPr>
          <w:rFonts w:cs="Arial"/>
          <w:szCs w:val="20"/>
        </w:rPr>
        <w:t xml:space="preserve"> narave, sprememba v šestem pa je posledica ostalih sprememb v okviru tega člena.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szCs w:val="20"/>
          <w:u w:val="single"/>
        </w:rPr>
      </w:pPr>
      <w:r>
        <w:rPr>
          <w:rFonts w:cs="Arial"/>
          <w:b/>
          <w:szCs w:val="20"/>
          <w:u w:val="single"/>
        </w:rPr>
        <w:t>K 33. členu</w:t>
      </w:r>
    </w:p>
    <w:p w:rsidR="00077835" w:rsidRDefault="00077835" w:rsidP="00077835">
      <w:pPr>
        <w:spacing w:line="240" w:lineRule="auto"/>
        <w:jc w:val="both"/>
        <w:rPr>
          <w:rFonts w:cs="Arial"/>
          <w:szCs w:val="20"/>
        </w:rPr>
      </w:pPr>
      <w:r>
        <w:rPr>
          <w:rFonts w:cs="Arial"/>
          <w:szCs w:val="20"/>
        </w:rPr>
        <w:t xml:space="preserve">V 33. členu se drugi odstavek spremeni tako, da se glasi: </w:t>
      </w:r>
    </w:p>
    <w:p w:rsidR="00077835" w:rsidRDefault="00077835" w:rsidP="00077835">
      <w:pPr>
        <w:spacing w:line="240" w:lineRule="auto"/>
        <w:jc w:val="both"/>
        <w:rPr>
          <w:rFonts w:cs="Arial"/>
          <w:szCs w:val="20"/>
        </w:rPr>
      </w:pPr>
      <w:r>
        <w:rPr>
          <w:rFonts w:cs="Arial"/>
          <w:szCs w:val="20"/>
        </w:rPr>
        <w:t>»(2) Če ministrstvo na podlagi prijave iz prejšnjega odstavka ugotovi, da nameravana sprememba vpliva na vsebino dovoljenja za izpuščanje toplogrednih plinov iz prejšnjega člena, o tem v 30 dneh od prijave pisno obvesti upravljavca naprave in ga pozove, naj v primernem roku vloži vlogo za spremembo dovoljenja za izpuščanje toplogrednih plinov, ki vsebuje opis spremembe. Če upravljavec naprave v tem roku vloge ne vloži, se šteje, da je od nameravane spremembe odstopil.«.</w:t>
      </w:r>
    </w:p>
    <w:p w:rsidR="00077835" w:rsidRDefault="00077835" w:rsidP="00077835">
      <w:pPr>
        <w:spacing w:line="240" w:lineRule="auto"/>
        <w:jc w:val="both"/>
        <w:rPr>
          <w:rFonts w:cs="Arial"/>
          <w:szCs w:val="20"/>
        </w:rPr>
      </w:pPr>
      <w:r>
        <w:rPr>
          <w:rFonts w:cs="Arial"/>
          <w:szCs w:val="20"/>
        </w:rPr>
        <w:t xml:space="preserve">Peti odstavek se spremeni tako, da se glasi: </w:t>
      </w:r>
    </w:p>
    <w:p w:rsidR="00077835" w:rsidRDefault="00077835" w:rsidP="00077835">
      <w:pPr>
        <w:spacing w:line="240" w:lineRule="auto"/>
        <w:jc w:val="both"/>
        <w:rPr>
          <w:rFonts w:cs="Arial"/>
          <w:szCs w:val="20"/>
        </w:rPr>
      </w:pPr>
      <w:r>
        <w:rPr>
          <w:rFonts w:cs="Arial"/>
          <w:szCs w:val="20"/>
        </w:rPr>
        <w:t>»(5) Minister določi obliko in način oddaje vloge iz drugega odstavka tega člena.«.</w:t>
      </w:r>
    </w:p>
    <w:p w:rsidR="00077835" w:rsidRDefault="00077835" w:rsidP="00077835">
      <w:pPr>
        <w:spacing w:line="240" w:lineRule="auto"/>
        <w:jc w:val="both"/>
        <w:rPr>
          <w:rFonts w:cs="Arial"/>
          <w:szCs w:val="20"/>
        </w:rPr>
      </w:pPr>
      <w:r>
        <w:rPr>
          <w:rFonts w:cs="Arial"/>
          <w:b/>
          <w:szCs w:val="20"/>
        </w:rPr>
        <w:t>Obrazložitev amandmaja:</w:t>
      </w:r>
    </w:p>
    <w:p w:rsidR="00077835" w:rsidRDefault="00077835" w:rsidP="00077835">
      <w:pPr>
        <w:spacing w:line="240" w:lineRule="auto"/>
        <w:jc w:val="both"/>
        <w:rPr>
          <w:rFonts w:cs="Arial"/>
          <w:szCs w:val="20"/>
        </w:rPr>
      </w:pPr>
      <w:r>
        <w:rPr>
          <w:rFonts w:cs="Arial"/>
          <w:szCs w:val="20"/>
        </w:rPr>
        <w:t xml:space="preserve">Amandma je pripravljen kot odziv na mnenje Zakonodajno-pravne službe. Drugi odstavek 32. člena se spremeni tako, da se upošteva </w:t>
      </w:r>
      <w:proofErr w:type="spellStart"/>
      <w:r>
        <w:rPr>
          <w:rFonts w:cs="Arial"/>
          <w:szCs w:val="20"/>
        </w:rPr>
        <w:t>nomotehnični</w:t>
      </w:r>
      <w:proofErr w:type="spellEnd"/>
      <w:r>
        <w:rPr>
          <w:rFonts w:cs="Arial"/>
          <w:szCs w:val="20"/>
        </w:rPr>
        <w:t xml:space="preserve"> popravek (primeren’ namesto ‘določen’ rok) ter navede, kaj vsebuje vloga za spremembo dovoljenja za izpuščanje toplogrednih plinov, katere vsebina mora biti urejena na zakonski ravni. Spremembe v šestem odstavku so posledica spremembe v drugem odstavku. </w:t>
      </w:r>
    </w:p>
    <w:p w:rsidR="00077835" w:rsidRDefault="00077835" w:rsidP="00077835">
      <w:pPr>
        <w:spacing w:line="240" w:lineRule="auto"/>
        <w:jc w:val="both"/>
        <w:rPr>
          <w:rFonts w:cs="Arial"/>
          <w:b/>
          <w:szCs w:val="20"/>
          <w:u w:val="single"/>
        </w:rPr>
      </w:pPr>
    </w:p>
    <w:p w:rsidR="00077835" w:rsidRDefault="00077835" w:rsidP="00077835">
      <w:pPr>
        <w:spacing w:line="240" w:lineRule="auto"/>
        <w:jc w:val="both"/>
        <w:rPr>
          <w:rFonts w:cs="Arial"/>
          <w:b/>
          <w:szCs w:val="20"/>
          <w:u w:val="single"/>
        </w:rPr>
      </w:pPr>
      <w:r>
        <w:rPr>
          <w:rFonts w:cs="Arial"/>
          <w:b/>
          <w:szCs w:val="20"/>
          <w:u w:val="single"/>
        </w:rPr>
        <w:t>K 34. členu:</w:t>
      </w:r>
    </w:p>
    <w:p w:rsidR="00077835" w:rsidRDefault="00077835" w:rsidP="00077835">
      <w:pPr>
        <w:spacing w:line="240" w:lineRule="auto"/>
        <w:jc w:val="both"/>
        <w:rPr>
          <w:rFonts w:cs="Arial"/>
          <w:szCs w:val="20"/>
        </w:rPr>
      </w:pPr>
      <w:r>
        <w:rPr>
          <w:rFonts w:cs="Arial"/>
          <w:szCs w:val="20"/>
        </w:rPr>
        <w:t>Besedilo 34. člena se spremeni tako, da se glasi:</w:t>
      </w:r>
    </w:p>
    <w:p w:rsidR="00077835" w:rsidRDefault="00077835" w:rsidP="00077835">
      <w:pPr>
        <w:spacing w:line="240" w:lineRule="auto"/>
        <w:jc w:val="both"/>
        <w:rPr>
          <w:rFonts w:cs="Arial"/>
          <w:szCs w:val="20"/>
        </w:rPr>
      </w:pPr>
      <w:r>
        <w:rPr>
          <w:rFonts w:cs="Arial"/>
          <w:szCs w:val="20"/>
        </w:rPr>
        <w:t>»(1)</w:t>
      </w:r>
      <w:r>
        <w:rPr>
          <w:rFonts w:cs="Arial"/>
          <w:szCs w:val="20"/>
        </w:rPr>
        <w:tab/>
        <w:t>Upravljavec naprave vlogi iz prvega odstavka 37. člena tega zakona ali tretjega odstavka 41. člena tega zakona priloži načrt metodologije spremljanja, pripravljen v skladu s predpisom EU, ki določa prehodna pravila za usklajeno brezplačno dodelitev pravic do emisije na ravni Unije.</w:t>
      </w:r>
    </w:p>
    <w:p w:rsidR="00077835" w:rsidRDefault="00077835" w:rsidP="00077835">
      <w:pPr>
        <w:spacing w:line="240" w:lineRule="auto"/>
        <w:jc w:val="both"/>
        <w:rPr>
          <w:rFonts w:cs="Arial"/>
          <w:szCs w:val="20"/>
        </w:rPr>
      </w:pPr>
      <w:r>
        <w:rPr>
          <w:rFonts w:cs="Arial"/>
          <w:szCs w:val="20"/>
        </w:rPr>
        <w:t>(2)</w:t>
      </w:r>
      <w:r>
        <w:rPr>
          <w:rFonts w:cs="Arial"/>
          <w:szCs w:val="20"/>
        </w:rPr>
        <w:tab/>
        <w:t>Ministrstvo v šestih mesecih od prejema popolne vloge iz prvega odstavka 37. člena tega zakona potrdi načrt metodologije spremljanja.</w:t>
      </w:r>
    </w:p>
    <w:p w:rsidR="00077835" w:rsidRDefault="00077835" w:rsidP="00077835">
      <w:pPr>
        <w:spacing w:line="240" w:lineRule="auto"/>
        <w:jc w:val="both"/>
        <w:rPr>
          <w:rFonts w:cs="Arial"/>
          <w:szCs w:val="20"/>
        </w:rPr>
      </w:pPr>
      <w:r>
        <w:rPr>
          <w:rFonts w:cs="Arial"/>
          <w:szCs w:val="20"/>
        </w:rPr>
        <w:t>(3)</w:t>
      </w:r>
      <w:r>
        <w:rPr>
          <w:rFonts w:cs="Arial"/>
          <w:szCs w:val="20"/>
        </w:rPr>
        <w:tab/>
        <w:t xml:space="preserve">Upravljavec naprave mora ministrstvu pisno prijaviti vsako nameravano spremembo načrta metodologije spremljanja, kar dokazuje s potrdilom o oddani pošiljki. </w:t>
      </w:r>
    </w:p>
    <w:p w:rsidR="00077835" w:rsidRDefault="00077835" w:rsidP="00077835">
      <w:pPr>
        <w:spacing w:line="240" w:lineRule="auto"/>
        <w:jc w:val="both"/>
        <w:rPr>
          <w:rFonts w:cs="Arial"/>
          <w:szCs w:val="20"/>
        </w:rPr>
      </w:pPr>
      <w:r>
        <w:rPr>
          <w:rFonts w:cs="Arial"/>
          <w:szCs w:val="20"/>
        </w:rPr>
        <w:t>(4)</w:t>
      </w:r>
      <w:r>
        <w:rPr>
          <w:rFonts w:cs="Arial"/>
          <w:szCs w:val="20"/>
        </w:rPr>
        <w:tab/>
        <w:t>Če ministrstvo na podlagi prijave iz prejšnjega odstavka ugotovi, da nameravana sprememba vpliva na vsebino načrta metodologije spremljanja, o tem v 30 dneh od prijave pisno obvesti upravljavca naprave in ga pozove, naj v primernem roku vloži vlogo za spremembo načrta metodologije spremljanja. Če upravljavec naprave v tem roku vloge ne vloži, se šteje, da je od nameravane spremembe odstopil.</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(5)</w:t>
      </w:r>
      <w:r>
        <w:rPr>
          <w:rFonts w:cs="Arial"/>
          <w:szCs w:val="20"/>
        </w:rPr>
        <w:tab/>
        <w:t>Če upravljavec naprave v 30 dneh od prijave ne prejme obvestila iz prejšnjega odstavka, se šteje, da nameravana sprememba ne vpliva na vsebino načrta metodologije spremljanja, upravljavec naprave pa lahko nameravano spremembo izvede.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(6)</w:t>
      </w:r>
      <w:r>
        <w:rPr>
          <w:rFonts w:cs="Arial"/>
          <w:szCs w:val="20"/>
        </w:rPr>
        <w:tab/>
        <w:t>Ministrstvo odloči o spremembi načrta metodologije spremljanja v treh mesecih od prejema popolne vloge iz četrtega odstavka tega člena.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(7)</w:t>
      </w:r>
      <w:r>
        <w:rPr>
          <w:rFonts w:cs="Arial"/>
          <w:szCs w:val="20"/>
        </w:rPr>
        <w:tab/>
        <w:t>Ob spremembi dovoljenja za izpuščanje toplogrednih plinov zaradi spremembe upravljavca naprave v skladu s četrtim odstavkom prejšnjega člena ministrstvo po uradni dolžnosti v tem delu spremeni tudi odločbo iz drugega odstavka tega člena.</w:t>
      </w:r>
    </w:p>
    <w:p w:rsidR="00077835" w:rsidRDefault="00077835" w:rsidP="00077835">
      <w:pPr>
        <w:spacing w:line="240" w:lineRule="auto"/>
        <w:jc w:val="both"/>
        <w:rPr>
          <w:rFonts w:cs="Arial"/>
          <w:szCs w:val="20"/>
        </w:rPr>
      </w:pPr>
      <w:r>
        <w:rPr>
          <w:rFonts w:cs="Arial"/>
          <w:szCs w:val="20"/>
        </w:rPr>
        <w:lastRenderedPageBreak/>
        <w:t>(8)</w:t>
      </w:r>
      <w:r>
        <w:rPr>
          <w:rFonts w:cs="Arial"/>
          <w:szCs w:val="20"/>
        </w:rPr>
        <w:tab/>
        <w:t>Minister določi obliko in način oddaje vloge iz četrtega odstavka tega člena ter način njene oddaje.«.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w:t>
      </w:r>
      <w:r>
        <w:rPr>
          <w:rFonts w:cs="Arial"/>
          <w:b/>
          <w:bCs/>
          <w:szCs w:val="20"/>
        </w:rPr>
        <w:t xml:space="preserve"> amandmaja</w:t>
      </w:r>
      <w:r>
        <w:rPr>
          <w:rFonts w:cs="Arial"/>
          <w:b/>
          <w:szCs w:val="20"/>
        </w:rPr>
        <w:t>:</w:t>
      </w:r>
    </w:p>
    <w:p w:rsidR="00077835" w:rsidRDefault="00077835" w:rsidP="00077835">
      <w:pPr>
        <w:spacing w:line="240" w:lineRule="auto"/>
        <w:jc w:val="both"/>
        <w:rPr>
          <w:rFonts w:cs="Arial"/>
          <w:szCs w:val="20"/>
        </w:rPr>
      </w:pPr>
      <w:r>
        <w:rPr>
          <w:rFonts w:cs="Arial"/>
          <w:szCs w:val="20"/>
        </w:rPr>
        <w:t xml:space="preserve">Amandma je pripravljen kot odziv na mnenje Zakonodajno-pravne službe. Ker je vsebina vloge za oddajo načrta metodologije spremljanja že določena s predpisom EU, ki določa prehodna pravila za usklajeno brezplačno dodelitev pravic do emisije na ravni Unije, je ne določi minister, kar se uredi v osmem odstavku tega člena. V prvem odstavku se doda sklic, medtem ko so ostali popravki v okviru tega člena </w:t>
      </w:r>
      <w:proofErr w:type="spellStart"/>
      <w:r>
        <w:rPr>
          <w:rFonts w:cs="Arial"/>
          <w:szCs w:val="20"/>
        </w:rPr>
        <w:t>nomotehnične</w:t>
      </w:r>
      <w:proofErr w:type="spellEnd"/>
      <w:r>
        <w:rPr>
          <w:rFonts w:cs="Arial"/>
          <w:szCs w:val="20"/>
        </w:rPr>
        <w:t xml:space="preserve"> narave. </w:t>
      </w:r>
    </w:p>
    <w:p w:rsidR="00077835" w:rsidRDefault="00077835" w:rsidP="00077835">
      <w:pPr>
        <w:tabs>
          <w:tab w:val="left" w:pos="3463"/>
        </w:tabs>
        <w:spacing w:line="240" w:lineRule="auto"/>
        <w:jc w:val="both"/>
        <w:rPr>
          <w:rFonts w:cs="Arial"/>
          <w:szCs w:val="20"/>
        </w:rPr>
      </w:pPr>
    </w:p>
    <w:p w:rsidR="00077835" w:rsidRDefault="00077835" w:rsidP="00077835">
      <w:pPr>
        <w:tabs>
          <w:tab w:val="left" w:pos="3463"/>
        </w:tabs>
        <w:spacing w:line="240" w:lineRule="auto"/>
        <w:jc w:val="both"/>
        <w:rPr>
          <w:rFonts w:cs="Arial"/>
          <w:b/>
          <w:bCs/>
          <w:szCs w:val="20"/>
          <w:u w:val="single"/>
        </w:rPr>
      </w:pPr>
      <w:r>
        <w:rPr>
          <w:rFonts w:cs="Arial"/>
          <w:b/>
          <w:szCs w:val="20"/>
          <w:u w:val="single"/>
        </w:rPr>
        <w:t xml:space="preserve">K 35. členu: </w:t>
      </w:r>
    </w:p>
    <w:p w:rsidR="00077835" w:rsidRDefault="00077835" w:rsidP="00077835">
      <w:pPr>
        <w:tabs>
          <w:tab w:val="left" w:pos="3463"/>
        </w:tabs>
        <w:spacing w:line="240" w:lineRule="auto"/>
        <w:jc w:val="both"/>
        <w:rPr>
          <w:rFonts w:eastAsia="Arial" w:cs="Arial"/>
          <w:szCs w:val="20"/>
        </w:rPr>
      </w:pPr>
      <w:r>
        <w:rPr>
          <w:rFonts w:eastAsia="Arial" w:cs="Arial"/>
          <w:szCs w:val="20"/>
        </w:rPr>
        <w:t>V 35. členu se v desetem odstavku beseda »niti« nadomesti z besedo »tudi«.</w:t>
      </w:r>
    </w:p>
    <w:p w:rsidR="00077835" w:rsidRDefault="00077835" w:rsidP="00077835">
      <w:pPr>
        <w:tabs>
          <w:tab w:val="left" w:pos="3463"/>
        </w:tabs>
        <w:spacing w:line="240" w:lineRule="auto"/>
        <w:jc w:val="both"/>
        <w:rPr>
          <w:rFonts w:eastAsia="Arial" w:cs="Arial"/>
          <w:szCs w:val="20"/>
        </w:rPr>
      </w:pPr>
      <w:r>
        <w:rPr>
          <w:rFonts w:eastAsia="Arial" w:cs="Arial"/>
          <w:szCs w:val="20"/>
        </w:rPr>
        <w:t xml:space="preserve">Četrti odstavek se spremeni tako, da se glasi: </w:t>
      </w:r>
    </w:p>
    <w:p w:rsidR="00077835" w:rsidRDefault="00077835" w:rsidP="00077835">
      <w:pPr>
        <w:tabs>
          <w:tab w:val="left" w:pos="3463"/>
        </w:tabs>
        <w:spacing w:line="240" w:lineRule="auto"/>
        <w:jc w:val="both"/>
        <w:rPr>
          <w:rFonts w:eastAsia="Arial" w:cs="Arial"/>
          <w:szCs w:val="20"/>
        </w:rPr>
      </w:pPr>
      <w:r>
        <w:rPr>
          <w:rFonts w:eastAsia="Arial" w:cs="Arial"/>
          <w:szCs w:val="20"/>
        </w:rPr>
        <w:t>»(4) Ne glede na prvi in tretji odstavek tega člena upravljavec naprave iz sektorjev in delov sektorjev, ki so vključeni v Uredbo 2023/956/EU, ni upravičen do brezplačne dodelitve emisijskih kuponov.«</w:t>
      </w:r>
    </w:p>
    <w:p w:rsidR="00077835" w:rsidRDefault="00077835" w:rsidP="00077835">
      <w:pPr>
        <w:tabs>
          <w:tab w:val="left" w:pos="3463"/>
        </w:tabs>
        <w:spacing w:line="240" w:lineRule="auto"/>
        <w:jc w:val="both"/>
        <w:rPr>
          <w:rFonts w:eastAsia="Arial" w:cs="Arial"/>
          <w:szCs w:val="20"/>
        </w:rPr>
      </w:pPr>
      <w:r>
        <w:rPr>
          <w:rFonts w:eastAsia="Arial" w:cs="Arial"/>
          <w:b/>
          <w:szCs w:val="20"/>
        </w:rPr>
        <w:t>Obrazložitev amandmaja:</w:t>
      </w:r>
    </w:p>
    <w:p w:rsidR="00077835" w:rsidRDefault="00077835" w:rsidP="00077835">
      <w:pPr>
        <w:tabs>
          <w:tab w:val="left" w:pos="3463"/>
        </w:tabs>
        <w:spacing w:line="240" w:lineRule="auto"/>
        <w:jc w:val="both"/>
        <w:rPr>
          <w:rFonts w:eastAsia="Arial" w:cs="Arial"/>
          <w:szCs w:val="20"/>
        </w:rPr>
      </w:pPr>
      <w:r>
        <w:rPr>
          <w:rFonts w:eastAsia="Arial" w:cs="Arial"/>
          <w:szCs w:val="20"/>
        </w:rPr>
        <w:t xml:space="preserve">Amandma je pripravljen kot odziv na mnenje Zakonodajno-pravno službe, tako da se beseda »niti« nadomesti z besedo »tudi«, saj gre za dodatne primere ne dodelitve emisijskih kuponov. Za ureditev razmerja med prvim odstavkom in nadaljnjimi odstavki se spremeni tudi sklic v četrtem odstavku tega člena. </w:t>
      </w:r>
    </w:p>
    <w:p w:rsidR="00077835" w:rsidRDefault="00077835" w:rsidP="00077835">
      <w:pPr>
        <w:tabs>
          <w:tab w:val="left" w:pos="3463"/>
        </w:tabs>
        <w:spacing w:line="240" w:lineRule="auto"/>
        <w:jc w:val="both"/>
        <w:rPr>
          <w:rFonts w:eastAsiaTheme="minorHAnsi" w:cs="Arial"/>
          <w:szCs w:val="20"/>
        </w:rPr>
      </w:pPr>
    </w:p>
    <w:p w:rsidR="00077835" w:rsidRDefault="00077835" w:rsidP="00077835">
      <w:pPr>
        <w:tabs>
          <w:tab w:val="left" w:pos="3463"/>
        </w:tabs>
        <w:spacing w:line="240" w:lineRule="auto"/>
        <w:jc w:val="both"/>
        <w:rPr>
          <w:rFonts w:eastAsia="Arial" w:cs="Arial"/>
          <w:b/>
          <w:szCs w:val="20"/>
          <w:u w:val="single"/>
        </w:rPr>
      </w:pPr>
      <w:r>
        <w:rPr>
          <w:rFonts w:cs="Arial"/>
          <w:b/>
          <w:szCs w:val="20"/>
          <w:u w:val="single"/>
        </w:rPr>
        <w:t xml:space="preserve">K 36. </w:t>
      </w:r>
      <w:r>
        <w:rPr>
          <w:rFonts w:cs="Arial"/>
          <w:b/>
          <w:bCs/>
          <w:szCs w:val="20"/>
          <w:u w:val="single"/>
        </w:rPr>
        <w:t>členu</w:t>
      </w:r>
    </w:p>
    <w:p w:rsidR="00077835" w:rsidRDefault="00077835" w:rsidP="00077835">
      <w:pPr>
        <w:tabs>
          <w:tab w:val="left" w:pos="3463"/>
        </w:tabs>
        <w:spacing w:line="240" w:lineRule="auto"/>
        <w:jc w:val="both"/>
        <w:rPr>
          <w:rFonts w:cs="Arial"/>
          <w:szCs w:val="20"/>
        </w:rPr>
      </w:pPr>
      <w:r>
        <w:rPr>
          <w:rFonts w:cs="Arial"/>
          <w:szCs w:val="20"/>
        </w:rPr>
        <w:t xml:space="preserve">V 36. členu se prvi odstavek spremeni tako, da se glasi: </w:t>
      </w:r>
    </w:p>
    <w:p w:rsidR="00077835" w:rsidRDefault="00077835" w:rsidP="00077835">
      <w:pPr>
        <w:tabs>
          <w:tab w:val="left" w:pos="3463"/>
        </w:tabs>
        <w:spacing w:line="240" w:lineRule="auto"/>
        <w:jc w:val="both"/>
        <w:rPr>
          <w:rFonts w:eastAsia="Arial" w:cs="Arial"/>
          <w:szCs w:val="20"/>
        </w:rPr>
      </w:pPr>
      <w:r>
        <w:rPr>
          <w:rFonts w:eastAsia="Arial" w:cs="Arial"/>
          <w:szCs w:val="20"/>
        </w:rPr>
        <w:t xml:space="preserve">»(1) </w:t>
      </w:r>
      <w:r>
        <w:rPr>
          <w:rFonts w:cs="Arial"/>
          <w:szCs w:val="20"/>
        </w:rPr>
        <w:t>Načrt za podnebno nevtralnost za vsako od dejavnosti v svoji napravi v skladu s predpisom EU, ki določa vsebino in obliko načrtov za podnebno nevtralnost, mora pripraviti tudi upravljavec druge naprave, ki ima dovoljenje za izpuščanje toplogrednih plinov iz 32. člena tega zakona (v nadaljnjem besedilu: upravljavec druge naprave), in ga v šestih mesecih po pravnomočnosti dovoljenja poslati ministrstvu, kar dokazuje s potrdilom o oddani pošiljki.</w:t>
      </w:r>
      <w:r>
        <w:rPr>
          <w:rFonts w:eastAsia="Arial" w:cs="Arial"/>
          <w:szCs w:val="20"/>
        </w:rPr>
        <w:t>«.</w:t>
      </w:r>
    </w:p>
    <w:p w:rsidR="00077835" w:rsidRDefault="00077835" w:rsidP="00077835">
      <w:pPr>
        <w:tabs>
          <w:tab w:val="left" w:pos="3463"/>
        </w:tabs>
        <w:spacing w:line="240" w:lineRule="auto"/>
        <w:jc w:val="both"/>
        <w:rPr>
          <w:rFonts w:eastAsia="Arial" w:cs="Arial"/>
          <w:szCs w:val="20"/>
        </w:rPr>
      </w:pPr>
    </w:p>
    <w:p w:rsidR="00077835" w:rsidRDefault="00077835" w:rsidP="00077835">
      <w:pPr>
        <w:tabs>
          <w:tab w:val="left" w:pos="3463"/>
        </w:tabs>
        <w:spacing w:line="240" w:lineRule="auto"/>
        <w:jc w:val="both"/>
        <w:rPr>
          <w:rFonts w:eastAsia="Arial" w:cs="Arial"/>
          <w:szCs w:val="20"/>
        </w:rPr>
      </w:pPr>
      <w:r>
        <w:rPr>
          <w:rFonts w:eastAsia="Arial" w:cs="Arial"/>
          <w:b/>
          <w:szCs w:val="20"/>
        </w:rPr>
        <w:t>Obrazložitev amandmaja</w:t>
      </w:r>
      <w:r>
        <w:rPr>
          <w:rFonts w:eastAsia="Arial" w:cs="Arial"/>
          <w:szCs w:val="20"/>
        </w:rPr>
        <w:t>:</w:t>
      </w:r>
    </w:p>
    <w:p w:rsidR="00077835" w:rsidRDefault="00077835" w:rsidP="00077835">
      <w:pPr>
        <w:tabs>
          <w:tab w:val="left" w:pos="3463"/>
        </w:tabs>
        <w:spacing w:line="240" w:lineRule="auto"/>
        <w:jc w:val="both"/>
        <w:rPr>
          <w:rFonts w:eastAsia="Arial" w:cs="Arial"/>
          <w:szCs w:val="20"/>
        </w:rPr>
      </w:pPr>
      <w:r>
        <w:rPr>
          <w:rFonts w:eastAsia="Arial" w:cs="Arial"/>
          <w:szCs w:val="20"/>
        </w:rPr>
        <w:t xml:space="preserve">Amandma je pripravljen kot odziv na mnenje Zakonodajno-pravne službe, saj je uporaba besedne zveze »ne glede na« odveč, ker je iz preostalega besedila razvidno, da gre za obveznost, ki jo morajo izpolniti upravljalci drugih naprav poleg enake obveznosti upravljavcev naprav iz sedmega odstavka 35. člena Predloga zakona.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p>
    <w:p w:rsidR="00077835" w:rsidRDefault="00077835" w:rsidP="00077835">
      <w:pPr>
        <w:spacing w:line="240" w:lineRule="auto"/>
        <w:jc w:val="both"/>
        <w:textAlignment w:val="baseline"/>
        <w:rPr>
          <w:rFonts w:cs="Arial"/>
          <w:szCs w:val="20"/>
          <w:u w:val="single"/>
          <w:lang w:eastAsia="sl-SI"/>
        </w:rPr>
      </w:pPr>
      <w:r>
        <w:rPr>
          <w:rFonts w:cs="Arial"/>
          <w:b/>
          <w:bCs/>
          <w:szCs w:val="20"/>
          <w:u w:val="single"/>
          <w:lang w:eastAsia="sl-SI"/>
        </w:rPr>
        <w:t>K 37. členu:</w:t>
      </w:r>
      <w:r>
        <w:rPr>
          <w:rFonts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V 37. členu se deseti odstavek spremeni tako, da se glasi:  </w:t>
      </w:r>
    </w:p>
    <w:p w:rsidR="00077835" w:rsidRDefault="00077835" w:rsidP="00077835">
      <w:pPr>
        <w:spacing w:line="240" w:lineRule="auto"/>
        <w:jc w:val="both"/>
        <w:textAlignment w:val="baseline"/>
        <w:rPr>
          <w:rFonts w:cs="Arial"/>
          <w:szCs w:val="20"/>
          <w:lang w:eastAsia="sl-SI"/>
        </w:rPr>
      </w:pPr>
      <w:r>
        <w:rPr>
          <w:rFonts w:cs="Arial"/>
          <w:szCs w:val="20"/>
          <w:lang w:eastAsia="sl-SI"/>
        </w:rPr>
        <w:t>»(10) Ob spremembi dovoljenja za izpuščanje toplogrednih plinov zaradi spremembe firme, sedeža ali organizacijske oblike upravljavca naprave ali upravljavca male naprave v skladu s četrtim odstavkom 33. člena tega zakona ministrstvo po uradni dolžnosti v tem delu spremeni tudi odločbo iz prejšnjega odstavka.«.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szCs w:val="20"/>
          <w:lang w:eastAsia="sl-SI"/>
        </w:rPr>
        <w:t>Obrazložitev amandmaja</w:t>
      </w:r>
      <w:r>
        <w:rPr>
          <w:rFonts w:cs="Arial"/>
          <w:szCs w:val="20"/>
          <w:lang w:eastAsia="sl-SI"/>
        </w:rPr>
        <w:t>: Amandma je pripravljen kot odziv na mnenje Zakonodajno-pravne službe. V skladu z desetim odstavkom ministrstvo po uradni dolžnosti spremeni odločbo o dodelitvi brezplačne količine emisijskih kuponov, kadar se dovoljenje za izpuščanje toplogrednih plinov spremeni zaradi spremembe upravljavca naprave ali upravljavca male naprave. Sprememba upravljavca se v teh primerih nanaša na spremembo organizacijske oblike obstoječega upravljavca naprave ali na spremembo njegovega naziva kot pravne osebe. Gre torej za spremembo prvega odstavka izreka dovoljenja.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S 43. členom predloga zakona pa je urejen normativni okvir za primer, ko novi upravljavec s pravnim poslom pridobi napravo ali njen del na ozemlju Republike Slovenije, za katero je bilo izdano: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numPr>
          <w:ilvl w:val="0"/>
          <w:numId w:val="8"/>
        </w:numPr>
        <w:spacing w:line="240" w:lineRule="auto"/>
        <w:ind w:left="1080" w:firstLine="0"/>
        <w:jc w:val="both"/>
        <w:textAlignment w:val="baseline"/>
        <w:rPr>
          <w:rFonts w:cs="Arial"/>
          <w:szCs w:val="20"/>
          <w:lang w:eastAsia="sl-SI"/>
        </w:rPr>
      </w:pPr>
      <w:r>
        <w:rPr>
          <w:rFonts w:cs="Arial"/>
          <w:szCs w:val="20"/>
          <w:lang w:eastAsia="sl-SI"/>
        </w:rPr>
        <w:t>dovoljenje za izpuščanje toplogrednih plinov iz 32. člena predloga zakona ali </w:t>
      </w:r>
    </w:p>
    <w:p w:rsidR="00077835" w:rsidRDefault="00077835" w:rsidP="00077835">
      <w:pPr>
        <w:numPr>
          <w:ilvl w:val="0"/>
          <w:numId w:val="9"/>
        </w:numPr>
        <w:spacing w:line="240" w:lineRule="auto"/>
        <w:ind w:left="1080" w:firstLine="0"/>
        <w:jc w:val="both"/>
        <w:textAlignment w:val="baseline"/>
        <w:rPr>
          <w:rFonts w:cs="Arial"/>
          <w:szCs w:val="20"/>
          <w:lang w:eastAsia="sl-SI"/>
        </w:rPr>
      </w:pPr>
      <w:r>
        <w:rPr>
          <w:rFonts w:cs="Arial"/>
          <w:szCs w:val="20"/>
          <w:lang w:eastAsia="sl-SI"/>
        </w:rPr>
        <w:t>dovoljenje za izpuščanje toplogrednih plinov za malo napravo iz četrtega odstavka 38. člena predloga zakona in </w:t>
      </w:r>
    </w:p>
    <w:p w:rsidR="00077835" w:rsidRDefault="00077835" w:rsidP="00077835">
      <w:pPr>
        <w:numPr>
          <w:ilvl w:val="0"/>
          <w:numId w:val="10"/>
        </w:numPr>
        <w:spacing w:line="240" w:lineRule="auto"/>
        <w:ind w:left="1080" w:firstLine="0"/>
        <w:jc w:val="both"/>
        <w:textAlignment w:val="baseline"/>
        <w:rPr>
          <w:rFonts w:cs="Arial"/>
          <w:szCs w:val="20"/>
          <w:lang w:eastAsia="sl-SI"/>
        </w:rPr>
      </w:pPr>
      <w:r>
        <w:rPr>
          <w:rFonts w:cs="Arial"/>
          <w:szCs w:val="20"/>
          <w:lang w:eastAsia="sl-SI"/>
        </w:rPr>
        <w:lastRenderedPageBreak/>
        <w:t>odločba o brezplačni dodelitvi emisijskih kuponov iz devetega odstavka 37. člena predloga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V takšnem primeru se prodajalec in novi upravljavec naprave pisno dogovorita o brezplačni dodelitvi preostanka emisijskih kuponov. Na podlagi tega dogovora se izdata novo dovoljenje in nova odločba o brezplačni dodelitvi preostanka emisijskih kuponov. </w:t>
      </w:r>
    </w:p>
    <w:p w:rsidR="00077835" w:rsidRDefault="00077835" w:rsidP="00077835">
      <w:pPr>
        <w:spacing w:line="240" w:lineRule="auto"/>
        <w:jc w:val="both"/>
        <w:rPr>
          <w:rFonts w:eastAsiaTheme="minorHAnsi" w:cs="Arial"/>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 xml:space="preserve">K 39. členu: </w:t>
      </w:r>
    </w:p>
    <w:p w:rsidR="00077835" w:rsidRDefault="00077835" w:rsidP="00077835">
      <w:pPr>
        <w:spacing w:line="240" w:lineRule="auto"/>
        <w:jc w:val="both"/>
        <w:rPr>
          <w:rFonts w:cs="Arial"/>
          <w:szCs w:val="20"/>
        </w:rPr>
      </w:pPr>
      <w:r>
        <w:rPr>
          <w:rFonts w:cs="Arial"/>
          <w:szCs w:val="20"/>
        </w:rPr>
        <w:t xml:space="preserve">Besedilo 39. člena se spremeni tako, da se glasi: </w:t>
      </w:r>
    </w:p>
    <w:p w:rsidR="00077835" w:rsidRDefault="00077835" w:rsidP="00077835">
      <w:pPr>
        <w:spacing w:line="240" w:lineRule="auto"/>
        <w:jc w:val="both"/>
        <w:rPr>
          <w:rFonts w:cs="Arial"/>
          <w:szCs w:val="20"/>
        </w:rPr>
      </w:pPr>
      <w:r>
        <w:rPr>
          <w:rFonts w:cs="Arial"/>
          <w:szCs w:val="20"/>
        </w:rPr>
        <w:t>»(1)</w:t>
      </w:r>
      <w:r>
        <w:rPr>
          <w:rFonts w:cs="Arial"/>
          <w:szCs w:val="20"/>
        </w:rPr>
        <w:tab/>
        <w:t>Vlada lahko na podlagi predhodne odobritve Komisije v sistem trgovanja za upravljavce naprav vključi tudi druge dejavnosti in toplogredne pline, ki niso navedeni v Prilogi I Direktive 2003/87/ES, pri čemer upošteva zlasti:</w:t>
      </w:r>
    </w:p>
    <w:p w:rsidR="00077835" w:rsidRDefault="00077835" w:rsidP="00077835">
      <w:pPr>
        <w:spacing w:line="240" w:lineRule="auto"/>
        <w:jc w:val="both"/>
        <w:rPr>
          <w:rFonts w:cs="Arial"/>
          <w:szCs w:val="20"/>
        </w:rPr>
      </w:pPr>
      <w:r>
        <w:rPr>
          <w:rFonts w:cs="Arial"/>
          <w:szCs w:val="20"/>
        </w:rPr>
        <w:t>1.</w:t>
      </w:r>
      <w:r>
        <w:rPr>
          <w:rFonts w:cs="Arial"/>
          <w:szCs w:val="20"/>
        </w:rPr>
        <w:tab/>
        <w:t>učinke na notranji trg EU,</w:t>
      </w:r>
    </w:p>
    <w:p w:rsidR="00077835" w:rsidRDefault="00077835" w:rsidP="00077835">
      <w:pPr>
        <w:spacing w:line="240" w:lineRule="auto"/>
        <w:jc w:val="both"/>
        <w:rPr>
          <w:rFonts w:cs="Arial"/>
          <w:szCs w:val="20"/>
        </w:rPr>
      </w:pPr>
      <w:r>
        <w:rPr>
          <w:rFonts w:cs="Arial"/>
          <w:szCs w:val="20"/>
        </w:rPr>
        <w:t>2.</w:t>
      </w:r>
      <w:r>
        <w:rPr>
          <w:rFonts w:cs="Arial"/>
          <w:szCs w:val="20"/>
        </w:rPr>
        <w:tab/>
        <w:t>morebitno izkrivljanje konkurence,</w:t>
      </w:r>
    </w:p>
    <w:p w:rsidR="00077835" w:rsidRDefault="00077835" w:rsidP="00077835">
      <w:pPr>
        <w:spacing w:line="240" w:lineRule="auto"/>
        <w:jc w:val="both"/>
        <w:rPr>
          <w:rFonts w:cs="Arial"/>
          <w:szCs w:val="20"/>
        </w:rPr>
      </w:pPr>
      <w:r>
        <w:rPr>
          <w:rFonts w:cs="Arial"/>
          <w:szCs w:val="20"/>
        </w:rPr>
        <w:t>3.</w:t>
      </w:r>
      <w:r>
        <w:rPr>
          <w:rFonts w:cs="Arial"/>
          <w:szCs w:val="20"/>
        </w:rPr>
        <w:tab/>
      </w:r>
      <w:proofErr w:type="spellStart"/>
      <w:r>
        <w:rPr>
          <w:rFonts w:cs="Arial"/>
          <w:szCs w:val="20"/>
        </w:rPr>
        <w:t>okoljsko</w:t>
      </w:r>
      <w:proofErr w:type="spellEnd"/>
      <w:r>
        <w:rPr>
          <w:rFonts w:cs="Arial"/>
          <w:szCs w:val="20"/>
        </w:rPr>
        <w:t xml:space="preserve"> celovitost sistema trgovanja ter</w:t>
      </w:r>
    </w:p>
    <w:p w:rsidR="00077835" w:rsidRDefault="00077835" w:rsidP="00077835">
      <w:pPr>
        <w:spacing w:line="240" w:lineRule="auto"/>
        <w:jc w:val="both"/>
        <w:rPr>
          <w:rFonts w:cs="Arial"/>
          <w:szCs w:val="20"/>
        </w:rPr>
      </w:pPr>
      <w:r>
        <w:rPr>
          <w:rFonts w:cs="Arial"/>
          <w:szCs w:val="20"/>
        </w:rPr>
        <w:t>4.</w:t>
      </w:r>
      <w:r>
        <w:rPr>
          <w:rFonts w:cs="Arial"/>
          <w:szCs w:val="20"/>
        </w:rPr>
        <w:tab/>
        <w:t>zanesljivost načrtovanega spremljanja in poročanja o emisijah toplogrednih plinov.</w:t>
      </w:r>
    </w:p>
    <w:p w:rsidR="00077835" w:rsidRDefault="00077835" w:rsidP="00077835">
      <w:pPr>
        <w:spacing w:line="240" w:lineRule="auto"/>
        <w:jc w:val="both"/>
        <w:rPr>
          <w:rFonts w:cs="Arial"/>
          <w:szCs w:val="20"/>
        </w:rPr>
      </w:pPr>
      <w:r>
        <w:rPr>
          <w:rFonts w:cs="Arial"/>
          <w:szCs w:val="20"/>
        </w:rPr>
        <w:t>(2)</w:t>
      </w:r>
      <w:r>
        <w:rPr>
          <w:rFonts w:cs="Arial"/>
          <w:szCs w:val="20"/>
        </w:rPr>
        <w:tab/>
        <w:t xml:space="preserve">Upravljavec naprave, ki izvaja dejavnost iz predpisa iz prejšnjega odstavka, lahko pri ministrstvu vloži vlogo za pridobitev dovoljenja za izpuščanje toplogrednih plinov v skladu z drugim odstavkom 32. člena tega zakona. </w:t>
      </w:r>
    </w:p>
    <w:p w:rsidR="00077835" w:rsidRDefault="00077835" w:rsidP="00077835">
      <w:pPr>
        <w:spacing w:line="240" w:lineRule="auto"/>
        <w:jc w:val="both"/>
        <w:rPr>
          <w:rFonts w:cs="Arial"/>
          <w:szCs w:val="20"/>
        </w:rPr>
      </w:pPr>
      <w:r>
        <w:rPr>
          <w:rFonts w:cs="Arial"/>
          <w:szCs w:val="20"/>
        </w:rPr>
        <w:t>(3)</w:t>
      </w:r>
      <w:r>
        <w:rPr>
          <w:rFonts w:cs="Arial"/>
          <w:szCs w:val="20"/>
        </w:rPr>
        <w:tab/>
        <w:t>Ministrstvo upravljavcu naprave iz prejšnjega odstavka izda dovoljenje v skladu s tretjim odstavkom 32. člena tega zakona.</w:t>
      </w:r>
    </w:p>
    <w:p w:rsidR="00077835" w:rsidRDefault="00077835" w:rsidP="00077835">
      <w:pPr>
        <w:spacing w:line="240" w:lineRule="auto"/>
        <w:jc w:val="both"/>
        <w:rPr>
          <w:rFonts w:cs="Arial"/>
          <w:szCs w:val="20"/>
        </w:rPr>
      </w:pPr>
      <w:r>
        <w:rPr>
          <w:rFonts w:cs="Arial"/>
          <w:szCs w:val="20"/>
        </w:rPr>
        <w:t>(4)</w:t>
      </w:r>
      <w:r>
        <w:rPr>
          <w:rFonts w:cs="Arial"/>
          <w:szCs w:val="20"/>
        </w:rPr>
        <w:tab/>
        <w:t>Če upravljavec naprave iz prejšnjega odstavka spremeni svoje proizvodne procese, da bi zmanjšal emisije toplogrednih plinov na svoji napravi, in ne izpolnjuje več pogojev, določenih v predpisu iz prvega odstavka tega člena, lahko ostane vključen v sistem trgovanja do konca tekočega in naslednjega obdobja iz prvega odstavka 37. člena tega zakona, o čemer v skladu s 33. členom tega zakona obvesti ministrstvo.«.</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 amandmaja:</w:t>
      </w:r>
    </w:p>
    <w:p w:rsidR="00077835" w:rsidRDefault="00077835" w:rsidP="00077835">
      <w:pPr>
        <w:spacing w:line="240" w:lineRule="auto"/>
        <w:jc w:val="both"/>
        <w:rPr>
          <w:rFonts w:cs="Arial"/>
          <w:szCs w:val="20"/>
        </w:rPr>
      </w:pPr>
      <w:r>
        <w:rPr>
          <w:rFonts w:cs="Arial"/>
          <w:szCs w:val="20"/>
        </w:rPr>
        <w:t>Amandma je pripravljen kot odziv na mnenje Zakonodajno-pravne službe na</w:t>
      </w:r>
      <w:r>
        <w:rPr>
          <w:rFonts w:eastAsia="Arial" w:cs="Arial"/>
          <w:szCs w:val="20"/>
        </w:rPr>
        <w:t xml:space="preserve"> </w:t>
      </w:r>
      <w:r>
        <w:rPr>
          <w:rFonts w:cs="Arial"/>
          <w:szCs w:val="20"/>
        </w:rPr>
        <w:t>način, da se prvi</w:t>
      </w:r>
      <w:r>
        <w:rPr>
          <w:rFonts w:eastAsia="Arial" w:cs="Arial"/>
          <w:szCs w:val="20"/>
        </w:rPr>
        <w:t xml:space="preserve"> in drugi odstavek združita, saj že iz prvega odstavka izhaja, da je vključitev drugih dejavnosti in toplogrednih plinov v sistem trgovanja mogoča le na podlagi predhodne odobritve Komisije. </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textAlignment w:val="baseline"/>
        <w:rPr>
          <w:rFonts w:eastAsia="Yu Gothic Light" w:cs="Arial"/>
          <w:szCs w:val="20"/>
          <w:u w:val="single"/>
          <w:lang w:eastAsia="sl-SI"/>
        </w:rPr>
      </w:pPr>
      <w:r>
        <w:rPr>
          <w:rFonts w:eastAsia="Yu Gothic Light" w:cs="Arial"/>
          <w:b/>
          <w:bCs/>
          <w:szCs w:val="20"/>
          <w:u w:val="single"/>
          <w:lang w:eastAsia="sl-SI"/>
        </w:rPr>
        <w:t>K 44. členu: </w:t>
      </w:r>
      <w:r>
        <w:rPr>
          <w:rFonts w:eastAsia="Yu Gothic Light" w:cs="Arial"/>
          <w:szCs w:val="20"/>
          <w:u w:val="single"/>
          <w:lang w:eastAsia="sl-SI"/>
        </w:rPr>
        <w:t> </w:t>
      </w:r>
    </w:p>
    <w:p w:rsidR="00077835" w:rsidRDefault="00077835" w:rsidP="00077835">
      <w:pPr>
        <w:spacing w:line="240" w:lineRule="auto"/>
        <w:jc w:val="both"/>
        <w:textAlignment w:val="baseline"/>
        <w:rPr>
          <w:rFonts w:cs="Arial"/>
          <w:szCs w:val="20"/>
          <w:u w:val="single"/>
          <w:lang w:eastAsia="sl-SI"/>
        </w:rPr>
      </w:pP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44. člen se spremeni tako, da se glasi: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»44. člen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(odobritev načrta za spremljanje za operatorja zrakoplova)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(1) Operator zrakoplova, ki mu je operativno licenco odobrila Republika Slovenija, in operator zrakoplova, ki je v skladu s predpisom EU, ki določa seznam operatorjev zrakoplovov, pripisan Republiki Sloveniji kot državi članici EU upravljavki (v nadaljnjem besedilu: seznam operatorjev zrakoplovov), mora v 30 dneh od pridobitve licence oziroma objave seznama operatorjev zrakoplovov ministrstvu poslati podatke o predvideni letni količini in vrsti goriva, ki ga bo uporabljal za izvajanje letalske dejavnosti, določene v Prilogi I k Direktivi 2003/87/ES, kar izkazuje s potrdilom o oddani pošiljki. </w:t>
      </w:r>
    </w:p>
    <w:p w:rsidR="00077835" w:rsidRDefault="00077835" w:rsidP="00077835">
      <w:pPr>
        <w:spacing w:line="240" w:lineRule="auto"/>
        <w:jc w:val="both"/>
        <w:textAlignment w:val="baseline"/>
        <w:rPr>
          <w:rFonts w:cs="Arial"/>
          <w:szCs w:val="20"/>
          <w:lang w:eastAsia="sl-SI"/>
        </w:rPr>
      </w:pPr>
      <w:r>
        <w:rPr>
          <w:rFonts w:eastAsia="Yu Gothic Light" w:cs="Arial"/>
          <w:color w:val="FF0000"/>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(2) Če ministrstvo na podlagi podatkov iz prejšnjega odstavka ugotovi, da bo operator zrakoplova opravljal letalsko dejavnost, določeno v Prilogi I k Direktivi 2003/87/ES, ga v 21 dneh od pridobitve podatkov pozove, da predloži v odobritev načrt za spremljanje. </w:t>
      </w:r>
    </w:p>
    <w:p w:rsidR="00077835" w:rsidRDefault="00077835" w:rsidP="00077835">
      <w:pPr>
        <w:spacing w:line="240" w:lineRule="auto"/>
        <w:jc w:val="both"/>
        <w:textAlignment w:val="baseline"/>
        <w:rPr>
          <w:rFonts w:cs="Arial"/>
          <w:szCs w:val="20"/>
          <w:lang w:eastAsia="sl-SI"/>
        </w:rPr>
      </w:pPr>
      <w:r>
        <w:rPr>
          <w:rFonts w:eastAsia="Yu Gothic Light" w:cs="Arial"/>
          <w:color w:val="FF0000"/>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(3) Operator zrakoplova mora pri ministrstvu v 21 dneh od poziva iz prejšnjega odstavka vložiti vlogo, ki poleg podatkov o vlagatelju vsebuje načrt za spremljanje, pripravljen v skladu s predpisom EU, ki ureja spremljanje emisij toplogrednih plinov in poročanje o njih, kar izkazuje s potrdilom o oddani pošiljki.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(4) Če ministrstvo na podlagi podatkov iz prvega odstavka tega člena ugotovi, da oseba iz prvega odstavka tega člena ne opravlja letalske dejavnosti, določene v Prilogi I k Direktivi 2003/87/ES, mu o tem po uradni dolžnosti izda odločbo.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lastRenderedPageBreak/>
        <w:t>(5) Ministrstvo operatorju zrakoplova v treh mesecih od prejema popolne vloge iz tretjega odstavka tega člena izda odločbo o odobritvi načrta za spremljanje, ki vsebuje tudi zahteve za izvajanje načrta za spremljanje in poročanje o emisijah toplogrednih plinov v skladu s 55. členom tega zakona, ter obveznost predaje emisijskih kuponov v skladu s prvim odstavkom 57. člena tega zakona.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000000"/>
          <w:szCs w:val="20"/>
          <w:lang w:eastAsia="sl-SI"/>
        </w:rPr>
        <w:t>(6) Minister določi obliko vloge iz drugega odstavka tega člena in način njene oddaje.</w:t>
      </w:r>
      <w:r>
        <w:rPr>
          <w:rFonts w:eastAsia="Yu Gothic Light" w:cs="Arial"/>
          <w:szCs w:val="20"/>
          <w:lang w:eastAsia="sl-SI"/>
        </w:rPr>
        <w:t>«</w:t>
      </w:r>
      <w:r>
        <w:rPr>
          <w:rFonts w:eastAsia="Yu Gothic Light"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color w:val="2B579A"/>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b/>
          <w:bCs/>
          <w:szCs w:val="20"/>
          <w:lang w:eastAsia="sl-SI"/>
        </w:rPr>
        <w:t>Obrazložitev amandmaja: </w:t>
      </w: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Amandma je pripravljen kot odziv na mnenje Zakonodajno-pravne službe. Prilagojen je naslov, s čimer so upoštevane različne stopnje znotraj upravnega postopka odobritve načrta za spremljanje za operatorja zrakoplova (npr. tudi pošiljanje podatkov o količini in vrsti goriva je del tega procesa). Skladno s pripombo, da je potrebno podrobneje določiti, kaj pomeni »določena letalska dejavnost«, je ta podrobneje opredeljena v prvem, drugem in četrtem odstavku 44. člena Predloga zakona. V tretjem odstavku je jasneje opredeljeno, kaj je vsebina vloge za odobritev načrta za spremljanje – poleg samega načrta za spremljanje – vsebuje tudi podatke o vlagatelju. Iz tega izhaja tudi, kdaj je vloga popolna. V četrtem odstavku 44. člena je podrobneje opredeljeno, na kateri osnovi ministrstvo operatorja zrakoplova ne pozove k vložitvi vloge za odobritev načrta za spremljanje. Četrti odstavek je prav tako dopolnjen tako, da ministrstvo izda odločbo tudi v primeru, ko ugotovi, da operator zrakoplova ne bo opravljal dejavnosti iz Priloge I k Direktivi 2003/87/ES. Takšna ureditev je potrebna zaradi zagotavljanja varstva njegovih pravic. V petem odstavku 44. člena je popravljen doslej napačen sklic in jasneje opredeljeno, kakšne zahteve vsebuje odločba o potrditvi načrta za spremljanje.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rPr>
          <w:rFonts w:cs="Arial"/>
          <w:b/>
          <w:szCs w:val="20"/>
          <w:u w:val="single"/>
        </w:rPr>
      </w:pPr>
    </w:p>
    <w:p w:rsidR="00077835" w:rsidRDefault="00077835" w:rsidP="00077835">
      <w:pPr>
        <w:spacing w:line="240" w:lineRule="auto"/>
        <w:jc w:val="both"/>
        <w:rPr>
          <w:rFonts w:cs="Arial"/>
          <w:b/>
          <w:szCs w:val="20"/>
          <w:u w:val="single"/>
        </w:rPr>
      </w:pPr>
      <w:r>
        <w:rPr>
          <w:rFonts w:cs="Arial"/>
          <w:b/>
          <w:szCs w:val="20"/>
          <w:u w:val="single"/>
        </w:rPr>
        <w:t xml:space="preserve">K 46. členu: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 xml:space="preserve">V tretjem odstavku 46. člena se črta besedilo </w:t>
      </w:r>
      <w:r>
        <w:rPr>
          <w:rFonts w:eastAsia="Arial" w:cs="Arial"/>
          <w:noProof/>
          <w:szCs w:val="20"/>
        </w:rPr>
        <w:t>»</w:t>
      </w:r>
      <w:r>
        <w:rPr>
          <w:rFonts w:cs="Arial"/>
          <w:szCs w:val="20"/>
        </w:rPr>
        <w:t>do 31. januarja 2025 za emisije v obdobju 2021-2023 in</w:t>
      </w:r>
      <w:r>
        <w:rPr>
          <w:rFonts w:eastAsia="Arial" w:cs="Arial"/>
          <w:noProof/>
          <w:szCs w:val="20"/>
        </w:rPr>
        <w:t>«</w:t>
      </w:r>
      <w:r>
        <w:rPr>
          <w:rFonts w:cs="Arial"/>
          <w:szCs w:val="20"/>
        </w:rPr>
        <w: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Obrazložitev amandmaja:</w:t>
      </w:r>
      <w:r>
        <w:rPr>
          <w:rFonts w:cs="Arial"/>
          <w:szCs w:val="20"/>
        </w:rPr>
        <w:t xml:space="preserve"> Amandma je pripravljen kot odziv na mnenje Zakonodajno-pravne službe, tako da se črta besedilo, ki vsebuje retroaktivne določbe, ki so sicer že pravno konzumirane. </w:t>
      </w:r>
    </w:p>
    <w:p w:rsidR="00077835" w:rsidRDefault="00077835" w:rsidP="00077835">
      <w:pPr>
        <w:tabs>
          <w:tab w:val="left" w:pos="3463"/>
        </w:tabs>
        <w:spacing w:line="240" w:lineRule="auto"/>
        <w:jc w:val="both"/>
        <w:rPr>
          <w:rFonts w:eastAsia="Arial" w:cs="Arial"/>
          <w:kern w:val="2"/>
          <w:szCs w:val="20"/>
          <w14:ligatures w14:val="standardContextual"/>
        </w:rPr>
      </w:pP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color w:val="000000"/>
          <w:szCs w:val="20"/>
          <w:u w:val="single"/>
          <w:lang w:eastAsia="sl-SI"/>
        </w:rPr>
        <w:t>K 48. členu</w:t>
      </w:r>
      <w:r>
        <w:rPr>
          <w:rFonts w:eastAsia="Yu Gothic Light" w:cs="Arial"/>
          <w:color w:val="000000"/>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Besedilo 48. člena se spremeni tako, da se glasi: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»(1) Ladjarska družba, ki je registrirana v Republiki Sloveniji ali je na seznamu ladjarskih družb, mora za vsako od svojih ladij ministrstvu predložiti vlogo za odobritev načrta za spremljanje, pripravljenega v skladu s predpisom EU, ki ureja spremljanje emisij ogljikovega dioksida iz pomorskega prevoza, poročanje o njih in njihovo preverjanje, kar izkazuje s potrdilom o oddani pošiljki. </w:t>
      </w:r>
    </w:p>
    <w:p w:rsidR="00077835" w:rsidRDefault="00077835" w:rsidP="00077835">
      <w:pPr>
        <w:spacing w:line="240" w:lineRule="auto"/>
        <w:jc w:val="both"/>
        <w:textAlignment w:val="baseline"/>
        <w:rPr>
          <w:rFonts w:cs="Arial"/>
          <w:szCs w:val="20"/>
          <w:lang w:eastAsia="sl-SI"/>
        </w:rPr>
      </w:pPr>
      <w:r>
        <w:rPr>
          <w:rFonts w:cs="Arial"/>
          <w:szCs w:val="20"/>
          <w:lang w:eastAsia="sl-SI"/>
        </w:rPr>
        <w:br/>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(2) Vloga iz prejšnjega odstavka vsebuje podatke o upravljavcu ladje, ladji, kontaktni osebi ladjarske družbe, njenem zakonitem zastopniku in pooblastilo za izpolnjevanje obveznosti iz sistema trgovanja. Načrt za spremljanje pa ministrstvo pridobi prek spletne platforme za spremljanje, poročanje in preverjanje emisij toplogrednih plinov THETIS MRV (v nadaljnjem besedilu: THETIS MRV). </w:t>
      </w:r>
    </w:p>
    <w:p w:rsidR="00077835" w:rsidRDefault="00077835" w:rsidP="00077835">
      <w:pPr>
        <w:spacing w:line="240" w:lineRule="auto"/>
        <w:jc w:val="both"/>
        <w:textAlignment w:val="baseline"/>
        <w:rPr>
          <w:rFonts w:cs="Arial"/>
          <w:szCs w:val="20"/>
          <w:lang w:eastAsia="sl-SI"/>
        </w:rPr>
      </w:pPr>
      <w:r>
        <w:rPr>
          <w:rFonts w:cs="Arial"/>
          <w:szCs w:val="20"/>
          <w:lang w:eastAsia="sl-SI"/>
        </w:rPr>
        <w:br/>
      </w:r>
      <w:r>
        <w:rPr>
          <w:rFonts w:eastAsia="Yu Gothic Light" w:cs="Arial"/>
          <w:szCs w:val="20"/>
          <w:lang w:eastAsia="sl-SI"/>
        </w:rPr>
        <w:t>(3) Ministrstvo v treh mesecih od prejema popolne vloge iz prvega odstavka tega člena izda odločbo o odobritvi načrta za spremljanje v skladu s predpisom EU iz prvega odstavka tega člena. Odločba vsebuje tudi zahteve, ki se nanašajo na izvajanje načrta za spremljanje in poročanje o emisijah toplogrednih plinov in njihovo preverjanje v skladu z navedenim predpisom ter predajo emisijskih kuponov v registru Unije v skladu s tem zakonom.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xml:space="preserve">(4) Ne glede na prvi odstavek tega člena mora ladjarska družba ministrstvu predložiti vlogo za odobritev načrta za spremljanje v skladu s prvim in drugim odstavkom tega člena za vsako ladjo, </w:t>
      </w:r>
      <w:r>
        <w:rPr>
          <w:rFonts w:eastAsia="Yu Gothic Light" w:cs="Arial"/>
          <w:szCs w:val="20"/>
          <w:lang w:eastAsia="sl-SI"/>
        </w:rPr>
        <w:lastRenderedPageBreak/>
        <w:t>ki je v času od 1. januarja 2024 prvič v njenem ladjevju in opravlja dejavnost pomorskega prometa iz Priloge I k Direktivi 2003/87/ES.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(5) Ministrstvo v štirih mesecih po prvem postanku ladje iz prejšnjega odstavka na podlagi vloge iz prejšnjega odstavka izda odločbo v skladu s tretjim odstavkom tega člena.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(6) Minister določi podrobnejšo vsebino, obliko in način oddaje vloge iz prvega odstavka tega člena.«.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b/>
          <w:bCs/>
          <w:szCs w:val="20"/>
          <w:lang w:eastAsia="sl-SI"/>
        </w:rPr>
        <w:t>Obrazložitev amandmaja:</w:t>
      </w: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Amandma je pripravljen kot odziv na mnenje Zakonodajno-pravne službe. V drugem odstavku so predpisane osnovne sestavine vloge, ki jo bo minister podrobneje določil v predpisu na podlagi pooblastila iz šestega odstavka tega člena. Sprememba besedila četrtega odstavka je povezana s spremembo drugega odstavka. Dodan je nov šesti odstavek, ki daje pooblastilo ministru, da določi podrobnejšo vsebino, obliko in način oddaje vloge iz prvega odstavka tega člena.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szCs w:val="20"/>
          <w:u w:val="single"/>
          <w:lang w:eastAsia="sl-SI"/>
        </w:rPr>
        <w:t>K 51. členu:</w:t>
      </w:r>
      <w:r>
        <w:rPr>
          <w:rFonts w:eastAsia="Yu Gothic Light"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51. člen se spremeni tako, da se glasi:  </w:t>
      </w:r>
    </w:p>
    <w:p w:rsidR="00077835" w:rsidRDefault="00077835" w:rsidP="00077835">
      <w:pPr>
        <w:spacing w:line="240" w:lineRule="auto"/>
        <w:ind w:left="345" w:hanging="345"/>
        <w:jc w:val="both"/>
        <w:textAlignment w:val="baseline"/>
        <w:rPr>
          <w:rFonts w:eastAsia="Yu Gothic Light" w:cs="Arial"/>
          <w:color w:val="000000"/>
          <w:szCs w:val="20"/>
          <w:lang w:eastAsia="sl-SI"/>
        </w:rPr>
      </w:pPr>
      <w:r>
        <w:rPr>
          <w:rFonts w:eastAsia="Yu Gothic Light" w:cs="Arial"/>
          <w:szCs w:val="20"/>
          <w:lang w:eastAsia="sl-SI"/>
        </w:rPr>
        <w:t>»</w:t>
      </w:r>
      <w:r>
        <w:rPr>
          <w:rFonts w:eastAsia="Yu Gothic Light" w:cs="Arial"/>
          <w:color w:val="000000"/>
          <w:szCs w:val="20"/>
          <w:lang w:eastAsia="sl-SI"/>
        </w:rPr>
        <w:t>51. člen  </w:t>
      </w:r>
      <w:r>
        <w:rPr>
          <w:rFonts w:cs="Arial"/>
          <w:color w:val="000000"/>
          <w:szCs w:val="20"/>
          <w:lang w:eastAsia="sl-SI"/>
        </w:rPr>
        <w:br/>
      </w:r>
      <w:r>
        <w:rPr>
          <w:rFonts w:eastAsia="Yu Gothic Light" w:cs="Arial"/>
          <w:color w:val="000000"/>
          <w:szCs w:val="20"/>
          <w:lang w:eastAsia="sl-SI"/>
        </w:rPr>
        <w:t>(dovoljenje za izpuščanje toplogrednih plinov za regulirani subjekt in sprememba dovoljenja) </w:t>
      </w:r>
    </w:p>
    <w:p w:rsidR="00077835" w:rsidRDefault="00077835" w:rsidP="00077835">
      <w:pPr>
        <w:spacing w:line="240" w:lineRule="auto"/>
        <w:ind w:left="345" w:hanging="345"/>
        <w:jc w:val="both"/>
        <w:textAlignment w:val="baseline"/>
        <w:rPr>
          <w:rFonts w:cs="Arial"/>
          <w:szCs w:val="20"/>
          <w:lang w:eastAsia="sl-SI"/>
        </w:rPr>
      </w:pP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(1) Regulirani subjekt mora pridobiti dovoljenje za izpuščanje toplogrednih plinov za regulirani subjekt.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(2) Regulirani subjekt za pridobitev dovoljenja za izpuščanje toplogrednih plinov pri ministrstvu najpozneje štiri mesece pred začetkom opravljanja svoje dejavnosti vloži vlogo, ki poleg podatkov o vlagatelju vsebuje: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1. opis reguliranega subjekta, zlasti opis organizacijske strukture v zvezi s sproščanjem goriv v porabo in povezav med dejavnostjo sproščanja goriv v porabo ter poročanjem za davčne namene v skladu s predpisi, ki urejajo trošarine;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2. opis vrste goriv, ki jih regulirani subjekt sprošča v porabo in se uporabljajo za zgorevanje v določenem sektorju, in načinov, kako se ta goriva sproščajo v porabo;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3. opis končne uporabe oziroma končnih uporab goriv, sproščenih v porabo za dejavnost v določenem sektorju;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4. načrt za spremljanje, pripravljen v skladu s predpisom EU, ki ureja spremljanje emisij toplogrednih plinov in poročanje o njih;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5. opis ukrepov iz predpisa EU iz prejšnje točke, načrtovanih za izvajanje načrta za spremljanje in poročanje o emisijah toplogrednih plinov v skladu s 55. členom tega zakona ter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6. poljudni povzetek vsebin iz prejšnjih točk tega odstavka.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 xml:space="preserve">(3) Ministrstvo izda dovoljenje za izpuščanje toplogrednih plinov iz prvega odstavka tega člena v štirih mesecih od prejema popolne vloge iz prejšnjega odstavka, če </w:t>
      </w:r>
      <w:r>
        <w:rPr>
          <w:rFonts w:eastAsia="Yu Gothic Light" w:cs="Arial"/>
          <w:color w:val="000000"/>
          <w:szCs w:val="20"/>
          <w:lang w:eastAsia="sl-SI"/>
        </w:rPr>
        <w:t>na podlagi načrta za spremljanje ugotovi,</w:t>
      </w:r>
      <w:r>
        <w:rPr>
          <w:rFonts w:eastAsia="Yu Gothic Light" w:cs="Arial"/>
          <w:szCs w:val="20"/>
          <w:lang w:eastAsia="sl-SI"/>
        </w:rPr>
        <w:t xml:space="preserve"> da je regulirani subjekt sposoben spremljati emisije toplogrednih plinov, ki ustrezajo količinam goriv, sproščenih v porabo v določenem sektorju, in o njih poročati v skladu s tem zakonom.</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r>
        <w:rPr>
          <w:rFonts w:cs="Arial"/>
          <w:szCs w:val="20"/>
          <w:lang w:eastAsia="sl-SI"/>
        </w:rPr>
        <w:br/>
      </w:r>
      <w:r>
        <w:rPr>
          <w:rFonts w:eastAsia="Yu Gothic Light" w:cs="Arial"/>
          <w:szCs w:val="20"/>
          <w:lang w:eastAsia="sl-SI"/>
        </w:rPr>
        <w:t>(4) Dovoljenje za izpuščanje toplogrednih plinov iz prvega odstavka tega člena vsebuje: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1. naziv in naslov reguliranega subjekta,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2. opis načinov, kako regulirani subjekt sprošča goriva v porabo v določenem sektorju,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3. seznam goriv, ki jih regulirani subjekt sprošča v porabo v določenem sektorju,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4. načrt za spremljanje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5. zahteve za poročanje o emisijah toplogrednih plinov v skladu s 55. členom tega zakona, </w:t>
      </w:r>
    </w:p>
    <w:p w:rsidR="00077835" w:rsidRDefault="00077835" w:rsidP="00077835">
      <w:pPr>
        <w:spacing w:line="240" w:lineRule="auto"/>
        <w:ind w:left="708"/>
        <w:jc w:val="both"/>
        <w:textAlignment w:val="baseline"/>
        <w:rPr>
          <w:rFonts w:cs="Arial"/>
          <w:szCs w:val="20"/>
          <w:lang w:eastAsia="sl-SI"/>
        </w:rPr>
      </w:pPr>
      <w:r>
        <w:rPr>
          <w:rFonts w:eastAsia="Yu Gothic Light" w:cs="Arial"/>
          <w:szCs w:val="20"/>
          <w:lang w:eastAsia="sl-SI"/>
        </w:rPr>
        <w:t xml:space="preserve">6. obveznost predaje emisijskih kuponov, ki ustrezajo skupnim emisijam toplogrednih plinov v vsakem koledarskem letu, preverjenim v skladu s predpisom EU, ki ureja preverjanje podatkov in akreditacijo </w:t>
      </w:r>
      <w:proofErr w:type="spellStart"/>
      <w:r>
        <w:rPr>
          <w:rFonts w:eastAsia="Yu Gothic Light" w:cs="Arial"/>
          <w:szCs w:val="20"/>
          <w:lang w:eastAsia="sl-SI"/>
        </w:rPr>
        <w:t>preveriteljev</w:t>
      </w:r>
      <w:proofErr w:type="spellEnd"/>
      <w:r>
        <w:rPr>
          <w:rFonts w:eastAsia="Yu Gothic Light" w:cs="Arial"/>
          <w:szCs w:val="20"/>
          <w:lang w:eastAsia="sl-SI"/>
        </w:rPr>
        <w:t>, v roku iz 57. člena tega zakona. </w:t>
      </w:r>
    </w:p>
    <w:p w:rsidR="00077835" w:rsidRDefault="00077835" w:rsidP="00077835">
      <w:pPr>
        <w:spacing w:line="240" w:lineRule="auto"/>
        <w:ind w:left="705"/>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lastRenderedPageBreak/>
        <w:t>(5) Regulirani subjekt mora ministrstvu pisno prijaviti vsako nameravano spremembo narave svoje dejavnosti ali goriv, ki jih sprošča v porabo, ter vsako spremembo identitete reguliranega subjekta, kar dokazuje s potrdilom o oddani pošiljki.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(6)  Če ministrstvo na podlagi prijave iz prejšnjega odstavka ugotovi, da nameravana sprememba vpliva na vsebino dovoljenja za izpuščanje toplogrednih plinov za regulirani subjekt, o tem v 30 dneh od prijave pisno obvesti regulirani subjekt in ga pozove, naj v primernem roku vloži vlogo za spremembo dovoljenja, ki vsebuje opis sprememb, ki lahko vplivajo na dovoljenje za izpuščanje toplogrednih plinov za regulirani subjekt. Če regulirani subjekt v tem roku vloge ne vloži, se šteje, da je od nameravane spremembe odstopil.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(7) Če regulirani subjekt v 30 dneh od prijave ne prejme obvestila iz prejšnjega odstavka, se šteje, da nameravana sprememba ne vpliva na vsebino dovoljenja, regulirani subjekt pa lahko nameravano spremembo izvede.</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(8) Ministrstvo odloči o spremembi dovoljenja v treh mesecih od prejema popolne vloge iz šestega odstavka tega člena.</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xml:space="preserve">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(9) Ministrstvo v primeru iz podtočke č) 55. točke prvega odstavka 4. člena tega zakona po uradni dolžnosti določi osebo za regulirani subjekt.</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(10) Minister določi obliko in podrobnejšo vsebino vloge iz drugega in šestega odstavka tega člena ter način njune oddaje in obliko načrta za spremljanje iz 4. točke četrtega odstavka tega člena.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(11) Regulirani subjekt z nizkimi emisijami, kot ga določa predpis EU, ki ureja spremljanje emisij toplogrednih plinov in poročanje o njih, lahko izvaja poenostavljene ukrepe za spremljanje, poročanje in preverjanje emisij toplogrednih plinov v skladu s predpisom EU, ki ureja spremljanje emisij toplogrednih plinov in poročanje o njih.«.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b/>
          <w:bCs/>
          <w:szCs w:val="20"/>
          <w:lang w:eastAsia="sl-SI"/>
        </w:rPr>
        <w:t>Obrazložitev amandmaja:</w:t>
      </w: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Amandma je pripravljen kot odziv na mnenje Zakonodajno-pravne službe. Drugi odstavek je spremenjen tako, da določa sestavine vloge za pridobitev dovoljenja za izpuščanje toplogrednih plinov. V tretjem odstavku je jasneje opredeljeno, na podlagi česa ministrstvo ugotavlja sposobnost spremljanja emisije toplogrednih plinov. Elementi te sposobnosti so vključeni v sam načrt za spremljanje. Šesti odstavek je dopolnjen z vsebino vloge za spremembo dovoljenja, ki mora biti določena na ravni zakona.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Zaradi spremembe v 55. točki 4. člena je bilo potrebno urediti primer iz podtočke č) 55. točke prvega odstavka 4. člena, in sicer da ministrstvo v takšnem primeru po uradni dolžnosti določi osebo za regulirani subjekt. Točka (iv) člena 3(</w:t>
      </w:r>
      <w:proofErr w:type="spellStart"/>
      <w:r>
        <w:rPr>
          <w:rFonts w:eastAsia="Yu Gothic Light" w:cs="Arial"/>
          <w:szCs w:val="20"/>
          <w:lang w:eastAsia="sl-SI"/>
        </w:rPr>
        <w:t>ae</w:t>
      </w:r>
      <w:proofErr w:type="spellEnd"/>
      <w:r>
        <w:rPr>
          <w:rFonts w:eastAsia="Yu Gothic Light" w:cs="Arial"/>
          <w:szCs w:val="20"/>
          <w:lang w:eastAsia="sl-SI"/>
        </w:rPr>
        <w:t>) Direktive 2003/87/ES predvideva možnost, da država članica v primeru solidarne odgovornosti za plačilo trošarine imenuje osebo kot regulirani subjekt. V Zakonu o trošarinah (ZTro-1) je zapisano splošno pravilo solidarnosti, in sicer je v 4. členu zapisano: »Če je za plačilo trošarine zavezanih več oseb, za plačilo trošarine odgovarjajo solidarno.« ter glede skupnega skladiščenja v trošarinskem skladišču v primeru kadar več imetnikov dovoljenj uporablja skupne prostore za skladiščenje, morajo biti izdelki ločeni, a v določenih primerih jih lahko skladiščijo skupaj (če gre za enakovrstne izdelke). V takem primeru so imetniki dovoljenj solidarno odgovorni za plačilo trošarine in druge obveznosti. Imenovana oseba mora biti sposobna izpolnjevati vse obveznosti reguliranega subjekta: to vključuje spremljanje porabe goriva, vodenje evidenc, poročanje, izpolnjevanje zahtev iz dovoljenja za izpuščanje toplogrednih plinov. Če je oseba solidarno odgovorna samo v omejenem upravnem kontekstu (npr. kot pasivni imetnik), morda ni dejanski distributer in ne more učinkovito spremljati porabe goriva. V nekaterih primerih iz Zakonu o trošarinah (ZTro-1) je taka oseba praviloma pogosto določena retroaktivno v postopku nadzora davčnega organa in ne izvaja dejavnosti dajanja goriva v porabo, nima dostopa do podatkov o gorivu ali emisijah tako, da zaradi tega taka oseba ne more izpolnjevati obveznosti iz dovoljenja.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 xml:space="preserve">Sprememba enajstega odstavka je potrebna zaradi jasnejše opredelitve možnosti, da regulirani subjekt z nizki emisijami, kot ga opredeljuje predpis EU, ki ureja spremljanje emisij toplogrednih </w:t>
      </w:r>
      <w:r>
        <w:rPr>
          <w:rFonts w:eastAsia="Yu Gothic Light" w:cs="Arial"/>
          <w:szCs w:val="20"/>
          <w:lang w:eastAsia="sl-SI"/>
        </w:rPr>
        <w:lastRenderedPageBreak/>
        <w:t xml:space="preserve">plinov in poročanje o njih, izvaja poenostavljene ukrepe, ki so prav tako določeni v tem predpisu. Ostali popravki tega člena so </w:t>
      </w:r>
      <w:proofErr w:type="spellStart"/>
      <w:r>
        <w:rPr>
          <w:rFonts w:eastAsia="Yu Gothic Light" w:cs="Arial"/>
          <w:szCs w:val="20"/>
          <w:lang w:eastAsia="sl-SI"/>
        </w:rPr>
        <w:t>nomotehnične</w:t>
      </w:r>
      <w:proofErr w:type="spellEnd"/>
      <w:r>
        <w:rPr>
          <w:rFonts w:eastAsia="Yu Gothic Light" w:cs="Arial"/>
          <w:szCs w:val="20"/>
          <w:lang w:eastAsia="sl-SI"/>
        </w:rPr>
        <w:t xml:space="preserve"> narave.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rPr>
          <w:rFonts w:cs="Arial"/>
          <w:b/>
          <w:szCs w:val="20"/>
          <w:u w:val="single"/>
        </w:rPr>
      </w:pPr>
      <w:r>
        <w:rPr>
          <w:rFonts w:cs="Arial"/>
          <w:b/>
          <w:szCs w:val="20"/>
          <w:u w:val="single"/>
        </w:rPr>
        <w:t>K 52. členu</w:t>
      </w:r>
    </w:p>
    <w:p w:rsidR="00077835" w:rsidRDefault="00077835" w:rsidP="00077835">
      <w:pPr>
        <w:spacing w:line="240" w:lineRule="auto"/>
        <w:jc w:val="both"/>
        <w:rPr>
          <w:rFonts w:cs="Arial"/>
          <w:b/>
          <w:szCs w:val="20"/>
          <w:u w:val="single"/>
        </w:rPr>
      </w:pPr>
    </w:p>
    <w:p w:rsidR="00077835" w:rsidRDefault="00077835" w:rsidP="00077835">
      <w:pPr>
        <w:spacing w:line="240" w:lineRule="auto"/>
        <w:jc w:val="both"/>
        <w:rPr>
          <w:rFonts w:cs="Arial"/>
          <w:szCs w:val="20"/>
        </w:rPr>
      </w:pPr>
      <w:r>
        <w:rPr>
          <w:rFonts w:cs="Arial"/>
          <w:szCs w:val="20"/>
        </w:rPr>
        <w:t>Besedilo 52. člena se spremeni tako, da se glasi:</w:t>
      </w:r>
    </w:p>
    <w:p w:rsidR="00077835" w:rsidRDefault="00077835" w:rsidP="00077835">
      <w:pPr>
        <w:spacing w:line="240" w:lineRule="auto"/>
        <w:jc w:val="both"/>
        <w:rPr>
          <w:rFonts w:cs="Arial"/>
          <w:szCs w:val="20"/>
        </w:rPr>
      </w:pPr>
      <w:r>
        <w:rPr>
          <w:rFonts w:cs="Arial"/>
          <w:szCs w:val="20"/>
        </w:rPr>
        <w:t>»(1)</w:t>
      </w:r>
      <w:r>
        <w:rPr>
          <w:rFonts w:cs="Arial"/>
          <w:szCs w:val="20"/>
        </w:rPr>
        <w:tab/>
        <w:t>Vlada lahko na podlagi odobritve Komisije od leta 2027 v sistem trgovanja za regulirane subjekte vključi tudi sektorje, ki niso navedeni v Prilogi III k Direktivi 2003/87/ES, pri čemer upošteva zlasti:</w:t>
      </w:r>
    </w:p>
    <w:p w:rsidR="00077835" w:rsidRDefault="00077835" w:rsidP="00077835">
      <w:pPr>
        <w:spacing w:line="240" w:lineRule="auto"/>
        <w:jc w:val="both"/>
        <w:rPr>
          <w:rFonts w:cs="Arial"/>
          <w:szCs w:val="20"/>
        </w:rPr>
      </w:pPr>
      <w:r>
        <w:rPr>
          <w:rFonts w:cs="Arial"/>
          <w:szCs w:val="20"/>
        </w:rPr>
        <w:t>1.</w:t>
      </w:r>
      <w:r>
        <w:rPr>
          <w:rFonts w:cs="Arial"/>
          <w:szCs w:val="20"/>
        </w:rPr>
        <w:tab/>
        <w:t>učinke na notranji trg EU,</w:t>
      </w:r>
    </w:p>
    <w:p w:rsidR="00077835" w:rsidRDefault="00077835" w:rsidP="00077835">
      <w:pPr>
        <w:spacing w:line="240" w:lineRule="auto"/>
        <w:jc w:val="both"/>
        <w:rPr>
          <w:rFonts w:cs="Arial"/>
          <w:szCs w:val="20"/>
        </w:rPr>
      </w:pPr>
      <w:r>
        <w:rPr>
          <w:rFonts w:cs="Arial"/>
          <w:szCs w:val="20"/>
        </w:rPr>
        <w:t>2.</w:t>
      </w:r>
      <w:r>
        <w:rPr>
          <w:rFonts w:cs="Arial"/>
          <w:szCs w:val="20"/>
        </w:rPr>
        <w:tab/>
        <w:t>morebitno izkrivljanje konkurence,</w:t>
      </w:r>
    </w:p>
    <w:p w:rsidR="00077835" w:rsidRDefault="00077835" w:rsidP="00077835">
      <w:pPr>
        <w:spacing w:line="240" w:lineRule="auto"/>
        <w:jc w:val="both"/>
        <w:rPr>
          <w:rFonts w:cs="Arial"/>
          <w:szCs w:val="20"/>
        </w:rPr>
      </w:pPr>
      <w:r>
        <w:rPr>
          <w:rFonts w:cs="Arial"/>
          <w:szCs w:val="20"/>
        </w:rPr>
        <w:t>3.</w:t>
      </w:r>
      <w:r>
        <w:rPr>
          <w:rFonts w:cs="Arial"/>
          <w:szCs w:val="20"/>
        </w:rPr>
        <w:tab/>
      </w:r>
      <w:proofErr w:type="spellStart"/>
      <w:r>
        <w:rPr>
          <w:rFonts w:cs="Arial"/>
          <w:szCs w:val="20"/>
        </w:rPr>
        <w:t>okoljsko</w:t>
      </w:r>
      <w:proofErr w:type="spellEnd"/>
      <w:r>
        <w:rPr>
          <w:rFonts w:cs="Arial"/>
          <w:szCs w:val="20"/>
        </w:rPr>
        <w:t xml:space="preserve"> celovitost sistema trgovanja in</w:t>
      </w:r>
    </w:p>
    <w:p w:rsidR="00077835" w:rsidRDefault="00077835" w:rsidP="00077835">
      <w:pPr>
        <w:spacing w:line="240" w:lineRule="auto"/>
        <w:jc w:val="both"/>
        <w:rPr>
          <w:rFonts w:cs="Arial"/>
          <w:szCs w:val="20"/>
        </w:rPr>
      </w:pPr>
      <w:r>
        <w:rPr>
          <w:rFonts w:cs="Arial"/>
          <w:szCs w:val="20"/>
        </w:rPr>
        <w:t>4.</w:t>
      </w:r>
      <w:r>
        <w:rPr>
          <w:rFonts w:cs="Arial"/>
          <w:szCs w:val="20"/>
        </w:rPr>
        <w:tab/>
        <w:t>zanesljivost načrtovanega spremljanja in poročanja o emisijah toplogrednih plinov.</w:t>
      </w:r>
    </w:p>
    <w:p w:rsidR="00077835" w:rsidRDefault="00077835" w:rsidP="00077835">
      <w:pPr>
        <w:spacing w:line="240" w:lineRule="auto"/>
        <w:jc w:val="both"/>
        <w:rPr>
          <w:rFonts w:cs="Arial"/>
          <w:szCs w:val="20"/>
        </w:rPr>
      </w:pPr>
      <w:r>
        <w:rPr>
          <w:rFonts w:cs="Arial"/>
          <w:szCs w:val="20"/>
        </w:rPr>
        <w:t>(2)</w:t>
      </w:r>
      <w:r>
        <w:rPr>
          <w:rFonts w:cs="Arial"/>
          <w:szCs w:val="20"/>
        </w:rPr>
        <w:tab/>
        <w:t xml:space="preserve">Regulirani subjekt, ki izvaja dejavnost v sektorju iz predpisa iz prejšnjega odstavka, pri ministrstvu vloži vlogo za pridobitev dovoljenja za izpuščanje toplogrednih plinov v skladu z drugim odstavkom 51. člena tega zakona.  </w:t>
      </w:r>
    </w:p>
    <w:p w:rsidR="00077835" w:rsidRDefault="00077835" w:rsidP="00077835">
      <w:pPr>
        <w:spacing w:line="240" w:lineRule="auto"/>
        <w:jc w:val="both"/>
        <w:rPr>
          <w:rFonts w:cs="Arial"/>
          <w:szCs w:val="20"/>
        </w:rPr>
      </w:pPr>
      <w:r>
        <w:rPr>
          <w:rFonts w:cs="Arial"/>
          <w:szCs w:val="20"/>
        </w:rPr>
        <w:t>(3)</w:t>
      </w:r>
      <w:r>
        <w:rPr>
          <w:rFonts w:cs="Arial"/>
          <w:szCs w:val="20"/>
        </w:rPr>
        <w:tab/>
        <w:t>Ministrstvo reguliranemu subjektu iz prejšnjega odstavka izda dovoljenje v skladu s tretjim odstavkom 51. člena tega zakona.</w:t>
      </w:r>
    </w:p>
    <w:p w:rsidR="00077835" w:rsidRDefault="00077835" w:rsidP="00077835">
      <w:pPr>
        <w:spacing w:line="240" w:lineRule="auto"/>
        <w:jc w:val="both"/>
        <w:rPr>
          <w:rFonts w:cs="Arial"/>
          <w:szCs w:val="20"/>
        </w:rPr>
      </w:pPr>
      <w:r>
        <w:rPr>
          <w:rFonts w:cs="Arial"/>
          <w:szCs w:val="20"/>
        </w:rPr>
        <w:t>(4)</w:t>
      </w:r>
      <w:r>
        <w:rPr>
          <w:rFonts w:cs="Arial"/>
          <w:szCs w:val="20"/>
        </w:rPr>
        <w:tab/>
        <w:t xml:space="preserve">Regulirani subjekt, ki opravlja dejavnost v sektorjih iz predpisa iz prvega odstavka tega člena, mora ministrstvu predložiti preverjeno poročilo o emisijah toplogrednih plinov za navedene sektorje v skladu s 55. in 56. členom tega zakona. Če je </w:t>
      </w:r>
      <w:proofErr w:type="spellStart"/>
      <w:r>
        <w:rPr>
          <w:rFonts w:cs="Arial"/>
          <w:szCs w:val="20"/>
        </w:rPr>
        <w:t>preveritelj</w:t>
      </w:r>
      <w:proofErr w:type="spellEnd"/>
      <w:r>
        <w:rPr>
          <w:rFonts w:cs="Arial"/>
          <w:szCs w:val="20"/>
        </w:rPr>
        <w:t xml:space="preserve"> to poročilo potrdil kot zadovoljivo, ministrstvo o količini preverjenih emisij do 30. junija koledarskega leta uradno obvesti Komisijo.</w:t>
      </w:r>
    </w:p>
    <w:p w:rsidR="00077835" w:rsidRDefault="00077835" w:rsidP="00077835">
      <w:pPr>
        <w:spacing w:line="240" w:lineRule="auto"/>
        <w:jc w:val="both"/>
        <w:rPr>
          <w:rFonts w:cs="Arial"/>
          <w:szCs w:val="20"/>
        </w:rPr>
      </w:pPr>
      <w:r>
        <w:rPr>
          <w:rFonts w:cs="Arial"/>
          <w:szCs w:val="20"/>
        </w:rPr>
        <w:t>(5)</w:t>
      </w:r>
      <w:r>
        <w:rPr>
          <w:rFonts w:cs="Arial"/>
          <w:szCs w:val="20"/>
        </w:rPr>
        <w:tab/>
        <w:t>Za regulirani subjekt iz tretjega odstavka tega člena se glede spremembe narave dejavnosti ali goriv, ki jih regulirani subjekt sprošča v porabo, spremembe identitete reguliranega subjekta in spremembe načrta za spremljanje smiselno uporabljata 51. in 54. člen tega zakona.«.</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b/>
          <w:bCs/>
          <w:szCs w:val="20"/>
        </w:rPr>
      </w:pPr>
      <w:r>
        <w:rPr>
          <w:rFonts w:cs="Arial"/>
          <w:b/>
          <w:bCs/>
          <w:szCs w:val="20"/>
        </w:rPr>
        <w:t>Obrazložitev amandmaja:</w:t>
      </w:r>
    </w:p>
    <w:p w:rsidR="00077835" w:rsidRDefault="00077835" w:rsidP="00077835">
      <w:pPr>
        <w:spacing w:line="240" w:lineRule="auto"/>
        <w:jc w:val="both"/>
        <w:rPr>
          <w:rFonts w:cs="Arial"/>
          <w:szCs w:val="20"/>
        </w:rPr>
      </w:pPr>
      <w:r>
        <w:rPr>
          <w:rFonts w:cs="Arial"/>
          <w:szCs w:val="20"/>
        </w:rPr>
        <w:t xml:space="preserve">Amandma je pripravljen kot odziv na mnenje Zakonodajno-pravne službe, tako da se združita prvi in drugi odstavek predlaganega člena, posledično pa se spremenijo oštevilčenje sledečih odstavkov in sklica v novima četrtem in petem odstavku.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u w:val="single"/>
        </w:rPr>
      </w:pPr>
      <w:r>
        <w:rPr>
          <w:rFonts w:cs="Arial"/>
          <w:b/>
          <w:bCs/>
          <w:szCs w:val="20"/>
          <w:u w:val="single"/>
        </w:rPr>
        <w:t>K 53. členu</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szCs w:val="20"/>
        </w:rPr>
      </w:pPr>
      <w:r>
        <w:rPr>
          <w:rFonts w:cs="Arial"/>
          <w:szCs w:val="20"/>
        </w:rPr>
        <w:t xml:space="preserve">V 53. členu se besedilo prvega odstavka spremeni tako, da se glasi: </w:t>
      </w:r>
    </w:p>
    <w:p w:rsidR="00077835" w:rsidRDefault="00077835" w:rsidP="00077835">
      <w:pPr>
        <w:spacing w:line="240" w:lineRule="auto"/>
        <w:jc w:val="both"/>
        <w:rPr>
          <w:rFonts w:cs="Arial"/>
          <w:szCs w:val="20"/>
        </w:rPr>
      </w:pPr>
      <w:r>
        <w:rPr>
          <w:rFonts w:cs="Arial"/>
          <w:szCs w:val="20"/>
        </w:rPr>
        <w:t>»(1) Vlada določi ukrepe za omejevanje tveganja dvojnega štetja emisij iz sistema trgovanja za regulirane subjekte z emisijami iz sistema trgovanja za upravljavce naprav, operatorje zrakoplovov in ladjarske družbe ter tveganja predaje emisijskih kuponov za namene sistema trgovanja za regulirane subjekte z emisijami iz sektorjev, ki niso vključeni v sistem trgovanja za regulirane subjekte.«.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V drugem odstavku se za besedo »naprava« doda »po tem zakonu«.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rPr>
      </w:pPr>
      <w:r>
        <w:rPr>
          <w:rFonts w:cs="Arial"/>
          <w:b/>
          <w:bCs/>
          <w:szCs w:val="20"/>
        </w:rPr>
        <w:t>Obrazložitev amandmaja:</w:t>
      </w:r>
    </w:p>
    <w:p w:rsidR="00077835" w:rsidRDefault="00077835" w:rsidP="00077835">
      <w:pPr>
        <w:spacing w:line="240" w:lineRule="auto"/>
        <w:jc w:val="both"/>
        <w:rPr>
          <w:rFonts w:cs="Arial"/>
          <w:szCs w:val="20"/>
        </w:rPr>
      </w:pPr>
      <w:r>
        <w:rPr>
          <w:rFonts w:cs="Arial"/>
          <w:szCs w:val="20"/>
        </w:rPr>
        <w:t xml:space="preserve">Amandma je pripravljen kot odziv na mnenje Zakonodajno-pravne službe, tako da se prvi odstavek zapiše na način, da je jasno, da vsebinsko spada v poglavje Predloga zakona, ki ureja posebna pravila za regulirane subjekte. Možno je le, da regulirani subjekti (dobavitelji goriv) predajo emisijske kupone za subjekte, zajete v sistem trgovanja za narave, ladjarske družbe, operatorje zrakoplovov, ki so porabniki goriv in za svoje emisije že sami predajajo emisijske kupone, ne pa tudi obratno. Mnenje se upošteva tudi z amandmajem k drugemu odstavku, kjer se jasneje navede, da ta določba velja za bolnišnico, ki ni naprava, kot jo opredeljuje ta Predlog zakona.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szCs w:val="20"/>
          <w:u w:val="single"/>
          <w:lang w:eastAsia="sl-SI"/>
        </w:rPr>
        <w:t>K 54. členu</w:t>
      </w:r>
      <w:r>
        <w:rPr>
          <w:rFonts w:eastAsia="Yu Gothic Light"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Besedilo 54. člena se spremeni tako, da se glasi: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w:t>
      </w:r>
      <w:r>
        <w:rPr>
          <w:rFonts w:eastAsia="Yu Gothic Light" w:cs="Arial"/>
          <w:szCs w:val="20"/>
          <w:lang w:eastAsia="sl-SI"/>
        </w:rPr>
        <w:tab/>
        <w:t xml:space="preserve">V primeru bistvene spremembe načrta za spremljanje, določene s predpisom EU, ki ureja spremljanje emisij toplogrednih plinov in poročanje o njih, upravljavec naprave, operator </w:t>
      </w:r>
      <w:r>
        <w:rPr>
          <w:rFonts w:eastAsia="Yu Gothic Light" w:cs="Arial"/>
          <w:szCs w:val="20"/>
          <w:lang w:eastAsia="sl-SI"/>
        </w:rPr>
        <w:lastRenderedPageBreak/>
        <w:t>zrakoplova ali regulirani subjekt pri ministrstvu predloži v odobritev spremenjeni načrt za spremljanje z vlogo, ki poleg spremenjenega načrta vsebuje tudi podatke o vlagatelju.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(2)</w:t>
      </w:r>
      <w:r>
        <w:rPr>
          <w:rFonts w:eastAsia="Yu Gothic Light" w:cs="Arial"/>
          <w:szCs w:val="20"/>
          <w:lang w:eastAsia="sl-SI"/>
        </w:rPr>
        <w:tab/>
        <w:t>Ministrstvo spremeni odločbo iz tretjega odstavka 32. člena tega zakona, petega odstavka 44. člena tega zakona ali tretjega odstavka 51. člena tega zakona v treh mesecih od prejema popolne vloge iz prejšnjega odstavka.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(3)</w:t>
      </w:r>
      <w:r>
        <w:rPr>
          <w:rFonts w:eastAsia="Yu Gothic Light" w:cs="Arial"/>
          <w:szCs w:val="20"/>
          <w:lang w:eastAsia="sl-SI"/>
        </w:rPr>
        <w:tab/>
        <w:t xml:space="preserve">Če mora ladjarska družba spremeniti načrt za spremljanje v skladu s predpisom EU, ki ureja spremljanje emisij ogljikovega dioksida iz pomorskega prevoza, poročanje o njih in njihovo preverjanje, pri ministrstvu vloži vlogo za spremembo načrta za spremljanje, načrt za spremljanje pa predloži v THETIS MRV. Ladjarska družba vlogi priloži oceno </w:t>
      </w:r>
      <w:proofErr w:type="spellStart"/>
      <w:r>
        <w:rPr>
          <w:rFonts w:eastAsia="Yu Gothic Light" w:cs="Arial"/>
          <w:szCs w:val="20"/>
          <w:lang w:eastAsia="sl-SI"/>
        </w:rPr>
        <w:t>preveritelja</w:t>
      </w:r>
      <w:proofErr w:type="spellEnd"/>
      <w:r>
        <w:rPr>
          <w:rFonts w:eastAsia="Yu Gothic Light" w:cs="Arial"/>
          <w:szCs w:val="20"/>
          <w:lang w:eastAsia="sl-SI"/>
        </w:rPr>
        <w:t xml:space="preserve"> iz drugega odstavka 56. člena tega zakona.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(4)</w:t>
      </w:r>
      <w:r>
        <w:rPr>
          <w:rFonts w:eastAsia="Yu Gothic Light" w:cs="Arial"/>
          <w:szCs w:val="20"/>
          <w:lang w:eastAsia="sl-SI"/>
        </w:rPr>
        <w:tab/>
        <w:t xml:space="preserve">Ministrstvo v treh mesecih od prejema popolne vloge iz prejšnjega odstavka spremeni odločbo iz tretjega odstavka 48. člena tega zakona, če je </w:t>
      </w:r>
      <w:proofErr w:type="spellStart"/>
      <w:r>
        <w:rPr>
          <w:rFonts w:eastAsia="Yu Gothic Light" w:cs="Arial"/>
          <w:szCs w:val="20"/>
          <w:lang w:eastAsia="sl-SI"/>
        </w:rPr>
        <w:t>preveritelj</w:t>
      </w:r>
      <w:proofErr w:type="spellEnd"/>
      <w:r>
        <w:rPr>
          <w:rFonts w:eastAsia="Yu Gothic Light" w:cs="Arial"/>
          <w:szCs w:val="20"/>
          <w:lang w:eastAsia="sl-SI"/>
        </w:rPr>
        <w:t xml:space="preserve"> ocenil, da je načrt izdelan v skladu s predpisom EU iz prejšnjega odstavka.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(5)</w:t>
      </w:r>
      <w:r>
        <w:rPr>
          <w:rFonts w:eastAsia="Yu Gothic Light" w:cs="Arial"/>
          <w:szCs w:val="20"/>
          <w:lang w:eastAsia="sl-SI"/>
        </w:rPr>
        <w:tab/>
        <w:t>Upravljavec naprave, operator zrakoplova ali regulirani subjekt lahko spremeni načrt za spremljanje v nebistvenih sestavinah v skladu s predpisom EU iz prvega odstavka tega člena, vendar mora o spremembi načrta za spremljanje najpozneje do 31. decembra tekočega leta obvestiti ministrstvo, kar dokazuje s potrdilom o oddani pošiljki.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(6)</w:t>
      </w:r>
      <w:r>
        <w:rPr>
          <w:rFonts w:eastAsia="Yu Gothic Light" w:cs="Arial"/>
          <w:szCs w:val="20"/>
          <w:lang w:eastAsia="sl-SI"/>
        </w:rPr>
        <w:tab/>
        <w:t>Minister določi obliko vloge za spremembo načrta za spremljanje iz prvega odstavka tega člena za upravljavca naprave, operatorja zrakoplova in regulirani subjekt ter način njene oddaje.«.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b/>
          <w:bCs/>
          <w:szCs w:val="20"/>
          <w:lang w:eastAsia="sl-SI"/>
        </w:rPr>
        <w:t>Obrazložitev amandmaja:</w:t>
      </w: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Amandma je pripravljen kot odziv na mnenje Zakonodajno-pravne službe, tako da se v prvem in tretjem odstavku jasneje določi sestavine vloge, v petem odstavku je zaradi jasnosti brisana beseda »nameravani«. Predpis EU, ki ureja spremljanje emisij toplogrednih plinov in poročanje o njih, določa primere bistvene spremembe načrta za spremljanje upravljavca naprave, operatorja zrakoplova ali reguliranega subjekta, zadevni primeri za ladjarske družbe so določeni s predpisom EU, ki ureja spremljanje emisij ogljikovega dioksida iz pomorskega prevoza, poročanje o njih in njihovo preverjanje.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rPr>
          <w:rFonts w:cs="Arial"/>
          <w:b/>
          <w:szCs w:val="20"/>
          <w:u w:val="single"/>
        </w:rPr>
      </w:pPr>
      <w:r>
        <w:rPr>
          <w:rFonts w:cs="Arial"/>
          <w:b/>
          <w:szCs w:val="20"/>
          <w:u w:val="single"/>
        </w:rPr>
        <w:t xml:space="preserve">K 55. </w:t>
      </w:r>
      <w:r>
        <w:rPr>
          <w:rFonts w:cs="Arial"/>
          <w:b/>
          <w:bCs/>
          <w:szCs w:val="20"/>
          <w:u w:val="single"/>
        </w:rPr>
        <w:t>č</w:t>
      </w:r>
      <w:r>
        <w:rPr>
          <w:rFonts w:cs="Arial"/>
          <w:b/>
          <w:szCs w:val="20"/>
          <w:u w:val="single"/>
        </w:rPr>
        <w:t>lenu</w:t>
      </w:r>
    </w:p>
    <w:p w:rsidR="00077835" w:rsidRDefault="00077835" w:rsidP="00077835">
      <w:pPr>
        <w:jc w:val="both"/>
        <w:rPr>
          <w:rFonts w:eastAsiaTheme="minorHAnsi" w:cs="Arial"/>
          <w:color w:val="222222"/>
          <w:kern w:val="2"/>
          <w:szCs w:val="20"/>
          <w:shd w:val="clear" w:color="auto" w:fill="FFFFFF"/>
          <w14:ligatures w14:val="standardContextual"/>
        </w:rPr>
      </w:pPr>
      <w:r>
        <w:rPr>
          <w:rFonts w:cs="Arial"/>
          <w:color w:val="222222"/>
          <w:szCs w:val="20"/>
          <w:shd w:val="clear" w:color="auto" w:fill="FFFFFF"/>
        </w:rPr>
        <w:t>»V četrtem odstavku 55. člena se črta besedilo »od 1. januarja 2025«.</w:t>
      </w:r>
    </w:p>
    <w:p w:rsidR="00077835" w:rsidRDefault="00077835" w:rsidP="00077835">
      <w:pPr>
        <w:jc w:val="both"/>
        <w:rPr>
          <w:rFonts w:cs="Arial"/>
          <w:color w:val="222222"/>
          <w:szCs w:val="20"/>
          <w:shd w:val="clear" w:color="auto" w:fill="FFFFFF"/>
        </w:rPr>
      </w:pPr>
      <w:r>
        <w:rPr>
          <w:rFonts w:cs="Arial"/>
          <w:color w:val="222222"/>
          <w:szCs w:val="20"/>
        </w:rPr>
        <w:br/>
      </w:r>
      <w:r>
        <w:rPr>
          <w:rFonts w:cs="Arial"/>
          <w:color w:val="222222"/>
          <w:szCs w:val="20"/>
          <w:shd w:val="clear" w:color="auto" w:fill="FFFFFF"/>
        </w:rPr>
        <w:t xml:space="preserve">Osmi odstavek se spremeni tako, da se glasi: »(8) Če upravljavec naprave, operator zrakoplova, ladjarska družba ali regulirani subjekt v predpisanem roku ARSO ne pošlje poročila o emisijah toplogrednih plinov za preteklo koledarsko leto, skupaj s poročilom o preverjanju iz prejšnjega odstavka, ali če </w:t>
      </w:r>
      <w:proofErr w:type="spellStart"/>
      <w:r>
        <w:rPr>
          <w:rFonts w:cs="Arial"/>
          <w:color w:val="222222"/>
          <w:szCs w:val="20"/>
          <w:shd w:val="clear" w:color="auto" w:fill="FFFFFF"/>
        </w:rPr>
        <w:t>preveritelj</w:t>
      </w:r>
      <w:proofErr w:type="spellEnd"/>
      <w:r>
        <w:rPr>
          <w:rFonts w:cs="Arial"/>
          <w:color w:val="222222"/>
          <w:szCs w:val="20"/>
          <w:shd w:val="clear" w:color="auto" w:fill="FFFFFF"/>
        </w:rPr>
        <w:t xml:space="preserve"> iz 56. člena tega zakona poročila o emisijah toplogrednih plinov iz prvega, drugega in četrtega odstavka tega člena ne potrdi kot zadovoljivega v skladu s predpisom EU, ki ureja preverjanje podatkov in akreditacijo </w:t>
      </w:r>
      <w:proofErr w:type="spellStart"/>
      <w:r>
        <w:rPr>
          <w:rFonts w:cs="Arial"/>
          <w:color w:val="222222"/>
          <w:szCs w:val="20"/>
          <w:shd w:val="clear" w:color="auto" w:fill="FFFFFF"/>
        </w:rPr>
        <w:t>preveriteljev</w:t>
      </w:r>
      <w:proofErr w:type="spellEnd"/>
      <w:r>
        <w:rPr>
          <w:rFonts w:cs="Arial"/>
          <w:color w:val="222222"/>
          <w:szCs w:val="20"/>
          <w:shd w:val="clear" w:color="auto" w:fill="FFFFFF"/>
        </w:rPr>
        <w:t>, ali predpisom EU, ki ureja spremljanje emisij ogljikovega dioksida iz pomorskega prevoza, poročanje o njih in njihovo preverjanje, poročilo o emisijah toplogrednih plinov na podlagi dostopnih podatkov o emisijah toplogrednih plinov za posamezno napravo, operatorja zrakoplova ali ladjarsko družbo izdela ministrstvo najpozneje do 30. aprila tekočega leta oziroma za regulirani subjekt najpozneje do 31. maja tekočega leta. Stroške izdelave tega poročila nosi upravljavec naprave, operator zrakoplova, ladjarska družba oziroma regulirani subjekt.«.</w:t>
      </w:r>
    </w:p>
    <w:p w:rsidR="00077835" w:rsidRDefault="00077835" w:rsidP="00077835">
      <w:pPr>
        <w:jc w:val="both"/>
        <w:rPr>
          <w:rFonts w:cs="Arial"/>
          <w:color w:val="222222"/>
          <w:szCs w:val="20"/>
          <w:shd w:val="clear" w:color="auto" w:fill="FFFFFF"/>
        </w:rPr>
      </w:pPr>
      <w:r>
        <w:rPr>
          <w:rFonts w:cs="Arial"/>
          <w:color w:val="222222"/>
          <w:szCs w:val="20"/>
        </w:rPr>
        <w:br/>
      </w:r>
      <w:r>
        <w:rPr>
          <w:rFonts w:cs="Arial"/>
          <w:color w:val="222222"/>
          <w:szCs w:val="20"/>
        </w:rPr>
        <w:br/>
      </w:r>
      <w:r>
        <w:rPr>
          <w:rFonts w:cs="Arial"/>
          <w:color w:val="222222"/>
          <w:szCs w:val="20"/>
          <w:shd w:val="clear" w:color="auto" w:fill="FFFFFF"/>
        </w:rPr>
        <w:t>V desetem odstavku se črta besedilo »od 1. januarja 2025«.</w:t>
      </w:r>
    </w:p>
    <w:p w:rsidR="00077835" w:rsidRDefault="00077835" w:rsidP="00077835">
      <w:pPr>
        <w:jc w:val="both"/>
        <w:rPr>
          <w:rFonts w:cs="Arial"/>
          <w:color w:val="222222"/>
          <w:szCs w:val="20"/>
          <w:shd w:val="clear" w:color="auto" w:fill="FFFFFF"/>
        </w:rPr>
      </w:pPr>
      <w:r>
        <w:rPr>
          <w:rFonts w:cs="Arial"/>
          <w:color w:val="222222"/>
          <w:szCs w:val="20"/>
        </w:rPr>
        <w:br/>
      </w:r>
      <w:r>
        <w:rPr>
          <w:rFonts w:cs="Arial"/>
          <w:color w:val="222222"/>
          <w:szCs w:val="20"/>
        </w:rPr>
        <w:br/>
      </w:r>
      <w:r>
        <w:rPr>
          <w:rFonts w:cs="Arial"/>
          <w:color w:val="222222"/>
          <w:szCs w:val="20"/>
          <w:shd w:val="clear" w:color="auto" w:fill="FFFFFF"/>
        </w:rPr>
        <w:t>V dvanajstem odstavku se besedilo »nanašajo pa se lahko« nadomesti z besedilom »ki se nanašajo«.</w:t>
      </w:r>
    </w:p>
    <w:p w:rsidR="00077835" w:rsidRDefault="00077835" w:rsidP="00077835">
      <w:pPr>
        <w:jc w:val="both"/>
        <w:rPr>
          <w:rFonts w:cs="Arial"/>
          <w:b/>
          <w:bCs/>
          <w:color w:val="222222"/>
          <w:szCs w:val="20"/>
          <w:shd w:val="clear" w:color="auto" w:fill="FFFFFF"/>
        </w:rPr>
      </w:pPr>
    </w:p>
    <w:p w:rsidR="00077835" w:rsidRDefault="00077835" w:rsidP="00077835">
      <w:pPr>
        <w:jc w:val="both"/>
        <w:rPr>
          <w:rFonts w:cs="Arial"/>
          <w:color w:val="222222"/>
          <w:szCs w:val="20"/>
          <w:shd w:val="clear" w:color="auto" w:fill="FFFFFF"/>
        </w:rPr>
      </w:pPr>
      <w:r>
        <w:rPr>
          <w:rFonts w:cs="Arial"/>
          <w:b/>
          <w:bCs/>
          <w:color w:val="222222"/>
          <w:szCs w:val="20"/>
          <w:shd w:val="clear" w:color="auto" w:fill="FFFFFF"/>
        </w:rPr>
        <w:t xml:space="preserve">Obrazložitev spremembe amandmaja: </w:t>
      </w:r>
      <w:r>
        <w:rPr>
          <w:rFonts w:cs="Arial"/>
          <w:color w:val="222222"/>
          <w:szCs w:val="20"/>
          <w:shd w:val="clear" w:color="auto" w:fill="FFFFFF"/>
        </w:rPr>
        <w:t xml:space="preserve">V delu, ki se nanaša na osmi odstavek je dodana številka odstavka.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cs="Arial"/>
          <w:szCs w:val="20"/>
          <w:u w:val="single"/>
          <w:lang w:eastAsia="sl-SI"/>
        </w:rPr>
      </w:pPr>
      <w:r>
        <w:rPr>
          <w:rFonts w:cs="Arial"/>
          <w:b/>
          <w:bCs/>
          <w:szCs w:val="20"/>
          <w:u w:val="single"/>
          <w:lang w:eastAsia="sl-SI"/>
        </w:rPr>
        <w:t>K 56. členu: </w:t>
      </w:r>
      <w:r>
        <w:rPr>
          <w:rFonts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lastRenderedPageBreak/>
        <w:t> </w:t>
      </w:r>
    </w:p>
    <w:p w:rsidR="00077835" w:rsidRDefault="00077835" w:rsidP="00077835">
      <w:pPr>
        <w:spacing w:line="240" w:lineRule="auto"/>
        <w:jc w:val="both"/>
        <w:textAlignment w:val="baseline"/>
        <w:rPr>
          <w:rFonts w:cs="Arial"/>
          <w:szCs w:val="20"/>
          <w:lang w:eastAsia="sl-SI"/>
        </w:rPr>
      </w:pPr>
      <w:r>
        <w:rPr>
          <w:rFonts w:cs="Arial"/>
          <w:szCs w:val="20"/>
          <w:lang w:eastAsia="sl-SI"/>
        </w:rPr>
        <w:t>V 56. členu se za šestim odstavkom doda nov sedmi odstavek, ki se glasi:  </w:t>
      </w:r>
    </w:p>
    <w:p w:rsidR="00077835" w:rsidRDefault="00077835" w:rsidP="00077835">
      <w:pPr>
        <w:spacing w:line="240" w:lineRule="auto"/>
        <w:jc w:val="both"/>
        <w:textAlignment w:val="baseline"/>
        <w:rPr>
          <w:rFonts w:cs="Arial"/>
          <w:szCs w:val="20"/>
          <w:lang w:eastAsia="sl-SI"/>
        </w:rPr>
      </w:pPr>
      <w:r>
        <w:rPr>
          <w:rFonts w:cs="Arial"/>
          <w:szCs w:val="20"/>
          <w:lang w:eastAsia="sl-SI"/>
        </w:rPr>
        <w:t>»(7) Če ministrstvo pri izrednem naknadnem preverjanju iz tretjega odstavka tega člena ugotovi, da je upravljavec naprave napačno poročal o ravneh dejavnosti iz prvega odstavka 40. člena tega zakona, o tem obvesti Komisijo in ji posreduje naknadno ugotovljene podatke. Ministrstvo na podlagi sklepa Komisije, ki določa navodila centralnemu administratorju registra Unije, naj spremembe preglednic nacionalnih dodelitev za države članice vnese v register Unije, upravljavcu naprave po uradni dolžnosti izda odločbo, s katero določi spremenjeno letno brezplačno dodeljeno količino emisijskih kuponov.«.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szCs w:val="20"/>
          <w:lang w:eastAsia="sl-SI"/>
        </w:rPr>
        <w:t>Obrazložitev amandmaja:</w:t>
      </w:r>
      <w:r>
        <w:rPr>
          <w:rFonts w:cs="Arial"/>
          <w:szCs w:val="20"/>
          <w:lang w:eastAsia="sl-SI"/>
        </w:rPr>
        <w:t xml:space="preserve"> Amandma je potreben zaradi ureditve postopka v primeru, ko ministrstvo v postopku izrednega naknadnega preverjanja ugotovi, da je upravljavec naprave napačno poročal o ravneh dejavnosti iz prvega odstavka 40. člena tega zakona, in mora o tem obvestiti Evropsko komisijo, ta pa sprejme odločitev o spremembi letne brezplačno dodeljene količine emisijskih kuponov v skladi z navedenim sklepom, ministrstvo pa ga mora izvršiti.  </w:t>
      </w:r>
    </w:p>
    <w:p w:rsidR="00077835" w:rsidRDefault="00077835" w:rsidP="00077835">
      <w:pPr>
        <w:spacing w:line="240" w:lineRule="auto"/>
        <w:jc w:val="both"/>
        <w:textAlignment w:val="baseline"/>
        <w:rPr>
          <w:rFonts w:eastAsia="Yu Gothic Light" w:cs="Arial"/>
          <w:b/>
          <w:bCs/>
          <w:color w:val="000000"/>
          <w:szCs w:val="20"/>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color w:val="000000"/>
          <w:szCs w:val="20"/>
          <w:u w:val="single"/>
          <w:lang w:eastAsia="sl-SI"/>
        </w:rPr>
        <w:t>K 61. členu:</w:t>
      </w:r>
      <w:r>
        <w:rPr>
          <w:rFonts w:eastAsia="Yu Gothic Light" w:cs="Arial"/>
          <w:color w:val="000000"/>
          <w:szCs w:val="20"/>
          <w:u w:val="single"/>
          <w:lang w:eastAsia="sl-SI"/>
        </w:rPr>
        <w:t> </w:t>
      </w:r>
    </w:p>
    <w:p w:rsidR="00077835" w:rsidRDefault="00077835" w:rsidP="00077835">
      <w:pPr>
        <w:spacing w:line="240" w:lineRule="auto"/>
        <w:jc w:val="both"/>
        <w:textAlignment w:val="baseline"/>
        <w:rPr>
          <w:rFonts w:eastAsia="Yu Gothic Light" w:cs="Arial"/>
          <w:color w:val="000000"/>
          <w:szCs w:val="20"/>
          <w:u w:val="single"/>
          <w:lang w:eastAsia="sl-SI"/>
        </w:rPr>
      </w:pPr>
    </w:p>
    <w:p w:rsidR="00077835" w:rsidRDefault="00077835" w:rsidP="00077835">
      <w:pPr>
        <w:spacing w:line="240" w:lineRule="auto"/>
        <w:jc w:val="both"/>
        <w:textAlignment w:val="baseline"/>
        <w:rPr>
          <w:rFonts w:eastAsia="Yu Gothic Light" w:cs="Arial"/>
          <w:color w:val="000000"/>
          <w:szCs w:val="20"/>
          <w:lang w:eastAsia="sl-SI"/>
        </w:rPr>
      </w:pPr>
      <w:r>
        <w:rPr>
          <w:rFonts w:eastAsia="Yu Gothic Light" w:cs="Arial"/>
          <w:color w:val="000000"/>
          <w:szCs w:val="20"/>
          <w:lang w:eastAsia="sl-SI"/>
        </w:rPr>
        <w:t>Besedilo 61. člena se spremeni tako, da se glasi:</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»(1)</w:t>
      </w:r>
      <w:r>
        <w:rPr>
          <w:rFonts w:cs="Arial"/>
          <w:szCs w:val="20"/>
          <w:lang w:eastAsia="sl-SI"/>
        </w:rPr>
        <w:tab/>
        <w:t>Pritožba zoper odločbo iz tega poglavja, ki jo izda ministrstvo, ni dovoljena, dopusten pa je upravni spor.</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(2)</w:t>
      </w:r>
      <w:r>
        <w:rPr>
          <w:rFonts w:cs="Arial"/>
          <w:szCs w:val="20"/>
          <w:lang w:eastAsia="sl-SI"/>
        </w:rPr>
        <w:tab/>
        <w:t>Če se vse stranke in stranski udeleženci po vročitvi odločbe, ki jo izda ministrstvo na podlagi tega zakona, v 30 dneh od vročitve odločbe, pisno ali ustno na zapisnik pri ministrstvu odpovedo pravici do vložitve tožbe v upravnem sporu, postane odločba pravnomočna z dnem, ko se zadnji od upravičencev do vložitve tožbe odpove tej pravici.</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(3)</w:t>
      </w:r>
      <w:r>
        <w:rPr>
          <w:rFonts w:cs="Arial"/>
          <w:szCs w:val="20"/>
          <w:lang w:eastAsia="sl-SI"/>
        </w:rPr>
        <w:tab/>
        <w:t>Ministrstvo pošlje odločbo iz 32., 33., 34., 38., 39., 44., 48., 51., 52., 54., 58. in 59. člena tega zakona tudi pristojni inšpekciji in nacionalnemu administratorju.</w:t>
      </w:r>
    </w:p>
    <w:p w:rsidR="00077835" w:rsidRDefault="00077835" w:rsidP="00077835">
      <w:pPr>
        <w:spacing w:line="240" w:lineRule="auto"/>
        <w:jc w:val="both"/>
        <w:textAlignment w:val="baseline"/>
        <w:rPr>
          <w:rFonts w:cs="Arial"/>
          <w:szCs w:val="20"/>
          <w:lang w:eastAsia="sl-SI"/>
        </w:rPr>
      </w:pPr>
      <w:r>
        <w:rPr>
          <w:rFonts w:cs="Arial"/>
          <w:szCs w:val="20"/>
          <w:lang w:eastAsia="sl-SI"/>
        </w:rPr>
        <w:t>(4)</w:t>
      </w:r>
      <w:r>
        <w:rPr>
          <w:rFonts w:cs="Arial"/>
          <w:szCs w:val="20"/>
          <w:lang w:eastAsia="sl-SI"/>
        </w:rPr>
        <w:tab/>
        <w:t>Ministrstvo pošlje nacionalnemu administratorju tudi odločbo iz devetega in desetega odstavka 37. člena tega zakona ter 40., 41., 43., 55., 56., 57. in 114. člena tega zakona.«.</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rPr>
          <w:rFonts w:cs="Arial"/>
          <w:kern w:val="2"/>
          <w:szCs w:val="20"/>
        </w:rPr>
      </w:pPr>
      <w:r>
        <w:rPr>
          <w:rFonts w:eastAsia="Yu Gothic Light" w:cs="Arial"/>
          <w:b/>
          <w:bCs/>
          <w:szCs w:val="20"/>
        </w:rPr>
        <w:t>Obrazložitev amandmaja</w:t>
      </w:r>
      <w:r>
        <w:rPr>
          <w:rFonts w:eastAsia="Yu Gothic Light" w:cs="Arial"/>
          <w:szCs w:val="20"/>
        </w:rPr>
        <w:t>: Amandma je pripravljen kot odziv na mnenje Zakonodajno-pravne službe. Prvi odstavek je dopolnjen z besedilom, ki določa, da gre za odločbe, ki jih izda ministrstvo, saj je v</w:t>
      </w:r>
      <w:r>
        <w:rPr>
          <w:rFonts w:cs="Arial"/>
          <w:szCs w:val="20"/>
        </w:rPr>
        <w:t xml:space="preserve"> 27. členu predloga zakona določeno, katere odločbe izda nacionalni administrator.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xml:space="preserve">Drugi odstavek je dopolnjen z rokom, v katerem je možna odpoved pravici do vložitve tožbe v upravnem sporu. V četrtem odstavku je dodana še odločba iz 56. člena. </w:t>
      </w:r>
    </w:p>
    <w:p w:rsidR="00077835" w:rsidRDefault="00077835" w:rsidP="00077835">
      <w:pPr>
        <w:spacing w:line="240" w:lineRule="auto"/>
        <w:jc w:val="both"/>
        <w:rPr>
          <w:rFonts w:eastAsiaTheme="minorHAnsi" w:cs="Arial"/>
          <w:kern w:val="2"/>
          <w:szCs w:val="20"/>
          <w14:ligatures w14:val="standardContextual"/>
        </w:rPr>
      </w:pPr>
    </w:p>
    <w:p w:rsidR="00077835" w:rsidRDefault="00077835" w:rsidP="00077835">
      <w:pPr>
        <w:spacing w:line="240" w:lineRule="auto"/>
        <w:jc w:val="both"/>
        <w:rPr>
          <w:rFonts w:cs="Arial"/>
          <w:szCs w:val="20"/>
          <w:u w:val="single"/>
        </w:rPr>
      </w:pPr>
      <w:r>
        <w:rPr>
          <w:rFonts w:cs="Arial"/>
          <w:b/>
          <w:szCs w:val="20"/>
          <w:u w:val="single"/>
        </w:rPr>
        <w:t>K 70. členu</w:t>
      </w:r>
      <w:r>
        <w:rPr>
          <w:rFonts w:cs="Arial"/>
          <w:szCs w:val="20"/>
          <w:u w:val="single"/>
        </w:rPr>
        <w:t xml:space="preserve">  </w:t>
      </w:r>
    </w:p>
    <w:p w:rsidR="00077835" w:rsidRDefault="00077835" w:rsidP="00077835">
      <w:pPr>
        <w:spacing w:line="240" w:lineRule="auto"/>
        <w:jc w:val="both"/>
        <w:rPr>
          <w:rFonts w:cs="Arial"/>
          <w:szCs w:val="20"/>
        </w:rPr>
      </w:pPr>
      <w:r>
        <w:rPr>
          <w:rFonts w:cs="Arial"/>
          <w:szCs w:val="20"/>
        </w:rPr>
        <w:t>V prvem odstavku 70. člena se črta beseda »zaradi«, za besedo »plačuje« pa se doda besedna zveza »z namenom zmanjšanja«.</w:t>
      </w:r>
    </w:p>
    <w:p w:rsidR="00077835" w:rsidRDefault="00077835" w:rsidP="00077835">
      <w:pPr>
        <w:spacing w:line="240" w:lineRule="auto"/>
        <w:jc w:val="both"/>
        <w:rPr>
          <w:rFonts w:cs="Arial"/>
          <w:szCs w:val="20"/>
        </w:rPr>
      </w:pPr>
      <w:r>
        <w:rPr>
          <w:rFonts w:cs="Arial"/>
          <w:b/>
          <w:szCs w:val="20"/>
        </w:rPr>
        <w:t>Obrazložitev amandmaja</w:t>
      </w:r>
      <w:r>
        <w:rPr>
          <w:rFonts w:cs="Arial"/>
          <w:b/>
          <w:bCs/>
          <w:szCs w:val="20"/>
        </w:rPr>
        <w:t xml:space="preserve">: </w:t>
      </w:r>
      <w:r>
        <w:rPr>
          <w:rFonts w:cs="Arial"/>
          <w:szCs w:val="20"/>
        </w:rPr>
        <w:t xml:space="preserve">Amandma je pripravljen kot odziv na mnenje </w:t>
      </w:r>
      <w:bookmarkStart w:id="7" w:name="_Hlk203121393"/>
      <w:r>
        <w:rPr>
          <w:rFonts w:cs="Arial"/>
          <w:szCs w:val="20"/>
        </w:rPr>
        <w:t xml:space="preserve">Zakonodajno-pravne službe, </w:t>
      </w:r>
      <w:bookmarkEnd w:id="7"/>
      <w:r>
        <w:rPr>
          <w:rFonts w:cs="Arial"/>
          <w:szCs w:val="20"/>
        </w:rPr>
        <w:t xml:space="preserve">saj da se prvi odstavek 70. člena Predloga zakona dopolni s temeljnim namenom plačevanja </w:t>
      </w:r>
      <w:proofErr w:type="spellStart"/>
      <w:r>
        <w:rPr>
          <w:rFonts w:cs="Arial"/>
          <w:szCs w:val="20"/>
        </w:rPr>
        <w:t>okoljske</w:t>
      </w:r>
      <w:proofErr w:type="spellEnd"/>
      <w:r>
        <w:rPr>
          <w:rFonts w:cs="Arial"/>
          <w:szCs w:val="20"/>
        </w:rPr>
        <w:t xml:space="preserve"> dajatve za onesnaževanje zraka z emisijo ogljikovega dioksida.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szCs w:val="20"/>
          <w:u w:val="single"/>
          <w:lang w:eastAsia="sl-SI"/>
        </w:rPr>
        <w:t>K 72. členu:</w:t>
      </w: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color w:val="000000"/>
          <w:szCs w:val="20"/>
          <w:lang w:eastAsia="sl-SI"/>
        </w:rPr>
        <w:t>V 72. členu se prvi odstavek spremeni tako, da se glasi:  </w:t>
      </w:r>
    </w:p>
    <w:p w:rsidR="00077835" w:rsidRDefault="00077835" w:rsidP="00077835">
      <w:pPr>
        <w:spacing w:line="240" w:lineRule="auto"/>
        <w:jc w:val="both"/>
        <w:textAlignment w:val="baseline"/>
        <w:rPr>
          <w:rFonts w:cs="Arial"/>
          <w:szCs w:val="20"/>
          <w:lang w:eastAsia="sl-SI"/>
        </w:rPr>
      </w:pPr>
      <w:r>
        <w:rPr>
          <w:rFonts w:cs="Arial"/>
          <w:color w:val="000000"/>
          <w:szCs w:val="20"/>
          <w:lang w:eastAsia="sl-SI"/>
        </w:rPr>
        <w:t xml:space="preserve">»(1) Za mednarodni posebni zračni prevoz v mednarodnem in notranjem zračnem prometu, kot je opredeljen v zakonu, ki ureja letalstvo, z zrakoplovi, katerih največja vzletna masa presega 5 700 kg in imajo do 19 sedežev, se za vzlet z ozemlja Republike Slovenije in za pristanek na njenem ozemlju </w:t>
      </w:r>
      <w:r>
        <w:rPr>
          <w:rFonts w:cs="Arial"/>
          <w:szCs w:val="20"/>
          <w:lang w:eastAsia="sl-SI"/>
        </w:rPr>
        <w:t>z namenom zmanjšanja emisij toplogrednih plinov</w:t>
      </w:r>
      <w:r>
        <w:rPr>
          <w:rFonts w:eastAsia="Yu Gothic Light" w:cs="Arial"/>
          <w:b/>
          <w:bCs/>
          <w:color w:val="000000"/>
          <w:szCs w:val="20"/>
        </w:rPr>
        <w:t xml:space="preserve"> </w:t>
      </w:r>
      <w:r>
        <w:rPr>
          <w:rFonts w:cs="Arial"/>
          <w:color w:val="000000"/>
          <w:szCs w:val="20"/>
          <w:lang w:eastAsia="sl-SI"/>
        </w:rPr>
        <w:t>obračuna enkratna letalska podnebna dajatev (v nadaljnjem besedilu: letalska dajatev).«. </w:t>
      </w:r>
    </w:p>
    <w:p w:rsidR="00077835" w:rsidRDefault="00077835" w:rsidP="00077835">
      <w:pPr>
        <w:spacing w:line="240" w:lineRule="auto"/>
        <w:jc w:val="both"/>
        <w:textAlignment w:val="baseline"/>
        <w:rPr>
          <w:rFonts w:cs="Arial"/>
          <w:szCs w:val="20"/>
          <w:lang w:eastAsia="sl-SI"/>
        </w:rPr>
      </w:pPr>
      <w:r>
        <w:rPr>
          <w:rFonts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cs="Arial"/>
          <w:color w:val="000000"/>
          <w:szCs w:val="20"/>
          <w:lang w:eastAsia="sl-SI"/>
        </w:rPr>
        <w:t>Peti odstavek se spremeni tako, da se glasi:  </w:t>
      </w:r>
    </w:p>
    <w:p w:rsidR="00077835" w:rsidRDefault="00077835" w:rsidP="00077835">
      <w:pPr>
        <w:spacing w:line="240" w:lineRule="auto"/>
        <w:jc w:val="both"/>
        <w:textAlignment w:val="baseline"/>
        <w:rPr>
          <w:rFonts w:cs="Arial"/>
          <w:szCs w:val="20"/>
          <w:lang w:eastAsia="sl-SI"/>
        </w:rPr>
      </w:pPr>
      <w:r>
        <w:rPr>
          <w:rFonts w:cs="Arial"/>
          <w:szCs w:val="20"/>
          <w:lang w:eastAsia="sl-SI"/>
        </w:rPr>
        <w:t>»(5) Letalska dajatev se ne obračuna za: </w:t>
      </w:r>
    </w:p>
    <w:p w:rsidR="00077835" w:rsidRDefault="00077835" w:rsidP="00077835">
      <w:pPr>
        <w:numPr>
          <w:ilvl w:val="0"/>
          <w:numId w:val="11"/>
        </w:numPr>
        <w:spacing w:line="240" w:lineRule="auto"/>
        <w:ind w:left="2160" w:firstLine="0"/>
        <w:jc w:val="both"/>
        <w:textAlignment w:val="baseline"/>
        <w:rPr>
          <w:rFonts w:cs="Arial"/>
          <w:szCs w:val="20"/>
          <w:lang w:eastAsia="sl-SI"/>
        </w:rPr>
      </w:pPr>
      <w:r>
        <w:rPr>
          <w:rFonts w:cs="Arial"/>
          <w:szCs w:val="20"/>
          <w:lang w:eastAsia="sl-SI"/>
        </w:rPr>
        <w:t>nujni let v medicinske ali humanitarne namene, </w:t>
      </w:r>
    </w:p>
    <w:p w:rsidR="00077835" w:rsidRDefault="00077835" w:rsidP="00077835">
      <w:pPr>
        <w:numPr>
          <w:ilvl w:val="0"/>
          <w:numId w:val="12"/>
        </w:numPr>
        <w:spacing w:line="240" w:lineRule="auto"/>
        <w:ind w:left="2160" w:firstLine="0"/>
        <w:jc w:val="both"/>
        <w:textAlignment w:val="baseline"/>
        <w:rPr>
          <w:rFonts w:cs="Arial"/>
          <w:szCs w:val="20"/>
          <w:lang w:eastAsia="sl-SI"/>
        </w:rPr>
      </w:pPr>
      <w:r>
        <w:rPr>
          <w:rFonts w:cs="Arial"/>
          <w:szCs w:val="20"/>
          <w:lang w:eastAsia="sl-SI"/>
        </w:rPr>
        <w:lastRenderedPageBreak/>
        <w:t>let zrakoplova s pristankom v sili, </w:t>
      </w:r>
    </w:p>
    <w:p w:rsidR="00077835" w:rsidRDefault="00077835" w:rsidP="00077835">
      <w:pPr>
        <w:numPr>
          <w:ilvl w:val="0"/>
          <w:numId w:val="13"/>
        </w:numPr>
        <w:spacing w:line="240" w:lineRule="auto"/>
        <w:ind w:left="2160" w:firstLine="0"/>
        <w:jc w:val="both"/>
        <w:textAlignment w:val="baseline"/>
        <w:rPr>
          <w:rFonts w:cs="Arial"/>
          <w:szCs w:val="20"/>
          <w:lang w:eastAsia="sl-SI"/>
        </w:rPr>
      </w:pPr>
      <w:r>
        <w:rPr>
          <w:rFonts w:cs="Arial"/>
          <w:szCs w:val="20"/>
          <w:lang w:eastAsia="sl-SI"/>
        </w:rPr>
        <w:t>let zrakoplova za potrebe zaščite in reševanja ter pomoči ob naravnih in drugih nesrečah, </w:t>
      </w:r>
    </w:p>
    <w:p w:rsidR="00077835" w:rsidRDefault="00077835" w:rsidP="00077835">
      <w:pPr>
        <w:numPr>
          <w:ilvl w:val="0"/>
          <w:numId w:val="14"/>
        </w:numPr>
        <w:spacing w:line="240" w:lineRule="auto"/>
        <w:ind w:left="2160" w:firstLine="0"/>
        <w:jc w:val="both"/>
        <w:textAlignment w:val="baseline"/>
        <w:rPr>
          <w:rFonts w:cs="Arial"/>
          <w:szCs w:val="20"/>
          <w:lang w:eastAsia="sl-SI"/>
        </w:rPr>
      </w:pPr>
      <w:r>
        <w:rPr>
          <w:rFonts w:cs="Arial"/>
          <w:szCs w:val="20"/>
          <w:lang w:eastAsia="sl-SI"/>
        </w:rPr>
        <w:t>let zrakoplova za iskanje in reševanje, </w:t>
      </w:r>
    </w:p>
    <w:p w:rsidR="00077835" w:rsidRDefault="00077835" w:rsidP="00077835">
      <w:pPr>
        <w:numPr>
          <w:ilvl w:val="0"/>
          <w:numId w:val="15"/>
        </w:numPr>
        <w:spacing w:line="240" w:lineRule="auto"/>
        <w:ind w:left="2160" w:firstLine="0"/>
        <w:jc w:val="both"/>
        <w:textAlignment w:val="baseline"/>
        <w:rPr>
          <w:rFonts w:cs="Arial"/>
          <w:szCs w:val="20"/>
          <w:lang w:eastAsia="sl-SI"/>
        </w:rPr>
      </w:pPr>
      <w:r>
        <w:rPr>
          <w:rFonts w:cs="Arial"/>
          <w:szCs w:val="20"/>
          <w:lang w:eastAsia="sl-SI"/>
        </w:rPr>
        <w:t>let državnega zrakoplova ali </w:t>
      </w:r>
    </w:p>
    <w:p w:rsidR="00077835" w:rsidRDefault="00077835" w:rsidP="00077835">
      <w:pPr>
        <w:numPr>
          <w:ilvl w:val="0"/>
          <w:numId w:val="16"/>
        </w:numPr>
        <w:spacing w:line="240" w:lineRule="auto"/>
        <w:ind w:left="2160" w:firstLine="0"/>
        <w:jc w:val="both"/>
        <w:textAlignment w:val="baseline"/>
        <w:rPr>
          <w:rFonts w:cs="Arial"/>
          <w:szCs w:val="20"/>
          <w:lang w:eastAsia="sl-SI"/>
        </w:rPr>
      </w:pPr>
      <w:r>
        <w:rPr>
          <w:rFonts w:cs="Arial"/>
          <w:szCs w:val="20"/>
          <w:lang w:eastAsia="sl-SI"/>
        </w:rPr>
        <w:t>let zrakoplova z električnim pogonom.« </w:t>
      </w:r>
    </w:p>
    <w:p w:rsidR="00077835" w:rsidRDefault="00077835" w:rsidP="00077835">
      <w:pPr>
        <w:spacing w:line="240" w:lineRule="auto"/>
        <w:jc w:val="both"/>
        <w:textAlignment w:val="baseline"/>
        <w:rPr>
          <w:rFonts w:cs="Arial"/>
          <w:szCs w:val="20"/>
          <w:lang w:eastAsia="sl-SI"/>
        </w:rPr>
      </w:pPr>
      <w:r>
        <w:rPr>
          <w:rFonts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cs="Arial"/>
          <w:color w:val="000000"/>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color w:val="000000"/>
          <w:szCs w:val="20"/>
          <w:u w:val="single"/>
          <w:lang w:eastAsia="sl-SI"/>
        </w:rPr>
        <w:t>Obrazložitev:</w:t>
      </w:r>
      <w:r>
        <w:rPr>
          <w:rFonts w:cs="Arial"/>
          <w:color w:val="000000"/>
          <w:szCs w:val="20"/>
          <w:lang w:eastAsia="sl-SI"/>
        </w:rPr>
        <w:t xml:space="preserve"> Amandma je v delu, ki spreminja prvi odstavek, pripravljen kot odziv na pripombe Zakonodajno-pravne službe, in sicer je dodan sklic na zakon, ki ureja letalstvo ter namen obračunavanja letalske podnebne dajatve. S spremembo petega odstavka se upošteva pripomba nevladnih organizacij, dopolni se s 6. točko, in sicer je dodan </w:t>
      </w:r>
      <w:r>
        <w:rPr>
          <w:rFonts w:cs="Arial"/>
          <w:szCs w:val="20"/>
          <w:lang w:eastAsia="sl-SI"/>
        </w:rPr>
        <w:t>let zrakoplova z električnim pogonom</w:t>
      </w:r>
      <w:r>
        <w:rPr>
          <w:rFonts w:cs="Arial"/>
          <w:color w:val="000000"/>
          <w:szCs w:val="20"/>
          <w:lang w:eastAsia="sl-SI"/>
        </w:rPr>
        <w:t>.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rPr>
          <w:rFonts w:cs="Arial"/>
          <w:b/>
          <w:bCs/>
          <w:szCs w:val="20"/>
          <w:u w:val="single"/>
        </w:rPr>
      </w:pPr>
      <w:r>
        <w:rPr>
          <w:rFonts w:cs="Arial"/>
          <w:b/>
          <w:bCs/>
          <w:szCs w:val="20"/>
          <w:u w:val="single"/>
        </w:rPr>
        <w:t>K naslovu 2. oddelka VII. poglavja:</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szCs w:val="20"/>
        </w:rPr>
      </w:pPr>
      <w:bookmarkStart w:id="8" w:name="_Hlk203240107"/>
      <w:r>
        <w:rPr>
          <w:rFonts w:cs="Arial"/>
          <w:szCs w:val="20"/>
        </w:rPr>
        <w:t>Naslov drugega oddelka VII. poglavja se spremeni tako, da se glasi: »2. oddelek: Metodologiji za celovito presojo vplivov na okolje in presojo vplivov na okolje glede  podnebnih sprememb«.</w:t>
      </w:r>
    </w:p>
    <w:bookmarkEnd w:id="8"/>
    <w:p w:rsidR="00077835" w:rsidRDefault="00077835" w:rsidP="00077835">
      <w:pPr>
        <w:spacing w:line="240" w:lineRule="auto"/>
        <w:jc w:val="both"/>
        <w:rPr>
          <w:rFonts w:eastAsia="Arial" w:cs="Arial"/>
          <w:szCs w:val="20"/>
        </w:rPr>
      </w:pPr>
    </w:p>
    <w:p w:rsidR="00077835" w:rsidRDefault="00077835" w:rsidP="00077835">
      <w:pPr>
        <w:spacing w:line="240" w:lineRule="auto"/>
        <w:jc w:val="both"/>
        <w:textAlignment w:val="baseline"/>
        <w:rPr>
          <w:rFonts w:cs="Arial"/>
          <w:szCs w:val="20"/>
          <w:lang w:eastAsia="sl-SI"/>
        </w:rPr>
      </w:pPr>
      <w:r>
        <w:rPr>
          <w:rFonts w:cs="Arial"/>
          <w:b/>
          <w:bCs/>
          <w:szCs w:val="20"/>
          <w:lang w:eastAsia="sl-SI"/>
        </w:rPr>
        <w:t>Obrazložitev amandmaja:</w:t>
      </w:r>
      <w:r>
        <w:rPr>
          <w:rFonts w:cs="Arial"/>
          <w:szCs w:val="20"/>
          <w:lang w:eastAsia="sl-SI"/>
        </w:rPr>
        <w:t xml:space="preserve"> Amandma je pripravljen kot odziv na mnenje Zakonodajno-pravne službe. Zapiše se ustreznejši naslov 2. oddelka VII. poglavja.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rPr>
          <w:rFonts w:cs="Arial"/>
          <w:b/>
          <w:bCs/>
          <w:szCs w:val="20"/>
          <w:u w:val="single"/>
        </w:rPr>
      </w:pPr>
      <w:r>
        <w:rPr>
          <w:rFonts w:cs="Arial"/>
          <w:b/>
          <w:bCs/>
          <w:szCs w:val="20"/>
          <w:u w:val="single"/>
        </w:rPr>
        <w:t>K 73. členu:</w:t>
      </w:r>
    </w:p>
    <w:p w:rsidR="00077835" w:rsidRDefault="00077835" w:rsidP="00077835">
      <w:pPr>
        <w:spacing w:line="240" w:lineRule="auto"/>
        <w:jc w:val="both"/>
        <w:rPr>
          <w:rFonts w:eastAsia="Arial" w:cs="Arial"/>
          <w:szCs w:val="20"/>
        </w:rPr>
      </w:pPr>
      <w:r>
        <w:rPr>
          <w:rFonts w:cs="Arial"/>
          <w:szCs w:val="20"/>
        </w:rPr>
        <w:t>Naslov 73. člena se spremeni tako, da se glasi: »</w:t>
      </w:r>
      <w:r>
        <w:rPr>
          <w:rFonts w:eastAsia="Arial" w:cs="Arial"/>
          <w:szCs w:val="20"/>
        </w:rPr>
        <w:t>(metodologija za presojo vplivov na podnebje in podnebne odpornosti)</w:t>
      </w:r>
      <w:r>
        <w:rPr>
          <w:rFonts w:cs="Arial"/>
          <w:szCs w:val="20"/>
        </w:rPr>
        <w: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 xml:space="preserve">Prvi odstavek 73. člena se spremeni tako, da se glasi: </w:t>
      </w:r>
    </w:p>
    <w:p w:rsidR="00077835" w:rsidRDefault="00077835" w:rsidP="00077835">
      <w:pPr>
        <w:spacing w:line="240" w:lineRule="auto"/>
        <w:jc w:val="both"/>
        <w:rPr>
          <w:rFonts w:cs="Arial"/>
          <w:szCs w:val="20"/>
        </w:rPr>
      </w:pPr>
      <w:r>
        <w:rPr>
          <w:rFonts w:cs="Arial"/>
          <w:szCs w:val="20"/>
        </w:rPr>
        <w:t xml:space="preserve">»(1) </w:t>
      </w:r>
      <w:r>
        <w:rPr>
          <w:rFonts w:eastAsia="Arial" w:cs="Arial"/>
          <w:szCs w:val="20"/>
        </w:rPr>
        <w:t>Posegi v okolje po predpisih s področja varstva okolja, ki lahko verjetno pomembno vplivajo na okolje, ter plani, programi in načrti in njihove spremembe (v nadaljnjem besedilu: plani) morajo biti zasnovani in izvedeni na podnebno odporen način in tako, da prispevajo k ciljem v 3. členu tega zakona ter ciljem, določenim v NEPN.</w:t>
      </w:r>
      <w:r>
        <w:rPr>
          <w:rFonts w:cs="Arial"/>
          <w:szCs w:val="20"/>
        </w:rPr>
        <w: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Obrazložitev amandmaja:</w:t>
      </w:r>
      <w:r>
        <w:rPr>
          <w:rFonts w:cs="Arial"/>
          <w:szCs w:val="20"/>
        </w:rPr>
        <w:t xml:space="preserve"> Amandma je bil pripravljen kot odziv na mnenje Zakonodajno-pravne službe. Ustrezneje je določen naslov člena,  v prvem odstavku pa so črtani drugi splošni akti.</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u w:val="single"/>
        </w:rPr>
      </w:pPr>
      <w:r>
        <w:rPr>
          <w:rFonts w:cs="Arial"/>
          <w:b/>
          <w:bCs/>
          <w:szCs w:val="20"/>
          <w:u w:val="single"/>
        </w:rPr>
        <w:t>K 74. členu:</w:t>
      </w:r>
    </w:p>
    <w:p w:rsidR="00077835" w:rsidRDefault="00077835" w:rsidP="00077835">
      <w:pPr>
        <w:spacing w:line="240" w:lineRule="auto"/>
        <w:jc w:val="both"/>
        <w:rPr>
          <w:rFonts w:eastAsia="Arial" w:cs="Arial"/>
          <w:szCs w:val="20"/>
        </w:rPr>
      </w:pPr>
      <w:r>
        <w:rPr>
          <w:rFonts w:cs="Arial"/>
          <w:szCs w:val="20"/>
        </w:rPr>
        <w:t>Naslov 74. člena se spremeni tako, da se glasi: »</w:t>
      </w:r>
      <w:r>
        <w:rPr>
          <w:rFonts w:eastAsia="Arial" w:cs="Arial"/>
          <w:szCs w:val="20"/>
        </w:rPr>
        <w:t>(metodologija za celovito presojo vplivov na podnebje in podnebne odpornosti)</w:t>
      </w:r>
      <w:r>
        <w:rPr>
          <w:rFonts w:cs="Arial"/>
          <w:szCs w:val="20"/>
        </w:rPr>
        <w: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u w:val="single"/>
        </w:rPr>
        <w:t>Obrazložitev amandmaja</w:t>
      </w:r>
      <w:r>
        <w:rPr>
          <w:rFonts w:cs="Arial"/>
          <w:szCs w:val="20"/>
        </w:rPr>
        <w:t>: Amandma je pripravljen kot odziv na mnenje Zakonodajno-pravne službe. Ustrezneje je določen naslov člena.</w:t>
      </w:r>
    </w:p>
    <w:p w:rsidR="00077835" w:rsidRDefault="00077835" w:rsidP="00077835">
      <w:pPr>
        <w:spacing w:line="240" w:lineRule="auto"/>
        <w:jc w:val="both"/>
        <w:rPr>
          <w:rFonts w:eastAsiaTheme="minorHAnsi" w:cs="Arial"/>
          <w:b/>
          <w:bCs/>
          <w:kern w:val="2"/>
          <w:szCs w:val="20"/>
          <w:u w:val="single"/>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 xml:space="preserve">K 75. </w:t>
      </w:r>
      <w:r>
        <w:rPr>
          <w:rFonts w:cs="Arial"/>
          <w:b/>
          <w:bCs/>
          <w:szCs w:val="20"/>
          <w:u w:val="single"/>
        </w:rPr>
        <w:t>členu</w:t>
      </w:r>
    </w:p>
    <w:p w:rsidR="00077835" w:rsidRDefault="00077835" w:rsidP="00077835">
      <w:pPr>
        <w:spacing w:line="240" w:lineRule="auto"/>
        <w:jc w:val="both"/>
        <w:rPr>
          <w:rFonts w:cs="Arial"/>
          <w:szCs w:val="20"/>
        </w:rPr>
      </w:pPr>
      <w:r>
        <w:rPr>
          <w:rFonts w:cs="Arial"/>
          <w:szCs w:val="20"/>
        </w:rPr>
        <w:t xml:space="preserve">V 75. členu se v prvem odstavku črta besedilo </w:t>
      </w:r>
      <w:r>
        <w:rPr>
          <w:rFonts w:cs="Arial"/>
          <w:bCs/>
          <w:szCs w:val="20"/>
        </w:rPr>
        <w:t>»</w:t>
      </w:r>
      <w:r>
        <w:rPr>
          <w:rFonts w:cs="Arial"/>
          <w:szCs w:val="20"/>
        </w:rPr>
        <w:t>in povezanih naložb</w:t>
      </w:r>
      <w:r>
        <w:rPr>
          <w:rFonts w:cs="Arial"/>
          <w:bCs/>
          <w:szCs w:val="20"/>
        </w:rPr>
        <w: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Obrazložitev amandmaja</w:t>
      </w:r>
      <w:r>
        <w:rPr>
          <w:rFonts w:cs="Arial"/>
          <w:szCs w:val="20"/>
        </w:rPr>
        <w:t>: Amandma je pripravljen kot odziv na mnenje Zakonodajno-pravne službe, saj iz prvotnega člena ni bilo razvidno, kaj so povezane naložbe.</w:t>
      </w:r>
    </w:p>
    <w:p w:rsidR="00077835" w:rsidRDefault="00077835" w:rsidP="00077835">
      <w:pPr>
        <w:spacing w:line="240" w:lineRule="auto"/>
        <w:jc w:val="both"/>
        <w:rPr>
          <w:rFonts w:cs="Arial"/>
          <w:b/>
          <w:szCs w:val="20"/>
          <w:u w:val="single"/>
        </w:rPr>
      </w:pPr>
      <w:r>
        <w:rPr>
          <w:rFonts w:cs="Arial"/>
          <w:b/>
          <w:szCs w:val="20"/>
          <w:u w:val="single"/>
        </w:rPr>
        <w:t>K 76. členu</w:t>
      </w:r>
    </w:p>
    <w:p w:rsidR="00077835" w:rsidRDefault="00077835" w:rsidP="00077835">
      <w:pPr>
        <w:widowControl w:val="0"/>
        <w:spacing w:line="240" w:lineRule="auto"/>
        <w:jc w:val="both"/>
        <w:rPr>
          <w:rFonts w:eastAsia="Arial" w:cs="Arial"/>
          <w:szCs w:val="20"/>
        </w:rPr>
      </w:pPr>
      <w:r>
        <w:rPr>
          <w:rFonts w:cs="Arial"/>
          <w:szCs w:val="20"/>
        </w:rPr>
        <w:t>V 76. členu se v drugem odstavku v 6. točki  za besedo »javnosti« doda besedilo: »</w:t>
      </w:r>
      <w:r>
        <w:rPr>
          <w:rFonts w:eastAsia="Arial" w:cs="Arial"/>
          <w:szCs w:val="20"/>
        </w:rPr>
        <w:t xml:space="preserve">v zvezi z dejavnostmi </w:t>
      </w:r>
      <w:proofErr w:type="spellStart"/>
      <w:r>
        <w:rPr>
          <w:rFonts w:eastAsia="Arial" w:cs="Arial"/>
          <w:szCs w:val="20"/>
        </w:rPr>
        <w:t>Eko</w:t>
      </w:r>
      <w:proofErr w:type="spellEnd"/>
      <w:r>
        <w:rPr>
          <w:rFonts w:eastAsia="Arial" w:cs="Arial"/>
          <w:szCs w:val="20"/>
        </w:rPr>
        <w:t xml:space="preserve"> sklada iz prejšnjega odstavka«.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eastAsiaTheme="minorHAnsi" w:cs="Arial"/>
          <w:szCs w:val="20"/>
        </w:rPr>
      </w:pPr>
      <w:r>
        <w:rPr>
          <w:rFonts w:cs="Arial"/>
          <w:szCs w:val="20"/>
        </w:rPr>
        <w:t xml:space="preserve">V točki 9. se črta besedilo »ali z njim povezane dejavnosti«.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 amandmaja:</w:t>
      </w:r>
      <w:r>
        <w:rPr>
          <w:rFonts w:cs="Arial"/>
          <w:b/>
          <w:bCs/>
          <w:szCs w:val="20"/>
        </w:rPr>
        <w:t xml:space="preserve"> </w:t>
      </w:r>
      <w:r>
        <w:rPr>
          <w:rFonts w:cs="Arial"/>
          <w:szCs w:val="20"/>
        </w:rPr>
        <w:t xml:space="preserve">Amandma je pripravljen kot odziv na mnenje Zakonodajno-pravne službe, točki sta bili nedoločno zapisani, zato se 6. točka dodatno pojasni, nedoločno opredeljeno besedilo 9. točke pa črta. </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b/>
          <w:szCs w:val="20"/>
          <w:u w:val="single"/>
        </w:rPr>
      </w:pPr>
      <w:r>
        <w:rPr>
          <w:rFonts w:cs="Arial"/>
          <w:b/>
          <w:szCs w:val="20"/>
          <w:u w:val="single"/>
        </w:rPr>
        <w:lastRenderedPageBreak/>
        <w:t>K 83. členu</w:t>
      </w:r>
    </w:p>
    <w:p w:rsidR="00077835" w:rsidRDefault="00077835" w:rsidP="00077835">
      <w:pPr>
        <w:spacing w:line="240" w:lineRule="auto"/>
        <w:jc w:val="both"/>
        <w:rPr>
          <w:rFonts w:cs="Arial"/>
          <w:szCs w:val="20"/>
        </w:rPr>
      </w:pPr>
      <w:r>
        <w:rPr>
          <w:rFonts w:cs="Arial"/>
          <w:szCs w:val="20"/>
        </w:rPr>
        <w:t xml:space="preserve">Besedilo 83. člena se spremeni tako, da se glasi: </w:t>
      </w:r>
    </w:p>
    <w:p w:rsidR="00077835" w:rsidRDefault="00077835" w:rsidP="00077835">
      <w:pPr>
        <w:spacing w:line="240" w:lineRule="auto"/>
        <w:jc w:val="both"/>
        <w:rPr>
          <w:rFonts w:cs="Arial"/>
          <w:szCs w:val="20"/>
        </w:rPr>
      </w:pPr>
      <w:r>
        <w:rPr>
          <w:rFonts w:cs="Arial"/>
          <w:szCs w:val="20"/>
        </w:rPr>
        <w:t>»(1)</w:t>
      </w:r>
      <w:r>
        <w:rPr>
          <w:rFonts w:cs="Arial"/>
          <w:szCs w:val="20"/>
        </w:rPr>
        <w:tab/>
        <w:t>Vlagatelj uveljavlja pravico do spodbude z vlogo, ki mora vsebovati zlasti:</w:t>
      </w:r>
    </w:p>
    <w:p w:rsidR="00077835" w:rsidRDefault="00077835" w:rsidP="00077835">
      <w:pPr>
        <w:spacing w:line="240" w:lineRule="auto"/>
        <w:jc w:val="both"/>
        <w:rPr>
          <w:rFonts w:cs="Arial"/>
          <w:szCs w:val="20"/>
        </w:rPr>
      </w:pPr>
      <w:r>
        <w:rPr>
          <w:rFonts w:cs="Arial"/>
          <w:szCs w:val="20"/>
        </w:rPr>
        <w:t>1.</w:t>
      </w:r>
      <w:r>
        <w:rPr>
          <w:rFonts w:cs="Arial"/>
          <w:szCs w:val="20"/>
        </w:rPr>
        <w:tab/>
        <w:t>davčno številko vlagatelja,</w:t>
      </w:r>
    </w:p>
    <w:p w:rsidR="00077835" w:rsidRDefault="00077835" w:rsidP="00077835">
      <w:pPr>
        <w:spacing w:line="240" w:lineRule="auto"/>
        <w:jc w:val="both"/>
        <w:rPr>
          <w:rFonts w:cs="Arial"/>
          <w:szCs w:val="20"/>
        </w:rPr>
      </w:pPr>
      <w:r>
        <w:rPr>
          <w:rFonts w:cs="Arial"/>
          <w:szCs w:val="20"/>
        </w:rPr>
        <w:t>2.</w:t>
      </w:r>
      <w:r>
        <w:rPr>
          <w:rFonts w:cs="Arial"/>
          <w:szCs w:val="20"/>
        </w:rPr>
        <w:tab/>
        <w:t>transakcijski račun, na katerega naj se izplača spodbuda, in podatke o prejemniku spodbude, če se spodbuda ne izplača vlagatelju,</w:t>
      </w:r>
    </w:p>
    <w:p w:rsidR="00077835" w:rsidRDefault="00077835" w:rsidP="00077835">
      <w:pPr>
        <w:spacing w:line="240" w:lineRule="auto"/>
        <w:jc w:val="both"/>
        <w:rPr>
          <w:rFonts w:cs="Arial"/>
          <w:szCs w:val="20"/>
        </w:rPr>
      </w:pPr>
      <w:r>
        <w:rPr>
          <w:rFonts w:cs="Arial"/>
          <w:szCs w:val="20"/>
        </w:rPr>
        <w:t>3.</w:t>
      </w:r>
      <w:r>
        <w:rPr>
          <w:rFonts w:cs="Arial"/>
          <w:szCs w:val="20"/>
        </w:rPr>
        <w:tab/>
        <w:t>podatke o predmetu spodbude.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(2)</w:t>
      </w:r>
      <w:r>
        <w:rPr>
          <w:rFonts w:cs="Arial"/>
          <w:szCs w:val="20"/>
        </w:rPr>
        <w:tab/>
        <w:t xml:space="preserve">Vloga iz prejšnjega odstavka se vloži na obrazcu, ki je del dokumentacije posameznega javnega poziva ali javnega razpisa.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(3)</w:t>
      </w:r>
      <w:r>
        <w:rPr>
          <w:rFonts w:cs="Arial"/>
          <w:szCs w:val="20"/>
        </w:rPr>
        <w:tab/>
        <w:t xml:space="preserve">Vlogi mora biti priložena dokumentacija in priloge, določene v javnem pozivu ali javnem razpisu.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(4)</w:t>
      </w:r>
      <w:r>
        <w:rPr>
          <w:rFonts w:cs="Arial"/>
          <w:szCs w:val="20"/>
        </w:rPr>
        <w:tab/>
        <w:t xml:space="preserve">Ne glede na zakon, ki ureja splošni upravni postopek, se lahko vloge v elektronski obliki vlagajo po elektronski poti brez kvalificiranega elektronskega podpisa, če je identiteto vložnika mogoče ugotoviti na drug zanesljiv način.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(5)</w:t>
      </w:r>
      <w:r>
        <w:rPr>
          <w:rFonts w:cs="Arial"/>
          <w:szCs w:val="20"/>
        </w:rPr>
        <w:tab/>
        <w:t>V postopkih za dodelitev finančne spodbude za naložbe v skupne dele stavbe večstanovanjskih stavb zastopa etažne lastnike upravnik, kadar ga imajo.«.</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u w:val="single"/>
        </w:rPr>
        <w:t xml:space="preserve">Obrazložitev amandmaja: </w:t>
      </w:r>
      <w:r>
        <w:rPr>
          <w:rFonts w:cs="Arial"/>
          <w:szCs w:val="20"/>
        </w:rPr>
        <w:t xml:space="preserve">Amandma je pripravljen kot odziv na mnenje Zakonodajno-pravne službe. V prvem odstavku amandma sledi načelu najmanjšega obsega podatkov, zato se črta EMŠO in matična številka. Popravljena je tudi določba glede zastopanja etažnih lastnikov. </w:t>
      </w:r>
    </w:p>
    <w:p w:rsidR="00077835" w:rsidRDefault="00077835" w:rsidP="00077835">
      <w:pPr>
        <w:spacing w:line="240" w:lineRule="auto"/>
        <w:jc w:val="both"/>
        <w:textAlignment w:val="baseline"/>
        <w:rPr>
          <w:rFonts w:eastAsia="Yu Gothic Light" w:cs="Arial"/>
          <w:szCs w:val="20"/>
          <w:u w:val="single"/>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szCs w:val="20"/>
          <w:u w:val="single"/>
          <w:lang w:eastAsia="sl-SI"/>
        </w:rPr>
        <w:t>K 86. členu:</w:t>
      </w:r>
      <w:r>
        <w:rPr>
          <w:rFonts w:eastAsia="Yu Gothic Light"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Besedilo 86. člena se spremeni tako, da se glasi: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w:t>
      </w:r>
      <w:r>
        <w:rPr>
          <w:rFonts w:eastAsia="Yu Gothic Light" w:cs="Arial"/>
          <w:szCs w:val="20"/>
          <w:lang w:eastAsia="sl-SI"/>
        </w:rPr>
        <w:tab/>
        <w:t xml:space="preserve">Za izvajanje dejavnosti iz 76. člena tega zakona, ki jih </w:t>
      </w:r>
      <w:proofErr w:type="spellStart"/>
      <w:r>
        <w:rPr>
          <w:rFonts w:eastAsia="Yu Gothic Light" w:cs="Arial"/>
          <w:szCs w:val="20"/>
          <w:lang w:eastAsia="sl-SI"/>
        </w:rPr>
        <w:t>Eko</w:t>
      </w:r>
      <w:proofErr w:type="spellEnd"/>
      <w:r>
        <w:rPr>
          <w:rFonts w:eastAsia="Yu Gothic Light" w:cs="Arial"/>
          <w:szCs w:val="20"/>
          <w:lang w:eastAsia="sl-SI"/>
        </w:rPr>
        <w:t xml:space="preserve"> sklad izvaja z javnim razpisom ali javnim pozivom, lahko </w:t>
      </w:r>
      <w:proofErr w:type="spellStart"/>
      <w:r>
        <w:rPr>
          <w:rFonts w:eastAsia="Yu Gothic Light" w:cs="Arial"/>
          <w:szCs w:val="20"/>
          <w:lang w:eastAsia="sl-SI"/>
        </w:rPr>
        <w:t>Eko</w:t>
      </w:r>
      <w:proofErr w:type="spellEnd"/>
      <w:r>
        <w:rPr>
          <w:rFonts w:eastAsia="Yu Gothic Light" w:cs="Arial"/>
          <w:szCs w:val="20"/>
          <w:lang w:eastAsia="sl-SI"/>
        </w:rPr>
        <w:t xml:space="preserve"> sklad za ugotavljanje dejanskega stanja in odločanje v upravnem postopku o dodelitvi spodbud, odvzemu pravice do spodbud ali izplačilu spodbud ali v postopku spremljanja in nadzora dodeljenih spodbud ter zagotavljanja zakonite in pregledne porabe javnih sredstev brezplačno pridobiva in obdeluje, tudi z neposrednim elektronskim povezovanjem zbirk osebnih podatkov, naslednje podatke in dostopa do njih: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w:t>
      </w:r>
      <w:r>
        <w:rPr>
          <w:rFonts w:eastAsia="Yu Gothic Light" w:cs="Arial"/>
          <w:szCs w:val="20"/>
          <w:lang w:eastAsia="sl-SI"/>
        </w:rPr>
        <w:tab/>
        <w:t>iz centralnega registra prebivalstva, ki ga vodi ministrstvo, pristojno za notranje zadeve, na podlagi davčne številke: osebno ime, EMŠO, prebivališče in vrsto prebivališča ter naslov za vročanje in elektronski naslov za vročanje, datum in kraj rojstva, datum smrti, podatke o zakonitem zastopniku (osebno ime, EMŠO, vrsta zastopstva),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2.</w:t>
      </w:r>
      <w:r>
        <w:rPr>
          <w:rFonts w:eastAsia="Yu Gothic Light" w:cs="Arial"/>
          <w:szCs w:val="20"/>
          <w:lang w:eastAsia="sl-SI"/>
        </w:rPr>
        <w:tab/>
        <w:t>iz katastra nepremičnin, ki ga vodi Geodetska uprava Republike Slovenije, na podlagi identifikacijskega znaka nepremičnine ali naslova: podatke o parcelah, stavbah in delih stavb ter druge podatke o lastnostih parcel, stavb in delov stavb,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3.</w:t>
      </w:r>
      <w:r>
        <w:rPr>
          <w:rFonts w:eastAsia="Yu Gothic Light" w:cs="Arial"/>
          <w:szCs w:val="20"/>
          <w:lang w:eastAsia="sl-SI"/>
        </w:rPr>
        <w:tab/>
        <w:t>iz Zemljiške knjige, ki jo vodi sodišče, na podlagi identifikacijskega znaka nepremičnine: podatke o lastniku in imetniku morebitnih drugih stvarnih ali obligacijskih pravic na nepremičnini (osebno ime, EMŠO in naslov prebivališča za fizično osebo ter firmo, matično številko in sedež za pravno osebo), druge podatke o stvarnih ali obligacijskih pravicah, idealni delež osnovnega pravnega položaja nepremičnine,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4.</w:t>
      </w:r>
      <w:r>
        <w:rPr>
          <w:rFonts w:eastAsia="Yu Gothic Light" w:cs="Arial"/>
          <w:szCs w:val="20"/>
          <w:lang w:eastAsia="sl-SI"/>
        </w:rPr>
        <w:tab/>
        <w:t>iz evidenc Vrhovnega sodišča Republike Slovenije na podlagi davčne številke: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a.</w:t>
      </w:r>
      <w:r>
        <w:rPr>
          <w:rFonts w:eastAsia="Yu Gothic Light" w:cs="Arial"/>
          <w:szCs w:val="20"/>
          <w:lang w:eastAsia="sl-SI"/>
        </w:rPr>
        <w:tab/>
        <w:t>za fizične osebe: podatke o postopkih zaradi insolventnosti,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b.</w:t>
      </w:r>
      <w:r>
        <w:rPr>
          <w:rFonts w:eastAsia="Yu Gothic Light" w:cs="Arial"/>
          <w:szCs w:val="20"/>
          <w:lang w:eastAsia="sl-SI"/>
        </w:rPr>
        <w:tab/>
        <w:t>za pravne osebe, združenja oseb po tujem pravu, ki so brez pravne osebnosti, neposredne uporabnike državnega in občinskih proračunov ter druge osebe, ki opravljajo dejavnost: podatke o postopkih zaradi insolventnosti in postopkih prisilnega prenehanja,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5.</w:t>
      </w:r>
      <w:r>
        <w:rPr>
          <w:rFonts w:eastAsia="Yu Gothic Light" w:cs="Arial"/>
          <w:szCs w:val="20"/>
          <w:lang w:eastAsia="sl-SI"/>
        </w:rPr>
        <w:tab/>
        <w:t>iz Poslovnega registra Slovenije, ki ga vodi Agencija Republike Slovenije za javnopravne evidence in storitve, na podlagi davčne številke: firmo in sedež, poslovni naslov, identifikacijsko številko za DDV ali davčno številko, elektronski naslov ter matično številko, podatke o zastopnikih (osebno ime, EMŠO, naslov stalnega ali začasnega prebivališča in vrsto zastopnika), podatke o lastniških deležih, podatke o povezanih osebah, pravnoorganizacijsko obliko, podatke o dejavnosti družbe, velikost družbe po merilih zakona, ki ureja gospodarske družbe, velikost družbe po standardih EU, podatke o poslovnih naslovih, številu in lokaciji poslovnih enot in drugih delov, podatke o začetku postopka v skladu z zakonom, ki ureja finančno poslovanje, postopke zaradi insolventnosti in prisilno prenehanje,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lastRenderedPageBreak/>
        <w:t>6.</w:t>
      </w:r>
      <w:r>
        <w:rPr>
          <w:rFonts w:eastAsia="Yu Gothic Light" w:cs="Arial"/>
          <w:szCs w:val="20"/>
          <w:lang w:eastAsia="sl-SI"/>
        </w:rPr>
        <w:tab/>
        <w:t>iz registra transakcijskih računov, ki ga vodi Agencija Republike Slovenije za javnopravne evidence in storitve, na podlagi davčne številke: podatke o imetniku transakcijskega računa, kot so opredeljeni v zakonu, ki ureja plačilne storitve in sisteme (osebno ime in naslov prebivališča imetnika transakcijskega računa, ki je fizična oseba, ter firmo, sedež in poslovni naslov imetnika transakcijskega računa, ki je pravna oseba, podjetnik ali zasebnik, ter naziv in naslov drugega imetnika transakcijskega računa), številko transakcijskega računa, naziv in matično številko ponudnika, ki vodi transakcijski račun, oznako vrste računa, podatek o statusu računa (odprt, zaprt), podatek, da sredstva na transakcijskem računu ne zadoščajo za izvršitev sklepa o izvršbi ali zavarovanju (oznaka R),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7.</w:t>
      </w:r>
      <w:r>
        <w:rPr>
          <w:rFonts w:eastAsia="Yu Gothic Light" w:cs="Arial"/>
          <w:szCs w:val="20"/>
          <w:lang w:eastAsia="sl-SI"/>
        </w:rPr>
        <w:tab/>
        <w:t>iz registra dejanskih lastnikov, ki ga vodi Agencija Republike Slovenije za javnopravne evidence in storitve na podlagi davčne številke ali imena pravne osebe in države, kjer ima sedež, ali osebnega imena in davčne številke ali osebnega imena in datuma rojstva ali osebnega imena in naslova stalnega prebivališča dejanskega lastnika: podatke o dejanskih lastnikih (ime in priimek, naslov stalnega in začasnega prebivališča, datum vpisa dejanskega lastnika v register, način nadzora nad poslovnim subjektom, datum in kraj rojstva, državljanstvo dejanskega lastnika),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8.</w:t>
      </w:r>
      <w:r>
        <w:rPr>
          <w:rFonts w:eastAsia="Yu Gothic Light" w:cs="Arial"/>
          <w:szCs w:val="20"/>
          <w:lang w:eastAsia="sl-SI"/>
        </w:rPr>
        <w:tab/>
        <w:t>iz zbirke prostorskih aktov, zbirke podatkov o graditvi objektov, evidence stavbnih zemljišč in evidence dejanske rabe poseljenih zemljišč, ki jih vodi ministrstvo, pristojno za prostor, na podlagi katastrske občine in parcelne številke, številke stavbe ali dela stavbe, če obstaja, ali naslova: podatke o prostorskih aktih, ki se vodijo v zbirki prostorskih aktov, podatke o graditvi objektov, ki se vodijo v zbirki podatkov o graditvi objektov, podatke o stavbnih zemljiščih, ki se vodijo v evidenci stavbnih zemljišč, in podatke o poseljenih zemljiščih, ki se vodijo v evidenci dejanske rabe poseljenih zemljišč,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9.</w:t>
      </w:r>
      <w:r>
        <w:rPr>
          <w:rFonts w:eastAsia="Yu Gothic Light" w:cs="Arial"/>
          <w:szCs w:val="20"/>
          <w:lang w:eastAsia="sl-SI"/>
        </w:rPr>
        <w:tab/>
        <w:t>iz evidence izvajanja dimnikarskih storitev, ki jo vodi ministrstvo, pristojno za okolje, na podlagi katastrske občine in parcelne številke ali številke stavbe ali številke dela stavbe ali naslova: podatke o malih kurilnih napravah (številka kurilne naprave, ki jo napravi dodeli aplikacija ministrstva, moč, leto proizvodnje oziroma leto vgradnje, vrsta goriva, identifikacijski podatki iz prostorskih registrov Republike Slovenije o stavbi, namen in vrsta kurilne naprave ter drugi obratovalni podatki, kot so na primer podatki o gorilniku, prezračevalni in dimovodni napravi, zalaganju),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10.</w:t>
      </w:r>
      <w:r>
        <w:rPr>
          <w:rFonts w:eastAsia="Yu Gothic Light" w:cs="Arial"/>
          <w:szCs w:val="20"/>
          <w:lang w:eastAsia="sl-SI"/>
        </w:rPr>
        <w:tab/>
        <w:t>iz evidence registriranih vozil, ki jo vodi ministrstvo, pristojno za promet, na podlagi identifikacijske številke vozila (VIN): podatke o posameznem vozilu, ki so navedeni na prometnem dovoljenju, o aktualnih in predhodnih registracijah vozila, izdanih prometnih dovoljenjih, lastnikih vozila ali osebah, na katere je bilo in je vozilo registrirano, in druge tehnične podatke,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11.</w:t>
      </w:r>
      <w:r>
        <w:rPr>
          <w:rFonts w:eastAsia="Yu Gothic Light" w:cs="Arial"/>
          <w:szCs w:val="20"/>
          <w:lang w:eastAsia="sl-SI"/>
        </w:rPr>
        <w:tab/>
        <w:t>iz nacionalnega elektronskega registra, ki vsebuje evidenco izdanih licenc, licenc EU in dovoljenj EU ter njihovih izdanih izvodov (v nadaljnjem besedilu: licenca) in ga vodi ministrstvo, pristojno za promet, na podlagi davčne številke: številko, veljavnost in status izdane licence, za katero vrsto prevozov je bila licenca izdana, osebno ime, EMŠO in stalno prebivališče osebe, ki je pri prevozniku odgovorna za prevoze, registrsko označbo, vrsto, znamko in tip vozila, za katero je bila licenca izdana,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12.</w:t>
      </w:r>
      <w:r>
        <w:rPr>
          <w:rFonts w:eastAsia="Yu Gothic Light" w:cs="Arial"/>
          <w:szCs w:val="20"/>
          <w:lang w:eastAsia="sl-SI"/>
        </w:rPr>
        <w:tab/>
        <w:t>iz evidence homologiranih vozil, ki jo vodi Javna agencija Republike Slovenije za varnost prometa: podatke o tipih vozil, njihovih proizvajalcih ter izdanih listinah in oznakah o skladnosti tipov vozil,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13.</w:t>
      </w:r>
      <w:r>
        <w:rPr>
          <w:rFonts w:eastAsia="Yu Gothic Light" w:cs="Arial"/>
          <w:szCs w:val="20"/>
          <w:lang w:eastAsia="sl-SI"/>
        </w:rPr>
        <w:tab/>
        <w:t>iz evidence o davkih in knjigovodske evidence, ki jo vodi Finančna uprava Republike Slovenije, na podlagi davčne številke: podatek, ali ima vlagatelj na dan oddaje vloge ali na dan izdaje odločbe neplačane zapadle obvezne dajatve in druge denarne nedavčne obveznosti, ki jih pobira Finančna uprava Republike Slovenije, višje od 50 eurov, ter so predloženi vsi obračuni davčnih odtegljajev za dohodke iz delovnega razmerja za zadnjih pet let pred oddajo vloge,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14.</w:t>
      </w:r>
      <w:r>
        <w:rPr>
          <w:rFonts w:eastAsia="Yu Gothic Light" w:cs="Arial"/>
          <w:szCs w:val="20"/>
          <w:lang w:eastAsia="sl-SI"/>
        </w:rPr>
        <w:tab/>
        <w:t>iz evidence distribucijskega operaterja na podlagi davčne številke: podatke o izdanih soglasjih za priključitev in podatke uporabnikov sistema v skladu z zakonom, ki ureja oskrbo z električno energijo,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15.</w:t>
      </w:r>
      <w:r>
        <w:rPr>
          <w:rFonts w:eastAsia="Yu Gothic Light" w:cs="Arial"/>
          <w:szCs w:val="20"/>
          <w:lang w:eastAsia="sl-SI"/>
        </w:rPr>
        <w:tab/>
        <w:t>iz evidence izdanih vodnih dovoljenj, ki jo vodi Direkcija Republike Slovenije za vode na podlagi identifikacijskega znaka nepremičnine ali naslova: številko odločbe, občino zajema ali izpusta vode, datum odločbe, datum veljavnosti odločbe in pravnomočnost, rabo vode,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16.</w:t>
      </w:r>
      <w:r>
        <w:rPr>
          <w:rFonts w:eastAsia="Yu Gothic Light" w:cs="Arial"/>
          <w:szCs w:val="20"/>
          <w:lang w:eastAsia="sl-SI"/>
        </w:rPr>
        <w:tab/>
        <w:t xml:space="preserve">iz Registra kulturne dediščine, ki ga vodi ministrstvo, pristojno za kulturo, na podlagi </w:t>
      </w:r>
      <w:proofErr w:type="spellStart"/>
      <w:r>
        <w:rPr>
          <w:rFonts w:eastAsia="Yu Gothic Light" w:cs="Arial"/>
          <w:szCs w:val="20"/>
          <w:lang w:eastAsia="sl-SI"/>
        </w:rPr>
        <w:t>geolokacije</w:t>
      </w:r>
      <w:proofErr w:type="spellEnd"/>
      <w:r>
        <w:rPr>
          <w:rFonts w:eastAsia="Yu Gothic Light" w:cs="Arial"/>
          <w:szCs w:val="20"/>
          <w:lang w:eastAsia="sl-SI"/>
        </w:rPr>
        <w:t xml:space="preserve"> ali enotne identifikacije dediščine iz Registra kulturne dediščine: podatke o pravnem režimu in </w:t>
      </w:r>
      <w:proofErr w:type="spellStart"/>
      <w:r>
        <w:rPr>
          <w:rFonts w:eastAsia="Yu Gothic Light" w:cs="Arial"/>
          <w:szCs w:val="20"/>
          <w:lang w:eastAsia="sl-SI"/>
        </w:rPr>
        <w:t>podrežimu</w:t>
      </w:r>
      <w:proofErr w:type="spellEnd"/>
      <w:r>
        <w:rPr>
          <w:rFonts w:eastAsia="Yu Gothic Light" w:cs="Arial"/>
          <w:szCs w:val="20"/>
          <w:lang w:eastAsia="sl-SI"/>
        </w:rPr>
        <w:t xml:space="preserve"> kulturne dediščine in območni enoti Zavoda za varstvo kulturne dediščine,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17.</w:t>
      </w:r>
      <w:r>
        <w:rPr>
          <w:rFonts w:eastAsia="Yu Gothic Light" w:cs="Arial"/>
          <w:szCs w:val="20"/>
          <w:lang w:eastAsia="sl-SI"/>
        </w:rPr>
        <w:tab/>
        <w:t>iz evidence o dodeljenih pomočeh, ki jo vodi center za podpore na podlagi davčne številke: podatke o imenu in sedežu upravičenca, proizvodni napravi, skupnih stroških projekta, višini pomoči, pogojih in izplačilih,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lastRenderedPageBreak/>
        <w:t>18.</w:t>
      </w:r>
      <w:r>
        <w:rPr>
          <w:rFonts w:eastAsia="Yu Gothic Light" w:cs="Arial"/>
          <w:szCs w:val="20"/>
          <w:lang w:eastAsia="sl-SI"/>
        </w:rPr>
        <w:tab/>
        <w:t>iz evidence trga nepremičnin, ki jo vodi Geodetska uprava Republike Slovenije, na podlagi naslova nepremičnine ali identifikatorja nepremičnine: podatke o sklenjenih kupoprodajnih pravnih poslih s posamezno nepremičnino.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(2)</w:t>
      </w:r>
      <w:r>
        <w:rPr>
          <w:rFonts w:eastAsia="Yu Gothic Light" w:cs="Arial"/>
          <w:szCs w:val="20"/>
          <w:lang w:eastAsia="sl-SI"/>
        </w:rPr>
        <w:tab/>
        <w:t xml:space="preserve">Kadar je pri izvajanju dejavnosti iz 7. točke drugega odstavka 76. člena tega zakona upravičenje do spodbude ali višina spodbude po javnem pozivu ali javnem razpisu vezano na materialno ogroženost vlagateljev in članov gospodinjstva, lahko </w:t>
      </w:r>
      <w:proofErr w:type="spellStart"/>
      <w:r>
        <w:rPr>
          <w:rFonts w:eastAsia="Yu Gothic Light" w:cs="Arial"/>
          <w:szCs w:val="20"/>
          <w:lang w:eastAsia="sl-SI"/>
        </w:rPr>
        <w:t>Eko</w:t>
      </w:r>
      <w:proofErr w:type="spellEnd"/>
      <w:r>
        <w:rPr>
          <w:rFonts w:eastAsia="Yu Gothic Light" w:cs="Arial"/>
          <w:szCs w:val="20"/>
          <w:lang w:eastAsia="sl-SI"/>
        </w:rPr>
        <w:t xml:space="preserve"> sklad za ugotavljanje dejanskega stanja in odločanje v upravnem postopku o dodelitvi pravice do spodbude poleg podatkov, navedenih v prvem odstavku tega člena, brezplačno pridobiva in obdeluje, tudi z neposrednim elektronskim povezovanjem zbirk osebnih podatkov, naslednje osebne podatke o vlagateljih in članih gospodinjstva na podlagi povezovalnega znaka davčne številke in dostopa do njih: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w:t>
      </w:r>
      <w:r>
        <w:rPr>
          <w:rFonts w:eastAsia="Yu Gothic Light" w:cs="Arial"/>
          <w:szCs w:val="20"/>
          <w:lang w:eastAsia="sl-SI"/>
        </w:rPr>
        <w:tab/>
        <w:t>iz evidence registriranih vozil, ki jo vodi ministrstvo, pristojno za promet: podatke o lastništvu vozila in o vozilu,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2.</w:t>
      </w:r>
      <w:r>
        <w:rPr>
          <w:rFonts w:eastAsia="Yu Gothic Light" w:cs="Arial"/>
          <w:szCs w:val="20"/>
          <w:lang w:eastAsia="sl-SI"/>
        </w:rPr>
        <w:tab/>
        <w:t>iz evidence uživalcev pravic iz obveznega pokojninskega in invalidskega zavarovanja, ki jo vodi Zavod za pokojninsko in invalidsko zavarovanje Slovenije: podatke o uživalcih pravic pokojninskega in invalidskega zavarovanja, ki jih izplačuje Zavod za pokojninsko in invalidsko zavarovanje (vrsta, višina, datum izplačila in datum upravičenosti do posamezne pravice), ter podatke o višini, datumu izplačila in datumu upravičenosti do dodatka za tujo nego in pomoč ter nadomestila za invalidnost,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3.</w:t>
      </w:r>
      <w:r>
        <w:rPr>
          <w:rFonts w:eastAsia="Yu Gothic Light" w:cs="Arial"/>
          <w:szCs w:val="20"/>
          <w:lang w:eastAsia="sl-SI"/>
        </w:rPr>
        <w:tab/>
        <w:t>iz evidence o davkih, ki jo vodi Finančna uprava Republike Slovenije: v skladu z zakonom, ki ureja davčni postopek, podatke o dohodkih v skladu z zakonom, ki ureja dohodnino, ki niso oproščeni plačila dohodnine, podatke o davku in obveznih prispevkih za socialno varnost, ki se nanašajo na te dohodke, in podatke o normiranih ali dejanskih stroških, ki se nanašajo na te dohodke,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4.</w:t>
      </w:r>
      <w:r>
        <w:rPr>
          <w:rFonts w:eastAsia="Yu Gothic Light" w:cs="Arial"/>
          <w:szCs w:val="20"/>
          <w:lang w:eastAsia="sl-SI"/>
        </w:rPr>
        <w:tab/>
        <w:t>iz evidence trga nepremičnin, ki jo vodi Geodetska uprava Republike Slovenije: podatke o vrednosti nepremičnin, podatke o vrsti nepremičnine in podatke o površini stanovanja,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5.</w:t>
      </w:r>
      <w:r>
        <w:rPr>
          <w:rFonts w:eastAsia="Yu Gothic Light" w:cs="Arial"/>
          <w:szCs w:val="20"/>
          <w:lang w:eastAsia="sl-SI"/>
        </w:rPr>
        <w:tab/>
        <w:t>iz slovenskega ladijskega registra, ki ga vodi Uprava Republike Slovenije za pomorstvo: podatke o lastništvu vodnih plovil posamezne osebe in o vodnem plovilu,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6.</w:t>
      </w:r>
      <w:r>
        <w:rPr>
          <w:rFonts w:eastAsia="Yu Gothic Light" w:cs="Arial"/>
          <w:szCs w:val="20"/>
          <w:lang w:eastAsia="sl-SI"/>
        </w:rPr>
        <w:tab/>
        <w:t>iz zemljiške knjige pristojnih sodišč: podatke iz zemljiške knjige o lastništvu nepremičnin posamezne osebe,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7.</w:t>
      </w:r>
      <w:r>
        <w:rPr>
          <w:rFonts w:eastAsia="Yu Gothic Light" w:cs="Arial"/>
          <w:szCs w:val="20"/>
          <w:lang w:eastAsia="sl-SI"/>
        </w:rPr>
        <w:tab/>
        <w:t>iz evidence Agencije Republike Slovenije za javnopravne evidence in storitve: podatke o vrednosti lastniških deležev,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8.</w:t>
      </w:r>
      <w:r>
        <w:rPr>
          <w:rFonts w:eastAsia="Yu Gothic Light" w:cs="Arial"/>
          <w:szCs w:val="20"/>
          <w:lang w:eastAsia="sl-SI"/>
        </w:rPr>
        <w:tab/>
        <w:t>iz evidenc Kapitalske družbe: podatke o višinah pokojninskih rent in odkupnih vrednostih,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9.</w:t>
      </w:r>
      <w:r>
        <w:rPr>
          <w:rFonts w:eastAsia="Yu Gothic Light" w:cs="Arial"/>
          <w:szCs w:val="20"/>
          <w:lang w:eastAsia="sl-SI"/>
        </w:rPr>
        <w:tab/>
        <w:t xml:space="preserve">iz evidenc finančnih institucij po zakonu, ki ureja bančništvo: podatke o prihodkih ali prejemkih na transakcijskih računih, o višini sredstev na varčevalnih računih, o višini depozitov, o premoženjskih pravicah iz </w:t>
      </w:r>
      <w:proofErr w:type="spellStart"/>
      <w:r>
        <w:rPr>
          <w:rFonts w:eastAsia="Yu Gothic Light" w:cs="Arial"/>
          <w:szCs w:val="20"/>
          <w:lang w:eastAsia="sl-SI"/>
        </w:rPr>
        <w:t>poddepoja</w:t>
      </w:r>
      <w:proofErr w:type="spellEnd"/>
      <w:r>
        <w:rPr>
          <w:rFonts w:eastAsia="Yu Gothic Light" w:cs="Arial"/>
          <w:szCs w:val="20"/>
          <w:lang w:eastAsia="sl-SI"/>
        </w:rPr>
        <w:t xml:space="preserve"> finančnih instrumentov, o imetnikih enot premoženja investicijskih skladov, številu enot, vrednosti enote ter o skladu,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10.</w:t>
      </w:r>
      <w:r>
        <w:rPr>
          <w:rFonts w:eastAsia="Yu Gothic Light" w:cs="Arial"/>
          <w:szCs w:val="20"/>
          <w:lang w:eastAsia="sl-SI"/>
        </w:rPr>
        <w:tab/>
        <w:t>iz Centralnega registra nematerializiranih vrednostnih papirjev, ki ga vodi Klirinško depotna družba: podatke o imetnikih vrednostnih papirjev, pravicah, obveznostih in bremenih na njih.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(3)</w:t>
      </w:r>
      <w:r>
        <w:rPr>
          <w:rFonts w:eastAsia="Yu Gothic Light" w:cs="Arial"/>
          <w:szCs w:val="20"/>
          <w:lang w:eastAsia="sl-SI"/>
        </w:rPr>
        <w:tab/>
      </w:r>
      <w:proofErr w:type="spellStart"/>
      <w:r>
        <w:rPr>
          <w:rFonts w:eastAsia="Yu Gothic Light" w:cs="Arial"/>
          <w:szCs w:val="20"/>
          <w:lang w:eastAsia="sl-SI"/>
        </w:rPr>
        <w:t>Eko</w:t>
      </w:r>
      <w:proofErr w:type="spellEnd"/>
      <w:r>
        <w:rPr>
          <w:rFonts w:eastAsia="Yu Gothic Light" w:cs="Arial"/>
          <w:szCs w:val="20"/>
          <w:lang w:eastAsia="sl-SI"/>
        </w:rPr>
        <w:t xml:space="preserve"> sklad pri posameznem javnem pozivu ali javnem razpisu pridobiva in obdeluje najmanjši možen obseg podatkov in dostopa do takega obsega podatkov, ki je nujno potreben, glede na posamezni javni poziv ali javni razpis in za nujno potreben namen. Vrsta osebnih podatkov, do katerih na podlagi prvega in drugega odstavka dostopa </w:t>
      </w:r>
      <w:proofErr w:type="spellStart"/>
      <w:r>
        <w:rPr>
          <w:rFonts w:eastAsia="Yu Gothic Light" w:cs="Arial"/>
          <w:szCs w:val="20"/>
          <w:lang w:eastAsia="sl-SI"/>
        </w:rPr>
        <w:t>Eko</w:t>
      </w:r>
      <w:proofErr w:type="spellEnd"/>
      <w:r>
        <w:rPr>
          <w:rFonts w:eastAsia="Yu Gothic Light" w:cs="Arial"/>
          <w:szCs w:val="20"/>
          <w:lang w:eastAsia="sl-SI"/>
        </w:rPr>
        <w:t xml:space="preserve"> sklad pri posameznem javnem pozivu ali javnem razpisu, in namen njihove obdelave sta navedena v besedilu posameznega javnega poziva ali javnega razpisa.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(4)</w:t>
      </w:r>
      <w:r>
        <w:rPr>
          <w:rFonts w:eastAsia="Yu Gothic Light" w:cs="Arial"/>
          <w:szCs w:val="20"/>
          <w:lang w:eastAsia="sl-SI"/>
        </w:rPr>
        <w:tab/>
        <w:t xml:space="preserve">Kadar je pri izvajanju dejavnosti iz 7. točke drugega odstavka 76. člena tega zakona je upravičenje do spodbude ali višina spodbude po javnem pozivu ali javnem razpisu vezano na materialno ogroženost vlagateljev in povezanih oseb, kot jih določa zakon, ki ureja uveljavljanje pravic iz javnih sredstev, lahko </w:t>
      </w:r>
      <w:proofErr w:type="spellStart"/>
      <w:r>
        <w:rPr>
          <w:rFonts w:eastAsia="Yu Gothic Light" w:cs="Arial"/>
          <w:szCs w:val="20"/>
          <w:lang w:eastAsia="sl-SI"/>
        </w:rPr>
        <w:t>Eko</w:t>
      </w:r>
      <w:proofErr w:type="spellEnd"/>
      <w:r>
        <w:rPr>
          <w:rFonts w:eastAsia="Yu Gothic Light" w:cs="Arial"/>
          <w:szCs w:val="20"/>
          <w:lang w:eastAsia="sl-SI"/>
        </w:rPr>
        <w:t xml:space="preserve"> sklad za ugotavljanje dejanskega stanja in za odločanje v upravnem postopku o dodelitvi pravice do spodbude poleg podatkov, navedenih v prvem in drugem odstavku tega člena, brezplačno pridobiva in obdeluje, tudi z neposrednim elektronskim povezovanjem zbirk osebnih podatkov, naslednje osebne podatke o vlagateljih in povezanih osebah na podlagi povezovalnega znaka EMŠO iz Centralne zbirke podatkov o pravicah iz javnih sredstev, ki jo vodi ministrstvo, pristojno za socialne zadeve, in dostopa do njih: podatke o otroških dodatkih, državnih štipendijah, subvencijah najemnine, denarnih socialnih pomočeh, varstvenih dodatkih, znižanih plačilih vrtca, subvencijah malice za učence in dijake, subvencijah kosila za </w:t>
      </w:r>
      <w:r>
        <w:rPr>
          <w:rFonts w:eastAsia="Yu Gothic Light" w:cs="Arial"/>
          <w:szCs w:val="20"/>
          <w:lang w:eastAsia="sl-SI"/>
        </w:rPr>
        <w:lastRenderedPageBreak/>
        <w:t xml:space="preserve">učence (za vse navedene pravice so to podatki o osebnem imenu, vrsti pravice, dohodkovnem razredu, številki, datumu in izdajatelju odločbe) ter podatke, ki se nanašajo na družinska razmerja (število družinskih članov, podatek, ali gre za enostarševsko družino ali </w:t>
      </w:r>
      <w:proofErr w:type="spellStart"/>
      <w:r>
        <w:rPr>
          <w:rFonts w:eastAsia="Yu Gothic Light" w:cs="Arial"/>
          <w:szCs w:val="20"/>
          <w:lang w:eastAsia="sl-SI"/>
        </w:rPr>
        <w:t>dvostarševsko</w:t>
      </w:r>
      <w:proofErr w:type="spellEnd"/>
      <w:r>
        <w:rPr>
          <w:rFonts w:eastAsia="Yu Gothic Light" w:cs="Arial"/>
          <w:szCs w:val="20"/>
          <w:lang w:eastAsia="sl-SI"/>
        </w:rPr>
        <w:t xml:space="preserve"> družino, razmerje do vlagatelja).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(5)</w:t>
      </w:r>
      <w:r>
        <w:rPr>
          <w:rFonts w:eastAsia="Yu Gothic Light" w:cs="Arial"/>
          <w:szCs w:val="20"/>
          <w:lang w:eastAsia="sl-SI"/>
        </w:rPr>
        <w:tab/>
      </w:r>
      <w:proofErr w:type="spellStart"/>
      <w:r>
        <w:rPr>
          <w:rFonts w:eastAsia="Yu Gothic Light" w:cs="Arial"/>
          <w:szCs w:val="20"/>
          <w:lang w:eastAsia="sl-SI"/>
        </w:rPr>
        <w:t>Eko</w:t>
      </w:r>
      <w:proofErr w:type="spellEnd"/>
      <w:r>
        <w:rPr>
          <w:rFonts w:eastAsia="Yu Gothic Light" w:cs="Arial"/>
          <w:szCs w:val="20"/>
          <w:lang w:eastAsia="sl-SI"/>
        </w:rPr>
        <w:t xml:space="preserve"> sklad mora pri obdelavi, pridobivanju in povezovanju osebnih podatkov zagotoviti ustrezno tehnično in organizacijsko varnost, da zaščiti podatke pred nepooblaščenim dostopom, razkritjem, spremembo, uničenjem ali drugim nepooblaščenim ravnanjem. Poleg tega mora izvajati ustrezne ukrepe za zagotavljanje integritete in zaupnosti osebnih podatkov ter za preprečevanje kakršne koli zlorabe podatkov.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(6)</w:t>
      </w:r>
      <w:r>
        <w:rPr>
          <w:rFonts w:eastAsia="Yu Gothic Light" w:cs="Arial"/>
          <w:szCs w:val="20"/>
          <w:lang w:eastAsia="sl-SI"/>
        </w:rPr>
        <w:tab/>
      </w:r>
      <w:proofErr w:type="spellStart"/>
      <w:r>
        <w:rPr>
          <w:rFonts w:eastAsia="Yu Gothic Light" w:cs="Arial"/>
          <w:szCs w:val="20"/>
          <w:lang w:eastAsia="sl-SI"/>
        </w:rPr>
        <w:t>Eko</w:t>
      </w:r>
      <w:proofErr w:type="spellEnd"/>
      <w:r>
        <w:rPr>
          <w:rFonts w:eastAsia="Yu Gothic Light" w:cs="Arial"/>
          <w:szCs w:val="20"/>
          <w:lang w:eastAsia="sl-SI"/>
        </w:rPr>
        <w:t xml:space="preserve"> sklad lahko pridobljene osebne podatke iz tega člena hrani v posebni zbirki podatkov pet let po datumu izplačila nepovratne finančne spodbude oziroma deset let od datuma poplačila kredita, razen, če drug zakon ne določa drugače.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(7)</w:t>
      </w:r>
      <w:r>
        <w:rPr>
          <w:rFonts w:eastAsia="Yu Gothic Light" w:cs="Arial"/>
          <w:szCs w:val="20"/>
          <w:lang w:eastAsia="sl-SI"/>
        </w:rPr>
        <w:tab/>
      </w:r>
      <w:proofErr w:type="spellStart"/>
      <w:r>
        <w:rPr>
          <w:rFonts w:eastAsia="Yu Gothic Light" w:cs="Arial"/>
          <w:szCs w:val="20"/>
          <w:lang w:eastAsia="sl-SI"/>
        </w:rPr>
        <w:t>Eko</w:t>
      </w:r>
      <w:proofErr w:type="spellEnd"/>
      <w:r>
        <w:rPr>
          <w:rFonts w:eastAsia="Yu Gothic Light" w:cs="Arial"/>
          <w:szCs w:val="20"/>
          <w:lang w:eastAsia="sl-SI"/>
        </w:rPr>
        <w:t xml:space="preserve"> sklad je dolžan vsaki dve leti zagotoviti reden notranji nadzor pridobivanja, obdelave in hrambe osebnih podatkov iz tega člena in dostopa do njih.«.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b/>
          <w:bCs/>
          <w:szCs w:val="20"/>
          <w:lang w:eastAsia="sl-SI"/>
        </w:rPr>
        <w:t>Obrazložitev amandmaja</w:t>
      </w:r>
      <w:r>
        <w:rPr>
          <w:rFonts w:eastAsia="Yu Gothic Light" w:cs="Arial"/>
          <w:szCs w:val="20"/>
          <w:lang w:eastAsia="sl-SI"/>
        </w:rPr>
        <w:t xml:space="preserve">: Amandma je pripravljen kot odziv na  mnenje ZPS. Za večjo predvidljivost je v besedilu prvega, drugega in četrtega odstavka dodano še besedilo »v upravnem postopku«, da bo še bolj poudarjeno, da gre za konkreten in posamičen postopek, v katerem odloča </w:t>
      </w:r>
      <w:proofErr w:type="spellStart"/>
      <w:r>
        <w:rPr>
          <w:rFonts w:eastAsia="Yu Gothic Light" w:cs="Arial"/>
          <w:szCs w:val="20"/>
          <w:lang w:eastAsia="sl-SI"/>
        </w:rPr>
        <w:t>Eko</w:t>
      </w:r>
      <w:proofErr w:type="spellEnd"/>
      <w:r>
        <w:rPr>
          <w:rFonts w:eastAsia="Yu Gothic Light" w:cs="Arial"/>
          <w:szCs w:val="20"/>
          <w:lang w:eastAsia="sl-SI"/>
        </w:rPr>
        <w:t xml:space="preserve"> sklad na zahtevo vlagatelja.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xml:space="preserve">Povsod v členu, kjer je določeno posredovanje zbirk, se z amandmajem spreminja tako, da se pridobivajo na podlagi davčne številke, črtana sta EMŠO in matična številka, v kolikor organi, ki so vključeni kot upravljavci, vodijo svoje evidence na podlagi davčne številke. To sledi tudi spremembi 83. člena, kjer bi </w:t>
      </w:r>
      <w:proofErr w:type="spellStart"/>
      <w:r>
        <w:rPr>
          <w:rFonts w:eastAsia="Yu Gothic Light" w:cs="Arial"/>
          <w:szCs w:val="20"/>
          <w:lang w:eastAsia="sl-SI"/>
        </w:rPr>
        <w:t>Eko</w:t>
      </w:r>
      <w:proofErr w:type="spellEnd"/>
      <w:r>
        <w:rPr>
          <w:rFonts w:eastAsia="Yu Gothic Light" w:cs="Arial"/>
          <w:szCs w:val="20"/>
          <w:lang w:eastAsia="sl-SI"/>
        </w:rPr>
        <w:t xml:space="preserve"> sklad na vlogah zbiral le podatek o davčni številki, saj gre za enolični identifikator, ki je za potrebe </w:t>
      </w:r>
      <w:proofErr w:type="spellStart"/>
      <w:r>
        <w:rPr>
          <w:rFonts w:eastAsia="Yu Gothic Light" w:cs="Arial"/>
          <w:szCs w:val="20"/>
          <w:lang w:eastAsia="sl-SI"/>
        </w:rPr>
        <w:t>Eko</w:t>
      </w:r>
      <w:proofErr w:type="spellEnd"/>
      <w:r>
        <w:rPr>
          <w:rFonts w:eastAsia="Yu Gothic Light" w:cs="Arial"/>
          <w:szCs w:val="20"/>
          <w:lang w:eastAsia="sl-SI"/>
        </w:rPr>
        <w:t xml:space="preserve"> sklada primernejši kot EMŠO oziroma matična številka. </w:t>
      </w:r>
    </w:p>
    <w:p w:rsidR="00077835" w:rsidRDefault="00077835" w:rsidP="00077835">
      <w:pPr>
        <w:spacing w:line="264" w:lineRule="atLeast"/>
        <w:jc w:val="both"/>
        <w:rPr>
          <w:rFonts w:cs="Arial"/>
          <w:szCs w:val="20"/>
        </w:rPr>
      </w:pP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tabs>
          <w:tab w:val="left" w:pos="1271"/>
        </w:tabs>
        <w:spacing w:line="264" w:lineRule="atLeast"/>
        <w:jc w:val="both"/>
        <w:rPr>
          <w:rFonts w:cs="Arial"/>
          <w:b/>
          <w:szCs w:val="20"/>
          <w:u w:val="single"/>
          <w:lang w:eastAsia="sl-SI"/>
        </w:rPr>
      </w:pPr>
      <w:r>
        <w:rPr>
          <w:rFonts w:cs="Arial"/>
          <w:b/>
          <w:szCs w:val="20"/>
          <w:u w:val="single"/>
          <w:lang w:eastAsia="sl-SI"/>
        </w:rPr>
        <w:t>Amandma k naslovu VIII. poglavja:</w:t>
      </w:r>
    </w:p>
    <w:p w:rsidR="00077835" w:rsidRDefault="00077835" w:rsidP="00077835">
      <w:pPr>
        <w:tabs>
          <w:tab w:val="left" w:pos="1271"/>
        </w:tabs>
        <w:spacing w:line="264" w:lineRule="atLeast"/>
        <w:jc w:val="both"/>
        <w:rPr>
          <w:rFonts w:cs="Arial"/>
          <w:bCs/>
          <w:szCs w:val="20"/>
          <w:lang w:eastAsia="sl-SI"/>
        </w:rPr>
      </w:pPr>
      <w:r>
        <w:rPr>
          <w:rFonts w:cs="Arial"/>
          <w:bCs/>
          <w:szCs w:val="20"/>
          <w:lang w:eastAsia="sl-SI"/>
        </w:rPr>
        <w:t>Naslov VIII. poglavja se spremeni tako, da se glasi:</w:t>
      </w:r>
    </w:p>
    <w:p w:rsidR="00077835" w:rsidRDefault="00077835" w:rsidP="00077835">
      <w:pPr>
        <w:spacing w:before="240" w:line="240" w:lineRule="auto"/>
        <w:contextualSpacing/>
        <w:jc w:val="both"/>
        <w:rPr>
          <w:rFonts w:cs="Arial"/>
          <w:szCs w:val="20"/>
        </w:rPr>
      </w:pPr>
      <w:bookmarkStart w:id="9" w:name="_Hlk169079993"/>
    </w:p>
    <w:p w:rsidR="00077835" w:rsidRDefault="00077835" w:rsidP="00077835">
      <w:pPr>
        <w:spacing w:before="240" w:line="240" w:lineRule="auto"/>
        <w:contextualSpacing/>
        <w:jc w:val="both"/>
        <w:rPr>
          <w:rFonts w:eastAsia="Arial" w:cs="Arial"/>
          <w:szCs w:val="20"/>
        </w:rPr>
      </w:pPr>
      <w:r>
        <w:rPr>
          <w:rFonts w:cs="Arial"/>
          <w:szCs w:val="20"/>
        </w:rPr>
        <w:t>»VIII. poglavje: RAVNANJE S FLUORIRANIMI TOPLOGREDNIMI PLINI IN OZONU ŠKODLJIVIMI SNOVMI</w:t>
      </w:r>
      <w:bookmarkEnd w:id="9"/>
      <w:r>
        <w:rPr>
          <w:rFonts w:eastAsia="Arial" w:cs="Arial"/>
          <w:szCs w:val="20"/>
        </w:rPr>
        <w:t>.«.</w:t>
      </w: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szCs w:val="20"/>
        </w:rPr>
      </w:pPr>
      <w:r>
        <w:rPr>
          <w:rFonts w:eastAsia="Arial" w:cs="Arial"/>
          <w:b/>
          <w:bCs/>
          <w:szCs w:val="20"/>
        </w:rPr>
        <w:t>Obrazložitev amandmaja:</w:t>
      </w:r>
      <w:r>
        <w:rPr>
          <w:rFonts w:eastAsia="Arial" w:cs="Arial"/>
          <w:szCs w:val="20"/>
        </w:rPr>
        <w:t xml:space="preserve"> Amandma je pripravljen kot odziv na mnenje Zakonodajno-pravne službe. Naslov poglavja je prilagojen vsebini v njem vsebovanih členov, zato so črtane alternative. </w:t>
      </w: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b/>
          <w:bCs/>
          <w:szCs w:val="20"/>
          <w:u w:val="single"/>
        </w:rPr>
      </w:pPr>
      <w:r>
        <w:rPr>
          <w:rFonts w:eastAsia="Arial" w:cs="Arial"/>
          <w:b/>
          <w:bCs/>
          <w:szCs w:val="20"/>
          <w:u w:val="single"/>
        </w:rPr>
        <w:t>Amandma k 95. členu:</w:t>
      </w:r>
    </w:p>
    <w:p w:rsidR="00077835" w:rsidRDefault="00077835" w:rsidP="00077835">
      <w:pPr>
        <w:spacing w:before="240" w:line="240" w:lineRule="auto"/>
        <w:contextualSpacing/>
        <w:jc w:val="both"/>
        <w:rPr>
          <w:rFonts w:eastAsia="Arial" w:cs="Arial"/>
          <w:szCs w:val="20"/>
        </w:rPr>
      </w:pPr>
      <w:r>
        <w:rPr>
          <w:rFonts w:eastAsia="Arial" w:cs="Arial"/>
          <w:szCs w:val="20"/>
        </w:rPr>
        <w:t>95. člen se spremeni tako, da se glasi:</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before="100" w:beforeAutospacing="1" w:after="100" w:afterAutospacing="1" w:line="240" w:lineRule="auto"/>
        <w:jc w:val="center"/>
        <w:textAlignment w:val="baseline"/>
        <w:rPr>
          <w:rFonts w:eastAsia="Yu Gothic Light" w:cs="Arial"/>
          <w:b/>
          <w:bCs/>
          <w:szCs w:val="20"/>
          <w:lang w:eastAsia="sl-SI"/>
        </w:rPr>
      </w:pPr>
      <w:r>
        <w:rPr>
          <w:rFonts w:eastAsia="Yu Gothic Light" w:cs="Arial"/>
          <w:szCs w:val="20"/>
          <w:lang w:eastAsia="sl-SI"/>
        </w:rPr>
        <w:t>»</w:t>
      </w:r>
      <w:r>
        <w:rPr>
          <w:rFonts w:eastAsia="Yu Gothic Light" w:cs="Arial"/>
          <w:b/>
          <w:bCs/>
          <w:szCs w:val="20"/>
          <w:lang w:eastAsia="sl-SI"/>
        </w:rPr>
        <w:t>95.</w:t>
      </w:r>
      <w:r>
        <w:rPr>
          <w:rFonts w:eastAsia="Yu Gothic Light" w:cs="Arial"/>
          <w:b/>
          <w:bCs/>
          <w:szCs w:val="20"/>
          <w:lang w:eastAsia="sl-SI"/>
        </w:rPr>
        <w:tab/>
        <w:t>člen</w:t>
      </w:r>
    </w:p>
    <w:p w:rsidR="00077835" w:rsidRDefault="00077835" w:rsidP="00077835">
      <w:pPr>
        <w:spacing w:line="240" w:lineRule="auto"/>
        <w:jc w:val="center"/>
        <w:textAlignment w:val="baseline"/>
        <w:rPr>
          <w:rFonts w:eastAsia="Yu Gothic Light" w:cs="Arial"/>
          <w:b/>
          <w:bCs/>
          <w:szCs w:val="20"/>
          <w:lang w:eastAsia="sl-SI"/>
        </w:rPr>
      </w:pPr>
      <w:r>
        <w:rPr>
          <w:rFonts w:eastAsia="Yu Gothic Light" w:cs="Arial"/>
          <w:b/>
          <w:bCs/>
          <w:szCs w:val="20"/>
          <w:lang w:eastAsia="sl-SI"/>
        </w:rPr>
        <w:t xml:space="preserve">(ravnanje s </w:t>
      </w:r>
      <w:proofErr w:type="spellStart"/>
      <w:r>
        <w:rPr>
          <w:rFonts w:eastAsia="Yu Gothic Light" w:cs="Arial"/>
          <w:b/>
          <w:bCs/>
          <w:szCs w:val="20"/>
          <w:lang w:eastAsia="sl-SI"/>
        </w:rPr>
        <w:t>fluoriranimi</w:t>
      </w:r>
      <w:proofErr w:type="spellEnd"/>
      <w:r>
        <w:rPr>
          <w:rFonts w:eastAsia="Yu Gothic Light" w:cs="Arial"/>
          <w:b/>
          <w:bCs/>
          <w:szCs w:val="20"/>
          <w:lang w:eastAsia="sl-SI"/>
        </w:rPr>
        <w:t xml:space="preserve"> toplogrednimi plini in ozonu škodljivimi snovmi)</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before="240" w:line="240" w:lineRule="auto"/>
        <w:contextualSpacing/>
        <w:jc w:val="both"/>
        <w:rPr>
          <w:rFonts w:eastAsia="Arial" w:cs="Arial"/>
          <w:szCs w:val="20"/>
        </w:rPr>
      </w:pPr>
      <w:r>
        <w:rPr>
          <w:rFonts w:eastAsia="Calibri" w:cs="Arial"/>
          <w:szCs w:val="20"/>
        </w:rPr>
        <w:t xml:space="preserve">Ravnanje s </w:t>
      </w:r>
      <w:proofErr w:type="spellStart"/>
      <w:r>
        <w:rPr>
          <w:rFonts w:eastAsia="Calibri" w:cs="Arial"/>
          <w:szCs w:val="20"/>
        </w:rPr>
        <w:t>fluoriranimi</w:t>
      </w:r>
      <w:proofErr w:type="spellEnd"/>
      <w:r>
        <w:rPr>
          <w:rFonts w:eastAsia="Calibri" w:cs="Arial"/>
          <w:szCs w:val="20"/>
        </w:rPr>
        <w:t xml:space="preserve"> toplogrednimi plini se izvaja v skladu s predpisom EU, ki ureja </w:t>
      </w:r>
      <w:proofErr w:type="spellStart"/>
      <w:r>
        <w:rPr>
          <w:rFonts w:eastAsia="Calibri" w:cs="Arial"/>
          <w:szCs w:val="20"/>
        </w:rPr>
        <w:t>fluorirane</w:t>
      </w:r>
      <w:proofErr w:type="spellEnd"/>
      <w:r>
        <w:rPr>
          <w:rFonts w:eastAsia="Calibri" w:cs="Arial"/>
          <w:szCs w:val="20"/>
        </w:rPr>
        <w:t xml:space="preserve"> toplogredne pline, ravnanje z ozonu škodljivimi snovmi pa v skladu s predpisom EU, ki ureja ozonu škodljive snovi.</w:t>
      </w:r>
      <w:r>
        <w:rPr>
          <w:rFonts w:eastAsia="Arial" w:cs="Arial"/>
          <w:szCs w:val="20"/>
        </w:rPr>
        <w:t>«.</w:t>
      </w: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szCs w:val="20"/>
        </w:rPr>
      </w:pPr>
      <w:r>
        <w:rPr>
          <w:rFonts w:eastAsia="Arial" w:cs="Arial"/>
          <w:b/>
          <w:bCs/>
          <w:szCs w:val="20"/>
        </w:rPr>
        <w:t>Obrazložitev amandmaja:</w:t>
      </w:r>
      <w:r>
        <w:rPr>
          <w:rFonts w:eastAsia="Arial" w:cs="Arial"/>
          <w:szCs w:val="20"/>
        </w:rPr>
        <w:t xml:space="preserve"> Amandma je pripravljen kot odziv na mnenje Zakonodajno-pravne službe. </w:t>
      </w:r>
      <w:r>
        <w:rPr>
          <w:rFonts w:cs="Arial"/>
          <w:szCs w:val="20"/>
        </w:rPr>
        <w:t xml:space="preserve">Uvodoma je treba k temu poglavju pojasniti, da je ravnanje s </w:t>
      </w:r>
      <w:proofErr w:type="spellStart"/>
      <w:r>
        <w:rPr>
          <w:rFonts w:cs="Arial"/>
          <w:szCs w:val="20"/>
        </w:rPr>
        <w:t>fluoriranimi</w:t>
      </w:r>
      <w:proofErr w:type="spellEnd"/>
      <w:r>
        <w:rPr>
          <w:rFonts w:cs="Arial"/>
          <w:szCs w:val="20"/>
        </w:rPr>
        <w:t xml:space="preserve"> toplogrednimi plini (F-plini)  in ozonu škodljivimi snovmi v državah članicah urejeno s predpisi EU, ki veljajo neposredno. Tako ravnanje z F-plini ureja Uredba (EU) 2024/573 Evropskega parlamenta in Sveta z dne 7. februarja 2024 o </w:t>
      </w:r>
      <w:proofErr w:type="spellStart"/>
      <w:r>
        <w:rPr>
          <w:rFonts w:cs="Arial"/>
          <w:szCs w:val="20"/>
        </w:rPr>
        <w:t>fluoriranih</w:t>
      </w:r>
      <w:proofErr w:type="spellEnd"/>
      <w:r>
        <w:rPr>
          <w:rFonts w:cs="Arial"/>
          <w:szCs w:val="20"/>
        </w:rPr>
        <w:t xml:space="preserve"> toplogrednih plinih, spremembi Direktive (EU) 2019/1937 in razveljavitvi Uredbe (EU) št. 517/2014 (UL L št. 2024/573 z dne 20. 2. 2024; v </w:t>
      </w:r>
      <w:r>
        <w:rPr>
          <w:rFonts w:cs="Arial"/>
          <w:szCs w:val="20"/>
        </w:rPr>
        <w:lastRenderedPageBreak/>
        <w:t xml:space="preserve">nadaljevanju: Uredba o F-plinih) in na njeni podlagi izdani številni izvedbeni predpisi Komisije. Ravnanje z ozonu škodljivimi snovmi pa ureja Uredba (EU) 2024/590 Evropskega parlamenta in Sveta z dne 7. februarja 2024 o ozonu škodljivih snoveh in razveljavitvi Uredbe (ES) št. 1005/2009 (UL L št. 84 z dne 30. 3. 2017, str. 3; v nadaljevanju: Uredba o ozonu škodljivih snoveh). </w:t>
      </w:r>
    </w:p>
    <w:p w:rsidR="00077835" w:rsidRDefault="00077835" w:rsidP="00077835">
      <w:pPr>
        <w:spacing w:before="240" w:line="264" w:lineRule="atLeast"/>
        <w:jc w:val="both"/>
        <w:rPr>
          <w:rFonts w:cs="Arial"/>
          <w:szCs w:val="20"/>
        </w:rPr>
      </w:pPr>
      <w:r>
        <w:rPr>
          <w:rFonts w:cs="Arial"/>
          <w:szCs w:val="20"/>
        </w:rPr>
        <w:t xml:space="preserve">Zaradi preglednosti oziroma celovitosti urejanja področja F-plinov in ozonu škodljivih snovi je v obravnavanem členu določeno, da se ravnanje s </w:t>
      </w:r>
      <w:proofErr w:type="spellStart"/>
      <w:r>
        <w:rPr>
          <w:rFonts w:cs="Arial"/>
          <w:szCs w:val="20"/>
        </w:rPr>
        <w:t>fluoriranimi</w:t>
      </w:r>
      <w:proofErr w:type="spellEnd"/>
      <w:r>
        <w:rPr>
          <w:rFonts w:cs="Arial"/>
          <w:szCs w:val="20"/>
        </w:rPr>
        <w:t xml:space="preserve"> toplogrednimi plini in ozonu škodljivimi snovmi ureja z zgoraj omenjenimi predpisi EU.</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before="240" w:line="240" w:lineRule="auto"/>
        <w:contextualSpacing/>
        <w:jc w:val="both"/>
        <w:rPr>
          <w:rFonts w:eastAsia="Arial" w:cs="Arial"/>
          <w:b/>
          <w:bCs/>
          <w:szCs w:val="20"/>
          <w:u w:val="single"/>
        </w:rPr>
      </w:pPr>
      <w:r>
        <w:rPr>
          <w:rFonts w:eastAsia="Arial" w:cs="Arial"/>
          <w:b/>
          <w:bCs/>
          <w:szCs w:val="20"/>
          <w:u w:val="single"/>
        </w:rPr>
        <w:t>Amandma k 96. členu:</w:t>
      </w:r>
    </w:p>
    <w:p w:rsidR="00077835" w:rsidRDefault="00077835" w:rsidP="00077835">
      <w:pPr>
        <w:spacing w:before="240" w:line="240" w:lineRule="auto"/>
        <w:contextualSpacing/>
        <w:jc w:val="both"/>
        <w:rPr>
          <w:rFonts w:eastAsia="Arial" w:cs="Arial"/>
          <w:szCs w:val="20"/>
        </w:rPr>
      </w:pPr>
      <w:r>
        <w:rPr>
          <w:rFonts w:eastAsia="Arial" w:cs="Arial"/>
          <w:szCs w:val="20"/>
        </w:rPr>
        <w:t>96. člen se spremeni tako, da se glasi:</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before="100" w:beforeAutospacing="1" w:after="100" w:afterAutospacing="1" w:line="240" w:lineRule="auto"/>
        <w:jc w:val="center"/>
        <w:textAlignment w:val="baseline"/>
        <w:rPr>
          <w:rFonts w:eastAsia="Yu Gothic Light" w:cs="Arial"/>
          <w:b/>
          <w:bCs/>
          <w:szCs w:val="20"/>
          <w:lang w:eastAsia="sl-SI"/>
        </w:rPr>
      </w:pPr>
      <w:r>
        <w:rPr>
          <w:rFonts w:eastAsia="Yu Gothic Light" w:cs="Arial"/>
          <w:szCs w:val="20"/>
          <w:lang w:eastAsia="sl-SI"/>
        </w:rPr>
        <w:t>»</w:t>
      </w:r>
      <w:r>
        <w:rPr>
          <w:rFonts w:eastAsia="Yu Gothic Light" w:cs="Arial"/>
          <w:b/>
          <w:bCs/>
          <w:szCs w:val="20"/>
          <w:lang w:eastAsia="sl-SI"/>
        </w:rPr>
        <w:t>96.</w:t>
      </w:r>
      <w:r>
        <w:rPr>
          <w:rFonts w:eastAsia="Yu Gothic Light" w:cs="Arial"/>
          <w:b/>
          <w:bCs/>
          <w:szCs w:val="20"/>
          <w:lang w:eastAsia="sl-SI"/>
        </w:rPr>
        <w:tab/>
        <w:t xml:space="preserve"> člen</w:t>
      </w:r>
    </w:p>
    <w:p w:rsidR="00077835" w:rsidRDefault="00077835" w:rsidP="00077835">
      <w:pPr>
        <w:spacing w:line="240" w:lineRule="auto"/>
        <w:jc w:val="center"/>
        <w:textAlignment w:val="baseline"/>
        <w:rPr>
          <w:rFonts w:eastAsia="Yu Gothic Light" w:cs="Arial"/>
          <w:b/>
          <w:bCs/>
          <w:szCs w:val="20"/>
          <w:lang w:eastAsia="sl-SI"/>
        </w:rPr>
      </w:pPr>
      <w:r>
        <w:rPr>
          <w:rFonts w:eastAsia="Yu Gothic Light" w:cs="Arial"/>
          <w:b/>
          <w:bCs/>
          <w:szCs w:val="20"/>
          <w:lang w:eastAsia="sl-SI"/>
        </w:rPr>
        <w:t>(usposabljanje oseb in izdajanje spričeval)</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numPr>
          <w:ilvl w:val="0"/>
          <w:numId w:val="17"/>
        </w:numPr>
        <w:spacing w:before="240" w:line="240" w:lineRule="auto"/>
        <w:ind w:left="375"/>
        <w:contextualSpacing/>
        <w:jc w:val="both"/>
        <w:rPr>
          <w:rFonts w:eastAsia="Arial" w:cs="Arial"/>
          <w:szCs w:val="20"/>
        </w:rPr>
      </w:pPr>
      <w:bookmarkStart w:id="10" w:name="_Hlk199418925"/>
      <w:r>
        <w:rPr>
          <w:rFonts w:eastAsia="Arial" w:cs="Arial"/>
          <w:szCs w:val="20"/>
        </w:rPr>
        <w:t xml:space="preserve">Usposabljanje oseb, izvajanje izpita ter izdajanje spričeval za izvajanje dejavnosti, </w:t>
      </w:r>
      <w:bookmarkEnd w:id="10"/>
      <w:r>
        <w:rPr>
          <w:rFonts w:eastAsia="Arial" w:cs="Arial"/>
          <w:szCs w:val="20"/>
        </w:rPr>
        <w:t>določenih v predpisih iz prejšnjega člena, lahko opravlja pravna oseba, ki izpolnjuje predpisane pogoje in ji je ministrstvo na podlagi javnega natečaja z odločbo o izboru podelilo javno pooblastilo za usposabljanje in izdajanje spričeval (v nadaljnjem besedilu: izvajalec usposabljanja).</w:t>
      </w:r>
    </w:p>
    <w:p w:rsidR="00077835" w:rsidRDefault="00077835" w:rsidP="00077835">
      <w:pPr>
        <w:spacing w:before="240" w:line="240" w:lineRule="auto"/>
        <w:ind w:left="375"/>
        <w:contextualSpacing/>
        <w:jc w:val="both"/>
        <w:rPr>
          <w:rFonts w:eastAsia="Arial"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Oseba iz prejšnjega odstavka mora za pridobitev javnega pooblastila:</w:t>
      </w:r>
    </w:p>
    <w:p w:rsidR="00077835" w:rsidRDefault="00077835" w:rsidP="00077835">
      <w:pPr>
        <w:numPr>
          <w:ilvl w:val="0"/>
          <w:numId w:val="18"/>
        </w:numPr>
        <w:overflowPunct w:val="0"/>
        <w:autoSpaceDE w:val="0"/>
        <w:autoSpaceDN w:val="0"/>
        <w:adjustRightInd w:val="0"/>
        <w:spacing w:line="240" w:lineRule="auto"/>
        <w:contextualSpacing/>
        <w:jc w:val="both"/>
        <w:textAlignment w:val="baseline"/>
        <w:rPr>
          <w:rFonts w:cs="Arial"/>
          <w:szCs w:val="20"/>
          <w:lang w:eastAsia="sl-SI"/>
        </w:rPr>
      </w:pPr>
      <w:r>
        <w:rPr>
          <w:rFonts w:cs="Arial"/>
          <w:szCs w:val="20"/>
          <w:lang w:eastAsia="sl-SI"/>
        </w:rPr>
        <w:t xml:space="preserve">razpolagati s prostori za usposabljanje, </w:t>
      </w:r>
    </w:p>
    <w:p w:rsidR="00077835" w:rsidRDefault="00077835" w:rsidP="00077835">
      <w:pPr>
        <w:numPr>
          <w:ilvl w:val="0"/>
          <w:numId w:val="18"/>
        </w:numPr>
        <w:overflowPunct w:val="0"/>
        <w:autoSpaceDE w:val="0"/>
        <w:autoSpaceDN w:val="0"/>
        <w:adjustRightInd w:val="0"/>
        <w:spacing w:line="240" w:lineRule="auto"/>
        <w:contextualSpacing/>
        <w:jc w:val="both"/>
        <w:textAlignment w:val="baseline"/>
        <w:rPr>
          <w:rFonts w:cs="Arial"/>
          <w:szCs w:val="20"/>
          <w:lang w:eastAsia="sl-SI"/>
        </w:rPr>
      </w:pPr>
      <w:r>
        <w:rPr>
          <w:rFonts w:cs="Arial"/>
          <w:szCs w:val="20"/>
          <w:lang w:eastAsia="sl-SI"/>
        </w:rPr>
        <w:t>imeti demonstracijsko opremo za usposabljanje,</w:t>
      </w:r>
    </w:p>
    <w:p w:rsidR="00077835" w:rsidRDefault="00077835" w:rsidP="00077835">
      <w:pPr>
        <w:numPr>
          <w:ilvl w:val="0"/>
          <w:numId w:val="18"/>
        </w:numPr>
        <w:overflowPunct w:val="0"/>
        <w:autoSpaceDE w:val="0"/>
        <w:autoSpaceDN w:val="0"/>
        <w:adjustRightInd w:val="0"/>
        <w:spacing w:line="240" w:lineRule="auto"/>
        <w:contextualSpacing/>
        <w:jc w:val="both"/>
        <w:textAlignment w:val="baseline"/>
        <w:rPr>
          <w:rFonts w:cs="Arial"/>
          <w:szCs w:val="20"/>
          <w:lang w:eastAsia="sl-SI"/>
        </w:rPr>
      </w:pPr>
      <w:r>
        <w:rPr>
          <w:rFonts w:cs="Arial"/>
          <w:szCs w:val="20"/>
          <w:lang w:eastAsia="sl-SI"/>
        </w:rPr>
        <w:t>imeti za program po predpisih EU iz prejšnjega člena, za katerega želi pridobiti javno pooblastilo, zaposlene ali s pogodbo o sodelovanju zagotovljeno sodelovanje najmanj štirih fizičnih oseb, ki imajo za prijavljeni program usposabljanja reference iz izobraževanja, usposabljanja in projektiranja.</w:t>
      </w:r>
    </w:p>
    <w:p w:rsidR="00077835" w:rsidRDefault="00077835" w:rsidP="00077835">
      <w:pPr>
        <w:overflowPunct w:val="0"/>
        <w:autoSpaceDE w:val="0"/>
        <w:autoSpaceDN w:val="0"/>
        <w:adjustRightInd w:val="0"/>
        <w:spacing w:line="240" w:lineRule="auto"/>
        <w:ind w:left="375"/>
        <w:contextualSpacing/>
        <w:jc w:val="both"/>
        <w:textAlignment w:val="baseline"/>
        <w:rPr>
          <w:rFonts w:cs="Arial"/>
          <w:szCs w:val="20"/>
          <w:lang w:eastAsia="sl-SI"/>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Javni natečaj iz prvega odstavka tega člena ministrstvo izvede vsaj šest mesecev pred potekom obdobja, za katero je bilo javno pooblastilo podeljeno, lahko pa ga izvede tudi, ko za to izkažeta interes dve ali več oseb iz prvega odstavka tega člena.</w:t>
      </w:r>
    </w:p>
    <w:p w:rsidR="00077835" w:rsidRDefault="00077835" w:rsidP="00077835">
      <w:pPr>
        <w:spacing w:before="240" w:line="240" w:lineRule="auto"/>
        <w:ind w:left="375"/>
        <w:contextualSpacing/>
        <w:jc w:val="both"/>
        <w:rPr>
          <w:rFonts w:eastAsia="Arial"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Ministrstvo vpiše izvajalca usposabljanja v evidenco izvajalcev usposabljanja iz 100. člena tega zakona na podlagi pravnomočne odločbe iz prvega odstavka tega člena.</w:t>
      </w:r>
    </w:p>
    <w:p w:rsidR="00077835" w:rsidRDefault="00077835" w:rsidP="00077835">
      <w:pPr>
        <w:spacing w:before="240" w:line="240" w:lineRule="auto"/>
        <w:ind w:left="375"/>
        <w:contextualSpacing/>
        <w:jc w:val="both"/>
        <w:rPr>
          <w:rFonts w:eastAsia="Arial"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Javno pooblastilo iz prvega odstavka tega člena se podeli za deset let</w:t>
      </w:r>
      <w:r>
        <w:rPr>
          <w:rFonts w:cs="Arial"/>
          <w:szCs w:val="20"/>
        </w:rPr>
        <w:t xml:space="preserve"> </w:t>
      </w:r>
      <w:r>
        <w:rPr>
          <w:rFonts w:eastAsia="Arial" w:cs="Arial"/>
          <w:szCs w:val="20"/>
        </w:rPr>
        <w:t xml:space="preserve">z možnostjo podaljšanja. </w:t>
      </w:r>
    </w:p>
    <w:p w:rsidR="00077835" w:rsidRDefault="00077835" w:rsidP="00077835">
      <w:pPr>
        <w:spacing w:before="240" w:line="240" w:lineRule="auto"/>
        <w:ind w:left="375"/>
        <w:contextualSpacing/>
        <w:jc w:val="both"/>
        <w:rPr>
          <w:rFonts w:eastAsia="Arial"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Izvajalec usposabljanja najmanj enkrat letno zagotovi usposabljanje in opravljanje izpita po programih iz predpisov EU iz prejšnjega člena.</w:t>
      </w:r>
    </w:p>
    <w:p w:rsidR="00077835" w:rsidRDefault="00077835" w:rsidP="00077835">
      <w:pPr>
        <w:spacing w:before="240" w:line="240" w:lineRule="auto"/>
        <w:ind w:left="375"/>
        <w:contextualSpacing/>
        <w:jc w:val="both"/>
        <w:rPr>
          <w:rFonts w:eastAsia="Arial"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Razmerje med ministrstvom in izvajalcem usposabljanja se uredi s pogodbo.</w:t>
      </w:r>
    </w:p>
    <w:p w:rsidR="00077835" w:rsidRDefault="00077835" w:rsidP="00077835">
      <w:pPr>
        <w:spacing w:before="240" w:line="240" w:lineRule="auto"/>
        <w:ind w:left="375"/>
        <w:contextualSpacing/>
        <w:jc w:val="both"/>
        <w:rPr>
          <w:rFonts w:eastAsia="Arial"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Ministrstvo nadzira izvajanje predpisanih programov, izvajanje izpitov in izdajanje spričeval. Če pri nadzoru ugotovi, da izvajalec usposabljanja ne izpolnjuje več pogojev ali javnega pooblastila ne izvaja na način, določen s tem zakonom in predpisi, izdanimi na njegovi podlagi, na to opozori izvajalca usposabljanja, ki je dolžan nepravilnosti odpraviti v enem mesecu od prejetega opozorila. Če izvajalec usposabljanja v tem roku nepravilnosti ne odpravi, ministrstvo javno pooblastilo z odločbo odvzame in ga na podlagi njene pravnomočnosti izbriše iz evidence iz četrtega odstavka tega člena.</w:t>
      </w:r>
    </w:p>
    <w:p w:rsidR="00077835" w:rsidRDefault="00077835" w:rsidP="00077835">
      <w:pPr>
        <w:spacing w:line="264" w:lineRule="atLeast"/>
        <w:ind w:left="375"/>
        <w:contextualSpacing/>
        <w:jc w:val="both"/>
        <w:rPr>
          <w:rFonts w:cs="Arial"/>
          <w:szCs w:val="20"/>
        </w:rPr>
      </w:pPr>
    </w:p>
    <w:p w:rsidR="00077835" w:rsidRDefault="00077835" w:rsidP="00077835">
      <w:pPr>
        <w:numPr>
          <w:ilvl w:val="0"/>
          <w:numId w:val="17"/>
        </w:numPr>
        <w:spacing w:before="240" w:line="240" w:lineRule="auto"/>
        <w:ind w:left="375"/>
        <w:contextualSpacing/>
        <w:jc w:val="both"/>
        <w:rPr>
          <w:rFonts w:eastAsia="Arial" w:cs="Arial"/>
          <w:szCs w:val="20"/>
        </w:rPr>
      </w:pPr>
      <w:r>
        <w:rPr>
          <w:rFonts w:eastAsia="Arial" w:cs="Arial"/>
          <w:szCs w:val="20"/>
        </w:rPr>
        <w:t>Minister podrobneje predpiše pogoje iz drugega odstavka tega člena ter merila in pravila za izbiro izvajalca usposabljanja.«.</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before="240" w:line="240" w:lineRule="auto"/>
        <w:contextualSpacing/>
        <w:jc w:val="both"/>
        <w:rPr>
          <w:rFonts w:eastAsia="Arial" w:cs="Arial"/>
          <w:b/>
          <w:bCs/>
          <w:szCs w:val="20"/>
        </w:rPr>
      </w:pPr>
      <w:bookmarkStart w:id="11" w:name="_Hlk203138908"/>
      <w:r>
        <w:rPr>
          <w:rFonts w:eastAsia="Arial" w:cs="Arial"/>
          <w:b/>
          <w:bCs/>
          <w:szCs w:val="20"/>
        </w:rPr>
        <w:lastRenderedPageBreak/>
        <w:t xml:space="preserve">Obrazložitev amandmaja: </w:t>
      </w:r>
      <w:r>
        <w:rPr>
          <w:rFonts w:eastAsia="Arial" w:cs="Arial"/>
          <w:szCs w:val="20"/>
        </w:rPr>
        <w:t>Amandma je pripravljen kot odziv na mnenje Zakonodajno-pravne službe.</w:t>
      </w:r>
    </w:p>
    <w:bookmarkEnd w:id="11"/>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V obravnavanem členu je urejen način izbora oseb, ki bodo lahko izvajale usposabljanja in izdajanje spričeval osebam, ki morajo biti za izvajanje dejavnosti, določenih s predpisi EU v 95.členu, usposobljene ter imeti spričevalo.</w:t>
      </w:r>
    </w:p>
    <w:p w:rsidR="00077835" w:rsidRDefault="00077835" w:rsidP="00077835">
      <w:pPr>
        <w:spacing w:before="240" w:line="240" w:lineRule="auto"/>
        <w:jc w:val="both"/>
        <w:textAlignment w:val="baseline"/>
        <w:rPr>
          <w:rFonts w:cs="Arial"/>
          <w:szCs w:val="20"/>
          <w:lang w:eastAsia="sl-SI"/>
        </w:rPr>
      </w:pPr>
      <w:r>
        <w:rPr>
          <w:rFonts w:cs="Arial"/>
          <w:szCs w:val="20"/>
          <w:lang w:eastAsia="sl-SI"/>
        </w:rPr>
        <w:t>Te naloge bo lahko po določbi prvega odstavka obravnavanega člena opravljala pravna oseba, ki izpolnjuje predpisane pogoje in ji bo ministrstvo na podlagi javnega natečaja z odločbo o izboru podelilo tudi javno pooblastilo za usposabljanje in izdajanje spričeval (izvajalec usposabljanja). Pogoji, ki morajo biti izpolnjeni, so določeni v tretjem odstavku in se nanašajo na prostore in demonstracijsko opremo za usposabljanje. Prav tako mora imeti zaposlene ali s pogodbo o sodelovanju zagotovljeno sodelovanje najmanj štirih fizičnih oseb, ki imajo za prijavljeni program usposabljanja reference iz izobraževanja, usposabljanja in projektiranja. Minister bo na podlagi pooblastila iz osmega odstavka podrobneje določil pogoje, ki jih mora izpolnjevati oseba za pridobitev pooblastila in merila ter pravila za izbiro izvajalca usposabljanja.</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Po določbi petega odstavka obravnavanega člena se javno pooblastilo podeli za deset let z možnostjo podaljšanja.</w:t>
      </w:r>
    </w:p>
    <w:p w:rsidR="00077835" w:rsidRDefault="00077835" w:rsidP="00077835">
      <w:pPr>
        <w:spacing w:before="240" w:line="240" w:lineRule="auto"/>
        <w:jc w:val="both"/>
        <w:textAlignment w:val="baseline"/>
        <w:rPr>
          <w:rFonts w:cs="Arial"/>
          <w:szCs w:val="20"/>
          <w:lang w:eastAsia="sl-SI"/>
        </w:rPr>
      </w:pPr>
      <w:r>
        <w:rPr>
          <w:rFonts w:cs="Arial"/>
          <w:szCs w:val="20"/>
          <w:lang w:eastAsia="sl-SI"/>
        </w:rPr>
        <w:t>Ministrstvo bo javni natečaj izvedlo vsaj šest mesecev pred potekom obdobja, za katero je bilo javno pooblastilo podeljeno, lahko pa ga izvede tudi, ko za to izkažeta interes dve ali več pravnih oseb, ki želijo izvajati usposabljanje.</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Izvajalec usposabljanja bo moral najmanj enkrat letno zagotovi usposabljanje in opravljanje izpita po programih iz omenjeni predpisov EU. Ti programi so določeni z izvedbenimi uredbami Komisije.</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Razmerje med ministrstvom in izvajalcem usposabljanja bo podrobneje urejeno s pogodbo.</w:t>
      </w:r>
    </w:p>
    <w:p w:rsidR="00077835" w:rsidRDefault="00077835" w:rsidP="00077835">
      <w:pPr>
        <w:spacing w:before="240" w:line="240" w:lineRule="auto"/>
        <w:jc w:val="both"/>
        <w:textAlignment w:val="baseline"/>
        <w:rPr>
          <w:rFonts w:cs="Arial"/>
          <w:szCs w:val="20"/>
          <w:lang w:eastAsia="sl-SI"/>
        </w:rPr>
      </w:pPr>
      <w:r>
        <w:rPr>
          <w:rFonts w:cs="Arial"/>
          <w:szCs w:val="20"/>
          <w:lang w:eastAsia="sl-SI"/>
        </w:rPr>
        <w:t>Ministrstvo nadzira izvajanje predpisanih programov in izdajanje spričeval. Če pri nadzoru ugotovi, da izvajalec usposabljanja ne izpolnjuje več pogojev ali javnega pooblastila ne izvaja na način, določen s tem zakonom in predpisi, izdanimi na njegovi podlagi, na to opozori izvajalca usposabljanja, ki je dolžan nepravilnosti odpraviti v enem mesecu od prejetega opozorila. Če izvajalec usposabljanja v tem roku nepravilnosti ne odpravi, ministrstvo javno pooblastilo z odločbo odvzame.</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spacing w:before="240" w:line="240" w:lineRule="auto"/>
        <w:contextualSpacing/>
        <w:jc w:val="both"/>
        <w:rPr>
          <w:rFonts w:eastAsia="Arial" w:cs="Arial"/>
          <w:b/>
          <w:bCs/>
          <w:szCs w:val="20"/>
          <w:u w:val="single"/>
        </w:rPr>
      </w:pPr>
      <w:r>
        <w:rPr>
          <w:rFonts w:eastAsia="Arial" w:cs="Arial"/>
          <w:b/>
          <w:bCs/>
          <w:szCs w:val="20"/>
          <w:u w:val="single"/>
        </w:rPr>
        <w:t>Amandma k 97. členu:</w:t>
      </w:r>
    </w:p>
    <w:p w:rsidR="00077835" w:rsidRDefault="00077835" w:rsidP="00077835">
      <w:pPr>
        <w:spacing w:before="240" w:line="240" w:lineRule="auto"/>
        <w:contextualSpacing/>
        <w:jc w:val="both"/>
        <w:rPr>
          <w:rFonts w:eastAsia="Arial" w:cs="Arial"/>
          <w:b/>
          <w:bCs/>
          <w:szCs w:val="20"/>
          <w:u w:val="single"/>
        </w:rPr>
      </w:pPr>
    </w:p>
    <w:p w:rsidR="00077835" w:rsidRDefault="00077835" w:rsidP="00077835">
      <w:pPr>
        <w:spacing w:before="240" w:line="240" w:lineRule="auto"/>
        <w:contextualSpacing/>
        <w:jc w:val="both"/>
        <w:rPr>
          <w:rFonts w:eastAsia="Arial" w:cs="Arial"/>
          <w:szCs w:val="20"/>
        </w:rPr>
      </w:pPr>
      <w:r>
        <w:rPr>
          <w:rFonts w:eastAsia="Arial" w:cs="Arial"/>
          <w:szCs w:val="20"/>
        </w:rPr>
        <w:t>97. člen se spremeni tako, da se glasi:</w:t>
      </w: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spacing w:before="100" w:beforeAutospacing="1" w:after="100" w:afterAutospacing="1" w:line="240" w:lineRule="auto"/>
        <w:jc w:val="center"/>
        <w:textAlignment w:val="baseline"/>
        <w:rPr>
          <w:rFonts w:eastAsia="Yu Gothic Light" w:cs="Arial"/>
          <w:b/>
          <w:bCs/>
          <w:szCs w:val="20"/>
          <w:lang w:eastAsia="sl-SI"/>
        </w:rPr>
      </w:pPr>
      <w:r>
        <w:rPr>
          <w:rFonts w:eastAsia="Yu Gothic Light" w:cs="Arial"/>
          <w:szCs w:val="20"/>
          <w:lang w:eastAsia="sl-SI"/>
        </w:rPr>
        <w:t>»</w:t>
      </w:r>
      <w:r>
        <w:rPr>
          <w:rFonts w:eastAsia="Yu Gothic Light" w:cs="Arial"/>
          <w:b/>
          <w:bCs/>
          <w:szCs w:val="20"/>
          <w:lang w:eastAsia="sl-SI"/>
        </w:rPr>
        <w:t>97.</w:t>
      </w:r>
      <w:r>
        <w:rPr>
          <w:rFonts w:eastAsia="Yu Gothic Light" w:cs="Arial"/>
          <w:b/>
          <w:bCs/>
          <w:szCs w:val="20"/>
          <w:lang w:eastAsia="sl-SI"/>
        </w:rPr>
        <w:tab/>
        <w:t>člen</w:t>
      </w:r>
    </w:p>
    <w:p w:rsidR="00077835" w:rsidRDefault="00077835" w:rsidP="00077835">
      <w:pPr>
        <w:spacing w:line="240" w:lineRule="auto"/>
        <w:jc w:val="center"/>
        <w:textAlignment w:val="baseline"/>
        <w:rPr>
          <w:rFonts w:eastAsia="Yu Gothic Light" w:cs="Arial"/>
          <w:b/>
          <w:bCs/>
          <w:szCs w:val="20"/>
          <w:lang w:eastAsia="sl-SI"/>
        </w:rPr>
      </w:pPr>
      <w:r>
        <w:rPr>
          <w:rFonts w:eastAsia="Yu Gothic Light" w:cs="Arial"/>
          <w:b/>
          <w:bCs/>
          <w:szCs w:val="20"/>
          <w:lang w:eastAsia="sl-SI"/>
        </w:rPr>
        <w:t>(preizkus usposobljenosti in spričevalo)</w:t>
      </w:r>
    </w:p>
    <w:p w:rsidR="00077835" w:rsidRDefault="00077835" w:rsidP="00077835">
      <w:pPr>
        <w:spacing w:line="240" w:lineRule="auto"/>
        <w:jc w:val="both"/>
        <w:textAlignment w:val="baseline"/>
        <w:rPr>
          <w:rFonts w:eastAsia="Yu Gothic Light" w:cs="Arial"/>
          <w:b/>
          <w:bCs/>
          <w:szCs w:val="20"/>
          <w:u w:val="single"/>
          <w:lang w:eastAsia="sl-SI"/>
        </w:rPr>
      </w:pPr>
    </w:p>
    <w:p w:rsidR="00077835" w:rsidRDefault="00077835" w:rsidP="00077835">
      <w:pPr>
        <w:numPr>
          <w:ilvl w:val="0"/>
          <w:numId w:val="19"/>
        </w:numPr>
        <w:spacing w:before="240" w:line="240" w:lineRule="auto"/>
        <w:ind w:left="360"/>
        <w:contextualSpacing/>
        <w:jc w:val="both"/>
        <w:rPr>
          <w:rFonts w:eastAsia="Arial" w:cs="Arial"/>
          <w:szCs w:val="20"/>
        </w:rPr>
      </w:pPr>
      <w:r>
        <w:rPr>
          <w:rFonts w:eastAsia="Arial" w:cs="Arial"/>
          <w:szCs w:val="20"/>
        </w:rPr>
        <w:t xml:space="preserve">Fizična oseba, ki želi opravljati dejavnosti, določene v predpisih EU iz 95. člena tega zakona, mora opraviti usposabljanje pri izvajalcu usposabljanja in pridobiti spričevalo (v nadaljnjem besedilu: serviser). </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19"/>
        </w:numPr>
        <w:spacing w:before="240" w:line="240" w:lineRule="auto"/>
        <w:ind w:left="360"/>
        <w:contextualSpacing/>
        <w:jc w:val="both"/>
        <w:rPr>
          <w:rFonts w:eastAsia="Arial" w:cs="Arial"/>
          <w:szCs w:val="20"/>
        </w:rPr>
      </w:pPr>
      <w:r>
        <w:rPr>
          <w:rFonts w:eastAsia="Arial" w:cs="Arial"/>
          <w:szCs w:val="20"/>
        </w:rPr>
        <w:t>Usposobljenost osebe iz prejšnjega odstavka se preverja z izpitom, ki obsega teoretični in praktični del. Kandidat, ki uspešno opravi izpit, pridobi spričevalo za tisto dejavnost in opremo, za katero je uspešno opravil izpit, izvajalec usposabljanja pa kopijo spričevala v elektronski obliki pošlje ministrstvu.</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19"/>
        </w:numPr>
        <w:spacing w:before="240" w:line="240" w:lineRule="auto"/>
        <w:ind w:left="360"/>
        <w:contextualSpacing/>
        <w:jc w:val="both"/>
        <w:rPr>
          <w:rFonts w:eastAsia="Arial" w:cs="Arial"/>
          <w:szCs w:val="20"/>
        </w:rPr>
      </w:pPr>
      <w:r>
        <w:rPr>
          <w:rFonts w:eastAsia="Arial" w:cs="Arial"/>
          <w:szCs w:val="20"/>
        </w:rPr>
        <w:t>Spričevalo je javna listina in velja sedem let.</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19"/>
        </w:numPr>
        <w:spacing w:before="240" w:line="240" w:lineRule="auto"/>
        <w:ind w:left="360"/>
        <w:contextualSpacing/>
        <w:jc w:val="both"/>
        <w:rPr>
          <w:rFonts w:eastAsia="Arial" w:cs="Arial"/>
          <w:szCs w:val="20"/>
        </w:rPr>
      </w:pPr>
      <w:r>
        <w:rPr>
          <w:rFonts w:eastAsia="Arial" w:cs="Arial"/>
          <w:szCs w:val="20"/>
        </w:rPr>
        <w:lastRenderedPageBreak/>
        <w:t>Ministrstvo vpiše osebe, ki so pridobile spričevalo, v evidenco serviserjev iz 100. člena tega zakona.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19"/>
        </w:numPr>
        <w:spacing w:before="240" w:line="240" w:lineRule="auto"/>
        <w:ind w:left="360"/>
        <w:contextualSpacing/>
        <w:jc w:val="both"/>
        <w:rPr>
          <w:rFonts w:eastAsia="Arial" w:cs="Arial"/>
          <w:szCs w:val="20"/>
        </w:rPr>
      </w:pPr>
      <w:r>
        <w:rPr>
          <w:rFonts w:eastAsia="Arial" w:cs="Arial"/>
          <w:szCs w:val="20"/>
        </w:rPr>
        <w:t>Minister predpiše način prijave, pogoje za opravljanje izpita, izvedbo izpita, ocenjevanje znanja kandidata in obliko spričevala.«.</w:t>
      </w: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b/>
          <w:bCs/>
          <w:szCs w:val="20"/>
        </w:rPr>
      </w:pPr>
      <w:bookmarkStart w:id="12" w:name="_Hlk203243530"/>
      <w:r>
        <w:rPr>
          <w:rFonts w:eastAsia="Arial" w:cs="Arial"/>
          <w:b/>
          <w:bCs/>
          <w:szCs w:val="20"/>
        </w:rPr>
        <w:t xml:space="preserve">Obrazložitev amandmaja: </w:t>
      </w:r>
      <w:r>
        <w:rPr>
          <w:rFonts w:eastAsia="Arial" w:cs="Arial"/>
          <w:szCs w:val="20"/>
        </w:rPr>
        <w:t xml:space="preserve">Amandma je pripravljen kot odziv na mnenje Zakonodajno-pravne službe. </w:t>
      </w:r>
      <w:r>
        <w:rPr>
          <w:rFonts w:cs="Arial"/>
          <w:szCs w:val="20"/>
        </w:rPr>
        <w:t>Po določbi 97. člena predloga zakona in v skladu z zahtevo iz 10. člena Uredbe o F-plinih oziroma 20. člena Uredbe o ozonu škodljivih snoveh mora fizična oseba, ki želi opravljati dejavnosti, določene v teh predpisih EU, opraviti usposabljanje pri izvajalcu usposabljanja, opraviti izpit in pridobiti spričevalo (serviser). Fizična oseba je v tem primeru posameznik oziroma posameznica, vendar ne samostojni podjetnik posameznik.</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Usposobljenost se preverja z izpitom, ki obsega teoretični in praktični del. Kandidat, ki uspešno opravi izpit, pridobi spričevalo za tisto dejavnost in opremo, za katero je uspešno opravil izpit. Izvajalec usposabljanja bo moral kopijo spričevala v elektronski obliki poslati ministrstvu, to pa bo serviserja na podlagi četrtega odstavka obravnavanega člena vpisalo v evidenco serviserjev, kot je določena v 100. členu predlaganega zakona.</w:t>
      </w:r>
    </w:p>
    <w:p w:rsidR="00077835" w:rsidRDefault="00077835" w:rsidP="00077835">
      <w:pPr>
        <w:spacing w:before="100" w:beforeAutospacing="1" w:after="100" w:afterAutospacing="1" w:line="240" w:lineRule="auto"/>
        <w:jc w:val="both"/>
        <w:textAlignment w:val="baseline"/>
        <w:rPr>
          <w:rFonts w:cs="Arial"/>
          <w:szCs w:val="20"/>
          <w:lang w:eastAsia="sl-SI"/>
        </w:rPr>
      </w:pPr>
      <w:r>
        <w:rPr>
          <w:rFonts w:cs="Arial"/>
          <w:szCs w:val="20"/>
          <w:lang w:eastAsia="sl-SI"/>
        </w:rPr>
        <w:t xml:space="preserve">Po določbi tretjega odstavka obravnavanega člena je spričevalo javna listina, velja pa sedem let. Takšna omejitev časovne veljavnosti spričevala je potrebna zaradi zahteve 10. člena Uredbe o F-plinih, po kateri morajo osebe s spričevalom vsaj vsakih sedem let sodelovati v </w:t>
      </w:r>
      <w:proofErr w:type="spellStart"/>
      <w:r>
        <w:rPr>
          <w:rFonts w:cs="Arial"/>
          <w:szCs w:val="20"/>
          <w:lang w:eastAsia="sl-SI"/>
        </w:rPr>
        <w:t>osvežitvenih</w:t>
      </w:r>
      <w:proofErr w:type="spellEnd"/>
      <w:r>
        <w:rPr>
          <w:rFonts w:cs="Arial"/>
          <w:szCs w:val="20"/>
          <w:lang w:eastAsia="sl-SI"/>
        </w:rPr>
        <w:t xml:space="preserve"> tečajih usposabljanja ali opraviti postopek ocenjevanja, to je opraviti izpit.</w:t>
      </w:r>
    </w:p>
    <w:p w:rsidR="00077835" w:rsidRDefault="00077835" w:rsidP="00077835">
      <w:pPr>
        <w:spacing w:before="240" w:line="240" w:lineRule="auto"/>
        <w:jc w:val="both"/>
        <w:textAlignment w:val="baseline"/>
        <w:rPr>
          <w:rFonts w:cs="Arial"/>
          <w:szCs w:val="20"/>
          <w:lang w:eastAsia="sl-SI"/>
        </w:rPr>
      </w:pPr>
      <w:r>
        <w:rPr>
          <w:rFonts w:cs="Arial"/>
          <w:szCs w:val="20"/>
          <w:lang w:eastAsia="sl-SI"/>
        </w:rPr>
        <w:t>Na tem mestu je treba poudariti, da izdajanje spričevala ni upravna zadeva, v zvezi s katero bi se vodil upravni postopek, spričevalo pa ni upravna odločba. Gre za preverjanje strokovne usposobljenosti kandidata, ki je fizična oseba (posameznik ali posameznica), in mu izvajalec usposabljanja po uspešno opravljenem izpitu izda spričevalo o strokovni usposobljenosti. Ugotavljanja strokovne usposobljenosti posameznika pa ni mogoče razumeti kot odločanje o pravicah, dolžnostih ali pravnih koristih, kakor je za odločanje o upravnih zadevah in vodenju upravnih postopkov določeno v Zakonu o splošnem upravnem postopku. Predlagana ureditev je primerljiva z izdajanjem spričeval ali diplom na področju šolstva.</w:t>
      </w:r>
    </w:p>
    <w:p w:rsidR="00077835" w:rsidRDefault="00077835" w:rsidP="00077835">
      <w:pPr>
        <w:spacing w:before="240" w:line="240" w:lineRule="auto"/>
        <w:jc w:val="both"/>
        <w:textAlignment w:val="baseline"/>
        <w:rPr>
          <w:rFonts w:cs="Arial"/>
          <w:szCs w:val="20"/>
          <w:lang w:eastAsia="sl-SI"/>
        </w:rPr>
      </w:pPr>
      <w:r>
        <w:rPr>
          <w:rFonts w:cs="Arial"/>
          <w:szCs w:val="20"/>
          <w:lang w:eastAsia="sl-SI"/>
        </w:rPr>
        <w:t>Minister bo na podlagi pooblastila iz petega odstavka obravnavanega člena določil način prijave in pogoje za opravljanje izpita, izvedbo izpita, ocenjevanje znanja kandidata, obliko in vsebino spričevala.</w:t>
      </w:r>
    </w:p>
    <w:p w:rsidR="00077835" w:rsidRDefault="00077835" w:rsidP="00077835">
      <w:pPr>
        <w:spacing w:before="240" w:line="240" w:lineRule="auto"/>
        <w:jc w:val="both"/>
        <w:textAlignment w:val="baseline"/>
        <w:rPr>
          <w:rFonts w:cs="Arial"/>
          <w:szCs w:val="20"/>
          <w:lang w:eastAsia="sl-SI"/>
        </w:rPr>
      </w:pPr>
    </w:p>
    <w:bookmarkEnd w:id="12"/>
    <w:p w:rsidR="00077835" w:rsidRDefault="00077835" w:rsidP="00077835">
      <w:pPr>
        <w:spacing w:before="240" w:line="240" w:lineRule="auto"/>
        <w:contextualSpacing/>
        <w:jc w:val="both"/>
        <w:rPr>
          <w:rFonts w:eastAsia="Arial" w:cs="Arial"/>
          <w:b/>
          <w:bCs/>
          <w:szCs w:val="20"/>
          <w:u w:val="single"/>
        </w:rPr>
      </w:pPr>
      <w:r>
        <w:rPr>
          <w:rFonts w:eastAsia="Arial" w:cs="Arial"/>
          <w:b/>
          <w:bCs/>
          <w:szCs w:val="20"/>
          <w:u w:val="single"/>
        </w:rPr>
        <w:t>Amandma k 98. členu:</w:t>
      </w: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szCs w:val="20"/>
        </w:rPr>
      </w:pPr>
      <w:r>
        <w:rPr>
          <w:rFonts w:eastAsia="Arial" w:cs="Arial"/>
          <w:szCs w:val="20"/>
        </w:rPr>
        <w:t>98. člen se spremeni tako, da se glasi:</w:t>
      </w:r>
    </w:p>
    <w:p w:rsidR="00077835" w:rsidRDefault="00077835" w:rsidP="00077835">
      <w:pPr>
        <w:spacing w:before="240" w:line="240" w:lineRule="auto"/>
        <w:ind w:left="720"/>
        <w:contextualSpacing/>
        <w:jc w:val="both"/>
        <w:rPr>
          <w:rFonts w:eastAsia="Arial" w:cs="Arial"/>
          <w:szCs w:val="20"/>
        </w:rPr>
      </w:pPr>
    </w:p>
    <w:p w:rsidR="00077835" w:rsidRDefault="00077835" w:rsidP="00077835">
      <w:pPr>
        <w:spacing w:before="100" w:beforeAutospacing="1" w:after="100" w:afterAutospacing="1" w:line="240" w:lineRule="auto"/>
        <w:jc w:val="center"/>
        <w:textAlignment w:val="baseline"/>
        <w:rPr>
          <w:rFonts w:eastAsia="Yu Gothic Light" w:cs="Arial"/>
          <w:b/>
          <w:bCs/>
          <w:szCs w:val="20"/>
          <w:lang w:eastAsia="sl-SI"/>
        </w:rPr>
      </w:pPr>
      <w:r>
        <w:rPr>
          <w:rFonts w:eastAsia="Yu Gothic Light" w:cs="Arial"/>
          <w:szCs w:val="20"/>
          <w:lang w:eastAsia="sl-SI"/>
        </w:rPr>
        <w:t>»</w:t>
      </w:r>
      <w:r>
        <w:rPr>
          <w:rFonts w:eastAsia="Yu Gothic Light" w:cs="Arial"/>
          <w:b/>
          <w:bCs/>
          <w:szCs w:val="20"/>
          <w:lang w:eastAsia="sl-SI"/>
        </w:rPr>
        <w:t>98.</w:t>
      </w:r>
      <w:r>
        <w:rPr>
          <w:rFonts w:eastAsia="Yu Gothic Light" w:cs="Arial"/>
          <w:b/>
          <w:bCs/>
          <w:szCs w:val="20"/>
          <w:lang w:eastAsia="sl-SI"/>
        </w:rPr>
        <w:tab/>
        <w:t>člen</w:t>
      </w:r>
    </w:p>
    <w:p w:rsidR="00077835" w:rsidRDefault="00077835" w:rsidP="00077835">
      <w:pPr>
        <w:spacing w:line="240" w:lineRule="auto"/>
        <w:jc w:val="center"/>
        <w:textAlignment w:val="baseline"/>
        <w:rPr>
          <w:rFonts w:eastAsia="Yu Gothic Light" w:cs="Arial"/>
          <w:b/>
          <w:bCs/>
          <w:szCs w:val="20"/>
          <w:lang w:eastAsia="sl-SI"/>
        </w:rPr>
      </w:pPr>
      <w:r>
        <w:rPr>
          <w:rFonts w:eastAsia="Yu Gothic Light" w:cs="Arial"/>
          <w:b/>
          <w:bCs/>
          <w:szCs w:val="20"/>
          <w:lang w:eastAsia="sl-SI"/>
        </w:rPr>
        <w:t>(stroški usposabljanja)</w:t>
      </w: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numPr>
          <w:ilvl w:val="0"/>
          <w:numId w:val="20"/>
        </w:numPr>
        <w:spacing w:before="240" w:line="240" w:lineRule="auto"/>
        <w:contextualSpacing/>
        <w:jc w:val="both"/>
        <w:rPr>
          <w:rFonts w:eastAsia="Arial" w:cs="Arial"/>
          <w:szCs w:val="20"/>
        </w:rPr>
      </w:pPr>
      <w:r>
        <w:rPr>
          <w:rFonts w:eastAsia="Arial" w:cs="Arial"/>
          <w:szCs w:val="20"/>
        </w:rPr>
        <w:t>Izvajanje usposabljanja, vodenja izpitov in izdaje spričeval izvajalec usposabljanja zagotavlja s ceno, ki mu jo plačujejo osebe iz prvega odstavka prejšnjega člena.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0"/>
        </w:numPr>
        <w:spacing w:before="240" w:line="240" w:lineRule="auto"/>
        <w:contextualSpacing/>
        <w:jc w:val="both"/>
        <w:rPr>
          <w:rFonts w:eastAsia="Arial" w:cs="Arial"/>
          <w:szCs w:val="20"/>
        </w:rPr>
      </w:pPr>
      <w:r>
        <w:rPr>
          <w:rFonts w:eastAsia="Arial" w:cs="Arial"/>
          <w:szCs w:val="20"/>
        </w:rPr>
        <w:t>Cena iz prejšnjega odstavka se določi zlasti z upoštevanjem stroškov uporabe prostorov, opreme in orodja za izvajanje usposabljanja, izvajanja izpitov, izdajanja spričeval, dela izvajalcev usposabljanja in članov izpitne komisije ter organizacijskih in drugih administrativnih stroškov izvajalca usposabljanja.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0"/>
        </w:numPr>
        <w:spacing w:before="240" w:line="240" w:lineRule="auto"/>
        <w:contextualSpacing/>
        <w:jc w:val="both"/>
        <w:rPr>
          <w:rFonts w:eastAsia="Arial" w:cs="Arial"/>
          <w:szCs w:val="20"/>
        </w:rPr>
      </w:pPr>
      <w:r>
        <w:rPr>
          <w:rFonts w:eastAsia="Arial" w:cs="Arial"/>
          <w:szCs w:val="20"/>
        </w:rPr>
        <w:t xml:space="preserve">Cena iz prvega odstavka tega člena se določi v ceniku, ki ga sprejme izvajalec usposabljanja po predhodnem soglasju ministrstva. </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0"/>
        </w:numPr>
        <w:spacing w:before="240" w:line="240" w:lineRule="auto"/>
        <w:contextualSpacing/>
        <w:jc w:val="both"/>
        <w:rPr>
          <w:rFonts w:eastAsia="Arial" w:cs="Arial"/>
          <w:szCs w:val="20"/>
        </w:rPr>
      </w:pPr>
      <w:r>
        <w:rPr>
          <w:rFonts w:eastAsia="Arial" w:cs="Arial"/>
          <w:szCs w:val="20"/>
        </w:rPr>
        <w:lastRenderedPageBreak/>
        <w:t>Izvajalec usposabljanja mora cenik iz prejšnjega odstavka objaviti tako, da je dostopen javnosti.«.</w:t>
      </w: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spacing w:before="240" w:line="264" w:lineRule="atLeast"/>
        <w:jc w:val="both"/>
        <w:textAlignment w:val="baseline"/>
        <w:rPr>
          <w:rFonts w:eastAsia="Arial" w:cs="Arial"/>
          <w:szCs w:val="20"/>
        </w:rPr>
      </w:pPr>
      <w:r>
        <w:rPr>
          <w:rFonts w:eastAsia="Arial" w:cs="Arial"/>
          <w:b/>
          <w:bCs/>
          <w:szCs w:val="20"/>
        </w:rPr>
        <w:t>Obrazložitev amandmaja:</w:t>
      </w:r>
      <w:r>
        <w:rPr>
          <w:rFonts w:eastAsia="Arial" w:cs="Arial"/>
          <w:szCs w:val="20"/>
        </w:rPr>
        <w:t xml:space="preserve"> Amandma je pripravljen zaradi amandmajev, ki so vloženi k drugim členom tega poglavja.</w:t>
      </w:r>
    </w:p>
    <w:p w:rsidR="00077835" w:rsidRDefault="00077835" w:rsidP="00077835">
      <w:pPr>
        <w:spacing w:before="240" w:line="264" w:lineRule="atLeast"/>
        <w:jc w:val="both"/>
        <w:textAlignment w:val="baseline"/>
        <w:rPr>
          <w:rFonts w:eastAsia="Arial" w:cs="Arial"/>
          <w:szCs w:val="20"/>
        </w:rPr>
      </w:pPr>
      <w:r>
        <w:rPr>
          <w:rFonts w:cs="Arial"/>
          <w:szCs w:val="20"/>
          <w:lang w:eastAsia="sl-SI"/>
        </w:rPr>
        <w:t>Izvajanje usposabljanja, vodenja izpitov in izdaje spričeval izvajalec usposabljanja zagotavlja s ceno, ki mu jo plačujejo fizične osebe, ki želijo pridobiti spričevalo (v skladu z določbami 97. člena predlaganega zakona).</w:t>
      </w:r>
    </w:p>
    <w:p w:rsidR="00077835" w:rsidRDefault="00077835" w:rsidP="00077835">
      <w:pPr>
        <w:spacing w:before="240" w:line="264" w:lineRule="atLeast"/>
        <w:jc w:val="both"/>
        <w:textAlignment w:val="baseline"/>
        <w:rPr>
          <w:rFonts w:cs="Arial"/>
          <w:szCs w:val="20"/>
          <w:lang w:eastAsia="sl-SI"/>
        </w:rPr>
      </w:pPr>
      <w:r>
        <w:rPr>
          <w:rFonts w:cs="Arial"/>
          <w:szCs w:val="20"/>
          <w:lang w:eastAsia="sl-SI"/>
        </w:rPr>
        <w:t>Izvajalec usposabljanja bo določil ceno predvsem z upoštevanjem stroškov uporabe prostorov, opreme in orodja za izvajanje usposabljanja, izpitov in izdaje spričeval, dela izvajalcev usposabljanja in članov izpitne komisije ter organizacijskih in drugih administrativnih stroškov izvajalca usposabljanja. Cene bodo določene v ceniku, ki ga sprejme izvajalec usposabljanja, vendar po predhodnem soglasju ministrstva.</w:t>
      </w: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b/>
          <w:bCs/>
          <w:szCs w:val="20"/>
          <w:u w:val="single"/>
        </w:rPr>
      </w:pPr>
      <w:r>
        <w:rPr>
          <w:rFonts w:eastAsia="Arial" w:cs="Arial"/>
          <w:b/>
          <w:bCs/>
          <w:szCs w:val="20"/>
          <w:u w:val="single"/>
        </w:rPr>
        <w:t>Amandma k 99. členu:</w:t>
      </w:r>
    </w:p>
    <w:p w:rsidR="00077835" w:rsidRDefault="00077835" w:rsidP="00077835">
      <w:pPr>
        <w:spacing w:before="240" w:line="240" w:lineRule="auto"/>
        <w:contextualSpacing/>
        <w:jc w:val="both"/>
        <w:rPr>
          <w:rFonts w:eastAsia="Arial" w:cs="Arial"/>
          <w:szCs w:val="20"/>
        </w:rPr>
      </w:pPr>
    </w:p>
    <w:p w:rsidR="00077835" w:rsidRDefault="00077835" w:rsidP="00077835">
      <w:pPr>
        <w:spacing w:before="240" w:line="240" w:lineRule="auto"/>
        <w:contextualSpacing/>
        <w:jc w:val="both"/>
        <w:rPr>
          <w:rFonts w:eastAsia="Arial" w:cs="Arial"/>
          <w:szCs w:val="20"/>
        </w:rPr>
      </w:pPr>
      <w:r>
        <w:rPr>
          <w:rFonts w:eastAsia="Arial" w:cs="Arial"/>
          <w:szCs w:val="20"/>
        </w:rPr>
        <w:t>99. člen se spremeni tako, da se glasi:</w:t>
      </w: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spacing w:before="100" w:beforeAutospacing="1" w:after="100" w:afterAutospacing="1" w:line="240" w:lineRule="auto"/>
        <w:jc w:val="center"/>
        <w:textAlignment w:val="baseline"/>
        <w:rPr>
          <w:rFonts w:eastAsia="Yu Gothic Light" w:cs="Arial"/>
          <w:b/>
          <w:bCs/>
          <w:szCs w:val="20"/>
          <w:lang w:eastAsia="sl-SI"/>
        </w:rPr>
      </w:pPr>
      <w:r>
        <w:rPr>
          <w:rFonts w:eastAsia="Yu Gothic Light" w:cs="Arial"/>
          <w:szCs w:val="20"/>
          <w:lang w:eastAsia="sl-SI"/>
        </w:rPr>
        <w:t>»</w:t>
      </w:r>
      <w:r>
        <w:rPr>
          <w:rFonts w:eastAsia="Yu Gothic Light" w:cs="Arial"/>
          <w:b/>
          <w:bCs/>
          <w:szCs w:val="20"/>
          <w:lang w:eastAsia="sl-SI"/>
        </w:rPr>
        <w:t>99.</w:t>
      </w:r>
      <w:r>
        <w:rPr>
          <w:rFonts w:eastAsia="Yu Gothic Light" w:cs="Arial"/>
          <w:b/>
          <w:bCs/>
          <w:szCs w:val="20"/>
          <w:lang w:eastAsia="sl-SI"/>
        </w:rPr>
        <w:tab/>
        <w:t>člen</w:t>
      </w:r>
    </w:p>
    <w:p w:rsidR="00077835" w:rsidRDefault="00077835" w:rsidP="00077835">
      <w:pPr>
        <w:spacing w:line="240" w:lineRule="auto"/>
        <w:jc w:val="center"/>
        <w:textAlignment w:val="baseline"/>
        <w:rPr>
          <w:rFonts w:eastAsia="Yu Gothic Light" w:cs="Arial"/>
          <w:b/>
          <w:bCs/>
          <w:szCs w:val="20"/>
          <w:lang w:eastAsia="sl-SI"/>
        </w:rPr>
      </w:pPr>
      <w:r>
        <w:rPr>
          <w:rFonts w:eastAsia="Yu Gothic Light" w:cs="Arial"/>
          <w:b/>
          <w:bCs/>
          <w:szCs w:val="20"/>
          <w:lang w:eastAsia="sl-SI"/>
        </w:rPr>
        <w:t>(pooblastilo)</w:t>
      </w: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Pravna oseba ali samostojni podjetnik posameznik (v nadaljnjem besedilu: podjetje), ki namerava izvajati dejavnosti, določene v predpisih EU iz 95. člena tega zakona, mora pred izvajanjem dejavnosti pridobiti pooblastilo za izvajanje teh dejavnosti.</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Ministrstvo izda pooblastilo osebi iz prejšnjega odstavka, ki izpolnjuje naslednje pogoje:</w:t>
      </w:r>
    </w:p>
    <w:p w:rsidR="00077835" w:rsidRDefault="00077835" w:rsidP="00077835">
      <w:pPr>
        <w:spacing w:before="240" w:line="240" w:lineRule="auto"/>
        <w:ind w:left="360"/>
        <w:contextualSpacing/>
        <w:jc w:val="both"/>
        <w:rPr>
          <w:rFonts w:eastAsia="Arial" w:cs="Arial"/>
          <w:szCs w:val="20"/>
        </w:rPr>
      </w:pPr>
      <w:r>
        <w:rPr>
          <w:rFonts w:eastAsia="Arial" w:cs="Arial"/>
          <w:szCs w:val="20"/>
        </w:rPr>
        <w:t>1. ima registrirano dejavnost vzdrževanja opreme,</w:t>
      </w:r>
    </w:p>
    <w:p w:rsidR="00077835" w:rsidRDefault="00077835" w:rsidP="00077835">
      <w:pPr>
        <w:spacing w:before="240" w:line="240" w:lineRule="auto"/>
        <w:ind w:left="360"/>
        <w:contextualSpacing/>
        <w:jc w:val="both"/>
        <w:rPr>
          <w:rFonts w:eastAsia="Arial" w:cs="Arial"/>
          <w:szCs w:val="20"/>
        </w:rPr>
      </w:pPr>
      <w:r>
        <w:rPr>
          <w:rFonts w:eastAsia="Arial" w:cs="Arial"/>
          <w:szCs w:val="20"/>
        </w:rPr>
        <w:t>2. ima predpisano opremo in</w:t>
      </w:r>
    </w:p>
    <w:p w:rsidR="00077835" w:rsidRDefault="00077835" w:rsidP="00077835">
      <w:pPr>
        <w:spacing w:before="240" w:line="240" w:lineRule="auto"/>
        <w:ind w:left="360"/>
        <w:contextualSpacing/>
        <w:jc w:val="both"/>
        <w:rPr>
          <w:rFonts w:eastAsia="Arial" w:cs="Arial"/>
          <w:szCs w:val="20"/>
        </w:rPr>
      </w:pPr>
      <w:r>
        <w:rPr>
          <w:rFonts w:eastAsia="Arial" w:cs="Arial"/>
          <w:szCs w:val="20"/>
        </w:rPr>
        <w:t>3. ima zaposlene serviserje, ki imajo spričevalo iz 97. člena tega zakona za tisto vrsto opreme, ki jo vzdržujejo oziroma nameščajo.</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Vloga za pridobitev pooblastila iz prvega odstavka tega člena mora vsebovati poleg dokazil o izpolnjevanju pogojev iz prejšnjega odstavka, tudi predlog opreme,</w:t>
      </w:r>
      <w:r>
        <w:rPr>
          <w:rFonts w:cs="Arial"/>
          <w:szCs w:val="20"/>
        </w:rPr>
        <w:t xml:space="preserve"> </w:t>
      </w:r>
      <w:r>
        <w:rPr>
          <w:rFonts w:eastAsia="Arial" w:cs="Arial"/>
          <w:szCs w:val="20"/>
        </w:rPr>
        <w:t>na kateri želi opravljati dejavnost, določeno v predpisih iz 95. člena tega zakona, za katero želi pridobiti pooblastilo (v nadaljnjem besedilu: obseg izvajanja pooblastila).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Ministrstvo izda pooblastilo iz prvega odstavka tega člena v obliki spričevala, v katerem določi obseg izvajanja pooblastila. Pooblastilo velja za nedoločen čas, pooblaščeno podjetje pa mora izpolnjevati predpisane pogoje iz drugega odstavka tega člena ves čas trajanja pooblastila.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Imetnik pooblastila lahko v času njegove veljavnosti zahteva spremembo pooblastila. Vloga za spremembo pooblastila mora vsebovati dokazila o izpolnjevanju pogojev iz drugega odstavka tega člena, ministrstvo pa o tem izda odločbo, če imetnik pooblastila izpolnjuje predpisane pogoje.</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Ministrstvo vpiše osebo iz prvega odstavka tega člena v evidenco pooblaščenih podjetij iz 100. člena tega zakona na podlagi pravnomočne odločbe iz četrtega in petega odstavka tega člena.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bookmarkStart w:id="13" w:name="_Hlk203063100"/>
      <w:r>
        <w:rPr>
          <w:rFonts w:eastAsia="Arial" w:cs="Arial"/>
          <w:szCs w:val="20"/>
        </w:rPr>
        <w:lastRenderedPageBreak/>
        <w:t>Ministrstvo odvzame pooblastilo in izbriše pooblaščeno podjetje iz evidence iz prejšnjega odstavka, če:</w:t>
      </w:r>
    </w:p>
    <w:p w:rsidR="00077835" w:rsidRDefault="00077835" w:rsidP="00077835">
      <w:pPr>
        <w:spacing w:before="240" w:line="240" w:lineRule="auto"/>
        <w:ind w:left="360"/>
        <w:contextualSpacing/>
        <w:jc w:val="both"/>
        <w:rPr>
          <w:rFonts w:eastAsia="Arial" w:cs="Arial"/>
          <w:szCs w:val="20"/>
        </w:rPr>
      </w:pPr>
      <w:r>
        <w:rPr>
          <w:rFonts w:eastAsia="Arial" w:cs="Arial"/>
          <w:szCs w:val="20"/>
        </w:rPr>
        <w:t>1. je pooblaščeno podjetje pisno obvestilo ministrstvo o prenehanju izvajanja dejavnosti vzdrževanja in namestitve opreme,</w:t>
      </w:r>
    </w:p>
    <w:p w:rsidR="00077835" w:rsidRDefault="00077835" w:rsidP="00077835">
      <w:pPr>
        <w:spacing w:before="240" w:line="240" w:lineRule="auto"/>
        <w:ind w:left="360"/>
        <w:contextualSpacing/>
        <w:jc w:val="both"/>
        <w:rPr>
          <w:rFonts w:eastAsia="Arial" w:cs="Arial"/>
          <w:szCs w:val="20"/>
        </w:rPr>
      </w:pPr>
      <w:r>
        <w:rPr>
          <w:rFonts w:eastAsia="Arial" w:cs="Arial"/>
          <w:szCs w:val="20"/>
        </w:rPr>
        <w:t>2. ne izpolnjuje več pogojev iz drugega odstavka tega člena,</w:t>
      </w:r>
    </w:p>
    <w:p w:rsidR="00077835" w:rsidRDefault="00077835" w:rsidP="00077835">
      <w:pPr>
        <w:spacing w:before="240" w:line="240" w:lineRule="auto"/>
        <w:ind w:left="360"/>
        <w:contextualSpacing/>
        <w:jc w:val="both"/>
        <w:rPr>
          <w:rFonts w:eastAsia="Arial" w:cs="Arial"/>
          <w:szCs w:val="20"/>
        </w:rPr>
      </w:pPr>
      <w:r>
        <w:rPr>
          <w:rFonts w:eastAsia="Arial" w:cs="Arial"/>
          <w:szCs w:val="20"/>
        </w:rPr>
        <w:t xml:space="preserve">3. ne izvaja ukrepov, ki mu jih je pristojni inšpekcijski organ odredil zaradi nepravilnega ravnanja s </w:t>
      </w:r>
      <w:proofErr w:type="spellStart"/>
      <w:r>
        <w:rPr>
          <w:rFonts w:eastAsia="Arial" w:cs="Arial"/>
          <w:szCs w:val="20"/>
        </w:rPr>
        <w:t>fluoriranimi</w:t>
      </w:r>
      <w:proofErr w:type="spellEnd"/>
      <w:r>
        <w:rPr>
          <w:rFonts w:eastAsia="Arial" w:cs="Arial"/>
          <w:szCs w:val="20"/>
        </w:rPr>
        <w:t xml:space="preserve"> toplogrednimi plini in ozonu škodljivimi snovmi.</w:t>
      </w:r>
    </w:p>
    <w:bookmarkEnd w:id="13"/>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V primeru iz prve točke prejšnjega odstavka se odvzem pooblastila in izbris iz evidence pooblaščenih podjetij iz 100. člena tega zakona opravi po uradni dolžnosti, v primerih iz druge in tretje točke prejšnjega odstavka pa na podlagi pravnomočne odločbe pristojnega inšpekcijskega organa.</w:t>
      </w:r>
    </w:p>
    <w:p w:rsidR="00077835" w:rsidRDefault="00077835" w:rsidP="00077835">
      <w:pPr>
        <w:spacing w:before="240" w:line="240" w:lineRule="auto"/>
        <w:ind w:left="360"/>
        <w:contextualSpacing/>
        <w:jc w:val="both"/>
        <w:rPr>
          <w:rFonts w:eastAsia="Arial" w:cs="Arial"/>
          <w:szCs w:val="20"/>
        </w:rPr>
      </w:pPr>
    </w:p>
    <w:p w:rsidR="00077835" w:rsidRDefault="00077835" w:rsidP="00077835">
      <w:pPr>
        <w:numPr>
          <w:ilvl w:val="0"/>
          <w:numId w:val="21"/>
        </w:numPr>
        <w:spacing w:before="240" w:line="240" w:lineRule="auto"/>
        <w:contextualSpacing/>
        <w:jc w:val="both"/>
        <w:rPr>
          <w:rFonts w:eastAsia="Arial" w:cs="Arial"/>
          <w:szCs w:val="20"/>
        </w:rPr>
      </w:pPr>
      <w:r>
        <w:rPr>
          <w:rFonts w:eastAsia="Arial" w:cs="Arial"/>
          <w:szCs w:val="20"/>
        </w:rPr>
        <w:t>Minister podrobneje predpiše opremo iz druge točke drugega odstavka tega člena</w:t>
      </w:r>
      <w:r>
        <w:rPr>
          <w:rFonts w:cs="Arial"/>
          <w:szCs w:val="20"/>
        </w:rPr>
        <w:t xml:space="preserve"> </w:t>
      </w:r>
      <w:r>
        <w:rPr>
          <w:rFonts w:eastAsia="Arial" w:cs="Arial"/>
          <w:szCs w:val="20"/>
        </w:rPr>
        <w:t>in obliko ter način vloge iz tretjega in petega odstavka tega člena.«.</w:t>
      </w:r>
    </w:p>
    <w:p w:rsidR="00077835" w:rsidRDefault="00077835" w:rsidP="00077835">
      <w:pPr>
        <w:spacing w:line="264" w:lineRule="atLeast"/>
        <w:jc w:val="both"/>
        <w:rPr>
          <w:rFonts w:cs="Arial"/>
          <w:bCs/>
          <w:szCs w:val="20"/>
          <w:lang w:eastAsia="sl-SI"/>
        </w:rPr>
      </w:pPr>
    </w:p>
    <w:p w:rsidR="00077835" w:rsidRDefault="00077835" w:rsidP="00077835">
      <w:pPr>
        <w:spacing w:line="264" w:lineRule="atLeast"/>
        <w:jc w:val="both"/>
        <w:rPr>
          <w:rFonts w:cs="Arial"/>
          <w:bCs/>
          <w:szCs w:val="20"/>
          <w:lang w:eastAsia="sl-SI"/>
        </w:rPr>
      </w:pPr>
      <w:r>
        <w:rPr>
          <w:rFonts w:eastAsia="Arial" w:cs="Arial"/>
          <w:b/>
          <w:bCs/>
          <w:szCs w:val="20"/>
        </w:rPr>
        <w:t xml:space="preserve">Obrazložitev amandmaja: </w:t>
      </w:r>
      <w:r>
        <w:rPr>
          <w:rFonts w:eastAsia="Arial" w:cs="Arial"/>
          <w:szCs w:val="20"/>
        </w:rPr>
        <w:t>Amandma je pripravljen kot odziv na mnenje Zakonodajno-pravne službe</w:t>
      </w:r>
      <w:r>
        <w:rPr>
          <w:rFonts w:cs="Arial"/>
          <w:bCs/>
          <w:szCs w:val="20"/>
          <w:lang w:eastAsia="sl-SI"/>
        </w:rPr>
        <w:t>.</w:t>
      </w:r>
    </w:p>
    <w:p w:rsidR="00077835" w:rsidRDefault="00077835" w:rsidP="00077835">
      <w:pPr>
        <w:spacing w:before="240" w:line="264" w:lineRule="atLeast"/>
        <w:jc w:val="both"/>
        <w:textAlignment w:val="baseline"/>
        <w:rPr>
          <w:rFonts w:cs="Arial"/>
          <w:szCs w:val="20"/>
        </w:rPr>
      </w:pPr>
      <w:r>
        <w:rPr>
          <w:rFonts w:cs="Arial"/>
          <w:szCs w:val="20"/>
        </w:rPr>
        <w:t>Obravnavani člen ureja podelitev pooblastila, ki ga mora za izvajanje dejavnosti, določenih v zgoraj navedenih predpisih EU, imeti pravna oseba ali samostojni podjetnik posameznik, ki namerava izvajati te dejavnosti.</w:t>
      </w:r>
    </w:p>
    <w:p w:rsidR="00077835" w:rsidRDefault="00077835" w:rsidP="00077835">
      <w:pPr>
        <w:spacing w:before="240" w:line="264" w:lineRule="atLeast"/>
        <w:jc w:val="both"/>
        <w:textAlignment w:val="baseline"/>
        <w:rPr>
          <w:rFonts w:cs="Arial"/>
          <w:szCs w:val="20"/>
        </w:rPr>
      </w:pPr>
      <w:r>
        <w:rPr>
          <w:rFonts w:cs="Arial"/>
          <w:szCs w:val="20"/>
        </w:rPr>
        <w:t>V drugem odstavku obravnavanega člena so določeni pogoji, ki jih mora izpolnjevati zainteresirana oseba. Ta mora imeti registrirano dejavnost vzdrževanja opreme, predpisano opremo in zaposlene serviserje, ki imajo spričevalo iz 97. člena predlaganega zakona za tisto vrsto opreme, ki jo vzdržujejo oziroma nameščajo.</w:t>
      </w:r>
    </w:p>
    <w:p w:rsidR="00077835" w:rsidRDefault="00077835" w:rsidP="00077835">
      <w:pPr>
        <w:spacing w:before="240" w:line="264" w:lineRule="atLeast"/>
        <w:jc w:val="both"/>
        <w:textAlignment w:val="baseline"/>
        <w:rPr>
          <w:rFonts w:cs="Arial"/>
          <w:szCs w:val="20"/>
        </w:rPr>
      </w:pPr>
      <w:r>
        <w:rPr>
          <w:rFonts w:cs="Arial"/>
          <w:szCs w:val="20"/>
        </w:rPr>
        <w:t>Vloga za pridobitev pooblastila se vloži na predpisanem obrazcu in mora poleg dokazil o izpolnjevanju predpisanih pogojev vsebovati tudi predlog opreme, na kateri želi opravljati dejavnost, določeno v navedenih predpisih EU in za katero želi pridobiti pooblastilo (obseg izvajanja pooblastila). Minister bo na podlagi pooblastila iz devetega odstavka obravnavanega člena podrobneje predpisal opremo, ki jo mora imeti zainteresirana oseba, obliko obrazca in način pošiljanja vloge ministrstvu.</w:t>
      </w:r>
    </w:p>
    <w:p w:rsidR="00077835" w:rsidRDefault="00077835" w:rsidP="00077835">
      <w:pPr>
        <w:spacing w:before="240" w:line="264" w:lineRule="atLeast"/>
        <w:jc w:val="both"/>
        <w:textAlignment w:val="baseline"/>
        <w:rPr>
          <w:rFonts w:cs="Arial"/>
          <w:szCs w:val="20"/>
        </w:rPr>
      </w:pPr>
      <w:r>
        <w:rPr>
          <w:rFonts w:cs="Arial"/>
          <w:szCs w:val="20"/>
        </w:rPr>
        <w:t xml:space="preserve">Ministrstvo bo izdalo pooblastilo v obliki spričevala, v katerem bo določilo tudi obseg izvajanja pooblastila. Pooblastilo velja za nedoločen čas, pooblaščeno podjetje pa mora izpolnjevati predpisane pogoje iz drugega odstavka predlaganega člena ves čas trajanja pooblastila. Dikcija, da je pooblastilo izdano v obliki spričevala, je potrebna zaradi uskladitve s terminom, ki je uporabljen v Uredbi o F-plinih. Ta namreč v 10. členu zahteva, da morajo pravne osebe za izvajanje dejavnosti imeti spričevalo. Ker gre pri dovoljevanju opravljanja dejavnosti za upravno zadevo, v zvezi s katero upravni organ odloči z upravno odločbo, je takšno odločbo po mnenju predlagatelja neprimerno poimenovati kot spričevalo. Spričevalo, kot je npr. urejeno v 97. členu predlaganega zakona, je namreč listina, s katero se z opravljanjem izpita ugotavlja strokovna usposobljenost določene fizične osebe, in gre za strokovni postopek, ne pa za upravno zadevo, v zvezi s katero se ne vodi upravni postopek, spričevalo pa ni upravna odločba. V obravnavanem primeru pa gre za odločanje o upravni zadevi, odločbo izda ministrstvo in jo je primerneje opredeliti kot pooblastilo. </w:t>
      </w:r>
    </w:p>
    <w:p w:rsidR="00077835" w:rsidRDefault="00077835" w:rsidP="00077835">
      <w:pPr>
        <w:spacing w:before="240" w:line="264" w:lineRule="atLeast"/>
        <w:jc w:val="both"/>
        <w:textAlignment w:val="baseline"/>
        <w:rPr>
          <w:rFonts w:cs="Arial"/>
          <w:szCs w:val="20"/>
        </w:rPr>
      </w:pPr>
      <w:r>
        <w:rPr>
          <w:rFonts w:cs="Arial"/>
          <w:szCs w:val="20"/>
        </w:rPr>
        <w:t>Imetnik pooblastila bo lahko v času njegove veljavnosti zahteval spremembo pooblastila. Vloga za spremembo pooblastila bo morala vsebovati dokazila o izpolnjevanju predpisanih pogojev, ministrstvo pa bo izdalo odločbo, če imetnik pooblastila izpolnjuje predpisane pogoje.</w:t>
      </w:r>
    </w:p>
    <w:p w:rsidR="00077835" w:rsidRDefault="00077835" w:rsidP="00077835">
      <w:pPr>
        <w:spacing w:before="240" w:line="264" w:lineRule="atLeast"/>
        <w:jc w:val="both"/>
        <w:textAlignment w:val="baseline"/>
        <w:rPr>
          <w:rFonts w:cs="Arial"/>
          <w:szCs w:val="20"/>
        </w:rPr>
      </w:pPr>
      <w:r>
        <w:rPr>
          <w:rFonts w:cs="Arial"/>
          <w:szCs w:val="20"/>
        </w:rPr>
        <w:lastRenderedPageBreak/>
        <w:t>Po določbi šestega odstavka obravnavanega člena bo ministrstvo osebo, ki bo pridobila pooblastilo, vpisalo v evidenco pooblaščenih podjetij iz 100. člena predlaganega zakona na podlagi pravnomočne odločbe o izdaji pooblastila.</w:t>
      </w:r>
    </w:p>
    <w:p w:rsidR="00077835" w:rsidRDefault="00077835" w:rsidP="00077835">
      <w:pPr>
        <w:spacing w:before="240" w:line="264" w:lineRule="atLeast"/>
        <w:jc w:val="both"/>
        <w:textAlignment w:val="baseline"/>
        <w:rPr>
          <w:rFonts w:cs="Arial"/>
          <w:szCs w:val="20"/>
        </w:rPr>
      </w:pPr>
      <w:r>
        <w:rPr>
          <w:rFonts w:cs="Arial"/>
          <w:szCs w:val="20"/>
        </w:rPr>
        <w:t xml:space="preserve">Sedmi in osmi odstavek obravnavanega člena urejata odvzem pooblastila. Ministrstvo pooblastilo odvzame in pooblaščeno podjetje izbriše iz evidence pooblaščenih podjetij, če je pooblaščeno podjetje pisno obvestilo ministrstvo o prenehanju izvajanja dejavnosti vzdrževanja in namestitve opreme, če ne izpolnjuje več predpisanih pogojev ali če ne izvaja ukrepov, ki mu jih je pristojni inšpekcijski organ odredil zaradi nepravilnega ravnanja s </w:t>
      </w:r>
      <w:proofErr w:type="spellStart"/>
      <w:r>
        <w:rPr>
          <w:rFonts w:cs="Arial"/>
          <w:szCs w:val="20"/>
        </w:rPr>
        <w:t>fluoriranimi</w:t>
      </w:r>
      <w:proofErr w:type="spellEnd"/>
      <w:r>
        <w:rPr>
          <w:rFonts w:cs="Arial"/>
          <w:szCs w:val="20"/>
        </w:rPr>
        <w:t xml:space="preserve"> toplogrednimi plini in ozonu škodljivimi snovmi.</w:t>
      </w:r>
    </w:p>
    <w:p w:rsidR="00077835" w:rsidRDefault="00077835" w:rsidP="00077835">
      <w:pPr>
        <w:spacing w:line="240" w:lineRule="auto"/>
        <w:jc w:val="both"/>
        <w:rPr>
          <w:rFonts w:eastAsiaTheme="minorHAnsi" w:cs="Arial"/>
          <w:b/>
          <w:bCs/>
          <w:color w:val="2B579A"/>
          <w:kern w:val="2"/>
          <w:szCs w:val="20"/>
          <w14:ligatures w14:val="standardContextual"/>
        </w:rPr>
      </w:pPr>
    </w:p>
    <w:p w:rsidR="00077835" w:rsidRDefault="00077835" w:rsidP="00077835">
      <w:pPr>
        <w:jc w:val="both"/>
        <w:rPr>
          <w:rFonts w:cs="Arial"/>
          <w:b/>
          <w:bCs/>
          <w:szCs w:val="20"/>
          <w:u w:val="single"/>
        </w:rPr>
      </w:pPr>
      <w:r>
        <w:rPr>
          <w:rFonts w:cs="Arial"/>
          <w:b/>
          <w:bCs/>
          <w:szCs w:val="20"/>
          <w:u w:val="single"/>
        </w:rPr>
        <w:t>Amandma k 100. členu:</w:t>
      </w:r>
    </w:p>
    <w:p w:rsidR="00077835" w:rsidRDefault="00077835" w:rsidP="00077835">
      <w:pPr>
        <w:jc w:val="both"/>
        <w:rPr>
          <w:rFonts w:cs="Arial"/>
          <w:szCs w:val="20"/>
        </w:rPr>
      </w:pPr>
    </w:p>
    <w:p w:rsidR="00077835" w:rsidRDefault="00077835" w:rsidP="00077835">
      <w:pPr>
        <w:jc w:val="both"/>
        <w:rPr>
          <w:rFonts w:cs="Arial"/>
          <w:szCs w:val="20"/>
        </w:rPr>
      </w:pPr>
      <w:r>
        <w:rPr>
          <w:rFonts w:cs="Arial"/>
          <w:szCs w:val="20"/>
        </w:rPr>
        <w:t>100. člen se spremeni tako, da se glasi:</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»(1) Ministrstvo za izvajanje nalog in postopkov po tem zakonu, za zagotavljanje javnosti podatkov in za izvajanje nadzora nad izvrševanjem tega zakona vodi, upravlja in vzdržuje register, ki vsebuje:</w:t>
      </w:r>
      <w:r>
        <w:rPr>
          <w:rStyle w:val="eop"/>
          <w:rFonts w:ascii="Arial" w:eastAsiaTheme="majorEastAsia" w:hAnsi="Arial" w:cs="Arial"/>
          <w:sz w:val="20"/>
          <w:szCs w:val="20"/>
        </w:rPr>
        <w:t> </w:t>
      </w:r>
    </w:p>
    <w:p w:rsidR="00077835" w:rsidRDefault="00077835" w:rsidP="00077835">
      <w:pPr>
        <w:pStyle w:val="paragraph"/>
        <w:numPr>
          <w:ilvl w:val="0"/>
          <w:numId w:val="22"/>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upravljavcev naprav iz 32. in 38. člena tega zakona,</w:t>
      </w:r>
      <w:r>
        <w:rPr>
          <w:rStyle w:val="eop"/>
          <w:rFonts w:ascii="Arial" w:eastAsiaTheme="majorEastAsia" w:hAnsi="Arial" w:cs="Arial"/>
          <w:sz w:val="20"/>
          <w:szCs w:val="20"/>
        </w:rPr>
        <w:t> </w:t>
      </w:r>
    </w:p>
    <w:p w:rsidR="00077835" w:rsidRDefault="00077835" w:rsidP="00077835">
      <w:pPr>
        <w:pStyle w:val="paragraph"/>
        <w:numPr>
          <w:ilvl w:val="0"/>
          <w:numId w:val="23"/>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operatorjev zrakoplovov iz 44. člena tega zakona,</w:t>
      </w:r>
      <w:r>
        <w:rPr>
          <w:rStyle w:val="eop"/>
          <w:rFonts w:ascii="Arial" w:eastAsiaTheme="majorEastAsia" w:hAnsi="Arial" w:cs="Arial"/>
          <w:sz w:val="20"/>
          <w:szCs w:val="20"/>
        </w:rPr>
        <w:t> </w:t>
      </w:r>
    </w:p>
    <w:p w:rsidR="00077835" w:rsidRDefault="00077835" w:rsidP="00077835">
      <w:pPr>
        <w:pStyle w:val="paragraph"/>
        <w:numPr>
          <w:ilvl w:val="0"/>
          <w:numId w:val="24"/>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ladjarskih družb iz 48. člena tega zakona,</w:t>
      </w:r>
      <w:r>
        <w:rPr>
          <w:rStyle w:val="eop"/>
          <w:rFonts w:ascii="Arial" w:eastAsiaTheme="majorEastAsia" w:hAnsi="Arial" w:cs="Arial"/>
          <w:sz w:val="20"/>
          <w:szCs w:val="20"/>
        </w:rPr>
        <w:t> </w:t>
      </w:r>
    </w:p>
    <w:p w:rsidR="00077835" w:rsidRDefault="00077835" w:rsidP="00077835">
      <w:pPr>
        <w:pStyle w:val="paragraph"/>
        <w:numPr>
          <w:ilvl w:val="0"/>
          <w:numId w:val="25"/>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reguliranih subjektov iz 51. člena tega zakona,</w:t>
      </w:r>
      <w:r>
        <w:rPr>
          <w:rStyle w:val="eop"/>
          <w:rFonts w:ascii="Arial" w:eastAsiaTheme="majorEastAsia" w:hAnsi="Arial" w:cs="Arial"/>
          <w:sz w:val="20"/>
          <w:szCs w:val="20"/>
        </w:rPr>
        <w:t> </w:t>
      </w:r>
    </w:p>
    <w:p w:rsidR="00077835" w:rsidRDefault="00077835" w:rsidP="00077835">
      <w:pPr>
        <w:pStyle w:val="paragraph"/>
        <w:numPr>
          <w:ilvl w:val="0"/>
          <w:numId w:val="26"/>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pooblaščenih podjetij iz 99. člena tega zakona,</w:t>
      </w:r>
      <w:r>
        <w:rPr>
          <w:rStyle w:val="eop"/>
          <w:rFonts w:ascii="Arial" w:eastAsiaTheme="majorEastAsia" w:hAnsi="Arial" w:cs="Arial"/>
          <w:sz w:val="20"/>
          <w:szCs w:val="20"/>
        </w:rPr>
        <w:t> </w:t>
      </w:r>
    </w:p>
    <w:p w:rsidR="00077835" w:rsidRDefault="00077835" w:rsidP="00077835">
      <w:pPr>
        <w:pStyle w:val="paragraph"/>
        <w:numPr>
          <w:ilvl w:val="0"/>
          <w:numId w:val="27"/>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izvajalcev usposabljanja iz 96. člena tega zakona in</w:t>
      </w:r>
      <w:r>
        <w:rPr>
          <w:rStyle w:val="eop"/>
          <w:rFonts w:ascii="Arial" w:eastAsiaTheme="majorEastAsia" w:hAnsi="Arial" w:cs="Arial"/>
          <w:sz w:val="20"/>
          <w:szCs w:val="20"/>
        </w:rPr>
        <w:t> </w:t>
      </w:r>
    </w:p>
    <w:p w:rsidR="00077835" w:rsidRDefault="00077835" w:rsidP="00077835">
      <w:pPr>
        <w:pStyle w:val="paragraph"/>
        <w:numPr>
          <w:ilvl w:val="0"/>
          <w:numId w:val="28"/>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evidenco serviserjev iz 97. člena tega zakona.</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ind w:left="72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Fonts w:ascii="Arial" w:hAnsi="Arial" w:cs="Arial"/>
          <w:sz w:val="20"/>
          <w:szCs w:val="20"/>
        </w:rPr>
        <w:t xml:space="preserve">(2) </w:t>
      </w:r>
      <w:r>
        <w:rPr>
          <w:rStyle w:val="normaltextrun"/>
          <w:rFonts w:ascii="Arial" w:eastAsiaTheme="majorEastAsia" w:hAnsi="Arial" w:cs="Arial"/>
          <w:sz w:val="20"/>
          <w:szCs w:val="20"/>
        </w:rPr>
        <w:t>Evidenca upravljavcev naprav vsebuje:</w:t>
      </w:r>
      <w:r>
        <w:rPr>
          <w:rStyle w:val="eop"/>
          <w:rFonts w:ascii="Arial" w:eastAsiaTheme="majorEastAsia" w:hAnsi="Arial" w:cs="Arial"/>
          <w:sz w:val="20"/>
          <w:szCs w:val="20"/>
        </w:rPr>
        <w:t> </w:t>
      </w:r>
    </w:p>
    <w:p w:rsidR="00077835" w:rsidRDefault="00077835" w:rsidP="00077835">
      <w:pPr>
        <w:pStyle w:val="paragraph"/>
        <w:numPr>
          <w:ilvl w:val="0"/>
          <w:numId w:val="29"/>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naziv in naslov firme oziroma sedeža upravljavca,</w:t>
      </w:r>
      <w:r>
        <w:rPr>
          <w:rStyle w:val="eop"/>
          <w:rFonts w:ascii="Arial" w:eastAsiaTheme="majorEastAsia" w:hAnsi="Arial" w:cs="Arial"/>
          <w:sz w:val="20"/>
          <w:szCs w:val="20"/>
        </w:rPr>
        <w:t> </w:t>
      </w:r>
    </w:p>
    <w:p w:rsidR="00077835" w:rsidRDefault="00077835" w:rsidP="00077835">
      <w:pPr>
        <w:pStyle w:val="paragraph"/>
        <w:numPr>
          <w:ilvl w:val="0"/>
          <w:numId w:val="30"/>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oznako naprave in navedbo dejavnosti ter</w:t>
      </w:r>
      <w:r>
        <w:rPr>
          <w:rStyle w:val="eop"/>
          <w:rFonts w:ascii="Arial" w:eastAsiaTheme="majorEastAsia" w:hAnsi="Arial" w:cs="Arial"/>
          <w:sz w:val="20"/>
          <w:szCs w:val="20"/>
        </w:rPr>
        <w:t> </w:t>
      </w:r>
    </w:p>
    <w:p w:rsidR="00077835" w:rsidRDefault="00077835" w:rsidP="00077835">
      <w:pPr>
        <w:pStyle w:val="paragraph"/>
        <w:numPr>
          <w:ilvl w:val="0"/>
          <w:numId w:val="31"/>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številko in datum izdaje dovoljenja za izpuščanje toplogrednih plinov.</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(3)Evidenca operatorjev zrakoplovov vsebuje:</w:t>
      </w:r>
      <w:r>
        <w:rPr>
          <w:rStyle w:val="eop"/>
          <w:rFonts w:ascii="Arial" w:eastAsiaTheme="majorEastAsia" w:hAnsi="Arial" w:cs="Arial"/>
          <w:sz w:val="20"/>
          <w:szCs w:val="20"/>
        </w:rPr>
        <w:t> </w:t>
      </w:r>
    </w:p>
    <w:p w:rsidR="00077835" w:rsidRDefault="00077835" w:rsidP="00077835">
      <w:pPr>
        <w:pStyle w:val="paragraph"/>
        <w:numPr>
          <w:ilvl w:val="0"/>
          <w:numId w:val="32"/>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naziv in naslov firme oziroma sedeža operatorja zrakoplova ter</w:t>
      </w:r>
      <w:r>
        <w:rPr>
          <w:rStyle w:val="eop"/>
          <w:rFonts w:ascii="Arial" w:eastAsiaTheme="majorEastAsia" w:hAnsi="Arial" w:cs="Arial"/>
          <w:sz w:val="20"/>
          <w:szCs w:val="20"/>
        </w:rPr>
        <w:t> </w:t>
      </w:r>
    </w:p>
    <w:p w:rsidR="00077835" w:rsidRDefault="00077835" w:rsidP="00077835">
      <w:pPr>
        <w:pStyle w:val="paragraph"/>
        <w:numPr>
          <w:ilvl w:val="0"/>
          <w:numId w:val="33"/>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številko in datum izdaje odločbe o odobritvi načrta za spremljanje. </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ind w:left="36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(4)Evidenca ladjarskih družb vsebuje:</w:t>
      </w:r>
      <w:r>
        <w:rPr>
          <w:rStyle w:val="eop"/>
          <w:rFonts w:ascii="Arial" w:eastAsiaTheme="majorEastAsia" w:hAnsi="Arial" w:cs="Arial"/>
          <w:sz w:val="20"/>
          <w:szCs w:val="20"/>
        </w:rPr>
        <w:t> </w:t>
      </w:r>
    </w:p>
    <w:p w:rsidR="00077835" w:rsidRDefault="00077835" w:rsidP="00077835">
      <w:pPr>
        <w:pStyle w:val="paragraph"/>
        <w:numPr>
          <w:ilvl w:val="0"/>
          <w:numId w:val="34"/>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naziv in naslov firme oziroma sedeža ladjarske družbe ter</w:t>
      </w:r>
      <w:r>
        <w:rPr>
          <w:rStyle w:val="eop"/>
          <w:rFonts w:ascii="Arial" w:eastAsiaTheme="majorEastAsia" w:hAnsi="Arial" w:cs="Arial"/>
          <w:sz w:val="20"/>
          <w:szCs w:val="20"/>
        </w:rPr>
        <w:t> </w:t>
      </w:r>
    </w:p>
    <w:p w:rsidR="00077835" w:rsidRDefault="00077835" w:rsidP="00077835">
      <w:pPr>
        <w:pStyle w:val="paragraph"/>
        <w:numPr>
          <w:ilvl w:val="0"/>
          <w:numId w:val="35"/>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številko in datum izdaje odločbe o odobritvi načrta za spremljanje. </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(5)Evidenca reguliranih subjektov vsebuje:</w:t>
      </w:r>
      <w:r>
        <w:rPr>
          <w:rStyle w:val="eop"/>
          <w:rFonts w:ascii="Arial" w:eastAsiaTheme="majorEastAsia" w:hAnsi="Arial" w:cs="Arial"/>
          <w:sz w:val="20"/>
          <w:szCs w:val="20"/>
        </w:rPr>
        <w:t> </w:t>
      </w:r>
    </w:p>
    <w:p w:rsidR="00077835" w:rsidRDefault="00077835" w:rsidP="00077835">
      <w:pPr>
        <w:pStyle w:val="paragraph"/>
        <w:numPr>
          <w:ilvl w:val="0"/>
          <w:numId w:val="36"/>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naziv in naslov firme oziroma sedeža reguliranega subjekta ter</w:t>
      </w:r>
      <w:r>
        <w:rPr>
          <w:rStyle w:val="eop"/>
          <w:rFonts w:ascii="Arial" w:eastAsiaTheme="majorEastAsia" w:hAnsi="Arial" w:cs="Arial"/>
          <w:sz w:val="20"/>
          <w:szCs w:val="20"/>
        </w:rPr>
        <w:t> </w:t>
      </w:r>
    </w:p>
    <w:p w:rsidR="00077835" w:rsidRDefault="00077835" w:rsidP="00077835">
      <w:pPr>
        <w:pStyle w:val="paragraph"/>
        <w:numPr>
          <w:ilvl w:val="0"/>
          <w:numId w:val="37"/>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številko in datum izdaje dovoljenja za izpuščanje toplogrednih plinov.</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(6)Evidenca pooblaščenih podjetij vsebuje:</w:t>
      </w:r>
      <w:r>
        <w:rPr>
          <w:rStyle w:val="eop"/>
          <w:rFonts w:ascii="Arial" w:eastAsiaTheme="majorEastAsia" w:hAnsi="Arial" w:cs="Arial"/>
          <w:sz w:val="20"/>
          <w:szCs w:val="20"/>
        </w:rPr>
        <w:t> </w:t>
      </w:r>
    </w:p>
    <w:p w:rsidR="00077835" w:rsidRDefault="00077835" w:rsidP="00077835">
      <w:pPr>
        <w:pStyle w:val="paragraph"/>
        <w:numPr>
          <w:ilvl w:val="0"/>
          <w:numId w:val="38"/>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naziv in naslov firme oziroma sedeža pooblaščenega podjetja,</w:t>
      </w:r>
      <w:r>
        <w:rPr>
          <w:rStyle w:val="eop"/>
          <w:rFonts w:ascii="Arial" w:eastAsiaTheme="majorEastAsia" w:hAnsi="Arial" w:cs="Arial"/>
          <w:sz w:val="20"/>
          <w:szCs w:val="20"/>
        </w:rPr>
        <w:t> </w:t>
      </w:r>
    </w:p>
    <w:p w:rsidR="00077835" w:rsidRDefault="00077835" w:rsidP="00077835">
      <w:pPr>
        <w:pStyle w:val="paragraph"/>
        <w:numPr>
          <w:ilvl w:val="0"/>
          <w:numId w:val="39"/>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evidenčno številko in dejavnost, za katero je pooblaščeno ter</w:t>
      </w:r>
      <w:r>
        <w:rPr>
          <w:rStyle w:val="eop"/>
          <w:rFonts w:ascii="Arial" w:eastAsiaTheme="majorEastAsia" w:hAnsi="Arial" w:cs="Arial"/>
          <w:sz w:val="20"/>
          <w:szCs w:val="20"/>
        </w:rPr>
        <w:t> </w:t>
      </w:r>
    </w:p>
    <w:p w:rsidR="00077835" w:rsidRDefault="00077835" w:rsidP="00077835">
      <w:pPr>
        <w:pStyle w:val="paragraph"/>
        <w:numPr>
          <w:ilvl w:val="0"/>
          <w:numId w:val="40"/>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številko in datum izdaje potrdila.</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(7)Evidenca izvajalcev usposabljanja vsebuje:</w:t>
      </w:r>
      <w:r>
        <w:rPr>
          <w:rStyle w:val="eop"/>
          <w:rFonts w:ascii="Arial" w:eastAsiaTheme="majorEastAsia" w:hAnsi="Arial" w:cs="Arial"/>
          <w:sz w:val="20"/>
          <w:szCs w:val="20"/>
        </w:rPr>
        <w:t> </w:t>
      </w:r>
    </w:p>
    <w:p w:rsidR="00077835" w:rsidRDefault="00077835" w:rsidP="00077835">
      <w:pPr>
        <w:pStyle w:val="paragraph"/>
        <w:numPr>
          <w:ilvl w:val="0"/>
          <w:numId w:val="41"/>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naziv in naslov firme oziroma sedeža izvajalca usposabljanja,</w:t>
      </w:r>
      <w:r>
        <w:rPr>
          <w:rStyle w:val="eop"/>
          <w:rFonts w:ascii="Arial" w:eastAsiaTheme="majorEastAsia" w:hAnsi="Arial" w:cs="Arial"/>
          <w:sz w:val="20"/>
          <w:szCs w:val="20"/>
        </w:rPr>
        <w:t> </w:t>
      </w:r>
    </w:p>
    <w:p w:rsidR="00077835" w:rsidRDefault="00077835" w:rsidP="00077835">
      <w:pPr>
        <w:pStyle w:val="paragraph"/>
        <w:numPr>
          <w:ilvl w:val="0"/>
          <w:numId w:val="42"/>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kontaktne podatke izvajalca usposabljanja ter</w:t>
      </w:r>
      <w:r>
        <w:rPr>
          <w:rStyle w:val="eop"/>
          <w:rFonts w:ascii="Arial" w:eastAsiaTheme="majorEastAsia" w:hAnsi="Arial" w:cs="Arial"/>
          <w:sz w:val="20"/>
          <w:szCs w:val="20"/>
        </w:rPr>
        <w:t> </w:t>
      </w:r>
    </w:p>
    <w:p w:rsidR="00077835" w:rsidRDefault="00077835" w:rsidP="00077835">
      <w:pPr>
        <w:pStyle w:val="paragraph"/>
        <w:numPr>
          <w:ilvl w:val="0"/>
          <w:numId w:val="43"/>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področje izvajanja usposabljanja in preverjanja usposobljenosti serviserjev.</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t>(8)Evidenca serviserjev vsebuje:</w:t>
      </w:r>
      <w:r>
        <w:rPr>
          <w:rStyle w:val="eop"/>
          <w:rFonts w:ascii="Arial" w:eastAsiaTheme="majorEastAsia" w:hAnsi="Arial" w:cs="Arial"/>
          <w:sz w:val="20"/>
          <w:szCs w:val="20"/>
        </w:rPr>
        <w:t> </w:t>
      </w:r>
    </w:p>
    <w:p w:rsidR="00077835" w:rsidRDefault="00077835" w:rsidP="00077835">
      <w:pPr>
        <w:pStyle w:val="paragraph"/>
        <w:numPr>
          <w:ilvl w:val="0"/>
          <w:numId w:val="44"/>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ime in priimek serviserja,</w:t>
      </w:r>
      <w:r>
        <w:rPr>
          <w:rStyle w:val="eop"/>
          <w:rFonts w:ascii="Arial" w:eastAsiaTheme="majorEastAsia" w:hAnsi="Arial" w:cs="Arial"/>
          <w:sz w:val="20"/>
          <w:szCs w:val="20"/>
        </w:rPr>
        <w:t> </w:t>
      </w:r>
    </w:p>
    <w:p w:rsidR="00077835" w:rsidRDefault="00077835" w:rsidP="00077835">
      <w:pPr>
        <w:pStyle w:val="paragraph"/>
        <w:numPr>
          <w:ilvl w:val="0"/>
          <w:numId w:val="45"/>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številko, datum izdaje in obdobje veljavnosti spričevala o usposobljenosti ter</w:t>
      </w:r>
      <w:r>
        <w:rPr>
          <w:rStyle w:val="eop"/>
          <w:rFonts w:ascii="Arial" w:eastAsiaTheme="majorEastAsia" w:hAnsi="Arial" w:cs="Arial"/>
          <w:sz w:val="20"/>
          <w:szCs w:val="20"/>
        </w:rPr>
        <w:t> </w:t>
      </w:r>
    </w:p>
    <w:p w:rsidR="00077835" w:rsidRDefault="00077835" w:rsidP="00077835">
      <w:pPr>
        <w:pStyle w:val="paragraph"/>
        <w:numPr>
          <w:ilvl w:val="0"/>
          <w:numId w:val="46"/>
        </w:numPr>
        <w:spacing w:before="0" w:beforeAutospacing="0" w:after="0" w:afterAutospacing="0"/>
        <w:ind w:left="1440" w:firstLine="0"/>
        <w:textAlignment w:val="baseline"/>
        <w:rPr>
          <w:rFonts w:ascii="Arial" w:hAnsi="Arial" w:cs="Arial"/>
          <w:sz w:val="20"/>
          <w:szCs w:val="20"/>
        </w:rPr>
      </w:pPr>
      <w:r>
        <w:rPr>
          <w:rStyle w:val="normaltextrun"/>
          <w:rFonts w:ascii="Arial" w:eastAsiaTheme="majorEastAsia" w:hAnsi="Arial" w:cs="Arial"/>
          <w:sz w:val="20"/>
          <w:szCs w:val="20"/>
        </w:rPr>
        <w:t>vrsto dejavnosti, za katero je izdano spričevalo o usposobljenosti.</w:t>
      </w: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eastAsiaTheme="majorEastAsia" w:hAnsi="Arial" w:cs="Arial"/>
          <w:sz w:val="20"/>
          <w:szCs w:val="20"/>
        </w:rPr>
        <w:t> </w:t>
      </w:r>
    </w:p>
    <w:p w:rsidR="00077835" w:rsidRDefault="00077835" w:rsidP="00077835">
      <w:pPr>
        <w:pStyle w:val="paragraph"/>
        <w:spacing w:before="0" w:beforeAutospacing="0" w:after="0" w:afterAutospacing="0"/>
        <w:textAlignment w:val="baseline"/>
        <w:rPr>
          <w:rFonts w:ascii="Arial" w:hAnsi="Arial" w:cs="Arial"/>
          <w:sz w:val="20"/>
          <w:szCs w:val="20"/>
        </w:rPr>
      </w:pPr>
      <w:r>
        <w:rPr>
          <w:rStyle w:val="normaltextrun"/>
          <w:rFonts w:ascii="Arial" w:eastAsiaTheme="majorEastAsia" w:hAnsi="Arial" w:cs="Arial"/>
          <w:sz w:val="20"/>
          <w:szCs w:val="20"/>
        </w:rPr>
        <w:lastRenderedPageBreak/>
        <w:t>(9)Ne glede na določbo prvega odstavka tega člena podatki iz evidence iz prejšnjega odstavka niso javni.«.</w:t>
      </w:r>
      <w:r>
        <w:rPr>
          <w:rStyle w:val="eop"/>
          <w:rFonts w:ascii="Arial" w:eastAsiaTheme="majorEastAsia" w:hAnsi="Arial" w:cs="Arial"/>
          <w:sz w:val="20"/>
          <w:szCs w:val="20"/>
        </w:rPr>
        <w:t> </w:t>
      </w:r>
    </w:p>
    <w:p w:rsidR="00077835" w:rsidRDefault="00077835" w:rsidP="00077835">
      <w:pPr>
        <w:jc w:val="both"/>
        <w:rPr>
          <w:rFonts w:cs="Arial"/>
          <w:szCs w:val="20"/>
        </w:rPr>
      </w:pPr>
    </w:p>
    <w:p w:rsidR="00077835" w:rsidRDefault="00077835" w:rsidP="00077835">
      <w:pPr>
        <w:jc w:val="both"/>
        <w:rPr>
          <w:rFonts w:cs="Arial"/>
          <w:b/>
          <w:bCs/>
          <w:szCs w:val="20"/>
        </w:rPr>
      </w:pPr>
    </w:p>
    <w:p w:rsidR="00077835" w:rsidRDefault="00077835" w:rsidP="00077835">
      <w:pPr>
        <w:jc w:val="both"/>
        <w:rPr>
          <w:rFonts w:cs="Arial"/>
          <w:szCs w:val="20"/>
        </w:rPr>
      </w:pPr>
      <w:r>
        <w:rPr>
          <w:rStyle w:val="normaltextrun"/>
          <w:rFonts w:cs="Arial"/>
          <w:b/>
          <w:bCs/>
          <w:color w:val="000000"/>
          <w:szCs w:val="20"/>
          <w:shd w:val="clear" w:color="auto" w:fill="FFFFFF"/>
        </w:rPr>
        <w:t xml:space="preserve">Obrazložitev amandmaja: </w:t>
      </w:r>
      <w:r>
        <w:rPr>
          <w:rStyle w:val="normaltextrun"/>
          <w:rFonts w:cs="Arial"/>
          <w:color w:val="000000"/>
          <w:szCs w:val="20"/>
          <w:shd w:val="clear" w:color="auto" w:fill="FFFFFF"/>
        </w:rPr>
        <w:t>Amandma je pripravljen kot odziv na mnenje Zakonodajno-pravne službe. V členu je dodan nov deveti odstavek, s katerim se določa, da podatki iz evidence serviserjev iz osmega odstavka niso javni. V členu je poenoteno poimenovanje podatkov.</w:t>
      </w:r>
      <w:r>
        <w:rPr>
          <w:rStyle w:val="eop"/>
          <w:rFonts w:cs="Arial"/>
          <w:color w:val="000000"/>
          <w:szCs w:val="20"/>
          <w:shd w:val="clear" w:color="auto" w:fill="FFFFFF"/>
        </w:rPr>
        <w:t> </w:t>
      </w:r>
    </w:p>
    <w:p w:rsidR="00077835" w:rsidRDefault="00077835" w:rsidP="00077835">
      <w:pPr>
        <w:spacing w:line="240" w:lineRule="auto"/>
        <w:jc w:val="both"/>
        <w:rPr>
          <w:rFonts w:cs="Arial"/>
          <w:b/>
          <w:bCs/>
          <w:color w:val="2B579A"/>
          <w:szCs w:val="20"/>
        </w:rPr>
      </w:pPr>
    </w:p>
    <w:p w:rsidR="00077835" w:rsidRDefault="00077835" w:rsidP="00077835">
      <w:pPr>
        <w:spacing w:line="240" w:lineRule="auto"/>
        <w:jc w:val="both"/>
        <w:rPr>
          <w:rFonts w:cs="Arial"/>
          <w:b/>
          <w:bCs/>
          <w:szCs w:val="20"/>
          <w:u w:val="single"/>
        </w:rPr>
      </w:pPr>
      <w:r>
        <w:rPr>
          <w:rFonts w:cs="Arial"/>
          <w:b/>
          <w:szCs w:val="20"/>
          <w:u w:val="single"/>
        </w:rPr>
        <w:t>K 104. členu:</w:t>
      </w:r>
    </w:p>
    <w:p w:rsidR="00077835" w:rsidRDefault="00077835" w:rsidP="00077835">
      <w:pPr>
        <w:spacing w:line="240" w:lineRule="auto"/>
        <w:jc w:val="both"/>
        <w:rPr>
          <w:rFonts w:cs="Arial"/>
          <w:szCs w:val="20"/>
        </w:rPr>
      </w:pPr>
      <w:r>
        <w:rPr>
          <w:rFonts w:cs="Arial"/>
          <w:szCs w:val="20"/>
        </w:rPr>
        <w:t>V četrtem odstavku 104. člena se beseda »prejete« nadomesti z besedo »prejema«.</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Upošteva se pripomba Zakonodajno-pravne službe Državnega zbora.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rPr>
          <w:rFonts w:cs="Arial"/>
          <w:b/>
          <w:szCs w:val="20"/>
          <w:u w:val="single"/>
        </w:rPr>
      </w:pPr>
      <w:r>
        <w:rPr>
          <w:rFonts w:cs="Arial"/>
          <w:b/>
          <w:szCs w:val="20"/>
          <w:u w:val="single"/>
        </w:rPr>
        <w:t>K 108. členu</w:t>
      </w:r>
      <w:r>
        <w:rPr>
          <w:rFonts w:cs="Arial"/>
          <w:b/>
          <w:bCs/>
          <w:szCs w:val="20"/>
          <w:u w:val="single"/>
        </w:rPr>
        <w:t>:</w:t>
      </w:r>
    </w:p>
    <w:p w:rsidR="00077835" w:rsidRDefault="00077835" w:rsidP="00077835">
      <w:pPr>
        <w:spacing w:line="240" w:lineRule="auto"/>
        <w:jc w:val="both"/>
        <w:rPr>
          <w:rFonts w:cs="Arial"/>
          <w:szCs w:val="20"/>
        </w:rPr>
      </w:pPr>
      <w:r>
        <w:rPr>
          <w:rFonts w:cs="Arial"/>
          <w:szCs w:val="20"/>
        </w:rPr>
        <w:t>Besedilo 108. člena se spremeni tako, da se glasi:</w:t>
      </w:r>
    </w:p>
    <w:p w:rsidR="00077835" w:rsidRDefault="00077835" w:rsidP="00077835">
      <w:pPr>
        <w:spacing w:line="276" w:lineRule="auto"/>
        <w:jc w:val="both"/>
        <w:rPr>
          <w:rFonts w:cs="Arial"/>
          <w:szCs w:val="20"/>
        </w:rPr>
      </w:pPr>
      <w:r>
        <w:rPr>
          <w:rFonts w:cs="Arial"/>
          <w:szCs w:val="20"/>
        </w:rPr>
        <w:t>»(1)</w:t>
      </w:r>
      <w:r>
        <w:rPr>
          <w:rFonts w:cs="Arial"/>
          <w:szCs w:val="20"/>
        </w:rPr>
        <w:tab/>
        <w:t>Nadzor nad izvajanjem tega zakona in na njegovi podlagi izdanih predpisov opravlja inšpekcija, pristojna za okolje.</w:t>
      </w:r>
    </w:p>
    <w:p w:rsidR="00077835" w:rsidRDefault="00077835" w:rsidP="00077835">
      <w:pPr>
        <w:spacing w:line="276" w:lineRule="auto"/>
        <w:jc w:val="both"/>
        <w:rPr>
          <w:rFonts w:cs="Arial"/>
          <w:szCs w:val="20"/>
        </w:rPr>
      </w:pPr>
      <w:r>
        <w:rPr>
          <w:rFonts w:cs="Arial"/>
          <w:szCs w:val="20"/>
        </w:rPr>
        <w:t>(2)</w:t>
      </w:r>
      <w:r>
        <w:rPr>
          <w:rFonts w:cs="Arial"/>
          <w:szCs w:val="20"/>
        </w:rPr>
        <w:tab/>
        <w:t>Ne glede na prejšnji odstavek nadzor nad izvajanjem 110. člena tega zakona izvaja inšpekcija, pristojna za pomorstvo (v nadaljnjem besedilu: pomorska inšpekcija), v skladu s svojimi pristojnostmi, določenimi s predpisi, ki urejajo pomorstvo.</w:t>
      </w:r>
    </w:p>
    <w:p w:rsidR="00077835" w:rsidRDefault="00077835" w:rsidP="00077835">
      <w:pPr>
        <w:spacing w:line="276" w:lineRule="auto"/>
        <w:jc w:val="both"/>
        <w:rPr>
          <w:rFonts w:cs="Arial"/>
          <w:szCs w:val="20"/>
        </w:rPr>
      </w:pPr>
    </w:p>
    <w:p w:rsidR="00077835" w:rsidRDefault="00077835" w:rsidP="00077835">
      <w:pPr>
        <w:spacing w:line="276" w:lineRule="auto"/>
        <w:jc w:val="both"/>
        <w:rPr>
          <w:rFonts w:cs="Arial"/>
          <w:szCs w:val="20"/>
        </w:rPr>
      </w:pPr>
      <w:r>
        <w:rPr>
          <w:rFonts w:cs="Arial"/>
          <w:szCs w:val="20"/>
        </w:rPr>
        <w:t>(3)</w:t>
      </w:r>
      <w:r>
        <w:rPr>
          <w:rFonts w:cs="Arial"/>
          <w:szCs w:val="20"/>
        </w:rPr>
        <w:tab/>
        <w:t>Ne glede na prvi odstavek tega člena nadzor nad izvajanjem 70. in 71. člena ter X. poglavja tega zakona izvaja Finančna uprava Republike Slovenije v skladu s svojimi pristojnostmi, določenimi z zakonom, ki ureja Finančno upravo Republike Slovenije.</w:t>
      </w:r>
    </w:p>
    <w:p w:rsidR="00077835" w:rsidRDefault="00077835" w:rsidP="00077835">
      <w:pPr>
        <w:spacing w:line="276" w:lineRule="auto"/>
        <w:jc w:val="both"/>
        <w:rPr>
          <w:rFonts w:cs="Arial"/>
          <w:szCs w:val="20"/>
        </w:rPr>
      </w:pPr>
      <w:r>
        <w:rPr>
          <w:rFonts w:cs="Arial"/>
          <w:szCs w:val="20"/>
        </w:rPr>
        <w:t>(4)</w:t>
      </w:r>
      <w:r>
        <w:rPr>
          <w:rFonts w:cs="Arial"/>
          <w:szCs w:val="20"/>
        </w:rPr>
        <w:tab/>
        <w:t xml:space="preserve">Če inšpektor pri opravljanju nalog inšpekcijskega nadzora ugotovi, da je upravljavec naprave, operator zrakoplova, ladjarska družba ali regulirani subjekt kršil ta zakon ali predpis, izdan na njegovi podlagi, ima pravico in dolžnost: </w:t>
      </w:r>
    </w:p>
    <w:p w:rsidR="00077835" w:rsidRDefault="00077835" w:rsidP="00077835">
      <w:pPr>
        <w:spacing w:line="276" w:lineRule="auto"/>
        <w:jc w:val="both"/>
        <w:rPr>
          <w:rFonts w:cs="Arial"/>
          <w:szCs w:val="20"/>
        </w:rPr>
      </w:pPr>
      <w:r>
        <w:rPr>
          <w:rFonts w:cs="Arial"/>
          <w:szCs w:val="20"/>
        </w:rPr>
        <w:t>1.</w:t>
      </w:r>
      <w:r>
        <w:rPr>
          <w:rFonts w:cs="Arial"/>
          <w:szCs w:val="20"/>
        </w:rPr>
        <w:tab/>
        <w:t>odrediti, da se nepravilnosti, ki jih ugotovi, odpravijo v roku, ki ga določi, ali</w:t>
      </w:r>
    </w:p>
    <w:p w:rsidR="00077835" w:rsidRDefault="00077835" w:rsidP="00077835">
      <w:pPr>
        <w:spacing w:line="276" w:lineRule="auto"/>
        <w:jc w:val="both"/>
        <w:rPr>
          <w:rFonts w:cs="Arial"/>
          <w:szCs w:val="20"/>
        </w:rPr>
      </w:pPr>
      <w:r>
        <w:rPr>
          <w:rFonts w:cs="Arial"/>
          <w:szCs w:val="20"/>
        </w:rPr>
        <w:t>2.</w:t>
      </w:r>
      <w:r>
        <w:rPr>
          <w:rFonts w:cs="Arial"/>
          <w:szCs w:val="20"/>
        </w:rPr>
        <w:tab/>
        <w:t>predlagati ministrstvu odvzem dovoljenja, izdanega na podlagi tega zakona.«.</w:t>
      </w:r>
    </w:p>
    <w:p w:rsidR="00077835" w:rsidRDefault="00077835" w:rsidP="00077835">
      <w:pPr>
        <w:spacing w:line="240" w:lineRule="auto"/>
        <w:jc w:val="both"/>
        <w:rPr>
          <w:rFonts w:cs="Arial"/>
          <w:b/>
          <w:szCs w:val="20"/>
        </w:rPr>
      </w:pP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Amandma je pripravljen kot odziv na mnenje Zakonodajno-pravne službe Državnega zbora, tako da se jasneje določijo pristojnosti Finančne uprave Republike Slovenije in inšpekcije, pristojne za pomorstvo. Uredi se tudi nadzor Finančne uprave Republike Slovenije nad izvajanjem 70. in 71. člena Predloga zakona.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b/>
          <w:bCs/>
          <w:szCs w:val="20"/>
          <w:u w:val="single"/>
        </w:rPr>
      </w:pPr>
      <w:r>
        <w:rPr>
          <w:rFonts w:cs="Arial"/>
          <w:b/>
          <w:bCs/>
          <w:szCs w:val="20"/>
          <w:u w:val="single"/>
        </w:rPr>
        <w:t>K 109. členu:</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szCs w:val="20"/>
        </w:rPr>
      </w:pPr>
      <w:r>
        <w:rPr>
          <w:rFonts w:cs="Arial"/>
          <w:szCs w:val="20"/>
        </w:rPr>
        <w:t xml:space="preserve">Četrti odstavek 109. člena se spremeni tako, da se glasi: </w:t>
      </w:r>
    </w:p>
    <w:p w:rsidR="00077835" w:rsidRDefault="00077835" w:rsidP="00077835">
      <w:pPr>
        <w:spacing w:line="240" w:lineRule="auto"/>
        <w:jc w:val="both"/>
        <w:rPr>
          <w:rFonts w:cs="Arial"/>
          <w:szCs w:val="20"/>
        </w:rPr>
      </w:pPr>
      <w:r>
        <w:rPr>
          <w:rFonts w:cs="Arial"/>
          <w:szCs w:val="20"/>
        </w:rPr>
        <w:t>»(4) Če Komisija sprejme odločitev o uvedbi prepovedi opravljanja letov, ministrstvo o tem obvesti ministrstvo, pristojno za promet. Operator zrakoplova, v zvezi s katerim je bila sprejeta odločitev o uvedbi prepovedi opravljanja letov, lahko uveljavlja pravno varstvo svojih pravic zoper to odločitev v skladu s PDEU.«.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 amandmaja</w:t>
      </w:r>
      <w:r>
        <w:rPr>
          <w:rFonts w:cs="Arial"/>
          <w:szCs w:val="20"/>
        </w:rPr>
        <w:t>:</w:t>
      </w:r>
    </w:p>
    <w:p w:rsidR="00077835" w:rsidRDefault="00077835" w:rsidP="00077835">
      <w:pPr>
        <w:spacing w:line="240" w:lineRule="auto"/>
        <w:jc w:val="both"/>
        <w:rPr>
          <w:rFonts w:cs="Arial"/>
          <w:szCs w:val="20"/>
        </w:rPr>
      </w:pPr>
      <w:r>
        <w:rPr>
          <w:rFonts w:cs="Arial"/>
          <w:szCs w:val="20"/>
        </w:rPr>
        <w:t xml:space="preserve">Amandma je pripravljen kot odziv na mnenje Zakonodajno-pravne službe, da je potrebno določiti pravno varstvo položaja operatorja zrakoplova, v zvezi s katerim je odločitev o prepovedi opravljanja leta sprejela Evropska komisija. Ker Evropska komisija ni upravni organ Republike Slovenije, je bilo treba navesti pravno podlago EU za uveljavitev pravic operatorja zrakoplova. To pa je Pogodba o delovanju Evropske unije.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u w:val="single"/>
        </w:rPr>
      </w:pPr>
      <w:r>
        <w:rPr>
          <w:rFonts w:cs="Arial"/>
          <w:b/>
          <w:bCs/>
          <w:szCs w:val="20"/>
          <w:u w:val="single"/>
        </w:rPr>
        <w:t>K 110. členu:</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szCs w:val="20"/>
        </w:rPr>
      </w:pPr>
      <w:r>
        <w:rPr>
          <w:rFonts w:cs="Arial"/>
          <w:szCs w:val="20"/>
        </w:rPr>
        <w:t>Besedilo 110. člena se spremeni tako, da se glasi:</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lastRenderedPageBreak/>
        <w:t>»(1)</w:t>
      </w:r>
      <w:r>
        <w:rPr>
          <w:rFonts w:cs="Arial"/>
          <w:szCs w:val="20"/>
        </w:rPr>
        <w:tab/>
        <w:t xml:space="preserve">Ministrstvo pomorsko inšpekcijo obvesti o vsaki ladjarski družbi, za katero je pristojno v skladu s 47. členom tega zakona in ki v dveh ali več zaporednih koledarskih letih ni izpolnila obveznosti glede spremljanja emisij toplogrednih plinov in poročanja o njih ali ni predala emisijskih kuponov v količini, ki ustrezajo njenim preverjenim emisijam, v skladu s tem zakonom. </w:t>
      </w:r>
    </w:p>
    <w:p w:rsidR="00077835" w:rsidRDefault="00077835" w:rsidP="00077835">
      <w:pPr>
        <w:spacing w:line="240" w:lineRule="auto"/>
        <w:jc w:val="both"/>
        <w:rPr>
          <w:rFonts w:cs="Arial"/>
          <w:szCs w:val="20"/>
        </w:rPr>
      </w:pPr>
      <w:r>
        <w:rPr>
          <w:rFonts w:cs="Arial"/>
          <w:szCs w:val="20"/>
        </w:rPr>
        <w:t>(2)</w:t>
      </w:r>
      <w:r>
        <w:rPr>
          <w:rFonts w:cs="Arial"/>
          <w:szCs w:val="20"/>
        </w:rPr>
        <w:tab/>
        <w:t>Če vstopi v pristanišče Republike Slovenije ladja ladjarske družbe iz prejšnjega odstavka, ki ni registrirana v Republiki Sloveniji, pomorska inšpekcija na podlagi obvestila iz prejšnjega odstavka ladjarsko družbo nemudoma pozove, da se izreče glede navedb iz tega obvestila v primernem roku, ki ga določi pomorski inšpektor, in sme izdati odločbo o izgonu ladje, če ugotovi, da ladja ni izpolnila obveznosti iz prejšnjega odstavka. Pomorska inšpekcija o svoji odločitvi uradno obvesti ministrstvo, Komisijo, Evropsko agencijo za pomorsko varnost, druge države članice in državo zastave ladjarske družbe.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(3)</w:t>
      </w:r>
      <w:r>
        <w:rPr>
          <w:rFonts w:cs="Arial"/>
          <w:szCs w:val="20"/>
        </w:rPr>
        <w:tab/>
        <w:t>Pomorska inšpekcija prepove vplutje v pristanišča Republike Slovenije ladji pod odgovornostjo ladjarske družbe, za katero je Republika Slovenija od druge države članice EU dobila obvestilo o izgonu, dokler ladjarska družba ne izpolni svojih obveznosti glede spremljanja emisij toplogrednih plinov, poročanja o njih ali predaje emisijskih kuponov. Ta določba se ne uporablja za ladje, ki plujejo pod zastavo Republike Slovenije.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(4)</w:t>
      </w:r>
      <w:r>
        <w:rPr>
          <w:rFonts w:cs="Arial"/>
          <w:szCs w:val="20"/>
        </w:rPr>
        <w:tab/>
        <w:t>Če ladja, ki pluje pod zastavo Republike Slovenije in je del ladjevja ladjarske družbe, za katero je Republika Slovenija od druge države članice EU dobila obvestilo o izgonu, vpluje v eno od njenih pristanišč ali jo v njem najdejo, pomorska inšpekcija ladjarski družbi omogoči, da poda stališče v primernem roku, ki ga določi pomorski inšpektor, ladjo pa sme zadržati, dokler ladjarska družba ne izpolni svojih obveznosti glede spremljanja emisij toplogrednih plinov, poročanja o njih ali predaje emisijskih kuponov v skladu s tem zakonom.</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(5)</w:t>
      </w:r>
      <w:r>
        <w:rPr>
          <w:rFonts w:cs="Arial"/>
          <w:szCs w:val="20"/>
        </w:rPr>
        <w:tab/>
        <w:t>Če je ladja, ki pluje pod zastavo Republike Slovenije in je pod odgovornostjo ladjarske družbe, ki ni izpolnila obveznosti iz prvega odstavka tega člena, v pristanišču Republike Slovenije, pomorska inšpekcija ladjarski družbi omogoči, da poda stališče do neizpolnitve teh obveznosti v primernem roku, ki ga določi pomorski inšpektor, in sme nato izdati odločbo o zadržanju te ladje, dokler ladjarska družba svojih obveznosti ne izpolni. Pomorska inšpekcija o tem obvesti ministrstvo, Komisijo, Evropsko agencijo za pomorsko varnost in druge države članice.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(6) Če je ladja, ki je pod odgovornostjo ladjarske družbe, za katero je Republika Slovenija od druge države članice dobila obvestilo o izgonu, v pristanišču Republike Slovenije, pomorska inšpekcija na podlagi obvestila ladjarsko družbo nemudoma pozove, da se izreče glede navedb iz obvestila v primernem roku, ki ga določi pomorski inšpektor, in sme izdati odločbo o izgonu ladje, če ugotovi, da ni izpolnila obveznosti iz prvega odstavka tega člena. Ta določba se ne uporablja za ladje, ki plujejo pod zastavo Republike Slovenije.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(7) Ta člen ne posega v pravila, ki se uporabljajo za ladje v stiski v skladu s predpisi v pomorskem prometu.«.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Amandma je pripravljen kot odziv na mnenje Zakonodajno-pravne službe. Gre zlasti za </w:t>
      </w:r>
      <w:proofErr w:type="spellStart"/>
      <w:r>
        <w:rPr>
          <w:rFonts w:cs="Arial"/>
          <w:szCs w:val="20"/>
        </w:rPr>
        <w:t>nomotehnične</w:t>
      </w:r>
      <w:proofErr w:type="spellEnd"/>
      <w:r>
        <w:rPr>
          <w:rFonts w:cs="Arial"/>
          <w:szCs w:val="20"/>
        </w:rPr>
        <w:t xml:space="preserve"> popravke.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bCs/>
          <w:szCs w:val="20"/>
          <w:u w:val="single"/>
        </w:rPr>
      </w:pPr>
      <w:r>
        <w:rPr>
          <w:rFonts w:cs="Arial"/>
          <w:b/>
          <w:bCs/>
          <w:szCs w:val="20"/>
          <w:u w:val="single"/>
        </w:rPr>
        <w:t xml:space="preserve">K 114. členu: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 xml:space="preserve">114. člen se spremeni tako, da se glasi: </w:t>
      </w:r>
    </w:p>
    <w:p w:rsidR="00077835" w:rsidRDefault="00077835" w:rsidP="00077835">
      <w:pPr>
        <w:spacing w:line="240" w:lineRule="auto"/>
        <w:jc w:val="both"/>
        <w:rPr>
          <w:rFonts w:cs="Arial"/>
          <w:szCs w:val="20"/>
        </w:rPr>
      </w:pPr>
    </w:p>
    <w:p w:rsidR="00077835" w:rsidRDefault="00077835" w:rsidP="00077835">
      <w:pPr>
        <w:spacing w:line="240" w:lineRule="auto"/>
        <w:jc w:val="center"/>
        <w:rPr>
          <w:rFonts w:cs="Arial"/>
          <w:b/>
          <w:bCs/>
          <w:szCs w:val="20"/>
        </w:rPr>
      </w:pPr>
    </w:p>
    <w:p w:rsidR="00077835" w:rsidRDefault="00077835" w:rsidP="00077835">
      <w:pPr>
        <w:spacing w:line="240" w:lineRule="auto"/>
        <w:jc w:val="center"/>
        <w:rPr>
          <w:rFonts w:cs="Arial"/>
          <w:b/>
          <w:bCs/>
          <w:szCs w:val="20"/>
        </w:rPr>
      </w:pPr>
    </w:p>
    <w:p w:rsidR="00077835" w:rsidRDefault="00077835" w:rsidP="00077835">
      <w:pPr>
        <w:spacing w:line="240" w:lineRule="auto"/>
        <w:ind w:left="357" w:hanging="357"/>
        <w:jc w:val="center"/>
        <w:rPr>
          <w:rFonts w:eastAsia="Arial" w:cs="Arial"/>
          <w:b/>
          <w:bCs/>
          <w:szCs w:val="20"/>
        </w:rPr>
      </w:pPr>
      <w:r>
        <w:rPr>
          <w:rFonts w:cs="Arial"/>
          <w:b/>
          <w:bCs/>
          <w:szCs w:val="20"/>
        </w:rPr>
        <w:t>»</w:t>
      </w:r>
      <w:r>
        <w:rPr>
          <w:rFonts w:eastAsia="Arial" w:cs="Arial"/>
          <w:b/>
          <w:bCs/>
          <w:szCs w:val="20"/>
        </w:rPr>
        <w:t>114. člen</w:t>
      </w:r>
      <w:r>
        <w:rPr>
          <w:rFonts w:cs="Arial"/>
          <w:b/>
          <w:bCs/>
          <w:szCs w:val="20"/>
        </w:rPr>
        <w:br/>
      </w:r>
      <w:r>
        <w:rPr>
          <w:rFonts w:eastAsia="Arial" w:cs="Arial"/>
          <w:b/>
          <w:bCs/>
          <w:szCs w:val="20"/>
        </w:rPr>
        <w:t xml:space="preserve"> (globe za presežne in neprijavljene emisije)</w:t>
      </w:r>
    </w:p>
    <w:p w:rsidR="00077835" w:rsidRDefault="00077835" w:rsidP="00077835">
      <w:pPr>
        <w:spacing w:line="240" w:lineRule="auto"/>
        <w:ind w:left="357" w:hanging="357"/>
        <w:contextualSpacing/>
        <w:jc w:val="both"/>
        <w:rPr>
          <w:rFonts w:eastAsia="Arial" w:cs="Arial"/>
          <w:b/>
          <w:bCs/>
          <w:szCs w:val="20"/>
        </w:rPr>
      </w:pPr>
    </w:p>
    <w:p w:rsidR="00077835" w:rsidRDefault="00077835" w:rsidP="00077835">
      <w:pPr>
        <w:spacing w:line="240" w:lineRule="auto"/>
        <w:jc w:val="both"/>
        <w:rPr>
          <w:rFonts w:eastAsia="Arial" w:cs="Arial"/>
          <w:szCs w:val="20"/>
        </w:rPr>
      </w:pPr>
      <w:r>
        <w:rPr>
          <w:rFonts w:eastAsia="Arial" w:cs="Arial"/>
          <w:szCs w:val="20"/>
        </w:rPr>
        <w:t>(1) Z globo v višini 100 eurov se kaznuje za prekršek upravljavec naprave, operator zrakoplova, ladjarska družba ali regulirani subjekt za vsako začeto tono ekvivalenta ogljikovega dioksida, ki jo je naprava, operator zrakoplova, ladjarska družba ali regulirani subjekt povzročil s svojo dejavnostjo in presega količino emisijskih kuponov, predanih v skladu s 57. členom tega zakona, če do roka iz prvega odstavka 57. člena tega zakona ne preda ustrezne količine emisijskih kuponov.</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rPr>
          <w:rFonts w:eastAsia="Arial" w:cs="Arial"/>
          <w:szCs w:val="20"/>
        </w:rPr>
      </w:pPr>
      <w:r>
        <w:rPr>
          <w:rFonts w:eastAsia="Arial" w:cs="Arial"/>
          <w:szCs w:val="20"/>
        </w:rPr>
        <w:t>(2) Višina globe iz prejšnjega odstavka se vsako leto poveča za letni evropski indeks cen življenjskih potrebščin, objavljen na spletnem mestu Statističnega urada EU v aprilu tekočega koledarskega leta. Višino globe v skladu s tem odstavkom določi vlada s sklepom.</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rPr>
          <w:rFonts w:eastAsia="Arial" w:cs="Arial"/>
          <w:szCs w:val="20"/>
        </w:rPr>
      </w:pPr>
      <w:r>
        <w:rPr>
          <w:rFonts w:eastAsia="Arial" w:cs="Arial"/>
          <w:szCs w:val="20"/>
        </w:rPr>
        <w:t>(3) Pravna oseba, samostojni podjetnik posameznik, posameznik, ki samostojno opravlja dejavnost, ali posameznik, ki ravna v nasprotju z 8. členom Izvedbene uredbe 2023/1773/EU, se kaznuje za prekršek z globo v višini:</w:t>
      </w:r>
    </w:p>
    <w:p w:rsidR="00077835" w:rsidRDefault="00077835" w:rsidP="00077835">
      <w:pPr>
        <w:numPr>
          <w:ilvl w:val="0"/>
          <w:numId w:val="47"/>
        </w:numPr>
        <w:spacing w:line="240" w:lineRule="auto"/>
        <w:ind w:left="1080"/>
        <w:contextualSpacing/>
        <w:jc w:val="both"/>
        <w:rPr>
          <w:rFonts w:eastAsia="Arial" w:cs="Arial"/>
          <w:szCs w:val="20"/>
          <w:lang w:val=""/>
        </w:rPr>
      </w:pPr>
      <w:r>
        <w:rPr>
          <w:rFonts w:eastAsia="Arial" w:cs="Arial"/>
          <w:szCs w:val="20"/>
          <w:lang w:val=""/>
        </w:rPr>
        <w:t>30 eurov za vsako tono neprijavljenih emisij, če ni predložil poročila CBAM v šestih mesecih od poteka roka za predložitev poročila iz prvega odstavka 8. člena Izvedbene uredbe 2023/1773/EU;</w:t>
      </w:r>
    </w:p>
    <w:p w:rsidR="00077835" w:rsidRDefault="00077835" w:rsidP="00077835">
      <w:pPr>
        <w:numPr>
          <w:ilvl w:val="0"/>
          <w:numId w:val="47"/>
        </w:numPr>
        <w:spacing w:line="240" w:lineRule="auto"/>
        <w:ind w:left="1080"/>
        <w:contextualSpacing/>
        <w:jc w:val="both"/>
        <w:rPr>
          <w:rFonts w:eastAsia="Arial" w:cs="Arial"/>
          <w:szCs w:val="20"/>
          <w:lang w:val=""/>
        </w:rPr>
      </w:pPr>
      <w:r>
        <w:rPr>
          <w:rFonts w:eastAsia="Arial" w:cs="Arial"/>
          <w:szCs w:val="20"/>
          <w:lang w:val=""/>
        </w:rPr>
        <w:t xml:space="preserve">45 eurov za vsako tono neprijavljenih emisij, če ni predložil poročila CBAM v več kot šestih mesecih od poteka roka za predložitev poročila iz prvega odstavka 8. člena Izvedbene uredbe 2023/1773/EU. </w:t>
      </w:r>
    </w:p>
    <w:p w:rsidR="00077835" w:rsidRDefault="00077835" w:rsidP="00077835">
      <w:pPr>
        <w:spacing w:line="240" w:lineRule="auto"/>
        <w:ind w:left="1080" w:hanging="360"/>
        <w:contextualSpacing/>
        <w:jc w:val="both"/>
        <w:rPr>
          <w:rFonts w:eastAsia="Arial" w:cs="Arial"/>
          <w:szCs w:val="20"/>
          <w:lang w:val=""/>
        </w:rPr>
      </w:pPr>
    </w:p>
    <w:p w:rsidR="00077835" w:rsidRDefault="00077835" w:rsidP="00077835">
      <w:pPr>
        <w:spacing w:line="240" w:lineRule="auto"/>
        <w:jc w:val="both"/>
        <w:rPr>
          <w:rFonts w:eastAsia="Arial" w:cs="Arial"/>
          <w:szCs w:val="20"/>
        </w:rPr>
      </w:pPr>
      <w:r>
        <w:rPr>
          <w:rFonts w:eastAsia="Arial" w:cs="Arial"/>
          <w:szCs w:val="20"/>
        </w:rPr>
        <w:t>(4) Pravna oseba, samostojni podjetnik posameznik, posameznik, ki samostojno opravlja dejavnost, ali posameznik se kaznuje za prekršek, če je predložil nepopolno ali nepravilno poročilo, določeno v 13. členu Izvedbene uredbe 2023/1773/EU ali ni sprejel potrebnih ukrepov za popravek poročila CBAM v postopku za popravek, ki ga je Finančna uprava Republike Slovenije zaključila v skladu s četrtim odstavkom 14. člena Izvedbene uredbe 2023/1773/EU, z globo v višini:</w:t>
      </w:r>
    </w:p>
    <w:p w:rsidR="00077835" w:rsidRDefault="00077835" w:rsidP="00077835">
      <w:pPr>
        <w:numPr>
          <w:ilvl w:val="0"/>
          <w:numId w:val="48"/>
        </w:numPr>
        <w:spacing w:line="240" w:lineRule="auto"/>
        <w:ind w:left="1080"/>
        <w:contextualSpacing/>
        <w:jc w:val="both"/>
        <w:rPr>
          <w:rFonts w:eastAsia="Arial" w:cs="Arial"/>
          <w:szCs w:val="20"/>
        </w:rPr>
      </w:pPr>
      <w:r>
        <w:rPr>
          <w:rFonts w:eastAsia="Arial" w:cs="Arial"/>
          <w:szCs w:val="20"/>
        </w:rPr>
        <w:t>10 eurov za vsako tono neprijavljenih emisij, če ni prijavil manj kot 25 odstotkov emisij,</w:t>
      </w:r>
    </w:p>
    <w:p w:rsidR="00077835" w:rsidRDefault="00077835" w:rsidP="00077835">
      <w:pPr>
        <w:numPr>
          <w:ilvl w:val="0"/>
          <w:numId w:val="48"/>
        </w:numPr>
        <w:spacing w:line="240" w:lineRule="auto"/>
        <w:ind w:left="1080"/>
        <w:contextualSpacing/>
        <w:jc w:val="both"/>
        <w:rPr>
          <w:rFonts w:eastAsia="Arial" w:cs="Arial"/>
          <w:szCs w:val="20"/>
        </w:rPr>
      </w:pPr>
      <w:r>
        <w:rPr>
          <w:rFonts w:eastAsia="Arial" w:cs="Arial"/>
          <w:szCs w:val="20"/>
        </w:rPr>
        <w:t>15 eurov za vsako tono neprijavljenih emisij, če ni prijavil od 25 do 50 odstotkov emisij,</w:t>
      </w:r>
    </w:p>
    <w:p w:rsidR="00077835" w:rsidRDefault="00077835" w:rsidP="00077835">
      <w:pPr>
        <w:numPr>
          <w:ilvl w:val="0"/>
          <w:numId w:val="48"/>
        </w:numPr>
        <w:spacing w:line="240" w:lineRule="auto"/>
        <w:ind w:left="1080"/>
        <w:contextualSpacing/>
        <w:jc w:val="both"/>
        <w:rPr>
          <w:rFonts w:eastAsia="Arial" w:cs="Arial"/>
          <w:szCs w:val="20"/>
        </w:rPr>
      </w:pPr>
      <w:r>
        <w:rPr>
          <w:rFonts w:eastAsia="Arial" w:cs="Arial"/>
          <w:szCs w:val="20"/>
        </w:rPr>
        <w:t>20 eurov za vsako tono neprijavljenih emisij, če ni prijavil več kot 50 odstotkov emisij.</w:t>
      </w:r>
    </w:p>
    <w:p w:rsidR="00077835" w:rsidRDefault="00077835" w:rsidP="00077835">
      <w:pPr>
        <w:spacing w:line="240" w:lineRule="auto"/>
        <w:ind w:left="1080" w:hanging="360"/>
        <w:contextualSpacing/>
        <w:jc w:val="both"/>
        <w:rPr>
          <w:rFonts w:eastAsia="Arial" w:cs="Arial"/>
          <w:szCs w:val="20"/>
        </w:rPr>
      </w:pPr>
    </w:p>
    <w:p w:rsidR="00077835" w:rsidRDefault="00077835" w:rsidP="00077835">
      <w:pPr>
        <w:spacing w:line="240" w:lineRule="auto"/>
        <w:jc w:val="both"/>
        <w:rPr>
          <w:rFonts w:eastAsia="Arial" w:cs="Arial"/>
          <w:szCs w:val="20"/>
        </w:rPr>
      </w:pPr>
      <w:r>
        <w:rPr>
          <w:rFonts w:eastAsia="Arial" w:cs="Arial"/>
          <w:szCs w:val="20"/>
        </w:rPr>
        <w:t xml:space="preserve">(5) Oseba iz prejšnjega odstavka se kaznuje za prekršek z globo iz prejšnjega odstavka, povečano za 5 eurov za vsako tono neprijavljenih emisij, če je zaporedno predložila več kot dve nepopolni ali nepravilni poročili CBAM (13. člen Izvedbene uredbe 2023/1773/EU). </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rPr>
          <w:rFonts w:eastAsia="Arial" w:cs="Arial"/>
          <w:szCs w:val="20"/>
        </w:rPr>
      </w:pPr>
      <w:r>
        <w:rPr>
          <w:rFonts w:eastAsia="Arial" w:cs="Arial"/>
          <w:szCs w:val="20"/>
        </w:rPr>
        <w:t>(6) Višina globe iz tretjega do petega odstavka tega člena se poveča ali zmanjša za 10 odstotkov ob upoštevanju dejavnikov iz točk (c) do (g) tretjega odstavka 16. člena Izvedbene uredbe 2023/1773/EU.</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rPr>
          <w:rFonts w:eastAsia="Arial" w:cs="Arial"/>
          <w:szCs w:val="20"/>
        </w:rPr>
      </w:pPr>
      <w:r>
        <w:rPr>
          <w:rFonts w:eastAsia="Arial" w:cs="Arial"/>
          <w:szCs w:val="20"/>
        </w:rPr>
        <w:t>(7) Pravna oseba, samostojni podjetnik posameznik, posameznik, ki samostojno opravlja dejavnost, ali posameznik, ki ima status pooblaščenega deklaranta CBAM, se kaznuje za prekršek iz prvega odstavka 26. člena Uredbe 2023/956/EU z globo v enaki višini, kot je določena v predpisu iz drugega odstavka tega člena za vsako začeto tono ekvivalenta ogljikovega dioksida, vgrajeno v blago CBAM, ki ga je uvozil v preteklem letu in presega količino kuponov CBAM, predanih v skladu s prvim odstavkom 22. člena Uredbe 2023/956/EU.</w:t>
      </w:r>
    </w:p>
    <w:p w:rsidR="00077835" w:rsidRDefault="00077835" w:rsidP="00077835">
      <w:pPr>
        <w:spacing w:line="240" w:lineRule="auto"/>
        <w:jc w:val="both"/>
        <w:rPr>
          <w:rFonts w:eastAsia="Arial" w:cs="Arial"/>
          <w:szCs w:val="20"/>
        </w:rPr>
      </w:pPr>
    </w:p>
    <w:p w:rsidR="00077835" w:rsidRDefault="00077835" w:rsidP="00077835">
      <w:pPr>
        <w:spacing w:line="240" w:lineRule="auto"/>
        <w:jc w:val="both"/>
        <w:rPr>
          <w:rFonts w:eastAsia="Arial" w:cs="Arial"/>
          <w:szCs w:val="20"/>
          <w:highlight w:val="cyan"/>
        </w:rPr>
      </w:pPr>
      <w:r>
        <w:rPr>
          <w:rFonts w:eastAsia="Arial" w:cs="Arial"/>
          <w:szCs w:val="20"/>
        </w:rPr>
        <w:t>(8) Oseba, ki nima statusa pooblaščenega deklaranta CBAM, se kaznuje za prekršek iz drugega odstavka 26. člena Uredbe 2023/956/EU z globo v višini trikratnika do petkratnika globe, kot je določena v predpisu iz drugega odstavka tega člena, kot se uporablja v letu uvoza blaga CBAM, za vsako začeto tono ekvivalenta ogljikovega dioksida, vgrajeno v blago CBAM, ki ga je vnesla na carinsko območje Unije in presega količino kuponov CBAM, ki bi jih morala predati v skladu s prvim odstavkom 22. člena Uredbe 2023/956/EU.</w:t>
      </w:r>
      <w:r>
        <w:rPr>
          <w:rFonts w:cs="Arial"/>
          <w:szCs w:val="20"/>
        </w:rPr>
        <w:br/>
      </w:r>
      <w:r>
        <w:rPr>
          <w:rFonts w:cs="Arial"/>
          <w:szCs w:val="20"/>
        </w:rPr>
        <w:br/>
      </w:r>
      <w:r>
        <w:rPr>
          <w:rFonts w:eastAsia="Arial" w:cs="Arial"/>
          <w:szCs w:val="20"/>
        </w:rPr>
        <w:t>(9) Globe za neprijavljene emisije iz tretjega do osmega odstavka tega člena so prihodek državnega proračuna.</w:t>
      </w:r>
      <w:r>
        <w:rPr>
          <w:rFonts w:cs="Arial"/>
          <w:szCs w:val="20"/>
        </w:rPr>
        <w: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Amandma je pripravljen kot odziv na pripombe Zakonodajno-pravne službe. Gre zlasti za </w:t>
      </w:r>
      <w:proofErr w:type="spellStart"/>
      <w:r>
        <w:rPr>
          <w:rFonts w:cs="Arial"/>
          <w:szCs w:val="20"/>
        </w:rPr>
        <w:t>nomotehnične</w:t>
      </w:r>
      <w:proofErr w:type="spellEnd"/>
      <w:r>
        <w:rPr>
          <w:rFonts w:cs="Arial"/>
          <w:szCs w:val="20"/>
        </w:rPr>
        <w:t xml:space="preserve"> popravke in uskladitev z zakonom, ki ureja prekrške.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p>
    <w:p w:rsidR="00077835" w:rsidRDefault="00077835" w:rsidP="00077835">
      <w:pPr>
        <w:spacing w:line="240" w:lineRule="auto"/>
        <w:jc w:val="both"/>
        <w:rPr>
          <w:rFonts w:eastAsiaTheme="minorHAnsi" w:cs="Arial"/>
          <w:b/>
          <w:bCs/>
          <w:kern w:val="2"/>
          <w:szCs w:val="20"/>
          <w14:ligatures w14:val="standardContextual"/>
        </w:rPr>
      </w:pPr>
    </w:p>
    <w:p w:rsidR="00077835" w:rsidRDefault="00077835" w:rsidP="00077835">
      <w:pPr>
        <w:spacing w:line="240" w:lineRule="auto"/>
        <w:jc w:val="both"/>
        <w:rPr>
          <w:rFonts w:cs="Arial"/>
          <w:b/>
          <w:bCs/>
          <w:szCs w:val="20"/>
          <w:u w:val="single"/>
        </w:rPr>
      </w:pPr>
      <w:r>
        <w:rPr>
          <w:rFonts w:cs="Arial"/>
          <w:b/>
          <w:bCs/>
          <w:szCs w:val="20"/>
          <w:u w:val="single"/>
        </w:rPr>
        <w:t>K 115. členu:</w:t>
      </w:r>
    </w:p>
    <w:p w:rsidR="00077835" w:rsidRDefault="00077835" w:rsidP="00077835">
      <w:pPr>
        <w:spacing w:line="240" w:lineRule="auto"/>
        <w:jc w:val="both"/>
        <w:rPr>
          <w:rFonts w:cs="Arial"/>
          <w:szCs w:val="20"/>
        </w:rPr>
      </w:pPr>
      <w:r>
        <w:rPr>
          <w:rFonts w:cs="Arial"/>
          <w:szCs w:val="20"/>
        </w:rPr>
        <w:t>V 115. členu se v 1. točki prvega odstavka za besedo »naprave« doda besedna zveza »ali njenega dela«.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V 4. točki prvega odstavka se za besedo »plinov« doda besedna zveza »za regulirani subjekt«.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rPr>
          <w:rFonts w:cs="Arial"/>
          <w:b/>
          <w:szCs w:val="20"/>
          <w:u w:val="single"/>
        </w:rPr>
      </w:pPr>
      <w:r>
        <w:rPr>
          <w:rFonts w:cs="Arial"/>
          <w:b/>
          <w:szCs w:val="20"/>
          <w:u w:val="single"/>
        </w:rPr>
        <w:t>K 116</w:t>
      </w:r>
      <w:r>
        <w:rPr>
          <w:rFonts w:cs="Arial"/>
          <w:b/>
          <w:bCs/>
          <w:szCs w:val="20"/>
          <w:u w:val="single"/>
        </w:rPr>
        <w:t>.</w:t>
      </w:r>
      <w:r>
        <w:rPr>
          <w:rFonts w:cs="Arial"/>
          <w:b/>
          <w:szCs w:val="20"/>
          <w:u w:val="single"/>
        </w:rPr>
        <w:t xml:space="preserve"> členu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 xml:space="preserve">V 116. členu se prvi odstavek spremeni tako, da se glasi: </w:t>
      </w:r>
    </w:p>
    <w:p w:rsidR="00077835" w:rsidRDefault="00077835" w:rsidP="00077835">
      <w:pPr>
        <w:spacing w:line="240" w:lineRule="auto"/>
        <w:jc w:val="both"/>
        <w:rPr>
          <w:rFonts w:cs="Arial"/>
          <w:szCs w:val="20"/>
        </w:rPr>
      </w:pPr>
      <w:r>
        <w:rPr>
          <w:rFonts w:cs="Arial"/>
          <w:szCs w:val="20"/>
        </w:rPr>
        <w:t>»(1)</w:t>
      </w:r>
      <w:r>
        <w:rPr>
          <w:rFonts w:cs="Arial"/>
          <w:szCs w:val="20"/>
        </w:rPr>
        <w:tab/>
        <w:t>Z globo 40.000 do 75.000 eurov se za prekršek kaznuje pravna oseba, če:</w:t>
      </w:r>
    </w:p>
    <w:p w:rsidR="00077835" w:rsidRDefault="00077835" w:rsidP="00077835">
      <w:pPr>
        <w:spacing w:line="240" w:lineRule="auto"/>
        <w:jc w:val="both"/>
        <w:rPr>
          <w:rFonts w:cs="Arial"/>
          <w:szCs w:val="20"/>
        </w:rPr>
      </w:pPr>
      <w:r>
        <w:rPr>
          <w:rFonts w:cs="Arial"/>
          <w:szCs w:val="20"/>
        </w:rPr>
        <w:t>1.</w:t>
      </w:r>
      <w:r>
        <w:rPr>
          <w:rFonts w:cs="Arial"/>
          <w:szCs w:val="20"/>
        </w:rPr>
        <w:tab/>
        <w:t>ne zahteva odprtja računa upravljavca naprave, operatorja zrakoplova, ladjarske družbe ali reguliranega subjekta v registru Unije (tretji odstavek 27. člena tega zakona),</w:t>
      </w:r>
    </w:p>
    <w:p w:rsidR="00077835" w:rsidRDefault="00077835" w:rsidP="00077835">
      <w:pPr>
        <w:spacing w:line="240" w:lineRule="auto"/>
        <w:jc w:val="both"/>
        <w:rPr>
          <w:rFonts w:cs="Arial"/>
          <w:szCs w:val="20"/>
        </w:rPr>
      </w:pPr>
      <w:r>
        <w:rPr>
          <w:rFonts w:cs="Arial"/>
          <w:szCs w:val="20"/>
        </w:rPr>
        <w:t>2.</w:t>
      </w:r>
      <w:r>
        <w:rPr>
          <w:rFonts w:cs="Arial"/>
          <w:szCs w:val="20"/>
        </w:rPr>
        <w:tab/>
        <w:t>kot upravljavec naprave ali male naprave ne izvaja načrta za spremljanje iz dovoljenja za izpuščanje toplogrednih plinov (peti odstavek 32. člena tega zakona oziroma peti odstavek 38. člena tega zakona),</w:t>
      </w:r>
    </w:p>
    <w:p w:rsidR="00077835" w:rsidRDefault="00077835" w:rsidP="00077835">
      <w:pPr>
        <w:spacing w:line="240" w:lineRule="auto"/>
        <w:jc w:val="both"/>
        <w:rPr>
          <w:rFonts w:cs="Arial"/>
          <w:szCs w:val="20"/>
        </w:rPr>
      </w:pPr>
      <w:r>
        <w:rPr>
          <w:rFonts w:cs="Arial"/>
          <w:szCs w:val="20"/>
        </w:rPr>
        <w:t>3.</w:t>
      </w:r>
      <w:r>
        <w:rPr>
          <w:rFonts w:cs="Arial"/>
          <w:szCs w:val="20"/>
        </w:rPr>
        <w:tab/>
        <w:t>kot upravljavec naprave ali male naprave pisno ne prijavi nameravane spremembe v obratovanju naprave ali spremembe upravljavca naprave (prvi odstavek 33. člena tega zakona oziroma trinajsti odstavek 38. člena tega zakona),</w:t>
      </w:r>
    </w:p>
    <w:p w:rsidR="00077835" w:rsidRDefault="00077835" w:rsidP="00077835">
      <w:pPr>
        <w:spacing w:line="240" w:lineRule="auto"/>
        <w:jc w:val="both"/>
        <w:rPr>
          <w:rFonts w:cs="Arial"/>
          <w:szCs w:val="20"/>
        </w:rPr>
      </w:pPr>
      <w:r>
        <w:rPr>
          <w:rFonts w:cs="Arial"/>
          <w:szCs w:val="20"/>
        </w:rPr>
        <w:t>4.</w:t>
      </w:r>
      <w:r>
        <w:rPr>
          <w:rFonts w:cs="Arial"/>
          <w:szCs w:val="20"/>
        </w:rPr>
        <w:tab/>
        <w:t>kot upravljavec naprave ali male naprave izvede spremembo v obratovanju naprave ali spremembo upravljavca naprave, preden ministrstvo odloči o tej spremembi (četrti odstavek 33. člena tega zakona oziroma trinajsti odstavek 38. člena tega zakona),</w:t>
      </w:r>
    </w:p>
    <w:p w:rsidR="00077835" w:rsidRDefault="00077835" w:rsidP="00077835">
      <w:pPr>
        <w:spacing w:line="240" w:lineRule="auto"/>
        <w:jc w:val="both"/>
        <w:rPr>
          <w:rFonts w:cs="Arial"/>
          <w:szCs w:val="20"/>
        </w:rPr>
      </w:pPr>
      <w:r>
        <w:rPr>
          <w:rFonts w:cs="Arial"/>
          <w:szCs w:val="20"/>
        </w:rPr>
        <w:t>5.</w:t>
      </w:r>
      <w:r>
        <w:rPr>
          <w:rFonts w:cs="Arial"/>
          <w:szCs w:val="20"/>
        </w:rPr>
        <w:tab/>
        <w:t>kot upravljavec naprave ali male naprave pisno ne prijavi nameravane spremembe načrta metodologije spremljanja (tretji odstavek 34. člena tega zakona oziroma trinajsti odstavek 38. člena tega zakona),</w:t>
      </w:r>
    </w:p>
    <w:p w:rsidR="00077835" w:rsidRDefault="00077835" w:rsidP="00077835">
      <w:pPr>
        <w:spacing w:line="240" w:lineRule="auto"/>
        <w:jc w:val="both"/>
        <w:rPr>
          <w:rFonts w:cs="Arial"/>
          <w:szCs w:val="20"/>
        </w:rPr>
      </w:pPr>
      <w:r>
        <w:rPr>
          <w:rFonts w:cs="Arial"/>
          <w:szCs w:val="20"/>
        </w:rPr>
        <w:t>6.</w:t>
      </w:r>
      <w:r>
        <w:rPr>
          <w:rFonts w:cs="Arial"/>
          <w:szCs w:val="20"/>
        </w:rPr>
        <w:tab/>
        <w:t>kot upravljavec druge naprave ministrstvu ne pošlje načrta za podnebno nevtralnost za vsako od dejavnosti v svoji napravi, ne pošlje posodobljenega načrta za podnebno nevtralnost ali ne poroča o doseganju ciljev in mejnikov, določenih v načrtu za podnebno nevtralnost (prvi, tretji oziroma četrti odstavek 36. člena tega zakona),</w:t>
      </w:r>
    </w:p>
    <w:p w:rsidR="00077835" w:rsidRDefault="00077835" w:rsidP="00077835">
      <w:pPr>
        <w:spacing w:line="240" w:lineRule="auto"/>
        <w:jc w:val="both"/>
        <w:rPr>
          <w:rFonts w:cs="Arial"/>
          <w:szCs w:val="20"/>
        </w:rPr>
      </w:pPr>
      <w:r>
        <w:rPr>
          <w:rFonts w:cs="Arial"/>
          <w:szCs w:val="20"/>
        </w:rPr>
        <w:t>7.</w:t>
      </w:r>
      <w:r>
        <w:rPr>
          <w:rFonts w:cs="Arial"/>
          <w:szCs w:val="20"/>
        </w:rPr>
        <w:tab/>
        <w:t>kot upravljavec naprave ali male naprave pisno ne obvesti ministrstva o prenehanju delovanja naprave ali opravljanja dejavnosti (trinajsti odstavek 38. člena tega zakona oziroma prvi odstavek 58. člena tega zakona),</w:t>
      </w:r>
    </w:p>
    <w:p w:rsidR="00077835" w:rsidRDefault="00077835" w:rsidP="00077835">
      <w:pPr>
        <w:spacing w:line="240" w:lineRule="auto"/>
        <w:jc w:val="both"/>
        <w:rPr>
          <w:rFonts w:cs="Arial"/>
          <w:szCs w:val="20"/>
        </w:rPr>
      </w:pPr>
      <w:r>
        <w:rPr>
          <w:rFonts w:cs="Arial"/>
          <w:szCs w:val="20"/>
        </w:rPr>
        <w:t>8.</w:t>
      </w:r>
      <w:r>
        <w:rPr>
          <w:rFonts w:cs="Arial"/>
          <w:szCs w:val="20"/>
        </w:rPr>
        <w:tab/>
        <w:t>kot upravljavec male naprave ne vloži vloge za spremembo načrta za spremljanje (trinajsti odstavek 38. člena tega zakona),</w:t>
      </w:r>
    </w:p>
    <w:p w:rsidR="00077835" w:rsidRDefault="00077835" w:rsidP="00077835">
      <w:pPr>
        <w:spacing w:line="240" w:lineRule="auto"/>
        <w:jc w:val="both"/>
        <w:rPr>
          <w:rFonts w:cs="Arial"/>
          <w:szCs w:val="20"/>
        </w:rPr>
      </w:pPr>
      <w:r>
        <w:rPr>
          <w:rFonts w:cs="Arial"/>
          <w:szCs w:val="20"/>
        </w:rPr>
        <w:t>9.</w:t>
      </w:r>
      <w:r>
        <w:rPr>
          <w:rFonts w:cs="Arial"/>
          <w:szCs w:val="20"/>
        </w:rPr>
        <w:tab/>
        <w:t>kot upravljavec male naprave ARSO ne pošlje poročila o emisijah toplogrednih plinov v predpisanem roku (sedmi odstavek 38. člena tega zakona),</w:t>
      </w:r>
    </w:p>
    <w:p w:rsidR="00077835" w:rsidRDefault="00077835" w:rsidP="00077835">
      <w:pPr>
        <w:spacing w:line="240" w:lineRule="auto"/>
        <w:jc w:val="both"/>
        <w:rPr>
          <w:rFonts w:cs="Arial"/>
          <w:szCs w:val="20"/>
        </w:rPr>
      </w:pPr>
      <w:r>
        <w:rPr>
          <w:rFonts w:cs="Arial"/>
          <w:szCs w:val="20"/>
        </w:rPr>
        <w:t>10.</w:t>
      </w:r>
      <w:r>
        <w:rPr>
          <w:rFonts w:cs="Arial"/>
          <w:szCs w:val="20"/>
        </w:rPr>
        <w:tab/>
        <w:t>kot upravljavec male naprave ne izpolni obveznosti izvajanja enakovrednih ukrepov tudi v letu, ki sledi letu, v katerem je mala naprava izpustila 25 000 ton ali več ekvivalenta ogljikovega dioksida brez emisij iz biomase (dvanajsti odstavek 38. člena tega zakona),</w:t>
      </w:r>
    </w:p>
    <w:p w:rsidR="00077835" w:rsidRDefault="00077835" w:rsidP="00077835">
      <w:pPr>
        <w:spacing w:line="240" w:lineRule="auto"/>
        <w:jc w:val="both"/>
        <w:rPr>
          <w:rFonts w:cs="Arial"/>
          <w:szCs w:val="20"/>
        </w:rPr>
      </w:pPr>
      <w:r>
        <w:rPr>
          <w:rFonts w:cs="Arial"/>
          <w:szCs w:val="20"/>
        </w:rPr>
        <w:t>11.</w:t>
      </w:r>
      <w:r>
        <w:rPr>
          <w:rFonts w:cs="Arial"/>
          <w:szCs w:val="20"/>
        </w:rPr>
        <w:tab/>
        <w:t>kot operator zrakoplova ministrstvu v roku ne pošlje podatkov o predvideni letni količini in vrsti goriva, ki ga bo uporabljal za izvajanje določene letalske dejavnosti (prvi odstavek 44. člena tega zakona),</w:t>
      </w:r>
    </w:p>
    <w:p w:rsidR="00077835" w:rsidRDefault="00077835" w:rsidP="00077835">
      <w:pPr>
        <w:spacing w:line="240" w:lineRule="auto"/>
        <w:jc w:val="both"/>
        <w:rPr>
          <w:rFonts w:cs="Arial"/>
          <w:szCs w:val="20"/>
        </w:rPr>
      </w:pPr>
      <w:r>
        <w:rPr>
          <w:rFonts w:cs="Arial"/>
          <w:szCs w:val="20"/>
        </w:rPr>
        <w:t>12.</w:t>
      </w:r>
      <w:r>
        <w:rPr>
          <w:rFonts w:cs="Arial"/>
          <w:szCs w:val="20"/>
        </w:rPr>
        <w:tab/>
        <w:t>kot operator zrakoplova pri ministrstvu v roku ne vloži vloge, ki vsebuje načrt za spremljanje (tretji odstavek 44. člena tega zakona),</w:t>
      </w:r>
    </w:p>
    <w:p w:rsidR="00077835" w:rsidRDefault="00077835" w:rsidP="00077835">
      <w:pPr>
        <w:spacing w:line="240" w:lineRule="auto"/>
        <w:jc w:val="both"/>
        <w:rPr>
          <w:rFonts w:cs="Arial"/>
          <w:szCs w:val="20"/>
        </w:rPr>
      </w:pPr>
      <w:r>
        <w:rPr>
          <w:rFonts w:cs="Arial"/>
          <w:szCs w:val="20"/>
        </w:rPr>
        <w:t>13.</w:t>
      </w:r>
      <w:r>
        <w:rPr>
          <w:rFonts w:cs="Arial"/>
          <w:szCs w:val="20"/>
        </w:rPr>
        <w:tab/>
        <w:t>kot operator zrakoplova ne izvaja načrta za spremljanje (peti odstavek 44. člena tega zakona),</w:t>
      </w:r>
    </w:p>
    <w:p w:rsidR="00077835" w:rsidRDefault="00077835" w:rsidP="00077835">
      <w:pPr>
        <w:spacing w:line="240" w:lineRule="auto"/>
        <w:jc w:val="both"/>
        <w:rPr>
          <w:rFonts w:cs="Arial"/>
          <w:szCs w:val="20"/>
        </w:rPr>
      </w:pPr>
      <w:r>
        <w:rPr>
          <w:rFonts w:cs="Arial"/>
          <w:szCs w:val="20"/>
        </w:rPr>
        <w:t>14.</w:t>
      </w:r>
      <w:r>
        <w:rPr>
          <w:rFonts w:cs="Arial"/>
          <w:szCs w:val="20"/>
        </w:rPr>
        <w:tab/>
        <w:t>kot ladjarska družba v roku ne pošlje vloge za odobritev načrta za spremljanje (prvi oziroma četrti odstavek 48. člena tega zakona),</w:t>
      </w:r>
    </w:p>
    <w:p w:rsidR="00077835" w:rsidRDefault="00077835" w:rsidP="00077835">
      <w:pPr>
        <w:spacing w:line="240" w:lineRule="auto"/>
        <w:jc w:val="both"/>
        <w:rPr>
          <w:rFonts w:cs="Arial"/>
          <w:szCs w:val="20"/>
        </w:rPr>
      </w:pPr>
      <w:r>
        <w:rPr>
          <w:rFonts w:cs="Arial"/>
          <w:szCs w:val="20"/>
        </w:rPr>
        <w:t>15.</w:t>
      </w:r>
      <w:r>
        <w:rPr>
          <w:rFonts w:cs="Arial"/>
          <w:szCs w:val="20"/>
        </w:rPr>
        <w:tab/>
        <w:t>kot ladjarska družba ne izvaja načrta za spremljanje (tretji oziroma peti odstavek 48. člena tega zakona),</w:t>
      </w:r>
    </w:p>
    <w:p w:rsidR="00077835" w:rsidRDefault="00077835" w:rsidP="00077835">
      <w:pPr>
        <w:spacing w:line="240" w:lineRule="auto"/>
        <w:jc w:val="both"/>
        <w:rPr>
          <w:rFonts w:cs="Arial"/>
          <w:szCs w:val="20"/>
        </w:rPr>
      </w:pPr>
      <w:r>
        <w:rPr>
          <w:rFonts w:cs="Arial"/>
          <w:szCs w:val="20"/>
        </w:rPr>
        <w:t>16.</w:t>
      </w:r>
      <w:r>
        <w:rPr>
          <w:rFonts w:cs="Arial"/>
          <w:szCs w:val="20"/>
        </w:rPr>
        <w:tab/>
        <w:t>kot regulirani subjekt ne izvaja načrta za spremljanje (4. točka četrtega odstavka 51. člena tega zakona),</w:t>
      </w:r>
    </w:p>
    <w:p w:rsidR="00077835" w:rsidRDefault="00077835" w:rsidP="00077835">
      <w:pPr>
        <w:spacing w:line="240" w:lineRule="auto"/>
        <w:jc w:val="both"/>
        <w:rPr>
          <w:rFonts w:cs="Arial"/>
          <w:szCs w:val="20"/>
        </w:rPr>
      </w:pPr>
      <w:r>
        <w:rPr>
          <w:rFonts w:cs="Arial"/>
          <w:szCs w:val="20"/>
        </w:rPr>
        <w:t>17.</w:t>
      </w:r>
      <w:r>
        <w:rPr>
          <w:rFonts w:cs="Arial"/>
          <w:szCs w:val="20"/>
        </w:rPr>
        <w:tab/>
        <w:t>kot regulirani subjekt ministrstvu pisno ne prijavi nameravane spremembe narave svoje dejavnosti ali goriv, ki jih sprošča v porabo, niti spremembe identitete reguliranega subjekta (peti odstavek 51. člena tega zakona),</w:t>
      </w:r>
    </w:p>
    <w:p w:rsidR="00077835" w:rsidRDefault="00077835" w:rsidP="00077835">
      <w:pPr>
        <w:spacing w:line="240" w:lineRule="auto"/>
        <w:jc w:val="both"/>
        <w:rPr>
          <w:rFonts w:cs="Arial"/>
          <w:szCs w:val="20"/>
        </w:rPr>
      </w:pPr>
      <w:r>
        <w:rPr>
          <w:rFonts w:cs="Arial"/>
          <w:szCs w:val="20"/>
        </w:rPr>
        <w:t>18.</w:t>
      </w:r>
      <w:r>
        <w:rPr>
          <w:rFonts w:cs="Arial"/>
          <w:szCs w:val="20"/>
        </w:rPr>
        <w:tab/>
        <w:t>kot regulirani subjekt izvede spremembo narave svoje dejavnosti ali goriv oziroma spremembo identitete reguliranega subjekta, preden ministrstvo odloči o tej spremembi (osmi odstavek 51. člena tega zakona),</w:t>
      </w:r>
    </w:p>
    <w:p w:rsidR="00077835" w:rsidRDefault="00077835" w:rsidP="00077835">
      <w:pPr>
        <w:spacing w:line="240" w:lineRule="auto"/>
        <w:jc w:val="both"/>
        <w:rPr>
          <w:rFonts w:cs="Arial"/>
          <w:szCs w:val="20"/>
        </w:rPr>
      </w:pPr>
      <w:r>
        <w:rPr>
          <w:rFonts w:cs="Arial"/>
          <w:szCs w:val="20"/>
        </w:rPr>
        <w:t>19.</w:t>
      </w:r>
      <w:r>
        <w:rPr>
          <w:rFonts w:cs="Arial"/>
          <w:szCs w:val="20"/>
        </w:rPr>
        <w:tab/>
        <w:t>kot upravljavec naprave, operator zrakoplova, ladjarska družba ali regulirani subjekt ne vloži vloge za spremembo načrta za spremljanje (prvi oziroma tretji odstavek 54. člena tega zakona),</w:t>
      </w:r>
    </w:p>
    <w:p w:rsidR="00077835" w:rsidRDefault="00077835" w:rsidP="00077835">
      <w:pPr>
        <w:spacing w:line="240" w:lineRule="auto"/>
        <w:jc w:val="both"/>
        <w:rPr>
          <w:rFonts w:cs="Arial"/>
          <w:szCs w:val="20"/>
        </w:rPr>
      </w:pPr>
      <w:r>
        <w:rPr>
          <w:rFonts w:cs="Arial"/>
          <w:szCs w:val="20"/>
        </w:rPr>
        <w:lastRenderedPageBreak/>
        <w:t>20.</w:t>
      </w:r>
      <w:r>
        <w:rPr>
          <w:rFonts w:cs="Arial"/>
          <w:szCs w:val="20"/>
        </w:rPr>
        <w:tab/>
        <w:t>kot regulirani subjekt ARSO do predpisanega roka ne pošlje poročila o povprečnem deležu stroškov, povezanih s predajo emisijskih kuponov (peti odstavek 55. člena tega zakona),</w:t>
      </w:r>
    </w:p>
    <w:p w:rsidR="00077835" w:rsidRDefault="00077835" w:rsidP="00077835">
      <w:pPr>
        <w:spacing w:line="240" w:lineRule="auto"/>
        <w:jc w:val="both"/>
        <w:rPr>
          <w:rFonts w:cs="Arial"/>
          <w:szCs w:val="20"/>
        </w:rPr>
      </w:pPr>
      <w:r>
        <w:rPr>
          <w:rFonts w:cs="Arial"/>
          <w:szCs w:val="20"/>
        </w:rPr>
        <w:t>21.</w:t>
      </w:r>
      <w:r>
        <w:rPr>
          <w:rFonts w:cs="Arial"/>
          <w:szCs w:val="20"/>
        </w:rPr>
        <w:tab/>
        <w:t>kot upravljavec naprave, operator zrakoplova, ladjarska družba ali regulirani subjekt ARSO do predpisanega roka ne pošlje poročila o emisijah toplogrednih plinov za preteklo leto skupaj s poročilom o preverjanju (prvi, drugi, četrti oziroma sedmi odstavek 55. člena tega zakona),</w:t>
      </w:r>
    </w:p>
    <w:p w:rsidR="00077835" w:rsidRDefault="00077835" w:rsidP="00077835">
      <w:pPr>
        <w:spacing w:line="240" w:lineRule="auto"/>
        <w:jc w:val="both"/>
        <w:rPr>
          <w:rFonts w:cs="Arial"/>
          <w:szCs w:val="20"/>
        </w:rPr>
      </w:pPr>
      <w:r>
        <w:rPr>
          <w:rFonts w:cs="Arial"/>
          <w:szCs w:val="20"/>
        </w:rPr>
        <w:t>22.</w:t>
      </w:r>
      <w:r>
        <w:rPr>
          <w:rFonts w:cs="Arial"/>
          <w:szCs w:val="20"/>
        </w:rPr>
        <w:tab/>
        <w:t>kot operator zrakoplova ARSO v predpisanem roku ne poroča o vplivih letalstva, ki niso povezani z ogljikovim dioksidom (deseti odstavek 55. člena tega zakona),</w:t>
      </w:r>
    </w:p>
    <w:p w:rsidR="00077835" w:rsidRDefault="00077835" w:rsidP="00077835">
      <w:pPr>
        <w:spacing w:line="240" w:lineRule="auto"/>
        <w:jc w:val="both"/>
        <w:rPr>
          <w:rFonts w:cs="Arial"/>
          <w:szCs w:val="20"/>
        </w:rPr>
      </w:pPr>
      <w:r>
        <w:rPr>
          <w:rFonts w:cs="Arial"/>
          <w:szCs w:val="20"/>
        </w:rPr>
        <w:t>23.</w:t>
      </w:r>
      <w:r>
        <w:rPr>
          <w:rFonts w:cs="Arial"/>
          <w:szCs w:val="20"/>
        </w:rPr>
        <w:tab/>
        <w:t xml:space="preserve">kot </w:t>
      </w:r>
      <w:proofErr w:type="spellStart"/>
      <w:r>
        <w:rPr>
          <w:rFonts w:cs="Arial"/>
          <w:szCs w:val="20"/>
        </w:rPr>
        <w:t>preveritelj</w:t>
      </w:r>
      <w:proofErr w:type="spellEnd"/>
      <w:r>
        <w:rPr>
          <w:rFonts w:cs="Arial"/>
          <w:szCs w:val="20"/>
        </w:rPr>
        <w:t xml:space="preserve"> preveri poročilo o emisijah toplogrednih plinov, ne da bi za to pridobil akreditacijsko listino (prvi oziroma drugi odstavek 56. člena  tega zakona),</w:t>
      </w:r>
    </w:p>
    <w:p w:rsidR="00077835" w:rsidRDefault="00077835" w:rsidP="00077835">
      <w:pPr>
        <w:spacing w:line="240" w:lineRule="auto"/>
        <w:jc w:val="both"/>
        <w:rPr>
          <w:rFonts w:cs="Arial"/>
          <w:szCs w:val="20"/>
        </w:rPr>
      </w:pPr>
      <w:r>
        <w:rPr>
          <w:rFonts w:cs="Arial"/>
          <w:szCs w:val="20"/>
        </w:rPr>
        <w:t>24.</w:t>
      </w:r>
      <w:r>
        <w:rPr>
          <w:rFonts w:cs="Arial"/>
          <w:szCs w:val="20"/>
        </w:rPr>
        <w:tab/>
        <w:t>kot operator zrakoplova, ladjarska družba, regulirani subjekt ali stečajni upravitelj ministrstva pisno ne obvesti o prenehanju opravljanja določene dejavnosti (prvi odstavek 58. člena tega zakona),</w:t>
      </w:r>
    </w:p>
    <w:p w:rsidR="00077835" w:rsidRDefault="00077835" w:rsidP="00077835">
      <w:pPr>
        <w:spacing w:line="240" w:lineRule="auto"/>
        <w:jc w:val="both"/>
        <w:rPr>
          <w:rFonts w:cs="Arial"/>
          <w:szCs w:val="20"/>
        </w:rPr>
      </w:pPr>
      <w:r>
        <w:rPr>
          <w:rFonts w:cs="Arial"/>
          <w:szCs w:val="20"/>
        </w:rPr>
        <w:t>25.</w:t>
      </w:r>
      <w:r>
        <w:rPr>
          <w:rFonts w:cs="Arial"/>
          <w:szCs w:val="20"/>
        </w:rPr>
        <w:tab/>
        <w:t>kot pooblaščeni deklarant CBAM ne predloži deklaracije CBAM, je ne predloži v roku iz prvega odstavka 6. člena Uredbe 2023/956/EU ali vloži deklaracijo CBAM z nepravilnimi, nepopolnimi ali neresničnimi podatki (6. člen Uredbe 2023/956/EU),</w:t>
      </w:r>
    </w:p>
    <w:p w:rsidR="00077835" w:rsidRDefault="00077835" w:rsidP="00077835">
      <w:pPr>
        <w:spacing w:line="240" w:lineRule="auto"/>
        <w:jc w:val="both"/>
        <w:rPr>
          <w:rFonts w:cs="Arial"/>
          <w:szCs w:val="20"/>
        </w:rPr>
      </w:pPr>
      <w:r>
        <w:rPr>
          <w:rFonts w:cs="Arial"/>
          <w:szCs w:val="20"/>
        </w:rPr>
        <w:t>26.</w:t>
      </w:r>
      <w:r>
        <w:rPr>
          <w:rFonts w:cs="Arial"/>
          <w:szCs w:val="20"/>
        </w:rPr>
        <w:tab/>
        <w:t xml:space="preserve">kot pooblaščeni deklarant CBAM ne zagotovi, da je skupne vgrajene emisije, sporočene v deklaraciji CBAM, preveril akreditirani </w:t>
      </w:r>
      <w:proofErr w:type="spellStart"/>
      <w:r>
        <w:rPr>
          <w:rFonts w:cs="Arial"/>
          <w:szCs w:val="20"/>
        </w:rPr>
        <w:t>preveritelj</w:t>
      </w:r>
      <w:proofErr w:type="spellEnd"/>
      <w:r>
        <w:rPr>
          <w:rFonts w:cs="Arial"/>
          <w:szCs w:val="20"/>
        </w:rPr>
        <w:t xml:space="preserve"> (8. člen Uredbe 2023/956/EU).«.</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nomotehnične</w:t>
      </w:r>
      <w:proofErr w:type="spellEnd"/>
      <w:r>
        <w:rPr>
          <w:rFonts w:cs="Arial"/>
          <w:szCs w:val="20"/>
        </w:rPr>
        <w:t xml:space="preserve"> popravke. </w:t>
      </w:r>
    </w:p>
    <w:p w:rsidR="00077835" w:rsidRDefault="00077835" w:rsidP="00077835">
      <w:pPr>
        <w:spacing w:line="240" w:lineRule="auto"/>
        <w:jc w:val="both"/>
        <w:rPr>
          <w:rFonts w:eastAsiaTheme="minorHAnsi" w:cs="Arial"/>
          <w:b/>
          <w:color w:val="2B579A"/>
          <w:kern w:val="2"/>
          <w:szCs w:val="20"/>
          <w14:ligatures w14:val="standardContextual"/>
        </w:rPr>
      </w:pPr>
    </w:p>
    <w:p w:rsidR="00077835" w:rsidRDefault="00077835" w:rsidP="00077835">
      <w:pPr>
        <w:spacing w:line="240" w:lineRule="auto"/>
        <w:jc w:val="both"/>
        <w:rPr>
          <w:rFonts w:cs="Arial"/>
          <w:szCs w:val="20"/>
        </w:rPr>
      </w:pP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cs="Arial"/>
          <w:szCs w:val="20"/>
          <w:lang w:eastAsia="sl-SI"/>
        </w:rPr>
      </w:pPr>
      <w:r>
        <w:rPr>
          <w:rFonts w:cs="Arial"/>
          <w:b/>
          <w:bCs/>
          <w:szCs w:val="20"/>
          <w:u w:val="single"/>
          <w:lang w:eastAsia="sl-SI"/>
        </w:rPr>
        <w:t xml:space="preserve">K 126. členu: </w:t>
      </w: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Besedilo 126. člena se spremeni tako, da se glasi: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»(1) Uredba o podrobnejšem načinu in pogojih vzpostavitve in vodenja registra emisijskih kuponov (Uradni list RS, št. 56/05 in 44/22 – ZVO-2) velja od uveljavitve tega zakona kot predpis, izdan na podlagi desetega odstavka 27. člena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(2) Uredba o nadomestilu za kritje posrednih stroškov zaradi stroškov emisij toplogrednih plinov v korist določenih sektorjev ali delov sektorjev, ki so izpostavljeni tveganju premestitve emisije CO2 (Uradni list RS, št. 25/23), velja od uveljavitve tega zakona kot predpis, izdan na podlagi tretjega odstavka 31. člena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(3) Uredba o informacijah o varčnosti porabe goriva, emisijah ogljikovega dioksida in emisijah onesnaževal zunanjega zraka, ki so na voljo potrošnikom o novih osebnih avtomobilih (Uradni list RS, št. 24/14 in 44/22 – ZVO-2), velja od uveljavitve tega zakona kot predpis, izdan na podlagi drugega odstavka 68. člena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xml:space="preserve">(4) Uredba o uporabi </w:t>
      </w:r>
      <w:proofErr w:type="spellStart"/>
      <w:r>
        <w:rPr>
          <w:rFonts w:cs="Arial"/>
          <w:szCs w:val="20"/>
          <w:lang w:eastAsia="sl-SI"/>
        </w:rPr>
        <w:t>fluoriranih</w:t>
      </w:r>
      <w:proofErr w:type="spellEnd"/>
      <w:r>
        <w:rPr>
          <w:rFonts w:cs="Arial"/>
          <w:szCs w:val="20"/>
          <w:lang w:eastAsia="sl-SI"/>
        </w:rPr>
        <w:t xml:space="preserve"> toplogrednih plinov in ozonu škodljivih snoveh (Uradni list RS, št. 60/16 in 44/22 – ZVO-2) velja od uveljavitve tega zakona kot predpisi, izdani na podlagi devetega odstavka 96. člena, petega odstavka 97. člena in devetega odstavka 99. člena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xml:space="preserve">(5) Uredba o </w:t>
      </w:r>
      <w:proofErr w:type="spellStart"/>
      <w:r>
        <w:rPr>
          <w:rFonts w:cs="Arial"/>
          <w:szCs w:val="20"/>
          <w:lang w:eastAsia="sl-SI"/>
        </w:rPr>
        <w:t>okoljski</w:t>
      </w:r>
      <w:proofErr w:type="spellEnd"/>
      <w:r>
        <w:rPr>
          <w:rFonts w:cs="Arial"/>
          <w:szCs w:val="20"/>
          <w:lang w:eastAsia="sl-SI"/>
        </w:rPr>
        <w:t xml:space="preserve"> dajatvi za onesnaževanja zraka z emisijo ogljikovega dioksida (Uradni list RS, št. 48/18, 168/20, 44/22-ZVO-2, 84/22, 104/22, 118/22, 51/23, 124/23 in 98/24) velja od uveljavitve tega zakona kot predpis, izdan na podlagi sedmega odstavka 70. člena tega zakona.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r>
        <w:rPr>
          <w:rFonts w:cs="Arial"/>
          <w:szCs w:val="20"/>
          <w:lang w:eastAsia="sl-SI"/>
        </w:rPr>
        <w:t>(6) Od uveljavitve tega zakona veljajo tudi naslednji predpisi vlade: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2014 (Uradni list RS, št. 38/14),</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2015 (Uradni list RS, št. 37/15),</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2016 (Uradni list RS, št. 46/16),</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2017 (Uradni list RS, št. 68/17),</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lastRenderedPageBreak/>
        <w:t>Sklep o višini penalov za vsako začeto tono ekvivalenta ogljikovega dioksida za leto 2018 (Uradni list RS, št. 35/18),</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2019 (Uradni list RS, št. 47/19),</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2020 (Uradni list RS, št. 91/20),</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2021 (Uradni list RS, št. 197/21),</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2022 (Uradni list RS, št. 46/23),</w:t>
      </w:r>
      <w:r>
        <w:rPr>
          <w:rFonts w:cs="Arial"/>
          <w:szCs w:val="20"/>
          <w:lang w:eastAsia="sl-SI"/>
        </w:rPr>
        <w:t> </w:t>
      </w:r>
    </w:p>
    <w:p w:rsidR="00077835" w:rsidRDefault="00077835" w:rsidP="00077835">
      <w:pPr>
        <w:numPr>
          <w:ilvl w:val="1"/>
          <w:numId w:val="49"/>
        </w:numPr>
        <w:spacing w:line="240" w:lineRule="auto"/>
        <w:jc w:val="both"/>
        <w:textAlignment w:val="baseline"/>
        <w:rPr>
          <w:rFonts w:cs="Arial"/>
          <w:szCs w:val="20"/>
          <w:lang w:eastAsia="sl-SI"/>
        </w:rPr>
      </w:pPr>
      <w:r>
        <w:rPr>
          <w:rFonts w:cs="Arial"/>
          <w:szCs w:val="20"/>
          <w:lang w:val="x-none" w:eastAsia="sl-SI"/>
        </w:rPr>
        <w:t>Sklep o višini penalov za vsako začeto tono ekvivalenta ogljikovega dioksida za leto 2023 (Uradni list RS, št. 95/24).«.</w:t>
      </w: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szCs w:val="20"/>
          <w:lang w:val="x-none" w:eastAsia="sl-SI"/>
        </w:rPr>
        <w:t>Obrazložitev amandmaja:</w:t>
      </w:r>
      <w:r>
        <w:rPr>
          <w:rFonts w:cs="Arial"/>
          <w:szCs w:val="20"/>
          <w:lang w:val="x-none" w:eastAsia="sl-SI"/>
        </w:rPr>
        <w:t xml:space="preserve"> Amandma je pripravljen kot odziv na mnenje Zakonodajno-pravne službe. Z njim se ustrezneje ureja veljavnost predpisov, ki so bili sprejeti na podlagi ZVO-2.</w:t>
      </w:r>
      <w:r>
        <w:rPr>
          <w:rFonts w:cs="Arial"/>
          <w:szCs w:val="20"/>
          <w:lang w:eastAsia="sl-SI"/>
        </w:rPr>
        <w:t>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r>
        <w:rPr>
          <w:rFonts w:cs="Arial"/>
          <w:b/>
          <w:bCs/>
          <w:szCs w:val="20"/>
          <w:u w:val="single"/>
          <w:lang w:eastAsia="sl-SI"/>
        </w:rPr>
        <w:t>K 127. členu</w:t>
      </w: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127. člen se spremeni tako, da se glasi: </w:t>
      </w:r>
    </w:p>
    <w:p w:rsidR="00077835" w:rsidRDefault="00077835" w:rsidP="00077835">
      <w:pPr>
        <w:spacing w:line="240" w:lineRule="auto"/>
        <w:jc w:val="both"/>
        <w:textAlignment w:val="baseline"/>
        <w:rPr>
          <w:rFonts w:cs="Arial"/>
          <w:szCs w:val="20"/>
          <w:lang w:eastAsia="sl-SI"/>
        </w:rPr>
      </w:pPr>
      <w:r>
        <w:rPr>
          <w:rFonts w:cs="Arial"/>
          <w:szCs w:val="20"/>
          <w:lang w:eastAsia="sl-SI"/>
        </w:rPr>
        <w:t>»127.</w:t>
      </w:r>
      <w:r>
        <w:rPr>
          <w:rFonts w:cs="Arial"/>
          <w:szCs w:val="20"/>
          <w:lang w:eastAsia="sl-SI"/>
        </w:rPr>
        <w:tab/>
        <w:t>člen </w:t>
      </w:r>
    </w:p>
    <w:p w:rsidR="00077835" w:rsidRDefault="00077835" w:rsidP="00077835">
      <w:pPr>
        <w:spacing w:line="240" w:lineRule="auto"/>
        <w:jc w:val="both"/>
        <w:textAlignment w:val="baseline"/>
        <w:rPr>
          <w:rFonts w:cs="Arial"/>
          <w:szCs w:val="20"/>
          <w:lang w:eastAsia="sl-SI"/>
        </w:rPr>
      </w:pPr>
      <w:r>
        <w:rPr>
          <w:rFonts w:cs="Arial"/>
          <w:szCs w:val="20"/>
          <w:lang w:eastAsia="sl-SI"/>
        </w:rPr>
        <w:t>(dovoljenje za izpuščanje toplogrednih plinov iz naprave in njegova sprememba)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(1)</w:t>
      </w:r>
      <w:r>
        <w:rPr>
          <w:rFonts w:cs="Arial"/>
          <w:szCs w:val="20"/>
          <w:lang w:eastAsia="sl-SI"/>
        </w:rPr>
        <w:tab/>
        <w:t xml:space="preserve">Dovoljenje za izpuščanje toplogrednih plinov za napravo, izdano na podlagi 184. člena Zakona o varstvu okolja (Uradni list RS, št. št. 39/06 – uradno prečiščeno besedilo, 49/06 – ZMetD, 66/06 – </w:t>
      </w:r>
      <w:proofErr w:type="spellStart"/>
      <w:r>
        <w:rPr>
          <w:rFonts w:cs="Arial"/>
          <w:szCs w:val="20"/>
          <w:lang w:eastAsia="sl-SI"/>
        </w:rPr>
        <w:t>odl</w:t>
      </w:r>
      <w:proofErr w:type="spellEnd"/>
      <w:r>
        <w:rPr>
          <w:rFonts w:cs="Arial"/>
          <w:szCs w:val="20"/>
          <w:lang w:eastAsia="sl-SI"/>
        </w:rPr>
        <w:t xml:space="preserve">. US, 33/07 – ZPNačrt, 57/08 – ZFO-1A, 70/08, 108/09, 108/09 – ZPNačrt-A, 48/12, 57/12, 92/13, 56/15, 102/15, 30/16, 61/17 – GZ, 21/18 – </w:t>
      </w:r>
      <w:proofErr w:type="spellStart"/>
      <w:r>
        <w:rPr>
          <w:rFonts w:cs="Arial"/>
          <w:szCs w:val="20"/>
          <w:lang w:eastAsia="sl-SI"/>
        </w:rPr>
        <w:t>ZNOrg</w:t>
      </w:r>
      <w:proofErr w:type="spellEnd"/>
      <w:r>
        <w:rPr>
          <w:rFonts w:cs="Arial"/>
          <w:szCs w:val="20"/>
          <w:lang w:eastAsia="sl-SI"/>
        </w:rPr>
        <w:t>, 84/18 – ZIURKOE in 158/20), katerega veljavnost je bila podaljšana z Zakonom o varstvu okolja (Uradni list RS, št. 44/22, 18/23-ZDU-1O in 78/23-ZUNPEOVE, 23/24 in 21/25 – ZOPVOOV; v nadaljnjem besedilu: ZVO-2), velja od uveljavitve tega zakona kot dovoljenje za izpuščanje toplogrednih plinov za napravo iz 32. člena tega zakona, ministrstvo pa ga po uradni dolžnosti v šestih mesecih od uveljavitve tega zakona uskladi s petim odstavkom 32. člena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(2)</w:t>
      </w:r>
      <w:r>
        <w:rPr>
          <w:rFonts w:cs="Arial"/>
          <w:szCs w:val="20"/>
          <w:lang w:eastAsia="sl-SI"/>
        </w:rPr>
        <w:tab/>
        <w:t>Dovoljenje za izpuščanje toplogrednih plinov za malo napravo, izdano na podlagi 193. člena ZVO-2, velja od uveljavitve tega zakona kot dovoljenje za izpuščanje toplogrednih plinov za malo napravo iz 38. člena tega zakona, ministrstvo pa ga po uradni dolžnosti v šestih mesecih od uveljavitve tega zakona uskladi s petim odstavkom 38. člena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(3)</w:t>
      </w:r>
      <w:r>
        <w:rPr>
          <w:rFonts w:cs="Arial"/>
          <w:szCs w:val="20"/>
          <w:lang w:eastAsia="sl-SI"/>
        </w:rPr>
        <w:tab/>
        <w:t>Postopki za pridobitev ali spremembo dovoljenja za izpuščanje toplogrednih plinov za napravo oziroma malo napravo, ki do uveljavitve tega zakona še niso končani, se končajo v skladu s tem zakonom.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(4)</w:t>
      </w:r>
      <w:r>
        <w:rPr>
          <w:rFonts w:cs="Arial"/>
          <w:szCs w:val="20"/>
          <w:lang w:eastAsia="sl-SI"/>
        </w:rPr>
        <w:tab/>
        <w:t>Do uveljavitve predpisov iz šestega odstavka 32. člena tega zakona in petega odstavka 33. člena tega zakona se za oddajo vloge iz drugega odstavka 32. člena tega zakona in vloge iz drugega odstavek 33. člena tega zakona uporabljata obrazca, objavljena na osrednjem spletnem mestu državne uprave.«.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szCs w:val="20"/>
          <w:lang w:eastAsia="sl-SI"/>
        </w:rPr>
        <w:t>Obrazložitev amandmaja</w:t>
      </w: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 xml:space="preserve">Amandma je pripravljen kot odziv na mnenje Zakonodajno-pravne službe k 32. in 33. členu Predloga zakona, tako da je zagotovljena ureditev v prehodnem obdobju glede vsebine in oblike vloge za pridobitev ali spremembo dovoljenja za izpuščanje toplogrednih plinov za naprave v 127. členu Predloga zakona. Ostalo so </w:t>
      </w:r>
      <w:proofErr w:type="spellStart"/>
      <w:r>
        <w:rPr>
          <w:rFonts w:cs="Arial"/>
          <w:szCs w:val="20"/>
          <w:lang w:eastAsia="sl-SI"/>
        </w:rPr>
        <w:t>nomotehnični</w:t>
      </w:r>
      <w:proofErr w:type="spellEnd"/>
      <w:r>
        <w:rPr>
          <w:rFonts w:cs="Arial"/>
          <w:szCs w:val="20"/>
          <w:lang w:eastAsia="sl-SI"/>
        </w:rPr>
        <w:t xml:space="preserve"> popravki, prav tako pripravljeni kot odziv na mnenje Zakonodajno-pravne službe.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rPr>
          <w:rFonts w:cs="Arial"/>
          <w:b/>
          <w:bCs/>
          <w:szCs w:val="20"/>
          <w:u w:val="single"/>
        </w:rPr>
      </w:pPr>
      <w:r>
        <w:rPr>
          <w:rFonts w:cs="Arial"/>
          <w:b/>
          <w:bCs/>
          <w:szCs w:val="20"/>
          <w:u w:val="single"/>
        </w:rPr>
        <w:t>K 130. členu</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szCs w:val="20"/>
        </w:rPr>
      </w:pPr>
      <w:r>
        <w:rPr>
          <w:rFonts w:cs="Arial"/>
          <w:szCs w:val="20"/>
        </w:rPr>
        <w:t xml:space="preserve">V 130. členu se doda nov drugi odstavek, ki se glasi: </w:t>
      </w:r>
    </w:p>
    <w:p w:rsidR="00077835" w:rsidRDefault="00077835" w:rsidP="00077835">
      <w:pPr>
        <w:spacing w:line="240" w:lineRule="auto"/>
        <w:jc w:val="both"/>
        <w:rPr>
          <w:rFonts w:eastAsia="Arial" w:cs="Arial"/>
          <w:szCs w:val="20"/>
        </w:rPr>
      </w:pPr>
      <w:r>
        <w:rPr>
          <w:rFonts w:cs="Arial"/>
          <w:szCs w:val="20"/>
        </w:rPr>
        <w:t xml:space="preserve">»(2) </w:t>
      </w:r>
      <w:r>
        <w:rPr>
          <w:rFonts w:eastAsia="Arial" w:cs="Arial"/>
          <w:szCs w:val="20"/>
        </w:rPr>
        <w:t>Do uveljavitve predpisa iz šestega odstavka 44. člena tega zakona se za oddajo vloge iz drugega odstavka 44. člena tega zakona uporablja obrazec, objavljen na spletnem mestu Komisije.«.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eastAsia="Arial" w:cs="Arial"/>
          <w:szCs w:val="20"/>
        </w:rPr>
      </w:pPr>
      <w:r>
        <w:rPr>
          <w:rFonts w:cs="Arial"/>
          <w:b/>
          <w:bCs/>
          <w:szCs w:val="20"/>
        </w:rPr>
        <w:lastRenderedPageBreak/>
        <w:t>Obrazložitev amandmaja</w:t>
      </w:r>
      <w:r>
        <w:rPr>
          <w:rFonts w:cs="Arial"/>
          <w:szCs w:val="20"/>
        </w:rPr>
        <w:t xml:space="preserve">: Zaradi upoštevanja mnenja Zakonodajno-pravne službe glede 44. člena Predloga zakona je bilo potrebno urediti tudi prehodno obdobje do uveljavitve Predloga zakona, ki se tiče oblike in vsebine obrazca, na katerem operator zrakoplova ministrstvu odda vlogo za </w:t>
      </w:r>
      <w:r>
        <w:rPr>
          <w:rFonts w:eastAsia="Arial" w:cs="Arial"/>
          <w:szCs w:val="20"/>
        </w:rPr>
        <w:t xml:space="preserve">odobritev načrta za spremljanje.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p>
    <w:p w:rsidR="00077835" w:rsidRDefault="00077835" w:rsidP="00077835">
      <w:pPr>
        <w:tabs>
          <w:tab w:val="left" w:pos="3463"/>
        </w:tabs>
        <w:spacing w:line="240" w:lineRule="auto"/>
        <w:jc w:val="both"/>
        <w:rPr>
          <w:rFonts w:eastAsia="Arial" w:cs="Arial"/>
          <w:b/>
          <w:bCs/>
          <w:kern w:val="2"/>
          <w:szCs w:val="20"/>
          <w:u w:val="single"/>
          <w14:ligatures w14:val="standardContextual"/>
        </w:rPr>
      </w:pPr>
      <w:r>
        <w:rPr>
          <w:rFonts w:eastAsia="Arial" w:cs="Arial"/>
          <w:b/>
          <w:bCs/>
          <w:szCs w:val="20"/>
          <w:u w:val="single"/>
        </w:rPr>
        <w:t xml:space="preserve">K 131. členu: </w:t>
      </w:r>
    </w:p>
    <w:p w:rsidR="00077835" w:rsidRDefault="00077835" w:rsidP="00077835">
      <w:pPr>
        <w:tabs>
          <w:tab w:val="left" w:pos="3463"/>
        </w:tabs>
        <w:spacing w:line="240" w:lineRule="auto"/>
        <w:jc w:val="both"/>
        <w:rPr>
          <w:rFonts w:eastAsia="Arial" w:cs="Arial"/>
          <w:szCs w:val="20"/>
        </w:rPr>
      </w:pPr>
      <w:r>
        <w:rPr>
          <w:rFonts w:eastAsia="Arial" w:cs="Arial"/>
          <w:szCs w:val="20"/>
        </w:rPr>
        <w:t xml:space="preserve">Naslov 131. člena se spremeni tako, da se glasi: »(faktor CBAM do leta 2034)«. </w:t>
      </w:r>
    </w:p>
    <w:p w:rsidR="00077835" w:rsidRDefault="00077835" w:rsidP="00077835">
      <w:pPr>
        <w:tabs>
          <w:tab w:val="left" w:pos="3463"/>
        </w:tabs>
        <w:spacing w:line="240" w:lineRule="auto"/>
        <w:jc w:val="both"/>
        <w:rPr>
          <w:rFonts w:eastAsia="Arial" w:cs="Arial"/>
          <w:szCs w:val="20"/>
        </w:rPr>
      </w:pPr>
    </w:p>
    <w:p w:rsidR="00077835" w:rsidRDefault="00077835" w:rsidP="00077835">
      <w:pPr>
        <w:tabs>
          <w:tab w:val="left" w:pos="3463"/>
        </w:tabs>
        <w:spacing w:line="240" w:lineRule="auto"/>
        <w:jc w:val="both"/>
        <w:rPr>
          <w:rFonts w:eastAsia="Arial" w:cs="Arial"/>
          <w:szCs w:val="20"/>
        </w:rPr>
      </w:pPr>
      <w:r>
        <w:rPr>
          <w:rFonts w:eastAsia="Arial" w:cs="Arial"/>
          <w:b/>
          <w:bCs/>
          <w:szCs w:val="20"/>
        </w:rPr>
        <w:t>Obrazložitev amandmaja:</w:t>
      </w:r>
    </w:p>
    <w:p w:rsidR="00077835" w:rsidRDefault="00077835" w:rsidP="00077835">
      <w:pPr>
        <w:tabs>
          <w:tab w:val="left" w:pos="3463"/>
        </w:tabs>
        <w:spacing w:line="240" w:lineRule="auto"/>
        <w:jc w:val="both"/>
        <w:rPr>
          <w:rFonts w:eastAsia="Arial" w:cs="Arial"/>
          <w:szCs w:val="20"/>
        </w:rPr>
      </w:pPr>
      <w:r>
        <w:rPr>
          <w:rFonts w:eastAsia="Arial" w:cs="Arial"/>
          <w:szCs w:val="20"/>
        </w:rPr>
        <w:t xml:space="preserve">Amandma je pripravljen kot odziv na mnenje Zakonodajno-pravne službe, tako da je že iz naslova 131. člena razvidno, da gre za prehodno določbo. </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u w:val="single"/>
          <w:lang w:eastAsia="sl-SI"/>
        </w:rPr>
      </w:pPr>
      <w:r>
        <w:rPr>
          <w:rFonts w:cs="Arial"/>
          <w:b/>
          <w:bCs/>
          <w:szCs w:val="20"/>
          <w:u w:val="single"/>
          <w:lang w:eastAsia="sl-SI"/>
        </w:rPr>
        <w:t>K 133. členu</w:t>
      </w:r>
      <w:r>
        <w:rPr>
          <w:rFonts w:cs="Arial"/>
          <w:szCs w:val="20"/>
          <w:u w:val="single"/>
          <w:lang w:eastAsia="sl-SI"/>
        </w:rPr>
        <w:t> </w:t>
      </w:r>
    </w:p>
    <w:p w:rsidR="00077835" w:rsidRDefault="00077835" w:rsidP="00077835">
      <w:pPr>
        <w:spacing w:line="240" w:lineRule="auto"/>
        <w:jc w:val="both"/>
        <w:textAlignment w:val="baseline"/>
        <w:rPr>
          <w:rFonts w:cs="Arial"/>
          <w:szCs w:val="20"/>
          <w:u w:val="single"/>
          <w:lang w:eastAsia="sl-SI"/>
        </w:rPr>
      </w:pPr>
    </w:p>
    <w:p w:rsidR="00077835" w:rsidRDefault="00077835" w:rsidP="00077835">
      <w:pPr>
        <w:spacing w:line="240" w:lineRule="auto"/>
        <w:jc w:val="both"/>
        <w:textAlignment w:val="baseline"/>
        <w:rPr>
          <w:rFonts w:cs="Arial"/>
          <w:szCs w:val="20"/>
          <w:lang w:eastAsia="sl-SI"/>
        </w:rPr>
      </w:pPr>
      <w:r>
        <w:rPr>
          <w:rFonts w:cs="Arial"/>
          <w:szCs w:val="20"/>
          <w:lang w:eastAsia="sl-SI"/>
        </w:rPr>
        <w:t>133. člen se spremeni tako, da se glasi: </w:t>
      </w:r>
    </w:p>
    <w:p w:rsidR="00077835" w:rsidRDefault="00077835" w:rsidP="00077835">
      <w:pPr>
        <w:spacing w:line="240" w:lineRule="auto"/>
        <w:jc w:val="both"/>
        <w:textAlignment w:val="baseline"/>
        <w:rPr>
          <w:rFonts w:cs="Arial"/>
          <w:szCs w:val="20"/>
          <w:lang w:eastAsia="sl-SI"/>
        </w:rPr>
      </w:pPr>
      <w:r>
        <w:rPr>
          <w:rFonts w:cs="Arial"/>
          <w:szCs w:val="20"/>
          <w:lang w:eastAsia="sl-SI"/>
        </w:rPr>
        <w:t>»133.</w:t>
      </w:r>
      <w:r>
        <w:rPr>
          <w:rFonts w:cs="Arial"/>
          <w:szCs w:val="20"/>
          <w:lang w:eastAsia="sl-SI"/>
        </w:rPr>
        <w:tab/>
        <w:t>člen </w:t>
      </w:r>
    </w:p>
    <w:p w:rsidR="00077835" w:rsidRDefault="00077835" w:rsidP="00077835">
      <w:pPr>
        <w:spacing w:line="240" w:lineRule="auto"/>
        <w:jc w:val="both"/>
        <w:textAlignment w:val="baseline"/>
        <w:rPr>
          <w:rFonts w:cs="Arial"/>
          <w:szCs w:val="20"/>
          <w:lang w:eastAsia="sl-SI"/>
        </w:rPr>
      </w:pPr>
      <w:r>
        <w:rPr>
          <w:rFonts w:cs="Arial"/>
          <w:szCs w:val="20"/>
          <w:lang w:eastAsia="sl-SI"/>
        </w:rPr>
        <w:t>(brezplačni emisijski kuponi za operatorje zrakoplovov do leta 2030)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(1)</w:t>
      </w:r>
      <w:r>
        <w:rPr>
          <w:rFonts w:cs="Arial"/>
          <w:szCs w:val="20"/>
          <w:lang w:eastAsia="sl-SI"/>
        </w:rPr>
        <w:tab/>
        <w:t>Ne glede na 45. člen tega zakona je operator zrakoplova do 31. decembra 2030 upravičen do brezplačnih emisijskih kuponov, ki se dodelijo za kritje dela ali celotne razlike v ceni med uporabo fosilnega kerozina in uporabo upravičenih trajnostnih letalskih goriv, kot so opredeljena v Uredbi 2023/2405/EU.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(2)</w:t>
      </w:r>
      <w:r>
        <w:rPr>
          <w:rFonts w:cs="Arial"/>
          <w:szCs w:val="20"/>
          <w:lang w:eastAsia="sl-SI"/>
        </w:rPr>
        <w:tab/>
        <w:t>Komercialni operator zrakoplova o uporabi upravičenega letalskega goriva iz prejšnjega odstavka poroča v skladu s predpisom EU, ki ureja spremljanje emisij toplogrednih plinov in poročanje o njih.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(3)</w:t>
      </w:r>
      <w:r>
        <w:rPr>
          <w:rFonts w:cs="Arial"/>
          <w:szCs w:val="20"/>
          <w:lang w:eastAsia="sl-SI"/>
        </w:rPr>
        <w:tab/>
        <w:t>Komercialni operator zrakoplova lahko vsako leto skupaj s preverjenim poročilom o emisijah toplogrednih plinov iz prvega odstavka 55. člena tega zakona pri ministrstvu vloži vlogo za dodelitev brezplačnih emisijskih kuponov za namene iz prvega odstavka tega člena, objavljeno na spletni strani Komisije, ki vsebuje količino vsakega upravičenega letalskega goriva, ki se uporabi za lete, za katere je treba do 31. decembra 2030 predati emisijske kupone v skladu s 57. členom tega zakona.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(4)</w:t>
      </w:r>
      <w:r>
        <w:rPr>
          <w:rFonts w:cs="Arial"/>
          <w:szCs w:val="20"/>
          <w:lang w:eastAsia="sl-SI"/>
        </w:rPr>
        <w:tab/>
        <w:t>Ministrstvo brezplačne emisijske kupone iz prvega odstavka tega člena dodeli za: </w:t>
      </w:r>
    </w:p>
    <w:p w:rsidR="00077835" w:rsidRDefault="00077835" w:rsidP="00077835">
      <w:pPr>
        <w:numPr>
          <w:ilvl w:val="1"/>
          <w:numId w:val="50"/>
        </w:numPr>
        <w:spacing w:line="240" w:lineRule="auto"/>
        <w:jc w:val="both"/>
        <w:textAlignment w:val="baseline"/>
        <w:rPr>
          <w:rFonts w:cs="Arial"/>
          <w:szCs w:val="20"/>
          <w:lang w:eastAsia="sl-SI"/>
        </w:rPr>
      </w:pPr>
      <w:r>
        <w:rPr>
          <w:rFonts w:cs="Arial"/>
          <w:szCs w:val="20"/>
          <w:lang w:eastAsia="sl-SI"/>
        </w:rPr>
        <w:t xml:space="preserve">70 odstotkov preostale razlike v ceni med uporabo fosilnega kerozina in vodika iz obnovljivih virov energije ter naprednih </w:t>
      </w:r>
      <w:proofErr w:type="spellStart"/>
      <w:r>
        <w:rPr>
          <w:rFonts w:cs="Arial"/>
          <w:szCs w:val="20"/>
          <w:lang w:eastAsia="sl-SI"/>
        </w:rPr>
        <w:t>biogoriv</w:t>
      </w:r>
      <w:proofErr w:type="spellEnd"/>
      <w:r>
        <w:rPr>
          <w:rFonts w:cs="Arial"/>
          <w:szCs w:val="20"/>
          <w:lang w:eastAsia="sl-SI"/>
        </w:rPr>
        <w:t xml:space="preserve"> v skladu z Direktivo (EU) 2018/2001 Evropskega parlamenta in Sveta 98/70/ES z dne 11. decembra 2018 o spodbujanju uporabe energije iz obnovljivih virov (UL L št. 328 z dne 21. 12. 2018, str. 82), zadnjič spremenjeno z Direktivo (EU) 2024/1711 Evropskega parlamenta in Sveta z dne 13. junija 2024 o spremembi direktive (EU) 2018/2001 glede izboljšanja zasnove trga električne energije v Uniji (UL L št. 2024/1711 z dne 26. 6. 2024), za katera je faktor emisije 0 na podlagi Priloge IV k Direktivi 2003/87/ES ali na podlagi predpisa EU, ki ureja spremljanje emisij toplogrednih plinov in poročanje o njih, </w:t>
      </w:r>
    </w:p>
    <w:p w:rsidR="00077835" w:rsidRDefault="00077835" w:rsidP="00077835">
      <w:pPr>
        <w:numPr>
          <w:ilvl w:val="1"/>
          <w:numId w:val="50"/>
        </w:numPr>
        <w:spacing w:line="240" w:lineRule="auto"/>
        <w:jc w:val="both"/>
        <w:textAlignment w:val="baseline"/>
        <w:rPr>
          <w:rFonts w:cs="Arial"/>
          <w:szCs w:val="20"/>
          <w:lang w:eastAsia="sl-SI"/>
        </w:rPr>
      </w:pPr>
      <w:r>
        <w:rPr>
          <w:rFonts w:cs="Arial"/>
          <w:szCs w:val="20"/>
          <w:lang w:eastAsia="sl-SI"/>
        </w:rPr>
        <w:t>95 odstotkov preostale razlike v ceni med uporabo fosilnega kerozina in goriv iz obnovljivih virov nebiološkega izvora, ki izpolnjujejo zahteve predpisov iz prejšnje točke, </w:t>
      </w:r>
    </w:p>
    <w:p w:rsidR="00077835" w:rsidRDefault="00077835" w:rsidP="00077835">
      <w:pPr>
        <w:numPr>
          <w:ilvl w:val="1"/>
          <w:numId w:val="50"/>
        </w:numPr>
        <w:spacing w:line="240" w:lineRule="auto"/>
        <w:jc w:val="both"/>
        <w:textAlignment w:val="baseline"/>
        <w:rPr>
          <w:rFonts w:cs="Arial"/>
          <w:szCs w:val="20"/>
          <w:lang w:eastAsia="sl-SI"/>
        </w:rPr>
      </w:pPr>
      <w:r>
        <w:rPr>
          <w:rFonts w:cs="Arial"/>
          <w:szCs w:val="20"/>
          <w:lang w:eastAsia="sl-SI"/>
        </w:rPr>
        <w:t>100 odstotkov preostale razlike v ceni med uporabo fosilnega kerozina in katerega koli upravičenega letalskega goriva, ki ni pridobljeno iz fosilnih goriv, zajetih v prvem pododstavku tega odstavka, na letališčih na otokih, ki so manjši od 10 000 km2 in nimajo cestne ali železniške povezave s celino, na letališčih, ki niso dovolj velika, da bi bila opredeljena kot letališča EU v skladu z Uredbo 2023/2405/EU, in na letališčih v najbolj oddaljenih regijah, </w:t>
      </w:r>
    </w:p>
    <w:p w:rsidR="00077835" w:rsidRDefault="00077835" w:rsidP="00077835">
      <w:pPr>
        <w:numPr>
          <w:ilvl w:val="1"/>
          <w:numId w:val="50"/>
        </w:numPr>
        <w:spacing w:line="240" w:lineRule="auto"/>
        <w:jc w:val="both"/>
        <w:textAlignment w:val="baseline"/>
        <w:rPr>
          <w:rFonts w:cs="Arial"/>
          <w:szCs w:val="20"/>
          <w:lang w:eastAsia="sl-SI"/>
        </w:rPr>
      </w:pPr>
      <w:r>
        <w:rPr>
          <w:rFonts w:cs="Arial"/>
          <w:szCs w:val="20"/>
          <w:lang w:eastAsia="sl-SI"/>
        </w:rPr>
        <w:t>v drugih primerih, kot so tisti iz 1. do 3. točke tega odstavka, 50 odstotkov preostale razlike v ceni med uporabo fosilnega kerozina in katerega koli upravičenega letalskega goriva, ki ni pridobljeno iz fosilnih goriv, v skladu z Uredbo 2023/2405/EU. </w:t>
      </w:r>
    </w:p>
    <w:p w:rsidR="00077835" w:rsidRDefault="00077835" w:rsidP="00077835">
      <w:pPr>
        <w:spacing w:line="240" w:lineRule="auto"/>
        <w:jc w:val="both"/>
        <w:textAlignment w:val="baseline"/>
        <w:rPr>
          <w:rFonts w:cs="Arial"/>
          <w:szCs w:val="20"/>
          <w:lang w:eastAsia="sl-SI"/>
        </w:rPr>
      </w:pPr>
      <w:r>
        <w:rPr>
          <w:rFonts w:cs="Arial"/>
          <w:szCs w:val="20"/>
          <w:lang w:eastAsia="sl-SI"/>
        </w:rPr>
        <w:lastRenderedPageBreak/>
        <w:t> </w:t>
      </w:r>
    </w:p>
    <w:p w:rsidR="00077835" w:rsidRDefault="00077835" w:rsidP="00077835">
      <w:pPr>
        <w:spacing w:line="240" w:lineRule="auto"/>
        <w:jc w:val="both"/>
        <w:textAlignment w:val="baseline"/>
        <w:rPr>
          <w:rFonts w:cs="Arial"/>
          <w:szCs w:val="20"/>
          <w:lang w:eastAsia="sl-SI"/>
        </w:rPr>
      </w:pPr>
      <w:r>
        <w:rPr>
          <w:rFonts w:cs="Arial"/>
          <w:szCs w:val="20"/>
          <w:lang w:eastAsia="sl-SI"/>
        </w:rPr>
        <w:t>(5) Ministrstvo emisijske kupone iz prvega odstavka tega člena brezplačno dodeli z odločbo, pri dodelitvi pa uporablja tudi predpis EU, ki ureja kritje dela ali celotne razlike v ceni med uporabo fosilnega kerozina in uporabo ustreznih upravičenih letalskih goriv, in upošteva morebitno podporo iz drugih dovoljenih shem državnih pomoči.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(6) Nacionalni administrator na podlagi odločbe iz prejšnjega odstavka operatorju zrakoplova v registru Unije podeli letno količino brezplačno dodeljenih emisijskih kuponov najpozneje do 30. junija tekočega leta.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(7) Operator zrakoplova, ki je prejel brezplačne emisijske kupone na podlagi odločbe iz petega odstavka tega člena, mora zagotoviti prepoznavnost njihovega prejemanja.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szCs w:val="20"/>
          <w:lang w:eastAsia="sl-SI"/>
        </w:rPr>
        <w:t>(8) Minister določi  način oddaje vloge iz tretjega odstavka tega člena in način zagotavljanja prepoznavanja prejemanja brezplačnih emisijskih kuponov iz prejšnjega odstavka.«. </w:t>
      </w:r>
    </w:p>
    <w:p w:rsidR="00077835" w:rsidRDefault="00077835" w:rsidP="00077835">
      <w:pPr>
        <w:spacing w:line="240" w:lineRule="auto"/>
        <w:jc w:val="both"/>
        <w:textAlignment w:val="baseline"/>
        <w:rPr>
          <w:rFonts w:cs="Arial"/>
          <w:szCs w:val="20"/>
          <w:lang w:eastAsia="sl-SI"/>
        </w:rPr>
      </w:pPr>
      <w:r>
        <w:rPr>
          <w:rFonts w:cs="Arial"/>
          <w:szCs w:val="20"/>
          <w:lang w:eastAsia="sl-SI"/>
        </w:rPr>
        <w:t> </w:t>
      </w:r>
    </w:p>
    <w:p w:rsidR="00077835" w:rsidRDefault="00077835" w:rsidP="00077835">
      <w:pPr>
        <w:spacing w:line="240" w:lineRule="auto"/>
        <w:jc w:val="both"/>
        <w:textAlignment w:val="baseline"/>
        <w:rPr>
          <w:rFonts w:cs="Arial"/>
          <w:szCs w:val="20"/>
          <w:lang w:eastAsia="sl-SI"/>
        </w:rPr>
      </w:pPr>
      <w:r>
        <w:rPr>
          <w:rFonts w:cs="Arial"/>
          <w:b/>
          <w:bCs/>
          <w:szCs w:val="20"/>
          <w:lang w:eastAsia="sl-SI"/>
        </w:rPr>
        <w:t>Obrazložitev amandmaja:</w:t>
      </w:r>
      <w:r>
        <w:rPr>
          <w:rFonts w:cs="Arial"/>
          <w:szCs w:val="20"/>
          <w:lang w:eastAsia="sl-SI"/>
        </w:rPr>
        <w:t xml:space="preserve"> Amandma je pripravljen kot odziv na mnenje Zakonodajno-pravne službe. Naslov, prvi in tretji odstavek so spremenjeni tako, da se prepreči retroaktivnost. S spremenjenim tretjim odstavkom je določena uporaba vloge, ki jo je na svoji spletni strani objavila Komisije, in vsebina te vloge. Sprememba osmega odstavka je potrebna zaradi spremembe tretjega odstavka. </w:t>
      </w:r>
    </w:p>
    <w:p w:rsidR="00077835" w:rsidRDefault="00077835" w:rsidP="00077835">
      <w:pPr>
        <w:spacing w:line="240" w:lineRule="auto"/>
        <w:jc w:val="both"/>
        <w:rPr>
          <w:rFonts w:eastAsiaTheme="minorHAnsi" w:cs="Arial"/>
          <w:b/>
          <w:bCs/>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K 134. členu</w:t>
      </w:r>
    </w:p>
    <w:p w:rsidR="00077835" w:rsidRDefault="00077835" w:rsidP="00077835">
      <w:pPr>
        <w:spacing w:line="240" w:lineRule="auto"/>
        <w:jc w:val="both"/>
        <w:rPr>
          <w:rFonts w:cs="Arial"/>
          <w:szCs w:val="20"/>
        </w:rPr>
      </w:pPr>
      <w:r>
        <w:rPr>
          <w:rFonts w:cs="Arial"/>
          <w:szCs w:val="20"/>
        </w:rPr>
        <w:t xml:space="preserve">V četrtem odstavku 134. člena se črta beseda </w:t>
      </w:r>
      <w:r>
        <w:rPr>
          <w:rFonts w:eastAsia="Arial" w:cs="Arial"/>
          <w:szCs w:val="20"/>
        </w:rPr>
        <w:t>»</w:t>
      </w:r>
      <w:r>
        <w:rPr>
          <w:rFonts w:cs="Arial"/>
          <w:szCs w:val="20"/>
        </w:rPr>
        <w:t>letne</w:t>
      </w:r>
      <w:r>
        <w:rPr>
          <w:rFonts w:eastAsia="Arial" w:cs="Arial"/>
          <w:szCs w:val="20"/>
        </w:rPr>
        <w:t>«</w:t>
      </w:r>
      <w:r>
        <w:rPr>
          <w:rFonts w:cs="Arial"/>
          <w:szCs w:val="20"/>
        </w:rPr>
        <w:t xml:space="preserve">. Za besedo </w:t>
      </w:r>
      <w:r>
        <w:rPr>
          <w:rFonts w:eastAsia="Arial" w:cs="Arial"/>
          <w:szCs w:val="20"/>
        </w:rPr>
        <w:t>»</w:t>
      </w:r>
      <w:r>
        <w:rPr>
          <w:rFonts w:cs="Arial"/>
          <w:szCs w:val="20"/>
        </w:rPr>
        <w:t>zrakoplova</w:t>
      </w:r>
      <w:r>
        <w:rPr>
          <w:rFonts w:eastAsia="Arial" w:cs="Arial"/>
          <w:szCs w:val="20"/>
        </w:rPr>
        <w:t>«</w:t>
      </w:r>
      <w:r>
        <w:rPr>
          <w:rFonts w:cs="Arial"/>
          <w:szCs w:val="20"/>
        </w:rPr>
        <w:t xml:space="preserve"> se doda besedna zveza »iz preteklega koledarskega leta«.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szCs w:val="20"/>
        </w:rPr>
      </w:pPr>
      <w:r>
        <w:rPr>
          <w:rFonts w:cs="Arial"/>
          <w:b/>
          <w:szCs w:val="20"/>
        </w:rPr>
        <w:t>Obrazložitev</w:t>
      </w:r>
      <w:r>
        <w:rPr>
          <w:rFonts w:cs="Arial"/>
          <w:b/>
          <w:bCs/>
          <w:szCs w:val="20"/>
        </w:rPr>
        <w:t xml:space="preserve"> amandmaja</w:t>
      </w:r>
      <w:r>
        <w:rPr>
          <w:rFonts w:cs="Arial"/>
          <w:b/>
          <w:szCs w:val="20"/>
        </w:rPr>
        <w:t>:</w:t>
      </w:r>
      <w:r>
        <w:rPr>
          <w:rFonts w:cs="Arial"/>
          <w:b/>
          <w:bCs/>
          <w:szCs w:val="20"/>
        </w:rPr>
        <w:t xml:space="preserve">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textAlignment w:val="baseline"/>
        <w:rPr>
          <w:rFonts w:cs="Arial"/>
          <w:szCs w:val="20"/>
          <w:lang w:eastAsia="sl-SI"/>
        </w:rPr>
      </w:pPr>
    </w:p>
    <w:p w:rsidR="00077835" w:rsidRDefault="00077835" w:rsidP="00077835">
      <w:pPr>
        <w:spacing w:line="240" w:lineRule="auto"/>
        <w:jc w:val="both"/>
        <w:rPr>
          <w:rFonts w:cs="Arial"/>
          <w:b/>
          <w:bCs/>
          <w:szCs w:val="20"/>
          <w:u w:val="single"/>
        </w:rPr>
      </w:pPr>
      <w:r>
        <w:rPr>
          <w:rFonts w:cs="Arial"/>
          <w:b/>
          <w:bCs/>
          <w:szCs w:val="20"/>
          <w:u w:val="single"/>
        </w:rPr>
        <w:t>K 135. členu</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szCs w:val="20"/>
        </w:rPr>
      </w:pPr>
      <w:r>
        <w:rPr>
          <w:rFonts w:cs="Arial"/>
          <w:szCs w:val="20"/>
        </w:rPr>
        <w:t>Besedilo 135. člena se spremeni tako, da se glasi:</w:t>
      </w:r>
    </w:p>
    <w:p w:rsidR="00077835" w:rsidRDefault="00077835" w:rsidP="00077835">
      <w:pPr>
        <w:spacing w:line="240" w:lineRule="auto"/>
        <w:jc w:val="both"/>
        <w:rPr>
          <w:rFonts w:cs="Arial"/>
          <w:szCs w:val="20"/>
        </w:rPr>
      </w:pPr>
      <w:r>
        <w:rPr>
          <w:rFonts w:cs="Arial"/>
          <w:szCs w:val="20"/>
        </w:rPr>
        <w:t>»(1)</w:t>
      </w:r>
      <w:r>
        <w:rPr>
          <w:rFonts w:cs="Arial"/>
          <w:szCs w:val="20"/>
        </w:rPr>
        <w:tab/>
        <w:t>Regulirani subjekt lahko opravlja svojo1 dejavnost po 1. januarju 2025 le na podlagi pravnomočnega dovoljenja za izpuščanje toplogrednih plinov, izdanega na podlagi tretjega odstavka 51. člena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(2)</w:t>
      </w:r>
      <w:r>
        <w:rPr>
          <w:rFonts w:cs="Arial"/>
          <w:szCs w:val="20"/>
        </w:rPr>
        <w:tab/>
        <w:t>Okoljevarstveno dovoljenje za emisije toplogrednih plinov za regulirane subjekte, izdano na podlagi Uredbe o okoljevarstvenem dovoljenju za emisije toplogrednih plinov za regulirane subjekte (Uradni list RS, št. 57/24), velja kot dovoljenje za izpuščanje toplogrednih plinov za regulirane subjekte iz 51. člena tega zakona, ministrstvo pa ga po uradni dolžnosti v šestih mesecih od uveljavitve tega zakona uskladi s četrtim odstavkom 51. člena tega zakona in izda novo dovoljenje za izpuščanje toplogrednih plinov za regulirani subjekt.</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(3)</w:t>
      </w:r>
      <w:r>
        <w:rPr>
          <w:rFonts w:cs="Arial"/>
          <w:szCs w:val="20"/>
        </w:rPr>
        <w:tab/>
        <w:t>Postopki za pridobitev ali spremembo okoljevarstvenega dovoljenja za izpuščanje toplogrednih plinov za regulirane subjekte iz 3. in 4. člena Uredbe o okoljevarstvenem dovoljenju za emisije toplogrednih plinov za regulirane subjekte (Uradni list RS, št. 57/24), začeti do uveljavitve tega zakona, se končajo v skladu s tem zakonom.</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(4) Do uveljavitve predpisa iz desetega odstavka 51. člena tega zakona regulirani subjekt vlogo za pridobitev dovoljenja za izpuščanje toplogrednih plinov za regulirani subjekt iz drugega odstavka 51. člena tega zakona pri ministrstvu vloži na obrazcu, objavljenem na osrednjem spletnem mestu državne uprave.«.</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Amandma je pripravljen kot odziv na mnenje Zakonodajno-pravne službe. Briše se drugi odstavek, da se prepreči morebitna retroaktivnost določbe. Uredi se tudi izdaja novih odločb, izdanih na podlagi Predloga zakona, da se prepreči določanje novih obveznosti v obstoječih dovoljenjih. Za uskladitev prehodnega obdobja v zvezi z 51. členom Predloga zakona se doda nov četrti odstavek.  </w:t>
      </w:r>
    </w:p>
    <w:p w:rsidR="00077835" w:rsidRDefault="00077835" w:rsidP="00077835">
      <w:pPr>
        <w:spacing w:line="240" w:lineRule="auto"/>
        <w:jc w:val="both"/>
        <w:rPr>
          <w:rFonts w:eastAsiaTheme="minorHAnsi" w:cs="Arial"/>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lastRenderedPageBreak/>
        <w:t>K 138. členu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V 138. členu se pred besedo »štejeta« doda besedna zveza »od uveljavitve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 </w:t>
      </w:r>
    </w:p>
    <w:p w:rsidR="00077835" w:rsidRDefault="00077835" w:rsidP="00077835">
      <w:pPr>
        <w:spacing w:line="240" w:lineRule="auto"/>
        <w:jc w:val="both"/>
        <w:rPr>
          <w:rFonts w:cs="Arial"/>
          <w:b/>
          <w:szCs w:val="20"/>
          <w:u w:val="single"/>
        </w:rPr>
      </w:pPr>
      <w:r>
        <w:rPr>
          <w:rFonts w:cs="Arial"/>
          <w:b/>
          <w:szCs w:val="20"/>
          <w:u w:val="single"/>
        </w:rPr>
        <w:t>K 139. členu:</w:t>
      </w:r>
    </w:p>
    <w:p w:rsidR="00077835" w:rsidRDefault="00077835" w:rsidP="00077835">
      <w:pPr>
        <w:spacing w:line="240" w:lineRule="auto"/>
        <w:jc w:val="both"/>
        <w:rPr>
          <w:rFonts w:cs="Arial"/>
          <w:szCs w:val="20"/>
        </w:rPr>
      </w:pPr>
      <w:r>
        <w:rPr>
          <w:rFonts w:cs="Arial"/>
          <w:szCs w:val="20"/>
        </w:rPr>
        <w:t>V 139. členu se besedna zveza »še naprej« in nadomesti z besedno zvezo »od uveljavitve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Amanda je pripravljen kot odziv na mnenje Zakonodajno-pravne službe. Gre za </w:t>
      </w:r>
      <w:proofErr w:type="spellStart"/>
      <w:r>
        <w:rPr>
          <w:rFonts w:cs="Arial"/>
          <w:szCs w:val="20"/>
        </w:rPr>
        <w:t>nomotehnični</w:t>
      </w:r>
      <w:proofErr w:type="spellEnd"/>
      <w:r>
        <w:rPr>
          <w:rFonts w:cs="Arial"/>
          <w:szCs w:val="20"/>
        </w:rPr>
        <w:t xml:space="preserve"> popravek. </w:t>
      </w:r>
    </w:p>
    <w:p w:rsidR="00077835" w:rsidRDefault="00077835" w:rsidP="00077835">
      <w:pPr>
        <w:spacing w:line="240" w:lineRule="auto"/>
        <w:jc w:val="both"/>
        <w:rPr>
          <w:rFonts w:cs="Arial"/>
          <w:b/>
          <w:szCs w:val="20"/>
          <w:u w:val="single"/>
        </w:rPr>
      </w:pPr>
      <w:r>
        <w:rPr>
          <w:rFonts w:cs="Arial"/>
          <w:b/>
          <w:szCs w:val="20"/>
          <w:u w:val="single"/>
        </w:rPr>
        <w:t>K 140. členu:</w:t>
      </w:r>
    </w:p>
    <w:p w:rsidR="00077835" w:rsidRDefault="00077835" w:rsidP="00077835">
      <w:pPr>
        <w:spacing w:line="240" w:lineRule="auto"/>
        <w:jc w:val="both"/>
        <w:rPr>
          <w:rFonts w:cs="Arial"/>
          <w:szCs w:val="20"/>
        </w:rPr>
      </w:pPr>
      <w:r>
        <w:rPr>
          <w:rFonts w:cs="Arial"/>
          <w:szCs w:val="20"/>
        </w:rPr>
        <w:t>V prvem odstavku se besedna zveza »še naprej« in nadomesti z besedno zvezo »od uveljavitve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 </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b/>
          <w:szCs w:val="20"/>
          <w:u w:val="single"/>
        </w:rPr>
      </w:pPr>
      <w:r>
        <w:rPr>
          <w:rFonts w:cs="Arial"/>
          <w:b/>
          <w:szCs w:val="20"/>
          <w:u w:val="single"/>
        </w:rPr>
        <w:t>K 141. členu:</w:t>
      </w:r>
    </w:p>
    <w:p w:rsidR="00077835" w:rsidRDefault="00077835" w:rsidP="00077835">
      <w:pPr>
        <w:spacing w:line="240" w:lineRule="auto"/>
        <w:jc w:val="both"/>
        <w:rPr>
          <w:rFonts w:cs="Arial"/>
          <w:szCs w:val="20"/>
        </w:rPr>
      </w:pPr>
      <w:r>
        <w:rPr>
          <w:rFonts w:cs="Arial"/>
          <w:szCs w:val="20"/>
        </w:rPr>
        <w:t>V 141. členu se besedna zveza »še naprej« in nadomesti z besedno zvezo »od uveljavitve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rPr>
          <w:rFonts w:cs="Arial"/>
          <w:szCs w:val="20"/>
        </w:rPr>
      </w:pPr>
    </w:p>
    <w:p w:rsidR="00077835" w:rsidRDefault="00077835" w:rsidP="00077835">
      <w:pPr>
        <w:spacing w:line="240" w:lineRule="auto"/>
        <w:jc w:val="both"/>
        <w:textAlignment w:val="baseline"/>
        <w:rPr>
          <w:rFonts w:eastAsia="Yu Gothic Light" w:cs="Arial"/>
          <w:b/>
          <w:bCs/>
          <w:szCs w:val="20"/>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szCs w:val="20"/>
          <w:u w:val="single"/>
          <w:lang w:eastAsia="sl-SI"/>
        </w:rPr>
        <w:t>K 142. členu</w:t>
      </w:r>
      <w:r>
        <w:rPr>
          <w:rFonts w:eastAsia="Yu Gothic Light"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Besedilo 142. člena se spremeni tako, da se glasi: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xml:space="preserve">»Z dnem uveljavitve tega zakona Republika Slovenija nadaljuje prodajo emisijskih kuponov na dražbenem sistemu </w:t>
      </w:r>
      <w:proofErr w:type="spellStart"/>
      <w:r>
        <w:rPr>
          <w:rFonts w:eastAsia="Yu Gothic Light" w:cs="Arial"/>
          <w:szCs w:val="20"/>
          <w:lang w:eastAsia="sl-SI"/>
        </w:rPr>
        <w:t>European</w:t>
      </w:r>
      <w:proofErr w:type="spellEnd"/>
      <w:r>
        <w:rPr>
          <w:rFonts w:eastAsia="Yu Gothic Light" w:cs="Arial"/>
          <w:szCs w:val="20"/>
          <w:lang w:eastAsia="sl-SI"/>
        </w:rPr>
        <w:t xml:space="preserve"> </w:t>
      </w:r>
      <w:proofErr w:type="spellStart"/>
      <w:r>
        <w:rPr>
          <w:rFonts w:eastAsia="Yu Gothic Light" w:cs="Arial"/>
          <w:szCs w:val="20"/>
          <w:lang w:eastAsia="sl-SI"/>
        </w:rPr>
        <w:t>Energy</w:t>
      </w:r>
      <w:proofErr w:type="spellEnd"/>
      <w:r>
        <w:rPr>
          <w:rFonts w:eastAsia="Yu Gothic Light" w:cs="Arial"/>
          <w:szCs w:val="20"/>
          <w:lang w:eastAsia="sl-SI"/>
        </w:rPr>
        <w:t xml:space="preserve"> Exchange AG iz Leipziga na podlagi Sporazuma o skupni oddaji naročil za pridobitev skupnega dražbenega sistema, sprejetega na podlagi Uredbe Komisije (EU) št.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302/1 z dne 18. 11. 2010), uveljavljenega 9. novembra 2011.«.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b/>
          <w:bCs/>
          <w:szCs w:val="20"/>
          <w:lang w:eastAsia="sl-SI"/>
        </w:rPr>
        <w:t xml:space="preserve">Obrazložitev amandmaja: </w:t>
      </w:r>
      <w:r>
        <w:rPr>
          <w:rFonts w:eastAsia="Yu Gothic Light" w:cs="Arial"/>
          <w:szCs w:val="20"/>
          <w:lang w:eastAsia="sl-SI"/>
        </w:rPr>
        <w:t xml:space="preserve">Amandma je pripravljen kot odziv na mnenje Zakonodajno-pravne službe. Člen je dopolnjen z navedbo predpisa, na podlagi katerega je bil sprejet Sporazum o skupni oddaji naročil za pridobitev skupnega dražbenega sistema, uveljavljen 9. novembra 2011.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cs="Arial"/>
          <w:szCs w:val="20"/>
          <w:u w:val="single"/>
          <w:lang w:eastAsia="sl-SI"/>
        </w:rPr>
      </w:pPr>
      <w:r>
        <w:rPr>
          <w:rFonts w:eastAsia="Yu Gothic Light" w:cs="Arial"/>
          <w:b/>
          <w:bCs/>
          <w:szCs w:val="20"/>
          <w:u w:val="single"/>
          <w:lang w:eastAsia="sl-SI"/>
        </w:rPr>
        <w:t>K 143. členu</w:t>
      </w:r>
      <w:r>
        <w:rPr>
          <w:rFonts w:eastAsia="Yu Gothic Light" w:cs="Arial"/>
          <w:szCs w:val="20"/>
          <w:u w:val="single"/>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Besedilo 143. člena se spremeni tako, da se glasi: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»(1)</w:t>
      </w:r>
      <w:r>
        <w:rPr>
          <w:rFonts w:eastAsia="Yu Gothic Light" w:cs="Arial"/>
          <w:szCs w:val="20"/>
          <w:lang w:eastAsia="sl-SI"/>
        </w:rPr>
        <w:tab/>
        <w:t>SID banka, ki je do uveljavitve tega zakona opravljala naloge uradnega dražitelja Republike Slovenije v skladu s 181. členom ZVO-2, nadaljuje delo kot uradna dražiteljica Republike Slovenije na podlagi tretjega odstavka 28. člena tega zakona.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(2)</w:t>
      </w:r>
      <w:r>
        <w:rPr>
          <w:rFonts w:eastAsia="Yu Gothic Light" w:cs="Arial"/>
          <w:szCs w:val="20"/>
          <w:lang w:eastAsia="sl-SI"/>
        </w:rPr>
        <w:tab/>
        <w:t>Pogodba, sklenjena na podlagi tretjega odstavka 181. člena ZVO-2 med ministrstvom in SID banko, se do izteka njene veljave od uveljavitve tega zakona šteje za pogodbo, sklenjeno na podlagi četrtega odstavka 28. člena tega zakona.«. </w:t>
      </w:r>
    </w:p>
    <w:p w:rsidR="00077835" w:rsidRDefault="00077835" w:rsidP="00077835">
      <w:pPr>
        <w:spacing w:line="240" w:lineRule="auto"/>
        <w:jc w:val="both"/>
        <w:textAlignment w:val="baseline"/>
        <w:rPr>
          <w:rFonts w:cs="Arial"/>
          <w:szCs w:val="20"/>
          <w:lang w:eastAsia="sl-SI"/>
        </w:rPr>
      </w:pPr>
      <w:r>
        <w:rPr>
          <w:rFonts w:eastAsia="Yu Gothic Light" w:cs="Arial"/>
          <w:szCs w:val="20"/>
          <w:lang w:eastAsia="sl-SI"/>
        </w:rPr>
        <w:t> </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b/>
          <w:bCs/>
          <w:szCs w:val="20"/>
          <w:lang w:eastAsia="sl-SI"/>
        </w:rPr>
        <w:t>Obrazložitev amandmaja:</w:t>
      </w:r>
      <w:r>
        <w:rPr>
          <w:rFonts w:eastAsia="Yu Gothic Light" w:cs="Arial"/>
          <w:szCs w:val="20"/>
          <w:lang w:eastAsia="sl-SI"/>
        </w:rPr>
        <w:t xml:space="preserve"> Amandma je pripravljen kot odziv na mnenje Zakonodajno-pravne službe. Gre za </w:t>
      </w:r>
      <w:proofErr w:type="spellStart"/>
      <w:r>
        <w:rPr>
          <w:rFonts w:eastAsia="Yu Gothic Light" w:cs="Arial"/>
          <w:szCs w:val="20"/>
          <w:lang w:eastAsia="sl-SI"/>
        </w:rPr>
        <w:t>nomotehnične</w:t>
      </w:r>
      <w:proofErr w:type="spellEnd"/>
      <w:r>
        <w:rPr>
          <w:rFonts w:eastAsia="Yu Gothic Light" w:cs="Arial"/>
          <w:szCs w:val="20"/>
          <w:lang w:eastAsia="sl-SI"/>
        </w:rPr>
        <w:t xml:space="preserve"> popravke.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rPr>
          <w:rFonts w:eastAsiaTheme="minorHAnsi" w:cs="Arial"/>
          <w:b/>
          <w:kern w:val="2"/>
          <w:szCs w:val="20"/>
          <w:u w:val="single"/>
          <w14:ligatures w14:val="standardContextual"/>
        </w:rPr>
      </w:pPr>
      <w:r>
        <w:rPr>
          <w:rFonts w:cs="Arial"/>
          <w:b/>
          <w:szCs w:val="20"/>
          <w:u w:val="single"/>
        </w:rPr>
        <w:t>K 144. členu</w:t>
      </w:r>
    </w:p>
    <w:p w:rsidR="00077835" w:rsidRDefault="00077835" w:rsidP="00077835">
      <w:pPr>
        <w:spacing w:line="240" w:lineRule="auto"/>
        <w:jc w:val="both"/>
        <w:rPr>
          <w:rFonts w:cs="Arial"/>
          <w:szCs w:val="20"/>
        </w:rPr>
      </w:pPr>
      <w:r>
        <w:rPr>
          <w:rFonts w:cs="Arial"/>
          <w:szCs w:val="20"/>
        </w:rPr>
        <w:t xml:space="preserve">V 144. členu se za besedo »nadaljuje« doda </w:t>
      </w:r>
      <w:bookmarkStart w:id="14" w:name="_Hlk202889578"/>
      <w:r>
        <w:rPr>
          <w:rFonts w:cs="Arial"/>
          <w:szCs w:val="20"/>
        </w:rPr>
        <w:t>»od uveljavitve tega zakona«.</w:t>
      </w:r>
    </w:p>
    <w:bookmarkEnd w:id="14"/>
    <w:p w:rsidR="00077835" w:rsidRDefault="00077835" w:rsidP="00077835">
      <w:pPr>
        <w:spacing w:line="240" w:lineRule="auto"/>
        <w:jc w:val="both"/>
        <w:rPr>
          <w:rFonts w:cs="Arial"/>
          <w:b/>
          <w:szCs w:val="20"/>
        </w:rPr>
      </w:pPr>
    </w:p>
    <w:p w:rsidR="00077835" w:rsidRDefault="00077835" w:rsidP="00077835">
      <w:pPr>
        <w:spacing w:line="240" w:lineRule="auto"/>
        <w:jc w:val="both"/>
        <w:rPr>
          <w:rFonts w:cs="Arial"/>
          <w:szCs w:val="20"/>
        </w:rPr>
      </w:pPr>
      <w:r>
        <w:rPr>
          <w:rFonts w:cs="Arial"/>
          <w:b/>
          <w:szCs w:val="20"/>
        </w:rPr>
        <w:lastRenderedPageBreak/>
        <w:t xml:space="preserve">Obrazložitev amandmaja: </w:t>
      </w:r>
      <w:r>
        <w:rPr>
          <w:rFonts w:cs="Arial"/>
          <w:szCs w:val="20"/>
        </w:rPr>
        <w:t xml:space="preserve">Amandma je pripravljen kot odziv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rPr>
          <w:rFonts w:cs="Arial"/>
          <w:b/>
          <w:szCs w:val="20"/>
          <w:u w:val="single"/>
        </w:rPr>
      </w:pPr>
      <w:r>
        <w:rPr>
          <w:rFonts w:cs="Arial"/>
          <w:b/>
          <w:szCs w:val="20"/>
          <w:u w:val="single"/>
        </w:rPr>
        <w:t>K 145. členu</w:t>
      </w:r>
    </w:p>
    <w:p w:rsidR="00077835" w:rsidRDefault="00077835" w:rsidP="00077835">
      <w:pPr>
        <w:spacing w:line="240" w:lineRule="auto"/>
        <w:jc w:val="both"/>
        <w:rPr>
          <w:rFonts w:cs="Arial"/>
          <w:szCs w:val="20"/>
        </w:rPr>
      </w:pPr>
      <w:r>
        <w:rPr>
          <w:rFonts w:cs="Arial"/>
          <w:szCs w:val="20"/>
        </w:rPr>
        <w:t>V prvem odstavku 145. člena se pred besedo »velja« doda besedna zveza »od uveljavitve tega zakona«.</w:t>
      </w:r>
    </w:p>
    <w:p w:rsidR="00077835" w:rsidRDefault="00077835" w:rsidP="00077835">
      <w:pPr>
        <w:spacing w:line="240" w:lineRule="auto"/>
        <w:jc w:val="both"/>
        <w:rPr>
          <w:rFonts w:cs="Arial"/>
          <w:b/>
          <w:szCs w:val="20"/>
        </w:rPr>
      </w:pPr>
    </w:p>
    <w:p w:rsidR="00077835" w:rsidRDefault="00077835" w:rsidP="00077835">
      <w:pPr>
        <w:spacing w:line="240" w:lineRule="auto"/>
        <w:jc w:val="both"/>
        <w:rPr>
          <w:rFonts w:cs="Arial"/>
          <w:szCs w:val="20"/>
        </w:rPr>
      </w:pPr>
      <w:r>
        <w:rPr>
          <w:rFonts w:cs="Arial"/>
          <w:b/>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rPr>
          <w:rFonts w:cs="Arial"/>
          <w:b/>
          <w:szCs w:val="20"/>
          <w:u w:val="single"/>
        </w:rPr>
      </w:pPr>
      <w:r>
        <w:rPr>
          <w:rFonts w:cs="Arial"/>
          <w:b/>
          <w:szCs w:val="20"/>
          <w:u w:val="single"/>
        </w:rPr>
        <w:t>K 146. členu:</w:t>
      </w:r>
    </w:p>
    <w:p w:rsidR="00077835" w:rsidRDefault="00077835" w:rsidP="00077835">
      <w:pPr>
        <w:spacing w:line="240" w:lineRule="auto"/>
        <w:jc w:val="both"/>
        <w:rPr>
          <w:rFonts w:cs="Arial"/>
          <w:b/>
          <w:bCs/>
          <w:szCs w:val="20"/>
          <w:u w:val="single"/>
        </w:rPr>
      </w:pPr>
    </w:p>
    <w:p w:rsidR="00077835" w:rsidRDefault="00077835" w:rsidP="00077835">
      <w:pPr>
        <w:spacing w:line="240" w:lineRule="auto"/>
        <w:jc w:val="both"/>
        <w:rPr>
          <w:rFonts w:cs="Arial"/>
          <w:szCs w:val="20"/>
        </w:rPr>
      </w:pPr>
      <w:r>
        <w:rPr>
          <w:rFonts w:cs="Arial"/>
          <w:szCs w:val="20"/>
        </w:rPr>
        <w:t xml:space="preserve">146. člen se spremeni tako, da se glasi: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»146.</w:t>
      </w:r>
      <w:r>
        <w:rPr>
          <w:rFonts w:cs="Arial"/>
          <w:szCs w:val="20"/>
        </w:rPr>
        <w:tab/>
        <w:t>člen</w:t>
      </w:r>
    </w:p>
    <w:p w:rsidR="00077835" w:rsidRDefault="00077835" w:rsidP="00077835">
      <w:pPr>
        <w:spacing w:line="240" w:lineRule="auto"/>
        <w:jc w:val="both"/>
        <w:rPr>
          <w:rFonts w:cs="Arial"/>
          <w:szCs w:val="20"/>
        </w:rPr>
      </w:pPr>
      <w:r>
        <w:rPr>
          <w:rFonts w:cs="Arial"/>
          <w:szCs w:val="20"/>
        </w:rPr>
        <w:t>(poročanje ladjarske družbe od leta 2025 in vloga za odobritev načrta za spremljanje v prehodnem obdobju)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(1) Ladjarska družba ministrstvu prvič pošlje poročilo v skladu z drugim odstavkom 55. člena tega zakona do 31. marca 2026 za preteklo koledarsko leto.</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(2) Do uveljavitve predpisa iz šestega odstavka 48. člena tega zakona se za oddajo vloge iz prvega odstavka 48. člena tega zakona uporablja obrazec, objavljen na osrednjem spletnem mestu državne uprave.«.</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szCs w:val="20"/>
        </w:rPr>
      </w:pPr>
      <w:r>
        <w:rPr>
          <w:rFonts w:cs="Arial"/>
          <w:b/>
          <w:bCs/>
          <w:szCs w:val="20"/>
        </w:rPr>
        <w:t>Obrazložitev amandmaja:</w:t>
      </w:r>
      <w:r>
        <w:rPr>
          <w:rFonts w:cs="Arial"/>
          <w:szCs w:val="20"/>
        </w:rPr>
        <w:t xml:space="preserve"> Amandma je pripravljen kot odziv na mnenje Zakonodajno-pravne službe. V prvem odstavku se doda sklic na zakon, katerega del je navedeni člen (Predlog podnebnega zakona). Doda se tudi nov drugi odstavek, da se zagotovi prehodno obdobje za oddajo vlog za odobritev načrta za spremljanje za ladjarske družbe.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eastAsiaTheme="minorHAnsi" w:cs="Arial"/>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K 147. členu</w:t>
      </w:r>
    </w:p>
    <w:p w:rsidR="00077835" w:rsidRDefault="00077835" w:rsidP="00077835">
      <w:pPr>
        <w:spacing w:line="240" w:lineRule="auto"/>
        <w:jc w:val="both"/>
        <w:rPr>
          <w:rFonts w:cs="Arial"/>
          <w:szCs w:val="20"/>
        </w:rPr>
      </w:pPr>
      <w:r>
        <w:rPr>
          <w:rFonts w:cs="Arial"/>
          <w:szCs w:val="20"/>
        </w:rPr>
        <w:t>V 147. členu se besedna zveza »še naprej« nadomesti z besedno zvezo »od uveljavitve tega zakona«.</w:t>
      </w:r>
    </w:p>
    <w:p w:rsidR="00077835" w:rsidRDefault="00077835" w:rsidP="00077835">
      <w:pPr>
        <w:spacing w:line="240" w:lineRule="auto"/>
        <w:jc w:val="both"/>
        <w:rPr>
          <w:rFonts w:cs="Arial"/>
          <w:b/>
          <w:szCs w:val="20"/>
        </w:rPr>
      </w:pPr>
    </w:p>
    <w:p w:rsidR="00077835" w:rsidRDefault="00077835" w:rsidP="00077835">
      <w:pPr>
        <w:spacing w:line="240" w:lineRule="auto"/>
        <w:jc w:val="both"/>
        <w:rPr>
          <w:rFonts w:cs="Arial"/>
          <w:szCs w:val="20"/>
        </w:rPr>
      </w:pPr>
      <w:r>
        <w:rPr>
          <w:rFonts w:cs="Arial"/>
          <w:b/>
          <w:szCs w:val="20"/>
        </w:rPr>
        <w:t>Obrazložitev amandmaja:</w:t>
      </w:r>
      <w:r>
        <w:rPr>
          <w:rFonts w:cs="Arial"/>
          <w:szCs w:val="20"/>
        </w:rPr>
        <w:t xml:space="preserve"> Amandma je pripravljen kot odziv na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b/>
          <w:szCs w:val="20"/>
          <w:u w:val="single"/>
        </w:rPr>
      </w:pPr>
      <w:r>
        <w:rPr>
          <w:rFonts w:cs="Arial"/>
          <w:b/>
          <w:szCs w:val="20"/>
          <w:u w:val="single"/>
        </w:rPr>
        <w:t>K 148. členu</w:t>
      </w:r>
    </w:p>
    <w:p w:rsidR="00077835" w:rsidRDefault="00077835" w:rsidP="00077835">
      <w:pPr>
        <w:spacing w:line="240" w:lineRule="auto"/>
        <w:jc w:val="both"/>
        <w:rPr>
          <w:rFonts w:cs="Arial"/>
          <w:szCs w:val="20"/>
        </w:rPr>
      </w:pPr>
      <w:r>
        <w:rPr>
          <w:rFonts w:cs="Arial"/>
          <w:szCs w:val="20"/>
        </w:rPr>
        <w:t>V 148. členu se pred besedo »nadaljujejo« doda besedilo »od uveljavitve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bCs/>
          <w:szCs w:val="20"/>
        </w:rPr>
        <w:t xml:space="preserve">Obrazložitev amandmaja: </w:t>
      </w:r>
      <w:r>
        <w:rPr>
          <w:rFonts w:cs="Arial"/>
          <w:szCs w:val="20"/>
        </w:rPr>
        <w:t xml:space="preserve">Amandma je pripravljen kot odziv na mnenje Zakonodajno-pravne službe. Gre za </w:t>
      </w:r>
      <w:proofErr w:type="spellStart"/>
      <w:r>
        <w:rPr>
          <w:rFonts w:cs="Arial"/>
          <w:szCs w:val="20"/>
        </w:rPr>
        <w:t>nomotehnični</w:t>
      </w:r>
      <w:proofErr w:type="spellEnd"/>
      <w:r>
        <w:rPr>
          <w:rFonts w:cs="Arial"/>
          <w:szCs w:val="20"/>
        </w:rPr>
        <w:t xml:space="preserve"> popravek.</w:t>
      </w:r>
    </w:p>
    <w:p w:rsidR="00077835" w:rsidRDefault="00077835" w:rsidP="00077835">
      <w:pPr>
        <w:spacing w:line="240" w:lineRule="auto"/>
        <w:jc w:val="both"/>
        <w:rPr>
          <w:rFonts w:cs="Arial"/>
          <w:b/>
          <w:bCs/>
          <w:szCs w:val="20"/>
        </w:rPr>
      </w:pPr>
    </w:p>
    <w:p w:rsidR="00077835" w:rsidRDefault="00077835" w:rsidP="00077835">
      <w:pPr>
        <w:spacing w:line="240" w:lineRule="auto"/>
        <w:jc w:val="both"/>
        <w:rPr>
          <w:rFonts w:cs="Arial"/>
          <w:b/>
          <w:szCs w:val="20"/>
          <w:u w:val="single"/>
        </w:rPr>
      </w:pPr>
      <w:r>
        <w:rPr>
          <w:rFonts w:cs="Arial"/>
          <w:b/>
          <w:szCs w:val="20"/>
          <w:u w:val="single"/>
        </w:rPr>
        <w:t>K 149. členu</w:t>
      </w:r>
    </w:p>
    <w:p w:rsidR="00077835" w:rsidRDefault="00077835" w:rsidP="00077835">
      <w:pPr>
        <w:spacing w:line="240" w:lineRule="auto"/>
        <w:jc w:val="both"/>
        <w:rPr>
          <w:rFonts w:cs="Arial"/>
          <w:szCs w:val="20"/>
        </w:rPr>
      </w:pPr>
      <w:r>
        <w:rPr>
          <w:rFonts w:cs="Arial"/>
          <w:szCs w:val="20"/>
        </w:rPr>
        <w:t>V prvem odstavku 149. člena se pred besedo »nadaljuje« doda besedilo »od uveljavitve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 xml:space="preserve">Šesti odstavek se spremeni tako, da se glasi: </w:t>
      </w:r>
    </w:p>
    <w:p w:rsidR="00077835" w:rsidRDefault="00077835" w:rsidP="00077835">
      <w:pPr>
        <w:spacing w:line="240" w:lineRule="auto"/>
        <w:jc w:val="both"/>
        <w:rPr>
          <w:rFonts w:eastAsia="Arial" w:cs="Arial"/>
          <w:szCs w:val="20"/>
        </w:rPr>
      </w:pPr>
      <w:r>
        <w:rPr>
          <w:rFonts w:cs="Arial"/>
          <w:szCs w:val="20"/>
        </w:rPr>
        <w:t xml:space="preserve">»(6) </w:t>
      </w:r>
      <w:r>
        <w:rPr>
          <w:rFonts w:eastAsia="Arial" w:cs="Arial"/>
          <w:szCs w:val="20"/>
        </w:rPr>
        <w:t xml:space="preserve">Od uveljavitve tega zakona do uskladitve aktov iz četrtega in petega odstavka tega člena s tem zakonom se uporabljata Akt o ustanovitvi </w:t>
      </w:r>
      <w:proofErr w:type="spellStart"/>
      <w:r>
        <w:rPr>
          <w:rFonts w:eastAsia="Arial" w:cs="Arial"/>
          <w:szCs w:val="20"/>
        </w:rPr>
        <w:t>Eko</w:t>
      </w:r>
      <w:proofErr w:type="spellEnd"/>
      <w:r>
        <w:rPr>
          <w:rFonts w:eastAsia="Arial" w:cs="Arial"/>
          <w:szCs w:val="20"/>
        </w:rPr>
        <w:t xml:space="preserve"> sklada, Slovenskega </w:t>
      </w:r>
      <w:proofErr w:type="spellStart"/>
      <w:r>
        <w:rPr>
          <w:rFonts w:eastAsia="Arial" w:cs="Arial"/>
          <w:szCs w:val="20"/>
        </w:rPr>
        <w:t>okoljskega</w:t>
      </w:r>
      <w:proofErr w:type="spellEnd"/>
      <w:r>
        <w:rPr>
          <w:rFonts w:eastAsia="Arial" w:cs="Arial"/>
          <w:szCs w:val="20"/>
        </w:rPr>
        <w:t xml:space="preserve"> javnega sklada (Uradni list RS, št. 112/09, 1/12, 98/12, 20/13, 44/22 – ZVO-2 in 57/23) in Splošni pogoji poslovanja </w:t>
      </w:r>
      <w:proofErr w:type="spellStart"/>
      <w:r>
        <w:rPr>
          <w:rFonts w:eastAsia="Arial" w:cs="Arial"/>
          <w:szCs w:val="20"/>
        </w:rPr>
        <w:t>Eko</w:t>
      </w:r>
      <w:proofErr w:type="spellEnd"/>
      <w:r>
        <w:rPr>
          <w:rFonts w:eastAsia="Arial" w:cs="Arial"/>
          <w:szCs w:val="20"/>
        </w:rPr>
        <w:t xml:space="preserve"> sklada, Slovenskega </w:t>
      </w:r>
      <w:proofErr w:type="spellStart"/>
      <w:r>
        <w:rPr>
          <w:rFonts w:eastAsia="Arial" w:cs="Arial"/>
          <w:szCs w:val="20"/>
        </w:rPr>
        <w:t>okoljskega</w:t>
      </w:r>
      <w:proofErr w:type="spellEnd"/>
      <w:r>
        <w:rPr>
          <w:rFonts w:eastAsia="Arial" w:cs="Arial"/>
          <w:szCs w:val="20"/>
        </w:rPr>
        <w:t xml:space="preserve"> javnega sklada, številka 0141 - 8/2023-11, objavljen 13. septembra 2023, kolikor nista v nasprotju s tem zakonom.«.</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eastAsiaTheme="minorHAnsi" w:cs="Arial"/>
          <w:szCs w:val="20"/>
        </w:rPr>
      </w:pPr>
      <w:r>
        <w:rPr>
          <w:rFonts w:cs="Arial"/>
          <w:b/>
          <w:bCs/>
          <w:szCs w:val="20"/>
        </w:rPr>
        <w:t xml:space="preserve">Obrazložitev amandmaja: </w:t>
      </w:r>
      <w:r>
        <w:rPr>
          <w:rFonts w:cs="Arial"/>
          <w:szCs w:val="20"/>
        </w:rPr>
        <w:t xml:space="preserve">Amandma je pripravljen kot odziv na mnenje  Zakonodajno-pravne službe. Popravljena sta sklica in neustrezna izraza. </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64" w:lineRule="atLeast"/>
        <w:jc w:val="both"/>
        <w:rPr>
          <w:rFonts w:cs="Arial"/>
          <w:b/>
          <w:bCs/>
          <w:szCs w:val="20"/>
          <w:u w:val="single"/>
          <w:lang w:eastAsia="sl-SI"/>
        </w:rPr>
      </w:pPr>
      <w:r>
        <w:rPr>
          <w:rFonts w:cs="Arial"/>
          <w:b/>
          <w:bCs/>
          <w:szCs w:val="20"/>
          <w:u w:val="single"/>
        </w:rPr>
        <w:lastRenderedPageBreak/>
        <w:t>Amandma k 150. členu:</w:t>
      </w:r>
    </w:p>
    <w:p w:rsidR="00077835" w:rsidRDefault="00077835" w:rsidP="00077835">
      <w:pPr>
        <w:spacing w:before="240" w:line="264" w:lineRule="atLeast"/>
        <w:jc w:val="both"/>
        <w:textAlignment w:val="baseline"/>
        <w:rPr>
          <w:rFonts w:cs="Arial"/>
          <w:szCs w:val="20"/>
        </w:rPr>
      </w:pPr>
      <w:r>
        <w:rPr>
          <w:rFonts w:cs="Arial"/>
          <w:szCs w:val="20"/>
        </w:rPr>
        <w:t xml:space="preserve">Besedilo 150. člena se spremeni tako, da se glasi: </w:t>
      </w:r>
    </w:p>
    <w:p w:rsidR="00077835" w:rsidRDefault="00077835" w:rsidP="00077835">
      <w:pPr>
        <w:spacing w:before="100" w:beforeAutospacing="1" w:after="100" w:afterAutospacing="1" w:line="240" w:lineRule="auto"/>
        <w:jc w:val="both"/>
        <w:textAlignment w:val="baseline"/>
        <w:rPr>
          <w:rFonts w:eastAsia="Yu Gothic Light" w:cs="Arial"/>
          <w:szCs w:val="20"/>
          <w:lang w:eastAsia="sl-SI"/>
        </w:rPr>
      </w:pPr>
      <w:r>
        <w:rPr>
          <w:rFonts w:eastAsia="Yu Gothic Light" w:cs="Arial"/>
          <w:szCs w:val="20"/>
          <w:lang w:eastAsia="sl-SI"/>
        </w:rPr>
        <w:t>»(1)</w:t>
      </w:r>
      <w:r>
        <w:rPr>
          <w:rFonts w:eastAsia="Yu Gothic Light" w:cs="Arial"/>
          <w:szCs w:val="20"/>
          <w:lang w:eastAsia="sl-SI"/>
        </w:rPr>
        <w:tab/>
        <w:t>Odločba o izboru izvajalca usposabljanja, izdana na podlagi prvega odstavka 239. člena ZVO-2, velja od uveljavitve tega zakona kot odločba, izdana na podlagi prvega odstavka 96. člena tega zakona.</w:t>
      </w:r>
    </w:p>
    <w:p w:rsidR="00077835" w:rsidRDefault="00077835" w:rsidP="00077835">
      <w:pPr>
        <w:spacing w:before="100" w:beforeAutospacing="1" w:after="100" w:afterAutospacing="1" w:line="240" w:lineRule="auto"/>
        <w:jc w:val="both"/>
        <w:textAlignment w:val="baseline"/>
        <w:rPr>
          <w:rFonts w:eastAsia="Yu Gothic Light" w:cs="Arial"/>
          <w:szCs w:val="20"/>
          <w:lang w:eastAsia="sl-SI"/>
        </w:rPr>
      </w:pPr>
      <w:r>
        <w:rPr>
          <w:rFonts w:eastAsia="Yu Gothic Light" w:cs="Arial"/>
          <w:szCs w:val="20"/>
          <w:lang w:eastAsia="sl-SI"/>
        </w:rPr>
        <w:t>(2)</w:t>
      </w:r>
      <w:r>
        <w:rPr>
          <w:rFonts w:eastAsia="Yu Gothic Light" w:cs="Arial"/>
          <w:szCs w:val="20"/>
          <w:lang w:eastAsia="sl-SI"/>
        </w:rPr>
        <w:tab/>
        <w:t>Pogodba za izvajanje usposabljanja, sklenjena v skladu z 239. členom ZVO-2, velja od uveljavitve tega zakona kot pogodba iz sedmega odstavka 96. člena tega zakona.</w:t>
      </w:r>
    </w:p>
    <w:p w:rsidR="00077835" w:rsidRDefault="00077835" w:rsidP="00077835">
      <w:pPr>
        <w:spacing w:before="100" w:beforeAutospacing="1" w:after="100" w:afterAutospacing="1" w:line="240" w:lineRule="auto"/>
        <w:jc w:val="both"/>
        <w:textAlignment w:val="baseline"/>
        <w:rPr>
          <w:rFonts w:eastAsia="Yu Gothic Light" w:cs="Arial"/>
          <w:szCs w:val="20"/>
          <w:lang w:eastAsia="sl-SI"/>
        </w:rPr>
      </w:pPr>
      <w:r>
        <w:rPr>
          <w:rFonts w:eastAsia="Yu Gothic Light" w:cs="Arial"/>
          <w:szCs w:val="20"/>
          <w:lang w:eastAsia="sl-SI"/>
        </w:rPr>
        <w:t>(3)</w:t>
      </w:r>
      <w:r>
        <w:rPr>
          <w:rFonts w:eastAsia="Yu Gothic Light" w:cs="Arial"/>
          <w:szCs w:val="20"/>
          <w:lang w:eastAsia="sl-SI"/>
        </w:rPr>
        <w:tab/>
        <w:t>Ministrstvo izvede javni natečaj prvič po uveljavitvi tega zakona najpozneje do 1. 4. 2026.</w:t>
      </w:r>
    </w:p>
    <w:p w:rsidR="00077835" w:rsidRDefault="00077835" w:rsidP="00077835">
      <w:pPr>
        <w:spacing w:before="100" w:beforeAutospacing="1" w:after="100" w:afterAutospacing="1" w:line="240" w:lineRule="auto"/>
        <w:jc w:val="both"/>
        <w:textAlignment w:val="baseline"/>
        <w:rPr>
          <w:rFonts w:eastAsia="Yu Gothic Light" w:cs="Arial"/>
          <w:szCs w:val="20"/>
          <w:lang w:eastAsia="sl-SI"/>
        </w:rPr>
      </w:pPr>
      <w:r>
        <w:rPr>
          <w:rFonts w:eastAsia="Yu Gothic Light" w:cs="Arial"/>
          <w:szCs w:val="20"/>
          <w:lang w:eastAsia="sl-SI"/>
        </w:rPr>
        <w:t>(4)</w:t>
      </w:r>
      <w:r>
        <w:rPr>
          <w:rFonts w:eastAsia="Yu Gothic Light" w:cs="Arial"/>
          <w:szCs w:val="20"/>
          <w:lang w:eastAsia="sl-SI"/>
        </w:rPr>
        <w:tab/>
        <w:t>Potrdila o usposobljenosti, izdana na podlagi tretjega odstavka 241. člena ZVO-2, veljajo od uveljavitve tega zakona kot spričevala iz 97. člena tega zakona.</w:t>
      </w:r>
    </w:p>
    <w:p w:rsidR="00077835" w:rsidRDefault="00077835" w:rsidP="00077835">
      <w:pPr>
        <w:spacing w:before="100" w:beforeAutospacing="1" w:after="100" w:afterAutospacing="1" w:line="240" w:lineRule="auto"/>
        <w:jc w:val="both"/>
        <w:textAlignment w:val="baseline"/>
        <w:rPr>
          <w:rFonts w:eastAsia="Yu Gothic Light" w:cs="Arial"/>
          <w:szCs w:val="20"/>
          <w:lang w:eastAsia="sl-SI"/>
        </w:rPr>
      </w:pPr>
      <w:r>
        <w:rPr>
          <w:rFonts w:eastAsia="Yu Gothic Light" w:cs="Arial"/>
          <w:szCs w:val="20"/>
          <w:lang w:eastAsia="sl-SI"/>
        </w:rPr>
        <w:t>(5)</w:t>
      </w:r>
      <w:r>
        <w:rPr>
          <w:rFonts w:eastAsia="Yu Gothic Light" w:cs="Arial"/>
          <w:szCs w:val="20"/>
          <w:lang w:eastAsia="sl-SI"/>
        </w:rPr>
        <w:tab/>
        <w:t xml:space="preserve">Potrdila o vpisu v evidenco pooblaščenih podjetij, izdana na podlagi tretjega odstavka 10. člena Uredbe o uporabi </w:t>
      </w:r>
      <w:proofErr w:type="spellStart"/>
      <w:r>
        <w:rPr>
          <w:rFonts w:eastAsia="Yu Gothic Light" w:cs="Arial"/>
          <w:szCs w:val="20"/>
          <w:lang w:eastAsia="sl-SI"/>
        </w:rPr>
        <w:t>fluoriranih</w:t>
      </w:r>
      <w:proofErr w:type="spellEnd"/>
      <w:r>
        <w:rPr>
          <w:rFonts w:eastAsia="Yu Gothic Light" w:cs="Arial"/>
          <w:szCs w:val="20"/>
          <w:lang w:eastAsia="sl-SI"/>
        </w:rPr>
        <w:t xml:space="preserve"> toplogrednih plinov in ozonu škodljivih snoveh (Uradni list RS št. 60/16 in 44/22-ZVO-2), veljajo od uveljavitve tega zakona kot pooblastila iz 99. člena tega zakona.</w:t>
      </w:r>
    </w:p>
    <w:p w:rsidR="00077835" w:rsidRDefault="00077835" w:rsidP="00077835">
      <w:pPr>
        <w:spacing w:before="100" w:beforeAutospacing="1" w:after="100" w:afterAutospacing="1" w:line="240" w:lineRule="auto"/>
        <w:jc w:val="both"/>
        <w:textAlignment w:val="baseline"/>
        <w:rPr>
          <w:rFonts w:eastAsia="Yu Gothic Light" w:cs="Arial"/>
          <w:szCs w:val="20"/>
          <w:lang w:eastAsia="sl-SI"/>
        </w:rPr>
      </w:pPr>
      <w:r>
        <w:rPr>
          <w:rFonts w:eastAsia="Yu Gothic Light" w:cs="Arial"/>
          <w:szCs w:val="20"/>
          <w:lang w:eastAsia="sl-SI"/>
        </w:rPr>
        <w:t>(6)</w:t>
      </w:r>
      <w:r>
        <w:rPr>
          <w:rFonts w:eastAsia="Yu Gothic Light" w:cs="Arial"/>
          <w:szCs w:val="20"/>
          <w:lang w:eastAsia="sl-SI"/>
        </w:rPr>
        <w:tab/>
        <w:t xml:space="preserve">Do uveljavitve predpisov iz petega odstavka 97. člena tega zakona in devetega odstavka 99. člena tega zakona se uporablja Uredba o uporabi </w:t>
      </w:r>
      <w:proofErr w:type="spellStart"/>
      <w:r>
        <w:rPr>
          <w:rFonts w:eastAsia="Yu Gothic Light" w:cs="Arial"/>
          <w:szCs w:val="20"/>
          <w:lang w:eastAsia="sl-SI"/>
        </w:rPr>
        <w:t>fluoriranih</w:t>
      </w:r>
      <w:proofErr w:type="spellEnd"/>
      <w:r>
        <w:rPr>
          <w:rFonts w:eastAsia="Yu Gothic Light" w:cs="Arial"/>
          <w:szCs w:val="20"/>
          <w:lang w:eastAsia="sl-SI"/>
        </w:rPr>
        <w:t xml:space="preserve"> toplogrednih plinov in ozonu škodljivih snoveh (Uradni list RS št. 60/16 in 44/22-ZVO-2).«.</w:t>
      </w:r>
    </w:p>
    <w:p w:rsidR="00077835" w:rsidRDefault="00077835" w:rsidP="00077835">
      <w:pPr>
        <w:spacing w:line="240" w:lineRule="auto"/>
        <w:jc w:val="both"/>
        <w:textAlignment w:val="baseline"/>
        <w:rPr>
          <w:rFonts w:eastAsia="Yu Gothic Light" w:cs="Arial"/>
          <w:szCs w:val="20"/>
          <w:lang w:eastAsia="sl-SI"/>
        </w:rPr>
      </w:pPr>
      <w:r>
        <w:rPr>
          <w:rFonts w:eastAsia="Yu Gothic Light" w:cs="Arial"/>
          <w:b/>
          <w:bCs/>
          <w:szCs w:val="20"/>
          <w:lang w:eastAsia="sl-SI"/>
        </w:rPr>
        <w:t>Obrazložitev amandmaja:</w:t>
      </w:r>
      <w:r>
        <w:rPr>
          <w:rFonts w:eastAsia="Yu Gothic Light" w:cs="Arial"/>
          <w:szCs w:val="20"/>
          <w:lang w:eastAsia="sl-SI"/>
        </w:rPr>
        <w:t xml:space="preserve"> Amandma je pripravljen kot odziv na mnenje Zakonodajno-pravne službe in zaradi določitve podaljšanja veljavnosti pooblastil, spričeval in potrdil izdanih na podlagi določb ZVO-2.</w:t>
      </w:r>
    </w:p>
    <w:p w:rsidR="00077835" w:rsidRDefault="00077835" w:rsidP="00077835">
      <w:pPr>
        <w:spacing w:line="240" w:lineRule="auto"/>
        <w:jc w:val="both"/>
        <w:textAlignment w:val="baseline"/>
        <w:rPr>
          <w:rFonts w:eastAsia="Yu Gothic Light" w:cs="Arial"/>
          <w:szCs w:val="20"/>
          <w:lang w:eastAsia="sl-SI"/>
        </w:rPr>
      </w:pPr>
    </w:p>
    <w:p w:rsidR="00077835" w:rsidRDefault="00077835" w:rsidP="00077835">
      <w:pPr>
        <w:spacing w:line="240" w:lineRule="auto"/>
        <w:jc w:val="both"/>
        <w:rPr>
          <w:rFonts w:cs="Arial"/>
          <w:b/>
          <w:szCs w:val="20"/>
        </w:rPr>
      </w:pPr>
    </w:p>
    <w:p w:rsidR="00077835" w:rsidRDefault="00077835" w:rsidP="00077835">
      <w:pPr>
        <w:spacing w:line="240" w:lineRule="auto"/>
        <w:jc w:val="both"/>
        <w:rPr>
          <w:rFonts w:eastAsiaTheme="minorHAnsi" w:cs="Arial"/>
          <w:b/>
          <w:kern w:val="2"/>
          <w:szCs w:val="20"/>
          <w14:ligatures w14:val="standardContextual"/>
        </w:rPr>
      </w:pPr>
    </w:p>
    <w:p w:rsidR="00077835" w:rsidRDefault="00077835" w:rsidP="00077835">
      <w:pPr>
        <w:spacing w:line="240" w:lineRule="auto"/>
        <w:jc w:val="both"/>
        <w:rPr>
          <w:rFonts w:cs="Arial"/>
          <w:b/>
          <w:szCs w:val="20"/>
          <w:u w:val="single"/>
        </w:rPr>
      </w:pPr>
      <w:r>
        <w:rPr>
          <w:rFonts w:cs="Arial"/>
          <w:b/>
          <w:szCs w:val="20"/>
          <w:u w:val="single"/>
        </w:rPr>
        <w:t xml:space="preserve">K 151. </w:t>
      </w:r>
      <w:r>
        <w:rPr>
          <w:rFonts w:cs="Arial"/>
          <w:b/>
          <w:bCs/>
          <w:szCs w:val="20"/>
          <w:u w:val="single"/>
        </w:rPr>
        <w:t>členu</w:t>
      </w:r>
    </w:p>
    <w:p w:rsidR="00077835" w:rsidRDefault="00077835" w:rsidP="00077835">
      <w:pPr>
        <w:spacing w:line="240" w:lineRule="auto"/>
        <w:jc w:val="both"/>
        <w:rPr>
          <w:rFonts w:cs="Arial"/>
          <w:szCs w:val="20"/>
        </w:rPr>
      </w:pPr>
      <w:r>
        <w:rPr>
          <w:rFonts w:cs="Arial"/>
          <w:szCs w:val="20"/>
        </w:rPr>
        <w:t xml:space="preserve">151. člen se črta. </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w:t>
      </w:r>
      <w:r>
        <w:rPr>
          <w:rFonts w:cs="Arial"/>
          <w:b/>
          <w:bCs/>
          <w:szCs w:val="20"/>
        </w:rPr>
        <w:t xml:space="preserve"> amandmaja</w:t>
      </w:r>
      <w:r>
        <w:rPr>
          <w:rFonts w:cs="Arial"/>
          <w:b/>
          <w:szCs w:val="20"/>
        </w:rPr>
        <w:t xml:space="preserve">: </w:t>
      </w:r>
      <w:r>
        <w:rPr>
          <w:rFonts w:cs="Arial"/>
          <w:szCs w:val="20"/>
        </w:rPr>
        <w:t>Amandma</w:t>
      </w:r>
      <w:r>
        <w:rPr>
          <w:rFonts w:cs="Arial"/>
          <w:bCs/>
          <w:szCs w:val="20"/>
        </w:rPr>
        <w:t xml:space="preserve"> je </w:t>
      </w:r>
      <w:r>
        <w:rPr>
          <w:rFonts w:cs="Arial"/>
          <w:szCs w:val="20"/>
        </w:rPr>
        <w:t xml:space="preserve">pripravljen kot odziv na </w:t>
      </w:r>
      <w:r>
        <w:rPr>
          <w:rFonts w:cs="Arial"/>
          <w:bCs/>
          <w:szCs w:val="20"/>
        </w:rPr>
        <w:t xml:space="preserve">mnenje Zakonodajne-pravne službe, </w:t>
      </w:r>
      <w:r>
        <w:rPr>
          <w:rFonts w:cs="Arial"/>
          <w:szCs w:val="20"/>
        </w:rPr>
        <w:t>ki je opozorila na ustavnopravna tveganja v zvezi z določanjem penalov za nazaj in spreminjanjem njihove pravne narave. Zaradi neskladnosti z načelom zakonitosti, prepovedjo povratne veljave pravnih aktov in načelom pravne države smo 151. člen Predloga zakona v celoti črtali.</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b/>
          <w:bCs/>
          <w:sz w:val="20"/>
          <w:szCs w:val="20"/>
          <w:u w:val="single"/>
        </w:rPr>
        <w:t>K 153. členu:</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Člen 153. se spremeni tako, da se glasi:</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 xml:space="preserve">»(1) Minister najpozneje v šestih mesecih po sprejetju strategije iz 13. člena tega zakona izda podzakonski akt iz  desetega odstavka 15. člena tega zakona. </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 xml:space="preserve">(2) Minister izda metodologijo za uvrščanje ukrepov v program porabe sredstev iz petega odstavka 30. člena tega zakona v treh mesecih od uveljavitve tega zakona. </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 xml:space="preserve">(3) Minister najpozneje v šestih mesecih od uveljavitve tega zakona izda podzakonske akte iz šestega odstavka 32. člena, petega odstavka 33. člena, osmega odstavka 34. člena, devetega odstavka 36. člena, dvanajstega odstavka 37. člena, četrtega odstavka 40. člena, šestega odstavka 41. člena, četrtega odstavka 43. člena, šestega odstavka 44. člena, desetega odstavka 51. člena, šestega odstavka 54. člena, štirinajstega odstavka 55. člena in osmega odstavka 133. člena tega zakona. </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(4) Vlada sprejme predpise, določene v desetem odstavku 27. člena in štirinajstem odstavku 38. člena tega zakona v šestih mesecih od uveljavitve tega zakona.</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 xml:space="preserve">(5) Vlada izda predpis, določen v prvem odstavku 53. člena tega zakona, v 18 mesecih od uveljavitve tega zakona. </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 xml:space="preserve">(6) Vlada uskladi Uredbo o </w:t>
      </w:r>
      <w:proofErr w:type="spellStart"/>
      <w:r>
        <w:rPr>
          <w:rStyle w:val="normaltextrun"/>
          <w:rFonts w:ascii="Arial" w:hAnsi="Arial" w:cs="Arial"/>
          <w:sz w:val="20"/>
          <w:szCs w:val="20"/>
        </w:rPr>
        <w:t>okoljski</w:t>
      </w:r>
      <w:proofErr w:type="spellEnd"/>
      <w:r>
        <w:rPr>
          <w:rStyle w:val="normaltextrun"/>
          <w:rFonts w:ascii="Arial" w:hAnsi="Arial" w:cs="Arial"/>
          <w:sz w:val="20"/>
          <w:szCs w:val="20"/>
        </w:rPr>
        <w:t xml:space="preserve"> dajatvi za onesnaževanja zraka z emisijo ogljikovega dioksida (Uradni list RS, št. 48/18, 168/20, 44/22-ZVO-2, 84/22, 104/22, 118/22, 51/23, 124/23 in 98/24) s 70. in 71. členom tega zakona do 31. decembra 2025. </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lastRenderedPageBreak/>
        <w:t xml:space="preserve">(7) Vlada izda predpis iz šestega odstavka 72. člena tega zakona v šestih mesecih od uveljavitve tega zakona. </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(8) Minister določi metodologijo iz tretjega odstavka 73. člena in metodologijo iz drugega odstavka 74. člena v dvanajstih mesecih od uveljavitve tega zakona</w:t>
      </w:r>
      <w:r>
        <w:rPr>
          <w:rStyle w:val="normaltextrun"/>
          <w:rFonts w:ascii="Arial" w:eastAsia="Yu Gothic Light" w:hAnsi="Arial" w:cs="Arial"/>
          <w:sz w:val="20"/>
          <w:szCs w:val="20"/>
        </w:rPr>
        <w:t>«</w:t>
      </w:r>
      <w:r>
        <w:rPr>
          <w:rStyle w:val="normaltextrun"/>
          <w:rFonts w:ascii="Arial" w:hAnsi="Arial" w:cs="Arial"/>
          <w:sz w:val="20"/>
          <w:szCs w:val="20"/>
        </w:rPr>
        <w:t>.«.</w:t>
      </w: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eop"/>
          <w:rFonts w:ascii="Arial" w:hAnsi="Arial" w:cs="Arial"/>
          <w:sz w:val="20"/>
          <w:szCs w:val="20"/>
        </w:rPr>
        <w:t> </w:t>
      </w:r>
    </w:p>
    <w:p w:rsidR="00077835" w:rsidRDefault="00077835" w:rsidP="00077835">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b/>
          <w:bCs/>
          <w:sz w:val="20"/>
          <w:szCs w:val="20"/>
        </w:rPr>
        <w:t>Obrazložitev amandmaja:</w:t>
      </w:r>
      <w:r>
        <w:rPr>
          <w:rStyle w:val="normaltextrun"/>
          <w:rFonts w:ascii="Arial" w:hAnsi="Arial" w:cs="Arial"/>
          <w:sz w:val="20"/>
          <w:szCs w:val="20"/>
        </w:rPr>
        <w:t xml:space="preserve"> Amandma je bil potreben zaradi ureditve pravilnih sklicev na odstavke členov Predloga zakona, na podlagi katerih bodo sprejeti podzakonski predpisi. </w:t>
      </w:r>
      <w:r>
        <w:rPr>
          <w:rStyle w:val="eop"/>
          <w:rFonts w:ascii="Arial" w:hAnsi="Arial" w:cs="Arial"/>
          <w:sz w:val="20"/>
          <w:szCs w:val="20"/>
        </w:rPr>
        <w:t> </w:t>
      </w:r>
    </w:p>
    <w:p w:rsidR="00077835" w:rsidRDefault="00077835" w:rsidP="00077835">
      <w:pPr>
        <w:tabs>
          <w:tab w:val="left" w:pos="7063"/>
        </w:tabs>
        <w:autoSpaceDE w:val="0"/>
        <w:autoSpaceDN w:val="0"/>
        <w:adjustRightInd w:val="0"/>
        <w:spacing w:line="240" w:lineRule="auto"/>
        <w:jc w:val="both"/>
        <w:rPr>
          <w:rFonts w:cs="Arial"/>
          <w:szCs w:val="20"/>
        </w:rPr>
      </w:pPr>
    </w:p>
    <w:p w:rsidR="00077835" w:rsidRDefault="00077835" w:rsidP="00077835">
      <w:pPr>
        <w:pStyle w:val="Sprotnaopomba-besedilo"/>
        <w:jc w:val="both"/>
        <w:rPr>
          <w:rFonts w:ascii="Arial" w:hAnsi="Arial" w:cs="Arial"/>
          <w:sz w:val="20"/>
          <w:szCs w:val="20"/>
        </w:rPr>
      </w:pPr>
    </w:p>
    <w:p w:rsidR="00077835" w:rsidRDefault="00077835" w:rsidP="00077835">
      <w:pPr>
        <w:pStyle w:val="Sprotnaopomba-besedilo"/>
        <w:jc w:val="both"/>
        <w:rPr>
          <w:rFonts w:ascii="Arial" w:hAnsi="Arial" w:cs="Arial"/>
          <w:b/>
          <w:bCs/>
          <w:u w:val="single"/>
        </w:rPr>
      </w:pPr>
      <w:r>
        <w:rPr>
          <w:rFonts w:ascii="Arial" w:hAnsi="Arial" w:cs="Arial"/>
          <w:b/>
          <w:bCs/>
          <w:u w:val="single"/>
        </w:rPr>
        <w:t>K 154. členu:</w:t>
      </w:r>
    </w:p>
    <w:p w:rsidR="00077835" w:rsidRDefault="00077835" w:rsidP="00077835">
      <w:pPr>
        <w:spacing w:line="240" w:lineRule="auto"/>
        <w:jc w:val="both"/>
        <w:textAlignment w:val="baseline"/>
        <w:rPr>
          <w:rFonts w:cs="Arial"/>
          <w:szCs w:val="20"/>
          <w:lang w:eastAsia="sl-SI"/>
        </w:rPr>
      </w:pPr>
    </w:p>
    <w:p w:rsidR="00077835" w:rsidRDefault="00077835" w:rsidP="00077835">
      <w:pPr>
        <w:pStyle w:val="Sprotnaopomba-besedilo"/>
        <w:jc w:val="both"/>
        <w:rPr>
          <w:rFonts w:ascii="Arial" w:hAnsi="Arial" w:cs="Arial"/>
          <w:sz w:val="20"/>
          <w:szCs w:val="20"/>
        </w:rPr>
      </w:pPr>
      <w:r>
        <w:rPr>
          <w:rFonts w:ascii="Arial" w:hAnsi="Arial" w:cs="Arial"/>
        </w:rPr>
        <w:t>Amandma k 154. členu se spremeni tako, da se glasi:</w:t>
      </w:r>
    </w:p>
    <w:p w:rsidR="00077835" w:rsidRDefault="00077835" w:rsidP="00077835">
      <w:pPr>
        <w:pStyle w:val="Sprotnaopomba-besedilo"/>
        <w:jc w:val="both"/>
        <w:rPr>
          <w:rFonts w:ascii="Arial" w:hAnsi="Arial" w:cs="Arial"/>
        </w:rPr>
      </w:pPr>
    </w:p>
    <w:p w:rsidR="00077835" w:rsidRDefault="00077835" w:rsidP="00077835">
      <w:pPr>
        <w:pStyle w:val="Sprotnaopomba-besedilo"/>
        <w:jc w:val="both"/>
        <w:rPr>
          <w:rFonts w:ascii="Arial" w:hAnsi="Arial" w:cs="Arial"/>
        </w:rPr>
      </w:pPr>
      <w:r>
        <w:rPr>
          <w:rFonts w:ascii="Arial" w:hAnsi="Arial" w:cs="Arial"/>
        </w:rPr>
        <w:t xml:space="preserve">»V 154. členu se v prvem odstavku 1. točka spremeni tako, da se glasi: </w:t>
      </w:r>
    </w:p>
    <w:p w:rsidR="00077835" w:rsidRDefault="00077835" w:rsidP="00077835">
      <w:pPr>
        <w:jc w:val="both"/>
        <w:rPr>
          <w:rFonts w:cs="Arial"/>
          <w:szCs w:val="20"/>
        </w:rPr>
      </w:pPr>
    </w:p>
    <w:p w:rsidR="00077835" w:rsidRDefault="00077835" w:rsidP="00077835">
      <w:pPr>
        <w:jc w:val="both"/>
        <w:rPr>
          <w:rFonts w:cs="Arial"/>
          <w:szCs w:val="20"/>
        </w:rPr>
      </w:pPr>
      <w:r>
        <w:rPr>
          <w:rFonts w:cs="Arial"/>
          <w:szCs w:val="20"/>
        </w:rPr>
        <w:t xml:space="preserve">»1. </w:t>
      </w:r>
      <w:r>
        <w:rPr>
          <w:rFonts w:eastAsia="Arial" w:cs="Arial"/>
          <w:szCs w:val="20"/>
        </w:rPr>
        <w:t>12. in 19. točka drugega odstavka 1. člena, 6.3., 6.3.1., 6.3.2., 6.4., 6.5., 10.1., 14. in 14.1. do 14.6. točka 3. člena, 3. in 4. točka drugega odstavka ter 6. točka tretjega odstavka 4. člena, 143. do 145. člena, 5. in 6. točka prvega odstavka ter šesti in sedmi odstavek 154. člena, 5. točka prvega odstavka 171. člena, 177. do 229. člen, 239. do 242. člen, 258. člen, 19. točka prvega odstavka 259. člena, 56. do 63. točka prvega odstavka 260. člena, 270., 271., 292., 293., 294. in 295. člen, prvi odstavek 297. člena, 311., 312., 316. in 317. člen ZVO-2,</w:t>
      </w:r>
      <w:r>
        <w:rPr>
          <w:rFonts w:cs="Arial"/>
          <w:szCs w:val="20"/>
        </w:rPr>
        <w:t>«.</w:t>
      </w:r>
    </w:p>
    <w:p w:rsidR="00077835" w:rsidRDefault="00077835" w:rsidP="00077835">
      <w:pPr>
        <w:jc w:val="both"/>
        <w:rPr>
          <w:rFonts w:cs="Arial"/>
          <w:szCs w:val="20"/>
        </w:rPr>
      </w:pPr>
    </w:p>
    <w:p w:rsidR="00077835" w:rsidRDefault="00077835" w:rsidP="00077835">
      <w:pPr>
        <w:jc w:val="both"/>
        <w:rPr>
          <w:rFonts w:cs="Arial"/>
          <w:szCs w:val="20"/>
        </w:rPr>
      </w:pPr>
      <w:r>
        <w:rPr>
          <w:rFonts w:cs="Arial"/>
          <w:szCs w:val="20"/>
        </w:rPr>
        <w:t>5. točka se spremni tako, da se glasi:</w:t>
      </w:r>
    </w:p>
    <w:p w:rsidR="00077835" w:rsidRDefault="00077835" w:rsidP="00077835">
      <w:pPr>
        <w:jc w:val="both"/>
        <w:rPr>
          <w:rFonts w:cs="Arial"/>
          <w:szCs w:val="20"/>
        </w:rPr>
      </w:pPr>
      <w:r>
        <w:rPr>
          <w:rFonts w:cs="Arial"/>
          <w:szCs w:val="20"/>
        </w:rPr>
        <w:t>»</w:t>
      </w:r>
      <w:r>
        <w:rPr>
          <w:rFonts w:eastAsia="Arial" w:cs="Arial"/>
          <w:szCs w:val="20"/>
        </w:rPr>
        <w:t xml:space="preserve"> 5. Uredba o okoljevarstvenem dovoljenju za emisije toplogrednih plinov za regulirane subjekte (Uradni list RS, št. 57/24) in</w:t>
      </w:r>
      <w:r>
        <w:rPr>
          <w:rFonts w:cs="Arial"/>
          <w:szCs w:val="20"/>
        </w:rPr>
        <w:t>«.</w:t>
      </w:r>
    </w:p>
    <w:p w:rsidR="00077835" w:rsidRDefault="00077835" w:rsidP="00077835">
      <w:pPr>
        <w:jc w:val="both"/>
        <w:rPr>
          <w:rFonts w:cs="Arial"/>
          <w:szCs w:val="20"/>
        </w:rPr>
      </w:pPr>
    </w:p>
    <w:p w:rsidR="00077835" w:rsidRDefault="00077835" w:rsidP="00077835">
      <w:pPr>
        <w:jc w:val="both"/>
        <w:rPr>
          <w:rFonts w:cs="Arial"/>
          <w:szCs w:val="20"/>
        </w:rPr>
      </w:pPr>
      <w:r>
        <w:rPr>
          <w:rFonts w:cs="Arial"/>
          <w:b/>
          <w:szCs w:val="20"/>
        </w:rPr>
        <w:t>Obrazložitev</w:t>
      </w:r>
      <w:r>
        <w:rPr>
          <w:rFonts w:cs="Arial"/>
          <w:szCs w:val="20"/>
        </w:rPr>
        <w:t>: Amandma je pripravljen kot odziv na mnenje Zakonodajno-pravne službe. Popravljene so navedbe določb, ki prenehajo veljati.</w:t>
      </w:r>
    </w:p>
    <w:p w:rsidR="00077835" w:rsidRDefault="00077835" w:rsidP="00077835">
      <w:pPr>
        <w:spacing w:line="276" w:lineRule="auto"/>
        <w:jc w:val="both"/>
        <w:rPr>
          <w:rFonts w:cs="Arial"/>
          <w:b/>
          <w:bCs/>
          <w:szCs w:val="20"/>
        </w:rPr>
      </w:pPr>
    </w:p>
    <w:p w:rsidR="00077835" w:rsidRDefault="00077835" w:rsidP="00077835">
      <w:pPr>
        <w:spacing w:line="276" w:lineRule="auto"/>
        <w:jc w:val="both"/>
        <w:rPr>
          <w:rFonts w:cs="Arial"/>
          <w:b/>
          <w:bCs/>
          <w:szCs w:val="20"/>
          <w:u w:val="single"/>
        </w:rPr>
      </w:pPr>
      <w:r>
        <w:rPr>
          <w:rFonts w:cs="Arial"/>
          <w:b/>
          <w:szCs w:val="20"/>
          <w:u w:val="single"/>
        </w:rPr>
        <w:t>K 155. členu:</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Prvi odstavek 155. člena, se spremeni tako, da se glasi:</w:t>
      </w:r>
    </w:p>
    <w:p w:rsidR="00077835" w:rsidRDefault="00077835" w:rsidP="00077835">
      <w:pPr>
        <w:overflowPunct w:val="0"/>
        <w:autoSpaceDE w:val="0"/>
        <w:autoSpaceDN w:val="0"/>
        <w:adjustRightInd w:val="0"/>
        <w:spacing w:before="240" w:line="240" w:lineRule="auto"/>
        <w:jc w:val="both"/>
        <w:textAlignment w:val="baseline"/>
        <w:rPr>
          <w:rFonts w:cs="Arial"/>
          <w:szCs w:val="20"/>
        </w:rPr>
      </w:pPr>
      <w:r>
        <w:rPr>
          <w:rFonts w:cs="Arial"/>
          <w:szCs w:val="20"/>
        </w:rPr>
        <w:t>»(1) V ZVO-2 se v 171. členu v prvem odstavku v 3. točki črtata vejica in besedilo »s subvencijami ali drugimi oblikami dajanja nepovratnih sredstev iz sredstev sklada iz 210. člena tega zakona«.«</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w:t>
      </w:r>
      <w:r>
        <w:rPr>
          <w:rFonts w:cs="Arial"/>
          <w:b/>
          <w:bCs/>
          <w:szCs w:val="20"/>
        </w:rPr>
        <w:t xml:space="preserve"> amandmaja</w:t>
      </w:r>
      <w:r>
        <w:rPr>
          <w:rFonts w:cs="Arial"/>
          <w:b/>
          <w:szCs w:val="20"/>
        </w:rPr>
        <w:t>:</w:t>
      </w:r>
      <w:r>
        <w:rPr>
          <w:rFonts w:cs="Arial"/>
          <w:b/>
          <w:bCs/>
          <w:szCs w:val="20"/>
        </w:rPr>
        <w:t xml:space="preserve"> </w:t>
      </w:r>
      <w:r>
        <w:rPr>
          <w:rFonts w:cs="Arial"/>
          <w:szCs w:val="20"/>
        </w:rPr>
        <w:t>Amandma je pripravljen kot odziv na mnenje Zakonodajno-pravne službe, 3. točka se zapiše s številko, pred navedenim besedilom pa se črta tudi vejica.</w:t>
      </w:r>
    </w:p>
    <w:p w:rsidR="00077835" w:rsidRDefault="00077835" w:rsidP="00077835">
      <w:pPr>
        <w:spacing w:line="240" w:lineRule="auto"/>
        <w:jc w:val="both"/>
        <w:rPr>
          <w:rFonts w:cs="Arial"/>
          <w:szCs w:val="20"/>
        </w:rPr>
      </w:pPr>
    </w:p>
    <w:p w:rsidR="00077835" w:rsidRDefault="00077835" w:rsidP="00077835">
      <w:pPr>
        <w:spacing w:line="276" w:lineRule="auto"/>
        <w:jc w:val="both"/>
        <w:rPr>
          <w:rFonts w:eastAsiaTheme="minorHAnsi" w:cs="Arial"/>
          <w:b/>
          <w:bCs/>
          <w:kern w:val="2"/>
          <w:szCs w:val="20"/>
          <w14:ligatures w14:val="standardContextual"/>
        </w:rPr>
      </w:pPr>
    </w:p>
    <w:p w:rsidR="00077835" w:rsidRDefault="00077835" w:rsidP="00077835">
      <w:pPr>
        <w:spacing w:line="276" w:lineRule="auto"/>
        <w:jc w:val="both"/>
        <w:rPr>
          <w:rFonts w:cs="Arial"/>
          <w:b/>
          <w:bCs/>
          <w:szCs w:val="20"/>
          <w:u w:val="single"/>
        </w:rPr>
      </w:pPr>
      <w:r>
        <w:rPr>
          <w:rFonts w:cs="Arial"/>
          <w:b/>
          <w:szCs w:val="20"/>
          <w:u w:val="single"/>
        </w:rPr>
        <w:t>K 156. členu:</w:t>
      </w:r>
    </w:p>
    <w:p w:rsidR="00077835" w:rsidRDefault="00077835" w:rsidP="00077835">
      <w:pPr>
        <w:spacing w:line="240" w:lineRule="auto"/>
        <w:jc w:val="both"/>
        <w:rPr>
          <w:rFonts w:cs="Arial"/>
          <w:szCs w:val="20"/>
        </w:rPr>
      </w:pPr>
      <w:r>
        <w:rPr>
          <w:rFonts w:cs="Arial"/>
          <w:szCs w:val="20"/>
        </w:rPr>
        <w:t>Besedilo 156. člena se spremeni tako, da se glasi:</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szCs w:val="20"/>
        </w:rPr>
        <w:t>»(1)</w:t>
      </w:r>
      <w:r>
        <w:rPr>
          <w:rFonts w:cs="Arial"/>
          <w:szCs w:val="20"/>
        </w:rPr>
        <w:tab/>
        <w:t>Ta zakon začne veljati petnajsti dan po objavi v Uradnem listu Republike Slovenije.</w:t>
      </w:r>
    </w:p>
    <w:p w:rsidR="00077835" w:rsidRDefault="00077835" w:rsidP="00077835">
      <w:pPr>
        <w:spacing w:line="240" w:lineRule="auto"/>
        <w:jc w:val="both"/>
        <w:rPr>
          <w:rFonts w:cs="Arial"/>
          <w:szCs w:val="20"/>
        </w:rPr>
      </w:pPr>
      <w:r>
        <w:rPr>
          <w:rFonts w:cs="Arial"/>
          <w:szCs w:val="20"/>
        </w:rPr>
        <w:t>(2)</w:t>
      </w:r>
      <w:r>
        <w:rPr>
          <w:rFonts w:cs="Arial"/>
          <w:szCs w:val="20"/>
        </w:rPr>
        <w:tab/>
        <w:t>Peti odstavek 29. člena in trinajsti odstavek 30. člena tega zakona se začneta uporabljati 1. januarja 2026.</w:t>
      </w:r>
    </w:p>
    <w:p w:rsidR="00077835" w:rsidRDefault="00077835" w:rsidP="00077835">
      <w:pPr>
        <w:spacing w:line="240" w:lineRule="auto"/>
        <w:jc w:val="both"/>
        <w:rPr>
          <w:rFonts w:cs="Arial"/>
          <w:szCs w:val="20"/>
        </w:rPr>
      </w:pPr>
      <w:r>
        <w:rPr>
          <w:rFonts w:cs="Arial"/>
          <w:szCs w:val="20"/>
        </w:rPr>
        <w:t>(3)</w:t>
      </w:r>
      <w:r>
        <w:rPr>
          <w:rFonts w:cs="Arial"/>
          <w:szCs w:val="20"/>
        </w:rPr>
        <w:tab/>
        <w:t xml:space="preserve">70. in 71. člen tega zakona prenehata veljati 1. januarja 2027, v primeru objave obvestila Evropske komisije o izjemno visokih cenah energije v Uradnem listu EU iz 136. člena tega zakona pa 1. januarja 2028. </w:t>
      </w:r>
    </w:p>
    <w:p w:rsidR="00077835" w:rsidRDefault="00077835" w:rsidP="00077835">
      <w:pPr>
        <w:spacing w:line="240" w:lineRule="auto"/>
        <w:jc w:val="both"/>
        <w:rPr>
          <w:rFonts w:cs="Arial"/>
          <w:szCs w:val="20"/>
        </w:rPr>
      </w:pPr>
      <w:r>
        <w:rPr>
          <w:rFonts w:cs="Arial"/>
          <w:szCs w:val="20"/>
        </w:rPr>
        <w:t>(4)</w:t>
      </w:r>
      <w:r>
        <w:rPr>
          <w:rFonts w:cs="Arial"/>
          <w:szCs w:val="20"/>
        </w:rPr>
        <w:tab/>
        <w:t>72. člen tega zakona se začne uporabljati 1. januarja 2026.</w:t>
      </w:r>
    </w:p>
    <w:p w:rsidR="00077835" w:rsidRDefault="00077835" w:rsidP="00077835">
      <w:pPr>
        <w:spacing w:line="240" w:lineRule="auto"/>
        <w:jc w:val="both"/>
        <w:rPr>
          <w:rFonts w:cs="Arial"/>
          <w:szCs w:val="20"/>
        </w:rPr>
      </w:pPr>
      <w:r>
        <w:rPr>
          <w:rFonts w:cs="Arial"/>
          <w:szCs w:val="20"/>
        </w:rPr>
        <w:t>(5)</w:t>
      </w:r>
      <w:r>
        <w:rPr>
          <w:rFonts w:cs="Arial"/>
          <w:szCs w:val="20"/>
        </w:rPr>
        <w:tab/>
        <w:t xml:space="preserve">90. člen tega zakona preneha veljati dve leti po uveljavitvi tega zakona. </w:t>
      </w:r>
    </w:p>
    <w:p w:rsidR="00077835" w:rsidRDefault="00077835" w:rsidP="00077835">
      <w:pPr>
        <w:spacing w:line="240" w:lineRule="auto"/>
        <w:jc w:val="both"/>
        <w:rPr>
          <w:rFonts w:cs="Arial"/>
          <w:szCs w:val="20"/>
        </w:rPr>
      </w:pPr>
      <w:r>
        <w:rPr>
          <w:rFonts w:cs="Arial"/>
          <w:szCs w:val="20"/>
        </w:rPr>
        <w:t>(6)</w:t>
      </w:r>
      <w:r>
        <w:rPr>
          <w:rFonts w:cs="Arial"/>
          <w:szCs w:val="20"/>
        </w:rPr>
        <w:tab/>
        <w:t>Sedmi in osmi odstavek 114. člena, 5. točka prvega odstavka in četrti odstavek 115. člena ter 25. in 26. točka prvega odstavka in četrti odstavek 116. člena tega zakona se začnejo uporabljati 1. januarja 2026«.</w:t>
      </w:r>
    </w:p>
    <w:p w:rsidR="00077835" w:rsidRDefault="00077835" w:rsidP="00077835">
      <w:pPr>
        <w:spacing w:line="240" w:lineRule="auto"/>
        <w:jc w:val="both"/>
        <w:rPr>
          <w:rFonts w:cs="Arial"/>
          <w:szCs w:val="20"/>
        </w:rPr>
      </w:pPr>
    </w:p>
    <w:p w:rsidR="00077835" w:rsidRDefault="00077835" w:rsidP="00077835">
      <w:pPr>
        <w:spacing w:line="240" w:lineRule="auto"/>
        <w:jc w:val="both"/>
        <w:rPr>
          <w:rFonts w:cs="Arial"/>
          <w:szCs w:val="20"/>
        </w:rPr>
      </w:pPr>
      <w:r>
        <w:rPr>
          <w:rFonts w:cs="Arial"/>
          <w:b/>
          <w:szCs w:val="20"/>
        </w:rPr>
        <w:t>Obrazložitev</w:t>
      </w:r>
      <w:r>
        <w:rPr>
          <w:rFonts w:cs="Arial"/>
          <w:b/>
          <w:bCs/>
          <w:szCs w:val="20"/>
        </w:rPr>
        <w:t xml:space="preserve"> amandmaja</w:t>
      </w:r>
      <w:r>
        <w:rPr>
          <w:rFonts w:cs="Arial"/>
          <w:b/>
          <w:szCs w:val="20"/>
        </w:rPr>
        <w:t>:</w:t>
      </w:r>
      <w:r>
        <w:rPr>
          <w:rFonts w:cs="Arial"/>
          <w:b/>
          <w:bCs/>
          <w:szCs w:val="20"/>
        </w:rPr>
        <w:t xml:space="preserve"> </w:t>
      </w:r>
      <w:r>
        <w:rPr>
          <w:rFonts w:cs="Arial"/>
          <w:szCs w:val="20"/>
        </w:rPr>
        <w:t xml:space="preserve">Amandma je pripravljen kot odziv na mnenje Zakonodajno-pravne službe. V tretjem odstavku 156. člena je pred besedo »člen« dodan sklic na 71. člen, besedilo »se preneha uporabljati« je nadomeščeno z besedilom »preneha veljati«. V petem odstavku je </w:t>
      </w:r>
      <w:r>
        <w:rPr>
          <w:rFonts w:cs="Arial"/>
          <w:szCs w:val="20"/>
        </w:rPr>
        <w:lastRenderedPageBreak/>
        <w:t xml:space="preserve">besedilo »se preneha uporabljati« nadomeščeno z besedilom »preneha veljati«. </w:t>
      </w:r>
      <w:proofErr w:type="spellStart"/>
      <w:r>
        <w:rPr>
          <w:rFonts w:cs="Arial"/>
          <w:szCs w:val="20"/>
        </w:rPr>
        <w:t>Nomotehnično</w:t>
      </w:r>
      <w:proofErr w:type="spellEnd"/>
      <w:r>
        <w:rPr>
          <w:rFonts w:cs="Arial"/>
          <w:szCs w:val="20"/>
        </w:rPr>
        <w:t xml:space="preserve"> je urejen tudi šest odstavek.</w:t>
      </w:r>
    </w:p>
    <w:p w:rsidR="00077835" w:rsidRDefault="00077835" w:rsidP="00077835">
      <w:pPr>
        <w:jc w:val="both"/>
        <w:rPr>
          <w:rFonts w:cs="Arial"/>
          <w:szCs w:val="20"/>
        </w:rPr>
      </w:pPr>
    </w:p>
    <w:p w:rsidR="00077835" w:rsidRDefault="00077835" w:rsidP="00077835">
      <w:pPr>
        <w:spacing w:line="240" w:lineRule="auto"/>
        <w:jc w:val="both"/>
        <w:rPr>
          <w:rFonts w:cs="Arial"/>
          <w:szCs w:val="20"/>
        </w:rPr>
      </w:pPr>
    </w:p>
    <w:p w:rsidR="00077835" w:rsidRDefault="00077835" w:rsidP="00077835">
      <w:pPr>
        <w:jc w:val="both"/>
        <w:rPr>
          <w:rFonts w:cs="Arial"/>
          <w:b/>
          <w:szCs w:val="20"/>
          <w:lang w:eastAsia="sl-SI"/>
        </w:rPr>
      </w:pPr>
    </w:p>
    <w:p w:rsidR="00077835" w:rsidRDefault="00077835" w:rsidP="00077835">
      <w:pPr>
        <w:jc w:val="both"/>
        <w:rPr>
          <w:rFonts w:eastAsiaTheme="minorHAnsi" w:cs="Arial"/>
          <w:color w:val="222222"/>
          <w:kern w:val="2"/>
          <w:szCs w:val="20"/>
          <w:shd w:val="clear" w:color="auto" w:fill="FFFFFF"/>
          <w14:ligatures w14:val="standardContextual"/>
        </w:rPr>
      </w:pPr>
    </w:p>
    <w:p w:rsidR="00077835" w:rsidRDefault="00077835" w:rsidP="00077835">
      <w:pPr>
        <w:jc w:val="both"/>
        <w:rPr>
          <w:rFonts w:cs="Arial"/>
          <w:szCs w:val="20"/>
        </w:rPr>
      </w:pPr>
    </w:p>
    <w:p w:rsidR="007E1230" w:rsidRDefault="007E1230" w:rsidP="00077835">
      <w:pPr>
        <w:tabs>
          <w:tab w:val="left" w:pos="5570"/>
        </w:tabs>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021" w:rsidRDefault="00030021" w:rsidP="00767987">
      <w:pPr>
        <w:spacing w:line="240" w:lineRule="auto"/>
      </w:pPr>
      <w:r>
        <w:separator/>
      </w:r>
    </w:p>
  </w:endnote>
  <w:endnote w:type="continuationSeparator" w:id="0">
    <w:p w:rsidR="00030021" w:rsidRDefault="0003002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37B" w:rsidRDefault="0041437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37B" w:rsidRDefault="0041437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37B" w:rsidRDefault="0041437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021" w:rsidRDefault="00030021" w:rsidP="00767987">
      <w:pPr>
        <w:spacing w:line="240" w:lineRule="auto"/>
      </w:pPr>
      <w:r>
        <w:separator/>
      </w:r>
    </w:p>
  </w:footnote>
  <w:footnote w:type="continuationSeparator" w:id="0">
    <w:p w:rsidR="00030021" w:rsidRDefault="0003002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37B" w:rsidRDefault="0041437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437B" w:rsidRDefault="0041437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BC2B4"/>
    <w:multiLevelType w:val="hybridMultilevel"/>
    <w:tmpl w:val="FFFFFFFF"/>
    <w:lvl w:ilvl="0" w:tplc="C16CEFBA">
      <w:start w:val="1"/>
      <w:numFmt w:val="decimal"/>
      <w:lvlText w:val="%1."/>
      <w:lvlJc w:val="left"/>
      <w:pPr>
        <w:ind w:left="720" w:hanging="360"/>
      </w:pPr>
    </w:lvl>
    <w:lvl w:ilvl="1" w:tplc="49ACB4EE">
      <w:start w:val="1"/>
      <w:numFmt w:val="lowerLetter"/>
      <w:lvlText w:val="%2."/>
      <w:lvlJc w:val="left"/>
      <w:pPr>
        <w:ind w:left="1440" w:hanging="360"/>
      </w:pPr>
    </w:lvl>
    <w:lvl w:ilvl="2" w:tplc="A4783604">
      <w:start w:val="1"/>
      <w:numFmt w:val="lowerRoman"/>
      <w:lvlText w:val="%3."/>
      <w:lvlJc w:val="right"/>
      <w:pPr>
        <w:ind w:left="2160" w:hanging="180"/>
      </w:pPr>
    </w:lvl>
    <w:lvl w:ilvl="3" w:tplc="9EDA89FA">
      <w:start w:val="1"/>
      <w:numFmt w:val="decimal"/>
      <w:lvlText w:val="%4."/>
      <w:lvlJc w:val="left"/>
      <w:pPr>
        <w:ind w:left="2880" w:hanging="360"/>
      </w:pPr>
    </w:lvl>
    <w:lvl w:ilvl="4" w:tplc="A830AAC4">
      <w:start w:val="1"/>
      <w:numFmt w:val="lowerLetter"/>
      <w:lvlText w:val="%5."/>
      <w:lvlJc w:val="left"/>
      <w:pPr>
        <w:ind w:left="3600" w:hanging="360"/>
      </w:pPr>
    </w:lvl>
    <w:lvl w:ilvl="5" w:tplc="9BBCEEFE">
      <w:start w:val="1"/>
      <w:numFmt w:val="lowerRoman"/>
      <w:lvlText w:val="%6."/>
      <w:lvlJc w:val="right"/>
      <w:pPr>
        <w:ind w:left="4320" w:hanging="180"/>
      </w:pPr>
    </w:lvl>
    <w:lvl w:ilvl="6" w:tplc="24A6657A">
      <w:start w:val="1"/>
      <w:numFmt w:val="decimal"/>
      <w:lvlText w:val="%7."/>
      <w:lvlJc w:val="left"/>
      <w:pPr>
        <w:ind w:left="5040" w:hanging="360"/>
      </w:pPr>
    </w:lvl>
    <w:lvl w:ilvl="7" w:tplc="931C252C">
      <w:start w:val="1"/>
      <w:numFmt w:val="lowerLetter"/>
      <w:lvlText w:val="%8."/>
      <w:lvlJc w:val="left"/>
      <w:pPr>
        <w:ind w:left="5760" w:hanging="360"/>
      </w:pPr>
    </w:lvl>
    <w:lvl w:ilvl="8" w:tplc="6D84E3C0">
      <w:start w:val="1"/>
      <w:numFmt w:val="lowerRoman"/>
      <w:lvlText w:val="%9."/>
      <w:lvlJc w:val="right"/>
      <w:pPr>
        <w:ind w:left="6480" w:hanging="180"/>
      </w:pPr>
    </w:lvl>
  </w:abstractNum>
  <w:abstractNum w:abstractNumId="1" w15:restartNumberingAfterBreak="0">
    <w:nsid w:val="08B64ED9"/>
    <w:multiLevelType w:val="hybridMultilevel"/>
    <w:tmpl w:val="38383914"/>
    <w:lvl w:ilvl="0" w:tplc="3E48CC34">
      <w:start w:val="2"/>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B09A0A9"/>
    <w:multiLevelType w:val="hybridMultilevel"/>
    <w:tmpl w:val="FFFFFFFF"/>
    <w:lvl w:ilvl="0" w:tplc="484E5D8A">
      <w:start w:val="1"/>
      <w:numFmt w:val="decimal"/>
      <w:lvlText w:val="%1."/>
      <w:lvlJc w:val="left"/>
      <w:pPr>
        <w:ind w:left="720" w:hanging="360"/>
      </w:pPr>
    </w:lvl>
    <w:lvl w:ilvl="1" w:tplc="05DABF16">
      <w:start w:val="1"/>
      <w:numFmt w:val="lowerLetter"/>
      <w:lvlText w:val="%2."/>
      <w:lvlJc w:val="left"/>
      <w:pPr>
        <w:ind w:left="1440" w:hanging="360"/>
      </w:pPr>
    </w:lvl>
    <w:lvl w:ilvl="2" w:tplc="43DA8712">
      <w:start w:val="1"/>
      <w:numFmt w:val="lowerRoman"/>
      <w:lvlText w:val="%3."/>
      <w:lvlJc w:val="right"/>
      <w:pPr>
        <w:ind w:left="2160" w:hanging="180"/>
      </w:pPr>
    </w:lvl>
    <w:lvl w:ilvl="3" w:tplc="3D2A0084">
      <w:start w:val="1"/>
      <w:numFmt w:val="decimal"/>
      <w:lvlText w:val="%4."/>
      <w:lvlJc w:val="left"/>
      <w:pPr>
        <w:ind w:left="2880" w:hanging="360"/>
      </w:pPr>
    </w:lvl>
    <w:lvl w:ilvl="4" w:tplc="3DF0A4DE">
      <w:start w:val="1"/>
      <w:numFmt w:val="lowerLetter"/>
      <w:lvlText w:val="%5."/>
      <w:lvlJc w:val="left"/>
      <w:pPr>
        <w:ind w:left="3600" w:hanging="360"/>
      </w:pPr>
    </w:lvl>
    <w:lvl w:ilvl="5" w:tplc="8BE8AC9A">
      <w:start w:val="1"/>
      <w:numFmt w:val="lowerRoman"/>
      <w:lvlText w:val="%6."/>
      <w:lvlJc w:val="right"/>
      <w:pPr>
        <w:ind w:left="4320" w:hanging="180"/>
      </w:pPr>
    </w:lvl>
    <w:lvl w:ilvl="6" w:tplc="13F63C6E">
      <w:start w:val="1"/>
      <w:numFmt w:val="decimal"/>
      <w:lvlText w:val="%7."/>
      <w:lvlJc w:val="left"/>
      <w:pPr>
        <w:ind w:left="5040" w:hanging="360"/>
      </w:pPr>
    </w:lvl>
    <w:lvl w:ilvl="7" w:tplc="A68AA536">
      <w:start w:val="1"/>
      <w:numFmt w:val="lowerLetter"/>
      <w:lvlText w:val="%8."/>
      <w:lvlJc w:val="left"/>
      <w:pPr>
        <w:ind w:left="5760" w:hanging="360"/>
      </w:pPr>
    </w:lvl>
    <w:lvl w:ilvl="8" w:tplc="96862BB6">
      <w:start w:val="1"/>
      <w:numFmt w:val="lowerRoman"/>
      <w:lvlText w:val="%9."/>
      <w:lvlJc w:val="right"/>
      <w:pPr>
        <w:ind w:left="6480" w:hanging="180"/>
      </w:pPr>
    </w:lvl>
  </w:abstractNum>
  <w:abstractNum w:abstractNumId="3" w15:restartNumberingAfterBreak="0">
    <w:nsid w:val="0CC759BF"/>
    <w:multiLevelType w:val="multilevel"/>
    <w:tmpl w:val="6E344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BD084C"/>
    <w:multiLevelType w:val="multilevel"/>
    <w:tmpl w:val="1B54AE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F16C5B"/>
    <w:multiLevelType w:val="multilevel"/>
    <w:tmpl w:val="7EF64C3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2239E7"/>
    <w:multiLevelType w:val="multilevel"/>
    <w:tmpl w:val="19809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9023A"/>
    <w:multiLevelType w:val="multilevel"/>
    <w:tmpl w:val="49C8D8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6BA1524"/>
    <w:multiLevelType w:val="multilevel"/>
    <w:tmpl w:val="8288354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8082E3E"/>
    <w:multiLevelType w:val="multilevel"/>
    <w:tmpl w:val="69625A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1C040E"/>
    <w:multiLevelType w:val="multilevel"/>
    <w:tmpl w:val="87FA1BA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371578"/>
    <w:multiLevelType w:val="multilevel"/>
    <w:tmpl w:val="94E227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C825983"/>
    <w:multiLevelType w:val="multilevel"/>
    <w:tmpl w:val="8BE0831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D2E18B5"/>
    <w:multiLevelType w:val="multilevel"/>
    <w:tmpl w:val="015CA7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4C96EB1"/>
    <w:multiLevelType w:val="multilevel"/>
    <w:tmpl w:val="97EE21E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9C109D0"/>
    <w:multiLevelType w:val="multilevel"/>
    <w:tmpl w:val="62ACFF0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E72F94"/>
    <w:multiLevelType w:val="multilevel"/>
    <w:tmpl w:val="F8FA402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BDA7BBA"/>
    <w:multiLevelType w:val="hybridMultilevel"/>
    <w:tmpl w:val="3FB67FB0"/>
    <w:lvl w:ilvl="0" w:tplc="F07C797E">
      <w:start w:val="1"/>
      <w:numFmt w:val="decimal"/>
      <w:lvlText w:val="(%1)"/>
      <w:lvlJc w:val="left"/>
      <w:pPr>
        <w:ind w:left="735" w:hanging="37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2FB5022A"/>
    <w:multiLevelType w:val="multilevel"/>
    <w:tmpl w:val="4644EB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50339C"/>
    <w:multiLevelType w:val="multilevel"/>
    <w:tmpl w:val="3F82D5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32D00DE"/>
    <w:multiLevelType w:val="multilevel"/>
    <w:tmpl w:val="E3A6DF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5C5175A"/>
    <w:multiLevelType w:val="hybridMultilevel"/>
    <w:tmpl w:val="DE2AB212"/>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3" w15:restartNumberingAfterBreak="0">
    <w:nsid w:val="361D43C2"/>
    <w:multiLevelType w:val="multilevel"/>
    <w:tmpl w:val="35600E4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6355871"/>
    <w:multiLevelType w:val="multilevel"/>
    <w:tmpl w:val="4CFA9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91F0D1D"/>
    <w:multiLevelType w:val="multilevel"/>
    <w:tmpl w:val="6242D4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7" w15:restartNumberingAfterBreak="0">
    <w:nsid w:val="3DB50AC8"/>
    <w:multiLevelType w:val="multilevel"/>
    <w:tmpl w:val="977A9D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1452664"/>
    <w:multiLevelType w:val="hybridMultilevel"/>
    <w:tmpl w:val="0F44FD98"/>
    <w:lvl w:ilvl="0" w:tplc="7954106C">
      <w:start w:val="2"/>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9" w15:restartNumberingAfterBreak="0">
    <w:nsid w:val="4683420C"/>
    <w:multiLevelType w:val="multilevel"/>
    <w:tmpl w:val="F5D6DC9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6CC3311"/>
    <w:multiLevelType w:val="multilevel"/>
    <w:tmpl w:val="011269C4"/>
    <w:lvl w:ilvl="0">
      <w:start w:val="3"/>
      <w:numFmt w:val="decimal"/>
      <w:lvlText w:val="%1."/>
      <w:lvlJc w:val="left"/>
      <w:pPr>
        <w:tabs>
          <w:tab w:val="num" w:pos="720"/>
        </w:tabs>
        <w:ind w:left="720" w:hanging="360"/>
      </w:pPr>
    </w:lvl>
    <w:lvl w:ilvl="1">
      <w:start w:val="3"/>
      <w:numFmt w:val="decimal"/>
      <w:lvlText w:val="(%2)"/>
      <w:lvlJc w:val="left"/>
      <w:pPr>
        <w:ind w:left="1440" w:hanging="360"/>
      </w:pPr>
      <w:rPr>
        <w:rFonts w:eastAsiaTheme="majorEastAsia"/>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B096C4B"/>
    <w:multiLevelType w:val="hybridMultilevel"/>
    <w:tmpl w:val="634253FE"/>
    <w:lvl w:ilvl="0" w:tplc="FFFFFFFF">
      <w:start w:val="1"/>
      <w:numFmt w:val="decimal"/>
      <w:lvlText w:val="%1."/>
      <w:lvlJc w:val="left"/>
      <w:pPr>
        <w:ind w:left="1065" w:hanging="705"/>
      </w:pPr>
      <w:rPr>
        <w:b w:val="0"/>
        <w:b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3" w15:restartNumberingAfterBreak="0">
    <w:nsid w:val="52CA5C1C"/>
    <w:multiLevelType w:val="multilevel"/>
    <w:tmpl w:val="C95EB4F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4340341"/>
    <w:multiLevelType w:val="multilevel"/>
    <w:tmpl w:val="2BD85F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5C41588"/>
    <w:multiLevelType w:val="multilevel"/>
    <w:tmpl w:val="8F424D9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86C6877"/>
    <w:multiLevelType w:val="multilevel"/>
    <w:tmpl w:val="68E69AB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58BB4908"/>
    <w:multiLevelType w:val="multilevel"/>
    <w:tmpl w:val="E74296D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9FB4A11"/>
    <w:multiLevelType w:val="multilevel"/>
    <w:tmpl w:val="66A6614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B8660A4"/>
    <w:multiLevelType w:val="multilevel"/>
    <w:tmpl w:val="6C1A7B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EF74C24"/>
    <w:multiLevelType w:val="multilevel"/>
    <w:tmpl w:val="5EF74C24"/>
    <w:name w:val="Numbered list 18"/>
    <w:lvl w:ilvl="0">
      <w:start w:val="1"/>
      <w:numFmt w:val="decimal"/>
      <w:pStyle w:val="Odsek"/>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41" w15:restartNumberingAfterBreak="0">
    <w:nsid w:val="66C30820"/>
    <w:multiLevelType w:val="hybridMultilevel"/>
    <w:tmpl w:val="BD32C528"/>
    <w:lvl w:ilvl="0" w:tplc="AB00B26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2" w15:restartNumberingAfterBreak="0">
    <w:nsid w:val="693A264D"/>
    <w:multiLevelType w:val="hybridMultilevel"/>
    <w:tmpl w:val="232CAC1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69CD18CE"/>
    <w:multiLevelType w:val="multilevel"/>
    <w:tmpl w:val="743CAD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2B269F1"/>
    <w:multiLevelType w:val="multilevel"/>
    <w:tmpl w:val="3D30AA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3A37B07"/>
    <w:multiLevelType w:val="hybridMultilevel"/>
    <w:tmpl w:val="34B2EE8C"/>
    <w:lvl w:ilvl="0" w:tplc="AB00B26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6" w15:restartNumberingAfterBreak="0">
    <w:nsid w:val="76DF0B54"/>
    <w:multiLevelType w:val="multilevel"/>
    <w:tmpl w:val="68E69AB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7A12AF0"/>
    <w:multiLevelType w:val="multilevel"/>
    <w:tmpl w:val="FC5AD6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7E8492C"/>
    <w:multiLevelType w:val="multilevel"/>
    <w:tmpl w:val="A53C98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F4B2D5F"/>
    <w:multiLevelType w:val="multilevel"/>
    <w:tmpl w:val="B8062DC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6"/>
  </w:num>
  <w:num w:numId="10">
    <w:abstractNumId w:val="1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30021"/>
    <w:rsid w:val="00077835"/>
    <w:rsid w:val="00084FCB"/>
    <w:rsid w:val="00097DA5"/>
    <w:rsid w:val="000B37A4"/>
    <w:rsid w:val="000B3FE6"/>
    <w:rsid w:val="001C79E7"/>
    <w:rsid w:val="00366636"/>
    <w:rsid w:val="00367DE6"/>
    <w:rsid w:val="003B3E19"/>
    <w:rsid w:val="004076C6"/>
    <w:rsid w:val="0041437B"/>
    <w:rsid w:val="00457A58"/>
    <w:rsid w:val="004B7F76"/>
    <w:rsid w:val="004E1BCE"/>
    <w:rsid w:val="0057353E"/>
    <w:rsid w:val="00592079"/>
    <w:rsid w:val="00594080"/>
    <w:rsid w:val="00674FD5"/>
    <w:rsid w:val="00682FFE"/>
    <w:rsid w:val="00684751"/>
    <w:rsid w:val="006910FE"/>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BC534D"/>
    <w:rsid w:val="00C0216A"/>
    <w:rsid w:val="00CD6077"/>
    <w:rsid w:val="00CE234E"/>
    <w:rsid w:val="00D02973"/>
    <w:rsid w:val="00DA09BE"/>
    <w:rsid w:val="00E83A83"/>
    <w:rsid w:val="00F502C5"/>
    <w:rsid w:val="00FB00DD"/>
    <w:rsid w:val="00FE26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077835"/>
    <w:pPr>
      <w:keepNext/>
      <w:spacing w:before="240" w:after="60" w:line="256" w:lineRule="auto"/>
      <w:outlineLvl w:val="0"/>
    </w:pPr>
    <w:rPr>
      <w:rFonts w:asciiTheme="minorHAnsi" w:eastAsiaTheme="minorHAnsi" w:hAnsiTheme="minorHAnsi" w:cstheme="minorBidi"/>
      <w:b/>
      <w:kern w:val="32"/>
      <w:sz w:val="28"/>
      <w:szCs w:val="32"/>
      <w:lang w:eastAsia="sl-SI"/>
      <w14:ligatures w14:val="standardContextual"/>
    </w:rPr>
  </w:style>
  <w:style w:type="paragraph" w:styleId="Naslov2">
    <w:name w:val="heading 2"/>
    <w:basedOn w:val="Navaden"/>
    <w:next w:val="Navaden"/>
    <w:link w:val="Naslov2Znak"/>
    <w:semiHidden/>
    <w:unhideWhenUsed/>
    <w:qFormat/>
    <w:rsid w:val="00077835"/>
    <w:pPr>
      <w:keepNext/>
      <w:keepLines/>
      <w:spacing w:before="40" w:line="264" w:lineRule="atLeast"/>
      <w:jc w:val="both"/>
      <w:outlineLvl w:val="1"/>
    </w:pPr>
    <w:rPr>
      <w:rFonts w:ascii="Calibri Light" w:hAnsi="Calibri Light"/>
      <w:color w:val="2F5496"/>
      <w:sz w:val="26"/>
      <w:szCs w:val="26"/>
    </w:rPr>
  </w:style>
  <w:style w:type="paragraph" w:styleId="Naslov4">
    <w:name w:val="heading 4"/>
    <w:basedOn w:val="Navaden"/>
    <w:link w:val="Naslov4Znak"/>
    <w:uiPriority w:val="9"/>
    <w:semiHidden/>
    <w:unhideWhenUsed/>
    <w:qFormat/>
    <w:rsid w:val="00077835"/>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semiHidden/>
    <w:unhideWhenUsed/>
    <w:qFormat/>
    <w:rsid w:val="00077835"/>
    <w:pPr>
      <w:keepNext/>
      <w:keepLines/>
      <w:spacing w:before="80" w:after="40" w:line="264" w:lineRule="atLeast"/>
      <w:jc w:val="both"/>
      <w:outlineLvl w:val="4"/>
    </w:pPr>
    <w:rPr>
      <w:rFonts w:eastAsia="Yu Gothic Light" w:cs="Arial"/>
      <w:color w:val="2F5496"/>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uiPriority w:val="99"/>
    <w:qFormat/>
    <w:rsid w:val="009C657E"/>
    <w:pPr>
      <w:tabs>
        <w:tab w:val="left" w:pos="3402"/>
      </w:tabs>
    </w:pPr>
    <w:rPr>
      <w:lang w:val="it-IT"/>
    </w:rPr>
  </w:style>
  <w:style w:type="character" w:customStyle="1" w:styleId="Naslov1Znak">
    <w:name w:val="Naslov 1 Znak"/>
    <w:aliases w:val="NASLOV Znak"/>
    <w:basedOn w:val="Privzetapisavaodstavka"/>
    <w:link w:val="Naslov1"/>
    <w:rsid w:val="00077835"/>
    <w:rPr>
      <w:b/>
      <w:kern w:val="32"/>
      <w:sz w:val="28"/>
      <w:szCs w:val="32"/>
      <w:lang w:eastAsia="sl-SI"/>
      <w14:ligatures w14:val="standardContextual"/>
    </w:rPr>
  </w:style>
  <w:style w:type="character" w:customStyle="1" w:styleId="Naslov2Znak">
    <w:name w:val="Naslov 2 Znak"/>
    <w:basedOn w:val="Privzetapisavaodstavka"/>
    <w:link w:val="Naslov2"/>
    <w:semiHidden/>
    <w:rsid w:val="00077835"/>
    <w:rPr>
      <w:rFonts w:ascii="Calibri Light" w:eastAsia="Times New Roman" w:hAnsi="Calibri Light" w:cs="Times New Roman"/>
      <w:color w:val="2F5496"/>
      <w:sz w:val="26"/>
      <w:szCs w:val="26"/>
    </w:rPr>
  </w:style>
  <w:style w:type="character" w:customStyle="1" w:styleId="Naslov4Znak">
    <w:name w:val="Naslov 4 Znak"/>
    <w:basedOn w:val="Privzetapisavaodstavka"/>
    <w:link w:val="Naslov4"/>
    <w:uiPriority w:val="9"/>
    <w:semiHidden/>
    <w:rsid w:val="00077835"/>
    <w:rPr>
      <w:rFonts w:ascii="Times New Roman" w:eastAsia="Times New Roman" w:hAnsi="Times New Roman" w:cs="Times New Roman"/>
      <w:b/>
      <w:bCs/>
      <w:sz w:val="24"/>
      <w:szCs w:val="24"/>
      <w:lang w:eastAsia="sl-SI"/>
    </w:rPr>
  </w:style>
  <w:style w:type="character" w:customStyle="1" w:styleId="Naslov5Znak">
    <w:name w:val="Naslov 5 Znak"/>
    <w:basedOn w:val="Privzetapisavaodstavka"/>
    <w:link w:val="Naslov5"/>
    <w:uiPriority w:val="9"/>
    <w:semiHidden/>
    <w:rsid w:val="00077835"/>
    <w:rPr>
      <w:rFonts w:ascii="Arial" w:eastAsia="Yu Gothic Light" w:hAnsi="Arial" w:cs="Arial"/>
      <w:color w:val="2F5496"/>
      <w:szCs w:val="24"/>
    </w:rPr>
  </w:style>
  <w:style w:type="character" w:styleId="Hiperpovezava">
    <w:name w:val="Hyperlink"/>
    <w:uiPriority w:val="99"/>
    <w:semiHidden/>
    <w:unhideWhenUsed/>
    <w:rsid w:val="00077835"/>
    <w:rPr>
      <w:color w:val="0000FF"/>
      <w:u w:val="single"/>
    </w:rPr>
  </w:style>
  <w:style w:type="character" w:styleId="SledenaHiperpovezava">
    <w:name w:val="FollowedHyperlink"/>
    <w:basedOn w:val="Privzetapisavaodstavka"/>
    <w:uiPriority w:val="99"/>
    <w:semiHidden/>
    <w:unhideWhenUsed/>
    <w:rsid w:val="00077835"/>
    <w:rPr>
      <w:color w:val="954F72" w:themeColor="followedHyperlink"/>
      <w:u w:val="single"/>
    </w:rPr>
  </w:style>
  <w:style w:type="character" w:customStyle="1" w:styleId="Naslov1Znak1">
    <w:name w:val="Naslov 1 Znak1"/>
    <w:aliases w:val="NASLOV Znak1"/>
    <w:basedOn w:val="Privzetapisavaodstavka"/>
    <w:rsid w:val="00077835"/>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TML-oblikovano">
    <w:name w:val="HTML Preformatted"/>
    <w:basedOn w:val="Navaden"/>
    <w:link w:val="HTML-oblikovanoZnak"/>
    <w:semiHidden/>
    <w:unhideWhenUsed/>
    <w:rsid w:val="00077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nsolas" w:hAnsi="Consolas"/>
      <w:szCs w:val="20"/>
    </w:rPr>
  </w:style>
  <w:style w:type="character" w:customStyle="1" w:styleId="HTML-oblikovanoZnak">
    <w:name w:val="HTML-oblikovano Znak"/>
    <w:basedOn w:val="Privzetapisavaodstavka"/>
    <w:link w:val="HTML-oblikovano"/>
    <w:semiHidden/>
    <w:rsid w:val="00077835"/>
    <w:rPr>
      <w:rFonts w:ascii="Consolas" w:eastAsia="Times New Roman" w:hAnsi="Consolas" w:cs="Times New Roman"/>
      <w:sz w:val="20"/>
      <w:szCs w:val="20"/>
    </w:rPr>
  </w:style>
  <w:style w:type="paragraph" w:styleId="Navadensplet">
    <w:name w:val="Normal (Web)"/>
    <w:basedOn w:val="Navaden"/>
    <w:uiPriority w:val="99"/>
    <w:semiHidden/>
    <w:unhideWhenUsed/>
    <w:rsid w:val="00077835"/>
    <w:pPr>
      <w:spacing w:before="100" w:beforeAutospacing="1" w:after="100" w:afterAutospacing="1" w:line="240" w:lineRule="auto"/>
    </w:pPr>
    <w:rPr>
      <w:rFonts w:ascii="Times New Roman" w:hAnsi="Times New Roman"/>
      <w:sz w:val="24"/>
      <w:lang w:eastAsia="sl-SI"/>
    </w:rPr>
  </w:style>
  <w:style w:type="character" w:customStyle="1" w:styleId="Sprotnaopomba-besediloZnak">
    <w:name w:val="Sprotna opomba - besedilo Znak"/>
    <w:aliases w:val="Fußnote Znak,Footnote Znak"/>
    <w:basedOn w:val="Privzetapisavaodstavka"/>
    <w:link w:val="Sprotnaopomba-besedilo"/>
    <w:semiHidden/>
    <w:locked/>
    <w:rsid w:val="00077835"/>
    <w:rPr>
      <w:kern w:val="2"/>
      <w14:ligatures w14:val="standardContextual"/>
    </w:rPr>
  </w:style>
  <w:style w:type="paragraph" w:styleId="Sprotnaopomba-besedilo">
    <w:name w:val="footnote text"/>
    <w:aliases w:val="Fußnote,Footnote"/>
    <w:basedOn w:val="Navaden"/>
    <w:link w:val="Sprotnaopomba-besediloZnak"/>
    <w:semiHidden/>
    <w:unhideWhenUsed/>
    <w:qFormat/>
    <w:rsid w:val="00077835"/>
    <w:pPr>
      <w:spacing w:line="240" w:lineRule="auto"/>
    </w:pPr>
    <w:rPr>
      <w:rFonts w:asciiTheme="minorHAnsi" w:eastAsiaTheme="minorHAnsi" w:hAnsiTheme="minorHAnsi" w:cstheme="minorBidi"/>
      <w:kern w:val="2"/>
      <w:sz w:val="22"/>
      <w:szCs w:val="22"/>
      <w14:ligatures w14:val="standardContextual"/>
    </w:rPr>
  </w:style>
  <w:style w:type="character" w:customStyle="1" w:styleId="Sprotnaopomba-besediloZnak1">
    <w:name w:val="Sprotna opomba - besedilo Znak1"/>
    <w:aliases w:val="Fußnote Znak1,Footnote Znak1"/>
    <w:basedOn w:val="Privzetapisavaodstavka"/>
    <w:semiHidden/>
    <w:rsid w:val="00077835"/>
    <w:rPr>
      <w:rFonts w:ascii="Arial" w:eastAsia="Times New Roman" w:hAnsi="Arial" w:cs="Times New Roman"/>
      <w:sz w:val="20"/>
      <w:szCs w:val="20"/>
    </w:rPr>
  </w:style>
  <w:style w:type="paragraph" w:styleId="Pripombabesedilo">
    <w:name w:val="annotation text"/>
    <w:basedOn w:val="Navaden"/>
    <w:link w:val="PripombabesediloZnak"/>
    <w:uiPriority w:val="99"/>
    <w:semiHidden/>
    <w:unhideWhenUsed/>
    <w:rsid w:val="00077835"/>
    <w:pPr>
      <w:spacing w:after="160" w:line="240" w:lineRule="auto"/>
    </w:pPr>
    <w:rPr>
      <w:rFonts w:asciiTheme="minorHAnsi" w:eastAsiaTheme="minorHAnsi" w:hAnsiTheme="minorHAnsi" w:cstheme="minorBidi"/>
      <w:kern w:val="2"/>
      <w:szCs w:val="20"/>
      <w14:ligatures w14:val="standardContextual"/>
    </w:rPr>
  </w:style>
  <w:style w:type="character" w:customStyle="1" w:styleId="PripombabesediloZnak">
    <w:name w:val="Pripomba – besedilo Znak"/>
    <w:basedOn w:val="Privzetapisavaodstavka"/>
    <w:link w:val="Pripombabesedilo"/>
    <w:uiPriority w:val="99"/>
    <w:semiHidden/>
    <w:rsid w:val="00077835"/>
    <w:rPr>
      <w:kern w:val="2"/>
      <w:sz w:val="20"/>
      <w:szCs w:val="20"/>
      <w14:ligatures w14:val="standardContextual"/>
    </w:rPr>
  </w:style>
  <w:style w:type="paragraph" w:styleId="Zgradbadokumenta">
    <w:name w:val="Document Map"/>
    <w:basedOn w:val="Navaden"/>
    <w:link w:val="ZgradbadokumentaZnak"/>
    <w:uiPriority w:val="99"/>
    <w:semiHidden/>
    <w:unhideWhenUsed/>
    <w:rsid w:val="00077835"/>
    <w:pPr>
      <w:spacing w:after="160" w:line="256" w:lineRule="auto"/>
    </w:pPr>
    <w:rPr>
      <w:rFonts w:ascii="Tahoma" w:eastAsiaTheme="minorHAnsi" w:hAnsi="Tahoma" w:cs="Tahoma"/>
      <w:kern w:val="2"/>
      <w:sz w:val="16"/>
      <w:szCs w:val="16"/>
      <w14:ligatures w14:val="standardContextual"/>
    </w:rPr>
  </w:style>
  <w:style w:type="character" w:customStyle="1" w:styleId="ZgradbadokumentaZnak">
    <w:name w:val="Zgradba dokumenta Znak"/>
    <w:basedOn w:val="Privzetapisavaodstavka"/>
    <w:link w:val="Zgradbadokumenta"/>
    <w:uiPriority w:val="99"/>
    <w:semiHidden/>
    <w:rsid w:val="00077835"/>
    <w:rPr>
      <w:rFonts w:ascii="Tahoma" w:hAnsi="Tahoma" w:cs="Tahoma"/>
      <w:kern w:val="2"/>
      <w:sz w:val="16"/>
      <w:szCs w:val="16"/>
      <w14:ligatures w14:val="standardContextual"/>
    </w:rPr>
  </w:style>
  <w:style w:type="paragraph" w:styleId="Golobesedilo">
    <w:name w:val="Plain Text"/>
    <w:basedOn w:val="Navaden"/>
    <w:link w:val="GolobesediloZnak"/>
    <w:uiPriority w:val="99"/>
    <w:semiHidden/>
    <w:unhideWhenUsed/>
    <w:rsid w:val="00077835"/>
    <w:pPr>
      <w:spacing w:line="240" w:lineRule="auto"/>
    </w:pPr>
    <w:rPr>
      <w:rFonts w:ascii="Calibri" w:hAnsi="Calibri"/>
      <w:kern w:val="2"/>
      <w:sz w:val="22"/>
      <w:szCs w:val="21"/>
    </w:rPr>
  </w:style>
  <w:style w:type="character" w:customStyle="1" w:styleId="GolobesediloZnak">
    <w:name w:val="Golo besedilo Znak"/>
    <w:basedOn w:val="Privzetapisavaodstavka"/>
    <w:link w:val="Golobesedilo"/>
    <w:uiPriority w:val="99"/>
    <w:semiHidden/>
    <w:rsid w:val="00077835"/>
    <w:rPr>
      <w:rFonts w:ascii="Calibri" w:eastAsia="Times New Roman" w:hAnsi="Calibri" w:cs="Times New Roman"/>
      <w:kern w:val="2"/>
      <w:szCs w:val="21"/>
    </w:rPr>
  </w:style>
  <w:style w:type="paragraph" w:styleId="Zadevapripombe">
    <w:name w:val="annotation subject"/>
    <w:basedOn w:val="Pripombabesedilo"/>
    <w:next w:val="Pripombabesedilo"/>
    <w:link w:val="ZadevapripombeZnak"/>
    <w:uiPriority w:val="99"/>
    <w:semiHidden/>
    <w:unhideWhenUsed/>
    <w:rsid w:val="00077835"/>
    <w:rPr>
      <w:b/>
      <w:bCs/>
    </w:rPr>
  </w:style>
  <w:style w:type="character" w:customStyle="1" w:styleId="ZadevapripombeZnak">
    <w:name w:val="Zadeva pripombe Znak"/>
    <w:basedOn w:val="PripombabesediloZnak"/>
    <w:link w:val="Zadevapripombe"/>
    <w:uiPriority w:val="99"/>
    <w:semiHidden/>
    <w:rsid w:val="00077835"/>
    <w:rPr>
      <w:b/>
      <w:bCs/>
      <w:kern w:val="2"/>
      <w:sz w:val="20"/>
      <w:szCs w:val="20"/>
      <w14:ligatures w14:val="standardContextual"/>
    </w:rPr>
  </w:style>
  <w:style w:type="paragraph" w:styleId="Besedilooblaka">
    <w:name w:val="Balloon Text"/>
    <w:basedOn w:val="Navaden"/>
    <w:link w:val="BesedilooblakaZnak"/>
    <w:uiPriority w:val="99"/>
    <w:semiHidden/>
    <w:unhideWhenUsed/>
    <w:rsid w:val="00077835"/>
    <w:pPr>
      <w:spacing w:line="264" w:lineRule="atLeast"/>
      <w:jc w:val="both"/>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77835"/>
    <w:rPr>
      <w:rFonts w:ascii="Tahoma" w:eastAsia="Times New Roman" w:hAnsi="Tahoma" w:cs="Tahoma"/>
      <w:sz w:val="16"/>
      <w:szCs w:val="16"/>
    </w:rPr>
  </w:style>
  <w:style w:type="paragraph" w:styleId="Revizija">
    <w:name w:val="Revision"/>
    <w:uiPriority w:val="99"/>
    <w:semiHidden/>
    <w:rsid w:val="00077835"/>
    <w:pPr>
      <w:spacing w:after="0" w:line="240" w:lineRule="auto"/>
    </w:pPr>
    <w:rPr>
      <w:kern w:val="2"/>
      <w14:ligatures w14:val="standardContextual"/>
    </w:rPr>
  </w:style>
  <w:style w:type="character" w:customStyle="1" w:styleId="OdstavekseznamaZnak">
    <w:name w:val="Odstavek seznama Znak"/>
    <w:aliases w:val="Naslov2a Znak,Tabela - prazna vrstica Znak,naslov 1 Znak,za tekst Znak,Odstavek seznama_IP Znak,Graf Znak,Alineje Znak,List Paragraph compact Znak,Normal bullet 2 Znak,Paragraphe de liste 2 Znak,Reference list Znak,Bullet list Znak"/>
    <w:link w:val="Odstavekseznama"/>
    <w:uiPriority w:val="34"/>
    <w:qFormat/>
    <w:locked/>
    <w:rsid w:val="00077835"/>
    <w:rPr>
      <w:kern w:val="2"/>
      <w14:ligatures w14:val="standardContextual"/>
    </w:rPr>
  </w:style>
  <w:style w:type="paragraph" w:styleId="Odstavekseznama">
    <w:name w:val="List Paragraph"/>
    <w:aliases w:val="Naslov2a,Tabela - prazna vrstica,naslov 1,za tekst,Odstavek seznama_IP,Graf,Alineje,List Paragraph compact,Normal bullet 2,Paragraphe de liste 2,Reference list,Bullet list,Numbered List,List Paragraph1,1st level - Bullet List Paragraph"/>
    <w:basedOn w:val="Navaden"/>
    <w:link w:val="OdstavekseznamaZnak"/>
    <w:uiPriority w:val="34"/>
    <w:qFormat/>
    <w:rsid w:val="00077835"/>
    <w:pPr>
      <w:spacing w:after="160" w:line="256"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ZADEVA">
    <w:name w:val="ZADEVA"/>
    <w:basedOn w:val="Navaden"/>
    <w:uiPriority w:val="99"/>
    <w:qFormat/>
    <w:rsid w:val="00077835"/>
    <w:pPr>
      <w:tabs>
        <w:tab w:val="left" w:pos="1701"/>
      </w:tabs>
      <w:spacing w:after="160" w:line="256" w:lineRule="auto"/>
      <w:ind w:left="1701" w:hanging="1701"/>
    </w:pPr>
    <w:rPr>
      <w:rFonts w:asciiTheme="minorHAnsi" w:eastAsiaTheme="minorHAnsi" w:hAnsiTheme="minorHAnsi" w:cstheme="minorBidi"/>
      <w:b/>
      <w:kern w:val="2"/>
      <w:sz w:val="22"/>
      <w:szCs w:val="22"/>
      <w:lang w:val="it-IT"/>
      <w14:ligatures w14:val="standardContextual"/>
    </w:rPr>
  </w:style>
  <w:style w:type="paragraph" w:customStyle="1" w:styleId="alineazaodstavkom">
    <w:name w:val="alinea_za_odstavkom"/>
    <w:basedOn w:val="Navaden"/>
    <w:uiPriority w:val="99"/>
    <w:rsid w:val="00077835"/>
    <w:pPr>
      <w:spacing w:line="240" w:lineRule="auto"/>
      <w:ind w:hanging="425"/>
      <w:jc w:val="both"/>
    </w:pPr>
    <w:rPr>
      <w:rFonts w:ascii="Times New Roman" w:hAnsi="Times New Roman"/>
      <w:sz w:val="24"/>
      <w:lang w:val="en-US"/>
    </w:rPr>
  </w:style>
  <w:style w:type="paragraph" w:customStyle="1" w:styleId="Odsek">
    <w:name w:val="Odsek"/>
    <w:basedOn w:val="Navaden"/>
    <w:uiPriority w:val="99"/>
    <w:rsid w:val="00077835"/>
    <w:pPr>
      <w:numPr>
        <w:numId w:val="1"/>
      </w:numPr>
      <w:tabs>
        <w:tab w:val="left" w:pos="720"/>
      </w:tabs>
      <w:suppressAutoHyphens/>
      <w:spacing w:before="280" w:after="60" w:line="200" w:lineRule="exact"/>
      <w:jc w:val="center"/>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077835"/>
    <w:rPr>
      <w:rFonts w:ascii="Arial" w:hAnsi="Arial"/>
    </w:rPr>
  </w:style>
  <w:style w:type="paragraph" w:customStyle="1" w:styleId="rkovnatokazaodstavkom">
    <w:name w:val="Črkovna točka_za odstavkom"/>
    <w:basedOn w:val="Navaden"/>
    <w:link w:val="rkovnatokazaodstavkomZnak"/>
    <w:uiPriority w:val="99"/>
    <w:qFormat/>
    <w:rsid w:val="00077835"/>
    <w:pPr>
      <w:numPr>
        <w:numId w:val="2"/>
      </w:numPr>
      <w:overflowPunct w:val="0"/>
      <w:autoSpaceDE w:val="0"/>
      <w:autoSpaceDN w:val="0"/>
      <w:adjustRightInd w:val="0"/>
      <w:spacing w:line="200" w:lineRule="exact"/>
      <w:jc w:val="both"/>
    </w:pPr>
    <w:rPr>
      <w:rFonts w:eastAsiaTheme="minorHAnsi" w:cstheme="minorBidi"/>
      <w:sz w:val="22"/>
      <w:szCs w:val="22"/>
    </w:rPr>
  </w:style>
  <w:style w:type="paragraph" w:customStyle="1" w:styleId="Oddelek">
    <w:name w:val="Oddelek"/>
    <w:basedOn w:val="Navaden"/>
    <w:uiPriority w:val="99"/>
    <w:qFormat/>
    <w:rsid w:val="00077835"/>
    <w:pPr>
      <w:numPr>
        <w:numId w:val="3"/>
      </w:numPr>
      <w:suppressAutoHyphens/>
      <w:overflowPunct w:val="0"/>
      <w:autoSpaceDE w:val="0"/>
      <w:autoSpaceDN w:val="0"/>
      <w:adjustRightInd w:val="0"/>
      <w:spacing w:before="280" w:after="60" w:line="200" w:lineRule="exact"/>
      <w:jc w:val="center"/>
      <w:outlineLvl w:val="3"/>
    </w:pPr>
    <w:rPr>
      <w:b/>
      <w:sz w:val="22"/>
      <w:szCs w:val="22"/>
      <w:lang w:eastAsia="sl-SI"/>
    </w:rPr>
  </w:style>
  <w:style w:type="character" w:customStyle="1" w:styleId="NeotevilenodstavekZnak">
    <w:name w:val="Neoštevilčen odstavek Znak"/>
    <w:link w:val="Neotevilenodstavek"/>
    <w:uiPriority w:val="99"/>
    <w:locked/>
    <w:rsid w:val="00077835"/>
    <w:rPr>
      <w:rFonts w:ascii="Arial" w:hAnsi="Arial" w:cs="Arial"/>
    </w:rPr>
  </w:style>
  <w:style w:type="paragraph" w:customStyle="1" w:styleId="Neotevilenodstavek">
    <w:name w:val="Neoštevilčen odstavek"/>
    <w:basedOn w:val="Navaden"/>
    <w:link w:val="NeotevilenodstavekZnak"/>
    <w:uiPriority w:val="99"/>
    <w:qFormat/>
    <w:rsid w:val="00077835"/>
    <w:pPr>
      <w:overflowPunct w:val="0"/>
      <w:autoSpaceDE w:val="0"/>
      <w:autoSpaceDN w:val="0"/>
      <w:adjustRightInd w:val="0"/>
      <w:spacing w:before="60" w:after="60" w:line="200" w:lineRule="exact"/>
      <w:jc w:val="both"/>
    </w:pPr>
    <w:rPr>
      <w:rFonts w:eastAsiaTheme="minorHAnsi" w:cs="Arial"/>
      <w:sz w:val="22"/>
      <w:szCs w:val="22"/>
    </w:rPr>
  </w:style>
  <w:style w:type="character" w:customStyle="1" w:styleId="OdstavekZnak">
    <w:name w:val="Odstavek Znak"/>
    <w:link w:val="Odstavek"/>
    <w:locked/>
    <w:rsid w:val="00077835"/>
    <w:rPr>
      <w:rFonts w:ascii="Arial" w:hAnsi="Arial" w:cs="Arial"/>
    </w:rPr>
  </w:style>
  <w:style w:type="paragraph" w:customStyle="1" w:styleId="Odstavek">
    <w:name w:val="Odstavek"/>
    <w:basedOn w:val="Navaden"/>
    <w:link w:val="OdstavekZnak"/>
    <w:qFormat/>
    <w:rsid w:val="00077835"/>
    <w:pPr>
      <w:overflowPunct w:val="0"/>
      <w:autoSpaceDE w:val="0"/>
      <w:autoSpaceDN w:val="0"/>
      <w:adjustRightInd w:val="0"/>
      <w:spacing w:before="240" w:after="120" w:line="240" w:lineRule="auto"/>
      <w:ind w:firstLine="1021"/>
      <w:jc w:val="both"/>
    </w:pPr>
    <w:rPr>
      <w:rFonts w:eastAsiaTheme="minorHAnsi" w:cs="Arial"/>
      <w:sz w:val="22"/>
      <w:szCs w:val="22"/>
    </w:rPr>
  </w:style>
  <w:style w:type="paragraph" w:customStyle="1" w:styleId="oj-normal">
    <w:name w:val="oj-normal"/>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ti-art">
    <w:name w:val="ti-art"/>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yellow-bg">
    <w:name w:val="yellow-bg"/>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box-text1">
    <w:name w:val="box-text1"/>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ti-section-1">
    <w:name w:val="ti-section-1"/>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ti-section-2">
    <w:name w:val="ti-section-2"/>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mrppsi">
    <w:name w:val="mrppsi"/>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avtorkomentarja">
    <w:name w:val="avtorkomentarja"/>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tekst9965">
    <w:name w:val="tekst9965"/>
    <w:basedOn w:val="Navaden"/>
    <w:uiPriority w:val="99"/>
    <w:rsid w:val="00077835"/>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uiPriority w:val="99"/>
    <w:qFormat/>
    <w:rsid w:val="00077835"/>
    <w:pPr>
      <w:widowControl w:val="0"/>
      <w:numPr>
        <w:ilvl w:val="2"/>
        <w:numId w:val="4"/>
      </w:numPr>
      <w:overflowPunct w:val="0"/>
      <w:autoSpaceDE w:val="0"/>
      <w:autoSpaceDN w:val="0"/>
      <w:adjustRightInd w:val="0"/>
      <w:spacing w:line="240" w:lineRule="auto"/>
      <w:jc w:val="both"/>
    </w:pPr>
    <w:rPr>
      <w:sz w:val="22"/>
      <w:szCs w:val="16"/>
      <w:lang w:eastAsia="sl-SI"/>
    </w:rPr>
  </w:style>
  <w:style w:type="character" w:customStyle="1" w:styleId="tevilnatokaZnak">
    <w:name w:val="Številčna točka Znak"/>
    <w:link w:val="tevilnatoka"/>
    <w:uiPriority w:val="99"/>
    <w:locked/>
    <w:rsid w:val="00077835"/>
    <w:rPr>
      <w:rFonts w:ascii="Arial" w:hAnsi="Arial"/>
      <w:lang w:val="x-none"/>
    </w:rPr>
  </w:style>
  <w:style w:type="paragraph" w:customStyle="1" w:styleId="tevilnatoka">
    <w:name w:val="Številčna točka"/>
    <w:basedOn w:val="Navaden"/>
    <w:link w:val="tevilnatokaZnak"/>
    <w:uiPriority w:val="99"/>
    <w:qFormat/>
    <w:rsid w:val="00077835"/>
    <w:pPr>
      <w:numPr>
        <w:numId w:val="4"/>
      </w:numPr>
      <w:spacing w:line="240" w:lineRule="auto"/>
      <w:jc w:val="both"/>
    </w:pPr>
    <w:rPr>
      <w:rFonts w:eastAsiaTheme="minorHAnsi" w:cstheme="minorBidi"/>
      <w:sz w:val="22"/>
      <w:szCs w:val="22"/>
      <w:lang w:val="x-none"/>
    </w:rPr>
  </w:style>
  <w:style w:type="character" w:customStyle="1" w:styleId="tevilnatoka11NovaZnak">
    <w:name w:val="Številčna točka 1.1 Nova Znak"/>
    <w:link w:val="tevilnatoka11Nova"/>
    <w:uiPriority w:val="99"/>
    <w:locked/>
    <w:rsid w:val="00077835"/>
    <w:rPr>
      <w:rFonts w:ascii="Arial" w:hAnsi="Arial"/>
      <w:lang w:val="x-none"/>
    </w:rPr>
  </w:style>
  <w:style w:type="paragraph" w:customStyle="1" w:styleId="tevilnatoka11Nova">
    <w:name w:val="Številčna točka 1.1 Nova"/>
    <w:basedOn w:val="tevilnatoka"/>
    <w:link w:val="tevilnatoka11NovaZnak"/>
    <w:uiPriority w:val="99"/>
    <w:qFormat/>
    <w:rsid w:val="00077835"/>
    <w:pPr>
      <w:numPr>
        <w:ilvl w:val="1"/>
      </w:numPr>
      <w:tabs>
        <w:tab w:val="num" w:pos="360"/>
      </w:tabs>
    </w:pPr>
  </w:style>
  <w:style w:type="paragraph" w:customStyle="1" w:styleId="norm">
    <w:name w:val="norm"/>
    <w:basedOn w:val="Navaden"/>
    <w:uiPriority w:val="99"/>
    <w:rsid w:val="00077835"/>
    <w:pPr>
      <w:spacing w:before="100" w:beforeAutospacing="1" w:after="100" w:afterAutospacing="1" w:line="240" w:lineRule="auto"/>
      <w:jc w:val="both"/>
    </w:pPr>
    <w:rPr>
      <w:rFonts w:ascii="Times New Roman" w:hAnsi="Times New Roman"/>
      <w:sz w:val="24"/>
      <w:lang w:eastAsia="sl-SI"/>
    </w:rPr>
  </w:style>
  <w:style w:type="paragraph" w:customStyle="1" w:styleId="paragraph">
    <w:name w:val="paragraph"/>
    <w:basedOn w:val="Navaden"/>
    <w:uiPriority w:val="99"/>
    <w:rsid w:val="0007783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s refss,callout"/>
    <w:basedOn w:val="Privzetapisavaodstavka"/>
    <w:semiHidden/>
    <w:unhideWhenUsed/>
    <w:rsid w:val="00077835"/>
    <w:rPr>
      <w:vertAlign w:val="superscript"/>
    </w:rPr>
  </w:style>
  <w:style w:type="character" w:styleId="Pripombasklic">
    <w:name w:val="annotation reference"/>
    <w:basedOn w:val="Privzetapisavaodstavka"/>
    <w:semiHidden/>
    <w:unhideWhenUsed/>
    <w:rsid w:val="00077835"/>
    <w:rPr>
      <w:sz w:val="16"/>
      <w:szCs w:val="16"/>
    </w:rPr>
  </w:style>
  <w:style w:type="character" w:customStyle="1" w:styleId="UnresolvedMention">
    <w:name w:val="Unresolved Mention"/>
    <w:basedOn w:val="Privzetapisavaodstavka"/>
    <w:uiPriority w:val="99"/>
    <w:semiHidden/>
    <w:rsid w:val="00077835"/>
    <w:rPr>
      <w:color w:val="605E5C"/>
      <w:shd w:val="clear" w:color="auto" w:fill="E1DFDD"/>
    </w:rPr>
  </w:style>
  <w:style w:type="character" w:customStyle="1" w:styleId="oj-super">
    <w:name w:val="oj-super"/>
    <w:basedOn w:val="Privzetapisavaodstavka"/>
    <w:rsid w:val="00077835"/>
  </w:style>
  <w:style w:type="character" w:customStyle="1" w:styleId="sp-normal">
    <w:name w:val="sp-normal"/>
    <w:basedOn w:val="Privzetapisavaodstavka"/>
    <w:rsid w:val="00077835"/>
  </w:style>
  <w:style w:type="character" w:customStyle="1" w:styleId="Hiperpovezava1">
    <w:name w:val="Hiperpovezava1"/>
    <w:basedOn w:val="Privzetapisavaodstavka"/>
    <w:rsid w:val="00077835"/>
  </w:style>
  <w:style w:type="character" w:customStyle="1" w:styleId="mrptns">
    <w:name w:val="mrptns"/>
    <w:basedOn w:val="Privzetapisavaodstavka"/>
    <w:rsid w:val="00077835"/>
  </w:style>
  <w:style w:type="character" w:customStyle="1" w:styleId="robnastevilka">
    <w:name w:val="robnastevilka"/>
    <w:basedOn w:val="Privzetapisavaodstavka"/>
    <w:rsid w:val="00077835"/>
  </w:style>
  <w:style w:type="character" w:customStyle="1" w:styleId="Mention">
    <w:name w:val="Mention"/>
    <w:uiPriority w:val="99"/>
    <w:rsid w:val="00077835"/>
    <w:rPr>
      <w:color w:val="2B579A"/>
    </w:rPr>
  </w:style>
  <w:style w:type="character" w:customStyle="1" w:styleId="normaltextrun">
    <w:name w:val="normaltextrun"/>
    <w:basedOn w:val="Privzetapisavaodstavka"/>
    <w:rsid w:val="00077835"/>
  </w:style>
  <w:style w:type="character" w:customStyle="1" w:styleId="eop">
    <w:name w:val="eop"/>
    <w:basedOn w:val="Privzetapisavaodstavka"/>
    <w:rsid w:val="00077835"/>
  </w:style>
  <w:style w:type="character" w:customStyle="1" w:styleId="scxw913835">
    <w:name w:val="scxw913835"/>
    <w:basedOn w:val="Privzetapisavaodstavka"/>
    <w:rsid w:val="00077835"/>
  </w:style>
  <w:style w:type="character" w:customStyle="1" w:styleId="scxw85282204">
    <w:name w:val="scxw85282204"/>
    <w:basedOn w:val="Privzetapisavaodstavka"/>
    <w:rsid w:val="00077835"/>
  </w:style>
  <w:style w:type="character" w:customStyle="1" w:styleId="tabchar">
    <w:name w:val="tabchar"/>
    <w:basedOn w:val="Privzetapisavaodstavka"/>
    <w:rsid w:val="00077835"/>
  </w:style>
  <w:style w:type="character" w:customStyle="1" w:styleId="scxw192515181">
    <w:name w:val="scxw192515181"/>
    <w:basedOn w:val="Privzetapisavaodstavka"/>
    <w:rsid w:val="00077835"/>
  </w:style>
  <w:style w:type="table" w:styleId="Tabelamrea">
    <w:name w:val="Table Grid"/>
    <w:basedOn w:val="Navadnatabela"/>
    <w:rsid w:val="00077835"/>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72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21280</Words>
  <Characters>121296</Characters>
  <Application>Microsoft Office Word</Application>
  <DocSecurity>0</DocSecurity>
  <Lines>1010</Lines>
  <Paragraphs>284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2025-07-14T11:33:00Z</dcterms:created>
  <dcterms:modified xsi:type="dcterms:W3CDTF">2025-07-14T11:41:00Z</dcterms:modified>
</cp:coreProperties>
</file>