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96FBD" w:rsidRDefault="00896FBD" w:rsidP="00896FBD">
      <w:pPr>
        <w:pStyle w:val="datumtevilka"/>
      </w:pPr>
      <w:r>
        <w:rPr>
          <w:rFonts w:cs="Arial"/>
          <w:color w:val="000000"/>
        </w:rPr>
        <w:t>EVA:</w:t>
      </w:r>
      <w:r>
        <w:rPr>
          <w:rFonts w:cs="Arial"/>
          <w:color w:val="000000"/>
        </w:rPr>
        <w:tab/>
      </w:r>
      <w:r w:rsidR="00E87505">
        <w:rPr>
          <w:rFonts w:cs="Arial"/>
          <w:color w:val="000000"/>
        </w:rPr>
        <w:t>2025-2720-0009</w:t>
      </w:r>
    </w:p>
    <w:p w:rsidR="00896FBD" w:rsidRDefault="00896FBD" w:rsidP="00896FBD">
      <w:pPr>
        <w:pStyle w:val="datumtevilka"/>
      </w:pPr>
      <w:r>
        <w:t xml:space="preserve">Številka: </w:t>
      </w:r>
      <w:r>
        <w:tab/>
      </w:r>
      <w:r w:rsidR="00E87505">
        <w:rPr>
          <w:rFonts w:cs="Arial"/>
          <w:color w:val="000000"/>
        </w:rPr>
        <w:t>00704-118/2025/14</w:t>
      </w:r>
    </w:p>
    <w:p w:rsidR="00896FBD" w:rsidRDefault="00896FBD" w:rsidP="00896FBD">
      <w:pPr>
        <w:pStyle w:val="datumtevilka"/>
      </w:pPr>
      <w:r>
        <w:t>Datum:</w:t>
      </w:r>
      <w:r>
        <w:tab/>
      </w:r>
      <w:r w:rsidR="00E87505">
        <w:rPr>
          <w:rFonts w:cs="Arial"/>
          <w:color w:val="000000"/>
        </w:rPr>
        <w:t>14. 7. 2025</w:t>
      </w:r>
      <w:r>
        <w:t xml:space="preserve"> </w:t>
      </w:r>
    </w:p>
    <w:p w:rsidR="00896FBD" w:rsidRDefault="00896FBD" w:rsidP="00896FBD"/>
    <w:p w:rsidR="00896FBD" w:rsidRDefault="00896FBD" w:rsidP="00896FBD">
      <w:pPr>
        <w:autoSpaceDE w:val="0"/>
        <w:autoSpaceDN w:val="0"/>
        <w:adjustRightInd w:val="0"/>
        <w:rPr>
          <w:rFonts w:cs="Arial"/>
          <w:color w:val="000000"/>
          <w:szCs w:val="20"/>
        </w:rPr>
      </w:pPr>
    </w:p>
    <w:p w:rsidR="00896FBD" w:rsidRPr="005C2FEF" w:rsidRDefault="00B711D4" w:rsidP="005C2FEF">
      <w:pPr>
        <w:autoSpaceDE w:val="0"/>
        <w:autoSpaceDN w:val="0"/>
        <w:adjustRightInd w:val="0"/>
        <w:jc w:val="center"/>
        <w:rPr>
          <w:rFonts w:cs="Arial"/>
          <w:b/>
          <w:color w:val="000000"/>
          <w:szCs w:val="20"/>
        </w:rPr>
      </w:pPr>
      <w:r w:rsidRPr="005C2FEF">
        <w:rPr>
          <w:rFonts w:cs="Arial"/>
          <w:b/>
          <w:color w:val="000000"/>
          <w:szCs w:val="20"/>
        </w:rPr>
        <w:t>Stališče</w:t>
      </w:r>
      <w:r w:rsidR="00E87505" w:rsidRPr="005C2FEF">
        <w:rPr>
          <w:rFonts w:cs="Arial"/>
          <w:b/>
          <w:color w:val="000000"/>
          <w:szCs w:val="20"/>
        </w:rPr>
        <w:t xml:space="preserve"> do Mnenja Državnega sveta k Predlogu zakona o spremembah in dopolnitvah Stanovanjskega zakona</w:t>
      </w:r>
    </w:p>
    <w:p w:rsidR="005C2FEF" w:rsidRDefault="005C2FEF" w:rsidP="00896FBD">
      <w:pPr>
        <w:autoSpaceDE w:val="0"/>
        <w:autoSpaceDN w:val="0"/>
        <w:adjustRightInd w:val="0"/>
        <w:jc w:val="both"/>
        <w:rPr>
          <w:rFonts w:cs="Arial"/>
          <w:color w:val="000000"/>
          <w:szCs w:val="20"/>
        </w:rPr>
      </w:pPr>
    </w:p>
    <w:p w:rsidR="005C2FEF" w:rsidRDefault="005C2FEF" w:rsidP="00896FBD">
      <w:pPr>
        <w:autoSpaceDE w:val="0"/>
        <w:autoSpaceDN w:val="0"/>
        <w:adjustRightInd w:val="0"/>
        <w:jc w:val="both"/>
        <w:rPr>
          <w:rFonts w:cs="Arial"/>
          <w:color w:val="000000"/>
          <w:szCs w:val="20"/>
        </w:rPr>
      </w:pPr>
    </w:p>
    <w:p w:rsidR="005C2FEF" w:rsidRDefault="005C2FEF" w:rsidP="00896FBD">
      <w:pPr>
        <w:autoSpaceDE w:val="0"/>
        <w:autoSpaceDN w:val="0"/>
        <w:adjustRightInd w:val="0"/>
        <w:jc w:val="both"/>
        <w:rPr>
          <w:rFonts w:cs="Arial"/>
          <w:color w:val="000000"/>
          <w:szCs w:val="20"/>
        </w:rPr>
      </w:pPr>
    </w:p>
    <w:p w:rsidR="005C2FEF" w:rsidRDefault="005C2FEF" w:rsidP="005C2FEF">
      <w:pPr>
        <w:jc w:val="both"/>
        <w:rPr>
          <w:rFonts w:cs="Arial"/>
          <w:szCs w:val="20"/>
        </w:rPr>
      </w:pPr>
      <w:bookmarkStart w:id="0" w:name="_GoBack"/>
      <w:r w:rsidRPr="00CB6FF0">
        <w:rPr>
          <w:rFonts w:cs="Arial"/>
          <w:szCs w:val="20"/>
        </w:rPr>
        <w:t xml:space="preserve">Državni svet je </w:t>
      </w:r>
      <w:r>
        <w:rPr>
          <w:rFonts w:cs="Arial"/>
          <w:szCs w:val="20"/>
        </w:rPr>
        <w:t>1</w:t>
      </w:r>
      <w:r w:rsidRPr="00CB6FF0">
        <w:rPr>
          <w:rFonts w:cs="Arial"/>
          <w:szCs w:val="20"/>
        </w:rPr>
        <w:t xml:space="preserve">. </w:t>
      </w:r>
      <w:r>
        <w:rPr>
          <w:rFonts w:cs="Arial"/>
          <w:szCs w:val="20"/>
        </w:rPr>
        <w:t xml:space="preserve">julija </w:t>
      </w:r>
      <w:r w:rsidRPr="00CB6FF0">
        <w:rPr>
          <w:rFonts w:cs="Arial"/>
          <w:szCs w:val="20"/>
        </w:rPr>
        <w:t>202</w:t>
      </w:r>
      <w:r>
        <w:rPr>
          <w:rFonts w:cs="Arial"/>
          <w:szCs w:val="20"/>
        </w:rPr>
        <w:t>5</w:t>
      </w:r>
      <w:r w:rsidRPr="00CB6FF0">
        <w:rPr>
          <w:rFonts w:cs="Arial"/>
          <w:szCs w:val="20"/>
        </w:rPr>
        <w:t xml:space="preserve"> sprejel Mnenje k </w:t>
      </w:r>
      <w:r w:rsidRPr="00A0521E">
        <w:rPr>
          <w:rFonts w:cs="Arial"/>
          <w:szCs w:val="20"/>
          <w:lang w:eastAsia="sl-SI"/>
        </w:rPr>
        <w:t>Predlogu Zakona o spremembah in dopolnitvah Stanovanjskega zakona</w:t>
      </w:r>
      <w:r>
        <w:rPr>
          <w:rFonts w:cs="Arial"/>
          <w:szCs w:val="20"/>
          <w:lang w:eastAsia="sl-SI"/>
        </w:rPr>
        <w:t xml:space="preserve"> (SZ-1G) - druga obravnava</w:t>
      </w:r>
      <w:r w:rsidRPr="00CB6FF0">
        <w:rPr>
          <w:rFonts w:cs="Arial"/>
          <w:szCs w:val="20"/>
        </w:rPr>
        <w:t xml:space="preserve">, št. </w:t>
      </w:r>
      <w:r>
        <w:rPr>
          <w:rFonts w:cs="Arial"/>
          <w:szCs w:val="20"/>
        </w:rPr>
        <w:t>805-01-2/2025/10</w:t>
      </w:r>
      <w:r w:rsidRPr="00CB6FF0">
        <w:rPr>
          <w:rFonts w:cs="Arial"/>
          <w:szCs w:val="20"/>
        </w:rPr>
        <w:t xml:space="preserve"> (v nadaljnjem besedilu: mnenje </w:t>
      </w:r>
      <w:r>
        <w:rPr>
          <w:rFonts w:cs="Arial"/>
          <w:szCs w:val="20"/>
        </w:rPr>
        <w:t>DS</w:t>
      </w:r>
      <w:r w:rsidRPr="00CB6FF0">
        <w:rPr>
          <w:rFonts w:cs="Arial"/>
          <w:szCs w:val="20"/>
        </w:rPr>
        <w:t xml:space="preserve">). Državni zbor je Vladi Republike Slovenije (v nadaljnjem besedilu: Vlada RS) z dopisom z dne </w:t>
      </w:r>
      <w:r>
        <w:rPr>
          <w:rFonts w:cs="Arial"/>
          <w:szCs w:val="20"/>
        </w:rPr>
        <w:t>2</w:t>
      </w:r>
      <w:r w:rsidRPr="00CB6FF0">
        <w:rPr>
          <w:rFonts w:cs="Arial"/>
          <w:szCs w:val="20"/>
        </w:rPr>
        <w:t xml:space="preserve">. </w:t>
      </w:r>
      <w:r>
        <w:rPr>
          <w:rFonts w:cs="Arial"/>
          <w:szCs w:val="20"/>
        </w:rPr>
        <w:t xml:space="preserve">julij </w:t>
      </w:r>
      <w:r w:rsidRPr="00CB6FF0">
        <w:rPr>
          <w:rFonts w:cs="Arial"/>
          <w:szCs w:val="20"/>
        </w:rPr>
        <w:t>202</w:t>
      </w:r>
      <w:r>
        <w:rPr>
          <w:rFonts w:cs="Arial"/>
          <w:szCs w:val="20"/>
        </w:rPr>
        <w:t>5</w:t>
      </w:r>
      <w:r w:rsidRPr="00CB6FF0">
        <w:rPr>
          <w:rFonts w:cs="Arial"/>
          <w:szCs w:val="20"/>
        </w:rPr>
        <w:t xml:space="preserve">, št. </w:t>
      </w:r>
      <w:r>
        <w:rPr>
          <w:rFonts w:cs="Arial"/>
          <w:szCs w:val="20"/>
        </w:rPr>
        <w:t>805-01/25-2/15</w:t>
      </w:r>
      <w:r w:rsidRPr="00CB6FF0">
        <w:rPr>
          <w:rFonts w:cs="Arial"/>
          <w:szCs w:val="20"/>
        </w:rPr>
        <w:t>, naložil, da do mnenja Državnega sveta zavzame stališče</w:t>
      </w:r>
      <w:r>
        <w:rPr>
          <w:rFonts w:cs="Arial"/>
          <w:szCs w:val="20"/>
        </w:rPr>
        <w:t>.</w:t>
      </w:r>
    </w:p>
    <w:p w:rsidR="005C2FEF" w:rsidRPr="005A2BAA" w:rsidRDefault="005C2FEF" w:rsidP="005C2FEF">
      <w:pPr>
        <w:jc w:val="both"/>
        <w:rPr>
          <w:rFonts w:cs="Arial"/>
          <w:szCs w:val="20"/>
          <w:lang w:eastAsia="sl-SI"/>
        </w:rPr>
      </w:pPr>
    </w:p>
    <w:p w:rsidR="005C2FEF" w:rsidRPr="005A2BAA" w:rsidRDefault="005C2FEF" w:rsidP="005C2FEF">
      <w:pPr>
        <w:jc w:val="both"/>
        <w:rPr>
          <w:rFonts w:cs="Arial"/>
          <w:szCs w:val="20"/>
          <w:lang w:eastAsia="sl-SI"/>
        </w:rPr>
      </w:pPr>
      <w:r w:rsidRPr="005A2BAA">
        <w:rPr>
          <w:rFonts w:cs="Arial"/>
          <w:szCs w:val="20"/>
          <w:lang w:eastAsia="sl-SI"/>
        </w:rPr>
        <w:t xml:space="preserve">Državni svet podpira predlog zakona, ki predstavlja določen napredek pri reševanju stanovanjske problematike in lahko prispeva k izboljšanju pogojev za delovanje občin na področju stanovanjske politike, vendar bodo potrebne tudi spremembe na drugih zakonodajnih področjih, zlasti na področju davčne zakonodaje, Zakona o gostinstvu ter zakonodaje, ki ureja prostorsko načrtovanje. Državni svet meni, da bi se pritisk na javna najemna stanovanja razbremenil s ciljno usmerjenimi spodbudami za reševanje stanovanjskega vprašanja z lastno gradnjo ali nakupom – zlasti za mlade družine (davčne olajšave, ugodnejše obrestne mere za stanovanjske kredite ali delni odpis kredita po določenem času). </w:t>
      </w:r>
    </w:p>
    <w:p w:rsidR="005C2FEF" w:rsidRDefault="005C2FEF" w:rsidP="005C2FEF">
      <w:pPr>
        <w:jc w:val="both"/>
        <w:rPr>
          <w:rFonts w:cs="Arial"/>
          <w:szCs w:val="20"/>
          <w:lang w:eastAsia="sl-SI"/>
        </w:rPr>
      </w:pPr>
      <w:r w:rsidRPr="005A2BAA">
        <w:rPr>
          <w:rFonts w:cs="Arial"/>
          <w:szCs w:val="20"/>
          <w:lang w:eastAsia="sl-SI"/>
        </w:rPr>
        <w:t xml:space="preserve">Zaradi težav občin z vzdrževanjem dotrajanih javnih stanovanj Državni svet podpira uvedbo pribitka za vzdrževanje k neprofitni najemnini, saj bo občinam omogočila učinkovitejše in bolj finančno vzdržno upravljanje stanovanjskega fonda. Državni svet izpostavlja kot oviro pri gradnji javnih najemnih stanovanj prostorske omejitve in dolgotrajnost postopkov prostorskega načrtovanja. Pomanjkanje lastnih zemljišč v območjih, kjer je dopustna gradnja, ter onemogočanje širitve zazidljivih območij na kmetijska zemljišča, dolgotrajni postopki spreminjanja občinskih prostorskih načrtov (OPN) in občinskih podrobnih prostorskih načrtov (OPPN) ter zapletena usklajevanja s </w:t>
      </w:r>
      <w:proofErr w:type="spellStart"/>
      <w:r w:rsidRPr="005A2BAA">
        <w:rPr>
          <w:rFonts w:cs="Arial"/>
          <w:szCs w:val="20"/>
          <w:lang w:eastAsia="sl-SI"/>
        </w:rPr>
        <w:t>soglasodajalci</w:t>
      </w:r>
      <w:proofErr w:type="spellEnd"/>
      <w:r w:rsidRPr="005A2BAA">
        <w:rPr>
          <w:rFonts w:cs="Arial"/>
          <w:szCs w:val="20"/>
          <w:lang w:eastAsia="sl-SI"/>
        </w:rPr>
        <w:t xml:space="preserve">, ki pogosto zavirajo projekte iz subjektivnih razlogov, še dodatno ovirajo širitev javnega stanovanjskega fonda. Državni svet zato poziva k celoviti prenovi sistema prostorskega načrtovanja, ki bo omogočil bolj učinkovito načrtovanje stanovanjskih projektov. Pozornost je treba preusmeriti s kvantitativnih omejitev na kakovostne vsebine in javni interes pri spremembah OPN in OPPN. </w:t>
      </w:r>
    </w:p>
    <w:p w:rsidR="005C2FEF" w:rsidRPr="005A2BAA" w:rsidRDefault="005C2FEF" w:rsidP="005C2FEF">
      <w:pPr>
        <w:jc w:val="both"/>
        <w:rPr>
          <w:rFonts w:cs="Arial"/>
          <w:szCs w:val="20"/>
          <w:lang w:eastAsia="sl-SI"/>
        </w:rPr>
      </w:pPr>
    </w:p>
    <w:p w:rsidR="005C2FEF" w:rsidRDefault="005C2FEF" w:rsidP="005C2FEF">
      <w:pPr>
        <w:jc w:val="both"/>
        <w:rPr>
          <w:rFonts w:cs="Arial"/>
          <w:szCs w:val="20"/>
          <w:lang w:eastAsia="sl-SI"/>
        </w:rPr>
      </w:pPr>
      <w:r w:rsidRPr="005A2BAA">
        <w:rPr>
          <w:rFonts w:cs="Arial"/>
          <w:szCs w:val="20"/>
          <w:lang w:eastAsia="sl-SI"/>
        </w:rPr>
        <w:t>Državni svet podpira časovno omejen najem javnih stanovanj, na primer za obdobje do petih let, kar bi spodbudilo uporabnike k iskanju trajnejših stanovanjskih rešitev in k večji samostojnosti pri urejanju svojega bivanjskega statusa, prispevala bi k večji pretočnosti stanovanj ter izboljšala njihovo dostopnost za širši krog upravičencev. Zaradi medgeneracijskega prenašanja najemnih razmerij se dolgoročno onemogoča dostop do stanovanj drugim upravičencem, zato predlaga oblikovanje dodatnih mehanizmov, ki bodo omogočili večjo mobilnost in pravičnejšo dostopnost javnih najemnih stanovanj.</w:t>
      </w:r>
    </w:p>
    <w:p w:rsidR="005C2FEF" w:rsidRPr="005A2BAA" w:rsidRDefault="005C2FEF" w:rsidP="005C2FEF">
      <w:pPr>
        <w:jc w:val="both"/>
        <w:rPr>
          <w:rFonts w:cs="Arial"/>
          <w:szCs w:val="20"/>
          <w:lang w:eastAsia="sl-SI"/>
        </w:rPr>
      </w:pPr>
      <w:r w:rsidRPr="005A2BAA">
        <w:rPr>
          <w:rFonts w:cs="Arial"/>
          <w:szCs w:val="20"/>
          <w:lang w:eastAsia="sl-SI"/>
        </w:rPr>
        <w:t xml:space="preserve"> </w:t>
      </w:r>
    </w:p>
    <w:p w:rsidR="005C2FEF" w:rsidRDefault="005C2FEF" w:rsidP="005C2FEF">
      <w:pPr>
        <w:jc w:val="both"/>
        <w:rPr>
          <w:rFonts w:cs="Arial"/>
          <w:szCs w:val="20"/>
          <w:lang w:eastAsia="sl-SI"/>
        </w:rPr>
      </w:pPr>
      <w:r w:rsidRPr="005A2BAA">
        <w:rPr>
          <w:rFonts w:cs="Arial"/>
          <w:szCs w:val="20"/>
          <w:lang w:eastAsia="sl-SI"/>
        </w:rPr>
        <w:t xml:space="preserve">Državni svet glede sistema subvencioniranja najemnin, v katerem so tudi občine dolžne zagotavljati del sredstev, predlaga razmislek o poenotenju sistema subvencioniranja in prevzemu celotnega finančnega bremena s strani države, ne glede na vrsto najemnine (tržna ali neprofitna). </w:t>
      </w:r>
    </w:p>
    <w:p w:rsidR="005C2FEF" w:rsidRPr="005A2BAA" w:rsidRDefault="005C2FEF" w:rsidP="005C2FEF">
      <w:pPr>
        <w:jc w:val="both"/>
        <w:rPr>
          <w:rFonts w:cs="Arial"/>
          <w:szCs w:val="20"/>
          <w:lang w:eastAsia="sl-SI"/>
        </w:rPr>
      </w:pPr>
    </w:p>
    <w:p w:rsidR="005C2FEF" w:rsidRDefault="005C2FEF" w:rsidP="005C2FEF">
      <w:pPr>
        <w:jc w:val="both"/>
        <w:rPr>
          <w:rFonts w:cs="Arial"/>
          <w:szCs w:val="20"/>
          <w:lang w:eastAsia="sl-SI"/>
        </w:rPr>
      </w:pPr>
      <w:r w:rsidRPr="005A2BAA">
        <w:rPr>
          <w:rFonts w:cs="Arial"/>
          <w:szCs w:val="20"/>
          <w:lang w:eastAsia="sl-SI"/>
        </w:rPr>
        <w:lastRenderedPageBreak/>
        <w:t xml:space="preserve">Državni svet ima pomislek glede določbe prvega odstavka spremenjenega 90. člena zakona (11. člen predloga zakona), ki določa, da se materialni status (izpolnjevanje premoženjskih in dohodkovnih pogojev) najemnikov javnih najemnih stanovanj, ki so upravičeni do neprofitne najemnine, preverja v petletnih presledkih. Predlaga, da se materialni status najemnikov preverja vsako leto, saj za to že obstajajo tehnične možnosti. Predlaga vzpostavitev avtomatiziranega sistema, ki bi omogočil povezovanje podatkov o dohodnini, (so)lastništvu stanovanja ali stanovanjske stavbe ter drugem premoženju iz uradnih evidenc z evidencami o najemnikih javnih najemnih stanovanj in da se preverjanje izpolnjevanja premoženjskih in dohodkovnih pogojev najemnikov javnih najemnih stanovanj izvaja vsako leto.  </w:t>
      </w:r>
    </w:p>
    <w:p w:rsidR="005C2FEF" w:rsidRPr="005A2BAA" w:rsidRDefault="005C2FEF" w:rsidP="005C2FEF">
      <w:pPr>
        <w:jc w:val="both"/>
        <w:rPr>
          <w:rFonts w:cs="Arial"/>
          <w:szCs w:val="20"/>
          <w:lang w:eastAsia="sl-SI"/>
        </w:rPr>
      </w:pPr>
    </w:p>
    <w:p w:rsidR="005C2FEF" w:rsidRDefault="005C2FEF" w:rsidP="005C2FEF">
      <w:pPr>
        <w:jc w:val="both"/>
        <w:rPr>
          <w:rFonts w:cs="Arial"/>
          <w:szCs w:val="20"/>
          <w:lang w:eastAsia="sl-SI"/>
        </w:rPr>
      </w:pPr>
      <w:r w:rsidRPr="005A2BAA">
        <w:rPr>
          <w:rFonts w:cs="Arial"/>
          <w:szCs w:val="20"/>
          <w:lang w:eastAsia="sl-SI"/>
        </w:rPr>
        <w:t>Državni svet predlaga poenostavitev sistema določanja neprofitnih najemnin, ki sedaj temelji na točkovanju stanovanj in stanovanjskih enot s strani posebnih komisij. Sistem je zastarel, administrativno zahteven in stroškovno neučinkovit, v stroških gradnje pa npr. niso vključeni stroški stavbnega zemljišča in komunalnega opremljanja, kar v osnovi zelo zmanjšuje vrednost stanovanj. Meni, da sistem temelji na vrednosti točke, ki bi se morala redno prilagajati inflaciji, kar država med letoma 2003 in 2018 ni storila, prilagoditev pa ne izvaja niti danes. Posledično Državni svet predlaga določanje neprofitnih najemnin na podlagi posplošen</w:t>
      </w:r>
      <w:r>
        <w:rPr>
          <w:rFonts w:cs="Arial"/>
          <w:szCs w:val="20"/>
          <w:lang w:eastAsia="sl-SI"/>
        </w:rPr>
        <w:t>e</w:t>
      </w:r>
      <w:r w:rsidRPr="005A2BAA">
        <w:rPr>
          <w:rFonts w:cs="Arial"/>
          <w:szCs w:val="20"/>
          <w:lang w:eastAsia="sl-SI"/>
        </w:rPr>
        <w:t xml:space="preserve"> tržn</w:t>
      </w:r>
      <w:r>
        <w:rPr>
          <w:rFonts w:cs="Arial"/>
          <w:szCs w:val="20"/>
          <w:lang w:eastAsia="sl-SI"/>
        </w:rPr>
        <w:t>e</w:t>
      </w:r>
      <w:r w:rsidRPr="005A2BAA">
        <w:rPr>
          <w:rFonts w:cs="Arial"/>
          <w:szCs w:val="20"/>
          <w:lang w:eastAsia="sl-SI"/>
        </w:rPr>
        <w:t xml:space="preserve"> vrednosti stanovanj, kot jo določa Geodetska uprava Republike Slovenije (v nadaljevanju: GURS) in bi se letna najemnina izračunala tako, da bi se ocenjena vrednost stanovanja delila s 40 ali 50 let (2,5 ali 2 %-ni letni donos) in bi bila tako prilagojena sedanji nizki stopnji neprofitnih najemnin. Meni, da bi bil takšen pristop pregleden, objektiven in temelji</w:t>
      </w:r>
      <w:r>
        <w:rPr>
          <w:rFonts w:cs="Arial"/>
          <w:szCs w:val="20"/>
          <w:lang w:eastAsia="sl-SI"/>
        </w:rPr>
        <w:t>l bi</w:t>
      </w:r>
      <w:r w:rsidRPr="005A2BAA">
        <w:rPr>
          <w:rFonts w:cs="Arial"/>
          <w:szCs w:val="20"/>
          <w:lang w:eastAsia="sl-SI"/>
        </w:rPr>
        <w:t xml:space="preserve"> na celovitem modelu množičnega vrednotenja nepremičnin, ki že vključuje vse ključne dejavnike vrednosti stanovanja – lokacijo, površino, starost, kakovost, energetsko učinkovitost in druge značilnosti. </w:t>
      </w:r>
    </w:p>
    <w:p w:rsidR="005C2FEF" w:rsidRPr="005A2BAA" w:rsidRDefault="005C2FEF" w:rsidP="005C2FEF">
      <w:pPr>
        <w:jc w:val="both"/>
        <w:rPr>
          <w:rFonts w:cs="Arial"/>
          <w:szCs w:val="20"/>
          <w:lang w:eastAsia="sl-SI"/>
        </w:rPr>
      </w:pPr>
    </w:p>
    <w:p w:rsidR="005C2FEF" w:rsidRDefault="005C2FEF" w:rsidP="005C2FEF">
      <w:pPr>
        <w:jc w:val="both"/>
        <w:rPr>
          <w:rFonts w:cs="Arial"/>
          <w:szCs w:val="20"/>
          <w:lang w:eastAsia="sl-SI"/>
        </w:rPr>
      </w:pPr>
      <w:r w:rsidRPr="005A2BAA">
        <w:rPr>
          <w:rFonts w:cs="Arial"/>
          <w:szCs w:val="20"/>
          <w:lang w:eastAsia="sl-SI"/>
        </w:rPr>
        <w:t xml:space="preserve">Državni svet izpostavlja, da trenutno veljavna ureditev omejuje sofinanciranje vgradnje dvigal v večstanovanjske stavbe zaradi previsoko postavljenega praga soglasja – zahteva se več kot tri četrtine solastniškega deleža (najmanj 75 % +1), predvsem pri stavbah z naslednjimi etažami: P+2+M, P+3, P+3+M in P+4. Predlaga znižanje praga potrebne večine za sprejem odločitve o vgradnji dvigal v večstanovanjskih stavbah z najmanj 75 % + 1 na najmanj 50 % + 1. Prav tako opozarja, da številni lastniki stanovanj v tovrstnih stavbah ne podajo potrebnega soglasja za vgradnjo dvigal, ker nimajo zadostnih finančnih sredstev. V praksi se pogosto izkaže, da prav socialno najšibkejši stanovalci - med njimi starejši z nizkimi dohodki in prejemniki socialne pomoči – ne soglašajo z investicijo, ker za njeno izvedbo nimajo na voljo finančnih sredstev. Zaradi njihovega nasprotovanja in posledično nedoseženega soglasja lastnikov, ki imajo več kot tri četrtine solastniških deležev, izvedba investicije ni mogoča, tudi v primerih, ko bi si večina stanovalcev (med 51 % do 74 %) želela izboljšati dostopnost do svojih stanovanj. Ocenjujejo, da bi s petimi do desetimi milijoni evrov letno lahko sofinancirali takšno vgradnjo dvigal in omogočili izvedbo teh nujno potrebnih prilagoditev na številnih vhodih, s čimer bi pomembno prispevali k večji kakovosti bivanja ranljivih skupin ter krepitvi njihove samostojnosti in socialne vključenosti. Povprečno dvigalo v takšnih objektih zahteva 50.000 evrov investicije, kar pri 6.000 tovrstnih stavbah skupaj znaša 300 milijonov evrov. Ker tovrstno finančno pomoč potrebuje le manjšina (socialno ogroženih) lastnikov stanovanj, bi bilo mogoče z desetimi milijoni letno v obdobju desetih let opremiti te stavbe z dvigali. Zato Državni svet predlaga uvedbo posebnega ukrepa v okviru EKO sklada (morda tudi del sredstev novega Evropskega obrambnega sklada), namenjenega sofinanciranju vgradnje dvigal za socialno ogrožene lastnike stanovanj. Pravico do subvencije za sofinanciranje vgradnje dvigala bi morali imeti tisti lastniki stanovanj, ki izpolnjujejo zakonske pogoje za dodelitev javnega najemnega stanovanja z neprofitno najemnino. </w:t>
      </w:r>
    </w:p>
    <w:p w:rsidR="005C2FEF" w:rsidRPr="005A2BAA" w:rsidRDefault="005C2FEF" w:rsidP="005C2FEF">
      <w:pPr>
        <w:jc w:val="both"/>
        <w:rPr>
          <w:rFonts w:cs="Arial"/>
          <w:szCs w:val="20"/>
          <w:lang w:eastAsia="sl-SI"/>
        </w:rPr>
      </w:pPr>
    </w:p>
    <w:p w:rsidR="005C2FEF" w:rsidRPr="005A2BAA" w:rsidRDefault="005C2FEF" w:rsidP="005C2FEF">
      <w:pPr>
        <w:jc w:val="both"/>
        <w:rPr>
          <w:rFonts w:cs="Arial"/>
          <w:szCs w:val="20"/>
          <w:lang w:eastAsia="sl-SI"/>
        </w:rPr>
      </w:pPr>
      <w:r w:rsidRPr="005A2BAA">
        <w:rPr>
          <w:rFonts w:cs="Arial"/>
          <w:szCs w:val="20"/>
          <w:lang w:eastAsia="sl-SI"/>
        </w:rPr>
        <w:t xml:space="preserve">Državni svet pričakuje, da bodo v nadaljnjih fazah obravnave predloga zakona upoštevane utemeljene pripombe in predlogi Državnega sveta, reprezentativnih združenj občin in drugih deležnikov ter da bodo predlagane zakonske rešitve nadgrajene na način, ki bo omogočil njihovo učinkovito in izvedljivo implementacijo v lokalnem okolju. V primeru izražene </w:t>
      </w:r>
      <w:proofErr w:type="spellStart"/>
      <w:r w:rsidRPr="005A2BAA">
        <w:rPr>
          <w:rFonts w:cs="Arial"/>
          <w:szCs w:val="20"/>
          <w:lang w:eastAsia="sl-SI"/>
        </w:rPr>
        <w:t>nepodpore</w:t>
      </w:r>
      <w:proofErr w:type="spellEnd"/>
      <w:r w:rsidRPr="005A2BAA">
        <w:rPr>
          <w:rFonts w:cs="Arial"/>
          <w:szCs w:val="20"/>
          <w:lang w:eastAsia="sl-SI"/>
        </w:rPr>
        <w:t xml:space="preserve"> </w:t>
      </w:r>
      <w:r w:rsidRPr="005A2BAA">
        <w:rPr>
          <w:rFonts w:cs="Arial"/>
          <w:szCs w:val="20"/>
          <w:lang w:eastAsia="sl-SI"/>
        </w:rPr>
        <w:lastRenderedPageBreak/>
        <w:t xml:space="preserve">posameznim predlogom, navedenim v mnenju, pričakuje v pisni obliki ustrezno pojasnilo predlagatelja zakona o razlogih za njihovo zavrnitev. </w:t>
      </w:r>
    </w:p>
    <w:p w:rsidR="005C2FEF" w:rsidRDefault="005C2FEF" w:rsidP="005C2FEF">
      <w:pPr>
        <w:jc w:val="both"/>
        <w:rPr>
          <w:rFonts w:cs="Arial"/>
          <w:szCs w:val="20"/>
          <w:lang w:eastAsia="sl-SI"/>
        </w:rPr>
      </w:pPr>
    </w:p>
    <w:p w:rsidR="005C2FEF" w:rsidRPr="005A2BAA" w:rsidRDefault="005C2FEF" w:rsidP="005C2FEF">
      <w:pPr>
        <w:jc w:val="both"/>
        <w:rPr>
          <w:rFonts w:cs="Arial"/>
          <w:szCs w:val="20"/>
          <w:lang w:eastAsia="sl-SI"/>
        </w:rPr>
      </w:pPr>
    </w:p>
    <w:p w:rsidR="005C2FEF" w:rsidRPr="005A2BAA" w:rsidRDefault="005C2FEF" w:rsidP="005C2FEF">
      <w:pPr>
        <w:jc w:val="both"/>
        <w:rPr>
          <w:rFonts w:cs="Arial"/>
          <w:szCs w:val="20"/>
        </w:rPr>
      </w:pPr>
      <w:r w:rsidRPr="005A2BAA">
        <w:rPr>
          <w:rFonts w:cs="Arial"/>
          <w:szCs w:val="20"/>
        </w:rPr>
        <w:t xml:space="preserve">Vlada RS je proučila mnenje Državnega sveta in ugotavlja, da se je Državni svet dne 1. julija 2025 na svoji 30. seji seznanil s Predlogom Zakona o spremembah in dopolnitvah Stanovanjskega zakona (SZ-1G) - druga obravnava (v nadaljnjem besedilu: predlog SZ-1G) in sprejel mnenje k predlogu SZ-1G. </w:t>
      </w:r>
    </w:p>
    <w:p w:rsidR="005C2FEF" w:rsidRPr="005A2BAA" w:rsidRDefault="005C2FEF" w:rsidP="005C2FEF">
      <w:pPr>
        <w:jc w:val="both"/>
        <w:rPr>
          <w:rFonts w:cs="Arial"/>
          <w:szCs w:val="20"/>
        </w:rPr>
      </w:pPr>
    </w:p>
    <w:p w:rsidR="005C2FEF" w:rsidRDefault="005C2FEF" w:rsidP="005C2FEF">
      <w:pPr>
        <w:jc w:val="both"/>
        <w:rPr>
          <w:rFonts w:cs="Arial"/>
          <w:szCs w:val="20"/>
        </w:rPr>
      </w:pPr>
      <w:r w:rsidRPr="005A2BAA">
        <w:rPr>
          <w:rFonts w:cs="Arial"/>
          <w:szCs w:val="20"/>
        </w:rPr>
        <w:t>Vlad</w:t>
      </w:r>
      <w:r>
        <w:rPr>
          <w:rFonts w:cs="Arial"/>
          <w:szCs w:val="20"/>
        </w:rPr>
        <w:t>a</w:t>
      </w:r>
      <w:r w:rsidRPr="005A2BAA">
        <w:rPr>
          <w:rFonts w:cs="Arial"/>
          <w:szCs w:val="20"/>
        </w:rPr>
        <w:t xml:space="preserve"> RS </w:t>
      </w:r>
      <w:r>
        <w:rPr>
          <w:rFonts w:cs="Arial"/>
          <w:szCs w:val="20"/>
        </w:rPr>
        <w:t>pozdravlja podporo</w:t>
      </w:r>
      <w:r w:rsidRPr="005A2BAA">
        <w:rPr>
          <w:rFonts w:cs="Arial"/>
          <w:szCs w:val="20"/>
        </w:rPr>
        <w:t xml:space="preserve"> Državn</w:t>
      </w:r>
      <w:r>
        <w:rPr>
          <w:rFonts w:cs="Arial"/>
          <w:szCs w:val="20"/>
        </w:rPr>
        <w:t>ega</w:t>
      </w:r>
      <w:r w:rsidRPr="005A2BAA">
        <w:rPr>
          <w:rFonts w:cs="Arial"/>
          <w:szCs w:val="20"/>
        </w:rPr>
        <w:t xml:space="preserve"> svet</w:t>
      </w:r>
      <w:r>
        <w:rPr>
          <w:rFonts w:cs="Arial"/>
          <w:szCs w:val="20"/>
        </w:rPr>
        <w:t>a</w:t>
      </w:r>
      <w:r w:rsidRPr="005A2BAA">
        <w:rPr>
          <w:rFonts w:cs="Arial"/>
          <w:szCs w:val="20"/>
        </w:rPr>
        <w:t xml:space="preserve"> </w:t>
      </w:r>
      <w:r>
        <w:rPr>
          <w:rFonts w:cs="Arial"/>
          <w:szCs w:val="20"/>
        </w:rPr>
        <w:t>glede</w:t>
      </w:r>
      <w:r w:rsidRPr="005A2BAA">
        <w:rPr>
          <w:rFonts w:cs="Arial"/>
          <w:szCs w:val="20"/>
        </w:rPr>
        <w:t xml:space="preserve"> predlog</w:t>
      </w:r>
      <w:r>
        <w:rPr>
          <w:rFonts w:cs="Arial"/>
          <w:szCs w:val="20"/>
        </w:rPr>
        <w:t>a</w:t>
      </w:r>
      <w:r w:rsidRPr="005A2BAA">
        <w:rPr>
          <w:rFonts w:cs="Arial"/>
          <w:szCs w:val="20"/>
        </w:rPr>
        <w:t xml:space="preserve"> SZ-1G</w:t>
      </w:r>
      <w:r>
        <w:rPr>
          <w:rFonts w:cs="Arial"/>
          <w:szCs w:val="20"/>
        </w:rPr>
        <w:t xml:space="preserve"> in sprememb, ki jih prinaša na področju javnih najemnih stanovanj</w:t>
      </w:r>
      <w:r w:rsidRPr="005A2BAA">
        <w:rPr>
          <w:rFonts w:cs="Arial"/>
          <w:szCs w:val="20"/>
        </w:rPr>
        <w:t xml:space="preserve">. Vlada RS </w:t>
      </w:r>
      <w:r>
        <w:rPr>
          <w:rFonts w:cs="Arial"/>
          <w:szCs w:val="20"/>
        </w:rPr>
        <w:t xml:space="preserve">prepoznava, da je za celostno urejanje stanovanjskega področja potrebno izvajanje več komplementarnih ukrepov, ki se dotikajo področja davčne, prostorske, socialne, gradbene in stanovanjskega zakonodaje. Vlada RS pojasnjuje, da vzporedno s spremembo stanovanjske zakonodaje potekajo tudi zakonodajne spremembe na področju gradbene in prostorske zakonodaje kakor tudi na področju turistične rabe stanovanj. Predlogi sistemskih zakonov so trenutno v obravnavi v Državnem zboru. Vlada RS dodatno izpostavlja, da se zaveda potrebe po celostni obravnavi področja gradnje javnih najemnih stanovanj ter potrebe po medresorskem sodelovanju ter tudi sodelovanju med državno in lokalno ravnjo. Pristojno ministrstvo v okviru priprave novega Nacionalnega stanovanjskega programa (v nadaljnjem besedilu: NSP) vodi intenzivni medresorski dialog, za ta namen pa je bila ustanovljena tudi posebna vladna delovna skupina, ki združuje ključne resorje. V času priprave NSP je pristojno ministrstvo izvedlo tudi regionalne posvete v vseh razvojnih regijah, na katerih so sodelovali predstavniki regionalnih razvojnih agencij in občin. S pomočjo zbranih informacij se bodo pripravili ustrezni ukrepi v okviru NSP, ki bodo zagotovili ustrezno koordinacijo med različnimi akterji ter zagotovili učinkovito zagotavljanje javnih najemih stanovanj. </w:t>
      </w:r>
    </w:p>
    <w:p w:rsidR="005C2FEF" w:rsidRPr="005A2BAA" w:rsidRDefault="005C2FEF" w:rsidP="005C2FEF">
      <w:pPr>
        <w:jc w:val="both"/>
        <w:rPr>
          <w:rFonts w:cs="Arial"/>
          <w:szCs w:val="20"/>
        </w:rPr>
      </w:pPr>
    </w:p>
    <w:p w:rsidR="005C2FEF" w:rsidRPr="005A2BAA" w:rsidRDefault="005C2FEF" w:rsidP="005C2FEF">
      <w:pPr>
        <w:jc w:val="both"/>
        <w:rPr>
          <w:rFonts w:cs="Arial"/>
          <w:szCs w:val="20"/>
        </w:rPr>
      </w:pPr>
      <w:r w:rsidRPr="005A2BAA">
        <w:rPr>
          <w:rFonts w:cs="Arial"/>
          <w:szCs w:val="20"/>
        </w:rPr>
        <w:t xml:space="preserve">Glede predloga Državnega sveta o najemu javnih najemnih stanovanj za določen čas Vlada RS sporoča, da se ohranja oddajanje javnih najemnih stanovanj za nedoločen čas, ker je to ključno za zagotavljanje varnega in trajnega bivanja za posameznike in družine. Gre predvsem za ljudi z nizkimi/nižjimi dohodki, starejše, invalide, mlade družine ter druge ranljive skupine, ki si težko zagotovijo stanovanje na prostem trgu. Oddaja za nedoločen čas najemnikom omogoča stanovanjsko stabilnost, saj jim ni treba skrbeti, da bodo po poteku pogodbe morali zapustiti stanovanje. Trajno jim rešuje stanovanjsko vprašanje in ponuja podobno varnost kot lastništvo. To je še posebej pomembno za otroke (zaradi šolanja in socialnega okolja) ter starejše in druge, ki potrebujejo oskrbo ali dostop do lokalnih storitev. Takšna ureditev prispeva tudi k preprečevanju brezdomstva, saj bi začasna najemna razmerja povečala tveganje, da osebe, ki že sicer težko pridejo do primernega stanovanja, ostanejo brez strehe nad glavo. Glede medgeneracijskega prehajanja javnih najemnih stanovanj pa Vlada RS pojasnjuje, da pride do nadaljevanja najema javnega najemnega stanovanja brez preverjanja izpolnjevanja pogojev za njegov najem ob smrti najemnika javnega najemnega stanovanja ali </w:t>
      </w:r>
      <w:r>
        <w:rPr>
          <w:rFonts w:cs="Arial"/>
          <w:szCs w:val="20"/>
        </w:rPr>
        <w:t xml:space="preserve">razveze </w:t>
      </w:r>
      <w:r w:rsidRPr="005A2BAA">
        <w:rPr>
          <w:rFonts w:cs="Arial"/>
          <w:szCs w:val="20"/>
        </w:rPr>
        <w:t>zakonske zveze. Navedena določba velja za vsa najemna razmerja, saj se s tem zagotavlja varnost družinskih članov, ki ostanejo v najemniškem stanovanju.</w:t>
      </w:r>
      <w:r>
        <w:rPr>
          <w:rFonts w:cs="Arial"/>
          <w:szCs w:val="20"/>
        </w:rPr>
        <w:t xml:space="preserve"> Vlada RS trajna najemna razmerja razume kot temelj kakovostne preskrbe javnih najemnih stanovanj, pri čemer sledi najbolj kakovostnim in mednarodno priznanim oblikam javne stanovanjske preskrbe v tujini (npr. Dunaj). Vlada RS verjame, da ravno stabilna, dolgoročna in varna najemna razmerja omogočajo najemnikom pogoje za družbeno mobilnost in karierni razvoj ter omogočijo razvoj finančnih temeljev, da se aktivno vključijo v lokalno okolje ter vlagajo sami vase. </w:t>
      </w:r>
    </w:p>
    <w:p w:rsidR="005C2FEF" w:rsidRPr="005A2BAA" w:rsidRDefault="005C2FEF" w:rsidP="005C2FEF">
      <w:pPr>
        <w:jc w:val="both"/>
        <w:rPr>
          <w:rFonts w:cs="Arial"/>
          <w:szCs w:val="20"/>
        </w:rPr>
      </w:pPr>
    </w:p>
    <w:p w:rsidR="005C2FEF" w:rsidRPr="005A2BAA" w:rsidRDefault="005C2FEF" w:rsidP="005C2FEF">
      <w:pPr>
        <w:jc w:val="both"/>
        <w:rPr>
          <w:rFonts w:cs="Arial"/>
          <w:szCs w:val="20"/>
        </w:rPr>
      </w:pPr>
      <w:r w:rsidRPr="005A2BAA">
        <w:rPr>
          <w:rFonts w:cs="Arial"/>
          <w:szCs w:val="20"/>
        </w:rPr>
        <w:t>Glede predloga, da sredstva za subvencioniranje najemnin zagotavlja samo država, Vlada RS meni, da ostane predlagana razporeditev bremena subvencij najemnin (država za javna najemna stanovanja v javni lasti, občine za preostala (tržna) najemna stanovanja), saj se želi spodbuditi občine k reševanju stanovanjske politike na svojem območju</w:t>
      </w:r>
      <w:r>
        <w:rPr>
          <w:rFonts w:cs="Arial"/>
          <w:szCs w:val="20"/>
        </w:rPr>
        <w:t xml:space="preserve">. Občine, ki bodo aktivneje vlagale v javna najemna stanovanja, bodo imele manjšo potrebo po zagotavljanju subvencij za najemnike </w:t>
      </w:r>
      <w:r>
        <w:rPr>
          <w:rFonts w:cs="Arial"/>
          <w:szCs w:val="20"/>
        </w:rPr>
        <w:lastRenderedPageBreak/>
        <w:t>v tržnih najemnih stanovanjih.</w:t>
      </w:r>
      <w:r w:rsidRPr="005A2BAA">
        <w:rPr>
          <w:rFonts w:cs="Arial"/>
          <w:szCs w:val="20"/>
        </w:rPr>
        <w:t xml:space="preserve"> So pa občine samostojne pri izbiri načina reševanja – ali bo to gradnja javnih najemnih stanovanj ali izplačevanje subvencije najemnine za najemna stanovanja s prosto oblikovano najemnino, če ne bo dovolj stanovanj za najemnike, ki ne zmorejo plačila določene višine najemnine. Predlagan</w:t>
      </w:r>
      <w:r>
        <w:rPr>
          <w:rFonts w:cs="Arial"/>
          <w:szCs w:val="20"/>
        </w:rPr>
        <w:t>i</w:t>
      </w:r>
      <w:r w:rsidRPr="005A2BAA">
        <w:rPr>
          <w:rFonts w:cs="Arial"/>
          <w:szCs w:val="20"/>
        </w:rPr>
        <w:t xml:space="preserve"> način zagotavljanja sredstev za subvencije najemnine bo za občine ugodnejši kot do sedaj, saj je bilo izplačane bistveno več subvencije najemnine najemnikom v javnih najemnih stanovanjih, kot najemnikov za najemna stanovanja s prosto oblikovano najemnino (za JNS letos cca</w:t>
      </w:r>
      <w:r>
        <w:rPr>
          <w:rFonts w:cs="Arial"/>
          <w:szCs w:val="20"/>
        </w:rPr>
        <w:t>.</w:t>
      </w:r>
      <w:r w:rsidRPr="005A2BAA">
        <w:rPr>
          <w:rFonts w:cs="Arial"/>
          <w:szCs w:val="20"/>
        </w:rPr>
        <w:t xml:space="preserve"> 15 mil</w:t>
      </w:r>
      <w:r>
        <w:rPr>
          <w:rFonts w:cs="Arial"/>
          <w:szCs w:val="20"/>
        </w:rPr>
        <w:t>ijonov evrov</w:t>
      </w:r>
      <w:r w:rsidRPr="005A2BAA">
        <w:rPr>
          <w:rFonts w:cs="Arial"/>
          <w:szCs w:val="20"/>
        </w:rPr>
        <w:t xml:space="preserve">, medtem ko za tržna </w:t>
      </w:r>
      <w:r>
        <w:rPr>
          <w:rFonts w:cs="Arial"/>
          <w:szCs w:val="20"/>
        </w:rPr>
        <w:t xml:space="preserve">najemna stanovanja </w:t>
      </w:r>
      <w:r w:rsidRPr="005A2BAA">
        <w:rPr>
          <w:rFonts w:cs="Arial"/>
          <w:szCs w:val="20"/>
        </w:rPr>
        <w:t>cca</w:t>
      </w:r>
      <w:r>
        <w:rPr>
          <w:rFonts w:cs="Arial"/>
          <w:szCs w:val="20"/>
        </w:rPr>
        <w:t>.</w:t>
      </w:r>
      <w:r w:rsidRPr="005A2BAA">
        <w:rPr>
          <w:rFonts w:cs="Arial"/>
          <w:szCs w:val="20"/>
        </w:rPr>
        <w:t xml:space="preserve"> 9 mil</w:t>
      </w:r>
      <w:r>
        <w:rPr>
          <w:rFonts w:cs="Arial"/>
          <w:szCs w:val="20"/>
        </w:rPr>
        <w:t>ijonov evrov</w:t>
      </w:r>
      <w:r w:rsidRPr="005A2BAA">
        <w:rPr>
          <w:rFonts w:cs="Arial"/>
          <w:szCs w:val="20"/>
        </w:rPr>
        <w:t xml:space="preserve"> – po prehodnem obdobju zvišanja neprofitne najemnine pa bo ta razlika še višja; za JNS cca</w:t>
      </w:r>
      <w:r>
        <w:rPr>
          <w:rFonts w:cs="Arial"/>
          <w:szCs w:val="20"/>
        </w:rPr>
        <w:t>.</w:t>
      </w:r>
      <w:r w:rsidRPr="005A2BAA">
        <w:rPr>
          <w:rFonts w:cs="Arial"/>
          <w:szCs w:val="20"/>
        </w:rPr>
        <w:t xml:space="preserve"> 20</w:t>
      </w:r>
      <w:r>
        <w:rPr>
          <w:rFonts w:cs="Arial"/>
          <w:szCs w:val="20"/>
        </w:rPr>
        <w:t xml:space="preserve"> </w:t>
      </w:r>
      <w:r w:rsidRPr="005A2BAA">
        <w:rPr>
          <w:rFonts w:cs="Arial"/>
          <w:szCs w:val="20"/>
        </w:rPr>
        <w:t>mil</w:t>
      </w:r>
      <w:r>
        <w:rPr>
          <w:rFonts w:cs="Arial"/>
          <w:szCs w:val="20"/>
        </w:rPr>
        <w:t>ijonov evrov</w:t>
      </w:r>
      <w:r w:rsidRPr="005A2BAA">
        <w:rPr>
          <w:rFonts w:cs="Arial"/>
          <w:szCs w:val="20"/>
        </w:rPr>
        <w:t>, za tržna pa cca</w:t>
      </w:r>
      <w:r>
        <w:rPr>
          <w:rFonts w:cs="Arial"/>
          <w:szCs w:val="20"/>
        </w:rPr>
        <w:t>.</w:t>
      </w:r>
      <w:r w:rsidRPr="005A2BAA">
        <w:rPr>
          <w:rFonts w:cs="Arial"/>
          <w:szCs w:val="20"/>
        </w:rPr>
        <w:t xml:space="preserve"> 10 mil</w:t>
      </w:r>
      <w:r>
        <w:rPr>
          <w:rFonts w:cs="Arial"/>
          <w:szCs w:val="20"/>
        </w:rPr>
        <w:t>ijonov evrov</w:t>
      </w:r>
      <w:r w:rsidRPr="005A2BAA">
        <w:rPr>
          <w:rFonts w:cs="Arial"/>
          <w:szCs w:val="20"/>
        </w:rPr>
        <w:t xml:space="preserve">). Torej bo z novelo SZ-1G država prevzela večje breme, ki je bilo prej občinsko, nase. Država bo s predlagano zakonodajo tudi zagotovila izdatna sredstva za gradnjo javnih najemnih stanovanj, zato </w:t>
      </w:r>
      <w:r>
        <w:rPr>
          <w:rFonts w:cs="Arial"/>
          <w:szCs w:val="20"/>
        </w:rPr>
        <w:t>Vlada RS ne podpira</w:t>
      </w:r>
      <w:r w:rsidRPr="005A2BAA">
        <w:rPr>
          <w:rFonts w:cs="Arial"/>
          <w:szCs w:val="20"/>
        </w:rPr>
        <w:t xml:space="preserve"> predlog</w:t>
      </w:r>
      <w:r>
        <w:rPr>
          <w:rFonts w:cs="Arial"/>
          <w:szCs w:val="20"/>
        </w:rPr>
        <w:t>a</w:t>
      </w:r>
      <w:r w:rsidRPr="005A2BAA">
        <w:rPr>
          <w:rFonts w:cs="Arial"/>
          <w:szCs w:val="20"/>
        </w:rPr>
        <w:t>, da državni proračun bremenijo še subvencije najemnine za najemna stanovanja s prosto oblikovano najemnino (tržna najemna stanovanja).</w:t>
      </w:r>
    </w:p>
    <w:p w:rsidR="005C2FEF" w:rsidRPr="005A2BAA" w:rsidRDefault="005C2FEF" w:rsidP="005C2FEF">
      <w:pPr>
        <w:jc w:val="both"/>
        <w:rPr>
          <w:rFonts w:cs="Arial"/>
          <w:szCs w:val="20"/>
        </w:rPr>
      </w:pPr>
    </w:p>
    <w:p w:rsidR="005C2FEF" w:rsidRPr="005A2BAA" w:rsidRDefault="005C2FEF" w:rsidP="005C2FEF">
      <w:pPr>
        <w:jc w:val="both"/>
        <w:rPr>
          <w:rFonts w:cs="Arial"/>
          <w:szCs w:val="20"/>
        </w:rPr>
      </w:pPr>
      <w:r w:rsidRPr="005A2BAA">
        <w:rPr>
          <w:rFonts w:cs="Arial"/>
          <w:szCs w:val="20"/>
        </w:rPr>
        <w:t xml:space="preserve">Vezano na pomislek Državnega sveta glede določb prvega odstavka spremenjenega 90. člena zakona (11. člen predloga zakona), ki določa, da se materialni status (izpolnjevanje premoženjskih in dohodkovnih pogojev) najemnikov javnih najemnih stanovanj, ki so upravičeni do neprofitne najemnine, preverja v petletnih presledkih, Vlada RS pojasnjuje, da predlog zakona predvideva preverjanje izpolnjevanja teh pogojev najmanj vsakih pet let. Kot izhaja iz te določbe, lahko najemodajalec javnega najemnega stanovanja preverjanje izpolnjevanja pogojev izvaja tudi pogosteje, saj za to ni zakonske omejitve. Sistem preverjanja še vedno ni avtomatiziran, saj dostop do informacijskega sistema e-Sociala ni omogočen, saj e-Sociala ni vzpostavljena za preverjanje pogojev za upravičenost do najema javnega najemnega stanovanja. Vzpostavitev enakega informacijskega sistema za stanovanjske sklade in občine zaenkrat ni mogoča, se pa iščejo ustrezne tehnične rešitve za poenostavitev pridobivanja podatkov za stanovanjske sklade in občine. </w:t>
      </w:r>
      <w:r>
        <w:rPr>
          <w:rFonts w:cs="Arial"/>
          <w:szCs w:val="20"/>
        </w:rPr>
        <w:t xml:space="preserve">Poleg tega Vlada RS opozarja, da bi pogostejše preverjanje materialnega položaja najemnikov javnih najemnih stanovanj lahko imelo tudi pomembne negativne učinke na najemnike. Eden izmed osrednjih ciljev stanovanjske reforme je oblikovanje sistema, ki bo primeren tako za socialno ranljive skupine, kakor privlačen za prebivalce iz srednjega razreda. S tem se bi zagotovilo mešano populacijo najemnikov, kakor tudi omogočilo izvajanje razvojne politike lokalnega okolja prek zagotavljanja javnih najemnih stanovanj. Z mehanizmi pogostega preverjanja potiskamo javna najemna stanovanja v polje socialne politike, s čimer se od najema odvračajo ciljne skupine, ki se jih želi privabiti v javni najem (npr. mlade s povprečnimi dohodki). Zato je treba najti ustrezno ravnotežje med preverjanjem materialnega položaja najemnikov ter ohranitvijo privlačnosti najema za različne družbene skupine. Vlada RS meni, da uzakonjeno letno preverjanje ne bi doseglo tega cilja.  </w:t>
      </w:r>
    </w:p>
    <w:p w:rsidR="005C2FEF" w:rsidRPr="005A2BAA" w:rsidRDefault="005C2FEF" w:rsidP="005C2FEF">
      <w:pPr>
        <w:jc w:val="both"/>
        <w:rPr>
          <w:rFonts w:cs="Arial"/>
          <w:szCs w:val="20"/>
          <w:lang w:eastAsia="sl-SI"/>
        </w:rPr>
      </w:pPr>
    </w:p>
    <w:p w:rsidR="005C2FEF" w:rsidRPr="005A2BAA" w:rsidRDefault="005C2FEF" w:rsidP="005C2FEF">
      <w:pPr>
        <w:jc w:val="both"/>
        <w:rPr>
          <w:rFonts w:cs="Arial"/>
          <w:szCs w:val="20"/>
        </w:rPr>
      </w:pPr>
      <w:r w:rsidRPr="005A2BAA">
        <w:rPr>
          <w:rFonts w:cs="Arial"/>
          <w:szCs w:val="20"/>
        </w:rPr>
        <w:t>Vlada RS se ne strinja z navedbo Državnega sveta, da se neprofitna najemnina ne usklajuje z inflacijo, saj se je z zakonskimi spremembami v letu 2021 neprofitna najemnina bistveno dvignila</w:t>
      </w:r>
      <w:r>
        <w:rPr>
          <w:rFonts w:cs="Arial"/>
          <w:szCs w:val="20"/>
        </w:rPr>
        <w:t>, in sicer</w:t>
      </w:r>
      <w:r w:rsidRPr="005A2BAA">
        <w:rPr>
          <w:rFonts w:cs="Arial"/>
          <w:szCs w:val="20"/>
        </w:rPr>
        <w:t xml:space="preserve"> s prejšnjih 4,2 eur/m2 na današnjih okoli 7 eur/m2 pri novih stanovanjih (dvig točke za skoraj tretjino, usklajevanje le-te in lokacijski faktorji so bistveno doprinesli k vrednosti stanovanja). S predlagano novelo se bo neprofitna najemnina še </w:t>
      </w:r>
      <w:r>
        <w:rPr>
          <w:rFonts w:cs="Arial"/>
          <w:szCs w:val="20"/>
        </w:rPr>
        <w:t>dodatno prilagodila</w:t>
      </w:r>
      <w:r w:rsidRPr="005A2BAA">
        <w:rPr>
          <w:rFonts w:cs="Arial"/>
          <w:szCs w:val="20"/>
        </w:rPr>
        <w:t xml:space="preserve">, vendar manj pri novejših ter bistveno več pri starejših stanovanjih. Predlog Državnega sveta, da se veže določitev neprofitne najemnine na posplošeno tržno vrednost stanovanj, kot jo določa GURS, </w:t>
      </w:r>
      <w:r>
        <w:rPr>
          <w:rFonts w:cs="Arial"/>
          <w:szCs w:val="20"/>
        </w:rPr>
        <w:t>Vlada RS ocenjuje kot neustrezno. V okviru priprave predloga zakona je pristojno ministrstvo preučilo več možnosti določanja neprofitne najemnine, med drugim tudi vezavo na posplošeno tržno vrednost. Vlada RS ugotavlja, da bi s tem določanje najemnine vezali na tržne vrednosti in njeno nihanje, kar pa ni skladno s stroškovnim principom, ki se ga običajno zasleduje v okviru javnih najemnih stanovanj (to velja tudi za tuje zglede). Vezanost najemnin na tržna nihanja bi pomenilo, da bi najemnine nihale skladno s trgom, kar lahko pomeni tako znatne in hitre dvige, kakor tudi padce najemnin v primeru nižanja tržnih vrednoti.</w:t>
      </w:r>
      <w:r w:rsidRPr="005A2BAA">
        <w:rPr>
          <w:rFonts w:cs="Arial"/>
          <w:szCs w:val="20"/>
        </w:rPr>
        <w:t xml:space="preserve"> Že sam Državni svet ugotavlja, da je prišlo do 100</w:t>
      </w:r>
      <w:r>
        <w:rPr>
          <w:rFonts w:cs="Arial"/>
          <w:szCs w:val="20"/>
        </w:rPr>
        <w:t xml:space="preserve"> </w:t>
      </w:r>
      <w:r w:rsidRPr="005A2BAA">
        <w:rPr>
          <w:rFonts w:cs="Arial"/>
          <w:szCs w:val="20"/>
        </w:rPr>
        <w:t xml:space="preserve">% dviga vrednosti nepremičnin v zadnjih letih, kar pomeni, da bi se tak dvig odražal tudi na neprofitni najemnini. </w:t>
      </w:r>
      <w:r>
        <w:rPr>
          <w:rFonts w:cs="Arial"/>
          <w:szCs w:val="20"/>
        </w:rPr>
        <w:t xml:space="preserve">Takšna </w:t>
      </w:r>
      <w:proofErr w:type="spellStart"/>
      <w:r>
        <w:rPr>
          <w:rFonts w:cs="Arial"/>
          <w:szCs w:val="20"/>
        </w:rPr>
        <w:t>volatilnost</w:t>
      </w:r>
      <w:proofErr w:type="spellEnd"/>
      <w:r>
        <w:rPr>
          <w:rFonts w:cs="Arial"/>
          <w:szCs w:val="20"/>
        </w:rPr>
        <w:t xml:space="preserve"> ne zagotavlja stabilnosti ne za najemnike ne za </w:t>
      </w:r>
      <w:r>
        <w:rPr>
          <w:rFonts w:cs="Arial"/>
          <w:szCs w:val="20"/>
        </w:rPr>
        <w:lastRenderedPageBreak/>
        <w:t xml:space="preserve">lastnike stanovanj, saj bi težko načrtovali bodoče prihodke iz najemnin. Hkrati tudi ni skladna s stroškovnim principom določanja najemnin, saj bi bile na določenih lokacijah in določenih časovnih obdobjih najemnine znatno višje od dejanskih stroškov, v določenih situacijah pa tudi znatno nižje. </w:t>
      </w:r>
      <w:r w:rsidRPr="005A2BAA">
        <w:rPr>
          <w:rFonts w:cs="Arial"/>
          <w:szCs w:val="20"/>
        </w:rPr>
        <w:t>Vlada RS se strinja z mnenjem, da je točkovanje stanovanj zastarel način določanja vrednosti stanovanj, vendar vzpostavitev novega načina določanja neprofitne najemnine potrebuje ustrezen premislek, da se vzpostavi ustrezen sistem povračila vloženih sredstev v gradnjo javnih najemnih stanovanj v določenem obdobju z upoštevanjem njihovega vzdrževanja.</w:t>
      </w:r>
      <w:r>
        <w:rPr>
          <w:rFonts w:cs="Arial"/>
          <w:szCs w:val="20"/>
        </w:rPr>
        <w:t xml:space="preserve"> </w:t>
      </w:r>
    </w:p>
    <w:p w:rsidR="005C2FEF" w:rsidRPr="005A2BAA" w:rsidRDefault="005C2FEF" w:rsidP="005C2FEF">
      <w:pPr>
        <w:jc w:val="both"/>
        <w:rPr>
          <w:rFonts w:cs="Arial"/>
          <w:szCs w:val="20"/>
        </w:rPr>
      </w:pPr>
    </w:p>
    <w:p w:rsidR="005C2FEF" w:rsidRDefault="005C2FEF" w:rsidP="005C2FEF">
      <w:pPr>
        <w:spacing w:line="276" w:lineRule="auto"/>
        <w:jc w:val="both"/>
        <w:rPr>
          <w:rFonts w:cs="Arial"/>
          <w:szCs w:val="20"/>
        </w:rPr>
      </w:pPr>
      <w:r w:rsidRPr="005A2BAA">
        <w:rPr>
          <w:rFonts w:cs="Arial"/>
          <w:szCs w:val="20"/>
        </w:rPr>
        <w:t>Vlada RS ugotavlja, da je Državni svet veliko pozornosti namenil soglasjem in financiranju vgradnje dvigal v večstanovanjskih stavbah, ki tega nimajo. Vlada RS pojasnjuje, da se je z novelo Stanovanjskega zakona (SZ-1E) v letu 2021 močno olajšalo pridobivanje soglasij v večstanovanjskih stavbah za namene poslov, povezanih z vzdrževanjem skupnih delov večstanovanjskih stavb (kamor lahko primeroma uvrščamo tudi naknadno vgradnjo dvigal). Vlada RS pojasnjuje, da v kolikor se lahko dvigalo vgradi brez gradbenega dovoljenja, je za izvedbo vgradnje dvigala potrebno soglasje lastnikov, ki imajo več kot polovico (50</w:t>
      </w:r>
      <w:r>
        <w:rPr>
          <w:rFonts w:cs="Arial"/>
          <w:szCs w:val="20"/>
        </w:rPr>
        <w:t xml:space="preserve"> </w:t>
      </w:r>
      <w:r w:rsidRPr="005A2BAA">
        <w:rPr>
          <w:rFonts w:cs="Arial"/>
          <w:szCs w:val="20"/>
        </w:rPr>
        <w:t>%) solastniških deležev glede na večstanovanjsko stavbo, saj gre za t.</w:t>
      </w:r>
      <w:r>
        <w:rPr>
          <w:rFonts w:cs="Arial"/>
          <w:szCs w:val="20"/>
        </w:rPr>
        <w:t xml:space="preserve"> </w:t>
      </w:r>
      <w:r w:rsidRPr="005A2BAA">
        <w:rPr>
          <w:rFonts w:cs="Arial"/>
          <w:szCs w:val="20"/>
        </w:rPr>
        <w:t>i. posel rednega upravljanja (kam</w:t>
      </w:r>
      <w:r>
        <w:rPr>
          <w:rFonts w:cs="Arial"/>
          <w:szCs w:val="20"/>
        </w:rPr>
        <w:t>o</w:t>
      </w:r>
      <w:r w:rsidRPr="005A2BAA">
        <w:rPr>
          <w:rFonts w:cs="Arial"/>
          <w:szCs w:val="20"/>
        </w:rPr>
        <w:t>r sodi z novelo SZ-1E tudi vzdrževanje objekta in manjša rekonstrukcija po Gradbenem zakonu).</w:t>
      </w:r>
    </w:p>
    <w:p w:rsidR="005C2FEF" w:rsidRPr="005A2BAA" w:rsidRDefault="005C2FEF" w:rsidP="005C2FEF">
      <w:pPr>
        <w:spacing w:line="276" w:lineRule="auto"/>
        <w:jc w:val="both"/>
        <w:rPr>
          <w:rFonts w:cs="Arial"/>
          <w:szCs w:val="20"/>
        </w:rPr>
      </w:pPr>
    </w:p>
    <w:p w:rsidR="005C2FEF" w:rsidRDefault="005C2FEF" w:rsidP="005C2FEF">
      <w:pPr>
        <w:spacing w:line="276" w:lineRule="auto"/>
        <w:jc w:val="both"/>
        <w:rPr>
          <w:rFonts w:cs="Arial"/>
          <w:szCs w:val="20"/>
        </w:rPr>
      </w:pPr>
      <w:r w:rsidRPr="005A2BAA">
        <w:rPr>
          <w:rFonts w:cs="Arial"/>
          <w:szCs w:val="20"/>
        </w:rPr>
        <w:t>V kolikor pa je za vgradnjo dvigala skladno z določbami Gradbenega zakona zahtevano gradbeno dovoljenje (t.</w:t>
      </w:r>
      <w:r>
        <w:rPr>
          <w:rFonts w:cs="Arial"/>
          <w:szCs w:val="20"/>
        </w:rPr>
        <w:t xml:space="preserve"> </w:t>
      </w:r>
      <w:r w:rsidRPr="005A2BAA">
        <w:rPr>
          <w:rFonts w:cs="Arial"/>
          <w:szCs w:val="20"/>
        </w:rPr>
        <w:t>i. rekonstrukcija objekta), je potrebno pridobiti tričetrtinsko (75 %) soglasje etažnih lastnikov glede na solastniške deleže. Enako soglasje je potrebno tudi v primeru, ko se vgradnja dvigala skladno z določbami Gradbenega zakona uvršča med t.</w:t>
      </w:r>
      <w:r>
        <w:rPr>
          <w:rFonts w:cs="Arial"/>
          <w:szCs w:val="20"/>
        </w:rPr>
        <w:t xml:space="preserve"> </w:t>
      </w:r>
      <w:r w:rsidRPr="005A2BAA">
        <w:rPr>
          <w:rFonts w:cs="Arial"/>
          <w:szCs w:val="20"/>
        </w:rPr>
        <w:t>i. manjše rekonstrukcije.</w:t>
      </w:r>
      <w:r>
        <w:rPr>
          <w:rFonts w:cs="Arial"/>
          <w:szCs w:val="20"/>
        </w:rPr>
        <w:t xml:space="preserve"> </w:t>
      </w:r>
      <w:r w:rsidRPr="005A2BAA">
        <w:rPr>
          <w:rFonts w:cs="Arial"/>
          <w:szCs w:val="20"/>
        </w:rPr>
        <w:t>Zaradi zniževanja soglasij za izvedbo poslov vzdrževanja stavbe je novela SZ-1E hkrati glede poslov rednega upravljanja in poslov, ki presegajo redno upravljanje ter se nanašajo na vgraditev novih naprav</w:t>
      </w:r>
      <w:r>
        <w:rPr>
          <w:rFonts w:cs="Arial"/>
          <w:szCs w:val="20"/>
        </w:rPr>
        <w:t xml:space="preserve"> oziroma</w:t>
      </w:r>
      <w:r w:rsidRPr="005A2BAA">
        <w:rPr>
          <w:rFonts w:cs="Arial"/>
          <w:szCs w:val="20"/>
        </w:rPr>
        <w:t xml:space="preserve"> opreme</w:t>
      </w:r>
      <w:r>
        <w:rPr>
          <w:rFonts w:cs="Arial"/>
          <w:szCs w:val="20"/>
        </w:rPr>
        <w:t>,</w:t>
      </w:r>
      <w:r w:rsidRPr="005A2BAA">
        <w:rPr>
          <w:rFonts w:cs="Arial"/>
          <w:szCs w:val="20"/>
        </w:rPr>
        <w:t xml:space="preserve"> določila možnost uveljavljanja pravnega varstva preglasovanega etažnega lastnika. </w:t>
      </w:r>
    </w:p>
    <w:p w:rsidR="005C2FEF" w:rsidRPr="005A2BAA" w:rsidRDefault="005C2FEF" w:rsidP="005C2FEF">
      <w:pPr>
        <w:spacing w:line="276" w:lineRule="auto"/>
        <w:jc w:val="both"/>
        <w:rPr>
          <w:rFonts w:cs="Arial"/>
          <w:szCs w:val="20"/>
        </w:rPr>
      </w:pPr>
    </w:p>
    <w:p w:rsidR="005C2FEF" w:rsidRPr="005A2BAA" w:rsidRDefault="005C2FEF" w:rsidP="005C2FEF">
      <w:pPr>
        <w:spacing w:line="276" w:lineRule="auto"/>
        <w:jc w:val="both"/>
        <w:rPr>
          <w:rFonts w:cs="Arial"/>
          <w:szCs w:val="20"/>
        </w:rPr>
      </w:pPr>
      <w:r w:rsidRPr="005A2BAA">
        <w:rPr>
          <w:rFonts w:cs="Arial"/>
          <w:szCs w:val="20"/>
        </w:rPr>
        <w:t xml:space="preserve">Vlada RS meni, da je opisana ureditev glede soglasij primerno urejena tako glede zahtevanih soglasij kot tudi glede pravnega varstva etažnih lastnikov (v primeru nezadostnega soglasja in v primeru varstva preglasovanega etažnega lastnika). </w:t>
      </w:r>
      <w:r>
        <w:rPr>
          <w:rFonts w:cs="Arial"/>
          <w:szCs w:val="20"/>
        </w:rPr>
        <w:t xml:space="preserve">V primeru nižanja stopnje soglasij bi bilo treba zagotoviti ustrezno pravno varnost preglasovanih lastnikov. </w:t>
      </w:r>
      <w:r w:rsidRPr="005A2BAA">
        <w:rPr>
          <w:rFonts w:cs="Arial"/>
          <w:szCs w:val="20"/>
        </w:rPr>
        <w:t>Primerjalno</w:t>
      </w:r>
      <w:r>
        <w:rPr>
          <w:rFonts w:cs="Arial"/>
          <w:szCs w:val="20"/>
        </w:rPr>
        <w:t xml:space="preserve"> - </w:t>
      </w:r>
      <w:r w:rsidRPr="005A2BAA">
        <w:rPr>
          <w:rFonts w:cs="Arial"/>
          <w:szCs w:val="20"/>
        </w:rPr>
        <w:t xml:space="preserve">pravno gledano namreč tudi večina zahodnoevropskih držav uvršča npr. naknadno vgradnjo dvigal v obstoječe stavbe med t. i. izboljšave (posle, ki presegajo okvir rednega upravljanja). </w:t>
      </w:r>
      <w:r>
        <w:rPr>
          <w:rFonts w:cs="Arial"/>
          <w:szCs w:val="20"/>
        </w:rPr>
        <w:t xml:space="preserve">Treba </w:t>
      </w:r>
      <w:r w:rsidRPr="005A2BAA">
        <w:rPr>
          <w:rFonts w:cs="Arial"/>
          <w:szCs w:val="20"/>
        </w:rPr>
        <w:t>bo razmisliti o tem, kako etažne lastnike večstanovanjskih stavb primerno spodbuditi k vzdrževanju in vlaganju v svojo lastnino in tudi skupno lastnino (skupni prostori in naprave). Vlada RS meni, da Stanovanjski zakon, ki ureja načine odločanja in potrebno stopnjo soglasij, ustrezno določa višino potrebnih soglasij, ki hkrati omogoča izvajanja del in ščiti pravice posameznih etažnih lastnikov.</w:t>
      </w:r>
    </w:p>
    <w:p w:rsidR="005C2FEF" w:rsidRPr="005A2BAA" w:rsidRDefault="005C2FEF" w:rsidP="005C2FEF">
      <w:pPr>
        <w:spacing w:line="276" w:lineRule="auto"/>
        <w:jc w:val="both"/>
        <w:rPr>
          <w:rFonts w:cs="Arial"/>
          <w:szCs w:val="20"/>
        </w:rPr>
      </w:pPr>
    </w:p>
    <w:p w:rsidR="005C2FEF" w:rsidRDefault="005C2FEF" w:rsidP="005C2FEF">
      <w:pPr>
        <w:spacing w:line="276" w:lineRule="auto"/>
        <w:jc w:val="both"/>
        <w:rPr>
          <w:rFonts w:cs="Arial"/>
          <w:szCs w:val="20"/>
        </w:rPr>
      </w:pPr>
      <w:r w:rsidRPr="005A2BAA">
        <w:rPr>
          <w:rFonts w:cs="Arial"/>
          <w:szCs w:val="20"/>
        </w:rPr>
        <w:t>Glede predloga Državnega sveta o načinu financiranja vgradnje dvigal (način financiranja investicije) Vlada RS pojasnjuje, da je dvigalo, ki se naknadno vgradi v stavbo, lahko v lasti vseh etažnih lastnikov (splošni skupni del stavbe) ali le nekaterih (posebni skupni del stavbe). Odločitev o tem seveda sprejmejo etažni lastniki.</w:t>
      </w:r>
      <w:r>
        <w:rPr>
          <w:rFonts w:cs="Arial"/>
          <w:szCs w:val="20"/>
        </w:rPr>
        <w:t xml:space="preserve"> </w:t>
      </w:r>
      <w:r w:rsidRPr="005A2BAA">
        <w:rPr>
          <w:rFonts w:cs="Arial"/>
          <w:szCs w:val="20"/>
        </w:rPr>
        <w:t>Dvigalo se v stavbi lahko vgradi kot splošni skupni del (v lasti vseh etažnih lastnikov stavbe). V tem primeru se za njegovo vgradnjo lahko koristi tudi sredstva rezervnega sklada stavbe, ki so skupno premoženje vseh etažnih lastnikov in jih je mogoče uporabiti za poravnavo stroškov vzdrževanja in potrebnih izboljšav na skupnih delih (kamor lahko sodi tudi vgradnja dvigal) ter za odplačevanje v te namene najetih posojil. Investicija mora biti za namen uporabe sredstev rezervnega sklada predhodno načrtovana v načrtu vzdrževanja stavbe.</w:t>
      </w:r>
      <w:r>
        <w:rPr>
          <w:rFonts w:cs="Arial"/>
          <w:szCs w:val="20"/>
        </w:rPr>
        <w:t xml:space="preserve"> </w:t>
      </w:r>
      <w:r w:rsidRPr="005A2BAA">
        <w:rPr>
          <w:rFonts w:cs="Arial"/>
          <w:szCs w:val="20"/>
        </w:rPr>
        <w:t xml:space="preserve">Dvigalo se v stavbi lahko vgradi kot posebni skupni del (v lasti le nekaterih etažnih lastnikov stavbe). Pogodba o medsebojnih razmerjih lahko določi posebne skupne dele večstanovanjske stavbe. Za posebne skupne dele se lahko določijo tudi skupne naprave (npr. dvigalo). Posebni skupni deli so solastnina tistih etažnih lastnikov, katerim služijo. Solastniški delež vsakega od njih se določi s pogodbo o medsebojnih razmerjih. S posebnimi skupnimi deli upravljajo etažni lastniki, ki imajo solastniški delež na teh delih. Enako velja tudi za odgovornost </w:t>
      </w:r>
      <w:r w:rsidRPr="005A2BAA">
        <w:rPr>
          <w:rFonts w:cs="Arial"/>
          <w:szCs w:val="20"/>
        </w:rPr>
        <w:lastRenderedPageBreak/>
        <w:t xml:space="preserve">za kritje vseh stroškov na teh delih. Za namen vgradnje dvigala kot posebnega skupnega dela se potem lahko vzpostavi prostovoljni sklad za zbiranje sredstev (v katerega vplačujejo le bodoči solastniki dvigala). </w:t>
      </w:r>
    </w:p>
    <w:p w:rsidR="005C2FEF" w:rsidRPr="005A2BAA" w:rsidRDefault="005C2FEF" w:rsidP="005C2FEF">
      <w:pPr>
        <w:spacing w:line="276" w:lineRule="auto"/>
        <w:jc w:val="both"/>
        <w:rPr>
          <w:rFonts w:cs="Arial"/>
          <w:szCs w:val="20"/>
        </w:rPr>
      </w:pPr>
    </w:p>
    <w:p w:rsidR="005C2FEF" w:rsidRPr="00E7759F" w:rsidRDefault="005C2FEF" w:rsidP="005C2FEF">
      <w:pPr>
        <w:spacing w:line="276" w:lineRule="auto"/>
        <w:jc w:val="both"/>
        <w:rPr>
          <w:rFonts w:cs="Arial"/>
          <w:szCs w:val="20"/>
        </w:rPr>
      </w:pPr>
      <w:r w:rsidRPr="005A2BAA">
        <w:rPr>
          <w:rFonts w:cs="Arial"/>
          <w:szCs w:val="20"/>
        </w:rPr>
        <w:t>Vlada RS se zaveda teže problema vgradnje dvigal v večnadstropnih stanovanjskih stavbah (kjer so stanovanja večinsko v zasebni lasti) za odpravo funkcionalnih ovir za določene skupine prebivalstva, kot so mlade družine in starejši ter osebe s telesno ali gibalno oviro, ki so v vsaki družbi še posebej ranljiva skupina. Za ukrepe, ki bi naslovili problematiko pomanjkanja dvigal v starejših večstanovanjskih stavbah, trenutno ni predvidenih finančnih sredstev. Morebitni tovrstni ukrepi morajo sicer upoštevati tako socialni položaj lastnikov kot tudi dejstvo, da bi s financiranjem vgradnje dvigal država z javnimi sredstvi financirala zasebno lastnino, za katero so dolžni skrbeti lastniki. Zato mora država na področju tov</w:t>
      </w:r>
      <w:r w:rsidRPr="00575D42">
        <w:rPr>
          <w:rFonts w:cs="Arial"/>
          <w:szCs w:val="20"/>
        </w:rPr>
        <w:t>rstnih ukrepov zagotoviti tudi ustrezno zavarovanje porabe javnih sredstev</w:t>
      </w:r>
      <w:r>
        <w:rPr>
          <w:rFonts w:cs="Arial"/>
          <w:szCs w:val="20"/>
        </w:rPr>
        <w:t xml:space="preserve"> ter uravnotežiti razmerja med zasebnimi interesi in koristmi (etažni lastniki in vrednost nepremičnega premoženja) ter javnim interesom. </w:t>
      </w:r>
    </w:p>
    <w:bookmarkEnd w:id="0"/>
    <w:p w:rsidR="00782FD4" w:rsidRPr="00EC13B0" w:rsidRDefault="00782FD4" w:rsidP="005C2FEF">
      <w:pPr>
        <w:autoSpaceDE w:val="0"/>
        <w:autoSpaceDN w:val="0"/>
        <w:adjustRightInd w:val="0"/>
        <w:jc w:val="both"/>
      </w:pPr>
    </w:p>
    <w:sectPr w:rsidR="00782FD4" w:rsidRPr="00EC13B0" w:rsidSect="005D5957">
      <w:headerReference w:type="even" r:id="rId7"/>
      <w:headerReference w:type="default" r:id="rId8"/>
      <w:footerReference w:type="even" r:id="rId9"/>
      <w:footerReference w:type="default" r:id="rId10"/>
      <w:headerReference w:type="first" r:id="rId11"/>
      <w:footerReference w:type="first" r:id="rId12"/>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24C60" w:rsidRDefault="00D24C60" w:rsidP="00767987">
      <w:pPr>
        <w:spacing w:line="240" w:lineRule="auto"/>
      </w:pPr>
      <w:r>
        <w:separator/>
      </w:r>
    </w:p>
  </w:endnote>
  <w:endnote w:type="continuationSeparator" w:id="0">
    <w:p w:rsidR="00D24C60" w:rsidRDefault="00D24C60"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E0175" w:rsidRDefault="000E0175">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E0175" w:rsidRDefault="000E0175">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E0175" w:rsidRDefault="000E0175">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24C60" w:rsidRDefault="00D24C60" w:rsidP="00767987">
      <w:pPr>
        <w:spacing w:line="240" w:lineRule="auto"/>
      </w:pPr>
      <w:r>
        <w:separator/>
      </w:r>
    </w:p>
  </w:footnote>
  <w:footnote w:type="continuationSeparator" w:id="0">
    <w:p w:rsidR="00D24C60" w:rsidRDefault="00D24C60"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E0175" w:rsidRDefault="000E0175">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E0175" w:rsidRDefault="000E0175">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D5957" w:rsidRPr="00A9231D" w:rsidRDefault="005D5957" w:rsidP="005D5957">
    <w:pPr>
      <w:pStyle w:val="Glava"/>
      <w:tabs>
        <w:tab w:val="clear" w:pos="4536"/>
        <w:tab w:val="clear" w:pos="9072"/>
        <w:tab w:val="left" w:pos="5112"/>
        <w:tab w:val="left" w:pos="8641"/>
      </w:tabs>
      <w:spacing w:before="340" w:line="240" w:lineRule="exact"/>
      <w:ind w:left="-765"/>
      <w:rPr>
        <w:rFonts w:cs="Arial"/>
        <w:sz w:val="16"/>
      </w:rPr>
    </w:pPr>
    <w:r w:rsidRPr="00CE234E">
      <w:rPr>
        <w:noProof/>
        <w:lang w:eastAsia="sl-SI"/>
      </w:rPr>
      <w:drawing>
        <wp:inline distT="0" distB="0" distL="0" distR="0" wp14:anchorId="7ACAF12D" wp14:editId="5693384B">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5D5957" w:rsidRPr="00A9231D" w:rsidRDefault="005D5957" w:rsidP="005D5957">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rsidR="005D5957" w:rsidRPr="00A9231D" w:rsidRDefault="005D5957" w:rsidP="005D5957">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rsidR="005D5957" w:rsidRPr="00A9231D" w:rsidRDefault="005D5957" w:rsidP="005D5957">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rsidR="005D5957" w:rsidRPr="00A9231D" w:rsidRDefault="005D5957" w:rsidP="005D5957">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105752"/>
    <w:multiLevelType w:val="hybridMultilevel"/>
    <w:tmpl w:val="6008B0F2"/>
    <w:lvl w:ilvl="0" w:tplc="5684846C">
      <w:start w:val="1"/>
      <w:numFmt w:val="bullet"/>
      <w:lvlText w:val="–"/>
      <w:lvlJc w:val="left"/>
      <w:pPr>
        <w:ind w:left="980" w:hanging="360"/>
      </w:pPr>
      <w:rPr>
        <w:rFonts w:ascii="Arial" w:hAnsi="Arial" w:cs="Times New Roman" w:hint="default"/>
      </w:rPr>
    </w:lvl>
    <w:lvl w:ilvl="1" w:tplc="04090003">
      <w:start w:val="1"/>
      <w:numFmt w:val="bullet"/>
      <w:lvlText w:val="o"/>
      <w:lvlJc w:val="left"/>
      <w:pPr>
        <w:ind w:left="1700" w:hanging="360"/>
      </w:pPr>
      <w:rPr>
        <w:rFonts w:ascii="Courier New" w:hAnsi="Courier New" w:cs="Courier New" w:hint="default"/>
      </w:rPr>
    </w:lvl>
    <w:lvl w:ilvl="2" w:tplc="04090005">
      <w:start w:val="1"/>
      <w:numFmt w:val="bullet"/>
      <w:lvlText w:val=""/>
      <w:lvlJc w:val="left"/>
      <w:pPr>
        <w:ind w:left="2420" w:hanging="360"/>
      </w:pPr>
      <w:rPr>
        <w:rFonts w:ascii="Wingdings" w:hAnsi="Wingdings" w:hint="default"/>
      </w:rPr>
    </w:lvl>
    <w:lvl w:ilvl="3" w:tplc="04090001">
      <w:start w:val="1"/>
      <w:numFmt w:val="bullet"/>
      <w:lvlText w:val=""/>
      <w:lvlJc w:val="left"/>
      <w:pPr>
        <w:ind w:left="3140" w:hanging="360"/>
      </w:pPr>
      <w:rPr>
        <w:rFonts w:ascii="Symbol" w:hAnsi="Symbol" w:hint="default"/>
      </w:rPr>
    </w:lvl>
    <w:lvl w:ilvl="4" w:tplc="04090003">
      <w:start w:val="1"/>
      <w:numFmt w:val="bullet"/>
      <w:lvlText w:val="o"/>
      <w:lvlJc w:val="left"/>
      <w:pPr>
        <w:ind w:left="3860" w:hanging="360"/>
      </w:pPr>
      <w:rPr>
        <w:rFonts w:ascii="Courier New" w:hAnsi="Courier New" w:cs="Courier New" w:hint="default"/>
      </w:rPr>
    </w:lvl>
    <w:lvl w:ilvl="5" w:tplc="04090005">
      <w:start w:val="1"/>
      <w:numFmt w:val="bullet"/>
      <w:lvlText w:val=""/>
      <w:lvlJc w:val="left"/>
      <w:pPr>
        <w:ind w:left="4580" w:hanging="360"/>
      </w:pPr>
      <w:rPr>
        <w:rFonts w:ascii="Wingdings" w:hAnsi="Wingdings" w:hint="default"/>
      </w:rPr>
    </w:lvl>
    <w:lvl w:ilvl="6" w:tplc="04090001">
      <w:start w:val="1"/>
      <w:numFmt w:val="bullet"/>
      <w:lvlText w:val=""/>
      <w:lvlJc w:val="left"/>
      <w:pPr>
        <w:ind w:left="5300" w:hanging="360"/>
      </w:pPr>
      <w:rPr>
        <w:rFonts w:ascii="Symbol" w:hAnsi="Symbol" w:hint="default"/>
      </w:rPr>
    </w:lvl>
    <w:lvl w:ilvl="7" w:tplc="04090003">
      <w:start w:val="1"/>
      <w:numFmt w:val="bullet"/>
      <w:lvlText w:val="o"/>
      <w:lvlJc w:val="left"/>
      <w:pPr>
        <w:ind w:left="6020" w:hanging="360"/>
      </w:pPr>
      <w:rPr>
        <w:rFonts w:ascii="Courier New" w:hAnsi="Courier New" w:cs="Courier New" w:hint="default"/>
      </w:rPr>
    </w:lvl>
    <w:lvl w:ilvl="8" w:tplc="04090005">
      <w:start w:val="1"/>
      <w:numFmt w:val="bullet"/>
      <w:lvlText w:val=""/>
      <w:lvlJc w:val="left"/>
      <w:pPr>
        <w:ind w:left="6740" w:hanging="360"/>
      </w:pPr>
      <w:rPr>
        <w:rFonts w:ascii="Wingdings" w:hAnsi="Wingdings" w:hint="default"/>
      </w:rPr>
    </w:lvl>
  </w:abstractNum>
  <w:abstractNum w:abstractNumId="1" w15:restartNumberingAfterBreak="0">
    <w:nsid w:val="4C080309"/>
    <w:multiLevelType w:val="hybridMultilevel"/>
    <w:tmpl w:val="596E5182"/>
    <w:lvl w:ilvl="0" w:tplc="795AEBD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5583524C"/>
    <w:multiLevelType w:val="hybridMultilevel"/>
    <w:tmpl w:val="D07CA032"/>
    <w:lvl w:ilvl="0" w:tplc="5684846C">
      <w:start w:val="1"/>
      <w:numFmt w:val="bullet"/>
      <w:lvlText w:val="–"/>
      <w:lvlJc w:val="left"/>
      <w:pPr>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num w:numId="1">
    <w:abstractNumId w:val="3"/>
  </w:num>
  <w:num w:numId="2">
    <w:abstractNumId w:val="1"/>
  </w:num>
  <w:num w:numId="3">
    <w:abstractNumId w:val="2"/>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B3FE6"/>
    <w:rsid w:val="000E0175"/>
    <w:rsid w:val="000E21B2"/>
    <w:rsid w:val="001A2469"/>
    <w:rsid w:val="00204177"/>
    <w:rsid w:val="00366636"/>
    <w:rsid w:val="00367DE6"/>
    <w:rsid w:val="003B3E19"/>
    <w:rsid w:val="004076C6"/>
    <w:rsid w:val="004B7F76"/>
    <w:rsid w:val="004E1BCE"/>
    <w:rsid w:val="0056541B"/>
    <w:rsid w:val="00592079"/>
    <w:rsid w:val="005C2FEF"/>
    <w:rsid w:val="005D5957"/>
    <w:rsid w:val="00676475"/>
    <w:rsid w:val="00682FFE"/>
    <w:rsid w:val="006C69EC"/>
    <w:rsid w:val="007039D0"/>
    <w:rsid w:val="00710C90"/>
    <w:rsid w:val="00767987"/>
    <w:rsid w:val="00782FD4"/>
    <w:rsid w:val="00811140"/>
    <w:rsid w:val="00896FBD"/>
    <w:rsid w:val="008A3F94"/>
    <w:rsid w:val="00904A48"/>
    <w:rsid w:val="009510F6"/>
    <w:rsid w:val="00980294"/>
    <w:rsid w:val="009C5392"/>
    <w:rsid w:val="00A50E4B"/>
    <w:rsid w:val="00A9231D"/>
    <w:rsid w:val="00B40287"/>
    <w:rsid w:val="00B711D4"/>
    <w:rsid w:val="00C0216A"/>
    <w:rsid w:val="00CD6077"/>
    <w:rsid w:val="00CE234E"/>
    <w:rsid w:val="00D02973"/>
    <w:rsid w:val="00D24C60"/>
    <w:rsid w:val="00DA09BE"/>
    <w:rsid w:val="00E278C9"/>
    <w:rsid w:val="00E30579"/>
    <w:rsid w:val="00E87505"/>
    <w:rsid w:val="00EC13B0"/>
    <w:rsid w:val="00FB00DD"/>
    <w:rsid w:val="00FE168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8A3F94"/>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style>
  <w:style w:type="character" w:customStyle="1" w:styleId="NogaZnak">
    <w:name w:val="Noga Znak"/>
    <w:basedOn w:val="Privzetapisavaodstavka"/>
    <w:link w:val="Noga"/>
    <w:uiPriority w:val="99"/>
    <w:rsid w:val="00767987"/>
  </w:style>
  <w:style w:type="paragraph" w:styleId="Odstavekseznama">
    <w:name w:val="List Paragraph"/>
    <w:basedOn w:val="Navaden"/>
    <w:uiPriority w:val="34"/>
    <w:qFormat/>
    <w:rsid w:val="00E30579"/>
    <w:pPr>
      <w:ind w:left="720"/>
      <w:contextualSpacing/>
    </w:pPr>
  </w:style>
  <w:style w:type="paragraph" w:customStyle="1" w:styleId="ZADEVA">
    <w:name w:val="ZADEVA"/>
    <w:basedOn w:val="Navaden"/>
    <w:qFormat/>
    <w:rsid w:val="008A3F94"/>
    <w:pPr>
      <w:tabs>
        <w:tab w:val="left" w:pos="1701"/>
      </w:tabs>
      <w:ind w:left="1701" w:hanging="1701"/>
    </w:pPr>
    <w:rPr>
      <w:b/>
      <w:lang w:val="it-IT"/>
    </w:rPr>
  </w:style>
  <w:style w:type="paragraph" w:customStyle="1" w:styleId="podpisi">
    <w:name w:val="podpisi"/>
    <w:basedOn w:val="Navaden"/>
    <w:qFormat/>
    <w:rsid w:val="008A3F94"/>
    <w:pPr>
      <w:tabs>
        <w:tab w:val="left" w:pos="3402"/>
      </w:tabs>
    </w:pPr>
    <w:rPr>
      <w:lang w:val="it-IT"/>
    </w:rPr>
  </w:style>
  <w:style w:type="character" w:styleId="Hiperpovezava">
    <w:name w:val="Hyperlink"/>
    <w:basedOn w:val="Privzetapisavaodstavka"/>
    <w:uiPriority w:val="99"/>
    <w:semiHidden/>
    <w:unhideWhenUsed/>
    <w:rsid w:val="005D5957"/>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27066083">
      <w:bodyDiv w:val="1"/>
      <w:marLeft w:val="0"/>
      <w:marRight w:val="0"/>
      <w:marTop w:val="0"/>
      <w:marBottom w:val="0"/>
      <w:divBdr>
        <w:top w:val="none" w:sz="0" w:space="0" w:color="auto"/>
        <w:left w:val="none" w:sz="0" w:space="0" w:color="auto"/>
        <w:bottom w:val="none" w:sz="0" w:space="0" w:color="auto"/>
        <w:right w:val="none" w:sz="0" w:space="0" w:color="auto"/>
      </w:divBdr>
    </w:div>
    <w:div w:id="13743063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6</Pages>
  <Words>3341</Words>
  <Characters>19044</Characters>
  <Application>Microsoft Office Word</Application>
  <DocSecurity>0</DocSecurity>
  <Lines>158</Lines>
  <Paragraphs>44</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22341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VRS</dc:creator>
  <cp:keywords/>
  <dc:description/>
  <cp:lastModifiedBy>Katja Pucihar</cp:lastModifiedBy>
  <cp:revision>2</cp:revision>
  <dcterms:created xsi:type="dcterms:W3CDTF">2025-07-14T04:58:00Z</dcterms:created>
  <dcterms:modified xsi:type="dcterms:W3CDTF">2025-07-14T04:58:00Z</dcterms:modified>
</cp:coreProperties>
</file>